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0"/>
          <w:szCs w:val="30"/>
          <w:lang w:val="en-US" w:eastAsia="zh-CN" w:bidi="ar-SA"/>
        </w:rPr>
      </w:pPr>
      <w:bookmarkStart w:id="0" w:name="_Toc14977"/>
      <w:r>
        <w:rPr>
          <w:rFonts w:hint="default" w:ascii="Times New Roman" w:hAnsi="Times New Roman" w:eastAsia="黑体" w:cs="Times New Roman"/>
          <w:b/>
          <w:bCs/>
          <w:kern w:val="44"/>
          <w:sz w:val="30"/>
          <w:szCs w:val="30"/>
          <w:lang w:val="en-US" w:eastAsia="zh-CN" w:bidi="ar-SA"/>
        </w:rPr>
        <w:t>项目概述</w:t>
      </w:r>
      <w:bookmarkEnd w:id="0"/>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1" w:name="_Toc166138693"/>
      <w:bookmarkStart w:id="2" w:name="_Toc17716"/>
      <w:r>
        <w:rPr>
          <w:rFonts w:hint="default" w:ascii="Times New Roman" w:hAnsi="Times New Roman" w:eastAsia="黑体" w:cs="Times New Roman"/>
          <w:bCs/>
          <w:kern w:val="2"/>
          <w:sz w:val="30"/>
          <w:szCs w:val="32"/>
          <w:lang w:val="en-US" w:eastAsia="zh-CN" w:bidi="ar-SA"/>
        </w:rPr>
        <w:t>项目名称</w:t>
      </w:r>
      <w:bookmarkEnd w:id="1"/>
      <w:bookmarkEnd w:id="2"/>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项目名称：</w:t>
      </w:r>
      <w:r>
        <w:rPr>
          <w:rFonts w:hint="default" w:ascii="Times New Roman" w:hAnsi="Times New Roman" w:eastAsia="宋体" w:cs="Times New Roman"/>
          <w:kern w:val="0"/>
          <w:sz w:val="24"/>
          <w:highlight w:val="none"/>
          <w:lang w:eastAsia="zh-CN"/>
        </w:rPr>
        <w:t>临湘市非涉密政务信息系统大运维大安全技术服务项目</w:t>
      </w:r>
      <w:r>
        <w:rPr>
          <w:rFonts w:hint="default" w:ascii="Times New Roman" w:hAnsi="Times New Roman" w:eastAsia="宋体" w:cs="Times New Roman"/>
          <w:kern w:val="0"/>
          <w:sz w:val="24"/>
          <w:highlight w:val="none"/>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3" w:name="_Toc3316"/>
      <w:r>
        <w:rPr>
          <w:rFonts w:hint="default" w:ascii="Times New Roman" w:hAnsi="Times New Roman" w:eastAsia="黑体" w:cs="Times New Roman"/>
          <w:bCs/>
          <w:kern w:val="2"/>
          <w:sz w:val="30"/>
          <w:szCs w:val="32"/>
          <w:lang w:val="en-US" w:eastAsia="zh-CN" w:bidi="ar-SA"/>
        </w:rPr>
        <w:t>项目性质</w:t>
      </w:r>
      <w:bookmarkEnd w:id="3"/>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项目性质：购买服务</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4" w:name="_Toc14746"/>
      <w:r>
        <w:rPr>
          <w:rFonts w:hint="default" w:ascii="Times New Roman" w:hAnsi="Times New Roman" w:eastAsia="黑体" w:cs="Times New Roman"/>
          <w:bCs/>
          <w:kern w:val="2"/>
          <w:sz w:val="30"/>
          <w:szCs w:val="32"/>
          <w:lang w:val="en-US" w:eastAsia="zh-CN" w:bidi="ar-SA"/>
        </w:rPr>
        <w:t>建设单位</w:t>
      </w:r>
      <w:bookmarkEnd w:id="4"/>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建设单位：临湘市大数据中心</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5" w:name="_Toc13730"/>
      <w:r>
        <w:rPr>
          <w:rFonts w:hint="default" w:ascii="Times New Roman" w:hAnsi="Times New Roman" w:eastAsia="黑体" w:cs="Times New Roman"/>
          <w:bCs/>
          <w:kern w:val="2"/>
          <w:sz w:val="30"/>
          <w:szCs w:val="32"/>
          <w:lang w:val="en-US" w:eastAsia="zh-CN" w:bidi="ar-SA"/>
        </w:rPr>
        <w:t>项目密级</w:t>
      </w:r>
      <w:bookmarkEnd w:id="5"/>
    </w:p>
    <w:p>
      <w:pPr>
        <w:widowControl w:val="0"/>
        <w:spacing w:line="360" w:lineRule="auto"/>
        <w:ind w:firstLine="480" w:firstLineChars="200"/>
        <w:jc w:val="left"/>
        <w:rPr>
          <w:rFonts w:hint="default" w:ascii="Times New Roman" w:hAnsi="Times New Roman" w:eastAsia="宋体" w:cs="Times New Roman"/>
          <w:sz w:val="24"/>
          <w:szCs w:val="24"/>
          <w:highlight w:val="none"/>
          <w:lang w:val="en-US" w:eastAsia="zh-CN" w:bidi="ar-SA"/>
        </w:rPr>
      </w:pPr>
      <w:r>
        <w:rPr>
          <w:rFonts w:hint="default" w:ascii="Times New Roman" w:hAnsi="Times New Roman" w:eastAsia="宋体" w:cs="Times New Roman"/>
          <w:sz w:val="24"/>
          <w:szCs w:val="24"/>
          <w:highlight w:val="none"/>
          <w:lang w:val="en-US" w:eastAsia="zh-CN" w:bidi="ar-SA"/>
        </w:rPr>
        <w:t>本项目为非涉密</w:t>
      </w:r>
      <w:r>
        <w:rPr>
          <w:rFonts w:hint="eastAsia" w:ascii="Times New Roman" w:hAnsi="Times New Roman" w:eastAsia="宋体" w:cs="Times New Roman"/>
          <w:sz w:val="24"/>
          <w:szCs w:val="24"/>
          <w:highlight w:val="none"/>
          <w:lang w:val="en-US" w:eastAsia="zh-CN" w:bidi="ar-SA"/>
        </w:rPr>
        <w:t>政务</w:t>
      </w:r>
      <w:r>
        <w:rPr>
          <w:rFonts w:hint="default" w:ascii="Times New Roman" w:hAnsi="Times New Roman" w:eastAsia="宋体" w:cs="Times New Roman"/>
          <w:sz w:val="24"/>
          <w:szCs w:val="24"/>
          <w:highlight w:val="none"/>
          <w:lang w:val="en-US" w:eastAsia="zh-CN" w:bidi="ar-SA"/>
        </w:rPr>
        <w:t>信息系统技术服务</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6" w:name="_Toc21136"/>
      <w:r>
        <w:rPr>
          <w:rFonts w:hint="default" w:ascii="Times New Roman" w:hAnsi="Times New Roman" w:eastAsia="黑体" w:cs="Times New Roman"/>
          <w:bCs/>
          <w:kern w:val="2"/>
          <w:sz w:val="30"/>
          <w:szCs w:val="32"/>
          <w:lang w:val="en-US" w:eastAsia="zh-CN" w:bidi="ar-SA"/>
        </w:rPr>
        <w:t>编制单位</w:t>
      </w:r>
      <w:bookmarkEnd w:id="6"/>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编制单位：临湘市大数据中心</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7" w:name="_Toc76043279"/>
      <w:bookmarkStart w:id="8" w:name="_Toc166138696"/>
      <w:bookmarkStart w:id="9" w:name="_Toc17382"/>
      <w:r>
        <w:rPr>
          <w:rFonts w:hint="default" w:ascii="Times New Roman" w:hAnsi="Times New Roman" w:eastAsia="黑体" w:cs="Times New Roman"/>
          <w:bCs/>
          <w:kern w:val="2"/>
          <w:sz w:val="30"/>
          <w:szCs w:val="32"/>
          <w:lang w:val="en-US" w:eastAsia="zh-CN" w:bidi="ar-SA"/>
        </w:rPr>
        <w:t>方案编制依据</w:t>
      </w:r>
      <w:bookmarkEnd w:id="7"/>
      <w:bookmarkEnd w:id="8"/>
      <w:bookmarkEnd w:id="9"/>
      <w:bookmarkStart w:id="98" w:name="_GoBack"/>
      <w:bookmarkEnd w:id="98"/>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10" w:name="_Toc26099"/>
      <w:bookmarkStart w:id="11" w:name="_Toc166138697"/>
      <w:r>
        <w:rPr>
          <w:rFonts w:hint="default" w:ascii="Times New Roman" w:hAnsi="Times New Roman" w:eastAsia="黑体" w:cs="Times New Roman"/>
          <w:bCs/>
          <w:kern w:val="2"/>
          <w:sz w:val="28"/>
          <w:szCs w:val="32"/>
          <w:lang w:val="en-US" w:eastAsia="zh-CN" w:bidi="ar-SA"/>
        </w:rPr>
        <w:t>政策依据</w:t>
      </w:r>
      <w:bookmarkEnd w:id="10"/>
      <w:bookmarkEnd w:id="11"/>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国家政策文件</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《政务信息资源共享管理暂行办法》（国发〔2016〕51号）；</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《政府会计准则第3号——固定资产》（财会〔2017〕4号 ）；</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《中华人民共和国网络安全法》（自2017年6月1日起施行）；</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《国家政务信息化项目建设管理办法》（国办发〔2019〕57号）；</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《中华人民共和国密码法》（自2020年1月1日起施行）；</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《中华人民共和国国民经济和社会发展第十四个五年规划和2035年远景目标纲要》；</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《关键信息基础设施安全保护条例》（自2021年9月1日起施行）；</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《中华人民共和国数据安全法》（自2021年9月1日起施行）；</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《中华人民共和国个人信息保护法》（自2021年11月1日起施行）；</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《国务院关于加快推进政务服务标准化规范化便利化的指导意见》（国发〔2022〕5号）；</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《国务院关于加强数字政府建设的指导意见》 （国发〔2022〕14号）；</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国务院办公厅关于印发《全国一体化政务大数据体系建设指南》的通知国办函〔2022〕102号。</w:t>
      </w:r>
    </w:p>
    <w:p>
      <w:pPr>
        <w:numPr>
          <w:ilvl w:val="0"/>
          <w:numId w:val="2"/>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《中华人民共和国企业所得税法实施条例》（2024）。</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地方政策文件</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《湖南省省直单位政务信息系统项目建设管理办法》湘政办发〔2020〕34号；</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《湖南省国民经济和社会发展第十四个五年规划和二〇三五年远景目标纲要》；</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《湖南省“十四五”信息化发展规划》（湘网办发〔2021〕16号）；</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《湖南省“十四五”数字政府建设实施方案》（湘政办函〔2022〕23号）；</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lang w:eastAsia="zh-CN"/>
        </w:rPr>
        <w:t>《</w:t>
      </w:r>
      <w:r>
        <w:rPr>
          <w:rFonts w:hint="default" w:ascii="Times New Roman" w:hAnsi="Times New Roman" w:eastAsia="宋体" w:cs="宋体"/>
          <w:kern w:val="0"/>
          <w:sz w:val="24"/>
          <w:lang w:val="en-US" w:eastAsia="zh-CN"/>
        </w:rPr>
        <w:t>湖南省</w:t>
      </w:r>
      <w:r>
        <w:rPr>
          <w:rFonts w:hint="default" w:ascii="Times New Roman" w:hAnsi="Times New Roman" w:eastAsia="宋体" w:cs="宋体"/>
          <w:kern w:val="0"/>
          <w:sz w:val="24"/>
        </w:rPr>
        <w:t>非涉密政务信息系统大运维大安全改革实施方案》</w:t>
      </w:r>
      <w:r>
        <w:rPr>
          <w:rFonts w:hint="default" w:ascii="Times New Roman" w:hAnsi="Times New Roman" w:eastAsia="宋体" w:cs="宋体"/>
          <w:kern w:val="0"/>
          <w:sz w:val="24"/>
          <w:lang w:val="en-US" w:eastAsia="zh-CN"/>
        </w:rPr>
        <w:t>湘</w:t>
      </w:r>
      <w:r>
        <w:rPr>
          <w:rFonts w:hint="default" w:ascii="Times New Roman" w:hAnsi="Times New Roman" w:eastAsia="宋体" w:cs="宋体"/>
          <w:kern w:val="0"/>
          <w:sz w:val="24"/>
        </w:rPr>
        <w:t>办</w:t>
      </w:r>
      <w:r>
        <w:rPr>
          <w:rFonts w:hint="default" w:ascii="Times New Roman" w:hAnsi="Times New Roman" w:eastAsia="宋体" w:cs="宋体"/>
          <w:kern w:val="0"/>
          <w:sz w:val="24"/>
          <w:lang w:val="en-US" w:eastAsia="zh-CN"/>
        </w:rPr>
        <w:t>发电</w:t>
      </w:r>
      <w:r>
        <w:rPr>
          <w:rFonts w:hint="default" w:ascii="Times New Roman" w:hAnsi="Times New Roman" w:eastAsia="宋体" w:cs="宋体"/>
          <w:kern w:val="0"/>
          <w:sz w:val="24"/>
        </w:rPr>
        <w:t>〔2026〕</w:t>
      </w:r>
      <w:r>
        <w:rPr>
          <w:rFonts w:hint="default" w:ascii="Times New Roman" w:hAnsi="Times New Roman" w:eastAsia="宋体" w:cs="宋体"/>
          <w:kern w:val="0"/>
          <w:sz w:val="24"/>
          <w:lang w:val="en-US" w:eastAsia="zh-CN"/>
        </w:rPr>
        <w:t>15</w:t>
      </w:r>
      <w:r>
        <w:rPr>
          <w:rFonts w:hint="default" w:ascii="Times New Roman" w:hAnsi="Times New Roman" w:eastAsia="宋体" w:cs="宋体"/>
          <w:kern w:val="0"/>
          <w:sz w:val="24"/>
        </w:rPr>
        <w:t>号）</w:t>
      </w:r>
      <w:r>
        <w:rPr>
          <w:rFonts w:hint="default" w:ascii="Times New Roman" w:hAnsi="Times New Roman" w:eastAsia="宋体" w:cs="宋体"/>
          <w:kern w:val="0"/>
          <w:sz w:val="24"/>
          <w:lang w:eastAsia="zh-CN"/>
        </w:rPr>
        <w:t>；</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《岳阳市市本级政务信息化项目建设管理办法》（岳政办发〔2023〕10号）；</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lang w:eastAsia="zh-CN"/>
        </w:rPr>
        <w:t>《</w:t>
      </w:r>
      <w:r>
        <w:rPr>
          <w:rFonts w:hint="default" w:ascii="Times New Roman" w:hAnsi="Times New Roman" w:eastAsia="宋体" w:cs="宋体"/>
          <w:kern w:val="0"/>
          <w:sz w:val="24"/>
        </w:rPr>
        <w:t>岳阳市非涉密政务信息系统大运维大安全改革实施方案》（岳办函〔2026〕9号）</w:t>
      </w:r>
      <w:r>
        <w:rPr>
          <w:rFonts w:hint="default" w:ascii="Times New Roman" w:hAnsi="Times New Roman" w:eastAsia="宋体" w:cs="宋体"/>
          <w:kern w:val="0"/>
          <w:sz w:val="24"/>
          <w:lang w:eastAsia="zh-CN"/>
        </w:rPr>
        <w:t>；</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《临湘市政务数字化项目建设管理暂行办法》《临湘市政务数据资源管理暂行办法》临政办发〔2023〕5号；</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《全市推进数字化平台统一运维实施方案》（临数政领发〔2024〕1号）；</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《临湘市数据局关于进一步做好统一运维相关工作的通知》（临数发〔2024〕1号）；</w:t>
      </w:r>
    </w:p>
    <w:p>
      <w:pPr>
        <w:numPr>
          <w:ilvl w:val="0"/>
          <w:numId w:val="3"/>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《临湘市数字化平台统一运维管理暂行办法》（临数发〔2024〕3号）。</w:t>
      </w:r>
    </w:p>
    <w:p>
      <w:pPr>
        <w:numPr>
          <w:ilvl w:val="0"/>
          <w:numId w:val="3"/>
        </w:numPr>
        <w:bidi w:val="0"/>
        <w:spacing w:line="360" w:lineRule="auto"/>
        <w:ind w:left="0"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宋体"/>
          <w:kern w:val="0"/>
          <w:sz w:val="24"/>
        </w:rPr>
        <w:t>《临湘市非涉密政务信息系统大运维大安全改革实施方案》</w:t>
      </w:r>
      <w:r>
        <w:rPr>
          <w:rFonts w:hint="default" w:ascii="Times New Roman" w:hAnsi="Times New Roman" w:eastAsia="宋体" w:cs="宋体"/>
          <w:kern w:val="0"/>
          <w:sz w:val="24"/>
          <w:lang w:eastAsia="zh-CN"/>
        </w:rPr>
        <w:t>（</w:t>
      </w:r>
      <w:r>
        <w:rPr>
          <w:rFonts w:hint="default" w:ascii="Times New Roman" w:hAnsi="Times New Roman" w:eastAsia="宋体" w:cs="宋体"/>
          <w:kern w:val="0"/>
          <w:sz w:val="24"/>
        </w:rPr>
        <w:t>临办发〔2026〕12号</w:t>
      </w:r>
      <w:r>
        <w:rPr>
          <w:rFonts w:hint="default" w:ascii="Times New Roman" w:hAnsi="Times New Roman" w:eastAsia="宋体" w:cs="宋体"/>
          <w:kern w:val="0"/>
          <w:sz w:val="24"/>
          <w:lang w:eastAsia="zh-CN"/>
        </w:rPr>
        <w:t>）</w:t>
      </w:r>
      <w:r>
        <w:rPr>
          <w:rFonts w:hint="default" w:ascii="Times New Roman" w:hAnsi="Times New Roman" w:eastAsia="宋体" w:cs="Times New Roman"/>
          <w:kern w:val="0"/>
          <w:sz w:val="24"/>
          <w:highlight w:val="none"/>
          <w:lang w:eastAsia="zh-CN"/>
        </w:rPr>
        <w:t>。</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12" w:name="_Toc29267"/>
      <w:bookmarkStart w:id="13" w:name="_Toc166138698"/>
      <w:r>
        <w:rPr>
          <w:rFonts w:hint="default" w:ascii="Times New Roman" w:hAnsi="Times New Roman" w:eastAsia="黑体" w:cs="Times New Roman"/>
          <w:bCs/>
          <w:kern w:val="2"/>
          <w:sz w:val="28"/>
          <w:szCs w:val="32"/>
          <w:lang w:val="en-US" w:eastAsia="zh-CN" w:bidi="ar-SA"/>
        </w:rPr>
        <w:t>技术依据</w:t>
      </w:r>
      <w:bookmarkEnd w:id="12"/>
      <w:bookmarkEnd w:id="13"/>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《公共安全视频监控联网系统信息传输、交换、控制技术要求》（GB/T28181-2016）；</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《信息技术服务 质量评价指标体系》（GB/T 33850-2017）；</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《公共安全视频监控联网信息安全技术要求》（GB/T 35114-2017）；</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操作系统安全技术要求》（GB/T 20272-2019）；</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数据库管理系统安全技术要求》（GB/T 20273-2019）；</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网络交换机安全技术要求》（GB/T 21050-2019）；</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网络安全等级保护安全设计技术要求》（GB/T 25070-2019）；</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网络安全等级保护基本要求》（GB/T 22239-2019）；</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数据安全能力成熟度模型》（GB/T 37988-2019）；</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网络安全等级保护定级指南》（GB/T 22240-2020）；</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政务信息共享 数据安全技术要求》（GB/T 39477-2020）；</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《信息安全技术 信息系统密码应用基本要求》（GB/T 39786-2021）</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《信息技术服务 运行维护 第1部分：通用要求》（GB/T 28827.1-2022）；</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《信息技术服务 运行维护 第2部分：交付规范》（GB/T 28827.1-2022）；</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《信息技术服务 运行维护 第3部分：应急响应规范》（GB/T 28827.1-2022）；</w:t>
      </w:r>
    </w:p>
    <w:p>
      <w:pPr>
        <w:numPr>
          <w:ilvl w:val="0"/>
          <w:numId w:val="4"/>
        </w:numPr>
        <w:bidi w:val="0"/>
        <w:spacing w:line="360" w:lineRule="auto"/>
        <w:ind w:left="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《信息技术服务 运行维护 第4部分：数据中心服务要求》（GB/T 28827.1-2022）；</w:t>
      </w:r>
    </w:p>
    <w:p>
      <w:pPr>
        <w:numPr>
          <w:ilvl w:val="0"/>
          <w:numId w:val="4"/>
        </w:numPr>
        <w:bidi w:val="0"/>
        <w:spacing w:line="360" w:lineRule="auto"/>
        <w:ind w:left="0"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宋体"/>
          <w:kern w:val="0"/>
          <w:sz w:val="24"/>
        </w:rPr>
        <w:t>《信息技术服务 运行维护 第6部分：应用系统服务要求》（GB/T 28827.1-2022）</w:t>
      </w:r>
      <w:r>
        <w:rPr>
          <w:rFonts w:hint="default" w:ascii="Times New Roman" w:hAnsi="Times New Roman" w:eastAsia="宋体" w:cs="Times New Roman"/>
          <w:kern w:val="0"/>
          <w:sz w:val="24"/>
          <w:highlight w:val="none"/>
        </w:rPr>
        <w:t>。</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14" w:name="_Toc76043281"/>
      <w:bookmarkStart w:id="15" w:name="_Toc166138699"/>
      <w:bookmarkStart w:id="16" w:name="_Toc14219"/>
      <w:r>
        <w:rPr>
          <w:rFonts w:hint="default" w:ascii="Times New Roman" w:hAnsi="Times New Roman" w:eastAsia="黑体" w:cs="Times New Roman"/>
          <w:bCs/>
          <w:kern w:val="2"/>
          <w:sz w:val="28"/>
          <w:szCs w:val="32"/>
          <w:lang w:val="en-US" w:eastAsia="zh-CN" w:bidi="ar-SA"/>
        </w:rPr>
        <w:t>概算依据</w:t>
      </w:r>
      <w:bookmarkEnd w:id="14"/>
      <w:bookmarkEnd w:id="15"/>
      <w:bookmarkEnd w:id="16"/>
    </w:p>
    <w:p>
      <w:pPr>
        <w:numPr>
          <w:ilvl w:val="0"/>
          <w:numId w:val="5"/>
        </w:numPr>
        <w:bidi w:val="0"/>
        <w:spacing w:line="360" w:lineRule="auto"/>
        <w:ind w:left="0" w:leftChars="0"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lang w:val="en-US" w:eastAsia="zh-CN"/>
        </w:rPr>
        <w:t>岳阳市、临湘市历年来类似项目采购服务合同</w:t>
      </w:r>
      <w:r>
        <w:rPr>
          <w:rFonts w:hint="default" w:ascii="Times New Roman" w:hAnsi="Times New Roman" w:eastAsia="宋体" w:cs="宋体"/>
          <w:kern w:val="0"/>
          <w:sz w:val="24"/>
        </w:rPr>
        <w:t>；</w:t>
      </w:r>
    </w:p>
    <w:p>
      <w:pPr>
        <w:numPr>
          <w:ilvl w:val="0"/>
          <w:numId w:val="5"/>
        </w:numPr>
        <w:bidi w:val="0"/>
        <w:spacing w:line="360" w:lineRule="auto"/>
        <w:ind w:left="0" w:leftChars="0" w:firstLine="480" w:firstLineChars="200"/>
        <w:jc w:val="both"/>
        <w:rPr>
          <w:rFonts w:hint="default" w:ascii="Times New Roman" w:hAnsi="Times New Roman" w:eastAsia="宋体" w:cs="宋体"/>
          <w:kern w:val="0"/>
          <w:sz w:val="24"/>
        </w:rPr>
      </w:pPr>
      <w:bookmarkStart w:id="17" w:name="_Hlk181091609"/>
      <w:r>
        <w:rPr>
          <w:rFonts w:hint="default" w:ascii="Times New Roman" w:hAnsi="Times New Roman" w:eastAsia="宋体" w:cs="宋体"/>
          <w:kern w:val="0"/>
          <w:sz w:val="24"/>
        </w:rPr>
        <w:t>《湖南省省直单位政务信息系统项目概算编制与评审工作指南（试行）》（湘发改高技〔2022〕1056号）</w:t>
      </w:r>
      <w:bookmarkEnd w:id="17"/>
      <w:r>
        <w:rPr>
          <w:rFonts w:hint="default" w:ascii="Times New Roman" w:hAnsi="Times New Roman" w:eastAsia="宋体" w:cs="宋体"/>
          <w:kern w:val="0"/>
          <w:sz w:val="24"/>
        </w:rPr>
        <w:t>。</w:t>
      </w:r>
    </w:p>
    <w:p>
      <w:pPr>
        <w:numPr>
          <w:ilvl w:val="0"/>
          <w:numId w:val="5"/>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宋体"/>
          <w:kern w:val="0"/>
          <w:sz w:val="24"/>
          <w:lang w:val="en-US" w:eastAsia="zh-CN"/>
        </w:rPr>
        <w:t>《湖南省省直单位政府投资信息化项目预算编制与财政评审工作指南（试行）》（湘财办〔2024〕10号）</w:t>
      </w:r>
      <w:r>
        <w:rPr>
          <w:rFonts w:hint="default" w:ascii="Times New Roman" w:hAnsi="Times New Roman" w:eastAsia="宋体" w:cs="Times New Roman"/>
          <w:kern w:val="0"/>
          <w:sz w:val="24"/>
          <w:highlight w:val="none"/>
          <w:lang w:val="en-US" w:eastAsia="zh-CN"/>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18" w:name="_Toc8969"/>
      <w:r>
        <w:rPr>
          <w:rFonts w:hint="default" w:ascii="Times New Roman" w:hAnsi="Times New Roman" w:eastAsia="黑体" w:cs="Times New Roman"/>
          <w:bCs/>
          <w:kern w:val="2"/>
          <w:sz w:val="30"/>
          <w:szCs w:val="32"/>
          <w:lang w:val="en-US" w:eastAsia="zh-CN" w:bidi="ar-SA"/>
        </w:rPr>
        <w:t>项目绩效指标</w:t>
      </w:r>
      <w:bookmarkEnd w:id="18"/>
    </w:p>
    <w:p>
      <w:pPr>
        <w:spacing w:before="0" w:after="0" w:line="360" w:lineRule="auto"/>
        <w:ind w:firstLine="480" w:firstLineChars="200"/>
        <w:jc w:val="both"/>
        <w:rPr>
          <w:rFonts w:hint="default" w:ascii="Times New Roman" w:hAnsi="Times New Roman" w:eastAsia="宋体" w:cs="Times New Roman"/>
          <w:kern w:val="0"/>
          <w:sz w:val="24"/>
        </w:rPr>
      </w:pPr>
      <w:r>
        <w:rPr>
          <w:rFonts w:ascii="Times New Roman" w:hAnsi="Times New Roman" w:eastAsia="宋体" w:cs="宋体"/>
          <w:b w:val="0"/>
          <w:kern w:val="0"/>
          <w:sz w:val="24"/>
        </w:rPr>
        <w:t>项目为购买服务类项目，服务费用分年度概算为2026年度867.21万元、2027年度829.26万元、2028年度821.54万元，三年合计2518.01万元。</w:t>
      </w:r>
      <w:r>
        <w:rPr>
          <w:rFonts w:hint="eastAsia" w:ascii="宋体" w:hAnsi="宋体" w:eastAsia="宋体" w:cs="宋体"/>
          <w:kern w:val="0"/>
          <w:sz w:val="24"/>
        </w:rPr>
        <w:t>绩效指标设置以改革实施方案确定的"监测覆盖率、安全管理覆盖率、运维人员监管率、绩效评价覆盖率达100%，运维总费用再压减5%以上，90%以上常见运维故障智能预警、自动处置"等改革目标为基准，结合本项目</w:t>
      </w:r>
      <w:r>
        <w:rPr>
          <w:rFonts w:hint="eastAsia" w:ascii="宋体" w:hAnsi="宋体" w:eastAsia="宋体" w:cs="宋体"/>
          <w:kern w:val="0"/>
          <w:sz w:val="24"/>
          <w:lang w:val="en-US" w:eastAsia="zh-CN"/>
        </w:rPr>
        <w:t>六大服务类</w:t>
      </w:r>
      <w:r>
        <w:rPr>
          <w:rFonts w:hint="eastAsia" w:ascii="宋体" w:hAnsi="宋体" w:eastAsia="宋体" w:cs="宋体"/>
          <w:kern w:val="0"/>
          <w:sz w:val="24"/>
          <w:lang w:eastAsia="zh-CN"/>
        </w:rPr>
        <w:t>别</w:t>
      </w:r>
      <w:r>
        <w:rPr>
          <w:rFonts w:hint="eastAsia" w:ascii="宋体" w:hAnsi="宋体" w:eastAsia="宋体" w:cs="宋体"/>
          <w:kern w:val="0"/>
          <w:sz w:val="24"/>
        </w:rPr>
        <w:t>的产出与效益，从系统应用、系统质量、网络安全、项目管理、服务对象满意度五个方面设置</w:t>
      </w:r>
      <w:r>
        <w:rPr>
          <w:rFonts w:hint="default" w:ascii="Times New Roman" w:hAnsi="Times New Roman" w:eastAsia="宋体" w:cs="Times New Roman"/>
          <w:b w:val="0"/>
          <w:kern w:val="0"/>
          <w:sz w:val="24"/>
        </w:rPr>
        <w:t>。</w:t>
      </w:r>
    </w:p>
    <w:p>
      <w:pPr>
        <w:widowControl w:val="0"/>
        <w:spacing w:before="120" w:after="40"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1.7</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w:t>
      </w:r>
      <w:r>
        <w:rPr>
          <w:rFonts w:hint="default" w:ascii="Times New Roman" w:hAnsi="Times New Roman" w:eastAsia="黑体" w:cs="Times New Roman"/>
          <w:sz w:val="20"/>
          <w:szCs w:val="24"/>
          <w:lang w:val="en-US" w:eastAsia="zh-CN" w:bidi="ar-SA"/>
        </w:rPr>
        <w:t>项目绩效指标表</w:t>
      </w:r>
    </w:p>
    <w:tbl>
      <w:tblPr>
        <w:tblStyle w:val="5"/>
        <w:tblW w:w="8528" w:type="dxa"/>
        <w:jc w:val="center"/>
        <w:tblInd w:w="0" w:type="dxa"/>
        <w:tblLayout w:type="fixed"/>
        <w:tblCellMar>
          <w:top w:w="0" w:type="dxa"/>
          <w:left w:w="108" w:type="dxa"/>
          <w:bottom w:w="0" w:type="dxa"/>
          <w:right w:w="108" w:type="dxa"/>
        </w:tblCellMar>
      </w:tblPr>
      <w:tblGrid>
        <w:gridCol w:w="700"/>
        <w:gridCol w:w="1062"/>
        <w:gridCol w:w="1536"/>
        <w:gridCol w:w="2247"/>
        <w:gridCol w:w="2983"/>
      </w:tblGrid>
      <w:tr>
        <w:tblPrEx>
          <w:tblLayout w:type="fixed"/>
        </w:tblPrEx>
        <w:trPr>
          <w:tblHeade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序号</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一级指标</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二级指标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三级指标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指标值（年度）</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系统应用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业务整体指标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纳入统一运维的信息系统数量</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18个</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系统应用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业务整体指标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纳入统一运维的网络链路数量</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3172条</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系统应用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业务整体指标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纳入统一运维的前端感知及IT设备数量</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系统应用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业务整体指标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服务使用单位数量</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党政机关企事业单位（69 个市直单位、14 个镇街、161 个村社）</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系统应用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应用与推广情况</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运维总费用降本率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较上一年度压减5%以上</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系统应用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应用与推广情况</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使用单位服务满意度</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≥95%</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系统质量</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系统性能</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政务网络可用性</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≥99.9%</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系统质量</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系统性能</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信息系统在线率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核心业务系统≥99.9%，一般系统≥99%</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系统质量</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系统性能</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常见运维故障智能预警、自动处置率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≥90%</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系统质量</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系统性能</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监测覆盖率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100%</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11</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系统质量</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数据质量</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运维台账、资产账、人员账"三本账"完整率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100%，动态更新</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12</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系统质量</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数据共享与开放</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运维数据接入省级运安平台率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100%，实现全面贯通</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13</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系统质量</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系统升级及优化整合</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存量低效资源清理</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僵尸系统、低效应用、闲置资源清零，形成清理清单</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14</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网络安全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安全指标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安全管理覆盖率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100%</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网络安全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安全指标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故障响应时间</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≤30分钟响应，一般故障24小时内修复</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网络安全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备份能力</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核心业务数据备份策略</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按系统重要程度实行每日增量、每周全量备份，RTO≤4小时、RPO≤24小时</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17</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网络安全</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安全指标</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全年重大网络安全事件</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零发生</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18</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项目管理</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项目进度</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服务期限与年度合同签订</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36个月，每年度12个月，按期签订率100%</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19</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项目管理</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资金使用计划</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资金按计划执行率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按年度预算和考核结果拨付，执行率100%</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项目管理</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项目进度</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运维人员监管率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100%，人员实名备案、在岗可查</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21</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项目管理</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资金使用计划</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绩效评价覆盖率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100%，实行按绩效付费</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22</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服务对象满意度</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服务对象满意度</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使用单位对运维服务满意度</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≥95%</w:t>
            </w:r>
          </w:p>
        </w:tc>
      </w:tr>
      <w:tr>
        <w:tblPrEx>
          <w:tblLayout w:type="fixed"/>
          <w:tblCellMar>
            <w:top w:w="0" w:type="dxa"/>
            <w:left w:w="108" w:type="dxa"/>
            <w:bottom w:w="0" w:type="dxa"/>
            <w:right w:w="108"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23</w:t>
            </w:r>
          </w:p>
        </w:tc>
        <w:tc>
          <w:tcPr>
            <w:tcW w:w="106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服务对象满意度</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服务对象满意度</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故障处理及时率</w:t>
            </w:r>
          </w:p>
        </w:tc>
        <w:tc>
          <w:tcPr>
            <w:tcW w:w="2983"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≥98%</w:t>
            </w:r>
          </w:p>
        </w:tc>
      </w:tr>
    </w:tbl>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19" w:name="_Toc143"/>
      <w:r>
        <w:rPr>
          <w:rFonts w:hint="default" w:ascii="Times New Roman" w:hAnsi="Times New Roman" w:eastAsia="黑体" w:cs="Times New Roman"/>
          <w:bCs/>
          <w:kern w:val="2"/>
          <w:sz w:val="30"/>
          <w:szCs w:val="32"/>
          <w:lang w:val="en-US" w:eastAsia="zh-CN" w:bidi="ar-SA"/>
        </w:rPr>
        <w:t>项目服务内容、服务规模、服务地点、服务期限</w:t>
      </w:r>
      <w:bookmarkEnd w:id="19"/>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20" w:name="_Toc21423"/>
      <w:r>
        <w:rPr>
          <w:rFonts w:hint="default" w:ascii="Times New Roman" w:hAnsi="Times New Roman" w:eastAsia="黑体" w:cs="Times New Roman"/>
          <w:bCs/>
          <w:kern w:val="2"/>
          <w:sz w:val="28"/>
          <w:szCs w:val="32"/>
          <w:lang w:val="en-US" w:eastAsia="zh-CN" w:bidi="ar-SA"/>
        </w:rPr>
        <w:t>服务内容</w:t>
      </w:r>
      <w:bookmarkEnd w:id="20"/>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本项目服务内容为临湘市非涉密政务信息系统一体化运维及网络安全技术服务，按服务类别划分为信息系统运维</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eastAsia="zh-CN"/>
        </w:rPr>
        <w:t>网络线路租赁与运维管理服务</w:t>
      </w:r>
      <w:r>
        <w:rPr>
          <w:rFonts w:hint="default" w:ascii="Times New Roman" w:hAnsi="Times New Roman" w:eastAsia="宋体" w:cs="Times New Roman"/>
          <w:b w:val="0"/>
          <w:kern w:val="0"/>
          <w:sz w:val="24"/>
        </w:rPr>
        <w:t>、硬件设备运维</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、设备更新替换</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、云资源租赁</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eastAsia="zh-CN"/>
        </w:rPr>
        <w:t>其他服务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val="en-US" w:eastAsia="zh-CN"/>
        </w:rPr>
        <w:t>共计六类。</w:t>
      </w:r>
      <w:r>
        <w:rPr>
          <w:rFonts w:hint="default" w:ascii="Times New Roman" w:hAnsi="Times New Roman" w:eastAsia="宋体" w:cs="Times New Roman"/>
          <w:b w:val="0"/>
          <w:kern w:val="0"/>
          <w:sz w:val="24"/>
        </w:rPr>
        <w:t>具体如下：</w:t>
      </w:r>
    </w:p>
    <w:p>
      <w:pPr>
        <w:numPr>
          <w:ilvl w:val="0"/>
          <w:numId w:val="6"/>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信息系统运维服务。对全市18个非涉密政务信息系统提供运维服务，包括系统日常巡检、故障响应与处理、数据备份与恢复、性能优化、版本升级、安全加固、技术支持、培训指导等，保障财政核算、社会保障、房地产市场监管、交通治超、校车安全监管、应急指挥、政务公开等核心业务连续稳定运行。</w:t>
      </w:r>
    </w:p>
    <w:p>
      <w:pPr>
        <w:numPr>
          <w:ilvl w:val="0"/>
          <w:numId w:val="6"/>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eastAsia" w:ascii="Times New Roman" w:hAnsi="Times New Roman" w:eastAsia="宋体" w:cs="Times New Roman"/>
          <w:b w:val="0"/>
          <w:kern w:val="0"/>
          <w:sz w:val="24"/>
          <w:lang w:eastAsia="zh-CN"/>
        </w:rPr>
        <w:t>网络线路租赁与运维管理服务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val="en-US" w:eastAsia="zh-CN"/>
        </w:rPr>
        <w:t>主要</w:t>
      </w:r>
      <w:r>
        <w:rPr>
          <w:rFonts w:hint="default" w:ascii="Times New Roman" w:hAnsi="Times New Roman" w:eastAsia="宋体" w:cs="Times New Roman"/>
          <w:b w:val="0"/>
          <w:kern w:val="0"/>
          <w:sz w:val="24"/>
        </w:rPr>
        <w:t>包含网络线路租赁与</w:t>
      </w:r>
      <w:r>
        <w:rPr>
          <w:rFonts w:hint="eastAsia" w:ascii="Times New Roman" w:hAnsi="Times New Roman" w:eastAsia="宋体" w:cs="Times New Roman"/>
          <w:b w:val="0"/>
          <w:kern w:val="0"/>
          <w:sz w:val="24"/>
          <w:lang w:eastAsia="zh-CN"/>
        </w:rPr>
        <w:t>网络运维管理</w:t>
      </w:r>
      <w:r>
        <w:rPr>
          <w:rFonts w:hint="default" w:ascii="Times New Roman" w:hAnsi="Times New Roman" w:eastAsia="宋体" w:cs="Times New Roman"/>
          <w:b w:val="0"/>
          <w:kern w:val="0"/>
          <w:sz w:val="24"/>
        </w:rPr>
        <w:t>两项</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内容。</w:t>
      </w:r>
    </w:p>
    <w:p>
      <w:pPr>
        <w:numPr>
          <w:ilvl w:val="0"/>
          <w:numId w:val="7"/>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网络线路租赁</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lang w:val="en-US" w:eastAsia="zh-CN"/>
        </w:rPr>
        <w:t>对全市各委办局、乡镇（街道）及村（社区）政务网络链路提供租赁服务，共计3172条，涵盖电子政务外网应用数据专线、本地数据专线、教育云专网、云视讯专网、前端感知设备数据专线、国家省市数据专线、互联网出口、校园一键报警专网、物联网卡及裸纤等类型。服务内容包括线路租用、开通调测、日常运行维护、故障修复、新增迁移开通、网络流量安全分析及重大活动网络保障等</w:t>
      </w:r>
      <w:r>
        <w:rPr>
          <w:rFonts w:hint="default" w:ascii="Times New Roman" w:hAnsi="Times New Roman" w:eastAsia="宋体" w:cs="Times New Roman"/>
          <w:b w:val="0"/>
          <w:kern w:val="0"/>
          <w:sz w:val="24"/>
        </w:rPr>
        <w:t>。</w:t>
      </w:r>
    </w:p>
    <w:p>
      <w:pPr>
        <w:numPr>
          <w:ilvl w:val="0"/>
          <w:numId w:val="7"/>
        </w:numPr>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网络运维管理服务</w:t>
      </w:r>
      <w:r>
        <w:rPr>
          <w:rFonts w:hint="default" w:ascii="Times New Roman" w:hAnsi="Times New Roman" w:eastAsia="宋体" w:cs="Times New Roman"/>
          <w:kern w:val="0"/>
          <w:sz w:val="24"/>
          <w:highlight w:val="none"/>
          <w:lang w:val="en-US" w:eastAsia="zh-CN"/>
        </w:rPr>
        <w:t>。</w:t>
      </w:r>
      <w:r>
        <w:rPr>
          <w:rFonts w:hint="eastAsia" w:ascii="Times New Roman" w:hAnsi="Times New Roman" w:eastAsia="宋体" w:cs="Times New Roman"/>
          <w:kern w:val="0"/>
          <w:sz w:val="24"/>
          <w:highlight w:val="none"/>
          <w:lang w:val="en-US" w:eastAsia="zh-CN"/>
        </w:rPr>
        <w:t>租赁网络运维管理</w:t>
      </w:r>
      <w:r>
        <w:rPr>
          <w:rFonts w:hint="default" w:ascii="Times New Roman" w:hAnsi="Times New Roman" w:eastAsia="宋体" w:cs="Times New Roman"/>
          <w:kern w:val="0"/>
          <w:sz w:val="24"/>
          <w:highlight w:val="none"/>
          <w:lang w:val="en-US" w:eastAsia="zh-CN"/>
        </w:rPr>
        <w:t>服务，将全市纳入统一运维的政务网络链路实行统一平台、统一流程、统一监管，提供链路资源数字化台账、故障全流程闭环管理、跨部门协同调度、监控告警联动处置、运维统计报表与管理驾驶舱、大屏可视化展示等服务能力，支撑各使用单位协同开展链路运维，实现运维台账、故障处置、考核数据全程线上化、可追溯。</w:t>
      </w:r>
    </w:p>
    <w:p>
      <w:pPr>
        <w:numPr>
          <w:ilvl w:val="0"/>
          <w:numId w:val="6"/>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硬件设备运维服务。对前端感知设备、IT 设备、政务大厅终端、机房配套设备等</w:t>
      </w:r>
      <w:r>
        <w:rPr>
          <w:rFonts w:hint="default" w:ascii="Times New Roman" w:hAnsi="Times New Roman" w:eastAsia="宋体" w:cs="Times New Roman"/>
          <w:b w:val="0"/>
          <w:kern w:val="0"/>
          <w:sz w:val="24"/>
          <w:lang w:val="en-US" w:eastAsia="zh-CN"/>
        </w:rPr>
        <w:t>相关项目配套设备</w:t>
      </w:r>
      <w:r>
        <w:rPr>
          <w:rFonts w:hint="default" w:ascii="Times New Roman" w:hAnsi="Times New Roman" w:eastAsia="宋体" w:cs="Times New Roman"/>
          <w:b w:val="0"/>
          <w:kern w:val="0"/>
          <w:sz w:val="24"/>
        </w:rPr>
        <w:t>提供保养清洁、巡检排查、故障响应、设备更换、重大事件保障等服务。</w:t>
      </w:r>
    </w:p>
    <w:p>
      <w:pPr>
        <w:numPr>
          <w:ilvl w:val="0"/>
          <w:numId w:val="6"/>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设备更新替换服务。对达到使用年限、技术落后或存在安全隐患且无法通过维修恢复功能的设备实施更新替换，本期包括防汛抗旱救灾主题场景应用一期建设项目设备更新与山塘水库防溺水视频监控平台端摄像头修复两个项目。</w:t>
      </w:r>
    </w:p>
    <w:p>
      <w:pPr>
        <w:numPr>
          <w:ilvl w:val="0"/>
          <w:numId w:val="6"/>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云资源租赁服务。为上云的政务信息系统提供计算、存储等云资源租赁服务，包括虚拟机、vCPU、内存、块存储等资源的开通、配置、监控、扩容及运行保障。</w:t>
      </w:r>
    </w:p>
    <w:p>
      <w:pPr>
        <w:numPr>
          <w:ilvl w:val="0"/>
          <w:numId w:val="6"/>
        </w:numPr>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b w:val="0"/>
          <w:kern w:val="0"/>
          <w:sz w:val="24"/>
          <w:lang w:eastAsia="zh-CN"/>
        </w:rPr>
        <w:t>其他服务</w:t>
      </w:r>
      <w:r>
        <w:rPr>
          <w:rFonts w:hint="default" w:ascii="Times New Roman" w:hAnsi="Times New Roman" w:eastAsia="宋体" w:cs="Times New Roman"/>
          <w:b w:val="0"/>
          <w:kern w:val="0"/>
          <w:sz w:val="24"/>
        </w:rPr>
        <w:t>。</w:t>
      </w:r>
      <w:r>
        <w:rPr>
          <w:rFonts w:hint="default" w:ascii="Times New Roman" w:hAnsi="Times New Roman" w:eastAsia="宋体" w:cs="Times New Roman"/>
          <w:kern w:val="0"/>
          <w:sz w:val="24"/>
          <w:szCs w:val="24"/>
        </w:rPr>
        <w:t>包含网络安全等级保护测评、前端视频监控设备用电、机房信息化设备用电等保障性服务</w:t>
      </w:r>
      <w:r>
        <w:rPr>
          <w:rFonts w:hint="default" w:ascii="Times New Roman" w:hAnsi="Times New Roman" w:eastAsia="宋体" w:cs="Times New Roman"/>
          <w:kern w:val="0"/>
          <w:sz w:val="24"/>
          <w:highlight w:val="none"/>
          <w:lang w:val="en-US" w:eastAsia="zh-CN"/>
        </w:rPr>
        <w:t>。</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21" w:name="_Toc29734"/>
      <w:r>
        <w:rPr>
          <w:rFonts w:hint="default" w:ascii="Times New Roman" w:hAnsi="Times New Roman" w:eastAsia="黑体" w:cs="Times New Roman"/>
          <w:bCs/>
          <w:kern w:val="2"/>
          <w:sz w:val="28"/>
          <w:szCs w:val="32"/>
          <w:lang w:val="en-US" w:eastAsia="zh-CN" w:bidi="ar-SA"/>
        </w:rPr>
        <w:t>服务规模</w:t>
      </w:r>
      <w:bookmarkEnd w:id="21"/>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本项目服务规模如下表所示：</w:t>
      </w:r>
    </w:p>
    <w:p>
      <w:pPr>
        <w:widowControl w:val="0"/>
        <w:spacing w:before="120" w:after="40"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1.8</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w:t>
      </w:r>
      <w:r>
        <w:rPr>
          <w:rFonts w:hint="default" w:ascii="Times New Roman" w:hAnsi="Times New Roman" w:eastAsia="黑体" w:cs="Times New Roman"/>
          <w:sz w:val="20"/>
          <w:szCs w:val="24"/>
          <w:lang w:val="en-US" w:eastAsia="zh-CN" w:bidi="ar-SA"/>
        </w:rPr>
        <w:t>服务规模一览表</w:t>
      </w:r>
    </w:p>
    <w:tbl>
      <w:tblPr>
        <w:tblStyle w:val="5"/>
        <w:tblW w:w="8528" w:type="dxa"/>
        <w:jc w:val="center"/>
        <w:tblInd w:w="0" w:type="dxa"/>
        <w:tblLayout w:type="fixed"/>
        <w:tblCellMar>
          <w:top w:w="0" w:type="dxa"/>
          <w:left w:w="108" w:type="dxa"/>
          <w:bottom w:w="0" w:type="dxa"/>
          <w:right w:w="108" w:type="dxa"/>
        </w:tblCellMar>
      </w:tblPr>
      <w:tblGrid>
        <w:gridCol w:w="787"/>
        <w:gridCol w:w="1346"/>
        <w:gridCol w:w="1087"/>
        <w:gridCol w:w="1088"/>
        <w:gridCol w:w="4220"/>
      </w:tblGrid>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序号</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服务类别</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服务规模</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计量单位</w:t>
            </w:r>
          </w:p>
        </w:tc>
        <w:tc>
          <w:tcPr>
            <w:tcW w:w="422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备注</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信息系统运维</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18</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个系统</w:t>
            </w:r>
          </w:p>
        </w:tc>
        <w:tc>
          <w:tcPr>
            <w:tcW w:w="422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覆盖市财政局、人社局、住建局、数据局等9个单位</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网络线路租赁与运维管理服务</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3172条链路、1套平台</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条、套</w:t>
            </w:r>
          </w:p>
        </w:tc>
        <w:tc>
          <w:tcPr>
            <w:tcW w:w="422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含电子政务外网、本地数据专线、教育云专网、云视讯专网、校园一键报警专网、物联网卡、裸纤等类型；</w:t>
            </w:r>
            <w:r>
              <w:rPr>
                <w:rFonts w:hint="eastAsia" w:ascii="Times New Roman" w:hAnsi="Times New Roman" w:eastAsia="宋体" w:cs="宋体"/>
                <w:sz w:val="21"/>
                <w:szCs w:val="24"/>
                <w:lang w:val="en-US" w:eastAsia="zh-CN" w:bidi="ar-SA"/>
              </w:rPr>
              <w:t>网络运维管理</w:t>
            </w:r>
            <w:r>
              <w:rPr>
                <w:rFonts w:hint="default" w:ascii="Times New Roman" w:hAnsi="Times New Roman" w:eastAsia="宋体" w:cs="宋体"/>
                <w:sz w:val="21"/>
                <w:szCs w:val="24"/>
                <w:lang w:val="en-US" w:eastAsia="zh-CN" w:bidi="ar-SA"/>
              </w:rPr>
              <w:t>1套，含平台底座及六大业务功能（故障闭环、协同调度、链路台账、监控告警、统计驾驶舱、大屏可视化）</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硬件设备运维</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13</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w:t>
            </w:r>
          </w:p>
        </w:tc>
        <w:tc>
          <w:tcPr>
            <w:tcW w:w="422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视频监控、其他前端感知、配套设施、IT设备等相关设备</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设备更新替换</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个项目</w:t>
            </w:r>
          </w:p>
        </w:tc>
        <w:tc>
          <w:tcPr>
            <w:tcW w:w="422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防汛抗旱一期建设、山塘水库摄像头修复</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云资源租赁</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33</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台虚拟机</w:t>
            </w:r>
          </w:p>
        </w:tc>
        <w:tc>
          <w:tcPr>
            <w:tcW w:w="422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vCPU 200核、内存668GB、块存储17700GB，服务10个上云系统</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其他服务</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w:t>
            </w:r>
          </w:p>
        </w:tc>
        <w:tc>
          <w:tcPr>
            <w:tcW w:w="422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等保测评1项、前端及运维电费1项、机房电费1项</w:t>
            </w:r>
          </w:p>
        </w:tc>
      </w:tr>
    </w:tbl>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22" w:name="_Toc28265"/>
      <w:r>
        <w:rPr>
          <w:rFonts w:hint="default" w:ascii="Times New Roman" w:hAnsi="Times New Roman" w:eastAsia="黑体" w:cs="Times New Roman"/>
          <w:bCs/>
          <w:kern w:val="2"/>
          <w:sz w:val="28"/>
          <w:szCs w:val="32"/>
          <w:lang w:val="en-US" w:eastAsia="zh-CN" w:bidi="ar-SA"/>
        </w:rPr>
        <w:t>服务地点</w:t>
      </w:r>
      <w:bookmarkEnd w:id="22"/>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b w:val="0"/>
          <w:kern w:val="0"/>
          <w:sz w:val="24"/>
        </w:rPr>
        <w:t>本项目服务地点为临湘市行政区域范围，具体包括：市级政务数据中心机房、各市直单位办公场所及业务机房、各乡镇（街道）及村（社区）政务服务场所、全市前端感知设备部署点位（含城区道路、山林水库、矿山、园区等）、教育、医疗、水利等行业专网接入点位，以及市级政务云平台资源节点</w:t>
      </w:r>
      <w:r>
        <w:rPr>
          <w:rFonts w:hint="default" w:ascii="Times New Roman" w:hAnsi="Times New Roman" w:eastAsia="宋体" w:cs="Times New Roman"/>
          <w:kern w:val="0"/>
          <w:sz w:val="24"/>
          <w:highlight w:val="none"/>
          <w:lang w:val="en-US" w:eastAsia="zh-CN"/>
        </w:rPr>
        <w:t>。</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23" w:name="_Toc12574"/>
      <w:r>
        <w:rPr>
          <w:rFonts w:hint="default" w:ascii="Times New Roman" w:hAnsi="Times New Roman" w:eastAsia="黑体" w:cs="Times New Roman"/>
          <w:bCs/>
          <w:kern w:val="2"/>
          <w:sz w:val="28"/>
          <w:szCs w:val="32"/>
          <w:lang w:val="en-US" w:eastAsia="zh-CN" w:bidi="ar-SA"/>
        </w:rPr>
        <w:t>服务期限</w:t>
      </w:r>
      <w:bookmarkEnd w:id="23"/>
    </w:p>
    <w:p>
      <w:pPr>
        <w:widowControl w:val="0"/>
        <w:spacing w:line="360" w:lineRule="auto"/>
        <w:ind w:firstLine="480" w:firstLineChars="200"/>
        <w:jc w:val="both"/>
        <w:rPr>
          <w:rFonts w:hint="default" w:ascii="Times New Roman" w:hAnsi="Times New Roman" w:eastAsia="宋体" w:cs="Times New Roman"/>
          <w:sz w:val="24"/>
          <w:szCs w:val="24"/>
          <w:highlight w:val="none"/>
          <w:lang w:val="en-US" w:eastAsia="zh-CN" w:bidi="ar-SA"/>
        </w:rPr>
      </w:pPr>
      <w:r>
        <w:rPr>
          <w:rFonts w:hint="default" w:ascii="Times New Roman" w:hAnsi="Times New Roman" w:eastAsia="宋体" w:cs="宋体"/>
          <w:sz w:val="24"/>
          <w:szCs w:val="24"/>
          <w:lang w:val="en-US" w:eastAsia="zh-CN" w:bidi="ar-SA"/>
        </w:rPr>
        <w:t>服务期限为36个月（2026年至2028年，每年度服务期限12个月）</w:t>
      </w:r>
      <w:r>
        <w:rPr>
          <w:rFonts w:hint="default" w:ascii="Times New Roman" w:hAnsi="Times New Roman" w:eastAsia="宋体" w:cs="Times New Roman"/>
          <w:sz w:val="24"/>
          <w:szCs w:val="24"/>
          <w:highlight w:val="none"/>
          <w:lang w:val="en-US" w:eastAsia="zh-CN" w:bidi="ar-SA"/>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24" w:name="_Toc18231"/>
      <w:r>
        <w:rPr>
          <w:rFonts w:hint="default" w:ascii="Times New Roman" w:hAnsi="Times New Roman" w:eastAsia="黑体" w:cs="Times New Roman"/>
          <w:bCs/>
          <w:kern w:val="2"/>
          <w:sz w:val="30"/>
          <w:szCs w:val="32"/>
          <w:lang w:val="en-US" w:eastAsia="zh-CN" w:bidi="ar-SA"/>
        </w:rPr>
        <w:t>项目总投资、资金来源、资金使用计划</w:t>
      </w:r>
      <w:bookmarkEnd w:id="24"/>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本项目按照3年服务期限计算，2026年度服务金额为867.21万元，其中信息系统运维费用为230.03万元；</w:t>
      </w:r>
      <w:r>
        <w:rPr>
          <w:rFonts w:hint="eastAsia" w:ascii="Times New Roman" w:hAnsi="Times New Roman" w:eastAsia="宋体" w:cs="Times New Roman"/>
          <w:kern w:val="0"/>
          <w:sz w:val="24"/>
          <w:highlight w:val="none"/>
          <w:lang w:val="en-US" w:eastAsia="zh-CN"/>
        </w:rPr>
        <w:t>网络线路租赁与运维管理服务费用为</w:t>
      </w:r>
      <w:r>
        <w:rPr>
          <w:rFonts w:hint="eastAsia" w:ascii="Times New Roman" w:hAnsi="Times New Roman" w:eastAsia="宋体" w:cs="宋体"/>
          <w:kern w:val="0"/>
          <w:sz w:val="24"/>
        </w:rPr>
        <w:t>364.39</w:t>
      </w:r>
      <w:r>
        <w:rPr>
          <w:rFonts w:hint="eastAsia" w:ascii="Times New Roman" w:hAnsi="Times New Roman" w:eastAsia="宋体" w:cs="宋体"/>
          <w:kern w:val="0"/>
          <w:sz w:val="24"/>
          <w:lang w:val="en-US" w:eastAsia="zh-CN"/>
        </w:rPr>
        <w:t>万元</w:t>
      </w:r>
      <w:r>
        <w:rPr>
          <w:rFonts w:hint="default" w:ascii="Times New Roman" w:hAnsi="Times New Roman" w:eastAsia="宋体" w:cs="Times New Roman"/>
          <w:kern w:val="0"/>
          <w:sz w:val="24"/>
          <w:highlight w:val="none"/>
          <w:lang w:val="en-US" w:eastAsia="zh-CN"/>
        </w:rPr>
        <w:t>；硬件设备运维费用136.90万元；设备更新替换费用67.00万元；云资源租赁服务费用35.00万元；其他服务运维费用33.89万元。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2027、2028年度，信息系统运维、网络线路租赁与运维管理服务、硬件设备运维、云资源租赁、其他服务等日常运维类服务维持2026年度服务标准与服务规模，年度费用800.21万元保持不变；设备更新替换费用不再按2026年度标准重复列支，按一次性投入、备品备件、服务性支出三类分年度据实测算：一次性投入类（软件功能模块、视频通道授权等）属一次性实施内容，2026年度实施完成后即行结束，2027、2028年度不再列支；备品备件类按存量设备分年度更换率测算，用于存量老旧设备故障更换，按实际发生据实结算并执行中标单价，未发生更换的备件结转下一年度继续使用，不重复计费；服务性支出类按年度延续列支。据此测算，设备更新替换费用2027年度为29.05万元、2028年度为21.33万元</w:t>
      </w:r>
      <w:r>
        <w:rPr>
          <w:rFonts w:hint="eastAsia" w:ascii="Times New Roman" w:hAnsi="Times New Roman" w:eastAsia="宋体" w:cs="Times New Roman"/>
          <w:kern w:val="0"/>
          <w:sz w:val="24"/>
          <w:highlight w:val="none"/>
          <w:lang w:val="en-US" w:eastAsia="zh-CN"/>
        </w:rPr>
        <w:t>，即</w:t>
      </w:r>
      <w:r>
        <w:rPr>
          <w:rFonts w:hint="default" w:ascii="Times New Roman" w:hAnsi="Times New Roman" w:eastAsia="宋体" w:cs="Times New Roman"/>
          <w:kern w:val="0"/>
          <w:sz w:val="24"/>
          <w:highlight w:val="none"/>
          <w:lang w:val="en-US" w:eastAsia="zh-CN"/>
        </w:rPr>
        <w:t>2027年度服务金额为829.26万元，2028年度服务金额为821.54万元</w:t>
      </w:r>
      <w:r>
        <w:rPr>
          <w:rFonts w:hint="eastAsia" w:ascii="Times New Roman" w:hAnsi="Times New Roman" w:eastAsia="宋体" w:cs="Times New Roman"/>
          <w:kern w:val="0"/>
          <w:sz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三年服务总金额为2518.01万元。</w:t>
      </w: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rPr>
        <w:t>资金来源</w:t>
      </w:r>
      <w:r>
        <w:rPr>
          <w:rFonts w:hint="default" w:ascii="Times New Roman" w:hAnsi="Times New Roman" w:eastAsia="宋体" w:cs="Times New Roman"/>
          <w:kern w:val="0"/>
          <w:sz w:val="24"/>
          <w:highlight w:val="none"/>
          <w:lang w:val="en-US" w:eastAsia="zh-CN"/>
        </w:rPr>
        <w:t>于临湘市</w:t>
      </w:r>
      <w:r>
        <w:rPr>
          <w:rFonts w:hint="default" w:ascii="Times New Roman" w:hAnsi="Times New Roman" w:eastAsia="宋体" w:cs="Times New Roman"/>
          <w:kern w:val="0"/>
          <w:sz w:val="24"/>
          <w:highlight w:val="none"/>
        </w:rPr>
        <w:t>市本级财政资金。</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资金使用计划按年度合同约定分期支付，结合服务进度和验收情况拨付。</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25" w:name="_Toc21040"/>
      <w:r>
        <w:rPr>
          <w:rFonts w:hint="default" w:ascii="Times New Roman" w:hAnsi="Times New Roman" w:eastAsia="黑体" w:cs="Times New Roman"/>
          <w:bCs/>
          <w:kern w:val="2"/>
          <w:sz w:val="30"/>
          <w:szCs w:val="32"/>
          <w:lang w:val="en-US" w:eastAsia="zh-CN" w:bidi="ar-SA"/>
        </w:rPr>
        <w:t>主要结论和建议</w:t>
      </w:r>
      <w:bookmarkEnd w:id="25"/>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26" w:name="_Toc20904"/>
      <w:r>
        <w:rPr>
          <w:rFonts w:hint="default" w:ascii="Times New Roman" w:hAnsi="Times New Roman" w:eastAsia="黑体" w:cs="Times New Roman"/>
          <w:bCs/>
          <w:kern w:val="2"/>
          <w:sz w:val="28"/>
          <w:szCs w:val="32"/>
          <w:lang w:val="en-US" w:eastAsia="zh-CN" w:bidi="ar-SA"/>
        </w:rPr>
        <w:t>主要结论</w:t>
      </w:r>
      <w:bookmarkEnd w:id="26"/>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27" w:name="_Toc6535"/>
      <w:r>
        <w:rPr>
          <w:rFonts w:hint="default" w:ascii="Times New Roman" w:hAnsi="Times New Roman" w:eastAsia="黑体" w:cs="Times New Roman"/>
          <w:bCs/>
          <w:kern w:val="2"/>
          <w:sz w:val="28"/>
          <w:szCs w:val="32"/>
          <w:lang w:val="en-US" w:eastAsia="zh-CN" w:bidi="ar-SA"/>
        </w:rPr>
        <w:t>主要建议</w:t>
      </w:r>
      <w:bookmarkEnd w:id="27"/>
    </w:p>
    <w:p>
      <w:pPr>
        <w:numPr>
          <w:ilvl w:val="0"/>
          <w:numId w:val="8"/>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资金保障方面。建议市财政局将本项目年度服务费用足额纳入年度预算安排，按照改革实施方案确定的经费管理机制，由市数据局向市财政局提出使用申请、按规定程序拨付，避免因经费拨付滞后影响运维服务连续性。</w:t>
      </w:r>
    </w:p>
    <w:p>
      <w:pPr>
        <w:numPr>
          <w:ilvl w:val="0"/>
          <w:numId w:val="8"/>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服务衔接方面。全市存量运维合同大部分于2025年底到期，与本项目计划实施存在时间差。建议加快立项、财政评审、采购等前期工作进度，合理设置招标周期，统筹安排过渡期运维，避免出现服务断档影响财政核算、社会保障、房地产市场监管等核心业务。</w:t>
      </w:r>
    </w:p>
    <w:p>
      <w:pPr>
        <w:numPr>
          <w:ilvl w:val="0"/>
          <w:numId w:val="8"/>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遗留问题方面。按照改革实施方案要求，现有非涉密项目运维、安全管理等相关经费暂无来源的，由市数据局对历史遗留问题进行清理后，再由市财政局统筹明确。建议在本项目实施前完成清理，避免本项目实施范围与既有经费渠道重复安排或遗漏安排。</w:t>
      </w:r>
    </w:p>
    <w:p>
      <w:pPr>
        <w:numPr>
          <w:ilvl w:val="0"/>
          <w:numId w:val="8"/>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联合体管理方面。本项目服务内容涉及软件运维、通信线路租赁、网络安全等不同资质领域，采用联合体形式招标。建议在招标文件中明确联合体分工界面、牵头方义务及连带责任，要求联合体设立统一服务接口、统一台账管理，防范履约风险。</w:t>
      </w:r>
    </w:p>
    <w:p>
      <w:pPr>
        <w:numPr>
          <w:ilvl w:val="0"/>
          <w:numId w:val="8"/>
        </w:numPr>
        <w:spacing w:line="360" w:lineRule="auto"/>
        <w:ind w:left="0" w:leftChars="0"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lang w:val="en-US" w:eastAsia="zh-CN"/>
        </w:rPr>
        <w:t>考核机制方面。建议在合同签订前同步出台运维服务考核细则，明确响应时限、系统在线率、用户满意度等SLA指标及考核频次、结果运用，考核结果与费用结算、年度合同续签挂钩，落实绩效评价覆盖率100%的改革要求。</w:t>
      </w:r>
    </w:p>
    <w:p>
      <w:pPr>
        <w:rPr>
          <w:rFonts w:hint="default" w:ascii="Times New Roman" w:hAnsi="Times New Roman" w:cs="Times New Roman"/>
          <w:highlight w:val="none"/>
        </w:rPr>
        <w:sectPr>
          <w:footerReference r:id="rId3" w:type="default"/>
          <w:pgSz w:w="11906" w:h="16838"/>
          <w:pgMar w:top="1440" w:right="1797" w:bottom="1440" w:left="1797" w:header="794" w:footer="397" w:gutter="0"/>
          <w:pgNumType w:fmt="decimal"/>
          <w:cols w:space="720" w:num="1"/>
          <w:docGrid w:linePitch="326" w:charSpace="0"/>
        </w:sectPr>
      </w:pP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28" w:name="_Toc22890"/>
      <w:r>
        <w:rPr>
          <w:rFonts w:hint="default" w:ascii="Times New Roman" w:hAnsi="Times New Roman" w:eastAsia="黑体" w:cs="Times New Roman"/>
          <w:b/>
          <w:bCs/>
          <w:kern w:val="44"/>
          <w:sz w:val="32"/>
          <w:szCs w:val="44"/>
          <w:lang w:val="en-US" w:eastAsia="zh-CN" w:bidi="ar-SA"/>
        </w:rPr>
        <w:t>项目单位概况</w:t>
      </w:r>
      <w:bookmarkEnd w:id="28"/>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29" w:name="_Toc5014"/>
      <w:r>
        <w:rPr>
          <w:rFonts w:hint="default" w:ascii="Times New Roman" w:hAnsi="Times New Roman" w:eastAsia="黑体" w:cs="Times New Roman"/>
          <w:bCs/>
          <w:kern w:val="2"/>
          <w:sz w:val="30"/>
          <w:szCs w:val="32"/>
          <w:lang w:val="en-US" w:eastAsia="zh-CN" w:bidi="ar-SA"/>
        </w:rPr>
        <w:t>项目建设单位与职能</w:t>
      </w:r>
      <w:bookmarkEnd w:id="29"/>
    </w:p>
    <w:p>
      <w:pPr>
        <w:bidi w:val="0"/>
        <w:spacing w:line="360" w:lineRule="auto"/>
        <w:ind w:firstLine="480" w:firstLineChars="200"/>
        <w:rPr>
          <w:rFonts w:hint="default" w:ascii="Times New Roman" w:hAnsi="Times New Roman" w:eastAsia="宋体" w:cs="宋体"/>
          <w:kern w:val="0"/>
          <w:sz w:val="24"/>
          <w:lang w:val="en-US" w:eastAsia="zh-CN"/>
        </w:rPr>
      </w:pPr>
      <w:r>
        <w:rPr>
          <w:rFonts w:hint="default" w:ascii="Times New Roman" w:hAnsi="Times New Roman" w:eastAsia="宋体" w:cs="宋体"/>
          <w:kern w:val="0"/>
          <w:sz w:val="24"/>
          <w:lang w:val="en-US" w:eastAsia="zh-CN"/>
        </w:rPr>
        <w:t>本项目建设单位为临湘市大数据中心，结合本项目建设内容，与本项目相关的主要职能如下</w:t>
      </w:r>
      <w:r>
        <w:rPr>
          <w:rFonts w:hint="eastAsia" w:ascii="Times New Roman" w:hAnsi="Times New Roman" w:eastAsia="宋体" w:cs="宋体"/>
          <w:kern w:val="0"/>
          <w:sz w:val="24"/>
          <w:lang w:val="en-US" w:eastAsia="zh-CN"/>
        </w:rPr>
        <w:t>：</w:t>
      </w:r>
    </w:p>
    <w:p>
      <w:pPr>
        <w:numPr>
          <w:ilvl w:val="0"/>
          <w:numId w:val="9"/>
        </w:numPr>
        <w:bidi w:val="0"/>
        <w:spacing w:line="360" w:lineRule="auto"/>
        <w:ind w:left="0" w:leftChars="0" w:firstLine="480" w:firstLineChars="200"/>
        <w:rPr>
          <w:rFonts w:hint="default" w:ascii="Times New Roman" w:hAnsi="Times New Roman" w:eastAsia="宋体" w:cs="宋体"/>
          <w:kern w:val="0"/>
          <w:sz w:val="24"/>
        </w:rPr>
      </w:pPr>
      <w:r>
        <w:rPr>
          <w:rFonts w:hint="default" w:ascii="Times New Roman" w:hAnsi="Times New Roman" w:eastAsia="宋体" w:cs="宋体"/>
          <w:kern w:val="0"/>
          <w:sz w:val="24"/>
        </w:rPr>
        <w:t>负责全市大数据发展、数字政府总体规划编制的技术支撑工作。负责统筹建设全市跨部门、跨层级政务数字化项目的事务性工作。</w:t>
      </w:r>
    </w:p>
    <w:p>
      <w:pPr>
        <w:numPr>
          <w:ilvl w:val="0"/>
          <w:numId w:val="9"/>
        </w:numPr>
        <w:bidi w:val="0"/>
        <w:spacing w:line="360" w:lineRule="auto"/>
        <w:ind w:left="0" w:leftChars="0" w:firstLine="480" w:firstLineChars="200"/>
        <w:rPr>
          <w:rFonts w:hint="default" w:ascii="Times New Roman" w:hAnsi="Times New Roman" w:eastAsia="宋体" w:cs="宋体"/>
          <w:kern w:val="0"/>
          <w:sz w:val="24"/>
        </w:rPr>
      </w:pPr>
      <w:r>
        <w:rPr>
          <w:rFonts w:hint="default" w:ascii="Times New Roman" w:hAnsi="Times New Roman" w:eastAsia="宋体" w:cs="宋体"/>
          <w:kern w:val="0"/>
          <w:sz w:val="24"/>
        </w:rPr>
        <w:t>负责政务信息化项目方案评审、竣工验收、履约监管、运行后评价的技术支撑工作。</w:t>
      </w:r>
    </w:p>
    <w:p>
      <w:pPr>
        <w:numPr>
          <w:ilvl w:val="0"/>
          <w:numId w:val="9"/>
        </w:numPr>
        <w:bidi w:val="0"/>
        <w:spacing w:line="360" w:lineRule="auto"/>
        <w:ind w:left="0" w:leftChars="0" w:firstLine="480" w:firstLineChars="200"/>
        <w:rPr>
          <w:rFonts w:hint="default" w:ascii="Times New Roman" w:hAnsi="Times New Roman" w:eastAsia="宋体" w:cs="宋体"/>
          <w:kern w:val="0"/>
          <w:sz w:val="24"/>
        </w:rPr>
      </w:pPr>
      <w:r>
        <w:rPr>
          <w:rFonts w:hint="default" w:ascii="Times New Roman" w:hAnsi="Times New Roman" w:eastAsia="宋体" w:cs="宋体"/>
          <w:kern w:val="0"/>
          <w:sz w:val="24"/>
        </w:rPr>
        <w:t>负责全市政务数据资源的目录管理、数据归集、治理提质、共享开放和开发应用等事务性工作。</w:t>
      </w:r>
    </w:p>
    <w:p>
      <w:pPr>
        <w:numPr>
          <w:ilvl w:val="0"/>
          <w:numId w:val="9"/>
        </w:numPr>
        <w:bidi w:val="0"/>
        <w:spacing w:line="360" w:lineRule="auto"/>
        <w:ind w:left="0" w:leftChars="0" w:firstLine="480" w:firstLineChars="200"/>
        <w:rPr>
          <w:rFonts w:hint="default" w:ascii="Times New Roman" w:hAnsi="Times New Roman" w:eastAsia="宋体" w:cs="宋体"/>
          <w:kern w:val="0"/>
          <w:sz w:val="24"/>
        </w:rPr>
      </w:pPr>
      <w:r>
        <w:rPr>
          <w:rFonts w:hint="default" w:ascii="Times New Roman" w:hAnsi="Times New Roman" w:eastAsia="宋体" w:cs="宋体"/>
          <w:kern w:val="0"/>
          <w:sz w:val="24"/>
        </w:rPr>
        <w:t>负责推进全市数字化平台统一运营维护，承担</w:t>
      </w:r>
      <w:r>
        <w:rPr>
          <w:rFonts w:hint="eastAsia" w:ascii="Times New Roman" w:hAnsi="Times New Roman" w:eastAsia="宋体" w:cs="宋体"/>
          <w:kern w:val="0"/>
          <w:sz w:val="24"/>
          <w:lang w:eastAsia="zh-CN"/>
        </w:rPr>
        <w:t>网络运维管理</w:t>
      </w:r>
      <w:r>
        <w:rPr>
          <w:rFonts w:hint="default" w:ascii="Times New Roman" w:hAnsi="Times New Roman" w:eastAsia="宋体" w:cs="宋体"/>
          <w:kern w:val="0"/>
          <w:sz w:val="24"/>
        </w:rPr>
        <w:t>的日常运营维护。推动大数据、云计算、物联网等新一代信息技术在政务领域的应用和推广。</w:t>
      </w:r>
    </w:p>
    <w:p>
      <w:pPr>
        <w:numPr>
          <w:ilvl w:val="0"/>
          <w:numId w:val="9"/>
        </w:numPr>
        <w:bidi w:val="0"/>
        <w:spacing w:line="360" w:lineRule="auto"/>
        <w:ind w:left="0" w:leftChars="0" w:firstLine="480" w:firstLineChars="200"/>
        <w:rPr>
          <w:rFonts w:hint="default" w:ascii="Times New Roman" w:hAnsi="Times New Roman" w:eastAsia="宋体" w:cs="宋体"/>
          <w:kern w:val="0"/>
          <w:sz w:val="24"/>
        </w:rPr>
      </w:pPr>
      <w:r>
        <w:rPr>
          <w:rFonts w:hint="default" w:ascii="Times New Roman" w:hAnsi="Times New Roman" w:eastAsia="宋体" w:cs="宋体"/>
          <w:kern w:val="0"/>
          <w:sz w:val="24"/>
        </w:rPr>
        <w:t>承担全市政务云平台、政务网络等数字基础设施的建设、安全防护和运维管理的技术支撑工作。</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30" w:name="_Toc2862"/>
      <w:r>
        <w:rPr>
          <w:rFonts w:hint="default" w:ascii="Times New Roman" w:hAnsi="Times New Roman" w:eastAsia="黑体" w:cs="Times New Roman"/>
          <w:bCs/>
          <w:kern w:val="2"/>
          <w:sz w:val="30"/>
          <w:szCs w:val="32"/>
          <w:lang w:val="en-US" w:eastAsia="zh-CN" w:bidi="ar-SA"/>
        </w:rPr>
        <w:t>项目实施机构与职责</w:t>
      </w:r>
      <w:bookmarkEnd w:id="30"/>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lang w:val="en-US" w:eastAsia="zh-CN"/>
        </w:rPr>
        <w:t>本项目实施机构为</w:t>
      </w:r>
      <w:r>
        <w:rPr>
          <w:rFonts w:hint="default" w:ascii="Times New Roman" w:hAnsi="Times New Roman" w:eastAsia="宋体" w:cs="宋体"/>
          <w:kern w:val="0"/>
          <w:sz w:val="24"/>
        </w:rPr>
        <w:t>临湘市大数据中心</w:t>
      </w:r>
      <w:r>
        <w:rPr>
          <w:rFonts w:hint="default" w:ascii="Times New Roman" w:hAnsi="Times New Roman" w:eastAsia="宋体" w:cs="宋体"/>
          <w:kern w:val="0"/>
          <w:sz w:val="24"/>
          <w:lang w:eastAsia="zh-CN"/>
        </w:rPr>
        <w:t>，</w:t>
      </w:r>
      <w:r>
        <w:rPr>
          <w:rFonts w:hint="default" w:ascii="Times New Roman" w:hAnsi="Times New Roman" w:eastAsia="宋体" w:cs="宋体"/>
          <w:kern w:val="0"/>
          <w:sz w:val="24"/>
          <w:lang w:val="en-US" w:eastAsia="zh-CN"/>
        </w:rPr>
        <w:t>结合本项目</w:t>
      </w:r>
      <w:r>
        <w:rPr>
          <w:rFonts w:hint="eastAsia" w:ascii="Times New Roman" w:hAnsi="Times New Roman" w:eastAsia="宋体" w:cs="宋体"/>
          <w:kern w:val="0"/>
          <w:sz w:val="24"/>
          <w:lang w:val="en-US" w:eastAsia="zh-CN"/>
        </w:rPr>
        <w:t>工作内容</w:t>
      </w:r>
      <w:r>
        <w:rPr>
          <w:rFonts w:hint="default" w:ascii="Times New Roman" w:hAnsi="Times New Roman" w:eastAsia="宋体" w:cs="宋体"/>
          <w:kern w:val="0"/>
          <w:sz w:val="24"/>
          <w:lang w:val="en-US" w:eastAsia="zh-CN"/>
        </w:rPr>
        <w:t>，与本项目相关的主要职能如下</w:t>
      </w:r>
      <w:r>
        <w:rPr>
          <w:rFonts w:hint="default" w:ascii="Times New Roman" w:hAnsi="Times New Roman" w:eastAsia="宋体" w:cs="宋体"/>
          <w:kern w:val="0"/>
          <w:sz w:val="24"/>
        </w:rPr>
        <w:t>：</w:t>
      </w:r>
    </w:p>
    <w:p>
      <w:pPr>
        <w:bidi w:val="0"/>
        <w:spacing w:line="360" w:lineRule="auto"/>
        <w:ind w:firstLine="480" w:firstLineChars="200"/>
        <w:jc w:val="both"/>
        <w:rPr>
          <w:rFonts w:ascii="Times New Roman" w:hAnsi="Times New Roman" w:eastAsia="宋体" w:cs="宋体"/>
          <w:kern w:val="0"/>
          <w:sz w:val="24"/>
        </w:rPr>
      </w:pPr>
      <w:r>
        <w:rPr>
          <w:rFonts w:hint="eastAsia" w:ascii="Times New Roman" w:hAnsi="Times New Roman" w:eastAsia="宋体" w:cs="宋体"/>
          <w:kern w:val="0"/>
          <w:sz w:val="24"/>
          <w:lang w:val="en-US" w:eastAsia="zh-CN"/>
        </w:rPr>
        <w:t>1、</w:t>
      </w:r>
      <w:r>
        <w:rPr>
          <w:rFonts w:hint="default" w:ascii="Times New Roman" w:hAnsi="Times New Roman" w:eastAsia="宋体" w:cs="宋体"/>
          <w:kern w:val="0"/>
          <w:sz w:val="24"/>
        </w:rPr>
        <w:t>项目综合管理与统筹协调</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负责项目立项申报、可行性研究、初步设计编制的组织与衔接，招标采购、合同签订及履约监管，项目进度、投资、质量、安全管理，竣工验收及项目档案管理；负责与市数据局、市财政局等部门的沟通协调及重大事项报审。</w:t>
      </w:r>
    </w:p>
    <w:p>
      <w:pPr>
        <w:bidi w:val="0"/>
        <w:spacing w:line="360" w:lineRule="auto"/>
        <w:ind w:firstLine="480" w:firstLineChars="200"/>
        <w:jc w:val="both"/>
        <w:rPr>
          <w:rFonts w:hint="default" w:ascii="Times New Roman" w:hAnsi="Times New Roman" w:eastAsia="宋体" w:cs="宋体"/>
          <w:kern w:val="0"/>
          <w:sz w:val="24"/>
        </w:rPr>
      </w:pPr>
      <w:r>
        <w:rPr>
          <w:rFonts w:hint="eastAsia" w:ascii="Times New Roman" w:hAnsi="Times New Roman" w:eastAsia="宋体" w:cs="宋体"/>
          <w:kern w:val="0"/>
          <w:sz w:val="24"/>
          <w:lang w:val="en-US" w:eastAsia="zh-CN"/>
        </w:rPr>
        <w:t>2、</w:t>
      </w:r>
      <w:r>
        <w:rPr>
          <w:rFonts w:hint="default" w:ascii="Times New Roman" w:hAnsi="Times New Roman" w:eastAsia="宋体" w:cs="宋体"/>
          <w:kern w:val="0"/>
          <w:sz w:val="24"/>
        </w:rPr>
        <w:t>数据资源管理与治理应用</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负责项目数据资源目录梳理与编制，数据归集、治理提质方案的实施，数据共享接口设计与跨部门对接，数据质量管控及数据应用场景落地的具体实施。</w:t>
      </w:r>
    </w:p>
    <w:p>
      <w:pPr>
        <w:bidi w:val="0"/>
        <w:spacing w:line="360" w:lineRule="auto"/>
        <w:ind w:firstLine="480" w:firstLineChars="200"/>
        <w:jc w:val="both"/>
        <w:rPr>
          <w:rFonts w:hint="default" w:ascii="Times New Roman" w:hAnsi="Times New Roman" w:eastAsia="宋体" w:cs="宋体"/>
          <w:kern w:val="0"/>
          <w:sz w:val="24"/>
        </w:rPr>
      </w:pPr>
      <w:r>
        <w:rPr>
          <w:rFonts w:hint="eastAsia" w:ascii="Times New Roman" w:hAnsi="Times New Roman" w:eastAsia="宋体" w:cs="宋体"/>
          <w:kern w:val="0"/>
          <w:sz w:val="24"/>
          <w:lang w:val="en-US" w:eastAsia="zh-CN"/>
        </w:rPr>
        <w:t>3、</w:t>
      </w:r>
      <w:r>
        <w:rPr>
          <w:rFonts w:hint="default" w:ascii="Times New Roman" w:hAnsi="Times New Roman" w:eastAsia="宋体" w:cs="宋体"/>
          <w:kern w:val="0"/>
          <w:sz w:val="24"/>
        </w:rPr>
        <w:t>平台建设与运行维护</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负责项目建设内容与全市</w:t>
      </w:r>
      <w:r>
        <w:rPr>
          <w:rFonts w:hint="eastAsia" w:ascii="Times New Roman" w:hAnsi="Times New Roman" w:eastAsia="宋体" w:cs="宋体"/>
          <w:kern w:val="0"/>
          <w:sz w:val="24"/>
          <w:lang w:eastAsia="zh-CN"/>
        </w:rPr>
        <w:t>网络运维管理</w:t>
      </w:r>
      <w:r>
        <w:rPr>
          <w:rFonts w:hint="default" w:ascii="Times New Roman" w:hAnsi="Times New Roman" w:eastAsia="宋体" w:cs="宋体"/>
          <w:kern w:val="0"/>
          <w:sz w:val="24"/>
        </w:rPr>
        <w:t>的对接；承担项目建成后系统日常巡检、故障处置、运行监测、运维台账管理及运行保障工作。</w:t>
      </w:r>
    </w:p>
    <w:p>
      <w:pPr>
        <w:bidi w:val="0"/>
        <w:spacing w:line="360" w:lineRule="auto"/>
        <w:ind w:firstLine="480" w:firstLineChars="200"/>
        <w:jc w:val="both"/>
        <w:rPr>
          <w:rFonts w:hint="default" w:ascii="Times New Roman" w:hAnsi="Times New Roman" w:eastAsia="宋体" w:cs="宋体"/>
          <w:kern w:val="0"/>
          <w:sz w:val="24"/>
        </w:rPr>
      </w:pPr>
      <w:r>
        <w:rPr>
          <w:rFonts w:hint="eastAsia" w:ascii="Times New Roman" w:hAnsi="Times New Roman" w:eastAsia="宋体" w:cs="宋体"/>
          <w:kern w:val="0"/>
          <w:sz w:val="24"/>
          <w:lang w:val="en-US" w:eastAsia="zh-CN"/>
        </w:rPr>
        <w:t>4、</w:t>
      </w:r>
      <w:r>
        <w:rPr>
          <w:rFonts w:hint="default" w:ascii="Times New Roman" w:hAnsi="Times New Roman" w:eastAsia="宋体" w:cs="宋体"/>
          <w:kern w:val="0"/>
          <w:sz w:val="24"/>
        </w:rPr>
        <w:t>网络安全管理</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负责项目网络安全防护方案落实，等级保护测评、密码应用安全性评估的组织实施，数据安全管控及运行期安全监测、应急处置工作。</w:t>
      </w:r>
    </w:p>
    <w:p>
      <w:pPr>
        <w:bidi w:val="0"/>
        <w:spacing w:line="360" w:lineRule="auto"/>
        <w:ind w:firstLine="480" w:firstLineChars="200"/>
        <w:jc w:val="both"/>
        <w:rPr>
          <w:rFonts w:hint="default" w:ascii="Times New Roman" w:hAnsi="Times New Roman" w:eastAsia="宋体" w:cs="宋体"/>
          <w:kern w:val="0"/>
          <w:sz w:val="24"/>
        </w:rPr>
      </w:pPr>
      <w:r>
        <w:rPr>
          <w:rFonts w:hint="eastAsia" w:ascii="Times New Roman" w:hAnsi="Times New Roman" w:eastAsia="宋体" w:cs="宋体"/>
          <w:kern w:val="0"/>
          <w:sz w:val="24"/>
          <w:lang w:val="en-US" w:eastAsia="zh-CN"/>
        </w:rPr>
        <w:t>5、</w:t>
      </w:r>
      <w:r>
        <w:rPr>
          <w:rFonts w:hint="default" w:ascii="Times New Roman" w:hAnsi="Times New Roman" w:eastAsia="宋体" w:cs="宋体"/>
          <w:kern w:val="0"/>
          <w:sz w:val="24"/>
        </w:rPr>
        <w:t>技术审核与验收评价</w:t>
      </w:r>
    </w:p>
    <w:p>
      <w:pPr>
        <w:bidi w:val="0"/>
        <w:spacing w:line="360" w:lineRule="auto"/>
        <w:ind w:firstLine="480" w:firstLineChars="200"/>
        <w:jc w:val="both"/>
        <w:rPr>
          <w:rFonts w:hint="eastAsia" w:ascii="Times New Roman" w:hAnsi="Times New Roman" w:eastAsia="宋体" w:cs="宋体"/>
          <w:kern w:val="0"/>
          <w:sz w:val="24"/>
          <w:lang w:eastAsia="zh-CN"/>
        </w:rPr>
      </w:pPr>
      <w:r>
        <w:rPr>
          <w:rFonts w:hint="default" w:ascii="Times New Roman" w:hAnsi="Times New Roman" w:eastAsia="宋体" w:cs="宋体"/>
          <w:kern w:val="0"/>
          <w:sz w:val="24"/>
        </w:rPr>
        <w:t>负责项目方案技术论证、评审支撑，阶段成果审查，竣工验收及运行后评价的组织与材料编制工作</w:t>
      </w:r>
      <w:r>
        <w:rPr>
          <w:rFonts w:hint="eastAsia" w:ascii="Times New Roman" w:hAnsi="Times New Roman" w:eastAsia="宋体" w:cs="宋体"/>
          <w:kern w:val="0"/>
          <w:sz w:val="24"/>
          <w:lang w:eastAsia="zh-CN"/>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31" w:name="_Toc705"/>
      <w:r>
        <w:rPr>
          <w:rFonts w:hint="default" w:ascii="Times New Roman" w:hAnsi="Times New Roman" w:eastAsia="黑体" w:cs="Times New Roman"/>
          <w:bCs/>
          <w:kern w:val="2"/>
          <w:sz w:val="30"/>
          <w:szCs w:val="32"/>
          <w:lang w:val="en-US" w:eastAsia="zh-CN" w:bidi="ar-SA"/>
        </w:rPr>
        <w:t>项目单位信息化现状</w:t>
      </w:r>
      <w:bookmarkEnd w:id="31"/>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32" w:name="_Toc20200"/>
      <w:r>
        <w:rPr>
          <w:rFonts w:hint="default" w:ascii="Times New Roman" w:hAnsi="Times New Roman" w:eastAsia="黑体" w:cs="Times New Roman"/>
          <w:bCs/>
          <w:kern w:val="2"/>
          <w:sz w:val="28"/>
          <w:szCs w:val="32"/>
          <w:lang w:val="en-US" w:eastAsia="zh-CN" w:bidi="ar-SA"/>
        </w:rPr>
        <w:t>信息系统运维现状</w:t>
      </w:r>
      <w:bookmarkEnd w:id="32"/>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临湘市财政内控信息化综合管理平台</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临湘市财政内控信息化综合管理平台牵头使用单位为</w:t>
      </w:r>
      <w:r>
        <w:rPr>
          <w:rFonts w:hint="default" w:ascii="Times New Roman" w:hAnsi="Times New Roman" w:eastAsia="宋体" w:cs="宋体"/>
          <w:kern w:val="0"/>
          <w:sz w:val="24"/>
          <w:lang w:val="en-US" w:eastAsia="zh-CN"/>
        </w:rPr>
        <w:t>临湘</w:t>
      </w:r>
      <w:r>
        <w:rPr>
          <w:rFonts w:hint="default" w:ascii="Times New Roman" w:hAnsi="Times New Roman" w:eastAsia="宋体" w:cs="宋体"/>
          <w:kern w:val="0"/>
          <w:sz w:val="24"/>
        </w:rPr>
        <w:t>市财政局。平台主要功能包括预算编制与调整管理、预算执行动态监控、收支管控、资金监控、风险防控等模块，应用于市财政局内控管理业务场景。</w:t>
      </w:r>
    </w:p>
    <w:p>
      <w:pPr>
        <w:bidi w:val="0"/>
        <w:spacing w:line="360" w:lineRule="auto"/>
        <w:ind w:firstLine="480" w:firstLineChars="200"/>
        <w:jc w:val="both"/>
        <w:rPr>
          <w:rFonts w:hint="default" w:ascii="Times New Roman" w:hAnsi="Times New Roman" w:eastAsia="宋体" w:cs="宋体"/>
          <w:kern w:val="0"/>
          <w:sz w:val="24"/>
          <w:lang w:eastAsia="zh-CN"/>
        </w:rPr>
      </w:pPr>
      <w:r>
        <w:rPr>
          <w:rFonts w:hint="default" w:ascii="Times New Roman" w:hAnsi="Times New Roman" w:eastAsia="宋体" w:cs="宋体"/>
          <w:kern w:val="0"/>
          <w:sz w:val="24"/>
        </w:rPr>
        <w:t>数据存储于市财政局中心机房，数据未向其他平台回流。安全措施包括网络安全防护、访问控制、传输加密、数据自动备份、水印防泄漏、终端管理、日志监控等。软件开发单位为湖南会友网络科技有限公司</w:t>
      </w:r>
      <w:r>
        <w:rPr>
          <w:rFonts w:hint="default" w:ascii="Times New Roman" w:hAnsi="Times New Roman" w:eastAsia="宋体" w:cs="宋体"/>
          <w:kern w:val="0"/>
          <w:sz w:val="24"/>
          <w:lang w:eastAsia="zh-CN"/>
        </w:rPr>
        <w:t>。</w:t>
      </w:r>
    </w:p>
    <w:p>
      <w:pPr>
        <w:bidi w:val="0"/>
        <w:spacing w:line="360" w:lineRule="auto"/>
        <w:ind w:firstLine="480" w:firstLineChars="200"/>
        <w:jc w:val="both"/>
        <w:rPr>
          <w:rFonts w:hint="default" w:ascii="Times New Roman" w:hAnsi="Times New Roman" w:eastAsia="宋体" w:cs="宋体"/>
          <w:kern w:val="0"/>
          <w:sz w:val="24"/>
          <w:lang w:val="en-US" w:eastAsia="zh-CN"/>
        </w:rPr>
      </w:pPr>
      <w:r>
        <w:rPr>
          <w:rFonts w:hint="default" w:ascii="Times New Roman" w:hAnsi="Times New Roman" w:eastAsia="宋体" w:cs="宋体"/>
          <w:kern w:val="0"/>
          <w:sz w:val="24"/>
          <w:lang w:val="en-US" w:eastAsia="zh-CN"/>
        </w:rPr>
        <w:t>现阶段合同运维</w:t>
      </w:r>
      <w:r>
        <w:rPr>
          <w:rFonts w:hint="default" w:ascii="Times New Roman" w:hAnsi="Times New Roman" w:eastAsia="宋体" w:cs="宋体"/>
          <w:kern w:val="0"/>
          <w:sz w:val="24"/>
          <w:lang w:eastAsia="zh-CN"/>
        </w:rPr>
        <w:t>服务期限：2025年1月1日至2026年2月28日（14个月），</w:t>
      </w:r>
      <w:r>
        <w:rPr>
          <w:rFonts w:hint="default" w:ascii="Times New Roman" w:hAnsi="Times New Roman" w:eastAsia="宋体" w:cs="宋体"/>
          <w:kern w:val="0"/>
          <w:sz w:val="24"/>
          <w:lang w:val="en-US" w:eastAsia="zh-CN"/>
        </w:rPr>
        <w:t>主要提供远程服务、驻场服务。</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湖南省财政专网三防云平台</w:t>
      </w: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湖南省财政专网三防云平台（防病毒、防木马、防攻击）牵头使用单位为临湘市财政局，主要功能包括防病毒防木马防攻击。</w:t>
      </w: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数据存储于市财政局中心机房，数据未向其他平台回流。安全措施为三防云平台统一病毒防护、木马查杀及攻击防范体系。软件开发单位为360数字安全科技集团有限公司。</w:t>
      </w: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w:t>
      </w:r>
      <w:r>
        <w:rPr>
          <w:rFonts w:hint="default" w:ascii="Times New Roman" w:hAnsi="Times New Roman" w:eastAsia="宋体" w:cs="Times New Roman"/>
          <w:kern w:val="0"/>
          <w:sz w:val="24"/>
          <w:highlight w:val="none"/>
          <w:lang w:eastAsia="zh-CN"/>
        </w:rPr>
        <w:t>服务期限</w:t>
      </w:r>
      <w:r>
        <w:rPr>
          <w:rFonts w:hint="default" w:ascii="Times New Roman" w:hAnsi="Times New Roman" w:eastAsia="宋体" w:cs="Times New Roman"/>
          <w:kern w:val="0"/>
          <w:sz w:val="24"/>
          <w:highlight w:val="none"/>
          <w:lang w:val="en-US" w:eastAsia="zh-CN"/>
        </w:rPr>
        <w:t>：2025年5月27日至2026年5月27日。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湖南省财政客户端安全监控管理系统</w:t>
      </w:r>
    </w:p>
    <w:p>
      <w:pPr>
        <w:bidi w:val="0"/>
        <w:spacing w:line="360" w:lineRule="auto"/>
        <w:ind w:firstLine="480" w:firstLineChars="200"/>
        <w:jc w:val="both"/>
        <w:rPr>
          <w:rFonts w:hint="default" w:ascii="Times New Roman" w:hAnsi="Times New Roman" w:eastAsia="宋体" w:cs="宋体"/>
          <w:kern w:val="0"/>
          <w:sz w:val="24"/>
          <w:lang w:val="en-US" w:eastAsia="zh-CN"/>
        </w:rPr>
      </w:pPr>
      <w:r>
        <w:rPr>
          <w:rFonts w:hint="default" w:ascii="Times New Roman" w:hAnsi="Times New Roman" w:eastAsia="宋体" w:cs="宋体"/>
          <w:kern w:val="0"/>
          <w:sz w:val="24"/>
          <w:lang w:val="en-US" w:eastAsia="zh-CN"/>
        </w:rPr>
        <w:t>湖南省财政客户端安全监控管理系统牵头使用单位为临湘市财政局，系统主要功能包括终端准入控制、防非法外联、防私接设备、远程维护、软件分发等，应用于市财政局及所属单位财政专网终端安全管理场景。</w:t>
      </w:r>
    </w:p>
    <w:p>
      <w:pPr>
        <w:bidi w:val="0"/>
        <w:spacing w:line="360" w:lineRule="auto"/>
        <w:ind w:firstLine="480" w:firstLineChars="200"/>
        <w:jc w:val="both"/>
        <w:rPr>
          <w:rFonts w:hint="default" w:ascii="Times New Roman" w:hAnsi="Times New Roman" w:eastAsia="宋体" w:cs="宋体"/>
          <w:kern w:val="0"/>
          <w:sz w:val="24"/>
          <w:lang w:val="en-US" w:eastAsia="zh-CN"/>
        </w:rPr>
      </w:pPr>
      <w:r>
        <w:rPr>
          <w:rFonts w:hint="default" w:ascii="Times New Roman" w:hAnsi="Times New Roman" w:eastAsia="宋体" w:cs="宋体"/>
          <w:kern w:val="0"/>
          <w:sz w:val="24"/>
          <w:lang w:val="en-US" w:eastAsia="zh-CN"/>
        </w:rPr>
        <w:t>数据存储于市财政局中心机房，数据未向其他平台回流，软件机构开发单位为360数字安全科技集团有限公司。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宋体"/>
          <w:kern w:val="0"/>
          <w:sz w:val="24"/>
          <w:lang w:val="en-US" w:eastAsia="zh-CN"/>
        </w:rPr>
        <w:t>现阶段合同运维</w:t>
      </w:r>
      <w:r>
        <w:rPr>
          <w:rFonts w:hint="default" w:ascii="Times New Roman" w:hAnsi="Times New Roman" w:eastAsia="宋体" w:cs="宋体"/>
          <w:kern w:val="0"/>
          <w:sz w:val="24"/>
          <w:lang w:eastAsia="zh-CN"/>
        </w:rPr>
        <w:t>服务期限</w:t>
      </w:r>
      <w:r>
        <w:rPr>
          <w:rFonts w:hint="default" w:ascii="Times New Roman" w:hAnsi="Times New Roman" w:eastAsia="宋体" w:cs="宋体"/>
          <w:kern w:val="0"/>
          <w:sz w:val="24"/>
          <w:lang w:val="en-US" w:eastAsia="zh-CN"/>
        </w:rPr>
        <w:t>：2024年9月20日至2025年9月20日</w:t>
      </w:r>
      <w:r>
        <w:rPr>
          <w:rFonts w:hint="default" w:ascii="Times New Roman" w:hAnsi="Times New Roman" w:eastAsia="宋体" w:cs="Times New Roman"/>
          <w:kern w:val="0"/>
          <w:sz w:val="24"/>
          <w:highlight w:val="none"/>
          <w:lang w:val="en-US" w:eastAsia="zh-CN"/>
        </w:rPr>
        <w:t>。</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临湘市财政业务查询分析系统</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临湘市财政业务查询分析系统牵头使用单位为临湘市财政局。系统于2021年建成上线，整合财政历史业务系统数据，接收预算管理一体化系统回流数据，为财政内控系统、协同办公OA、人大预算联网监督系统、审计监督等系统提供数据支撑，应用于财政数据查询、分析及共享业务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数据存储于市财政局中心机房，采取定期计划性异机备份措施。数据安全由机房访问控制及备份机制保障。软件开发单位为湖南得水信息技术有限公司。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w:t>
      </w:r>
      <w:r>
        <w:rPr>
          <w:rFonts w:hint="default" w:ascii="Times New Roman" w:hAnsi="Times New Roman" w:eastAsia="宋体" w:cs="Times New Roman"/>
          <w:kern w:val="0"/>
          <w:sz w:val="24"/>
          <w:highlight w:val="none"/>
          <w:lang w:eastAsia="zh-CN"/>
        </w:rPr>
        <w:t>服务期限</w:t>
      </w:r>
      <w:r>
        <w:rPr>
          <w:rFonts w:hint="default" w:ascii="Times New Roman" w:hAnsi="Times New Roman" w:eastAsia="宋体" w:cs="Times New Roman"/>
          <w:kern w:val="0"/>
          <w:sz w:val="24"/>
          <w:highlight w:val="none"/>
          <w:lang w:val="en-US" w:eastAsia="zh-CN"/>
        </w:rPr>
        <w:t>：2025年1月1日至2026年1月31日。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U8财务软件</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U8财务软件牵头使用单位为临湘市财政局，2015年上线运行。软件主要功能包括账务处理（凭证录入、审核、记账、多辅助核算）、电子报表、资产管理（固定资产卡片、折旧计提）等，应用于全市项目单位及站所财务核算业务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数据存储于市财政局信息中心机房，安全措施包括防火墙防护、运维人员保密承诺书管理等。</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软件服务单位为岳阳楼区汇友软件服务中心。</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现阶段合同运维服务期限：2025年1月1日至2025年12月31日。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预算管理一体化单位会计核算云系统</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预算管理一体化单位会计核算云系牵头使用单位为临湘市财政局。系统服务于全市184家行政事业单位会计核算业务，主要功能包括账务处理、报表编制、系统管理等，应用于单位会计核算、年终决算等业务场景。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数据存储于湖南省财政厅统一管理，相关数据回流至临湘市财政局使用，安全措施由省财政厅实行统一备份。</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软件开发单位为佳瑛科技有限公司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现阶段合同运维服务期限：2025年3月18日至2026年3月17日。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临湘市财政局综合治税信息平台</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临湘市财政局综合治税信息平台牵头使用单位为临湘市财政局。平台主要应用于涉税信息归集、涉税单位数据分析等财税综合治理场景。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软件开发单位为湖南得水信息技术有限公司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现阶段合同运维服务期限：2025年8月15日至2026年8月14日。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金保工程二期人社分级分类运营服务</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金保工程二期人社分级分类运营服务牵头使用单位为临湘市人社局。系统覆盖社会保险、就业创业、社保卡三大业务板块，应用于人社业务经办、数据修正、统计报表、政策咨询工单处理等业务场景。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数据存储于湖南省政务云平台，数据未回流本地，安全措施依托省政务云安全体系，系统达到网络安全等级保护三级要求。</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软件开发单位为创智和宇信息技术股份有限公司。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现阶段合同运维服务期限：2025年1月1日至2025年12月31日。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eastAsia" w:ascii="Times New Roman" w:hAnsi="Times New Roman" w:eastAsia="黑体" w:cs="Times New Roman"/>
          <w:bCs/>
          <w:sz w:val="24"/>
          <w:szCs w:val="28"/>
          <w:lang w:val="en-US" w:eastAsia="zh-CN" w:bidi="ar-SA"/>
        </w:rPr>
        <w:t>临湘市城建档案系统</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eastAsia" w:ascii="Times New Roman" w:hAnsi="Times New Roman" w:eastAsia="宋体" w:cs="Times New Roman"/>
          <w:kern w:val="0"/>
          <w:sz w:val="24"/>
          <w:highlight w:val="none"/>
          <w:lang w:eastAsia="zh-CN"/>
        </w:rPr>
        <w:t>临湘市城建档案系统</w:t>
      </w:r>
      <w:r>
        <w:rPr>
          <w:rFonts w:hint="default" w:ascii="Times New Roman" w:hAnsi="Times New Roman" w:eastAsia="宋体" w:cs="Times New Roman"/>
          <w:kern w:val="0"/>
          <w:sz w:val="24"/>
          <w:highlight w:val="none"/>
        </w:rPr>
        <w:t>牵头使用单位为</w:t>
      </w:r>
      <w:r>
        <w:rPr>
          <w:rFonts w:hint="default" w:ascii="Times New Roman" w:hAnsi="Times New Roman" w:eastAsia="宋体" w:cs="Times New Roman"/>
          <w:kern w:val="0"/>
          <w:sz w:val="24"/>
          <w:highlight w:val="none"/>
          <w:lang w:val="en-US" w:eastAsia="zh-CN"/>
        </w:rPr>
        <w:t>临湘</w:t>
      </w:r>
      <w:r>
        <w:rPr>
          <w:rFonts w:hint="default" w:ascii="Times New Roman" w:hAnsi="Times New Roman" w:eastAsia="宋体" w:cs="Times New Roman"/>
          <w:kern w:val="0"/>
          <w:sz w:val="24"/>
          <w:highlight w:val="none"/>
        </w:rPr>
        <w:t>市</w:t>
      </w:r>
      <w:r>
        <w:rPr>
          <w:rFonts w:hint="default" w:ascii="Times New Roman" w:hAnsi="Times New Roman" w:eastAsia="宋体" w:cs="Times New Roman"/>
          <w:kern w:val="0"/>
          <w:sz w:val="24"/>
          <w:highlight w:val="none"/>
          <w:lang w:val="en-US" w:eastAsia="zh-CN"/>
        </w:rPr>
        <w:t>住建</w:t>
      </w:r>
      <w:r>
        <w:rPr>
          <w:rFonts w:hint="default" w:ascii="Times New Roman" w:hAnsi="Times New Roman" w:eastAsia="宋体" w:cs="Times New Roman"/>
          <w:kern w:val="0"/>
          <w:sz w:val="24"/>
          <w:highlight w:val="none"/>
        </w:rPr>
        <w:t>局，具体使用单位为市城市建设档案馆。系统主要功能包括建设工程资料在线提交与协同编制、移动互联网跟踪、声像资料上载、档案查询利用，以及工程验收后档案摆渡至馆藏系统等，应用于全市城建工程档案归集、验收、查询利用业务场景。</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数据存储</w:t>
      </w:r>
      <w:r>
        <w:rPr>
          <w:rFonts w:hint="default" w:ascii="Times New Roman" w:hAnsi="Times New Roman" w:eastAsia="宋体" w:cs="Times New Roman"/>
          <w:kern w:val="0"/>
          <w:sz w:val="24"/>
          <w:highlight w:val="none"/>
          <w:lang w:eastAsia="zh-CN"/>
        </w:rPr>
        <w:t>：</w:t>
      </w:r>
      <w:r>
        <w:rPr>
          <w:rFonts w:hint="default" w:ascii="Times New Roman" w:hAnsi="Times New Roman" w:eastAsia="宋体" w:cs="Times New Roman"/>
          <w:kern w:val="0"/>
          <w:sz w:val="24"/>
          <w:highlight w:val="none"/>
        </w:rPr>
        <w:t>在线系统部署于岳阳市云服务器，摆渡</w:t>
      </w:r>
      <w:r>
        <w:rPr>
          <w:rFonts w:hint="default" w:ascii="Times New Roman" w:hAnsi="Times New Roman" w:eastAsia="宋体" w:cs="Times New Roman"/>
          <w:kern w:val="0"/>
          <w:sz w:val="24"/>
          <w:highlight w:val="none"/>
          <w:lang w:val="en-US" w:eastAsia="zh-CN"/>
        </w:rPr>
        <w:t>后数据存储馆内</w:t>
      </w:r>
      <w:r>
        <w:rPr>
          <w:rFonts w:hint="default" w:ascii="Times New Roman" w:hAnsi="Times New Roman" w:eastAsia="宋体" w:cs="Times New Roman"/>
          <w:kern w:val="0"/>
          <w:sz w:val="24"/>
          <w:highlight w:val="none"/>
        </w:rPr>
        <w:t>本地服务器，实现数据回流本地。</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数据回流情况：</w:t>
      </w:r>
      <w:r>
        <w:rPr>
          <w:rFonts w:hint="default" w:ascii="Times New Roman" w:hAnsi="Times New Roman" w:eastAsia="宋体" w:cs="Times New Roman"/>
          <w:kern w:val="0"/>
          <w:sz w:val="24"/>
          <w:highlight w:val="none"/>
        </w:rPr>
        <w:t>生成的项目数据、单体数据、案卷数据、文件数据以及项目文件在档案验收完成后数据摆渡到馆内本地服务器中</w:t>
      </w:r>
      <w:r>
        <w:rPr>
          <w:rFonts w:hint="default" w:ascii="Times New Roman" w:hAnsi="Times New Roman" w:eastAsia="宋体" w:cs="Times New Roman"/>
          <w:kern w:val="0"/>
          <w:sz w:val="24"/>
          <w:highlight w:val="none"/>
          <w:lang w:eastAsia="zh-CN"/>
        </w:rPr>
        <w:t>。</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安全措施包括角色授权访问控制（按密级、类别设置读写、只读、禁读原文权限）、受控文件借阅审批、数据脱密处理等。</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软件开发单位为湖南比木建科软件有限公司</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现阶段合同运维</w:t>
      </w:r>
      <w:r>
        <w:rPr>
          <w:rFonts w:hint="default" w:ascii="Times New Roman" w:hAnsi="Times New Roman" w:eastAsia="宋体" w:cs="Times New Roman"/>
          <w:kern w:val="0"/>
          <w:sz w:val="24"/>
          <w:highlight w:val="none"/>
        </w:rPr>
        <w:t>服务期限：2025年1月1日至2025年12月31日</w:t>
      </w:r>
      <w:r>
        <w:rPr>
          <w:rFonts w:hint="default" w:ascii="Times New Roman" w:hAnsi="Times New Roman" w:eastAsia="宋体" w:cs="Times New Roman"/>
          <w:kern w:val="0"/>
          <w:sz w:val="24"/>
          <w:highlight w:val="none"/>
          <w:lang w:eastAsia="zh-CN"/>
        </w:rPr>
        <w:t>。</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临湘市房地产信息服务综合平台</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临湘市房地产信息服务综合平台牵头使用单位为临湘市住房和城乡建设局。平台主要功能包括新建商品房网签备案、预售许可、预售资金监管、物业维修资金归集使用及增值管理、网上签约、线上缴存、电子票据开具等，并与省个人住房数据上报、住建部数据上报、银行业务系统、省财政厅电子票据接口对接，应用于全市房地产市场监管及资金监管业务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数据存储于临湘市大数据中心（云中心），通过外网专线回流至市住建局各业务科室使用，安全措施由云中心统一保障。</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软件开发单位为岳阳市城房网络科技有限公司。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现阶段合同运维服务期限：2025年1月1日至2025年12月31日。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5G智慧电台</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5G智慧电台（iango播出系统plus版，AI智能语音播出系统），牵头使用单位为临湘市融媒体中心。系统主要功能包括节目单编排、节目播出素材管理，并具备新闻云AI语音合成、节目云智能生成、AI天气、AI路况、AI音乐串接等AI应用能力，应用于广播节目自动化播出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播出素材经远程下载至本地播出主机使用，播出后删除或存档，实现素材回流本地。安全措施包括播出素材审听及新闻三审工作机制。</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软件开发单位为湖南芒果智媒科技发展有限公司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现阶段合同运维服务期限：2025年2月28日至2025年12月31日。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临湘市文化云平台</w:t>
      </w:r>
    </w:p>
    <w:p>
      <w:pPr>
        <w:bidi w:val="0"/>
        <w:spacing w:line="360" w:lineRule="auto"/>
        <w:ind w:firstLine="480" w:firstLineChars="200"/>
        <w:jc w:val="both"/>
        <w:rPr>
          <w:rFonts w:hint="default" w:ascii="Times New Roman" w:hAnsi="Times New Roman" w:eastAsia="宋体" w:cs="宋体"/>
          <w:kern w:val="0"/>
          <w:sz w:val="24"/>
          <w:lang w:val="en-US" w:eastAsia="zh-CN"/>
        </w:rPr>
      </w:pPr>
      <w:r>
        <w:rPr>
          <w:rFonts w:hint="default" w:ascii="Times New Roman" w:hAnsi="Times New Roman" w:eastAsia="宋体" w:cs="宋体"/>
          <w:kern w:val="0"/>
          <w:sz w:val="24"/>
          <w:lang w:val="en-US" w:eastAsia="zh-CN"/>
        </w:rPr>
        <w:t>临湘市文化云平台牵头使用单位为临湘市文化旅游广电局，具体使用单位为市文化馆。平台主要功能包括公共文化服务门户、文化活动发布、文化资讯、志愿者风采、网上数字资源服务等，应用于公共文化数字化服务场景。</w:t>
      </w:r>
    </w:p>
    <w:p>
      <w:pPr>
        <w:bidi w:val="0"/>
        <w:spacing w:line="360" w:lineRule="auto"/>
        <w:ind w:firstLine="480" w:firstLineChars="200"/>
        <w:jc w:val="both"/>
        <w:rPr>
          <w:rFonts w:hint="default" w:ascii="Times New Roman" w:hAnsi="Times New Roman" w:eastAsia="宋体" w:cs="宋体"/>
          <w:kern w:val="0"/>
          <w:sz w:val="24"/>
          <w:lang w:val="en-US" w:eastAsia="zh-CN"/>
        </w:rPr>
      </w:pPr>
      <w:r>
        <w:rPr>
          <w:rFonts w:hint="default" w:ascii="Times New Roman" w:hAnsi="Times New Roman" w:eastAsia="宋体" w:cs="宋体"/>
          <w:kern w:val="0"/>
          <w:sz w:val="24"/>
          <w:lang w:val="en-US" w:eastAsia="zh-CN"/>
        </w:rPr>
        <w:t>数据存储于租赁的云服务器，安全措施包括云安全防火墙、云服务器备份、日志记录等。</w:t>
      </w:r>
    </w:p>
    <w:p>
      <w:pPr>
        <w:bidi w:val="0"/>
        <w:spacing w:line="360" w:lineRule="auto"/>
        <w:ind w:firstLine="480" w:firstLineChars="200"/>
        <w:jc w:val="both"/>
        <w:rPr>
          <w:rFonts w:hint="default" w:ascii="Times New Roman" w:hAnsi="Times New Roman" w:eastAsia="宋体" w:cs="宋体"/>
          <w:kern w:val="0"/>
          <w:sz w:val="24"/>
          <w:lang w:val="en-US" w:eastAsia="zh-CN"/>
        </w:rPr>
      </w:pPr>
      <w:r>
        <w:rPr>
          <w:rFonts w:hint="default" w:ascii="Times New Roman" w:hAnsi="Times New Roman" w:eastAsia="宋体" w:cs="宋体"/>
          <w:kern w:val="0"/>
          <w:sz w:val="24"/>
          <w:lang w:val="en-US" w:eastAsia="zh-CN"/>
        </w:rPr>
        <w:t>软件开发单位为为南京济桓软件技术有限公司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宋体"/>
          <w:kern w:val="0"/>
          <w:sz w:val="24"/>
          <w:lang w:val="en-US" w:eastAsia="zh-CN"/>
        </w:rPr>
        <w:t>现阶段合同运维服务期限：2025年8月1日至2025年12月31日</w:t>
      </w:r>
      <w:r>
        <w:rPr>
          <w:rFonts w:hint="default" w:ascii="Times New Roman" w:hAnsi="Times New Roman" w:eastAsia="宋体" w:cs="Times New Roman"/>
          <w:kern w:val="0"/>
          <w:sz w:val="24"/>
          <w:highlight w:val="none"/>
          <w:lang w:val="en-US" w:eastAsia="zh-CN"/>
        </w:rPr>
        <w:t>。</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临湘市社会信用体系建设平台（信用临湘）</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临湘市社会信用体系建设平台（信用临湘）牵头使用单位为临湘市发改局。平台主要功能包括行政许可、行政处罚、信用承诺、红黑名单、行业信用评价等信用数据归集，以及信用核查查询服务，应用于全市社会信用信息归集共享及查询应用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数据存储于市政务云平台，数据未回流本地，安全措施依托政务云统一安全保障体系。</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软件开发单位为杭州湛联科技有限公司。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现阶段合同运维服务期限：2025年6月1日至2026年5月31日。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临湘市综合指挥平台</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本项目为临湘市综合指挥平台软件修复升级及运维服务，牵头使用单位为临湘临湘市应急管理局。</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软件开发单位为杭州星拳科技有限公司。</w:t>
      </w:r>
    </w:p>
    <w:p>
      <w:pPr>
        <w:bidi w:val="0"/>
        <w:jc w:val="both"/>
        <w:rPr>
          <w:rFonts w:hint="default" w:ascii="Times New Roman" w:hAnsi="Times New Roman" w:cs="Times New Roman"/>
          <w:highlight w:val="none"/>
          <w:lang w:val="en-US" w:eastAsia="zh-CN"/>
        </w:rPr>
        <w:sectPr>
          <w:pgSz w:w="11906" w:h="16838"/>
          <w:pgMar w:top="1440" w:right="1797" w:bottom="1440" w:left="1797" w:header="794" w:footer="283" w:gutter="0"/>
          <w:pgNumType w:fmt="decimal"/>
          <w:cols w:space="720" w:num="1"/>
          <w:docGrid w:linePitch="326" w:charSpace="0"/>
        </w:sectPr>
      </w:pPr>
      <w:r>
        <w:rPr>
          <w:rFonts w:hint="default" w:ascii="Times New Roman" w:hAnsi="Times New Roman" w:eastAsia="宋体" w:cs="Times New Roman"/>
          <w:kern w:val="0"/>
          <w:sz w:val="24"/>
          <w:highlight w:val="none"/>
          <w:lang w:val="en-US" w:eastAsia="zh-CN"/>
        </w:rPr>
        <w:t>现阶段合同运维服务期限：2025年9月20日至2025年12月31日。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临湘市校车监控平台</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临湘市校车监控平台牵头使用单位为临湘市教育体育局。平台主要功能包括校车实时视频监控、智能行为识别告警、视频存储溯源、应急联动指挥、数据统计管理等，应用于全市校车安全监管场景。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数据存储于岳阳市政务云机房，相关数据回流至市教体局自建应用使用。安全措施按网络安全等级保护二级要求建设。</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软件开发单位为湖南六九零六信息科技股份有限公司。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现阶段合同运维服务期限：2025年1月1日至2025年12月31日。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临湘市交通治超综合管理平台</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临湘市交通治超综合管理平台牵头使用单位为临湘市交通运输局，具体使用单位为市交通运输综合行政执法大队。平台主要功能包括货运车辆超限超载非现场执法、源头企业称重数据汇聚、违法车辆证据审核、执法文书制作、数据上传省市治超平台等，应用于全市超限超载治理非现场执法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数据存储于临湘市政务云平台，数据回流政务云存储。安全措施包括防火墙、网络入侵监测、病毒特征库更新，系统符合等保三级要求。</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软件开发单位为湖南海德威科技有限公司。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现阶段合同运维服务期限：2025年1月1日至2025年12月31日。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eastAsia" w:ascii="Times New Roman" w:hAnsi="Times New Roman" w:eastAsia="黑体" w:cs="Times New Roman"/>
          <w:bCs/>
          <w:sz w:val="24"/>
          <w:szCs w:val="28"/>
          <w:lang w:val="en-US" w:eastAsia="zh-CN" w:bidi="ar-SA"/>
        </w:rPr>
        <w:t>临湘市人民政府门户网站</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临湘市人民政府门户网站</w:t>
      </w:r>
      <w:r>
        <w:rPr>
          <w:rFonts w:hint="default" w:ascii="Times New Roman" w:hAnsi="Times New Roman" w:eastAsia="宋体" w:cs="Times New Roman"/>
          <w:kern w:val="0"/>
          <w:sz w:val="24"/>
          <w:highlight w:val="none"/>
          <w:lang w:val="en-US" w:eastAsia="zh-CN"/>
        </w:rPr>
        <w:t>牵头使用单位为临湘市数据局。网站主要承担政务信息公开、政策发布解读、办事服务指引、政民互动等职能，应用于全市政务公开及对外宣传服务场景。</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数据存储于岳阳市政务云机房，数据未回流本地。安全措施包括定期系统监测与补丁更新、每小时自动备份、系统BUG修复、故障检测等。</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软件开发单位为岳阳市灵捷动力网络科技有限公司。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现阶段合同运维服务期限：2024年11月28日至2025年11月27日。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临湘市政府网微信公众号</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临湘市政府网微信公众号牵头使用单位为临湘市数据局。公众号承担政务信息发布、政策解读、便民服务等职能，是市政府移动端对外宣传服务渠道。</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数据存储于岳阳市政务云，安全措施与政府门户网站共用云平台防护体系，含定期监测、自动备份等。</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软件开发单位为岳阳市灵捷动力网络科技有限公司。</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现阶段合同运维服务期限：2025年1月1日至2025年12月31日。</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33" w:name="_Toc10242"/>
      <w:r>
        <w:rPr>
          <w:rFonts w:hint="eastAsia" w:ascii="Times New Roman" w:hAnsi="Times New Roman" w:eastAsia="黑体" w:cs="Times New Roman"/>
          <w:bCs/>
          <w:kern w:val="2"/>
          <w:sz w:val="28"/>
          <w:szCs w:val="32"/>
          <w:lang w:val="en-US" w:eastAsia="zh-CN" w:bidi="ar-SA"/>
        </w:rPr>
        <w:t>网络线路租赁与运维管理服务</w:t>
      </w:r>
      <w:r>
        <w:rPr>
          <w:rFonts w:hint="default" w:ascii="Times New Roman" w:hAnsi="Times New Roman" w:eastAsia="黑体" w:cs="Times New Roman"/>
          <w:bCs/>
          <w:kern w:val="2"/>
          <w:sz w:val="28"/>
          <w:szCs w:val="32"/>
          <w:lang w:val="en-US" w:eastAsia="zh-CN" w:bidi="ar-SA"/>
        </w:rPr>
        <w:t>现状</w:t>
      </w:r>
      <w:bookmarkEnd w:id="33"/>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网络线路租赁现状</w:t>
      </w:r>
    </w:p>
    <w:p>
      <w:pPr>
        <w:widowControl w:val="0"/>
        <w:spacing w:line="360" w:lineRule="auto"/>
        <w:ind w:firstLine="480" w:firstLineChars="200"/>
        <w:jc w:val="both"/>
        <w:rPr>
          <w:rFonts w:hint="default" w:ascii="Times New Roman" w:hAnsi="Times New Roman" w:eastAsia="宋体" w:cs="Times New Roman"/>
          <w:sz w:val="24"/>
          <w:szCs w:val="24"/>
          <w:highlight w:val="none"/>
          <w:lang w:val="en-US" w:eastAsia="zh-CN" w:bidi="ar-SA"/>
        </w:rPr>
      </w:pPr>
      <w:r>
        <w:rPr>
          <w:rFonts w:hint="default" w:ascii="Times New Roman" w:hAnsi="Times New Roman" w:eastAsia="宋体" w:cs="Times New Roman"/>
          <w:sz w:val="24"/>
          <w:szCs w:val="24"/>
          <w:highlight w:val="none"/>
          <w:lang w:val="en-US" w:eastAsia="zh-CN" w:bidi="ar-SA"/>
        </w:rPr>
        <w:t>全市政务网络经多年建设，已达到一定规模，经调研之后，本项目网络链路共计3172条，主要包含临湘市数据局、临湘市交通运输局、城管局（含二级机构）、应急管理局等各委办局，网络链路带宽为2-2000M不等，各委办局网络链路现状如下：</w:t>
      </w:r>
    </w:p>
    <w:p>
      <w:pPr>
        <w:ind w:firstLine="480"/>
        <w:jc w:val="center"/>
        <w:rPr>
          <w:rFonts w:hint="default" w:ascii="Times New Roman" w:hAnsi="Times New Roman" w:cs="Times New Roman"/>
        </w:rPr>
        <w:sectPr>
          <w:headerReference r:id="rId4" w:type="default"/>
          <w:pgSz w:w="11906" w:h="16838"/>
          <w:pgMar w:top="1440" w:right="1797" w:bottom="1440" w:left="1797" w:header="794" w:footer="397" w:gutter="0"/>
          <w:pgNumType w:fmt="decimal"/>
          <w:cols w:space="720" w:num="1"/>
          <w:docGrid w:linePitch="326" w:charSpace="0"/>
        </w:sectPr>
      </w:pPr>
    </w:p>
    <w:p>
      <w:pPr>
        <w:widowControl w:val="0"/>
        <w:spacing w:line="360" w:lineRule="auto"/>
        <w:ind w:firstLine="480" w:firstLineChars="200"/>
        <w:jc w:val="center"/>
        <w:rPr>
          <w:rFonts w:hint="default" w:ascii="Times New Roman" w:hAnsi="Times New Roman" w:eastAsia="宋体" w:cs="Times New Roman"/>
          <w:sz w:val="24"/>
          <w:szCs w:val="24"/>
          <w:highlight w:val="none"/>
          <w:lang w:val="en-US" w:eastAsia="zh-CN" w:bidi="ar-SA"/>
        </w:rPr>
      </w:pPr>
      <w:r>
        <w:rPr>
          <w:rFonts w:hint="default" w:ascii="Times New Roman" w:hAnsi="Times New Roman" w:eastAsia="宋体" w:cs="Times New Roman"/>
          <w:sz w:val="24"/>
          <w:szCs w:val="24"/>
          <w:lang w:val="en-US" w:eastAsia="zh-CN" w:bidi="ar-SA"/>
        </w:rPr>
        <w:t xml:space="preserve">表 </w:t>
      </w:r>
      <w:r>
        <w:rPr>
          <w:rFonts w:hint="default" w:ascii="Times New Roman" w:hAnsi="Times New Roman" w:eastAsia="宋体" w:cs="Times New Roman"/>
          <w:sz w:val="24"/>
          <w:szCs w:val="24"/>
          <w:lang w:val="en-US" w:eastAsia="zh-CN" w:bidi="ar-SA"/>
        </w:rPr>
        <w:fldChar w:fldCharType="begin"/>
      </w:r>
      <w:r>
        <w:rPr>
          <w:rFonts w:hint="default" w:ascii="Times New Roman" w:hAnsi="Times New Roman" w:eastAsia="宋体" w:cs="Times New Roman"/>
          <w:sz w:val="24"/>
          <w:szCs w:val="24"/>
          <w:lang w:val="en-US" w:eastAsia="zh-CN" w:bidi="ar-SA"/>
        </w:rPr>
        <w:instrText xml:space="preserve"> STYLEREF 2 \s </w:instrText>
      </w:r>
      <w:r>
        <w:rPr>
          <w:rFonts w:hint="default" w:ascii="Times New Roman" w:hAnsi="Times New Roman" w:eastAsia="宋体" w:cs="Times New Roman"/>
          <w:sz w:val="24"/>
          <w:szCs w:val="24"/>
          <w:lang w:val="en-US" w:eastAsia="zh-CN" w:bidi="ar-SA"/>
        </w:rPr>
        <w:fldChar w:fldCharType="separate"/>
      </w:r>
      <w:r>
        <w:rPr>
          <w:rFonts w:hint="default" w:ascii="Times New Roman" w:hAnsi="Times New Roman" w:eastAsia="宋体" w:cs="Times New Roman"/>
          <w:sz w:val="24"/>
          <w:szCs w:val="24"/>
          <w:lang w:val="en-US" w:eastAsia="zh-CN" w:bidi="ar-SA"/>
        </w:rPr>
        <w:t>2.3</w:t>
      </w:r>
      <w:r>
        <w:rPr>
          <w:rFonts w:hint="default" w:ascii="Times New Roman" w:hAnsi="Times New Roman" w:eastAsia="宋体" w:cs="Times New Roman"/>
          <w:sz w:val="24"/>
          <w:szCs w:val="24"/>
          <w:lang w:val="en-US" w:eastAsia="zh-CN" w:bidi="ar-SA"/>
        </w:rPr>
        <w:fldChar w:fldCharType="end"/>
      </w:r>
      <w:r>
        <w:rPr>
          <w:rFonts w:hint="default" w:ascii="Times New Roman" w:hAnsi="Times New Roman" w:eastAsia="宋体" w:cs="Times New Roman"/>
          <w:sz w:val="24"/>
          <w:szCs w:val="24"/>
          <w:lang w:val="en-US" w:eastAsia="zh-CN" w:bidi="ar-SA"/>
        </w:rPr>
        <w:t>-</w:t>
      </w:r>
      <w:r>
        <w:rPr>
          <w:rFonts w:hint="default" w:ascii="Times New Roman" w:hAnsi="Times New Roman" w:eastAsia="宋体" w:cs="Times New Roman"/>
          <w:sz w:val="24"/>
          <w:szCs w:val="24"/>
          <w:lang w:val="en-US" w:eastAsia="zh-CN" w:bidi="ar-SA"/>
        </w:rPr>
        <w:fldChar w:fldCharType="begin"/>
      </w:r>
      <w:r>
        <w:rPr>
          <w:rFonts w:ascii="Times New Roman" w:hAnsi="Times New Roman" w:eastAsia="宋体" w:cs="宋体"/>
          <w:sz w:val="24"/>
          <w:szCs w:val="24"/>
          <w:lang w:val="en-US" w:eastAsia="zh-CN" w:bidi="ar-SA"/>
        </w:rPr>
        <w:instrText xml:space="preserve">SEQ 表 \* ARABIC \s 2</w:instrText>
      </w:r>
      <w:r>
        <w:rPr>
          <w:rFonts w:hint="default" w:ascii="Times New Roman" w:hAnsi="Times New Roman" w:eastAsia="宋体" w:cs="Times New Roman"/>
          <w:sz w:val="24"/>
          <w:szCs w:val="24"/>
          <w:lang w:val="en-US" w:eastAsia="zh-CN" w:bidi="ar-SA"/>
        </w:rPr>
        <w:fldChar w:fldCharType="separate"/>
      </w:r>
      <w:r>
        <w:rPr>
          <w:rFonts w:ascii="Times New Roman" w:hAnsi="Times New Roman" w:eastAsia="宋体" w:cs="宋体"/>
          <w:sz w:val="24"/>
          <w:szCs w:val="24"/>
          <w:lang w:val="en-US" w:eastAsia="zh-CN" w:bidi="ar-SA"/>
        </w:rPr>
        <w:t>1</w:t>
      </w:r>
      <w:r>
        <w:rPr>
          <w:rFonts w:hint="default" w:ascii="Times New Roman" w:hAnsi="Times New Roman" w:eastAsia="宋体" w:cs="Times New Roman"/>
          <w:sz w:val="24"/>
          <w:szCs w:val="24"/>
          <w:lang w:val="en-US" w:eastAsia="zh-CN" w:bidi="ar-SA"/>
        </w:rPr>
        <w:fldChar w:fldCharType="end"/>
      </w:r>
      <w:r>
        <w:rPr>
          <w:rFonts w:hint="default" w:ascii="Times New Roman" w:hAnsi="Times New Roman" w:eastAsia="宋体" w:cs="Times New Roman"/>
          <w:sz w:val="24"/>
          <w:szCs w:val="24"/>
          <w:lang w:val="en-US" w:eastAsia="zh-CN" w:bidi="ar-SA"/>
        </w:rPr>
        <w:t xml:space="preserve"> </w:t>
      </w:r>
      <w:r>
        <w:rPr>
          <w:rFonts w:hint="default" w:ascii="Times New Roman" w:hAnsi="Times New Roman" w:eastAsia="宋体" w:cs="Times New Roman"/>
          <w:sz w:val="24"/>
          <w:szCs w:val="24"/>
          <w:highlight w:val="none"/>
          <w:lang w:val="en-US" w:eastAsia="zh-CN" w:bidi="ar-SA"/>
        </w:rPr>
        <w:t>各委办局网络链路现状</w:t>
      </w:r>
    </w:p>
    <w:tbl>
      <w:tblPr>
        <w:tblStyle w:val="5"/>
        <w:tblW w:w="139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6"/>
        <w:gridCol w:w="1896"/>
        <w:gridCol w:w="2736"/>
        <w:gridCol w:w="2736"/>
        <w:gridCol w:w="1115"/>
        <w:gridCol w:w="1718"/>
        <w:gridCol w:w="928"/>
        <w:gridCol w:w="703"/>
        <w:gridCol w:w="637"/>
        <w:gridCol w:w="8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6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序号</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使用单位</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链路名称</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线路使用地址</w:t>
            </w:r>
          </w:p>
        </w:tc>
        <w:tc>
          <w:tcPr>
            <w:tcW w:w="111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链路类型</w:t>
            </w:r>
          </w:p>
        </w:tc>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带宽</w:t>
            </w:r>
          </w:p>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（bps）</w:t>
            </w:r>
          </w:p>
        </w:tc>
        <w:tc>
          <w:tcPr>
            <w:tcW w:w="70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单位</w:t>
            </w:r>
          </w:p>
        </w:tc>
        <w:tc>
          <w:tcPr>
            <w:tcW w:w="63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数量</w:t>
            </w:r>
          </w:p>
        </w:tc>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租赁期</w:t>
            </w:r>
          </w:p>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63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111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171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70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63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13105" w:type="dxa"/>
            <w:gridSpan w:val="9"/>
            <w:tcBorders>
              <w:top w:val="single" w:color="000000" w:sz="4" w:space="0"/>
              <w:left w:val="single" w:color="000000" w:sz="4" w:space="0"/>
              <w:bottom w:val="single" w:color="000000" w:sz="4" w:space="0"/>
              <w:right w:val="nil"/>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（一）临湘市数字化平台网络链路统一运维服务项目</w:t>
            </w:r>
          </w:p>
        </w:tc>
        <w:tc>
          <w:tcPr>
            <w:tcW w:w="847" w:type="dxa"/>
            <w:tcBorders>
              <w:top w:val="single" w:color="000000" w:sz="4" w:space="0"/>
              <w:left w:val="nil"/>
              <w:bottom w:val="single" w:color="000000" w:sz="4" w:space="0"/>
              <w:right w:val="nil"/>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电子政务外网光纤租用及网络维护（市直单位）</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市直单位及城区二级机构</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nil"/>
              <w:left w:val="nil"/>
              <w:bottom w:val="nil"/>
              <w:right w:val="nil"/>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电子政务外网应用数据专线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89</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电子政务外网光纤互联网出口2G(主用1)</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数据中心机房</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互联网出口带宽</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2G</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电子政务外网光纤互联网出口2G(主用2)</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数据中心机房</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互联网出口带宽</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2G</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电子政务外网光纤互联网出口1G(备用)</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数据中心机房</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互联网出口带宽</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1G</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DC机房数据上传岳阳政务云（100M）</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数据局</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临湘市水利局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到省厅水利专线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水利局办公楼</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临湘市应急局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山塘水库</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临湘所有水库监控</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133</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8</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到省厅应急专线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应急局办公楼</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9</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临湘市教体局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教育局中考阅卷专线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一中教学楼</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临湘市教体局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教育云专网</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各学校办公教育云专网</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教育云专网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1835</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11</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临湘市教体局</w:t>
            </w: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一键报警运维服务项目</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一键报警平台使用，联通机房到教体局到岳阳云服务平台</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校园一键报警专网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12</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临湘市教体局</w:t>
            </w: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一键报警平台使用，联通机房到学校一键报警设备</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校园一键报警专网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70</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13</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临湘市人社局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人社全省视频会议专线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人社局办公楼</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14</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临湘市人社局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社保专线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人社局办公楼</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15</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15</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临湘市统计局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民调专线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统计局办公楼6楼</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16</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临湘市财政局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财政专线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财政局办公楼</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40</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17</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临湘市农业农村局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渔政执法监控</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各个渔政点</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18</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18</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临湘市城管局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城区易涝点监控视频6条</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各易涝点</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19</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儒溪工业园视频专线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儒溪管委会（高新区）</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单位专网裸纤</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上云系统至单位专线（农业、水利）</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21</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数据裸纤</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统一运维中心至电信机房</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裸纤</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22</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数据局视频裸纤</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数据局至视频融合平台</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23</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矿山摄像头收编</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桃矿</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24</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矿山摄像头收编</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海螺、凡泰、富安、正鑫、强盛、湘岳、渔源</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25</w:t>
            </w:r>
          </w:p>
        </w:tc>
        <w:tc>
          <w:tcPr>
            <w:tcW w:w="189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临湘市数据局</w:t>
            </w: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电子政务外网光纤租用及维护（镇村）</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各镇街道</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14</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26</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162</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27</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云视讯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市直单位、镇街道、村社区</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云视讯本地化应用专网硬终端</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22</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28</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软终端</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云视讯本地化应用专网账号</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338</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29</w:t>
            </w:r>
          </w:p>
        </w:tc>
        <w:tc>
          <w:tcPr>
            <w:tcW w:w="189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临湘市城管局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城管街面监控专线</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城管路面视频监控</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30</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焚烧烟雾专线</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烟雾报警</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31</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32</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燃气平台专线</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燃气项目</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13</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33</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34</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物联网100M互联网出口</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数据中心机房</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互联网出口</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35</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横铺治超非现场执法专线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横铺与桃林公路交叉点</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36</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临湘市白石园林场</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临湘市白石园林场</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37</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临湘市药菇山林场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临湘市药菇山林场</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38</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临湘市荆竹山林场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临湘市荆竹山林场</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39</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临湘市五尖山林场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临湘市五尖山林场</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40</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临湘市羊楼司镇林业站</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41</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临湘市桃林林业站</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42</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临湘市聂市镇林业站</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43</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临湘市黄盖湖实地保护站</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44</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临湘市财政局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财政专线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人大对接财政局</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45</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财政专线</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各财政预算单位</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151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46</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47</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临湘市农业局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畜牧水产监控点位线路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桃林、聂市、杨田</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48</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临湘市市监局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对接岳阳市局专线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临湘至岳阳市局</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49</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临湘市水利局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视频监控线路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各镇街道水管站</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前端感知设备数据专线网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15</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临湘市文旅广电局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各网络会所文化监控接入</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市文化市场综合执法大队</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互联网出口</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51</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临湘市总工会</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云视讯专线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对接省工会</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52</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电子政务外网光纤租用及维护（镇村）</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各站所</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56</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53</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临湘移动机房至数据局机房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临湘移动机房至数据局机房</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裸纤</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54</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云视讯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党校硬终端</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55</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云视讯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水利局硬终端</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56</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临湘市水利局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各乡村水库监控</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物联网卡</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物联网卡</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57</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临湘市数据局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临湘联通机房至数据局机房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临湘移动机房至数据局机房</w:t>
            </w:r>
          </w:p>
        </w:tc>
        <w:tc>
          <w:tcPr>
            <w:tcW w:w="1115"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裸纤</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58</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临湘高新区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网络专线（智赋万企、专线、电路）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管委会中控平台使用，高新区到联通机房到中控平台</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59</w:t>
            </w:r>
          </w:p>
        </w:tc>
        <w:tc>
          <w:tcPr>
            <w:tcW w:w="189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临湘市卫健局</w:t>
            </w: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网络专线和医保电路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人民医院</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60</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横铺卫生院、聂市卫生院</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4</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61</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子叶大药房</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62</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智赋万企</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63</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老百姓大药房</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64</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临湘市市监局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网络专线</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用于市监局桃林所智慧监管平台使用，联通机房到市监局到桃林市监局管理所</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65</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临湘市应急局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网络专线</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云服务平台支撑使用，联通机房到应急局到云服务平台</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66</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临湘市水利局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应用于气象局与水利局针对汛情期间水位监测，联通机房到气象局到水利局</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20M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67</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临湘市纪委</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会议系统使用，联通机房到市纪委到云会议系统</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国家、省、岳阳数据专线网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100M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68</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临湘市高强混凝土有限公司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69</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中储恒科物联网系统有限公司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70</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中储恒科物联网系统有限公司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71</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中储恒科物联网系统有限公司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72</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临鸭码头</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73</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临湘市凡泰矿业有限公司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74</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临湘海螺水泥有限责任公司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75</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临湘市智航铭德机动车检测有限公司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76</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临湘市智航铭德机动车检测有限公司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77</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岳阳三诚计量器材有限公司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78</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岳阳华强混凝土有限公司</w:t>
            </w:r>
          </w:p>
        </w:tc>
        <w:tc>
          <w:tcPr>
            <w:tcW w:w="1115"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城区/乡镇</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本地数据专线网</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50M</w:t>
            </w:r>
          </w:p>
        </w:tc>
        <w:tc>
          <w:tcPr>
            <w:tcW w:w="703"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条/年</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12468" w:type="dxa"/>
            <w:gridSpan w:val="8"/>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合计2</w:t>
            </w:r>
          </w:p>
        </w:tc>
        <w:tc>
          <w:tcPr>
            <w:tcW w:w="63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3172</w:t>
            </w:r>
          </w:p>
        </w:tc>
        <w:tc>
          <w:tcPr>
            <w:tcW w:w="84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p>
        </w:tc>
      </w:tr>
    </w:tbl>
    <w:p>
      <w:pPr>
        <w:spacing w:line="360" w:lineRule="auto"/>
        <w:ind w:firstLine="480" w:firstLineChars="200"/>
        <w:jc w:val="both"/>
        <w:rPr>
          <w:rFonts w:hint="default" w:ascii="Times New Roman" w:hAnsi="Times New Roman" w:eastAsia="宋体" w:cs="宋体"/>
          <w:kern w:val="0"/>
          <w:sz w:val="24"/>
        </w:rPr>
      </w:pPr>
    </w:p>
    <w:p>
      <w:pPr>
        <w:jc w:val="both"/>
        <w:rPr>
          <w:rFonts w:hint="default" w:ascii="Times New Roman" w:hAnsi="Times New Roman" w:cs="Times New Roman"/>
          <w:highlight w:val="none"/>
          <w:lang w:val="en-US" w:eastAsia="zh-CN"/>
        </w:rPr>
        <w:sectPr>
          <w:pgSz w:w="16838" w:h="11906" w:orient="landscape"/>
          <w:pgMar w:top="1797" w:right="1440" w:bottom="1797" w:left="1440" w:header="1077" w:footer="397" w:gutter="0"/>
          <w:pgNumType w:fmt="decimal"/>
          <w:cols w:space="720" w:num="1"/>
          <w:docGrid w:linePitch="326" w:charSpace="0"/>
        </w:sectPr>
      </w:pP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eastAsia" w:ascii="Times New Roman" w:hAnsi="Times New Roman" w:eastAsia="黑体" w:cs="Times New Roman"/>
          <w:bCs/>
          <w:sz w:val="24"/>
          <w:szCs w:val="28"/>
          <w:lang w:val="en-US" w:eastAsia="zh-CN" w:bidi="ar-SA"/>
        </w:rPr>
        <w:t>网络运维管理</w:t>
      </w:r>
      <w:r>
        <w:rPr>
          <w:rFonts w:hint="default" w:ascii="Times New Roman" w:hAnsi="Times New Roman" w:eastAsia="黑体" w:cs="Times New Roman"/>
          <w:bCs/>
          <w:sz w:val="24"/>
          <w:szCs w:val="28"/>
          <w:lang w:val="en-US" w:eastAsia="zh-CN" w:bidi="ar-SA"/>
        </w:rPr>
        <w:t>现状</w:t>
      </w:r>
    </w:p>
    <w:p>
      <w:pPr>
        <w:bidi w:val="0"/>
        <w:spacing w:line="360" w:lineRule="auto"/>
        <w:ind w:firstLine="480"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kern w:val="0"/>
          <w:sz w:val="24"/>
          <w:lang w:eastAsia="zh-CN"/>
        </w:rPr>
        <w:t>目前全市尚未建设统一的</w:t>
      </w:r>
      <w:r>
        <w:rPr>
          <w:rFonts w:hint="eastAsia" w:ascii="Times New Roman" w:hAnsi="Times New Roman" w:eastAsia="宋体" w:cs="Times New Roman"/>
          <w:kern w:val="0"/>
          <w:sz w:val="24"/>
          <w:lang w:eastAsia="zh-CN"/>
        </w:rPr>
        <w:t>网络运维管理</w:t>
      </w:r>
      <w:r>
        <w:rPr>
          <w:rFonts w:hint="default" w:ascii="Times New Roman" w:hAnsi="Times New Roman" w:eastAsia="宋体" w:cs="Times New Roman"/>
          <w:kern w:val="0"/>
          <w:sz w:val="24"/>
          <w:lang w:eastAsia="zh-CN"/>
        </w:rPr>
        <w:t>，链路运维主要依靠传统手段开展：链路资产由各单位自行申报，以纸质或电子表格分散登记，台账要素不全、更新不及时，缺乏统一的链路资源底数；故障受理主要通过电话、微信等方式逐级转达，无统一受理入口和工单流转流程，处置过程不留痕、时限无法督办、责任难以界定；链路运行状态主要依赖运营商通报和人工巡检，缺乏主动监控和告警手段；运维统计依靠人工汇总，难以及时掌握故障分布、处置时效和各单位运维情况。</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34" w:name="_Toc8563"/>
      <w:r>
        <w:rPr>
          <w:rFonts w:hint="default" w:ascii="Times New Roman" w:hAnsi="Times New Roman" w:eastAsia="黑体" w:cs="Times New Roman"/>
          <w:bCs/>
          <w:kern w:val="2"/>
          <w:sz w:val="28"/>
          <w:szCs w:val="32"/>
          <w:lang w:val="en-US" w:eastAsia="zh-CN" w:bidi="ar-SA"/>
        </w:rPr>
        <w:t>硬件设备运维现状</w:t>
      </w:r>
      <w:bookmarkEnd w:id="34"/>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业务终端交付一体机系统2套运维(主用)</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 xml:space="preserve">临湘市财政局现有业务终端交付一体机系统，主用共 </w:t>
      </w:r>
      <w:r>
        <w:rPr>
          <w:rFonts w:hint="default" w:ascii="Times New Roman" w:hAnsi="Times New Roman" w:eastAsia="宋体" w:cs="Times New Roman"/>
          <w:kern w:val="0"/>
          <w:sz w:val="24"/>
          <w:lang w:val="en-US" w:eastAsia="zh-CN"/>
        </w:rPr>
        <w:t>2</w:t>
      </w:r>
      <w:r>
        <w:rPr>
          <w:rFonts w:hint="default" w:ascii="Times New Roman" w:hAnsi="Times New Roman" w:eastAsia="宋体" w:cs="Times New Roman"/>
          <w:kern w:val="0"/>
          <w:sz w:val="24"/>
        </w:rPr>
        <w:t>套。当前运维服务包含保养清洁、运维巡检、故障响应及处理、设备更换、重大事件保障、运维服务质量管控，保障财政业务终端业务稳定运行。</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业务终端交付一体机系统4套运维(主用)</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 xml:space="preserve">临湘市财政局现有业务终端交付一体机系统，主用共 </w:t>
      </w:r>
      <w:r>
        <w:rPr>
          <w:rFonts w:hint="default" w:ascii="Times New Roman" w:hAnsi="Times New Roman" w:eastAsia="宋体" w:cs="Times New Roman"/>
          <w:kern w:val="0"/>
          <w:sz w:val="24"/>
          <w:lang w:val="en-US" w:eastAsia="zh-CN"/>
        </w:rPr>
        <w:t>4</w:t>
      </w:r>
      <w:r>
        <w:rPr>
          <w:rFonts w:hint="default" w:ascii="Times New Roman" w:hAnsi="Times New Roman" w:eastAsia="宋体" w:cs="Times New Roman"/>
          <w:kern w:val="0"/>
          <w:sz w:val="24"/>
        </w:rPr>
        <w:t>套。当前运维服务包含保养清洁、运维巡检、故障响应及处理、设备更换、重大事件保障、运维服务质量管控，保障财政业务终端业务稳定运行。</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预算一体化系统运维</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临湘市财政局部署预算一体化系统，配置驻场运维服务，开展系统日常技术支撑、故障处置等工作，保障预算业务正常办理。</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云平台及业务终端交付设备</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临湘市财政局现有云平台 4 套、业务终端交付设备 5 套。运维服务包含保养清洁、运维巡检、故障响应及处理、设备更换、重大事件保障、运维服务质量管控，支撑财政云业务稳定运行。</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电池更换及机房硬件维修</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临湘市财政局现有机房硬件设备，可开展电池更换及机房硬件维修。运维服务包含保养清洁、运维巡检、故障响应及处理、设备更换、重大事件保障、运维服务质量管控，保障机房基础设施可靠运行。</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业务终端交付一体机系统2套运维(备用)</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临湘市财政局现有业务终端交付一体机系统，主用共 6 套、备用 2 套。当前运维服务包含保养清洁、运维巡检、故障响应及处理、设备更换、重大事件保障、运维服务质量管控，保障财政业务终端业务稳定运行。</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部门预算终端维护服务</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临湘市财政局配置部门预算终端，配套终端维护服务，保障部门预算相关业务办理。</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机房维护和预算单位网络、硬件维护</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临湘市财政局部署机房、预算单位网络及硬件设备。运维服务包含保养清洁、运维巡检、故障响应及处理、设备更换、重大事件保障、运维服务质量管控，保障单位内部网络畅通。</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网络安全设备运维</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临湘市财政局部署网络安全设备，配套运维服务，开展安全设备巡检、故障处置、安全保障等工作，保障财政网络安全。</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千兆光模块维护</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临湘市发改局现有千兆光模块网络设施。运维服务包含保养清洁、运维巡检、故障响应及处理、设备更换、重大事件保障、运维服务质量管控，保障网络链路通信稳定。</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非煤矿山企业接入机房</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临湘市数据局建有支撑非煤矿山企业接入业务的机房。运维服务包含保养清洁、运维巡检、故障响应及处理、设备更换、重大事件保障、运维服务质量管控，保障非煤矿山企业业务接入。</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临湘市数字化平台统一运维第三方技术服务项目运维现状</w:t>
      </w:r>
    </w:p>
    <w:p>
      <w:pPr>
        <w:keepNext/>
        <w:keepLines/>
        <w:widowControl w:val="0"/>
        <w:numPr>
          <w:ilvl w:val="4"/>
          <w:numId w:val="1"/>
        </w:numPr>
        <w:bidi w:val="0"/>
        <w:spacing w:line="360" w:lineRule="auto"/>
        <w:ind w:left="0" w:firstLine="0" w:firstLineChars="0"/>
        <w:jc w:val="both"/>
        <w:outlineLvl w:val="4"/>
        <w:rPr>
          <w:rFonts w:hint="default" w:ascii="Times New Roman" w:hAnsi="Times New Roman" w:eastAsia="黑体" w:cs="Times New Roman"/>
          <w:bCs/>
          <w:kern w:val="2"/>
          <w:sz w:val="24"/>
          <w:szCs w:val="28"/>
          <w:lang w:val="en-US" w:eastAsia="zh-CN" w:bidi="ar-SA"/>
        </w:rPr>
      </w:pPr>
      <w:r>
        <w:rPr>
          <w:rFonts w:hint="default" w:ascii="Times New Roman" w:hAnsi="Times New Roman" w:eastAsia="黑体" w:cs="Times New Roman"/>
          <w:bCs/>
          <w:kern w:val="2"/>
          <w:sz w:val="24"/>
          <w:szCs w:val="28"/>
          <w:lang w:val="en-US" w:eastAsia="zh-CN" w:bidi="ar-SA"/>
        </w:rPr>
        <w:t>前端感知设备现状</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前端感知设备是用于支撑各部门履行管理和服务职能的各类无人操作的前端感知设备及配套设施设备，主要包括摄像机、感应器等设备及配套设施设备，不包括各部门用于机关内部管理的摄像机及配套设施：</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1、视频监控设备共计涉及8个单位，共计1022路，主要用于覆盖各单位相关业务的视频监控，视频监控设备类型主要分为枪式摄像机、半球形摄像机、球形摄像机、全景摄像机等。</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2、其他前端感知设备共计涉及5个委办局，共计3069个，设备类型包括精确复检静态地磅、城市内涝水位计、烟雾报警器等，主要用于各类业务平台或系统前端数据采集。</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3、配套设施设备共计涉及2个委办局，共计41个，主要包括LED显示屏、UPS不间断电源、一体化机柜、一体化机柜防盗网等。</w:t>
      </w:r>
    </w:p>
    <w:p>
      <w:pPr>
        <w:spacing w:line="360" w:lineRule="auto"/>
        <w:ind w:firstLine="480" w:firstLineChars="200"/>
        <w:jc w:val="both"/>
        <w:rPr>
          <w:rFonts w:hint="default" w:ascii="Times New Roman" w:hAnsi="Times New Roman" w:eastAsia="宋体" w:cs="Times New Roman"/>
          <w:kern w:val="0"/>
          <w:sz w:val="24"/>
          <w:highlight w:val="none"/>
        </w:rPr>
      </w:pPr>
    </w:p>
    <w:p>
      <w:pPr>
        <w:jc w:val="both"/>
        <w:rPr>
          <w:rFonts w:hint="default" w:ascii="Times New Roman" w:hAnsi="Times New Roman" w:cs="Times New Roman"/>
          <w:highlight w:val="none"/>
        </w:rPr>
        <w:sectPr>
          <w:footerReference r:id="rId5" w:type="default"/>
          <w:pgSz w:w="11906" w:h="16838"/>
          <w:pgMar w:top="1418" w:right="1701" w:bottom="1418" w:left="1644" w:header="737" w:footer="1077" w:gutter="284"/>
          <w:pgNumType w:fmt="decimal"/>
          <w:cols w:space="720" w:num="1"/>
          <w:docGrid w:linePitch="326" w:charSpace="0"/>
        </w:sectPr>
      </w:pPr>
    </w:p>
    <w:p>
      <w:pPr>
        <w:widowControl w:val="0"/>
        <w:bidi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ascii="Times New Roman" w:hAnsi="Times New Roman" w:eastAsia="黑体" w:cs="宋体"/>
          <w:sz w:val="21"/>
          <w:szCs w:val="24"/>
          <w:lang w:val="en-US" w:eastAsia="zh-CN" w:bidi="ar-SA"/>
        </w:rPr>
        <w:t xml:space="preserve">表 </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 STYLEREF 2 \s </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2.3</w:t>
      </w:r>
      <w:r>
        <w:rPr>
          <w:rFonts w:ascii="Times New Roman" w:hAnsi="Times New Roman" w:eastAsia="黑体" w:cs="宋体"/>
          <w:sz w:val="21"/>
          <w:szCs w:val="24"/>
          <w:lang w:val="en-US" w:eastAsia="zh-CN" w:bidi="ar-SA"/>
        </w:rPr>
        <w:fldChar w:fldCharType="end"/>
      </w:r>
      <w:r>
        <w:rPr>
          <w:rFonts w:hint="eastAsia" w:ascii="Times New Roman" w:hAnsi="Times New Roman" w:eastAsia="黑体" w:cs="宋体"/>
          <w:sz w:val="21"/>
          <w:szCs w:val="24"/>
          <w:lang w:val="en-US" w:eastAsia="zh-CN" w:bidi="ar-SA"/>
        </w:rPr>
        <w:t>-</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2</w:t>
      </w:r>
      <w:r>
        <w:rPr>
          <w:rFonts w:ascii="Times New Roman" w:hAnsi="Times New Roman" w:eastAsia="黑体" w:cs="宋体"/>
          <w:sz w:val="21"/>
          <w:szCs w:val="24"/>
          <w:lang w:val="en-US" w:eastAsia="zh-CN" w:bidi="ar-SA"/>
        </w:rPr>
        <w:fldChar w:fldCharType="end"/>
      </w:r>
      <w:r>
        <w:rPr>
          <w:rFonts w:hint="default" w:ascii="Times New Roman" w:hAnsi="Times New Roman" w:eastAsia="黑体" w:cs="Times New Roman"/>
          <w:sz w:val="21"/>
          <w:szCs w:val="24"/>
          <w:lang w:val="en-US" w:eastAsia="zh-CN" w:bidi="ar-SA"/>
        </w:rPr>
        <w:t>前端感知设备建设现状</w:t>
      </w:r>
    </w:p>
    <w:tbl>
      <w:tblPr>
        <w:tblStyle w:val="5"/>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885"/>
        <w:gridCol w:w="1095"/>
        <w:gridCol w:w="2700"/>
        <w:gridCol w:w="1410"/>
        <w:gridCol w:w="3899"/>
        <w:gridCol w:w="1417"/>
        <w:gridCol w:w="1134"/>
        <w:gridCol w:w="770"/>
      </w:tblGrid>
      <w:tr>
        <w:tblPrEx>
          <w:tblLayout w:type="fixed"/>
          <w:tblCellMar>
            <w:top w:w="0" w:type="dxa"/>
            <w:left w:w="108" w:type="dxa"/>
            <w:bottom w:w="0" w:type="dxa"/>
            <w:right w:w="108" w:type="dxa"/>
          </w:tblCellMar>
        </w:tblPrEx>
        <w:trPr>
          <w:trHeight w:val="480" w:hRule="atLeast"/>
          <w:tblHeader/>
        </w:trPr>
        <w:tc>
          <w:tcPr>
            <w:tcW w:w="638"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序号</w:t>
            </w:r>
          </w:p>
        </w:tc>
        <w:tc>
          <w:tcPr>
            <w:tcW w:w="885"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服务单位</w:t>
            </w:r>
          </w:p>
        </w:tc>
        <w:tc>
          <w:tcPr>
            <w:tcW w:w="1095"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设备类别</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设备名称</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设备型号</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安装位置</w:t>
            </w:r>
          </w:p>
        </w:tc>
        <w:tc>
          <w:tcPr>
            <w:tcW w:w="1417"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启用年限（年）</w:t>
            </w:r>
          </w:p>
        </w:tc>
        <w:tc>
          <w:tcPr>
            <w:tcW w:w="1134"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单位</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临湘市数据局</w:t>
            </w:r>
          </w:p>
        </w:tc>
        <w:tc>
          <w:tcPr>
            <w:tcW w:w="109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枪式摄像机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w:t>
            </w:r>
          </w:p>
        </w:tc>
        <w:tc>
          <w:tcPr>
            <w:tcW w:w="3899"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用于本单位和乡镇一门式公共区域及办公区域安防</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半球摄像机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w:t>
            </w:r>
          </w:p>
        </w:tc>
        <w:tc>
          <w:tcPr>
            <w:tcW w:w="3899"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政务自助终端</w:t>
            </w:r>
            <w:r>
              <w:rPr>
                <w:rFonts w:hint="default" w:ascii="Times New Roman" w:hAnsi="Times New Roman" w:eastAsia="宋体" w:cs="宋体"/>
                <w:sz w:val="21"/>
                <w:szCs w:val="24"/>
                <w:lang w:val="en-US" w:eastAsia="zh-CN" w:bidi="ar-SA"/>
              </w:rPr>
              <w:br w:type="textWrapping"/>
            </w:r>
            <w:r>
              <w:rPr>
                <w:rFonts w:hint="default" w:ascii="Times New Roman" w:hAnsi="Times New Roman" w:eastAsia="宋体" w:cs="宋体"/>
                <w:sz w:val="21"/>
                <w:szCs w:val="24"/>
                <w:lang w:val="en-US" w:eastAsia="zh-CN" w:bidi="ar-SA"/>
              </w:rPr>
              <w:t>（自助一体化）</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LQ-D11</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超级柜台自助终端</w:t>
            </w:r>
            <w:r>
              <w:rPr>
                <w:rFonts w:hint="default" w:ascii="Times New Roman" w:hAnsi="Times New Roman" w:eastAsia="宋体" w:cs="宋体"/>
                <w:sz w:val="21"/>
                <w:szCs w:val="24"/>
                <w:lang w:val="en-US" w:eastAsia="zh-CN" w:bidi="ar-SA"/>
              </w:rPr>
              <w:br w:type="textWrapping"/>
            </w:r>
            <w:r>
              <w:rPr>
                <w:rFonts w:hint="default" w:ascii="Times New Roman" w:hAnsi="Times New Roman" w:eastAsia="宋体" w:cs="宋体"/>
                <w:sz w:val="21"/>
                <w:szCs w:val="24"/>
                <w:lang w:val="en-US" w:eastAsia="zh-CN" w:bidi="ar-SA"/>
              </w:rPr>
              <w:t>（窗口双屏电脑）</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LQ-X1</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信息发布查询终端</w:t>
            </w:r>
            <w:r>
              <w:rPr>
                <w:rFonts w:hint="default" w:ascii="Times New Roman" w:hAnsi="Times New Roman" w:eastAsia="宋体" w:cs="宋体"/>
                <w:sz w:val="21"/>
                <w:szCs w:val="24"/>
                <w:lang w:val="en-US" w:eastAsia="zh-CN" w:bidi="ar-SA"/>
              </w:rPr>
              <w:br w:type="textWrapping"/>
            </w:r>
            <w:r>
              <w:rPr>
                <w:rFonts w:hint="default" w:ascii="Times New Roman" w:hAnsi="Times New Roman" w:eastAsia="宋体" w:cs="宋体"/>
                <w:sz w:val="21"/>
                <w:szCs w:val="24"/>
                <w:lang w:val="en-US" w:eastAsia="zh-CN" w:bidi="ar-SA"/>
              </w:rPr>
              <w:t>（竖屏查询机）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LQ-W72</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一体化电脑</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ThinkCentre M820z</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高拍仪（带二代证阅读器）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Z1002</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窗口物理呼叫器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LQ-H21</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排队信息显示屏（65寸）</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LQRT-65  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排队信息显示屏（49寸）</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LQRT-49  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11</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LED窗口显示屏（公安窗口）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LED窗口显示屏（人社窗口）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LED窗口显示屏（交警窗口）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LED窗口显示屏（医保窗口）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LED窗口显示屏（公共窗口）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LED窗口显示屏(民政窗口)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LED窗口显示屏（综合窗口）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LED窗口显示屏（税务窗口）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LED窗口显示屏（工程窗口）</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LED窗口显示屏（3楼）</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P4.75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21</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LED控制器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X16</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临湘市城市管理和综合执法局</w:t>
            </w:r>
          </w:p>
        </w:tc>
        <w:tc>
          <w:tcPr>
            <w:tcW w:w="109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枪式摄像机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市区主要道路 城中南路地下通道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球形摄像机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市区主要道路 城中南路地下通道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全景摄像机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城中鸟瞰</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其他前端感知设备及配套设施设备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城市内涝水位计</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市内易涝点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应急管理局</w:t>
            </w:r>
          </w:p>
        </w:tc>
        <w:tc>
          <w:tcPr>
            <w:tcW w:w="109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大华</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江南、聂市、坦渡、黄盖四个镇</w:t>
            </w:r>
          </w:p>
        </w:tc>
        <w:tc>
          <w:tcPr>
            <w:tcW w:w="1417"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球形摄像机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大华</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江南、聂市、坦渡、黄盖四个镇</w:t>
            </w:r>
          </w:p>
        </w:tc>
        <w:tc>
          <w:tcPr>
            <w:tcW w:w="1417"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临湘市交通运输局</w:t>
            </w:r>
          </w:p>
        </w:tc>
        <w:tc>
          <w:tcPr>
            <w:tcW w:w="109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车头高清抓拍摄像及车牌识别机(高速)车头照</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车尾、侧面高清抓拍摄像及车牌识别机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车头高清抓拍摄像及车牌识别机(高速)车头照</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车尾、侧面高清抓拍摄像及车牌识别机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车头高清抓拍摄像及车牌识别机(高速)车头照</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车尾、侧面高清抓拍摄像及车牌识别机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车头高清抓拍摄像及车牌识别机(高速)车头照</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车尾、侧面高清抓拍摄像及车牌识别机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iDS-TCV900-AE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高清网络枪机摄像机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DS-2CD2620F-IS</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桃林站</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2015</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室内半球摄像机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DS-2CD2720F</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桃林站</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2015</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11</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高清网络高速球形摄像机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DS-2DF7284-AB</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桃林站</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2015</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路面触感单元</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JJ40SYCGQ</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米</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高频信号处理器（12通道）</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JJ-12TD</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车辆检测器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VDS604S</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轨道位移控制器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JJ-21716</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称重仪表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JJ-40-35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传感器安装灌封胶</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JJ-GC50Z</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kg</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21</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长宽高仪传感器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LND202AI</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UPS不间断电源</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C3KR</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JJ-28KZG</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一体化机柜防盗网</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1.5m*1.5m*2.0m</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路面触感单元</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JJ40SYCGQ</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米</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高频信号处理器（12通道）</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JJ-12TD</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车辆检测器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VDS604S</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轨道位移控制器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JJ-21716</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称重仪表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JJ-40-35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传感器安装灌封胶</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JJ-GC50Z</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kg</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31</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长宽高仪传感器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LND202AI</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UPS不间断电源</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C3KR</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JJ-28KZG</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30</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一体化机柜防盗网</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1.5m*1.5m*2.0m</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路面触感单元</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JJ40SYCGQ</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米</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高频信号处理器（12通道）</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JJ-12TD</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车辆检测器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VDS604S</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轨道位移控制器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JJ-21716</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称重仪表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JJ-40-35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传感器安装灌封胶</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JJ-GC50Z</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kg</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41</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长宽高仪传感器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LND202AI</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UPS不间断电源</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C3KR</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JJ-28KZG</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40</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一体化机柜防盗网</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1.5m*1.5m*2.0m</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路面触感单元</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JJ40SYCGQ</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米</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高频信号处理器（12通道）</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JJ-12TD</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车辆检测器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VDS604S</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轨道位移控制器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JJ-21716</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称重仪表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JJ-40-35</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传感器安装灌封胶</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JJ-GC50Z</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kg</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51</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长宽高仪传感器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LND202AI</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UPS不间断电源</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C3KR</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JJ-28KZG</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一体化机柜防盗网</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1.5m*1.5m*2.0m</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套</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临湘高新技术产业开发区管理委员会</w:t>
            </w:r>
          </w:p>
        </w:tc>
        <w:tc>
          <w:tcPr>
            <w:tcW w:w="1095"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枪式摄像机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临湘化工集中区</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2022</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临湘市农业农村局</w:t>
            </w:r>
          </w:p>
        </w:tc>
        <w:tc>
          <w:tcPr>
            <w:tcW w:w="1095"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枪式摄像机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长江渔业监控</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其他前端感知设备及配套设施设备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高点/红外/热成像</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大华</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长江及黄盖湖水域</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高点/红外/热成像</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海康威视</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长江及黄盖湖水域</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高点/雷达</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海康威视</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长江及黄盖湖水域</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2018</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临湘市商务粮食局</w:t>
            </w:r>
          </w:p>
        </w:tc>
        <w:tc>
          <w:tcPr>
            <w:tcW w:w="1095" w:type="dxa"/>
            <w:vMerge w:val="restart"/>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枪式摄像机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球形摄像机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DS-TCG205-E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全景摄像机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iDS-TCM400-E</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restart"/>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其他前端感知设备及配套设施设备</w:t>
            </w: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仓温仓湿传感器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贝博 WSDO302</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气温气湿传感器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贝博 WSD0302+百叶箱</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粮情检测主机</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贝博</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粮情检测分机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贝博 LQFJ-IV</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烟雾报警器</w:t>
            </w:r>
          </w:p>
        </w:tc>
        <w:tc>
          <w:tcPr>
            <w:tcW w:w="141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AJ-761N-WG</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c>
          <w:tcPr>
            <w:tcW w:w="88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095" w:type="dxa"/>
            <w:vMerge w:val="continue"/>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70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声光报警器</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RT-H11-N-WG</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粮库</w:t>
            </w:r>
          </w:p>
        </w:tc>
        <w:tc>
          <w:tcPr>
            <w:tcW w:w="1417"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638"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885"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临湘市文化旅游广电新闻出版局</w:t>
            </w:r>
          </w:p>
        </w:tc>
        <w:tc>
          <w:tcPr>
            <w:tcW w:w="1095"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摄像机</w:t>
            </w:r>
          </w:p>
        </w:tc>
        <w:tc>
          <w:tcPr>
            <w:tcW w:w="270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枪式摄像机</w:t>
            </w:r>
          </w:p>
        </w:tc>
        <w:tc>
          <w:tcPr>
            <w:tcW w:w="141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海康</w:t>
            </w:r>
          </w:p>
        </w:tc>
        <w:tc>
          <w:tcPr>
            <w:tcW w:w="3899"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全市</w:t>
            </w:r>
          </w:p>
        </w:tc>
        <w:tc>
          <w:tcPr>
            <w:tcW w:w="1417"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2017</w:t>
            </w:r>
          </w:p>
        </w:tc>
        <w:tc>
          <w:tcPr>
            <w:tcW w:w="1134"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770" w:type="dxa"/>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3178" w:type="dxa"/>
            <w:gridSpan w:val="8"/>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合计</w:t>
            </w:r>
          </w:p>
        </w:tc>
        <w:tc>
          <w:tcPr>
            <w:tcW w:w="770" w:type="dxa"/>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4132</w:t>
            </w:r>
          </w:p>
        </w:tc>
      </w:tr>
    </w:tbl>
    <w:p>
      <w:pPr>
        <w:ind w:firstLine="0" w:firstLineChars="0"/>
        <w:jc w:val="both"/>
        <w:rPr>
          <w:rFonts w:hint="default" w:ascii="Times New Roman" w:hAnsi="Times New Roman" w:cs="Times New Roman"/>
          <w:highlight w:val="none"/>
        </w:rPr>
        <w:sectPr>
          <w:pgSz w:w="16838" w:h="11906" w:orient="landscape"/>
          <w:pgMar w:top="1797" w:right="1440" w:bottom="1797" w:left="1440" w:header="1134" w:footer="397" w:gutter="0"/>
          <w:pgNumType w:fmt="decimal"/>
          <w:cols w:space="720" w:num="1"/>
          <w:docGrid w:linePitch="312" w:charSpace="0"/>
        </w:sectPr>
      </w:pPr>
    </w:p>
    <w:p>
      <w:pPr>
        <w:keepNext/>
        <w:keepLines/>
        <w:widowControl w:val="0"/>
        <w:numPr>
          <w:ilvl w:val="4"/>
          <w:numId w:val="1"/>
        </w:numPr>
        <w:bidi w:val="0"/>
        <w:spacing w:line="360" w:lineRule="auto"/>
        <w:ind w:left="0" w:firstLine="0" w:firstLineChars="0"/>
        <w:jc w:val="both"/>
        <w:outlineLvl w:val="4"/>
        <w:rPr>
          <w:rFonts w:hint="default" w:ascii="Times New Roman" w:hAnsi="Times New Roman" w:eastAsia="黑体" w:cs="Times New Roman"/>
          <w:bCs/>
          <w:kern w:val="2"/>
          <w:sz w:val="24"/>
          <w:szCs w:val="28"/>
          <w:lang w:val="en-US" w:eastAsia="zh-CN" w:bidi="ar-SA"/>
        </w:rPr>
      </w:pPr>
      <w:bookmarkStart w:id="35" w:name="_Toc185848842"/>
      <w:r>
        <w:rPr>
          <w:rFonts w:hint="default" w:ascii="Times New Roman" w:hAnsi="Times New Roman" w:eastAsia="黑体" w:cs="Times New Roman"/>
          <w:bCs/>
          <w:kern w:val="2"/>
          <w:sz w:val="24"/>
          <w:szCs w:val="28"/>
          <w:lang w:val="en-US" w:eastAsia="zh-CN" w:bidi="ar-SA"/>
        </w:rPr>
        <w:t>IT设备现状</w:t>
      </w:r>
      <w:bookmarkEnd w:id="35"/>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经调研各单位IT设备主要分为服务器、网络设备两大类， 共计129台，其中服务器为4台、网络设备为125台。</w:t>
      </w:r>
    </w:p>
    <w:p>
      <w:pPr>
        <w:jc w:val="both"/>
        <w:rPr>
          <w:rFonts w:hint="default" w:ascii="Times New Roman" w:hAnsi="Times New Roman" w:cs="Times New Roman"/>
          <w:highlight w:val="none"/>
        </w:rPr>
        <w:sectPr>
          <w:headerReference r:id="rId6" w:type="default"/>
          <w:footerReference r:id="rId7" w:type="default"/>
          <w:pgSz w:w="11906" w:h="16838"/>
          <w:pgMar w:top="1440" w:right="1797" w:bottom="1440" w:left="1797" w:header="794" w:footer="454" w:gutter="0"/>
          <w:pgNumType w:fmt="decimal"/>
          <w:cols w:space="720" w:num="1"/>
          <w:docGrid w:linePitch="312" w:charSpace="0"/>
        </w:sectPr>
      </w:pPr>
    </w:p>
    <w:p>
      <w:pPr>
        <w:widowControl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lang w:val="en-US" w:eastAsia="zh-CN" w:bidi="ar-SA"/>
        </w:rPr>
        <w:t xml:space="preserve"> </w:t>
      </w:r>
      <w:r>
        <w:rPr>
          <w:rFonts w:ascii="Times New Roman" w:hAnsi="Times New Roman" w:eastAsia="黑体" w:cs="宋体"/>
          <w:sz w:val="21"/>
          <w:szCs w:val="24"/>
          <w:lang w:val="en-US" w:eastAsia="zh-CN" w:bidi="ar-SA"/>
        </w:rPr>
        <w:t xml:space="preserve">表 </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 STYLEREF 2 \s </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2.3</w:t>
      </w:r>
      <w:r>
        <w:rPr>
          <w:rFonts w:ascii="Times New Roman" w:hAnsi="Times New Roman" w:eastAsia="黑体" w:cs="宋体"/>
          <w:sz w:val="21"/>
          <w:szCs w:val="24"/>
          <w:lang w:val="en-US" w:eastAsia="zh-CN" w:bidi="ar-SA"/>
        </w:rPr>
        <w:fldChar w:fldCharType="end"/>
      </w:r>
      <w:r>
        <w:rPr>
          <w:rFonts w:hint="eastAsia" w:ascii="Times New Roman" w:hAnsi="Times New Roman" w:eastAsia="黑体" w:cs="宋体"/>
          <w:sz w:val="21"/>
          <w:szCs w:val="24"/>
          <w:lang w:val="en-US" w:eastAsia="zh-CN" w:bidi="ar-SA"/>
        </w:rPr>
        <w:t>-</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3</w:t>
      </w:r>
      <w:r>
        <w:rPr>
          <w:rFonts w:ascii="Times New Roman" w:hAnsi="Times New Roman" w:eastAsia="黑体" w:cs="宋体"/>
          <w:sz w:val="21"/>
          <w:szCs w:val="24"/>
          <w:lang w:val="en-US" w:eastAsia="zh-CN" w:bidi="ar-SA"/>
        </w:rPr>
        <w:fldChar w:fldCharType="end"/>
      </w:r>
      <w:r>
        <w:rPr>
          <w:rFonts w:hint="eastAsia" w:ascii="Times New Roman" w:hAnsi="Times New Roman" w:eastAsia="黑体" w:cs="宋体"/>
          <w:sz w:val="21"/>
          <w:szCs w:val="24"/>
          <w:lang w:val="en-US" w:eastAsia="zh-CN" w:bidi="ar-SA"/>
        </w:rPr>
        <w:t xml:space="preserve"> </w:t>
      </w:r>
      <w:r>
        <w:rPr>
          <w:rFonts w:hint="default" w:ascii="Times New Roman" w:hAnsi="Times New Roman" w:eastAsia="黑体" w:cs="Times New Roman"/>
          <w:sz w:val="21"/>
          <w:szCs w:val="24"/>
          <w:highlight w:val="none"/>
          <w:lang w:val="en-US" w:eastAsia="zh-CN" w:bidi="ar-SA"/>
        </w:rPr>
        <w:t>IT设备现状明细表</w:t>
      </w:r>
    </w:p>
    <w:tbl>
      <w:tblPr>
        <w:tblStyle w:val="5"/>
        <w:tblW w:w="13950" w:type="dxa"/>
        <w:tblInd w:w="0" w:type="dxa"/>
        <w:tblLayout w:type="fixed"/>
        <w:tblCellMar>
          <w:top w:w="0" w:type="dxa"/>
          <w:left w:w="108" w:type="dxa"/>
          <w:bottom w:w="0" w:type="dxa"/>
          <w:right w:w="108" w:type="dxa"/>
        </w:tblCellMar>
      </w:tblPr>
      <w:tblGrid>
        <w:gridCol w:w="817"/>
        <w:gridCol w:w="1429"/>
        <w:gridCol w:w="1472"/>
        <w:gridCol w:w="2490"/>
        <w:gridCol w:w="2070"/>
        <w:gridCol w:w="3063"/>
        <w:gridCol w:w="1046"/>
        <w:gridCol w:w="896"/>
        <w:gridCol w:w="667"/>
      </w:tblGrid>
      <w:tr>
        <w:tblPrEx>
          <w:tblLayout w:type="fixed"/>
          <w:tblCellMar>
            <w:top w:w="0" w:type="dxa"/>
            <w:left w:w="108" w:type="dxa"/>
            <w:bottom w:w="0" w:type="dxa"/>
            <w:right w:w="108" w:type="dxa"/>
          </w:tblCellMar>
        </w:tblPrEx>
        <w:trPr>
          <w:trHeight w:val="48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序号</w:t>
            </w:r>
          </w:p>
        </w:tc>
        <w:tc>
          <w:tcPr>
            <w:tcW w:w="1429"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服务单位</w:t>
            </w:r>
          </w:p>
        </w:tc>
        <w:tc>
          <w:tcPr>
            <w:tcW w:w="1472"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设备类别</w:t>
            </w:r>
          </w:p>
        </w:tc>
        <w:tc>
          <w:tcPr>
            <w:tcW w:w="2490"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设备名称</w:t>
            </w:r>
          </w:p>
        </w:tc>
        <w:tc>
          <w:tcPr>
            <w:tcW w:w="2070"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设备型号</w:t>
            </w:r>
          </w:p>
        </w:tc>
        <w:tc>
          <w:tcPr>
            <w:tcW w:w="3063"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安装位置</w:t>
            </w:r>
          </w:p>
        </w:tc>
        <w:tc>
          <w:tcPr>
            <w:tcW w:w="1046"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启用年限（年）</w:t>
            </w:r>
          </w:p>
        </w:tc>
        <w:tc>
          <w:tcPr>
            <w:tcW w:w="896"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单位</w:t>
            </w:r>
          </w:p>
        </w:tc>
        <w:tc>
          <w:tcPr>
            <w:tcW w:w="667" w:type="dxa"/>
            <w:tcBorders>
              <w:top w:val="single" w:color="auto" w:sz="4" w:space="0"/>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数量</w:t>
            </w:r>
          </w:p>
        </w:tc>
      </w:tr>
      <w:tr>
        <w:tblPrEx>
          <w:tblLayout w:type="fixed"/>
          <w:tblCellMar>
            <w:top w:w="0" w:type="dxa"/>
            <w:left w:w="108" w:type="dxa"/>
            <w:bottom w:w="0" w:type="dxa"/>
            <w:right w:w="108" w:type="dxa"/>
          </w:tblCellMar>
        </w:tblPrEx>
        <w:trPr>
          <w:trHeight w:val="276"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429" w:type="dxa"/>
            <w:vMerge w:val="restart"/>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临湘市数据局</w:t>
            </w:r>
          </w:p>
        </w:tc>
        <w:tc>
          <w:tcPr>
            <w:tcW w:w="1472" w:type="dxa"/>
            <w:vMerge w:val="restart"/>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网络设备</w:t>
            </w: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48口接入交换机</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S5720-52P-LI-AC</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1楼1机房1号机柜</w:t>
            </w:r>
          </w:p>
        </w:tc>
        <w:tc>
          <w:tcPr>
            <w:tcW w:w="1046"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w:t>
            </w:r>
          </w:p>
        </w:tc>
      </w:tr>
      <w:tr>
        <w:tblPrEx>
          <w:tblLayout w:type="fixed"/>
          <w:tblCellMar>
            <w:top w:w="0" w:type="dxa"/>
            <w:left w:w="108" w:type="dxa"/>
            <w:bottom w:w="0" w:type="dxa"/>
            <w:right w:w="108" w:type="dxa"/>
          </w:tblCellMar>
        </w:tblPrEx>
        <w:trPr>
          <w:trHeight w:val="276"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办公网普通AP</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AP4050DN</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046"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60</w:t>
            </w:r>
          </w:p>
        </w:tc>
      </w:tr>
      <w:tr>
        <w:tblPrEx>
          <w:tblLayout w:type="fixed"/>
          <w:tblCellMar>
            <w:top w:w="0" w:type="dxa"/>
            <w:left w:w="108" w:type="dxa"/>
            <w:bottom w:w="0" w:type="dxa"/>
            <w:right w:w="108" w:type="dxa"/>
          </w:tblCellMar>
        </w:tblPrEx>
        <w:trPr>
          <w:trHeight w:val="276"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办公网高密AP</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AP6050DN</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046"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r>
      <w:tr>
        <w:tblPrEx>
          <w:tblLayout w:type="fixed"/>
          <w:tblCellMar>
            <w:top w:w="0" w:type="dxa"/>
            <w:left w:w="108" w:type="dxa"/>
            <w:bottom w:w="0" w:type="dxa"/>
            <w:right w:w="108" w:type="dxa"/>
          </w:tblCellMar>
        </w:tblPrEx>
        <w:trPr>
          <w:trHeight w:val="276"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办公网无线控制器</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AC6580</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046"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Layout w:type="fixed"/>
          <w:tblCellMar>
            <w:top w:w="0" w:type="dxa"/>
            <w:left w:w="108" w:type="dxa"/>
            <w:bottom w:w="0" w:type="dxa"/>
            <w:right w:w="108" w:type="dxa"/>
          </w:tblCellMar>
        </w:tblPrEx>
        <w:trPr>
          <w:trHeight w:val="276"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24口POE接入交换机</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S5720</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1楼1机房1号机柜</w:t>
            </w:r>
          </w:p>
        </w:tc>
        <w:tc>
          <w:tcPr>
            <w:tcW w:w="1046"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2021</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r>
      <w:tr>
        <w:tblPrEx>
          <w:tblLayout w:type="fixed"/>
          <w:tblCellMar>
            <w:top w:w="0" w:type="dxa"/>
            <w:left w:w="108" w:type="dxa"/>
            <w:bottom w:w="0" w:type="dxa"/>
            <w:right w:w="108" w:type="dxa"/>
          </w:tblCellMar>
        </w:tblPrEx>
        <w:trPr>
          <w:trHeight w:val="276"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服务器</w:t>
            </w: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LED服务器</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RH2288</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临湘市政务大厅</w:t>
            </w:r>
          </w:p>
        </w:tc>
        <w:tc>
          <w:tcPr>
            <w:tcW w:w="104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2020</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r>
      <w:tr>
        <w:tblPrEx>
          <w:tblLayout w:type="fixed"/>
          <w:tblCellMar>
            <w:top w:w="0" w:type="dxa"/>
            <w:left w:w="108" w:type="dxa"/>
            <w:bottom w:w="0" w:type="dxa"/>
            <w:right w:w="108" w:type="dxa"/>
          </w:tblCellMar>
        </w:tblPrEx>
        <w:trPr>
          <w:trHeight w:val="504"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429" w:type="dxa"/>
            <w:vMerge w:val="restart"/>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临湘市交通运输局</w:t>
            </w:r>
          </w:p>
        </w:tc>
        <w:tc>
          <w:tcPr>
            <w:tcW w:w="1472" w:type="dxa"/>
            <w:vMerge w:val="restart"/>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网络设备</w:t>
            </w: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千兆网络交换机</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YH6428LGS-M-SFP</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湖南省临湘市G353线新湾段</w:t>
            </w:r>
          </w:p>
        </w:tc>
        <w:tc>
          <w:tcPr>
            <w:tcW w:w="104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2023</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Layout w:type="fixed"/>
          <w:tblCellMar>
            <w:top w:w="0" w:type="dxa"/>
            <w:left w:w="108" w:type="dxa"/>
            <w:bottom w:w="0" w:type="dxa"/>
            <w:right w:w="108" w:type="dxa"/>
          </w:tblCellMar>
        </w:tblPrEx>
        <w:trPr>
          <w:trHeight w:val="744"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千兆网络交换机</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YH6428LGS-M-SFP</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湖南省临湘市S208江南四合村点</w:t>
            </w:r>
          </w:p>
        </w:tc>
        <w:tc>
          <w:tcPr>
            <w:tcW w:w="104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Layout w:type="fixed"/>
          <w:tblCellMar>
            <w:top w:w="0" w:type="dxa"/>
            <w:left w:w="108" w:type="dxa"/>
            <w:bottom w:w="0" w:type="dxa"/>
            <w:right w:w="108" w:type="dxa"/>
          </w:tblCellMar>
        </w:tblPrEx>
        <w:trPr>
          <w:trHeight w:val="504"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千兆网络交换机</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YH6428LGS-M-SFP</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湖南省临湘市S206楠木小学点</w:t>
            </w:r>
          </w:p>
        </w:tc>
        <w:tc>
          <w:tcPr>
            <w:tcW w:w="104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Layout w:type="fixed"/>
          <w:tblCellMar>
            <w:top w:w="0" w:type="dxa"/>
            <w:left w:w="108" w:type="dxa"/>
            <w:bottom w:w="0" w:type="dxa"/>
            <w:right w:w="108" w:type="dxa"/>
          </w:tblCellMar>
        </w:tblPrEx>
        <w:trPr>
          <w:trHeight w:val="504" w:hRule="atLeast"/>
        </w:trPr>
        <w:tc>
          <w:tcPr>
            <w:tcW w:w="817" w:type="dxa"/>
            <w:tcBorders>
              <w:top w:val="nil"/>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429"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472" w:type="dxa"/>
            <w:vMerge w:val="continue"/>
            <w:tcBorders>
              <w:top w:val="nil"/>
              <w:left w:val="single" w:color="auto" w:sz="4" w:space="0"/>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49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千兆网络交换机</w:t>
            </w:r>
          </w:p>
        </w:tc>
        <w:tc>
          <w:tcPr>
            <w:tcW w:w="2070"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YH6428LGS-M-SFP</w:t>
            </w:r>
          </w:p>
        </w:tc>
        <w:tc>
          <w:tcPr>
            <w:tcW w:w="3063" w:type="dxa"/>
            <w:tcBorders>
              <w:top w:val="nil"/>
              <w:left w:val="nil"/>
              <w:bottom w:val="single" w:color="auto" w:sz="4" w:space="0"/>
              <w:right w:val="single" w:color="auto"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湖南省临湘市S206忠防高坪点</w:t>
            </w:r>
          </w:p>
        </w:tc>
        <w:tc>
          <w:tcPr>
            <w:tcW w:w="104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2024</w:t>
            </w:r>
          </w:p>
        </w:tc>
        <w:tc>
          <w:tcPr>
            <w:tcW w:w="896"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667"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r>
      <w:tr>
        <w:tblPrEx>
          <w:tblLayout w:type="fixed"/>
          <w:tblCellMar>
            <w:top w:w="0" w:type="dxa"/>
            <w:left w:w="108" w:type="dxa"/>
            <w:bottom w:w="0" w:type="dxa"/>
            <w:right w:w="108" w:type="dxa"/>
          </w:tblCellMar>
        </w:tblPrEx>
        <w:trPr>
          <w:trHeight w:val="312" w:hRule="atLeast"/>
        </w:trPr>
        <w:tc>
          <w:tcPr>
            <w:tcW w:w="13283" w:type="dxa"/>
            <w:gridSpan w:val="8"/>
            <w:tcBorders>
              <w:top w:val="single" w:color="auto" w:sz="4" w:space="0"/>
              <w:left w:val="single" w:color="auto" w:sz="4" w:space="0"/>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合计</w:t>
            </w:r>
          </w:p>
        </w:tc>
        <w:tc>
          <w:tcPr>
            <w:tcW w:w="667" w:type="dxa"/>
            <w:tcBorders>
              <w:top w:val="nil"/>
              <w:left w:val="nil"/>
              <w:bottom w:val="single" w:color="auto" w:sz="4" w:space="0"/>
              <w:right w:val="single" w:color="auto"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129</w:t>
            </w:r>
          </w:p>
        </w:tc>
      </w:tr>
    </w:tbl>
    <w:p>
      <w:pPr>
        <w:bidi w:val="0"/>
        <w:rPr>
          <w:rFonts w:hint="default" w:ascii="Times New Roman" w:hAnsi="Times New Roman" w:cs="Times New Roman"/>
          <w:highlight w:val="none"/>
        </w:rPr>
        <w:sectPr>
          <w:headerReference r:id="rId8" w:type="default"/>
          <w:pgSz w:w="16838" w:h="11906" w:orient="landscape"/>
          <w:pgMar w:top="1797" w:right="1440" w:bottom="1797" w:left="1440" w:header="1247" w:footer="992" w:gutter="0"/>
          <w:pgNumType w:fmt="decimal"/>
          <w:cols w:space="720" w:num="1"/>
          <w:docGrid w:linePitch="326" w:charSpace="0"/>
        </w:sectPr>
      </w:pP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宋体" w:cs="Times New Roman"/>
          <w:bCs/>
          <w:sz w:val="24"/>
          <w:szCs w:val="24"/>
          <w:lang w:val="en-US" w:eastAsia="zh-CN" w:bidi="ar-SA"/>
        </w:rPr>
        <w:t>前端摄像头同步管理授时服务器</w:t>
      </w:r>
    </w:p>
    <w:p>
      <w:pPr>
        <w:spacing w:line="360" w:lineRule="auto"/>
        <w:ind w:firstLine="480"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kern w:val="0"/>
          <w:sz w:val="24"/>
        </w:rPr>
        <w:t>现有前端摄像头同步管理授时服务器，配套运维服务包含保养和清洁服务、运维和巡检服务、故障响应及处理服务、设备更换服务、重大事件保障服务、运维服务质量管控，保障前端视频摄像头时间同步、设备稳定运行</w:t>
      </w:r>
      <w:r>
        <w:rPr>
          <w:rFonts w:hint="default" w:ascii="Times New Roman" w:hAnsi="Times New Roman" w:eastAsia="宋体" w:cs="Times New Roman"/>
          <w:kern w:val="0"/>
          <w:sz w:val="24"/>
          <w:lang w:eastAsia="zh-CN"/>
        </w:rPr>
        <w:t>。</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36" w:name="_Toc11926"/>
      <w:r>
        <w:rPr>
          <w:rFonts w:hint="default" w:ascii="Times New Roman" w:hAnsi="Times New Roman" w:eastAsia="黑体" w:cs="Times New Roman"/>
          <w:bCs/>
          <w:kern w:val="2"/>
          <w:sz w:val="28"/>
          <w:szCs w:val="32"/>
          <w:lang w:val="en-US" w:eastAsia="zh-CN" w:bidi="ar-SA"/>
        </w:rPr>
        <w:t>设备更新替换现状</w:t>
      </w:r>
      <w:bookmarkEnd w:id="36"/>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经梳理，全市部分前端感知设备及配套信息化设备已超过合理使用年限，或因自然灾害、环境因素导致设备损坏、功能失效，现有技术状态已无法满足业务需要，需通过更新替换恢复功能。主要涉及以下两个方面：</w:t>
      </w:r>
    </w:p>
    <w:p>
      <w:pPr>
        <w:numPr>
          <w:ilvl w:val="0"/>
          <w:numId w:val="10"/>
        </w:numPr>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防汛抗旱</w:t>
      </w:r>
      <w:r>
        <w:rPr>
          <w:rFonts w:hint="default" w:ascii="Times New Roman" w:hAnsi="Times New Roman" w:eastAsia="宋体" w:cs="Times New Roman"/>
          <w:kern w:val="0"/>
          <w:sz w:val="24"/>
          <w:lang w:val="en-US" w:eastAsia="zh-CN"/>
        </w:rPr>
        <w:t>方面</w:t>
      </w:r>
      <w:r>
        <w:rPr>
          <w:rFonts w:hint="default" w:ascii="Times New Roman" w:hAnsi="Times New Roman" w:eastAsia="宋体" w:cs="Times New Roman"/>
          <w:kern w:val="0"/>
          <w:sz w:val="24"/>
        </w:rPr>
        <w:t>。防汛抗旱救灾主题场景应用一期建设项目配套的涉水预警前端设备、应用平台模块及支撑服务器存在功能缺失、性能不足、授权到期等问题，需对内涝点涉水预警前端设备、防汛抗旱应用平台相关模块、视频国标对接网关、视频监控通道授权及平台服务器等进行更新替换和补充建设。</w:t>
      </w:r>
    </w:p>
    <w:p>
      <w:pPr>
        <w:numPr>
          <w:ilvl w:val="0"/>
          <w:numId w:val="10"/>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rPr>
        <w:t>山塘水库防溺水</w:t>
      </w:r>
      <w:r>
        <w:rPr>
          <w:rFonts w:hint="default" w:ascii="Times New Roman" w:hAnsi="Times New Roman" w:eastAsia="宋体" w:cs="Times New Roman"/>
          <w:kern w:val="0"/>
          <w:sz w:val="24"/>
          <w:lang w:val="en-US" w:eastAsia="zh-CN"/>
        </w:rPr>
        <w:t>方面</w:t>
      </w:r>
      <w:r>
        <w:rPr>
          <w:rFonts w:hint="default" w:ascii="Times New Roman" w:hAnsi="Times New Roman" w:eastAsia="宋体" w:cs="Times New Roman"/>
          <w:kern w:val="0"/>
          <w:sz w:val="24"/>
        </w:rPr>
        <w:t>。山塘水库防溺水视频监控平台的球机、电源、防水箱、防雷器、立杆、光缆、接入交换机等前端设备及配套设施，因野外环境长期运行出现老化、损坏，部分点位设备失效、图像缺失，需进行修复性更换并配套实施杆件、管路、供电、防雷接地等基础设施修复</w:t>
      </w:r>
      <w:r>
        <w:rPr>
          <w:rFonts w:hint="default" w:ascii="Times New Roman" w:hAnsi="Times New Roman" w:eastAsia="宋体" w:cs="Times New Roman"/>
          <w:kern w:val="0"/>
          <w:sz w:val="24"/>
          <w:lang w:eastAsia="zh-CN"/>
        </w:rPr>
        <w:t>。</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37" w:name="_Toc17338"/>
      <w:r>
        <w:rPr>
          <w:rFonts w:hint="default" w:ascii="Times New Roman" w:hAnsi="Times New Roman" w:eastAsia="黑体" w:cs="Times New Roman"/>
          <w:bCs/>
          <w:kern w:val="2"/>
          <w:sz w:val="28"/>
          <w:szCs w:val="32"/>
          <w:lang w:val="en-US" w:eastAsia="zh-CN" w:bidi="ar-SA"/>
        </w:rPr>
        <w:t>云资源租赁现状</w:t>
      </w:r>
      <w:bookmarkEnd w:id="37"/>
    </w:p>
    <w:p>
      <w:pPr>
        <w:spacing w:line="360" w:lineRule="auto"/>
        <w:ind w:firstLine="480"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kern w:val="0"/>
          <w:sz w:val="24"/>
        </w:rPr>
        <w:t>按照改革实施方案关于"持续深化系统上云"的要求，全市部分非涉密政务信息系统已迁移至市级政务云平台运行，采用云资源租赁方式承载系统计算、存储等需求。经统计，现有10个上云系统共租赁虚拟机33台，配置vCPU 200核、内存668GB、块存储17700GB（约17.7TB）。各系统云资源配置现状如下表所示</w:t>
      </w:r>
      <w:r>
        <w:rPr>
          <w:rFonts w:hint="default" w:ascii="Times New Roman" w:hAnsi="Times New Roman" w:eastAsia="宋体" w:cs="Times New Roman"/>
          <w:kern w:val="0"/>
          <w:sz w:val="24"/>
          <w:lang w:eastAsia="zh-CN"/>
        </w:rPr>
        <w:t>：</w:t>
      </w:r>
    </w:p>
    <w:p>
      <w:pPr>
        <w:widowControl w:val="0"/>
        <w:bidi w:val="0"/>
        <w:spacing w:line="240" w:lineRule="auto"/>
        <w:ind w:firstLine="0" w:firstLineChars="0"/>
        <w:jc w:val="center"/>
        <w:rPr>
          <w:rFonts w:hint="default" w:ascii="Times New Roman" w:hAnsi="Times New Roman" w:eastAsia="黑体" w:cs="Times New Roman"/>
          <w:sz w:val="20"/>
          <w:szCs w:val="24"/>
          <w:lang w:val="en-US" w:eastAsia="zh-CN" w:bidi="ar-SA"/>
        </w:rPr>
      </w:pPr>
      <w:r>
        <w:rPr>
          <w:rFonts w:ascii="Times New Roman" w:hAnsi="Times New Roman" w:eastAsia="黑体" w:cs="宋体"/>
          <w:sz w:val="21"/>
          <w:szCs w:val="24"/>
          <w:lang w:val="en-US" w:eastAsia="zh-CN" w:bidi="ar-SA"/>
        </w:rPr>
        <w:t xml:space="preserve">表 </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 STYLEREF 2 \s </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2.3</w:t>
      </w:r>
      <w:r>
        <w:rPr>
          <w:rFonts w:ascii="Times New Roman" w:hAnsi="Times New Roman" w:eastAsia="黑体" w:cs="宋体"/>
          <w:sz w:val="21"/>
          <w:szCs w:val="24"/>
          <w:lang w:val="en-US" w:eastAsia="zh-CN" w:bidi="ar-SA"/>
        </w:rPr>
        <w:fldChar w:fldCharType="end"/>
      </w:r>
      <w:r>
        <w:rPr>
          <w:rFonts w:hint="eastAsia" w:ascii="Times New Roman" w:hAnsi="Times New Roman" w:eastAsia="黑体" w:cs="宋体"/>
          <w:sz w:val="21"/>
          <w:szCs w:val="24"/>
          <w:lang w:val="en-US" w:eastAsia="zh-CN" w:bidi="ar-SA"/>
        </w:rPr>
        <w:t>-</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4</w:t>
      </w:r>
      <w:r>
        <w:rPr>
          <w:rFonts w:ascii="Times New Roman" w:hAnsi="Times New Roman" w:eastAsia="黑体" w:cs="宋体"/>
          <w:sz w:val="21"/>
          <w:szCs w:val="24"/>
          <w:lang w:val="en-US" w:eastAsia="zh-CN" w:bidi="ar-SA"/>
        </w:rPr>
        <w:fldChar w:fldCharType="end"/>
      </w:r>
      <w:r>
        <w:rPr>
          <w:rFonts w:hint="default" w:ascii="Times New Roman" w:hAnsi="Times New Roman" w:eastAsia="黑体" w:cs="Times New Roman"/>
          <w:sz w:val="20"/>
          <w:szCs w:val="24"/>
          <w:lang w:val="en-US" w:eastAsia="zh-CN" w:bidi="ar-SA"/>
        </w:rPr>
        <w:t>云资源配置现状表</w:t>
      </w:r>
    </w:p>
    <w:tbl>
      <w:tblPr>
        <w:tblStyle w:val="5"/>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6"/>
        <w:gridCol w:w="2949"/>
        <w:gridCol w:w="1526"/>
        <w:gridCol w:w="1324"/>
        <w:gridCol w:w="977"/>
        <w:gridCol w:w="11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blHeader/>
        </w:trPr>
        <w:tc>
          <w:tcPr>
            <w:tcW w:w="6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序号</w:t>
            </w:r>
          </w:p>
        </w:tc>
        <w:tc>
          <w:tcPr>
            <w:tcW w:w="294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名称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虚拟机数量</w:t>
            </w:r>
          </w:p>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vcpu(核）</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内存</w:t>
            </w:r>
          </w:p>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（G）</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块存储</w:t>
            </w:r>
          </w:p>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临湘市智慧交通管理平台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综合治税平台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临湘市村级财务资金监督管理平台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临湘市房地产信息平台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山洪灾害监测预警平台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城市运行综合管理中心平台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w:t>
            </w:r>
          </w:p>
        </w:tc>
        <w:tc>
          <w:tcPr>
            <w:tcW w:w="294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人事工资管理信息平台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临湘市燃气监管平台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9</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临湘市农村土地承包经营权信息平台</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10</w:t>
            </w:r>
          </w:p>
        </w:tc>
        <w:tc>
          <w:tcPr>
            <w:tcW w:w="294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全面应用省一网通办平台系统</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294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p>
        </w:tc>
        <w:tc>
          <w:tcPr>
            <w:tcW w:w="15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3585" w:type="dxa"/>
            <w:gridSpan w:val="2"/>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合计</w:t>
            </w:r>
          </w:p>
        </w:tc>
        <w:tc>
          <w:tcPr>
            <w:tcW w:w="152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33</w:t>
            </w:r>
          </w:p>
        </w:tc>
        <w:tc>
          <w:tcPr>
            <w:tcW w:w="1324"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200</w:t>
            </w:r>
          </w:p>
        </w:tc>
        <w:tc>
          <w:tcPr>
            <w:tcW w:w="977"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668</w:t>
            </w:r>
          </w:p>
        </w:tc>
        <w:tc>
          <w:tcPr>
            <w:tcW w:w="1116" w:type="dxa"/>
            <w:tcBorders>
              <w:top w:val="single" w:color="000000" w:sz="4" w:space="0"/>
              <w:left w:val="single" w:color="000000" w:sz="4" w:space="0"/>
              <w:bottom w:val="single" w:color="000000" w:sz="4" w:space="0"/>
              <w:right w:val="single" w:color="000000" w:sz="4" w:space="0"/>
            </w:tcBorders>
            <w:noWrap/>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17700</w:t>
            </w:r>
          </w:p>
        </w:tc>
      </w:tr>
    </w:tbl>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38" w:name="_Toc5072"/>
      <w:r>
        <w:rPr>
          <w:rFonts w:hint="eastAsia" w:ascii="Times New Roman" w:hAnsi="Times New Roman" w:eastAsia="黑体" w:cs="Times New Roman"/>
          <w:bCs/>
          <w:kern w:val="2"/>
          <w:sz w:val="28"/>
          <w:szCs w:val="32"/>
          <w:lang w:val="en-US" w:eastAsia="zh-CN" w:bidi="ar-SA"/>
        </w:rPr>
        <w:t>其他服务</w:t>
      </w:r>
      <w:r>
        <w:rPr>
          <w:rFonts w:hint="default" w:ascii="Times New Roman" w:hAnsi="Times New Roman" w:eastAsia="黑体" w:cs="Times New Roman"/>
          <w:bCs/>
          <w:kern w:val="2"/>
          <w:sz w:val="28"/>
          <w:szCs w:val="32"/>
          <w:lang w:val="en-US" w:eastAsia="zh-CN" w:bidi="ar-SA"/>
        </w:rPr>
        <w:t>现状</w:t>
      </w:r>
      <w:bookmarkEnd w:id="38"/>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本</w:t>
      </w:r>
      <w:r>
        <w:rPr>
          <w:rFonts w:hint="eastAsia" w:ascii="Times New Roman" w:hAnsi="Times New Roman" w:eastAsia="宋体" w:cs="Times New Roman"/>
          <w:kern w:val="0"/>
          <w:sz w:val="24"/>
          <w:lang w:val="en-US" w:eastAsia="zh-CN"/>
        </w:rPr>
        <w:t>服务</w:t>
      </w:r>
      <w:r>
        <w:rPr>
          <w:rFonts w:hint="default" w:ascii="Times New Roman" w:hAnsi="Times New Roman" w:eastAsia="宋体" w:cs="Times New Roman"/>
          <w:kern w:val="0"/>
          <w:sz w:val="24"/>
        </w:rPr>
        <w:t>主要承担全市非涉密政务信息系统运行保障工作，提供网络安全等级保护测评、机房用电保障等相关支撑服务。现状如下：</w:t>
      </w:r>
    </w:p>
    <w:p>
      <w:pPr>
        <w:numPr>
          <w:ilvl w:val="0"/>
          <w:numId w:val="11"/>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网络安全等级保护测评。市财政局的部分信息系统按照《信息安全技术 网络安全等级保护基本要求》（GB/T 22239-2019）要求，开展</w:t>
      </w:r>
      <w:r>
        <w:rPr>
          <w:rFonts w:hint="eastAsia" w:ascii="Times New Roman" w:hAnsi="Times New Roman" w:eastAsia="宋体" w:cs="Times New Roman"/>
          <w:kern w:val="0"/>
          <w:sz w:val="24"/>
          <w:lang w:val="en-US" w:eastAsia="zh-CN"/>
        </w:rPr>
        <w:t>网络安全</w:t>
      </w:r>
      <w:r>
        <w:rPr>
          <w:rFonts w:hint="default" w:ascii="Times New Roman" w:hAnsi="Times New Roman" w:eastAsia="宋体" w:cs="Times New Roman"/>
          <w:kern w:val="0"/>
          <w:sz w:val="24"/>
        </w:rPr>
        <w:t>等级保护测评。</w:t>
      </w:r>
    </w:p>
    <w:p>
      <w:pPr>
        <w:numPr>
          <w:ilvl w:val="0"/>
          <w:numId w:val="11"/>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前端视频监控设备用电</w:t>
      </w:r>
      <w:r>
        <w:rPr>
          <w:rFonts w:hint="eastAsia" w:ascii="Times New Roman" w:hAnsi="Times New Roman" w:eastAsia="宋体" w:cs="Times New Roman"/>
          <w:kern w:val="0"/>
          <w:sz w:val="24"/>
          <w:lang w:eastAsia="zh-CN"/>
        </w:rPr>
        <w:t>。</w:t>
      </w:r>
      <w:r>
        <w:rPr>
          <w:rFonts w:hint="default" w:ascii="Times New Roman" w:hAnsi="Times New Roman" w:eastAsia="宋体" w:cs="Times New Roman"/>
          <w:kern w:val="0"/>
          <w:sz w:val="24"/>
        </w:rPr>
        <w:t>山塘水库防溺水等野外点位部署的前端视频监控及配套设备用电，当前采用据实结算模式。项目纳入统一运维管理后，需明确用电计量方式，规范电费核算与结算依据，保障野外监控点位持续供电。</w:t>
      </w:r>
    </w:p>
    <w:p>
      <w:pPr>
        <w:numPr>
          <w:ilvl w:val="0"/>
          <w:numId w:val="11"/>
        </w:numPr>
        <w:bidi w:val="0"/>
        <w:spacing w:line="360" w:lineRule="auto"/>
        <w:ind w:left="0" w:leftChars="0" w:firstLine="480"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kern w:val="0"/>
          <w:sz w:val="24"/>
        </w:rPr>
        <w:t>机房用电。市级政务数据中心机房服务器、交换机、UPS 等信息化设备年度用电，为机房稳定运行的基础保障，现行电费按实际用电量据实结算</w:t>
      </w:r>
      <w:r>
        <w:rPr>
          <w:rFonts w:hint="default" w:ascii="Times New Roman" w:hAnsi="Times New Roman" w:eastAsia="宋体" w:cs="Times New Roman"/>
          <w:kern w:val="0"/>
          <w:sz w:val="24"/>
          <w:lang w:eastAsia="zh-CN"/>
        </w:rPr>
        <w:t>。</w:t>
      </w:r>
    </w:p>
    <w:p>
      <w:pPr>
        <w:bidi w:val="0"/>
        <w:rPr>
          <w:rFonts w:hint="default" w:ascii="Times New Roman" w:hAnsi="Times New Roman" w:cs="Times New Roman"/>
        </w:rPr>
        <w:sectPr>
          <w:pgSz w:w="11906" w:h="16838"/>
          <w:pgMar w:top="1440" w:right="1797" w:bottom="1440" w:left="1797" w:header="851" w:footer="992" w:gutter="0"/>
          <w:pgNumType w:fmt="decimal"/>
          <w:cols w:space="720" w:num="1"/>
          <w:docGrid w:linePitch="326" w:charSpace="0"/>
        </w:sectPr>
      </w:pP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39" w:name="_Toc6503"/>
      <w:r>
        <w:rPr>
          <w:rFonts w:hint="default" w:ascii="Times New Roman" w:hAnsi="Times New Roman" w:eastAsia="黑体" w:cs="Times New Roman"/>
          <w:b/>
          <w:bCs/>
          <w:kern w:val="44"/>
          <w:sz w:val="32"/>
          <w:szCs w:val="44"/>
          <w:lang w:val="en-US" w:eastAsia="zh-CN" w:bidi="ar-SA"/>
        </w:rPr>
        <w:t>项目建设的必要性</w:t>
      </w:r>
      <w:bookmarkEnd w:id="39"/>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40" w:name="_Toc30412"/>
      <w:r>
        <w:rPr>
          <w:rFonts w:hint="default" w:ascii="Times New Roman" w:hAnsi="Times New Roman" w:eastAsia="黑体" w:cs="Times New Roman"/>
          <w:bCs/>
          <w:kern w:val="2"/>
          <w:sz w:val="30"/>
          <w:szCs w:val="32"/>
          <w:lang w:val="en-US" w:eastAsia="zh-CN" w:bidi="ar-SA"/>
        </w:rPr>
        <w:t>项目提出的背景</w:t>
      </w:r>
      <w:bookmarkEnd w:id="40"/>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41" w:name="_Toc22348"/>
      <w:r>
        <w:rPr>
          <w:rFonts w:hint="default" w:ascii="Times New Roman" w:hAnsi="Times New Roman" w:eastAsia="黑体" w:cs="Times New Roman"/>
          <w:bCs/>
          <w:kern w:val="2"/>
          <w:sz w:val="28"/>
          <w:szCs w:val="32"/>
          <w:lang w:val="en-US" w:eastAsia="zh-CN" w:bidi="ar-SA"/>
        </w:rPr>
        <w:t>政策法规背景</w:t>
      </w:r>
      <w:bookmarkEnd w:id="41"/>
    </w:p>
    <w:p>
      <w:pPr>
        <w:numPr>
          <w:ilvl w:val="0"/>
          <w:numId w:val="12"/>
        </w:numPr>
        <w:bidi w:val="0"/>
        <w:spacing w:line="360" w:lineRule="auto"/>
        <w:ind w:left="0" w:leftChars="0"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国家层面。</w:t>
      </w:r>
      <w:r>
        <w:rPr>
          <w:rFonts w:ascii="Times New Roman" w:hAnsi="Times New Roman" w:eastAsia="宋体" w:cs="宋体"/>
          <w:kern w:val="0"/>
          <w:sz w:val="24"/>
        </w:rPr>
        <w:t>党中央、国务院高度重视网络安全和数字政府建设。《中华人民共和国网络安全法》《中华人民共和国数据安全法》《中华人民共和国个人信息保护法》《关键信息基础设施安全保护条例》相继施行，确立了网络安全工作“谁主管谁负责、谁运营谁负责”的法定责任，对政务信息系统安全稳定运行提出刚性要求。《国家政务信息化项目建设管理办法》（国办发〔2019〕57号）明确政务信息化项目坚持统筹规划、集约建设、互联互通、信息共享，防止重复建设、分散投资，推动政务信息系统整合共享。《国务院关于加强数字政府建设的指导意见》（国发〔2022〕14号）提出构建数字政府全方位安全保障体系，要求落实安全管理责任、强化安全保障能力、守住网络安全底线，全面提升政府履职数字化、智能化水平。《数字中国建设整体布局规划》按照“2522”整体框架进行布局，要求全面提升数字中国建设的整体性、系统性、协同性，促进数字基础设施体系化发展和规模化部署，畅通数据资源大循环。上述法律法规和政策文件，为推进政务信息系统集约化运维、体系化安全防护提供了</w:t>
      </w:r>
      <w:r>
        <w:rPr>
          <w:rFonts w:hint="eastAsia" w:ascii="Times New Roman" w:hAnsi="Times New Roman" w:eastAsia="宋体" w:cs="宋体"/>
          <w:kern w:val="0"/>
          <w:sz w:val="24"/>
          <w:lang w:val="en-US" w:eastAsia="zh-CN"/>
        </w:rPr>
        <w:t>依据</w:t>
      </w:r>
      <w:r>
        <w:rPr>
          <w:rFonts w:hint="eastAsia" w:ascii="Times New Roman" w:hAnsi="Times New Roman" w:eastAsia="宋体" w:cs="宋体"/>
          <w:kern w:val="0"/>
          <w:sz w:val="24"/>
          <w:lang w:eastAsia="zh-CN"/>
        </w:rPr>
        <w:t>。</w:t>
      </w:r>
    </w:p>
    <w:p>
      <w:pPr>
        <w:numPr>
          <w:ilvl w:val="0"/>
          <w:numId w:val="12"/>
        </w:numPr>
        <w:bidi w:val="0"/>
        <w:spacing w:line="360" w:lineRule="auto"/>
        <w:ind w:left="0" w:leftChars="0"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省级层面。</w:t>
      </w:r>
      <w:r>
        <w:rPr>
          <w:rFonts w:hint="default" w:ascii="Times New Roman" w:hAnsi="Times New Roman" w:eastAsia="宋体" w:cs="Times New Roman"/>
          <w:kern w:val="0"/>
          <w:sz w:val="24"/>
        </w:rPr>
        <w:t>省委、省政府将非涉密政务信息系统大运维大安全改革列为年度重大改革事项。2026年4月，中共湖南省委办公厅、湖南省人民政府办公厅印发《湖南省非涉密政务信息系统大运维大安全改革实施方案》（湘办发电〔2026〕15号），在全省部署非涉密政务信息系统大运维大安全改革。改革按照“一体化、三本账、五融合、六统一”的“1356”总体框架系统推进，着力破解政务信息化领域长期存在的“重建设、轻运维、弱安全”等突出问题，提出到2026年底实现监测覆盖率、安全管理覆盖率、运维人员监管率、绩效评价覆盖率达100%，90%以上常见运维故障实现智能预警、自动处置，实现“资源大整合、效益大提质、治理大提升、服务大升级”。2026年1月，省数据局组织召开改革试点工作推进会，部署省教育厅、省公安厅等单位先行试点；5月起改革在全省全面铺开，省数据局先后召开全省工作培训会议、市州业务工作培训会议，要求各市县坚持“统”字当头，对标对表一体贯通，构建省统一指挥、市县全面协同、各级各部门落地执行的联动机制，形成全省“一盘棋”工作合力。省委机构编制委员会印发《关于统筹省级政务信息化项目建设运维职责有关工作的意见》（湘编〔2026〕8号），对政务信息化项目建设运维职责统筹作出制度安排。</w:t>
      </w:r>
    </w:p>
    <w:p>
      <w:pPr>
        <w:numPr>
          <w:ilvl w:val="0"/>
          <w:numId w:val="12"/>
        </w:numPr>
        <w:bidi w:val="0"/>
        <w:spacing w:line="360" w:lineRule="auto"/>
        <w:ind w:left="0" w:leftChars="0"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岳阳市层面。</w:t>
      </w:r>
      <w:r>
        <w:rPr>
          <w:rFonts w:hint="default" w:ascii="Times New Roman" w:hAnsi="Times New Roman" w:eastAsia="宋体" w:cs="Times New Roman"/>
          <w:kern w:val="0"/>
          <w:sz w:val="24"/>
        </w:rPr>
        <w:t>岳阳市作为全省先行试点市，市委、市政府对改革推进工作作出专题部署。中共岳阳市委办公室、岳阳市人民政府办公室印发《岳阳市非涉密政务信息系统大运维大安全改革实施方案》（岳办函〔2026〕9号），对所辖县市区推进大运维大安全改革工作提出明确要求和时限安排，明确全市非涉密系统监测覆盖率、标准化安全管理覆盖率、人员监管率、绩效评价率均达到100%，运维总费用压减10%的目标。2026年5月20日，全市非涉密政务信息系统大运维大安全改革工作部署电视电话会议召开，会议强调此次改革是一次“系统性、重塑性变革”，是“扛牢政治责任、破解长期顽疾、提升治理效能的关键举措”，要求打牢“三本账”基础、打好资源整合硬仗、守住安全底线、抓好经费统筹，严格落实“月通报、季报告、年考核”机制，压紧压实“一把手”第一责任，力争为全省改革提供可复制、可推广的岳阳经验，为数字岳阳、平安岳阳建设提供有力支撑。</w:t>
      </w:r>
    </w:p>
    <w:p>
      <w:pPr>
        <w:numPr>
          <w:ilvl w:val="0"/>
          <w:numId w:val="12"/>
        </w:numPr>
        <w:bidi w:val="0"/>
        <w:spacing w:line="360" w:lineRule="auto"/>
        <w:ind w:left="0" w:leftChars="0"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本市层面。</w:t>
      </w:r>
      <w:r>
        <w:rPr>
          <w:rFonts w:hint="default" w:ascii="Times New Roman" w:hAnsi="Times New Roman" w:eastAsia="宋体" w:cs="Times New Roman"/>
          <w:kern w:val="0"/>
          <w:sz w:val="24"/>
        </w:rPr>
        <w:t>中共临湘市委办公室、临湘市人民政府办公室印发《临湘市非涉密政务信息系统大运维大安全改革实施方案》（临办发〔2026〕12号），将改革作为“一把手”工程推进，明确全市改革目标、改革范围、职责分工、管理机制和工作要求。方案提出2026年底前实现监测覆盖率、安全管理覆盖率、运维人员监管率、绩效评价覆盖率达100%，在2025年降本增效基础上运维总费用再压减5%以上，90%以上常见运维故障实现智能预警、自动处置；2027年及以后全面实现省“1356”改革目标，全力打造全省县域大运维大安全改革标杆。方案围绕统一组织架构、统一制度规范、统一技术支撑、统一资源管理、统一运安管理、统一绩效评价六个方面细化17项重点任务，明确依托省级运安平台实现运维安全态势“一屏统览、全域可视”管控，构建“总支撑（市大数据中心、运安总服务商）＋小分队（涉改单位、专业服务商）”技术协同体系，完成全市运安服务统一采购，未经市大数据中心统一采购的运维项目市财政不予拨付相关费用。本项目建设内容与上述改革部署高度契合，是临湘市落实大运维大安全改革重点任务的具体载体。</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42" w:name="_Toc24370"/>
      <w:r>
        <w:rPr>
          <w:rFonts w:hint="default" w:ascii="Times New Roman" w:hAnsi="Times New Roman" w:eastAsia="黑体" w:cs="Times New Roman"/>
          <w:bCs/>
          <w:kern w:val="2"/>
          <w:sz w:val="28"/>
          <w:szCs w:val="32"/>
          <w:lang w:val="en-US" w:eastAsia="zh-CN" w:bidi="ar-SA"/>
        </w:rPr>
        <w:t>体制改革背景</w:t>
      </w:r>
      <w:bookmarkEnd w:id="42"/>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从省级部署看，中共湖南省委机构编制委员会印发《关于统筹省级政务信息化项目建设运维职责有关工作的意见》（湘编〔2026〕8号），对统筹政务信息化项目建设运维职责作出制度安排，明确省市县三级贯通推进；岳阳市要求所辖县市区明确相关机构负责本级运行管理，接受市大数据中心指挥调度，指导所辖县市区协同推进。深化政务信息化项目管理体制改革、实行集约化统一管理，已成为自上而下的制度性安排。</w:t>
      </w:r>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从本市职责划转看，按照《临湘市非涉密政务信息系统大运维大安全改革实施方案》（临办发〔2026〕12号），全市非涉密政务信息化项目建设、运维、技术安全管理工作职责划转至市数据局，市大数据中心承担具体技术性、事务性工作；市发改局关于政务信息化项目（含涉密和非涉密）立项审批职责划转至市数据局，立项审查、初步设计和概算审查、竣工验收由市数据局统一组织实施，市发改局、市委办公室机要保密部门协同参与；市财政局负责财政评审，编制和统筹管理全市政务信息化项目经费预算，明确专门股室对接受理非涉密项目建设和运维经费申请，并按规定程序拨付至市数据局。各镇（街道）、市直各单位及其所属机构全部纳入改革实施范围，各单位不再单独建设和运维非涉密政务信息化项目，主要聚焦本行业业务发展需要，负责提出建设规划、应用需求、数据需求和业务场景构想，参与项目建设需求调研、业务流程梳理和方案论证，承担系统应用推广、数据统计和数据归集共享等工作，并依法承担本部门系统使用过程中的安全管理责任。</w:t>
      </w:r>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从管理机制看，市数据局对全市非涉密政务信息化项目实行统一规划、统一立项审批、统一采购、统一建设、统一运维。各涉改单位建立由主要负责人负总责、分管领导具体负责、1个股室牵头落实、N名技术人员支撑的“1+1+1+N”运维责任体系；构建“总支撑（市大数据中心、运安总服务商）＋小分队（涉改单位、专业服务商）”技术协同模式，各涉改单位与市大数据中心签订运安权责边界协议，明确网络、设备、软件的使用单位、管理单位、服务单位三方权责关系。已建项目运维、在建项目建设、新建项目规划和建设（含机房等相关硬件设施）按计划划转接收，同步建立涉密网与非涉密网之间符合安全保密要求的信息数据联通机制。市财政局对未经市大数据中心统一采购的运维项目不予拨付相关费用，对未纳入“三本账”管理的项目不预算、不拨款、不支付相关运维费用。</w:t>
      </w:r>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本项目即为落实统一采购、统一运维要求的具体举措，是职责划转后市数据局组织实施的第一个综合性统一运维服务项目，承担全市运安服务统一采购落地、省级运安平台深度对接、“三本账”填报支撑、统一监测工具部署等改革任务，是全市大运维大安全改革体系落地运行的关键一环。</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43" w:name="_Toc20735"/>
      <w:r>
        <w:rPr>
          <w:rFonts w:hint="default" w:ascii="Times New Roman" w:hAnsi="Times New Roman" w:eastAsia="黑体" w:cs="Times New Roman"/>
          <w:bCs/>
          <w:kern w:val="2"/>
          <w:sz w:val="28"/>
          <w:szCs w:val="32"/>
          <w:lang w:val="en-US" w:eastAsia="zh-CN" w:bidi="ar-SA"/>
        </w:rPr>
        <w:t>现实需求背景</w:t>
      </w:r>
      <w:bookmarkEnd w:id="43"/>
    </w:p>
    <w:p>
      <w:pPr>
        <w:spacing w:after="80" w:line="336" w:lineRule="auto"/>
        <w:ind w:firstLine="482" w:firstLineChars="200"/>
        <w:jc w:val="both"/>
        <w:rPr>
          <w:rFonts w:ascii="Times New Roman" w:hAnsi="Times New Roman" w:eastAsia="宋体" w:cs="宋体"/>
          <w:kern w:val="0"/>
          <w:sz w:val="24"/>
        </w:rPr>
      </w:pPr>
      <w:r>
        <w:rPr>
          <w:rFonts w:ascii="Times New Roman" w:hAnsi="Times New Roman" w:eastAsia="宋体" w:cs="宋体"/>
          <w:b/>
          <w:kern w:val="0"/>
          <w:sz w:val="24"/>
        </w:rPr>
        <w:t>1．存量运维合同集中到期，统一接续需求迫切。</w:t>
      </w:r>
      <w:r>
        <w:rPr>
          <w:rFonts w:ascii="Times New Roman" w:hAnsi="Times New Roman" w:eastAsia="宋体" w:cs="宋体"/>
          <w:kern w:val="0"/>
          <w:sz w:val="24"/>
        </w:rPr>
        <w:t>全市各非涉密政务信息系统现有运维合同大部分于2025年底至2026年陆续到期，涉及18个信息系统、3172条网络链路、13个硬件设备运维项目、33台云主机。按照省改革要求，2026年各单位采购运维服务期不得超过2027年3月，2027年起运维项目原则上转入统一采购轨道。若分散续签或接续不畅，既与统一采购改革方向相悖，也将直接影响财政核算、社会保障、房地产市场监管、交通治超、校车安全监管、应急指挥、政务公开等核心政务业务的连续性。</w:t>
      </w:r>
    </w:p>
    <w:p>
      <w:pPr>
        <w:spacing w:after="80" w:line="336" w:lineRule="auto"/>
        <w:ind w:firstLine="482" w:firstLineChars="200"/>
        <w:jc w:val="both"/>
        <w:rPr>
          <w:rFonts w:ascii="Times New Roman" w:hAnsi="Times New Roman" w:eastAsia="宋体" w:cs="宋体"/>
          <w:kern w:val="0"/>
          <w:sz w:val="24"/>
        </w:rPr>
      </w:pPr>
      <w:r>
        <w:rPr>
          <w:rFonts w:ascii="Times New Roman" w:hAnsi="Times New Roman" w:eastAsia="宋体" w:cs="宋体"/>
          <w:b/>
          <w:kern w:val="0"/>
          <w:sz w:val="24"/>
        </w:rPr>
        <w:t>2．分散运维模式难以为继，集约化需求迫切。</w:t>
      </w:r>
      <w:r>
        <w:rPr>
          <w:rFonts w:ascii="Times New Roman" w:hAnsi="Times New Roman" w:eastAsia="宋体" w:cs="宋体"/>
          <w:kern w:val="0"/>
          <w:sz w:val="24"/>
        </w:rPr>
        <w:t>现状为各使用单位分别建设、分别运维、分别采购，服务标准、响应时限、考核要求不统一，同类服务价格差异较大，既造成财政资金低效投入，也导致运维质量参差不齐、责任边界模糊，是全省改革着力破解的“重建设、轻运维、弱安全”结构性痛点在县域的集中体现。按照“总支撑＋小分队”技术协同模式要求，运维模式须由分散粗放向集约智能转变，亟需通过统一采购实现服务标准统一、价格公允、责任清晰。</w:t>
      </w:r>
    </w:p>
    <w:p>
      <w:pPr>
        <w:spacing w:after="80" w:line="336" w:lineRule="auto"/>
        <w:ind w:firstLine="482" w:firstLineChars="200"/>
        <w:jc w:val="both"/>
        <w:rPr>
          <w:rFonts w:ascii="Times New Roman" w:hAnsi="Times New Roman" w:eastAsia="宋体" w:cs="宋体"/>
          <w:kern w:val="0"/>
          <w:sz w:val="24"/>
        </w:rPr>
      </w:pPr>
      <w:r>
        <w:rPr>
          <w:rFonts w:ascii="Times New Roman" w:hAnsi="Times New Roman" w:eastAsia="宋体" w:cs="宋体"/>
          <w:b/>
          <w:kern w:val="0"/>
          <w:sz w:val="24"/>
        </w:rPr>
        <w:t>3．安全形势与业务保障要求持续提高。</w:t>
      </w:r>
      <w:r>
        <w:rPr>
          <w:rFonts w:ascii="Times New Roman" w:hAnsi="Times New Roman" w:eastAsia="宋体" w:cs="宋体"/>
          <w:kern w:val="0"/>
          <w:sz w:val="24"/>
        </w:rPr>
        <w:t>随着政务信息系统集约整合、数据集中共享程度提高，系统中断、数据泄露、网络攻击等风险的影响面显著扩大，坚决守住不发生重大网络安全事件底线的要求更加刚性。改革实施方案对运维保障能力提出量化要求：优化“30分钟响应、24小时修复”运维工作机制，确保全年政务网络可用性稳定保持99.9%以上，实现核心业务中断风险全面可控。分散运维模式下各单位安全监测手段各自为政，难以形成统一的安全监测、预警和应急处置体系，亟需依托统一运维服务构建分级分类、闭环处置的保障机制。</w:t>
      </w:r>
    </w:p>
    <w:p>
      <w:pPr>
        <w:spacing w:after="80" w:line="336" w:lineRule="auto"/>
        <w:ind w:firstLine="482" w:firstLineChars="200"/>
        <w:jc w:val="both"/>
        <w:rPr>
          <w:rFonts w:ascii="Times New Roman" w:hAnsi="Times New Roman" w:eastAsia="宋体" w:cs="宋体"/>
          <w:kern w:val="0"/>
          <w:sz w:val="24"/>
        </w:rPr>
      </w:pPr>
      <w:r>
        <w:rPr>
          <w:rFonts w:ascii="Times New Roman" w:hAnsi="Times New Roman" w:eastAsia="宋体" w:cs="宋体"/>
          <w:b/>
          <w:kern w:val="0"/>
          <w:sz w:val="24"/>
        </w:rPr>
        <w:t>4．资源底数与绩效管理能力亟待夯实。</w:t>
      </w:r>
      <w:r>
        <w:rPr>
          <w:rFonts w:ascii="Times New Roman" w:hAnsi="Times New Roman" w:eastAsia="宋体" w:cs="宋体"/>
          <w:kern w:val="0"/>
          <w:sz w:val="24"/>
        </w:rPr>
        <w:t>改革实施方案要求2026年8月底前完成资产、人员、运行“三本账”管理，并明确“凡未纳入三本账管理的项目，市财政局不预算、不拨款、不支付相关运维费用”，“三本账”填报与日常维护情况纳入年度绩效考核和审计。现状各单位运维台账不完整、资产底数不清、人员备案缺失，绩效评价覆盖率尚未达到100%，运维费用多按合同固定支付、未与服务质量挂钩。需依托统一运维服务同步建立规范的资源台账和绩效评价体系，实现资源底数全程可溯、精准可控、动态更新，落实“按绩效付费”“花钱必问效、无效必问责”要求。</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44" w:name="_Toc3595"/>
      <w:r>
        <w:rPr>
          <w:rFonts w:hint="default" w:ascii="Times New Roman" w:hAnsi="Times New Roman" w:eastAsia="黑体" w:cs="Times New Roman"/>
          <w:bCs/>
          <w:kern w:val="2"/>
          <w:sz w:val="30"/>
          <w:szCs w:val="32"/>
          <w:lang w:val="en-US" w:eastAsia="zh-CN" w:bidi="ar-SA"/>
        </w:rPr>
        <w:t>存在的具体问题和差距</w:t>
      </w:r>
      <w:bookmarkEnd w:id="44"/>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结合现状分析与改革要求，全市非涉密政务信息系统在运维体系、资源管理、安全防护、集约利用等方面，与“六统一”改革要求相比仍存在明显差距，主要表现在以下六个方面：</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1．运维主体分散，标准责任不清。</w:t>
      </w:r>
      <w:r>
        <w:rPr>
          <w:rFonts w:hint="default" w:ascii="Times New Roman" w:hAnsi="Times New Roman" w:eastAsia="宋体" w:cs="Times New Roman"/>
          <w:kern w:val="0"/>
          <w:sz w:val="24"/>
        </w:rPr>
        <w:t>各使用单位分别采购运维服务，服务级别、响应时限、考核标准各异，同类系统运维价格差异明显；出现跨系统、跨网络的复合故障时，易出现责任推诿、处置链条过长，故障定位和恢复时间难以保证，与改革要求的统一组织架构、统一制度规范和“统分结合、协同联动”存在明显差距。</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2．资源底数不清，台账管理薄弱。</w:t>
      </w:r>
      <w:r>
        <w:rPr>
          <w:rFonts w:hint="default" w:ascii="Times New Roman" w:hAnsi="Times New Roman" w:eastAsia="宋体" w:cs="Times New Roman"/>
          <w:kern w:val="0"/>
          <w:sz w:val="24"/>
        </w:rPr>
        <w:t>全市尚未建立覆盖全域的资产、人员、运行“三本账”，部分单位系统资产未入账、变更未登记、报废未核销，前端感知设备、网络链路的实际数量、位置、状态与账面不一致，难以实现“全量纳管、一账通查”，与改革要求的“资源底数全程可溯、精准可控、动态更新”存在差距。</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3．监测能力不足，应急处置滞后。</w:t>
      </w:r>
      <w:r>
        <w:rPr>
          <w:rFonts w:hint="default" w:ascii="Times New Roman" w:hAnsi="Times New Roman" w:eastAsia="宋体" w:cs="Times New Roman"/>
          <w:kern w:val="0"/>
          <w:sz w:val="24"/>
        </w:rPr>
        <w:t>现有安全监测手段分散在各系统和各单位，缺乏统一的安全态势感知平台，未形成“一屏统览、全域可视”的监测格局；未建立覆盖全市、分级分类的应急响应机制，常见故障预警、派单、处置尚未实现闭环，与改革要求的“90%以上常见故障智能预警、自动派单、闭环处置”“核心业务中断风险全面可控”存在差距。</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4．设备老化失修，性能持续退化。</w:t>
      </w:r>
      <w:r>
        <w:rPr>
          <w:rFonts w:hint="default" w:ascii="Times New Roman" w:hAnsi="Times New Roman" w:eastAsia="宋体" w:cs="Times New Roman"/>
          <w:kern w:val="0"/>
          <w:sz w:val="24"/>
        </w:rPr>
        <w:t>部分前端感知设备、机房配套设备超过合理使用年限，受野外环境、自然灾害影响出现老化损坏，部分山塘水库、防汛抗旱点位设备失效、图像缺失，形成业务盲区和安全隐患，与“全域感知、风险可控”的要求存在差距。</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5．上云系统分散，资源集约不足。</w:t>
      </w:r>
      <w:r>
        <w:rPr>
          <w:rFonts w:hint="default" w:ascii="Times New Roman" w:hAnsi="Times New Roman" w:eastAsia="宋体" w:cs="Times New Roman"/>
          <w:kern w:val="0"/>
          <w:sz w:val="24"/>
        </w:rPr>
        <w:t>10个上云系统分别租赁云资源，缺乏统一规划和集约调度，部分系统资源配置偏高、利用率不足，资源变更、退订缺乏统一管理，僵尸系统、低效应用、闲置资源尚未开展专项清零，与改革要求的“持续深化系统上云、资源共享、资源深度集约整合复用”存在差距。</w:t>
      </w:r>
    </w:p>
    <w:p>
      <w:pPr>
        <w:bidi w:val="0"/>
        <w:spacing w:line="360" w:lineRule="auto"/>
        <w:ind w:firstLine="482"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b/>
          <w:bCs/>
          <w:kern w:val="0"/>
          <w:sz w:val="24"/>
        </w:rPr>
        <w:t>6．绩效机制缺失，资金效益不高。</w:t>
      </w:r>
      <w:r>
        <w:rPr>
          <w:rFonts w:hint="default" w:ascii="Times New Roman" w:hAnsi="Times New Roman" w:eastAsia="宋体" w:cs="Times New Roman"/>
          <w:kern w:val="0"/>
          <w:sz w:val="24"/>
        </w:rPr>
        <w:t>现行运维费用多按合同约定固定支付，未与服务质量和绩效结果挂钩，缺乏可量化的考核指标和结果运用机制，“花钱必问效、无效必问责”的绩效约束尚未建立，与改革要求的“严格按绩效付费”“绩效评价覆盖率达100%”存在差距</w:t>
      </w:r>
      <w:r>
        <w:rPr>
          <w:rFonts w:hint="default" w:ascii="Times New Roman" w:hAnsi="Times New Roman" w:eastAsia="宋体" w:cs="Times New Roman"/>
          <w:kern w:val="0"/>
          <w:sz w:val="24"/>
          <w:lang w:eastAsia="zh-CN"/>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45" w:name="_Toc21182"/>
      <w:r>
        <w:rPr>
          <w:rFonts w:hint="default" w:ascii="Times New Roman" w:hAnsi="Times New Roman" w:eastAsia="黑体" w:cs="Times New Roman"/>
          <w:bCs/>
          <w:kern w:val="2"/>
          <w:sz w:val="30"/>
          <w:szCs w:val="32"/>
          <w:lang w:val="en-US" w:eastAsia="zh-CN" w:bidi="ar-SA"/>
        </w:rPr>
        <w:t>必要性</w:t>
      </w:r>
      <w:r>
        <w:rPr>
          <w:rFonts w:hint="eastAsia" w:ascii="Times New Roman" w:hAnsi="Times New Roman" w:eastAsia="黑体" w:cs="Times New Roman"/>
          <w:bCs/>
          <w:kern w:val="2"/>
          <w:sz w:val="30"/>
          <w:szCs w:val="32"/>
          <w:lang w:val="en-US" w:eastAsia="zh-CN" w:bidi="ar-SA"/>
        </w:rPr>
        <w:t>分析</w:t>
      </w:r>
      <w:bookmarkEnd w:id="45"/>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1．落实改革部署，扛牢政治责任。</w:t>
      </w:r>
      <w:r>
        <w:rPr>
          <w:rFonts w:hint="default" w:ascii="Times New Roman" w:hAnsi="Times New Roman" w:eastAsia="宋体" w:cs="Times New Roman"/>
          <w:kern w:val="0"/>
          <w:sz w:val="24"/>
        </w:rPr>
        <w:t>大运维大安全改革是省委、省政府部署的年度重大改革事项，岳阳市作为全省先行试点市，明确要求所辖县市区对标对表、一体贯通推进。临湘市将改革作为“一把手”工程，围绕“六统一”细化17项重点任务，逐项明确牵头单位、责任单位和完成时限。根据改革实施方案，市数据局承担全市非涉密政务信息化项目建设、运维及技术安全管理职责，市大数据中心承担具体技术性、事务性工作。本项目作为市数据局组织实施的第一个综合性统一运维服务项目，是落实省、岳阳市、临湘市三级改革部署、履行部门职责的必然要求，事关全市改革大局和年度考核目标的如期实现。</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2．破解运维顽疾，重塑服务体系。</w:t>
      </w:r>
      <w:r>
        <w:rPr>
          <w:rFonts w:hint="default" w:ascii="Times New Roman" w:hAnsi="Times New Roman" w:eastAsia="宋体" w:cs="Times New Roman"/>
          <w:kern w:val="0"/>
          <w:sz w:val="24"/>
        </w:rPr>
        <w:t>全省改革直指政务信息化领域“重建设、轻运维、弱安全”的结构性痛点。当前全市18个信息系统、3172条网络链路、13个硬件设备运维项目、33台云主机由不同服务商分散保障，标准不统一、责任不清晰、底数不明确、安全有短板、效益待提升等问题相互交织。本项目通过统一采购信息系统运维、网络线路租赁、硬件设备运维、设备更新替换、云资源租赁、</w:t>
      </w:r>
      <w:r>
        <w:rPr>
          <w:rFonts w:hint="eastAsia" w:ascii="Times New Roman" w:hAnsi="Times New Roman" w:eastAsia="宋体" w:cs="Times New Roman"/>
          <w:kern w:val="0"/>
          <w:sz w:val="24"/>
          <w:lang w:eastAsia="zh-CN"/>
        </w:rPr>
        <w:t>其他服务</w:t>
      </w:r>
      <w:r>
        <w:rPr>
          <w:rFonts w:hint="default" w:ascii="Times New Roman" w:hAnsi="Times New Roman" w:eastAsia="宋体" w:cs="Times New Roman"/>
          <w:kern w:val="0"/>
          <w:sz w:val="24"/>
        </w:rPr>
        <w:t>和</w:t>
      </w:r>
      <w:r>
        <w:rPr>
          <w:rFonts w:hint="eastAsia" w:ascii="Times New Roman" w:hAnsi="Times New Roman" w:eastAsia="宋体" w:cs="Times New Roman"/>
          <w:kern w:val="0"/>
          <w:sz w:val="24"/>
          <w:lang w:eastAsia="zh-CN"/>
        </w:rPr>
        <w:t>网络运维管理六大板块服务</w:t>
      </w:r>
      <w:r>
        <w:rPr>
          <w:rFonts w:hint="default" w:ascii="Times New Roman" w:hAnsi="Times New Roman" w:eastAsia="宋体" w:cs="Times New Roman"/>
          <w:kern w:val="0"/>
          <w:sz w:val="24"/>
        </w:rPr>
        <w:t>，建立统一服务目录、统一响应标准、统一考核体系与台账管理制度，推动运维模式由“分散粗放”向“集约智能”转变，实现运维服务体系的系统性重塑。</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3．保障业务连续，筑牢安全底线。</w:t>
      </w:r>
      <w:r>
        <w:rPr>
          <w:rFonts w:hint="default" w:ascii="Times New Roman" w:hAnsi="Times New Roman" w:eastAsia="宋体" w:cs="Times New Roman"/>
          <w:kern w:val="0"/>
          <w:sz w:val="24"/>
        </w:rPr>
        <w:t>财政核算、社会保障、房地产市场监管、交通治超、校车安全监管、应急指挥、政务公开等核心政务业务高度依赖信息系统和网络链路的连续稳定运行。改革实施方案明确要求优化“30分钟响应、24小时修复”运维工作机制，确保全年政务网络可用性稳定保持99.9%以上，坚决守住不发生重大网络安全事件的底线。本项目建立7×24小时全天候运维服务机制，细化普通故障、核心业务中断故障、安全风险隐患三类处置等级，落实分级响应、优先处置、闭环整改，同步强化重点应用场景网络冗余备份，杜绝大面积、长时间核心业务中断问题。</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4．摸清资源家底，夯实数字底座。</w:t>
      </w:r>
      <w:r>
        <w:rPr>
          <w:rFonts w:hint="default" w:ascii="Times New Roman" w:hAnsi="Times New Roman" w:eastAsia="宋体" w:cs="Times New Roman"/>
          <w:kern w:val="0"/>
          <w:sz w:val="24"/>
        </w:rPr>
        <w:t>改革实施方案要求2026年8月底前完成资产、人员、运行“三本账”管理，并明确“凡未纳入三本账管理的项目，市财政局不预算、不拨款、不支付相关运维费用”。本项目依托</w:t>
      </w:r>
      <w:r>
        <w:rPr>
          <w:rFonts w:hint="eastAsia" w:ascii="Times New Roman" w:hAnsi="Times New Roman" w:eastAsia="宋体" w:cs="Times New Roman"/>
          <w:kern w:val="0"/>
          <w:sz w:val="24"/>
          <w:lang w:eastAsia="zh-CN"/>
        </w:rPr>
        <w:t>网络运维管理</w:t>
      </w:r>
      <w:r>
        <w:rPr>
          <w:rFonts w:hint="default" w:ascii="Times New Roman" w:hAnsi="Times New Roman" w:eastAsia="宋体" w:cs="Times New Roman"/>
          <w:kern w:val="0"/>
          <w:sz w:val="24"/>
        </w:rPr>
        <w:t>建设全市统一的资源台账和运行监测体系，配合省级运安平台完成统一监测工具部署与深度对接，实现资源底数全程可溯、精准可控、动态更新，为低效资源整治、绩效评价和预算管理提供数据底座。</w:t>
      </w:r>
    </w:p>
    <w:p>
      <w:pPr>
        <w:bidi w:val="0"/>
        <w:spacing w:line="360" w:lineRule="auto"/>
        <w:ind w:firstLine="482"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bCs/>
          <w:kern w:val="0"/>
          <w:sz w:val="24"/>
        </w:rPr>
        <w:t>5．深化集约降本，提升资金效益。</w:t>
      </w:r>
      <w:r>
        <w:rPr>
          <w:rFonts w:hint="default" w:ascii="Times New Roman" w:hAnsi="Times New Roman" w:eastAsia="宋体" w:cs="Times New Roman"/>
          <w:kern w:val="0"/>
          <w:sz w:val="24"/>
        </w:rPr>
        <w:t>岳阳市明确全市运维总费用压减10%的改革目标，临湘市提出在2025年降本增效基础上再压减5%以上。本项目通过统一采购、集中谈判形成规模议价效应，有效降低分散采购产生的溢价；通过统一云资源调度和僵尸系统、低效应用、闲置资源专项清零，压减低效支出；严格落实“按绩效付费”机制，将服务费用与绩效评价结果挂钩，落实“花钱必问效、无效必问责”要求，确保财政资金使用效益持续提升。</w:t>
      </w:r>
    </w:p>
    <w:p>
      <w:pPr>
        <w:bidi w:val="0"/>
        <w:jc w:val="both"/>
        <w:rPr>
          <w:rFonts w:hint="default" w:ascii="Times New Roman" w:hAnsi="Times New Roman" w:eastAsia="宋体" w:cs="Times New Roman"/>
          <w:lang w:eastAsia="zh-CN"/>
        </w:rPr>
        <w:sectPr>
          <w:pgSz w:w="11906" w:h="16838"/>
          <w:pgMar w:top="1440" w:right="1797" w:bottom="1440" w:left="1797" w:header="851" w:footer="992" w:gutter="0"/>
          <w:pgNumType w:fmt="decimal"/>
          <w:cols w:space="720" w:num="1"/>
          <w:docGrid w:linePitch="326" w:charSpace="0"/>
        </w:sectPr>
      </w:pPr>
      <w:r>
        <w:rPr>
          <w:rFonts w:hint="default" w:ascii="Times New Roman" w:hAnsi="Times New Roman" w:eastAsia="宋体" w:cs="Times New Roman"/>
          <w:b/>
          <w:bCs/>
          <w:kern w:val="0"/>
          <w:sz w:val="24"/>
        </w:rPr>
        <w:t>6．打造县域标杆，贡献临湘经验。</w:t>
      </w:r>
      <w:r>
        <w:rPr>
          <w:rFonts w:hint="default" w:ascii="Times New Roman" w:hAnsi="Times New Roman" w:eastAsia="宋体" w:cs="Times New Roman"/>
          <w:kern w:val="0"/>
          <w:sz w:val="24"/>
        </w:rPr>
        <w:t>临办发〔2026〕12号文件明确提出“全力打造全省县域大运维大安全改革标杆”。本项目作为县域层面统一运维的先行实践，其在采购模式、服务标准、绩效管理、平台赋能等方面的规范做法，可为全省县市区推进大运维大安全改革提供可复制、可借鉴的实践经验；同时为数字临湘建设夯实网络与运维底座，助力提升政府治理数字化水平，服务全市营商环境优化和经济社会高质量发展</w:t>
      </w:r>
      <w:r>
        <w:rPr>
          <w:rFonts w:hint="default" w:ascii="Times New Roman" w:hAnsi="Times New Roman" w:eastAsia="宋体" w:cs="Times New Roman"/>
          <w:kern w:val="0"/>
          <w:sz w:val="24"/>
          <w:lang w:eastAsia="zh-CN"/>
        </w:rPr>
        <w:t>。</w:t>
      </w: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46" w:name="_Toc14224"/>
      <w:r>
        <w:rPr>
          <w:rFonts w:hint="default" w:ascii="Times New Roman" w:hAnsi="Times New Roman" w:eastAsia="黑体" w:cs="Times New Roman"/>
          <w:b/>
          <w:bCs/>
          <w:kern w:val="44"/>
          <w:sz w:val="32"/>
          <w:szCs w:val="44"/>
          <w:lang w:val="en-US" w:eastAsia="zh-CN" w:bidi="ar-SA"/>
        </w:rPr>
        <w:t>需求分析</w:t>
      </w:r>
      <w:bookmarkEnd w:id="46"/>
    </w:p>
    <w:p>
      <w:pPr>
        <w:spacing w:before="0" w:after="0" w:line="360" w:lineRule="auto"/>
        <w:ind w:firstLine="480" w:firstLineChars="200"/>
        <w:jc w:val="both"/>
        <w:rPr>
          <w:rFonts w:hint="default" w:ascii="Times New Roman" w:hAnsi="Times New Roman" w:eastAsia="宋体" w:cs="Times New Roman"/>
          <w:kern w:val="0"/>
          <w:sz w:val="24"/>
        </w:rPr>
      </w:pPr>
      <w:bookmarkStart w:id="47" w:name="_Hlk166181220"/>
      <w:bookmarkStart w:id="48" w:name="_Toc166138701"/>
      <w:r>
        <w:rPr>
          <w:rFonts w:hint="default" w:ascii="Times New Roman" w:hAnsi="Times New Roman" w:eastAsia="宋体" w:cs="Times New Roman"/>
          <w:kern w:val="0"/>
          <w:sz w:val="24"/>
        </w:rPr>
        <w:t>本项目为购买服务类项目，不涉及新建应用系统开发，需求分析聚焦于运维保障能力、安全管理能力和服务管理能力三个方面，并经征求各使用单位意见形成。</w:t>
      </w:r>
    </w:p>
    <w:p>
      <w:pPr>
        <w:numPr>
          <w:ilvl w:val="0"/>
          <w:numId w:val="13"/>
        </w:numPr>
        <w:bidi w:val="0"/>
        <w:spacing w:line="360" w:lineRule="auto"/>
        <w:ind w:left="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业务保障需求分析</w:t>
      </w:r>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全市18个非涉密政务信息系统支撑财政核算、社会保障、就业服务、房地产市场监管、交通非现场执法、校车安全监管、防汛抗旱、山洪灾害监测、城市运行管理、应急指挥、政务公开与宣传等核心业务，服务对象覆盖市直各单位、各乡镇（街道）、村（社区）以及法人和自然人。业务办理具有实时性、连续性和时效性强等特点，要求信息系统全年不间断运行，政务网络可用性稳定保持99.9%以上，核心业务系统在线率不低于99.9%。</w:t>
      </w:r>
    </w:p>
    <w:p>
      <w:pPr>
        <w:numPr>
          <w:ilvl w:val="0"/>
          <w:numId w:val="13"/>
        </w:numPr>
        <w:bidi w:val="0"/>
        <w:spacing w:line="360" w:lineRule="auto"/>
        <w:ind w:left="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服务内容与规模需求</w:t>
      </w:r>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需统一提供</w:t>
      </w:r>
      <w:r>
        <w:rPr>
          <w:rFonts w:hint="eastAsia" w:ascii="Times New Roman" w:hAnsi="Times New Roman" w:eastAsia="宋体" w:cs="Times New Roman"/>
          <w:kern w:val="0"/>
          <w:sz w:val="24"/>
          <w:lang w:eastAsia="zh-CN"/>
        </w:rPr>
        <w:t>六大板块</w:t>
      </w:r>
      <w:r>
        <w:rPr>
          <w:rFonts w:hint="default" w:ascii="Times New Roman" w:hAnsi="Times New Roman" w:eastAsia="宋体" w:cs="Times New Roman"/>
          <w:kern w:val="0"/>
          <w:sz w:val="24"/>
          <w:lang w:eastAsia="zh-CN"/>
        </w:rPr>
        <w:t>运维服务</w:t>
      </w:r>
      <w:r>
        <w:rPr>
          <w:rFonts w:hint="default" w:ascii="Times New Roman" w:hAnsi="Times New Roman" w:eastAsia="宋体" w:cs="Times New Roman"/>
          <w:kern w:val="0"/>
          <w:sz w:val="24"/>
        </w:rPr>
        <w:t>：信息系统运维18个系统、网络线路租赁3172条、</w:t>
      </w:r>
      <w:r>
        <w:rPr>
          <w:rFonts w:hint="eastAsia" w:ascii="Times New Roman" w:hAnsi="Times New Roman" w:eastAsia="宋体" w:cs="Times New Roman"/>
          <w:kern w:val="0"/>
          <w:sz w:val="24"/>
          <w:lang w:eastAsia="zh-CN"/>
        </w:rPr>
        <w:t>网络运维管理</w:t>
      </w:r>
      <w:r>
        <w:rPr>
          <w:rFonts w:hint="default" w:ascii="Times New Roman" w:hAnsi="Times New Roman" w:eastAsia="宋体" w:cs="Times New Roman"/>
          <w:kern w:val="0"/>
          <w:sz w:val="24"/>
        </w:rPr>
        <w:t>1套、硬件设备运维13个项目、设备更新替换2个项目、云资源租赁33台虚拟机、</w:t>
      </w:r>
      <w:r>
        <w:rPr>
          <w:rFonts w:hint="eastAsia" w:ascii="Times New Roman" w:hAnsi="Times New Roman" w:eastAsia="宋体" w:cs="Times New Roman"/>
          <w:kern w:val="0"/>
          <w:sz w:val="24"/>
          <w:lang w:eastAsia="zh-CN"/>
        </w:rPr>
        <w:t>其他服务</w:t>
      </w:r>
      <w:r>
        <w:rPr>
          <w:rFonts w:hint="default" w:ascii="Times New Roman" w:hAnsi="Times New Roman" w:eastAsia="宋体" w:cs="Times New Roman"/>
          <w:kern w:val="0"/>
          <w:sz w:val="24"/>
        </w:rPr>
        <w:t>3项，具体规模详见1.8.2。</w:t>
      </w:r>
    </w:p>
    <w:p>
      <w:pPr>
        <w:numPr>
          <w:ilvl w:val="0"/>
          <w:numId w:val="13"/>
        </w:numPr>
        <w:bidi w:val="0"/>
        <w:spacing w:line="360" w:lineRule="auto"/>
        <w:ind w:left="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服务响应与质量需求</w:t>
      </w:r>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建立7×24小时全天候运维服务机制，落实"30分钟响应、24小时修复"工作要求；细化普通故障、核心业务中断故障、安全风险隐患三类处置等级，实行分级响应、优先处置、闭环整改；实现90%以上常见运维故障智能预警、自动派单、闭环处置；故障处理及时率不低于98%，使用单位满意度不低于95%。</w:t>
      </w:r>
    </w:p>
    <w:p>
      <w:pPr>
        <w:numPr>
          <w:ilvl w:val="0"/>
          <w:numId w:val="13"/>
        </w:numPr>
        <w:bidi w:val="0"/>
        <w:spacing w:line="360" w:lineRule="auto"/>
        <w:ind w:left="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网络安全需求</w:t>
      </w:r>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依据《信息安全技术 网络安全等级保护基本要求》（GB/T 22239-2019）和《信息安全技术 网络安全等级保护定级指南》（GB/T 22240-2020），对纳入范围的信息系统开展等级保护定级、备案和测评，三级系统按期完成测评并整改达标；建立统一的安全监测、漏洞排查、风险研判和隐患整改机制；核心业务数据按重要程度实行每日增量、每周全量备份，确保业务连续性和数据可恢复，全年重大网络安全事件零发生。</w:t>
      </w:r>
    </w:p>
    <w:p>
      <w:pPr>
        <w:numPr>
          <w:ilvl w:val="0"/>
          <w:numId w:val="13"/>
        </w:numPr>
        <w:bidi w:val="0"/>
        <w:spacing w:line="360" w:lineRule="auto"/>
        <w:ind w:left="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数据与资源共享需求</w:t>
      </w:r>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运维过程中须完整记录资产、人员、运行"三本账"，实现资源底数动态更新、全程可溯；按要求完成与省级大运维大安全管理平台的深度对接，实现本地政务系统、网络设备、基础设施与省级平台全面贯通，运维安全态势"一屏统览、全域可视"。</w:t>
      </w:r>
    </w:p>
    <w:p>
      <w:pPr>
        <w:numPr>
          <w:ilvl w:val="0"/>
          <w:numId w:val="13"/>
        </w:numPr>
        <w:bidi w:val="0"/>
        <w:spacing w:line="360" w:lineRule="auto"/>
        <w:ind w:left="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服务管理需求</w:t>
      </w:r>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需建立统一服务接口和统一台账，实行运维人员实名备案和监管率100%；建立月度检查、季度评价、年度考核机制，考核结果与费用结算、年度合同续签挂钩，落实绩效评价覆盖率100%；按年度组织服务验收，三年服务期满组织整体验收并完成资料、资产移交。</w:t>
      </w:r>
    </w:p>
    <w:bookmarkEnd w:id="47"/>
    <w:p>
      <w:pPr>
        <w:bidi w:val="0"/>
        <w:jc w:val="both"/>
        <w:rPr>
          <w:rFonts w:hint="default" w:ascii="Times New Roman" w:hAnsi="Times New Roman" w:cs="Times New Roman"/>
          <w:highlight w:val="none"/>
        </w:rPr>
        <w:sectPr>
          <w:pgSz w:w="11906" w:h="16838"/>
          <w:pgMar w:top="1440" w:right="1797" w:bottom="1440" w:left="1797" w:header="794" w:footer="992" w:gutter="0"/>
          <w:pgNumType w:fmt="decimal"/>
          <w:cols w:space="720" w:num="1"/>
          <w:docGrid w:linePitch="326" w:charSpace="0"/>
        </w:sectPr>
      </w:pP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49" w:name="_Toc15623"/>
      <w:r>
        <w:rPr>
          <w:rFonts w:hint="default" w:ascii="Times New Roman" w:hAnsi="Times New Roman" w:eastAsia="黑体" w:cs="Times New Roman"/>
          <w:b/>
          <w:bCs/>
          <w:kern w:val="44"/>
          <w:sz w:val="32"/>
          <w:szCs w:val="44"/>
          <w:lang w:val="en-US" w:eastAsia="zh-CN" w:bidi="ar-SA"/>
        </w:rPr>
        <w:t>本期服务方案</w:t>
      </w:r>
      <w:bookmarkEnd w:id="49"/>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50" w:name="_Toc27337"/>
      <w:r>
        <w:rPr>
          <w:rFonts w:hint="default" w:ascii="Times New Roman" w:hAnsi="Times New Roman" w:eastAsia="黑体" w:cs="Times New Roman"/>
          <w:bCs/>
          <w:kern w:val="2"/>
          <w:sz w:val="30"/>
          <w:szCs w:val="32"/>
          <w:lang w:val="en-US" w:eastAsia="zh-CN" w:bidi="ar-SA"/>
        </w:rPr>
        <w:t>服务内容</w:t>
      </w:r>
      <w:bookmarkEnd w:id="50"/>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本项目服务内容为临湘市非涉密政务信息系统一体化运维及网络安全技术服务，按服务类别划分为信息系统运维</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eastAsia="zh-CN"/>
        </w:rPr>
        <w:t>网络线路租赁与运维管理服务</w:t>
      </w:r>
      <w:r>
        <w:rPr>
          <w:rFonts w:hint="default" w:ascii="Times New Roman" w:hAnsi="Times New Roman" w:eastAsia="宋体" w:cs="Times New Roman"/>
          <w:b w:val="0"/>
          <w:kern w:val="0"/>
          <w:sz w:val="24"/>
        </w:rPr>
        <w:t>、硬件设备运维</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、设备更新替换</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、云资源租赁</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eastAsia="zh-CN"/>
        </w:rPr>
        <w:t>其他服务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val="en-US" w:eastAsia="zh-CN"/>
        </w:rPr>
        <w:t>共计六类。</w:t>
      </w:r>
      <w:r>
        <w:rPr>
          <w:rFonts w:hint="default" w:ascii="Times New Roman" w:hAnsi="Times New Roman" w:eastAsia="宋体" w:cs="Times New Roman"/>
          <w:b w:val="0"/>
          <w:kern w:val="0"/>
          <w:sz w:val="24"/>
        </w:rPr>
        <w:t>具体如下：</w:t>
      </w:r>
    </w:p>
    <w:p>
      <w:pPr>
        <w:numPr>
          <w:ilvl w:val="0"/>
          <w:numId w:val="14"/>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信息系统运维服务。对全市18个非涉密政务信息系统提供运维服务，包括系统日常巡检、故障响应与处理、数据备份与恢复、性能优化、版本升级、安全加固、技术支持、培训指导等，保障财政核算、社会保障、房地产市场监管、交通治超、校车安全监管、应急指挥、政务公开等核心业务连续稳定运行。</w:t>
      </w:r>
    </w:p>
    <w:p>
      <w:pPr>
        <w:numPr>
          <w:ilvl w:val="0"/>
          <w:numId w:val="14"/>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eastAsia" w:ascii="Times New Roman" w:hAnsi="Times New Roman" w:eastAsia="宋体" w:cs="Times New Roman"/>
          <w:b w:val="0"/>
          <w:kern w:val="0"/>
          <w:sz w:val="24"/>
          <w:lang w:eastAsia="zh-CN"/>
        </w:rPr>
        <w:t>网络线路租赁与运维管理服务</w:t>
      </w:r>
      <w:r>
        <w:rPr>
          <w:rFonts w:hint="default" w:ascii="Times New Roman" w:hAnsi="Times New Roman" w:eastAsia="宋体" w:cs="Times New Roman"/>
          <w:b w:val="0"/>
          <w:kern w:val="0"/>
          <w:sz w:val="24"/>
        </w:rPr>
        <w:t>。</w:t>
      </w:r>
      <w:r>
        <w:rPr>
          <w:rFonts w:hint="eastAsia" w:ascii="Times New Roman" w:hAnsi="Times New Roman" w:eastAsia="宋体" w:cs="Times New Roman"/>
          <w:b w:val="0"/>
          <w:kern w:val="0"/>
          <w:sz w:val="24"/>
          <w:lang w:val="en-US" w:eastAsia="zh-CN"/>
        </w:rPr>
        <w:t>主要</w:t>
      </w:r>
      <w:r>
        <w:rPr>
          <w:rFonts w:hint="default" w:ascii="Times New Roman" w:hAnsi="Times New Roman" w:eastAsia="宋体" w:cs="Times New Roman"/>
          <w:b w:val="0"/>
          <w:kern w:val="0"/>
          <w:sz w:val="24"/>
        </w:rPr>
        <w:t>包含网络线路租赁与</w:t>
      </w:r>
      <w:r>
        <w:rPr>
          <w:rFonts w:hint="eastAsia" w:ascii="Times New Roman" w:hAnsi="Times New Roman" w:eastAsia="宋体" w:cs="Times New Roman"/>
          <w:b w:val="0"/>
          <w:kern w:val="0"/>
          <w:sz w:val="24"/>
          <w:lang w:eastAsia="zh-CN"/>
        </w:rPr>
        <w:t>网络运维管理</w:t>
      </w:r>
      <w:r>
        <w:rPr>
          <w:rFonts w:hint="default" w:ascii="Times New Roman" w:hAnsi="Times New Roman" w:eastAsia="宋体" w:cs="Times New Roman"/>
          <w:b w:val="0"/>
          <w:kern w:val="0"/>
          <w:sz w:val="24"/>
        </w:rPr>
        <w:t>两项内容。</w:t>
      </w:r>
    </w:p>
    <w:p>
      <w:pPr>
        <w:numPr>
          <w:ilvl w:val="0"/>
          <w:numId w:val="15"/>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网络线路租赁</w:t>
      </w:r>
      <w:r>
        <w:rPr>
          <w:rFonts w:hint="eastAsia" w:ascii="Times New Roman" w:hAnsi="Times New Roman" w:eastAsia="宋体" w:cs="Times New Roman"/>
          <w:b w:val="0"/>
          <w:kern w:val="0"/>
          <w:sz w:val="24"/>
          <w:lang w:val="en-US" w:eastAsia="zh-CN"/>
        </w:rPr>
        <w:t>服务。</w:t>
      </w:r>
      <w:r>
        <w:rPr>
          <w:rFonts w:hint="default" w:ascii="Times New Roman" w:hAnsi="Times New Roman" w:eastAsia="宋体" w:cs="Times New Roman"/>
          <w:b w:val="0"/>
          <w:kern w:val="0"/>
          <w:sz w:val="24"/>
          <w:lang w:val="en-US" w:eastAsia="zh-CN"/>
        </w:rPr>
        <w:t>对全市各委办局、乡镇（街道）及村（社区）政务网络链路提供租赁服务，共计3172条，涵盖电子政务外网应用数据专线、本地数据专线、教育云专网、云视讯专网、前端感知设备数据专线、国家省市数据专线、互联网出口、校园一键报警专网、物联网卡及裸纤等类型。服务内容包括线路租用、开通调测、日常运行维护、故障修复、新增迁移开通、网络流量安全分析及重大活动网络保障等</w:t>
      </w:r>
      <w:r>
        <w:rPr>
          <w:rFonts w:hint="default" w:ascii="Times New Roman" w:hAnsi="Times New Roman" w:eastAsia="宋体" w:cs="Times New Roman"/>
          <w:b w:val="0"/>
          <w:kern w:val="0"/>
          <w:sz w:val="24"/>
        </w:rPr>
        <w:t>。</w:t>
      </w:r>
    </w:p>
    <w:p>
      <w:pPr>
        <w:numPr>
          <w:ilvl w:val="0"/>
          <w:numId w:val="15"/>
        </w:numPr>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网络运维管理</w:t>
      </w:r>
      <w:r>
        <w:rPr>
          <w:rFonts w:hint="default" w:ascii="Times New Roman" w:hAnsi="Times New Roman" w:eastAsia="宋体" w:cs="Times New Roman"/>
          <w:kern w:val="0"/>
          <w:sz w:val="24"/>
          <w:highlight w:val="none"/>
          <w:lang w:val="en-US" w:eastAsia="zh-CN"/>
        </w:rPr>
        <w:t>。</w:t>
      </w:r>
      <w:r>
        <w:rPr>
          <w:rFonts w:hint="eastAsia" w:ascii="Times New Roman" w:hAnsi="Times New Roman" w:eastAsia="宋体" w:cs="Times New Roman"/>
          <w:kern w:val="0"/>
          <w:sz w:val="24"/>
          <w:highlight w:val="none"/>
          <w:lang w:val="en-US" w:eastAsia="zh-CN"/>
        </w:rPr>
        <w:t>租赁网络运维管理</w:t>
      </w:r>
      <w:r>
        <w:rPr>
          <w:rFonts w:hint="default" w:ascii="Times New Roman" w:hAnsi="Times New Roman" w:eastAsia="宋体" w:cs="Times New Roman"/>
          <w:kern w:val="0"/>
          <w:sz w:val="24"/>
          <w:highlight w:val="none"/>
          <w:lang w:val="en-US" w:eastAsia="zh-CN"/>
        </w:rPr>
        <w:t>服务，将全市纳入统一运维的政务网络链路实行统一平台、统一流程、统一监管，提供链路资源数字化台账、故障全流程闭环管理、跨部门协同调度、监控告警联动处置、运维统计报表与管理驾驶舱、大屏可视化展示等服务能力，支撑各使用单位协同开展链路运维，实现运维台账、故障处置、考核数据全程线上化、可追溯。</w:t>
      </w:r>
    </w:p>
    <w:p>
      <w:pPr>
        <w:numPr>
          <w:ilvl w:val="0"/>
          <w:numId w:val="14"/>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硬件设备运维服务。对前端感知设备、IT 设备、政务大厅终端、机房配套设备等</w:t>
      </w:r>
      <w:r>
        <w:rPr>
          <w:rFonts w:hint="default" w:ascii="Times New Roman" w:hAnsi="Times New Roman" w:eastAsia="宋体" w:cs="Times New Roman"/>
          <w:b w:val="0"/>
          <w:kern w:val="0"/>
          <w:sz w:val="24"/>
          <w:lang w:val="en-US" w:eastAsia="zh-CN"/>
        </w:rPr>
        <w:t>相关项目配套设备</w:t>
      </w:r>
      <w:r>
        <w:rPr>
          <w:rFonts w:hint="default" w:ascii="Times New Roman" w:hAnsi="Times New Roman" w:eastAsia="宋体" w:cs="Times New Roman"/>
          <w:b w:val="0"/>
          <w:kern w:val="0"/>
          <w:sz w:val="24"/>
        </w:rPr>
        <w:t>提供保养清洁、巡检排查、故障响应、设备更换、重大事件保障等服务。</w:t>
      </w:r>
    </w:p>
    <w:p>
      <w:pPr>
        <w:numPr>
          <w:ilvl w:val="0"/>
          <w:numId w:val="14"/>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设备更新替换服务。对达到使用年限、技术落后或存在安全隐患且无法通过维修恢复功能的设备实施更新替换，本期包括防汛抗旱救灾主题场景应用一期建设项目设备更新与山塘水库防溺水视频监控平台端摄像头修复两个项目。</w:t>
      </w:r>
    </w:p>
    <w:p>
      <w:pPr>
        <w:numPr>
          <w:ilvl w:val="0"/>
          <w:numId w:val="14"/>
        </w:numPr>
        <w:spacing w:before="0" w:after="0"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云资源租赁服务。为上云的政务信息系统提供计算、存储等云资源租赁服务，包括虚拟机、vCPU、内存、块存储等资源的开通、配置、监控、扩容及运行保障。</w:t>
      </w:r>
    </w:p>
    <w:p>
      <w:pPr>
        <w:numPr>
          <w:ilvl w:val="0"/>
          <w:numId w:val="14"/>
        </w:numPr>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b w:val="0"/>
          <w:kern w:val="0"/>
          <w:sz w:val="24"/>
          <w:lang w:eastAsia="zh-CN"/>
        </w:rPr>
        <w:t>其他服务</w:t>
      </w:r>
      <w:r>
        <w:rPr>
          <w:rFonts w:hint="default" w:ascii="Times New Roman" w:hAnsi="Times New Roman" w:eastAsia="宋体" w:cs="Times New Roman"/>
          <w:b w:val="0"/>
          <w:kern w:val="0"/>
          <w:sz w:val="24"/>
        </w:rPr>
        <w:t>。</w:t>
      </w:r>
      <w:r>
        <w:rPr>
          <w:rFonts w:hint="default" w:ascii="Times New Roman" w:hAnsi="Times New Roman" w:eastAsia="宋体" w:cs="Times New Roman"/>
          <w:kern w:val="0"/>
          <w:sz w:val="24"/>
          <w:szCs w:val="24"/>
        </w:rPr>
        <w:t>包含网络安全等级保护测评、前端视频监控设备用电、机房信息化设备用电等保障性服务</w:t>
      </w:r>
      <w:r>
        <w:rPr>
          <w:rFonts w:hint="default" w:ascii="Times New Roman" w:hAnsi="Times New Roman" w:eastAsia="宋体" w:cs="Times New Roman"/>
          <w:kern w:val="0"/>
          <w:sz w:val="24"/>
          <w:highlight w:val="none"/>
          <w:lang w:val="en-US" w:eastAsia="zh-CN"/>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51" w:name="_Toc22847"/>
      <w:r>
        <w:rPr>
          <w:rFonts w:hint="default" w:ascii="Times New Roman" w:hAnsi="Times New Roman" w:eastAsia="黑体" w:cs="Times New Roman"/>
          <w:bCs/>
          <w:kern w:val="2"/>
          <w:sz w:val="30"/>
          <w:szCs w:val="32"/>
          <w:lang w:val="en-US" w:eastAsia="zh-CN" w:bidi="ar-SA"/>
        </w:rPr>
        <w:t>服务规模</w:t>
      </w:r>
      <w:bookmarkEnd w:id="51"/>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b w:val="0"/>
          <w:kern w:val="0"/>
          <w:sz w:val="24"/>
        </w:rPr>
        <w:t>本项目服务规模如下表所示：</w:t>
      </w:r>
    </w:p>
    <w:p>
      <w:pPr>
        <w:widowControl w:val="0"/>
        <w:spacing w:before="120" w:after="40" w:line="240" w:lineRule="auto"/>
        <w:ind w:firstLine="0" w:firstLineChars="0"/>
        <w:jc w:val="center"/>
        <w:rPr>
          <w:rFonts w:hint="default" w:ascii="Times New Roman" w:hAnsi="Times New Roman" w:eastAsia="黑体" w:cs="Times New Roman"/>
          <w:sz w:val="21"/>
          <w:szCs w:val="24"/>
          <w:lang w:val="en-US" w:eastAsia="zh-CN" w:bidi="ar-SA"/>
        </w:rPr>
      </w:pPr>
      <w:r>
        <w:rPr>
          <w:rFonts w:ascii="Times New Roman" w:hAnsi="Times New Roman" w:eastAsia="黑体" w:cs="宋体"/>
          <w:sz w:val="21"/>
          <w:szCs w:val="24"/>
          <w:lang w:val="en-US" w:eastAsia="zh-CN" w:bidi="ar-SA"/>
        </w:rPr>
        <w:t xml:space="preserve">表 </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 STYLEREF 2 \s </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5.2</w:t>
      </w:r>
      <w:r>
        <w:rPr>
          <w:rFonts w:ascii="Times New Roman" w:hAnsi="Times New Roman" w:eastAsia="黑体" w:cs="宋体"/>
          <w:sz w:val="21"/>
          <w:szCs w:val="24"/>
          <w:lang w:val="en-US" w:eastAsia="zh-CN" w:bidi="ar-SA"/>
        </w:rPr>
        <w:fldChar w:fldCharType="end"/>
      </w:r>
      <w:r>
        <w:rPr>
          <w:rFonts w:hint="eastAsia" w:ascii="Times New Roman" w:hAnsi="Times New Roman" w:eastAsia="黑体" w:cs="宋体"/>
          <w:sz w:val="21"/>
          <w:szCs w:val="24"/>
          <w:lang w:val="en-US" w:eastAsia="zh-CN" w:bidi="ar-SA"/>
        </w:rPr>
        <w:t>-</w:t>
      </w:r>
      <w:r>
        <w:rPr>
          <w:rFonts w:ascii="Times New Roman" w:hAnsi="Times New Roman" w:eastAsia="黑体" w:cs="宋体"/>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ascii="Times New Roman" w:hAnsi="Times New Roman" w:eastAsia="黑体" w:cs="宋体"/>
          <w:sz w:val="21"/>
          <w:szCs w:val="24"/>
          <w:lang w:val="en-US" w:eastAsia="zh-CN" w:bidi="ar-SA"/>
        </w:rPr>
        <w:fldChar w:fldCharType="separate"/>
      </w:r>
      <w:r>
        <w:rPr>
          <w:rFonts w:ascii="Times New Roman" w:hAnsi="Times New Roman" w:eastAsia="黑体" w:cs="宋体"/>
          <w:sz w:val="21"/>
          <w:szCs w:val="24"/>
          <w:lang w:val="en-US" w:eastAsia="zh-CN" w:bidi="ar-SA"/>
        </w:rPr>
        <w:t>1</w:t>
      </w:r>
      <w:r>
        <w:rPr>
          <w:rFonts w:ascii="Times New Roman" w:hAnsi="Times New Roman" w:eastAsia="黑体" w:cs="宋体"/>
          <w:sz w:val="21"/>
          <w:szCs w:val="24"/>
          <w:lang w:val="en-US" w:eastAsia="zh-CN" w:bidi="ar-SA"/>
        </w:rPr>
        <w:fldChar w:fldCharType="end"/>
      </w:r>
      <w:r>
        <w:rPr>
          <w:rFonts w:hint="eastAsia" w:ascii="Times New Roman" w:hAnsi="Times New Roman" w:eastAsia="黑体" w:cs="宋体"/>
          <w:sz w:val="21"/>
          <w:szCs w:val="24"/>
          <w:lang w:val="en-US" w:eastAsia="zh-CN" w:bidi="ar-SA"/>
        </w:rPr>
        <w:t xml:space="preserve"> </w:t>
      </w:r>
      <w:r>
        <w:rPr>
          <w:rFonts w:hint="default" w:ascii="Times New Roman" w:hAnsi="Times New Roman" w:eastAsia="黑体" w:cs="Times New Roman"/>
          <w:sz w:val="20"/>
          <w:szCs w:val="24"/>
          <w:lang w:val="en-US" w:eastAsia="zh-CN" w:bidi="ar-SA"/>
        </w:rPr>
        <w:t>服务规模一览表</w:t>
      </w:r>
    </w:p>
    <w:tbl>
      <w:tblPr>
        <w:tblStyle w:val="5"/>
        <w:tblW w:w="8528" w:type="dxa"/>
        <w:jc w:val="center"/>
        <w:tblInd w:w="0" w:type="dxa"/>
        <w:tblLayout w:type="fixed"/>
        <w:tblCellMar>
          <w:top w:w="0" w:type="dxa"/>
          <w:left w:w="108" w:type="dxa"/>
          <w:bottom w:w="0" w:type="dxa"/>
          <w:right w:w="108" w:type="dxa"/>
        </w:tblCellMar>
      </w:tblPr>
      <w:tblGrid>
        <w:gridCol w:w="787"/>
        <w:gridCol w:w="1626"/>
        <w:gridCol w:w="1209"/>
        <w:gridCol w:w="1209"/>
        <w:gridCol w:w="3697"/>
      </w:tblGrid>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序号</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服务类别</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服务规模</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计量单位</w:t>
            </w:r>
          </w:p>
        </w:tc>
        <w:tc>
          <w:tcPr>
            <w:tcW w:w="369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备注</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信息系统运维</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18</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个系统</w:t>
            </w:r>
          </w:p>
        </w:tc>
        <w:tc>
          <w:tcPr>
            <w:tcW w:w="369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覆盖市财政局、人社局、住建局、数据局等9个单位</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网络线路租赁与运维管理服务</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3172条链路、1套平台</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条、套</w:t>
            </w:r>
          </w:p>
        </w:tc>
        <w:tc>
          <w:tcPr>
            <w:tcW w:w="369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含电子政务外网、本地数据专线、教育云专网、云视讯专网、校园一键报警专网、物联网卡、裸纤等类型；</w:t>
            </w:r>
            <w:r>
              <w:rPr>
                <w:rFonts w:hint="eastAsia" w:ascii="Times New Roman" w:hAnsi="Times New Roman" w:eastAsia="宋体" w:cs="宋体"/>
                <w:sz w:val="21"/>
                <w:szCs w:val="24"/>
                <w:lang w:val="en-US" w:eastAsia="zh-CN" w:bidi="ar-SA"/>
              </w:rPr>
              <w:t>网络运维管理</w:t>
            </w:r>
            <w:r>
              <w:rPr>
                <w:rFonts w:hint="default" w:ascii="Times New Roman" w:hAnsi="Times New Roman" w:eastAsia="宋体" w:cs="宋体"/>
                <w:sz w:val="21"/>
                <w:szCs w:val="24"/>
                <w:lang w:val="en-US" w:eastAsia="zh-CN" w:bidi="ar-SA"/>
              </w:rPr>
              <w:t>1套，含平台底座及六大业务功能（故障闭环、协同调度、链路台账、监控告警、统计驾驶舱、大屏可视化）</w:t>
            </w:r>
            <w:r>
              <w:rPr>
                <w:rFonts w:hint="eastAsia" w:ascii="Times New Roman" w:hAnsi="Times New Roman" w:eastAsia="宋体" w:cs="宋体"/>
                <w:sz w:val="21"/>
                <w:szCs w:val="24"/>
                <w:lang w:val="en-US" w:eastAsia="zh-CN" w:bidi="ar-SA"/>
              </w:rPr>
              <w:t>等</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硬件设备运维</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13</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w:t>
            </w:r>
          </w:p>
        </w:tc>
        <w:tc>
          <w:tcPr>
            <w:tcW w:w="369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视频监控、其他前端感知、配套设施、IT设备等相关设备</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设备更新替换</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个项目</w:t>
            </w:r>
          </w:p>
        </w:tc>
        <w:tc>
          <w:tcPr>
            <w:tcW w:w="369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防汛抗旱一期建设、山塘水库摄像头修复</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云资源租赁</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33</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台虚拟机</w:t>
            </w:r>
          </w:p>
        </w:tc>
        <w:tc>
          <w:tcPr>
            <w:tcW w:w="369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vCPU 200核、内存668GB、块存储17700GB，服务10个上云系统</w:t>
            </w:r>
          </w:p>
        </w:tc>
      </w:tr>
      <w:tr>
        <w:tblPrEx>
          <w:tblLayout w:type="fixed"/>
          <w:tblCellMar>
            <w:top w:w="0" w:type="dxa"/>
            <w:left w:w="108" w:type="dxa"/>
            <w:bottom w:w="0" w:type="dxa"/>
            <w:right w:w="108" w:type="dxa"/>
          </w:tblCellMar>
        </w:tblPrEx>
        <w:trPr>
          <w:jc w:val="center"/>
        </w:trPr>
        <w:tc>
          <w:tcPr>
            <w:tcW w:w="78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其他服务</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1209"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w:t>
            </w:r>
          </w:p>
        </w:tc>
        <w:tc>
          <w:tcPr>
            <w:tcW w:w="3697"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等保测评1项、前端及运维电费1项、机房电费1项</w:t>
            </w:r>
          </w:p>
        </w:tc>
      </w:tr>
    </w:tbl>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52" w:name="_Toc20508"/>
      <w:r>
        <w:rPr>
          <w:rFonts w:hint="default" w:ascii="Times New Roman" w:hAnsi="Times New Roman" w:eastAsia="黑体" w:cs="Times New Roman"/>
          <w:bCs/>
          <w:kern w:val="2"/>
          <w:sz w:val="30"/>
          <w:szCs w:val="32"/>
          <w:lang w:val="en-US" w:eastAsia="zh-CN" w:bidi="ar-SA"/>
        </w:rPr>
        <w:t>服务地点</w:t>
      </w:r>
      <w:bookmarkEnd w:id="52"/>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b w:val="0"/>
          <w:kern w:val="0"/>
          <w:sz w:val="24"/>
        </w:rPr>
        <w:t>本项目服务地点为临湘市行政区域范围，具体包括：市级政务数据中心机房、各市直单位办公场所及业务机房、各乡镇（街道）及村（社区）政务服务场所、全市前端感知设备部署点位（含城区道路、山林水库、矿山、园区等）、教育、医疗、水利等行业专网接入点位，以及市级政务云平台资源节点</w:t>
      </w:r>
      <w:r>
        <w:rPr>
          <w:rFonts w:hint="default" w:ascii="Times New Roman" w:hAnsi="Times New Roman" w:eastAsia="宋体" w:cs="Times New Roman"/>
          <w:kern w:val="0"/>
          <w:sz w:val="24"/>
          <w:highlight w:val="none"/>
          <w:lang w:val="en-US" w:eastAsia="zh-CN"/>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53" w:name="_Toc26748"/>
      <w:r>
        <w:rPr>
          <w:rFonts w:hint="default" w:ascii="Times New Roman" w:hAnsi="Times New Roman" w:eastAsia="黑体" w:cs="Times New Roman"/>
          <w:bCs/>
          <w:kern w:val="2"/>
          <w:sz w:val="30"/>
          <w:szCs w:val="32"/>
          <w:lang w:val="en-US" w:eastAsia="zh-CN" w:bidi="ar-SA"/>
        </w:rPr>
        <w:t>服务期限</w:t>
      </w:r>
      <w:bookmarkEnd w:id="53"/>
    </w:p>
    <w:p>
      <w:pPr>
        <w:widowControl w:val="0"/>
        <w:spacing w:line="360" w:lineRule="auto"/>
        <w:ind w:firstLine="480" w:firstLineChars="200"/>
        <w:jc w:val="both"/>
        <w:rPr>
          <w:rFonts w:hint="default" w:ascii="Times New Roman" w:hAnsi="Times New Roman" w:eastAsia="宋体" w:cs="Times New Roman"/>
          <w:sz w:val="24"/>
          <w:szCs w:val="24"/>
          <w:highlight w:val="none"/>
          <w:lang w:val="en-US" w:eastAsia="zh-CN" w:bidi="ar-SA"/>
        </w:rPr>
      </w:pPr>
      <w:r>
        <w:rPr>
          <w:rFonts w:hint="default" w:ascii="Times New Roman" w:hAnsi="Times New Roman" w:eastAsia="宋体" w:cs="Times New Roman"/>
          <w:sz w:val="24"/>
          <w:szCs w:val="24"/>
          <w:highlight w:val="none"/>
          <w:lang w:val="en-US" w:eastAsia="zh-CN" w:bidi="ar-SA"/>
        </w:rPr>
        <w:t>服务期限为36个月（2026年至2028年，每年度服务期限12个月）。</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54" w:name="_Toc7523"/>
      <w:r>
        <w:rPr>
          <w:rFonts w:hint="default" w:ascii="Times New Roman" w:hAnsi="Times New Roman" w:eastAsia="黑体" w:cs="Times New Roman"/>
          <w:bCs/>
          <w:kern w:val="2"/>
          <w:sz w:val="30"/>
          <w:szCs w:val="32"/>
          <w:lang w:val="en-US" w:eastAsia="zh-CN" w:bidi="ar-SA"/>
        </w:rPr>
        <w:t>服务方案</w:t>
      </w:r>
      <w:bookmarkEnd w:id="54"/>
    </w:p>
    <w:bookmarkEnd w:id="48"/>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55" w:name="_Toc26058"/>
      <w:r>
        <w:rPr>
          <w:rFonts w:hint="default" w:ascii="Times New Roman" w:hAnsi="Times New Roman" w:eastAsia="黑体" w:cs="Times New Roman"/>
          <w:bCs/>
          <w:kern w:val="2"/>
          <w:sz w:val="28"/>
          <w:szCs w:val="32"/>
          <w:lang w:val="en-US" w:eastAsia="zh-CN" w:bidi="ar-SA"/>
        </w:rPr>
        <w:t>信息系统运维服务方案</w:t>
      </w:r>
      <w:bookmarkEnd w:id="55"/>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临湘市财政内控信息化综合管理平台</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方式：标准运维支持服务＋本地运维人员驻场服务。驻场服务原则上为每个工作日8小时，服务期间原则上不包括双休日和公共假日；经双方协商一致，可安排工作日外服务或延长工作时间。系统运行稳定后，可视情况取消驻场服务，转为标准运维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标准运维支持服务内容</w:t>
      </w:r>
    </w:p>
    <w:p>
      <w:pPr>
        <w:widowControl w:val="0"/>
        <w:bidi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1</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标准运维支持服务内容</w:t>
      </w:r>
    </w:p>
    <w:tbl>
      <w:tblPr>
        <w:tblStyle w:val="5"/>
        <w:tblW w:w="8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19"/>
        <w:gridCol w:w="921"/>
        <w:gridCol w:w="3434"/>
        <w:gridCol w:w="1220"/>
        <w:gridCol w:w="901"/>
        <w:gridCol w:w="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blHeader/>
        </w:trPr>
        <w:tc>
          <w:tcPr>
            <w:tcW w:w="1840" w:type="dxa"/>
            <w:gridSpan w:val="2"/>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服务项目</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服务内容</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服务角色</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服务时间</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响应时间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restart"/>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eastAsia" w:ascii="Times New Roman" w:hAnsi="Times New Roman" w:eastAsia="宋体" w:cs="Times New Roman"/>
                <w:sz w:val="21"/>
                <w:szCs w:val="21"/>
                <w:highlight w:val="none"/>
                <w:lang w:val="en-US" w:eastAsia="zh-CN" w:bidi="ar-SA"/>
              </w:rPr>
              <w:t>自助服务</w:t>
            </w: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自助服务网站</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常见问题FAQ、补丁包、应用技巧</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自助</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7×24小时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微信服务平台</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关注运维服务微信公众号，获取最新服务资讯、问题解决技巧、协同应用案例、产品新功能等</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自助</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7×24小时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SI运维工具</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基础版：协同服务启停、补丁包获取、服务进度跟踪、常见问题知识库（以实际提供服务内容为准）</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自助</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7×24小时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即时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restart"/>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eastAsia" w:ascii="Times New Roman" w:hAnsi="Times New Roman" w:eastAsia="宋体" w:cs="Times New Roman"/>
                <w:sz w:val="21"/>
                <w:szCs w:val="21"/>
                <w:highlight w:val="none"/>
                <w:lang w:val="en-US" w:eastAsia="zh-CN" w:bidi="ar-SA"/>
              </w:rPr>
              <w:t>远程服务</w:t>
            </w: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400热线支持</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原厂商400热线座席服务，受理用户反馈的产品功能问题、系统环境问题、产品应用咨询、产品功能需求</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客服团队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5×8小时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远程服务</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本地运维顾问电话/远程服务，受理用户反馈的系统环境问题、产品应用咨询、产品功能需求</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5×8小时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电话回访及关怀</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定期回访用户，梳理对称问题并跟踪处理；推送最新服务资讯、应用案例；邀请参加能力提升培训或老客户主题活动</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5×8小时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restart"/>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eastAsia" w:ascii="Times New Roman" w:hAnsi="Times New Roman" w:eastAsia="宋体" w:cs="Times New Roman"/>
                <w:sz w:val="21"/>
                <w:szCs w:val="21"/>
                <w:highlight w:val="none"/>
                <w:lang w:val="en-US" w:eastAsia="zh-CN" w:bidi="ar-SA"/>
              </w:rPr>
              <w:t>现场服务</w:t>
            </w: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系统紧急救援</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对影响关键用户或全员使用的突发问题提供紧急救援服务</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5×8小时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需求变更服务</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针对系统中现有的16条控制规则，根据财政部、财政厅的相关要求需要对现有控制规则系统功能进行调整的服务</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5×8小时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本地现场支持</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针对用户日常遇到的产品问题、环境问题提供现场支持服务</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5×8小时</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&lt;30分钟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系统健康巡检</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系统健康巡检，并出具巡检报告</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1次</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定期现场专访</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主动现场梳理关键用户及系统问题并协调资源跟踪解决；结合当前应用现状、业务发展趋势及成功标杆案例，给予参考性建议</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3次</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919" w:type="dxa"/>
            <w:vMerge w:val="continue"/>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c>
          <w:tcPr>
            <w:tcW w:w="92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能力提升与认证</w:t>
            </w:r>
          </w:p>
        </w:tc>
        <w:tc>
          <w:tcPr>
            <w:tcW w:w="3434"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提供系统管理员协同深化应用及持续维护的能力提升培训，厂商评定及颁发能力等级认证证书</w:t>
            </w:r>
          </w:p>
        </w:tc>
        <w:tc>
          <w:tcPr>
            <w:tcW w:w="1220"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本地运维团队</w:t>
            </w:r>
          </w:p>
        </w:tc>
        <w:tc>
          <w:tcPr>
            <w:tcW w:w="901"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r>
              <w:rPr>
                <w:rFonts w:hint="default" w:ascii="Times New Roman" w:hAnsi="Times New Roman" w:eastAsia="宋体" w:cs="Times New Roman"/>
                <w:sz w:val="21"/>
                <w:szCs w:val="21"/>
                <w:highlight w:val="none"/>
                <w:lang w:val="en-US" w:eastAsia="zh-CN" w:bidi="ar-SA"/>
              </w:rPr>
              <w:t>3次</w:t>
            </w:r>
          </w:p>
        </w:tc>
        <w:tc>
          <w:tcPr>
            <w:tcW w:w="869" w:type="dxa"/>
            <w:noWrap w:val="0"/>
            <w:tcMar>
              <w:top w:w="40" w:type="dxa"/>
              <w:left w:w="80" w:type="dxa"/>
              <w:bottom w:w="40" w:type="dxa"/>
              <w:right w:w="80" w:type="dxa"/>
            </w:tcMar>
            <w:vAlign w:val="center"/>
          </w:tcPr>
          <w:p>
            <w:pPr>
              <w:widowControl w:val="0"/>
              <w:numPr>
                <w:ilvl w:val="0"/>
                <w:numId w:val="0"/>
              </w:numPr>
              <w:bidi w:val="0"/>
              <w:spacing w:line="240" w:lineRule="auto"/>
              <w:ind w:left="0" w:leftChars="0" w:right="0" w:rightChars="0" w:firstLine="0" w:firstLineChars="0"/>
              <w:jc w:val="center"/>
              <w:rPr>
                <w:rFonts w:hint="default" w:ascii="Times New Roman" w:hAnsi="Times New Roman" w:eastAsia="宋体" w:cs="Times New Roman"/>
                <w:sz w:val="21"/>
                <w:szCs w:val="21"/>
                <w:highlight w:val="none"/>
                <w:lang w:val="en-US" w:eastAsia="zh-CN" w:bidi="ar-SA"/>
              </w:rPr>
            </w:pPr>
          </w:p>
        </w:tc>
      </w:tr>
    </w:tbl>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湖南省财政专网三防云平台</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服务内容</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①负责平台软件技术支持服务活动，并培训指导使用单位掌握系统软件的日常系统管理方法；</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②负责实施平台软件与上级财政部门平台软件的联网；</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③提供软件产品维保、现场技术支持等增值技术支持维护。</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服务标准</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①提供电子邮件、电话、远程协助技术服务；</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②提供每周7×24小时的现场技术支持服务；</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③如使用单位搬迁办公大楼或进行大规模网络整改需重安装系统，提供重装服务；</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④本地技术支持中心对本地区用户在1小时之内做出响应，对异地用户在8小时之内做出响应；</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⑤不限次数的操作人员培训；</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⑥每年度向用户提供四次的现场回访和巡检；</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⑦技术支持服务全过程遵循统一规范的流程。</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湖南省财政客户端安全监控管理系统</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服务内容：</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①负责平台软件安装调试，并培训指导使用单位掌握使用方法；</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②负责实施平台软件与上级财政部门平台软件的联网；</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③提供软件产品升级、维保、远程和现场技术支持。</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服务标准（7条）：</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①提供电子邮件、电话、远程协助技术服务；</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②提供7×24小时的现场技术支持服务；</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③如使用单位搬迁办公大楼或进行大规模网络整改需重安装系统，提供免费重装服务；</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④本地技术支持中心对本地区用户在1小时之内做出响应，对异地用户在8小时之内做出响应；</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⑤不限次数的操作人员培训；</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⑥每年度向用户提供四次的现场回访和巡检；</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⑦技术支持服务全过程遵循统一规范的流程。</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临湘市财政业务查询分析系统</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lang w:eastAsia="zh-CN"/>
        </w:rPr>
        <w:t>服务内容</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①服务器及数据库运维服务：处理因网络波动或停电开关机等原因引起的数据库服务异常、省厅数据下发不成功等问题；安排每月巡检，做好数据库日常本机备份及异机备份等工作，保障服务器数据库正常运行，保证预算管理一体化数据正常下发接收；如遇数据接收失败或异常，及时联系使用单位，配合处理相关问题。</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②财政数据查询分析系统运维服务：保证系统正常使用，用户能够正常访问系统前台页面，正常查询系统数据，并能够输出相应图表数据。</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③数据转换运维服务：验证预算管理一体化数据的准确性，将最新财政数据转换进查询分析系统并进行数据核对，保证财政下发的最新数据报表准确。</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④历史数据运维与治理服务（覆盖预算编制、预算执行指标、国库集中支付系统、总账系统、预算单位会计核算系统等模块及数据）：保障所有财政历史系统数据的正常查询，保证数据连续性及准确性，及时处理数据查询使用过程中出现的问题；对暂未展示的数据进行存储利用，保证需要时进行展示分析；对使用单位提出的历史数据个性化查询及输出报表需求进行开发；对历史数据存储的数据库文件进行定期异地、介质备份，防止数据丢失。</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⑤与其他系统接口运维服务：及时将最新的预算管理一体化数据通过相关接口或其他协商方式传输至其他系统。</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⑥个性化报表服务：提供各类数据统计报表的个性化设计服务，依据需求开发预算管理一体化系统数据统计报表，完善数据统计形式。</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⑦用户培训服务：因业务股室人员调动产生的业务人员变更，提供用户添加、密码修改、权限调整以及系统操作培训等服务。</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⑧系统优化服务：保证系统运行流畅度，对因数据量或浏览器插件升级等外部原因引起的查询变慢、页面卡顿等现象，提出解决方案，经使用单位同意后进行系统优化。</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⑨其他运维服务：协助业务股室处理部分预算管理一体化前台业务事项及系统权限调整；辅助统计表数据导出、格式调整、打印等。</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lang w:eastAsia="zh-CN"/>
        </w:rPr>
        <w:t>服务方式</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①远程支持（网络支持）：在电话支持无法解决故障的情况下，或在进行电话技术支持的同时，根据需要并征得用户同意后，实施远程支持服务，检查设备情况、排除设备故障，对用户设备进行远端问题诊断并提出解决方案；</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②热线电话支持：提供每周7天、每天24小时电话、传真、电子邮件等服务，对用户的服务请求和问题及时响应，转交相关技术工程师，确保3小时内给予解答或回复；</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③现场支持：收到通知后应在2小时内对系统维护要求做出反应，12小时内到达现场，24小时内恢复系统正常运行。</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U8财务软件</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lang w:eastAsia="zh-CN"/>
        </w:rPr>
        <w:t>服务范围</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①技术支持的许可软件模块为：内控综合（基础数据管理平台）、基础核算（账务处理、UFO报表）、物资资产（资产管理），覆盖</w:t>
      </w:r>
      <w:r>
        <w:rPr>
          <w:rFonts w:hint="eastAsia" w:ascii="Times New Roman" w:hAnsi="Times New Roman" w:eastAsia="宋体" w:cs="Times New Roman"/>
          <w:kern w:val="0"/>
          <w:sz w:val="24"/>
          <w:highlight w:val="none"/>
          <w:lang w:val="en-US" w:eastAsia="zh-CN"/>
        </w:rPr>
        <w:t>临湘市</w:t>
      </w:r>
      <w:r>
        <w:rPr>
          <w:rFonts w:hint="default" w:ascii="Times New Roman" w:hAnsi="Times New Roman" w:eastAsia="宋体" w:cs="Times New Roman"/>
          <w:kern w:val="0"/>
          <w:sz w:val="24"/>
          <w:highlight w:val="none"/>
          <w:lang w:eastAsia="zh-CN"/>
        </w:rPr>
        <w:t>预算单位</w:t>
      </w:r>
      <w:r>
        <w:rPr>
          <w:rFonts w:hint="eastAsia" w:ascii="Times New Roman" w:hAnsi="Times New Roman" w:eastAsia="宋体" w:cs="Times New Roman"/>
          <w:kern w:val="0"/>
          <w:sz w:val="24"/>
          <w:highlight w:val="none"/>
          <w:lang w:val="en-US" w:eastAsia="zh-CN"/>
        </w:rPr>
        <w:t>的155套</w:t>
      </w:r>
      <w:r>
        <w:rPr>
          <w:rFonts w:hint="default" w:ascii="Times New Roman" w:hAnsi="Times New Roman" w:eastAsia="宋体" w:cs="Times New Roman"/>
          <w:kern w:val="0"/>
          <w:sz w:val="24"/>
          <w:highlight w:val="none"/>
          <w:lang w:eastAsia="zh-CN"/>
        </w:rPr>
        <w:t>项目及站所账套</w:t>
      </w:r>
      <w:r>
        <w:rPr>
          <w:rFonts w:hint="eastAsia" w:ascii="Times New Roman" w:hAnsi="Times New Roman" w:eastAsia="宋体" w:cs="Times New Roman"/>
          <w:kern w:val="0"/>
          <w:sz w:val="24"/>
          <w:highlight w:val="none"/>
          <w:lang w:val="en-US" w:eastAsia="zh-CN"/>
        </w:rPr>
        <w:t>在用，</w:t>
      </w:r>
      <w:r>
        <w:rPr>
          <w:rFonts w:hint="default" w:ascii="Times New Roman" w:hAnsi="Times New Roman" w:eastAsia="宋体" w:cs="Times New Roman"/>
          <w:kern w:val="0"/>
          <w:sz w:val="24"/>
          <w:highlight w:val="none"/>
          <w:lang w:eastAsia="zh-CN"/>
        </w:rPr>
        <w:t>2015</w:t>
      </w:r>
      <w:r>
        <w:rPr>
          <w:rFonts w:hint="eastAsia" w:ascii="Times New Roman" w:hAnsi="Times New Roman" w:eastAsia="宋体" w:cs="Times New Roman"/>
          <w:kern w:val="0"/>
          <w:sz w:val="24"/>
          <w:highlight w:val="none"/>
          <w:lang w:val="en-US" w:eastAsia="zh-CN"/>
        </w:rPr>
        <w:t>-</w:t>
      </w:r>
      <w:r>
        <w:rPr>
          <w:rFonts w:hint="default" w:ascii="Times New Roman" w:hAnsi="Times New Roman" w:eastAsia="宋体" w:cs="Times New Roman"/>
          <w:kern w:val="0"/>
          <w:sz w:val="24"/>
          <w:highlight w:val="none"/>
          <w:lang w:eastAsia="zh-CN"/>
        </w:rPr>
        <w:t>2021年429套会计账套财务数据查。</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②指定专人负责许可软件的运行及服务；</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③支持范围包括：系统数据库或许可软件发生严重故障，或关键处理时期内主应用程序出现系统停滞且不能用许可软件处理数据；许可软件发生问题导致主要业务受到严重干扰且无法轻易解决的问题；许可软件发生非关键性问题但可继续运行的情况；所有有关许可软件的使用问题；因人员非法操作、计算机设备感染病毒或第三方产品故障、计算机设备故障、网络故障等带来的许可软件重新安装、数据修复；</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④对以下情形不提供升级与技术支持服务：未经许可对软件进行修改而产生的问题；未按照许可协议约定的范围及限制使用的许可软件；所使用的任何第三方软件产品；因许可软件遗失、被盗、被误用或被擅自修改、计算机设备故障、网络故障、其他软件故障、操作失误等造成数据混乱和丢失且无法修复的，以及软硬件环境检查、技术指导、咨询实施工作，另行约定的除外。</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lang w:eastAsia="zh-CN"/>
        </w:rPr>
        <w:t>标准服务内容、方式及服务标准</w:t>
      </w:r>
    </w:p>
    <w:p>
      <w:pPr>
        <w:widowControl w:val="0"/>
        <w:numPr>
          <w:ilvl w:val="0"/>
          <w:numId w:val="0"/>
        </w:numPr>
        <w:bidi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2</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标准服务内容、方式及服务标准表</w:t>
      </w:r>
    </w:p>
    <w:tbl>
      <w:tblPr>
        <w:tblStyle w:val="5"/>
        <w:tblW w:w="82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7"/>
        <w:gridCol w:w="2196"/>
        <w:gridCol w:w="573"/>
        <w:gridCol w:w="43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5"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用户自助</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用户通过登陆用友提供的自助服务网站解决常规业务问题</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①</w:t>
            </w:r>
          </w:p>
        </w:tc>
        <w:tc>
          <w:tcPr>
            <w:tcW w:w="4328" w:type="dxa"/>
            <w:vMerge w:val="restart"/>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① 7*24 小时提供服务 即时响应 ② 6*8 小时提供服务 即时响应 ③ 5*8 小时提供服务 6 小时内响应 ④ 5*8 小时提供服务 6 小时内响应 ⑤ 5*8 小时提供服务 30 公里以内 6 小时内响应 30 公里以外 12 小时内响应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5"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热线咨询</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对自助服务无法解决的问题，用友服务机构通过热线支持解决用户常用的业务问题的过程</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②</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登录故障</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解决软件无法登录服务器的故障</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③ ⑤</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5"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应用故障</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排除用户正常应用过程中的故障、确保正常运行</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② ③ ④ ⑤</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5"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软件安装</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用友软件安装</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③</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补丁安装</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根据需要为用户安装相关的软件补丁</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③</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数据迁移</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用户更换机器或网络等设备时，将数据迁移到新机器上。</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⑤</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结账服务</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每个月末为用户进行月末结账处理</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③</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报表制作</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仅为用户提供标准财务报表的编制指导</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③ ⑤</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专用套打调试</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调试用友专用表单套打故障</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③ ⑤</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年度结转</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帮助客户进行年度结转指导</w:t>
            </w:r>
          </w:p>
        </w:tc>
        <w:tc>
          <w:tcPr>
            <w:tcW w:w="573"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③ ④ ⑤</w:t>
            </w:r>
          </w:p>
        </w:tc>
        <w:tc>
          <w:tcPr>
            <w:tcW w:w="4328"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177"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关怀服务</w:t>
            </w:r>
          </w:p>
        </w:tc>
        <w:tc>
          <w:tcPr>
            <w:tcW w:w="2196" w:type="dxa"/>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通过回访、电话沟通等方式了解用户使用状况，并根据使用状况情况给予不同的关怀，4 次巡检</w:t>
            </w:r>
          </w:p>
        </w:tc>
        <w:tc>
          <w:tcPr>
            <w:tcW w:w="4901" w:type="dxa"/>
            <w:gridSpan w:val="2"/>
            <w:tcBorders>
              <w:top w:val="single" w:color="000000" w:sz="8" w:space="0"/>
              <w:left w:val="single" w:color="000000" w:sz="8" w:space="0"/>
              <w:bottom w:val="single" w:color="000000" w:sz="8" w:space="0"/>
              <w:right w:val="single" w:color="000000" w:sz="8" w:space="0"/>
            </w:tcBorders>
            <w:noWrap w:val="0"/>
            <w:vAlign w:val="center"/>
          </w:tcPr>
          <w:p>
            <w:pPr>
              <w:widowControl w:val="0"/>
              <w:bidi w:val="0"/>
              <w:spacing w:line="240" w:lineRule="auto"/>
              <w:ind w:left="0" w:leftChars="0" w:firstLine="0" w:firstLineChars="0"/>
              <w:jc w:val="both"/>
              <w:rPr>
                <w:rFonts w:hint="eastAsia" w:ascii="Times New Roman" w:hAnsi="Times New Roman" w:eastAsia="宋体" w:cs="宋体"/>
                <w:sz w:val="21"/>
                <w:szCs w:val="24"/>
                <w:lang w:val="en-US" w:eastAsia="zh-CN" w:bidi="ar-SA"/>
              </w:rPr>
            </w:pPr>
            <w:r>
              <w:rPr>
                <w:rFonts w:hint="eastAsia" w:ascii="Times New Roman" w:hAnsi="Times New Roman" w:eastAsia="宋体" w:cs="宋体"/>
                <w:sz w:val="21"/>
                <w:szCs w:val="24"/>
                <w:lang w:val="en-US" w:eastAsia="zh-CN" w:bidi="ar-SA"/>
              </w:rPr>
              <w:t>定期使用电话、传真、信函、邮件等方式</w:t>
            </w:r>
          </w:p>
        </w:tc>
      </w:tr>
    </w:tbl>
    <w:p>
      <w:pPr>
        <w:spacing w:line="360" w:lineRule="auto"/>
        <w:ind w:firstLine="480" w:firstLineChars="200"/>
        <w:rPr>
          <w:rFonts w:hint="default" w:ascii="Times New Roman" w:hAnsi="Times New Roman" w:eastAsia="宋体" w:cs="宋体"/>
          <w:kern w:val="0"/>
          <w:sz w:val="24"/>
          <w:lang w:val="en-US" w:eastAsia="zh-CN"/>
        </w:rPr>
      </w:pP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3、</w:t>
      </w:r>
      <w:r>
        <w:rPr>
          <w:rFonts w:hint="default" w:ascii="Times New Roman" w:hAnsi="Times New Roman" w:eastAsia="宋体" w:cs="Times New Roman"/>
          <w:kern w:val="0"/>
          <w:sz w:val="24"/>
          <w:highlight w:val="none"/>
          <w:lang w:eastAsia="zh-CN"/>
        </w:rPr>
        <w:t>运维服务方式</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eastAsia="zh-CN"/>
        </w:rPr>
        <w:t>提供在线服务、热线服务、远程服务、送修服务、现场服务五种服务方式。</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预算管理一体化单位会计核算云系统</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服务对象：全市184家行政事业单位。按财政部门要求完成单位会计核算软件核算系统的年结、系统初始化、业务培训、日常运维等工作</w:t>
      </w:r>
      <w:r>
        <w:rPr>
          <w:rFonts w:hint="default" w:ascii="Times New Roman" w:hAnsi="Times New Roman" w:eastAsia="宋体" w:cs="Times New Roman"/>
          <w:kern w:val="0"/>
          <w:sz w:val="24"/>
          <w:highlight w:val="none"/>
          <w:lang w:eastAsia="zh-CN"/>
        </w:rPr>
        <w:t>，</w:t>
      </w:r>
      <w:r>
        <w:rPr>
          <w:rFonts w:hint="default" w:ascii="Times New Roman" w:hAnsi="Times New Roman" w:eastAsia="宋体" w:cs="Times New Roman"/>
          <w:kern w:val="0"/>
          <w:sz w:val="24"/>
          <w:highlight w:val="none"/>
        </w:rPr>
        <w:t>服务须满足财政部和湖南省财政厅数据上传的要求；用户现场支持服务不少于3次</w:t>
      </w:r>
      <w:r>
        <w:rPr>
          <w:rFonts w:hint="default" w:ascii="Times New Roman" w:hAnsi="Times New Roman" w:eastAsia="宋体" w:cs="Times New Roman"/>
          <w:kern w:val="0"/>
          <w:sz w:val="24"/>
          <w:highlight w:val="none"/>
          <w:lang w:eastAsia="zh-CN"/>
        </w:rPr>
        <w:t>。</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服务内容</w:t>
      </w:r>
    </w:p>
    <w:p>
      <w:pPr>
        <w:widowControl w:val="0"/>
        <w:bidi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3</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服务内容表</w:t>
      </w:r>
    </w:p>
    <w:tbl>
      <w:tblPr>
        <w:tblStyle w:val="5"/>
        <w:tblW w:w="8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405"/>
        <w:gridCol w:w="1010"/>
        <w:gridCol w:w="5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Header/>
        </w:trPr>
        <w:tc>
          <w:tcPr>
            <w:tcW w:w="140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服务类别</w:t>
            </w: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服务项目</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restart"/>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软件使用指导</w:t>
            </w: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账务管理</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账套设置、会计明细科目设置、辅助核算项设置、凭证管理、期初业务处理、期末业务处理、出纳管理、差异项处理、账证查询、对账、打印、附件管理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报表管理</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固定报表自定义报表、部门决算报告、部门财务报告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系统管理</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账户管理、模板配置、系统参数设置、国标数据导出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restart"/>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年度运维服务</w:t>
            </w: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系统安装</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完成服务端系统安装，帮助预算单位完成客户端初始化工作，保障系统可用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系统实现</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机构及用户数据采集、财务数据采集、客户数据初始化维护、数据余额表核对、系统培训（包括培训文件及操作手册编写、财务人员系统功能操作培训、系统管理员操作培训）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系统运行</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系统上线及问题反馈跟踪解决、上线总结及系统难点培训解答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restart"/>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运维服务</w:t>
            </w: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b w:val="0"/>
                <w:bCs w:val="0"/>
                <w:kern w:val="0"/>
                <w:sz w:val="21"/>
                <w:szCs w:val="21"/>
                <w:highlight w:val="none"/>
              </w:rPr>
              <w:t>云支持运维服务</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派驻技术支持队伍对整个系统提供7×24小时技术支持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b w:val="0"/>
                <w:bCs w:val="0"/>
                <w:kern w:val="0"/>
                <w:sz w:val="21"/>
                <w:szCs w:val="21"/>
                <w:highlight w:val="none"/>
              </w:rPr>
              <w:t>终端服务</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远程支持服务、业务和功能咨询服务、巡检服务；用户现场支持服务（不少于3次）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40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101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b w:val="0"/>
                <w:bCs w:val="0"/>
                <w:kern w:val="0"/>
                <w:sz w:val="21"/>
                <w:szCs w:val="21"/>
                <w:highlight w:val="none"/>
              </w:rPr>
              <w:t>数据验证服务</w:t>
            </w:r>
          </w:p>
        </w:tc>
        <w:tc>
          <w:tcPr>
            <w:tcW w:w="5849"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根据政府财务报告、部门决算报告、部门资产报告、内控报告等报告事项填报要求，严格按照相关会计准则和制度规定，规范会计核算，细化核算内容，以现场或远程方式协助核算单位验证财务数据合理性、准确性，提升会计核算数据质量</w:t>
            </w:r>
          </w:p>
        </w:tc>
      </w:tr>
    </w:tbl>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3、运维</w:t>
      </w:r>
      <w:r>
        <w:rPr>
          <w:rFonts w:hint="default" w:ascii="Times New Roman" w:hAnsi="Times New Roman" w:eastAsia="宋体" w:cs="Times New Roman"/>
          <w:kern w:val="0"/>
          <w:sz w:val="24"/>
          <w:highlight w:val="none"/>
        </w:rPr>
        <w:t>服务要求：运维单位遵从项目管理、实施培训、售后服务、信息保密等规范的管理体系，在服务期内严格按照项目管理规范执行，并遵循使用单位的相关管理和要求；根据现场情况提供全天候技术支持、现场响应、故障解决、定期巡检等多种服务方式，提供7×24小时的故障服务受理。</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临湘市财政局综合治税信息平台</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rPr>
        <w:t>为使用单位提供综合治税信息平台的系统维护服务和相关日常运维</w:t>
      </w:r>
      <w:r>
        <w:rPr>
          <w:rFonts w:hint="default" w:ascii="Times New Roman" w:hAnsi="Times New Roman" w:eastAsia="宋体" w:cs="Times New Roman"/>
          <w:kern w:val="0"/>
          <w:sz w:val="24"/>
          <w:highlight w:val="none"/>
          <w:lang w:eastAsia="zh-CN"/>
        </w:rPr>
        <w:t>。</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标准服务</w:t>
      </w:r>
    </w:p>
    <w:p>
      <w:pPr>
        <w:widowControl w:val="0"/>
        <w:bidi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4</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标准服务表</w:t>
      </w:r>
    </w:p>
    <w:tbl>
      <w:tblPr>
        <w:tblStyle w:val="5"/>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62"/>
        <w:gridCol w:w="1201"/>
        <w:gridCol w:w="5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blHeader/>
        </w:trPr>
        <w:tc>
          <w:tcPr>
            <w:tcW w:w="1362"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服务类型</w:t>
            </w:r>
          </w:p>
        </w:tc>
        <w:tc>
          <w:tcPr>
            <w:tcW w:w="1201"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服务方式</w:t>
            </w:r>
          </w:p>
        </w:tc>
        <w:tc>
          <w:tcPr>
            <w:tcW w:w="5702"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362" w:type="dxa"/>
            <w:vMerge w:val="restart"/>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标准服务（远程）</w:t>
            </w:r>
          </w:p>
        </w:tc>
        <w:tc>
          <w:tcPr>
            <w:tcW w:w="1201" w:type="dxa"/>
            <w:vMerge w:val="restart"/>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远程支持</w:t>
            </w:r>
          </w:p>
        </w:tc>
        <w:tc>
          <w:tcPr>
            <w:tcW w:w="5702"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互联网网络服务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362" w:type="dxa"/>
            <w:vMerge w:val="continue"/>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1201" w:type="dxa"/>
            <w:vMerge w:val="continue"/>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5702"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热线电话支持服务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362" w:type="dxa"/>
            <w:vMerge w:val="continue"/>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1201" w:type="dxa"/>
            <w:vMerge w:val="continue"/>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5702"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通过远程方式实现的系统定制与调整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362" w:type="dxa"/>
            <w:vMerge w:val="continue"/>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p>
        </w:tc>
        <w:tc>
          <w:tcPr>
            <w:tcW w:w="1201"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现场支持</w:t>
            </w:r>
          </w:p>
        </w:tc>
        <w:tc>
          <w:tcPr>
            <w:tcW w:w="5702" w:type="dxa"/>
            <w:noWrap w:val="0"/>
            <w:tcMar>
              <w:top w:w="40" w:type="dxa"/>
              <w:left w:w="80" w:type="dxa"/>
              <w:bottom w:w="40" w:type="dxa"/>
              <w:right w:w="80" w:type="dxa"/>
            </w:tcMar>
            <w:vAlign w:val="center"/>
          </w:tcPr>
          <w:p>
            <w:pPr>
              <w:bidi w:val="0"/>
              <w:spacing w:line="240" w:lineRule="auto"/>
              <w:ind w:left="0" w:leftChars="0" w:right="0" w:rightChars="0"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由业务变动引起的系统配置或部分调整，由运维单位提供现场服务</w:t>
            </w:r>
          </w:p>
        </w:tc>
      </w:tr>
    </w:tbl>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2、服务内容</w:t>
      </w:r>
    </w:p>
    <w:p>
      <w:pPr>
        <w:numPr>
          <w:ilvl w:val="0"/>
          <w:numId w:val="16"/>
        </w:numPr>
        <w:bidi w:val="0"/>
        <w:spacing w:line="360" w:lineRule="auto"/>
        <w:ind w:left="0" w:leftChars="0"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现场驻点服务：包括现场驻点支持和远程支持，确保综合治税信息平台系统正常运行；协助使用单位获取涉税单位系统分析相关数据；梳理业务需求，协助完成相关材料编制；指导相关数据导入；培训使用单位指定人员掌握软件的使用、设置、管理等相关技能（包括系统管理员、相关业务处室人员、县直所有涉税单位，培训方式为集中培训）；培训过程中使用单位可自行进行屏幕录制，用于培训单位熟练掌握软件。</w:t>
      </w:r>
    </w:p>
    <w:p>
      <w:pPr>
        <w:numPr>
          <w:ilvl w:val="0"/>
          <w:numId w:val="16"/>
        </w:numPr>
        <w:bidi w:val="0"/>
        <w:spacing w:line="360" w:lineRule="auto"/>
        <w:ind w:left="0" w:leftChars="0"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远程支持（互联网网络支持）：提供每周7天、每天24小时的网站技术支持，在服务网站上提供完整的与软件相关的信息，并及时更新变更内容；用户可通过网站查阅与软件相关的动态信息及常见问题解答，交互地提出应用过程中遇到的各种疑难问题并及时获得解答。</w:t>
      </w:r>
    </w:p>
    <w:p>
      <w:pPr>
        <w:numPr>
          <w:ilvl w:val="0"/>
          <w:numId w:val="16"/>
        </w:numPr>
        <w:bidi w:val="0"/>
        <w:spacing w:line="360" w:lineRule="auto"/>
        <w:ind w:left="0" w:leftChars="0"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热线电话支持：提供每周7天（从星期一到星期天）、每天24小时电话、传真、电子邮件等服务；对用户的服务请求和问题及时响应，并直接转给相关技术工程师，确保3小时内给予解答或回复。</w:t>
      </w:r>
    </w:p>
    <w:p>
      <w:pPr>
        <w:numPr>
          <w:ilvl w:val="0"/>
          <w:numId w:val="16"/>
        </w:numPr>
        <w:bidi w:val="0"/>
        <w:spacing w:line="360" w:lineRule="auto"/>
        <w:ind w:left="0" w:leftChars="0"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现场支持：在完成标准服务约定的现场支持天数后，根据用户要求仍需服务的，或由于业务重新调整必须派工程师重新到现场进行系统定制的，运维单位提供与软件应用相关的现场支持服务。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3、</w:t>
      </w:r>
      <w:r>
        <w:rPr>
          <w:rFonts w:hint="default" w:ascii="Times New Roman" w:hAnsi="Times New Roman" w:eastAsia="宋体" w:cs="Times New Roman"/>
          <w:kern w:val="0"/>
          <w:sz w:val="24"/>
          <w:highlight w:val="none"/>
        </w:rPr>
        <w:t>服务范围</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按约定天数提供与综合治税信息平台有关的现场技术支持；协助业务人员完成软件相关材料编制与数据整理；协助进行涉税数据导入，指导涉税单位人员完成系统操作。</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金保工程二期人社分级分类运营服务</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Times New Roman"/>
          <w:kern w:val="0"/>
          <w:sz w:val="24"/>
          <w:highlight w:val="none"/>
        </w:rPr>
        <w:t>为所辖地区人社一体化平台涉及社会保险、就业相关业务的严重操作错误、数据修正、数据统计、数据导出、政策咨询方面的个性化运维工单提供技术支持</w:t>
      </w:r>
      <w:r>
        <w:rPr>
          <w:rFonts w:hint="default" w:ascii="Times New Roman" w:hAnsi="Times New Roman" w:eastAsia="宋体" w:cs="宋体"/>
          <w:kern w:val="0"/>
          <w:sz w:val="24"/>
        </w:rPr>
        <w:t>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eastAsia" w:ascii="Times New Roman" w:hAnsi="Times New Roman" w:eastAsia="宋体" w:cs="宋体"/>
          <w:kern w:val="0"/>
          <w:sz w:val="24"/>
          <w:lang w:val="en-US" w:eastAsia="zh-CN"/>
        </w:rPr>
        <w:t>1、</w:t>
      </w:r>
      <w:r>
        <w:rPr>
          <w:rFonts w:hint="default" w:ascii="Times New Roman" w:hAnsi="Times New Roman" w:eastAsia="宋体" w:cs="宋体"/>
          <w:kern w:val="0"/>
          <w:sz w:val="24"/>
        </w:rPr>
        <w:t>服务形式为现场及远程服务。</w:t>
      </w:r>
    </w:p>
    <w:p>
      <w:pPr>
        <w:spacing w:before="0" w:after="0" w:line="340" w:lineRule="auto"/>
        <w:ind w:firstLine="480" w:firstLineChars="200"/>
        <w:jc w:val="both"/>
        <w:rPr>
          <w:rFonts w:hint="default" w:ascii="Times New Roman" w:hAnsi="Times New Roman" w:eastAsia="宋体" w:cs="Times New Roman"/>
          <w:b w:val="0"/>
          <w:bCs w:val="0"/>
          <w:kern w:val="0"/>
          <w:sz w:val="24"/>
          <w:szCs w:val="24"/>
          <w:highlight w:val="none"/>
          <w:lang w:val="en-US" w:eastAsia="zh-CN"/>
        </w:rPr>
      </w:pPr>
      <w:r>
        <w:rPr>
          <w:rFonts w:hint="eastAsia" w:ascii="Times New Roman" w:hAnsi="Times New Roman" w:eastAsia="宋体" w:cs="Times New Roman"/>
          <w:b w:val="0"/>
          <w:bCs w:val="0"/>
          <w:kern w:val="0"/>
          <w:sz w:val="24"/>
          <w:szCs w:val="24"/>
          <w:highlight w:val="none"/>
          <w:lang w:val="en-US" w:eastAsia="zh-CN"/>
        </w:rPr>
        <w:t>2</w:t>
      </w:r>
      <w:r>
        <w:rPr>
          <w:rFonts w:hint="default" w:ascii="Times New Roman" w:hAnsi="Times New Roman" w:eastAsia="宋体" w:cs="Times New Roman"/>
          <w:b w:val="0"/>
          <w:bCs w:val="0"/>
          <w:kern w:val="0"/>
          <w:sz w:val="24"/>
          <w:szCs w:val="24"/>
          <w:highlight w:val="none"/>
          <w:lang w:val="en-US" w:eastAsia="zh-CN"/>
        </w:rPr>
        <w:t>、</w:t>
      </w:r>
      <w:r>
        <w:rPr>
          <w:rFonts w:hint="default" w:ascii="Times New Roman" w:hAnsi="Times New Roman" w:eastAsia="宋体" w:cs="Times New Roman"/>
          <w:b w:val="0"/>
          <w:bCs w:val="0"/>
          <w:kern w:val="0"/>
          <w:sz w:val="24"/>
          <w:szCs w:val="24"/>
          <w:highlight w:val="none"/>
        </w:rPr>
        <w:t>运维服务</w:t>
      </w:r>
      <w:r>
        <w:rPr>
          <w:rFonts w:hint="default" w:ascii="Times New Roman" w:hAnsi="Times New Roman" w:eastAsia="宋体" w:cs="Times New Roman"/>
          <w:b w:val="0"/>
          <w:bCs w:val="0"/>
          <w:kern w:val="0"/>
          <w:sz w:val="24"/>
          <w:szCs w:val="24"/>
          <w:highlight w:val="none"/>
          <w:lang w:val="en-US" w:eastAsia="zh-CN"/>
        </w:rPr>
        <w:t>内容</w:t>
      </w:r>
    </w:p>
    <w:p>
      <w:pPr>
        <w:widowControl w:val="0"/>
        <w:bidi w:val="0"/>
        <w:spacing w:line="240" w:lineRule="auto"/>
        <w:ind w:firstLine="0" w:firstLineChars="0"/>
        <w:jc w:val="center"/>
        <w:rPr>
          <w:rFonts w:hint="default" w:ascii="Times New Roman" w:hAnsi="Times New Roman" w:eastAsia="黑体" w:cs="Times New Roman"/>
          <w:b w:val="0"/>
          <w:bCs w:val="0"/>
          <w:sz w:val="24"/>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运维服务清单表</w:t>
      </w:r>
    </w:p>
    <w:tbl>
      <w:tblPr>
        <w:tblStyle w:val="5"/>
        <w:tblW w:w="82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95"/>
        <w:gridCol w:w="895"/>
        <w:gridCol w:w="6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blHeader/>
        </w:trPr>
        <w:tc>
          <w:tcPr>
            <w:tcW w:w="895" w:type="dxa"/>
            <w:vMerge w:val="restart"/>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b/>
                <w:bCs/>
                <w:kern w:val="0"/>
                <w:sz w:val="21"/>
                <w:szCs w:val="21"/>
                <w:highlight w:val="none"/>
                <w:lang w:val="en-US" w:eastAsia="zh-CN"/>
              </w:rPr>
            </w:pPr>
            <w:r>
              <w:rPr>
                <w:rFonts w:hint="eastAsia" w:ascii="Times New Roman" w:hAnsi="Times New Roman" w:eastAsia="宋体" w:cs="Times New Roman"/>
                <w:b/>
                <w:bCs/>
                <w:kern w:val="0"/>
                <w:sz w:val="21"/>
                <w:szCs w:val="21"/>
                <w:highlight w:val="none"/>
                <w:lang w:val="en-US" w:eastAsia="zh-CN"/>
              </w:rPr>
              <w:t>运维服务清单</w:t>
            </w:r>
          </w:p>
        </w:tc>
        <w:tc>
          <w:tcPr>
            <w:tcW w:w="89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服务类别</w:t>
            </w:r>
          </w:p>
        </w:tc>
        <w:tc>
          <w:tcPr>
            <w:tcW w:w="646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9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b w:val="0"/>
                <w:bCs w:val="0"/>
                <w:kern w:val="0"/>
                <w:sz w:val="21"/>
                <w:szCs w:val="21"/>
                <w:highlight w:val="none"/>
              </w:rPr>
            </w:pPr>
          </w:p>
        </w:tc>
        <w:tc>
          <w:tcPr>
            <w:tcW w:w="89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本地化需求咨询服务</w:t>
            </w:r>
          </w:p>
        </w:tc>
        <w:tc>
          <w:tcPr>
            <w:tcW w:w="646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根据社保业务发展的需要，因本地政策规定、政府下达任务、业务流程、统计报表等发生变化，涉及新增或变更系统需求的，提供需求解决方案咨询服务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9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b w:val="0"/>
                <w:bCs w:val="0"/>
                <w:kern w:val="0"/>
                <w:sz w:val="21"/>
                <w:szCs w:val="21"/>
                <w:highlight w:val="none"/>
              </w:rPr>
            </w:pPr>
          </w:p>
        </w:tc>
        <w:tc>
          <w:tcPr>
            <w:tcW w:w="89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数据处理服务</w:t>
            </w:r>
          </w:p>
        </w:tc>
        <w:tc>
          <w:tcPr>
            <w:tcW w:w="646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由专业开发工程师提供工单处理服务和数据治理服务。工单处理服务包括：工单系统里涉及历史数据原因及经办人员误操作原因导致的业务错办、漏办问题等；数据治理服务包括：老系统历史数据问题、部下发疑点数据、省下发疑点数据问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9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b w:val="0"/>
                <w:bCs w:val="0"/>
                <w:kern w:val="0"/>
                <w:sz w:val="21"/>
                <w:szCs w:val="21"/>
                <w:highlight w:val="none"/>
              </w:rPr>
            </w:pPr>
          </w:p>
        </w:tc>
        <w:tc>
          <w:tcPr>
            <w:tcW w:w="89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公服（网办）服务</w:t>
            </w:r>
          </w:p>
        </w:tc>
        <w:tc>
          <w:tcPr>
            <w:tcW w:w="646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为本地区线上参保单位和个人提供服务，包括：单位网厅、个人、12333电话咨询问题解答和问题处理等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9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b w:val="0"/>
                <w:bCs w:val="0"/>
                <w:kern w:val="0"/>
                <w:sz w:val="21"/>
                <w:szCs w:val="21"/>
                <w:highlight w:val="none"/>
              </w:rPr>
            </w:pPr>
          </w:p>
        </w:tc>
        <w:tc>
          <w:tcPr>
            <w:tcW w:w="89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技术咨询服务</w:t>
            </w:r>
          </w:p>
        </w:tc>
        <w:tc>
          <w:tcPr>
            <w:tcW w:w="646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为线下社保一体化系统提供技术咨询服务，包含日常咨询、系统操作指导、疑难问题解答、技术支持与业务指导等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9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b w:val="0"/>
                <w:bCs w:val="0"/>
                <w:kern w:val="0"/>
                <w:sz w:val="21"/>
                <w:szCs w:val="21"/>
                <w:highlight w:val="none"/>
              </w:rPr>
            </w:pPr>
          </w:p>
        </w:tc>
        <w:tc>
          <w:tcPr>
            <w:tcW w:w="89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专项巡检服务</w:t>
            </w:r>
          </w:p>
        </w:tc>
        <w:tc>
          <w:tcPr>
            <w:tcW w:w="646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提供系统巡检服务，服务内容包括：采用座谈方式进行答疑、采用现场指导方式对相关问题进行指导处理等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95"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b w:val="0"/>
                <w:bCs w:val="0"/>
                <w:kern w:val="0"/>
                <w:sz w:val="21"/>
                <w:szCs w:val="21"/>
                <w:highlight w:val="none"/>
              </w:rPr>
            </w:pPr>
          </w:p>
        </w:tc>
        <w:tc>
          <w:tcPr>
            <w:tcW w:w="895"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数据统计服务</w:t>
            </w:r>
          </w:p>
        </w:tc>
        <w:tc>
          <w:tcPr>
            <w:tcW w:w="646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由专业开发工程师提供数据统计服务，包括业务部门数据统计需求、外部数据比对需求、专项数据审计统计协助需求、临时报表统计需求等</w:t>
            </w:r>
          </w:p>
        </w:tc>
      </w:tr>
    </w:tbl>
    <w:p>
      <w:pPr>
        <w:spacing w:before="0" w:after="0" w:line="240" w:lineRule="auto"/>
        <w:ind w:firstLine="480" w:firstLineChars="200"/>
        <w:jc w:val="both"/>
        <w:rPr>
          <w:rFonts w:hint="default" w:ascii="Times New Roman" w:hAnsi="Times New Roman" w:eastAsia="宋体" w:cs="Times New Roman"/>
          <w:kern w:val="0"/>
          <w:sz w:val="24"/>
          <w:highlight w:val="none"/>
        </w:rPr>
      </w:pPr>
    </w:p>
    <w:p>
      <w:pPr>
        <w:spacing w:before="0" w:after="0" w:line="340" w:lineRule="auto"/>
        <w:ind w:firstLine="480" w:firstLineChars="200"/>
        <w:jc w:val="both"/>
        <w:rPr>
          <w:rFonts w:hint="default" w:ascii="Times New Roman" w:hAnsi="Times New Roman" w:eastAsia="宋体" w:cs="Times New Roman"/>
          <w:kern w:val="0"/>
          <w:sz w:val="24"/>
          <w:highlight w:val="none"/>
        </w:rPr>
      </w:pPr>
      <w:r>
        <w:rPr>
          <w:rFonts w:hint="eastAsia" w:ascii="Times New Roman" w:hAnsi="Times New Roman" w:eastAsia="宋体" w:cs="Times New Roman"/>
          <w:b w:val="0"/>
          <w:bCs w:val="0"/>
          <w:kern w:val="0"/>
          <w:sz w:val="24"/>
          <w:szCs w:val="24"/>
          <w:highlight w:val="none"/>
          <w:lang w:val="en-US" w:eastAsia="zh-CN"/>
        </w:rPr>
        <w:t>3</w:t>
      </w:r>
      <w:r>
        <w:rPr>
          <w:rFonts w:hint="default" w:ascii="Times New Roman" w:hAnsi="Times New Roman" w:eastAsia="宋体" w:cs="Times New Roman"/>
          <w:b w:val="0"/>
          <w:bCs w:val="0"/>
          <w:kern w:val="0"/>
          <w:sz w:val="24"/>
          <w:szCs w:val="24"/>
          <w:highlight w:val="none"/>
          <w:lang w:val="en-US" w:eastAsia="zh-CN"/>
        </w:rPr>
        <w:t>、</w:t>
      </w:r>
      <w:r>
        <w:rPr>
          <w:rFonts w:hint="default" w:ascii="Times New Roman" w:hAnsi="Times New Roman" w:eastAsia="宋体" w:cs="Times New Roman"/>
          <w:b w:val="0"/>
          <w:bCs w:val="0"/>
          <w:kern w:val="0"/>
          <w:sz w:val="24"/>
          <w:szCs w:val="24"/>
          <w:highlight w:val="none"/>
        </w:rPr>
        <w:t>业务受理与时限：统一通过金保二期工单系统受理，工单处理以紧急程度区分，填写《临湘市数据运维申请单》，工单紧急程度分为低、中、高、紧急四类；由对应经办人员和责任领导签字后，在工单系统内申请工单，以局信息化机构盖章签发起计算处理时限，局信息化机构有权向运维单位反馈工单处理质量。</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临湘市城建档案系统</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服务内容</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①系统运行维护：对在线及离线档案系统的正常运行、数据备份等提供每周7×24小时技术支持服务，每季度安排一次系统全面检测；</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②产品标准培训：负责承担使用区域内城建档案系统使用人员及城建档案馆内部人员的系统操作标准培训，每年不少于1次；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③热线支持：安排服务人员通过电话向使用区域内用户提供技术问题解答；</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④现场维护：在使用单位认为必要时，根据要求派遣技术人员到用户现场处理解决问题；</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⑤远程维护：在双方认为必要时，由运维单位提出书面申请，使用单位临时开通VPN远程服务端，在使用单位全程监督下完成远程维护；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⑥功能改进：按照上级城建档案馆统一要求，对档案系统现有功能进行免费升级。</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服务承诺</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①接到通过电话、信函、传真、电子邮件等方式提出的服务请求后，在当日内给予响应并提供服务；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②提供的服务必须按照约定的服务内容进行；</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③在服务期末提供全年服务清单记录，清单记录包括但不限于定期系统检测、数据备份、功能升级更新、日常系统巡检、集中培训、现场维护等。</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eastAsia" w:ascii="Times New Roman" w:hAnsi="Times New Roman" w:eastAsia="黑体" w:cs="Times New Roman"/>
          <w:bCs/>
          <w:sz w:val="24"/>
          <w:szCs w:val="28"/>
          <w:lang w:val="en-US" w:eastAsia="zh-CN" w:bidi="ar-SA"/>
        </w:rPr>
        <w:t>临湘市房地产信息服务综合平台</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服务范围</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①新建商品房网签系统维护及数据维护；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②新建商品房预售资金监管系统维护及数据维护；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③物业维修资金管理系统维护及数据维护；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④网签备案系统维护及数据维护；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⑤房地产信息网维护及数据维护；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⑥湖南省个人住房数据上报程序维护及数据维护；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⑦住建部数据上报程序维护及数据维护；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⑧预售资金监管银行及物业维修资金自缴银行接口维护及数据维护；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⑨省财政厅电子票据接口及短信平台接口维护及数据维护。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服务方式</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①在线服务：通过浏览器、即时通讯工具等在线工具提供提交问题、查询问题、解答问题的在线式服务；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②热线服务：维护人员通过热线电话解答技术问题；</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③远程维护服务：通过远程维护系统对软件系统进行远程调试；</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④现场服务：派遣技术人员到软件使用现场解决问题，并对软件系统进行系统保障维修。</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3、</w:t>
      </w:r>
      <w:r>
        <w:rPr>
          <w:rFonts w:hint="default" w:ascii="Times New Roman" w:hAnsi="Times New Roman" w:eastAsia="宋体" w:cs="Times New Roman"/>
          <w:kern w:val="0"/>
          <w:sz w:val="24"/>
          <w:highlight w:val="none"/>
        </w:rPr>
        <w:t>现场维护响应时间：响应时间指从运维单位接到服务请求之后，到与使用单位进行沟通并作出服务承诺的时间。接到通过电话、信函、传真、电子邮件、网上提交等方式提出的服务请求后，在24小时之内给予响应并安排提供现场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4、</w:t>
      </w:r>
      <w:r>
        <w:rPr>
          <w:rFonts w:hint="default" w:ascii="Times New Roman" w:hAnsi="Times New Roman" w:eastAsia="宋体" w:cs="Times New Roman"/>
          <w:kern w:val="0"/>
          <w:sz w:val="24"/>
          <w:highlight w:val="none"/>
        </w:rPr>
        <w:t>服务要求</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①派专人负责维护工作，并在约定时间内响应服务；不能及时上门维护的，应说明原因，再与使用单位预约上门维护的具体时间；</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②每次上门维护必须提交维护工作单，使用单位配合填写相关维护意见；</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③使用单位须配合维护人员的工作，有密码设置的须告知维护人员，且不得随意修改机器配置和局域网设置；</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④使用单位不得传播计算机病毒和木马程序，如造成局域网和业务系统的重大事故，其责任由使用单位负责。</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5G智慧电台</w:t>
      </w:r>
    </w:p>
    <w:p>
      <w:pPr>
        <w:numPr>
          <w:ilvl w:val="0"/>
          <w:numId w:val="17"/>
        </w:num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服务内容</w:t>
      </w:r>
    </w:p>
    <w:p>
      <w:pPr>
        <w:widowControl w:val="0"/>
        <w:numPr>
          <w:ilvl w:val="0"/>
          <w:numId w:val="0"/>
        </w:numPr>
        <w:bidi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6</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5G智慧电台服务内容表</w:t>
      </w:r>
    </w:p>
    <w:tbl>
      <w:tblPr>
        <w:tblStyle w:val="5"/>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98"/>
        <w:gridCol w:w="6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blHeader/>
        </w:trPr>
        <w:tc>
          <w:tcPr>
            <w:tcW w:w="1298"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bCs/>
                <w:kern w:val="0"/>
                <w:sz w:val="21"/>
                <w:szCs w:val="21"/>
                <w:highlight w:val="none"/>
              </w:rPr>
              <w:t>产品包</w:t>
            </w:r>
          </w:p>
        </w:tc>
        <w:tc>
          <w:tcPr>
            <w:tcW w:w="696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bCs/>
                <w:kern w:val="0"/>
                <w:sz w:val="21"/>
                <w:szCs w:val="21"/>
                <w:highlight w:val="none"/>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298" w:type="dxa"/>
            <w:vMerge w:val="restart"/>
            <w:noWrap w:val="0"/>
            <w:tcMar>
              <w:top w:w="40" w:type="dxa"/>
              <w:left w:w="80" w:type="dxa"/>
              <w:bottom w:w="40" w:type="dxa"/>
              <w:right w:w="80" w:type="dxa"/>
            </w:tcMar>
            <w:vAlign w:val="center"/>
          </w:tcPr>
          <w:p>
            <w:p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5G智慧电台基础产品包</w:t>
            </w:r>
          </w:p>
        </w:tc>
        <w:tc>
          <w:tcPr>
            <w:tcW w:w="696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left"/>
              <w:rPr>
                <w:rFonts w:hint="default" w:ascii="Times New Roman" w:hAnsi="Times New Roman" w:eastAsia="宋体" w:cs="Times New Roman"/>
                <w:b w:val="0"/>
                <w:bCs w:val="0"/>
                <w:kern w:val="0"/>
                <w:sz w:val="21"/>
                <w:szCs w:val="21"/>
                <w:highlight w:val="none"/>
              </w:rPr>
            </w:pPr>
            <w:r>
              <w:rPr>
                <w:rFonts w:hint="default" w:ascii="Times New Roman" w:hAnsi="Times New Roman" w:eastAsia="宋体" w:cs="Times New Roman"/>
                <w:b w:val="0"/>
                <w:bCs w:val="0"/>
                <w:kern w:val="0"/>
                <w:sz w:val="21"/>
                <w:szCs w:val="21"/>
                <w:highlight w:val="none"/>
              </w:rPr>
              <w:t>Mango播出系统：</w:t>
            </w:r>
          </w:p>
          <w:p>
            <w:pPr>
              <w:numPr>
                <w:ilvl w:val="0"/>
                <w:numId w:val="18"/>
              </w:numPr>
              <w:spacing w:before="0" w:after="0" w:line="240" w:lineRule="auto"/>
              <w:ind w:left="0" w:leftChars="0" w:right="0" w:rightChars="0" w:firstLine="0" w:firstLineChars="0"/>
              <w:jc w:val="left"/>
              <w:rPr>
                <w:rFonts w:hint="default" w:ascii="Times New Roman" w:hAnsi="Times New Roman" w:eastAsia="宋体" w:cs="Times New Roman"/>
                <w:b w:val="0"/>
                <w:bCs w:val="0"/>
                <w:kern w:val="0"/>
                <w:sz w:val="21"/>
                <w:szCs w:val="21"/>
                <w:highlight w:val="none"/>
              </w:rPr>
            </w:pPr>
            <w:r>
              <w:rPr>
                <w:rFonts w:hint="default" w:ascii="Times New Roman" w:hAnsi="Times New Roman" w:eastAsia="宋体" w:cs="Times New Roman"/>
                <w:b w:val="0"/>
                <w:bCs w:val="0"/>
                <w:kern w:val="0"/>
                <w:sz w:val="21"/>
                <w:szCs w:val="21"/>
                <w:highlight w:val="none"/>
              </w:rPr>
              <w:t>播出系统（含歌库，支持个性化歌单编排）；</w:t>
            </w:r>
          </w:p>
          <w:p>
            <w:pPr>
              <w:numPr>
                <w:ilvl w:val="0"/>
                <w:numId w:val="18"/>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新闻云（AI语音合成，个性化抓取编排）；</w:t>
            </w:r>
          </w:p>
          <w:p>
            <w:pPr>
              <w:numPr>
                <w:ilvl w:val="0"/>
                <w:numId w:val="18"/>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节目云（智能节目生成）；</w:t>
            </w:r>
          </w:p>
          <w:p>
            <w:pPr>
              <w:numPr>
                <w:ilvl w:val="0"/>
                <w:numId w:val="18"/>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AI天气（指定地区实时抓取）；</w:t>
            </w:r>
          </w:p>
          <w:p>
            <w:pPr>
              <w:numPr>
                <w:ilvl w:val="0"/>
                <w:numId w:val="18"/>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AI路况（指定地区实时抓取）；</w:t>
            </w:r>
          </w:p>
          <w:p>
            <w:pPr>
              <w:numPr>
                <w:ilvl w:val="0"/>
                <w:numId w:val="18"/>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AI音乐串接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12" w:hRule="atLeast"/>
        </w:trPr>
        <w:tc>
          <w:tcPr>
            <w:tcW w:w="1298"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p>
        </w:tc>
        <w:tc>
          <w:tcPr>
            <w:tcW w:w="696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left"/>
              <w:rPr>
                <w:rFonts w:hint="default" w:ascii="Times New Roman" w:hAnsi="Times New Roman" w:eastAsia="宋体" w:cs="Times New Roman"/>
                <w:b w:val="0"/>
                <w:bCs w:val="0"/>
                <w:kern w:val="0"/>
                <w:sz w:val="21"/>
                <w:szCs w:val="21"/>
                <w:highlight w:val="none"/>
              </w:rPr>
            </w:pPr>
            <w:r>
              <w:rPr>
                <w:rFonts w:hint="default" w:ascii="Times New Roman" w:hAnsi="Times New Roman" w:eastAsia="宋体" w:cs="Times New Roman"/>
                <w:b w:val="0"/>
                <w:bCs w:val="0"/>
                <w:kern w:val="0"/>
                <w:sz w:val="21"/>
                <w:szCs w:val="21"/>
                <w:highlight w:val="none"/>
              </w:rPr>
              <w:t>全年持续更新本地特色内容</w:t>
            </w:r>
          </w:p>
          <w:p>
            <w:pPr>
              <w:numPr>
                <w:ilvl w:val="0"/>
                <w:numId w:val="19"/>
              </w:numPr>
              <w:spacing w:before="0" w:after="0" w:line="240" w:lineRule="auto"/>
              <w:ind w:left="0" w:leftChars="0" w:right="0" w:rightChars="0" w:firstLine="0" w:firstLineChars="0"/>
              <w:jc w:val="left"/>
              <w:rPr>
                <w:rFonts w:hint="default" w:ascii="Times New Roman" w:hAnsi="Times New Roman" w:eastAsia="宋体" w:cs="Times New Roman"/>
                <w:b w:val="0"/>
                <w:bCs w:val="0"/>
                <w:kern w:val="0"/>
                <w:sz w:val="21"/>
                <w:szCs w:val="21"/>
                <w:highlight w:val="none"/>
              </w:rPr>
            </w:pPr>
            <w:r>
              <w:rPr>
                <w:rFonts w:hint="default" w:ascii="Times New Roman" w:hAnsi="Times New Roman" w:eastAsia="宋体" w:cs="Times New Roman"/>
                <w:b w:val="0"/>
                <w:bCs w:val="0"/>
                <w:kern w:val="0"/>
                <w:sz w:val="21"/>
                <w:szCs w:val="21"/>
                <w:highlight w:val="none"/>
                <w:lang w:val="en-US" w:eastAsia="zh-CN"/>
              </w:rPr>
              <w:t>1</w:t>
            </w:r>
            <w:r>
              <w:rPr>
                <w:rFonts w:hint="default" w:ascii="Times New Roman" w:hAnsi="Times New Roman" w:eastAsia="宋体" w:cs="Times New Roman"/>
                <w:b w:val="0"/>
                <w:bCs w:val="0"/>
                <w:kern w:val="0"/>
                <w:sz w:val="21"/>
                <w:szCs w:val="21"/>
                <w:highlight w:val="none"/>
              </w:rPr>
              <w:t>2名AI虚拟主播应用</w:t>
            </w:r>
          </w:p>
          <w:p>
            <w:pPr>
              <w:numPr>
                <w:ilvl w:val="0"/>
                <w:numId w:val="19"/>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15档节目任选</w:t>
            </w:r>
          </w:p>
          <w:p>
            <w:pPr>
              <w:numPr>
                <w:ilvl w:val="0"/>
                <w:numId w:val="19"/>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10条定制宣传带</w:t>
            </w:r>
          </w:p>
          <w:p>
            <w:pPr>
              <w:numPr>
                <w:ilvl w:val="0"/>
                <w:numId w:val="19"/>
              </w:num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新闻三审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12" w:hRule="atLeast"/>
        </w:trPr>
        <w:tc>
          <w:tcPr>
            <w:tcW w:w="1298"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left"/>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技术服务</w:t>
            </w:r>
          </w:p>
        </w:tc>
        <w:tc>
          <w:tcPr>
            <w:tcW w:w="6967" w:type="dxa"/>
            <w:noWrap w:val="0"/>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①根据约定的部署硬件环境，对系统进行初始化、安装调试，确保系统能够正常使用；</w:t>
            </w:r>
          </w:p>
          <w:p>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b w:val="0"/>
                <w:bCs w:val="0"/>
                <w:kern w:val="0"/>
                <w:sz w:val="21"/>
                <w:szCs w:val="21"/>
                <w:highlight w:val="none"/>
              </w:rPr>
              <w:t>②对使用单位的专业人员进行技术培训，使其有能力单独操作系统；在服务期限内，安排技术人员及时解答系统操作方面的问题；</w:t>
            </w:r>
          </w:p>
          <w:p>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rPr>
                <w:rFonts w:hint="default" w:ascii="Times New Roman" w:hAnsi="Times New Roman" w:eastAsia="宋体" w:cs="Times New Roman"/>
                <w:b w:val="0"/>
                <w:bCs w:val="0"/>
                <w:kern w:val="0"/>
                <w:sz w:val="21"/>
                <w:szCs w:val="21"/>
                <w:highlight w:val="none"/>
              </w:rPr>
            </w:pPr>
            <w:r>
              <w:rPr>
                <w:rFonts w:hint="default" w:ascii="Times New Roman" w:hAnsi="Times New Roman" w:eastAsia="宋体" w:cs="Times New Roman"/>
                <w:b w:val="0"/>
                <w:bCs w:val="0"/>
                <w:kern w:val="0"/>
                <w:sz w:val="21"/>
                <w:szCs w:val="21"/>
                <w:highlight w:val="none"/>
              </w:rPr>
              <w:t>③24小时一对一客服。</w:t>
            </w:r>
          </w:p>
        </w:tc>
      </w:tr>
    </w:tbl>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服务约定</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①及时将节目内容库清单发送至使用单位，使用单位可在节目内容库中自行选择并及时反馈，以便按时提供产品；</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②服务期内授权使用相关软件，并负责提供技术支持和维护；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③相关音频节目具有合法授权，服务期内授权在FM频率使用；服务结束后应停止使用相关软件及节目内容；</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④根据需要，免费提供技术操作、节目制作业务的培训；培训人员产生的交通、食宿等差旅费由使用单位承担；</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⑤服务期内，保证5G智慧电台的及时更新及畅通传送（网络运营商原因除外）；</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⑥双方合作可延伸为广告投放、活动营销等，具体情况另行商议。</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临湘市文化云平台</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本项目运维服务主要包含云服务器租赁运维、网站功能运维、网站安全运维三大部分，保障临湘市文化云平台稳定运行，支撑平台公共文化服务、文化消费展示、本地数字资源对外展示等业务开展。</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1、云服务器租赁运维</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云服务器为临湘市文化云平台提供底层运行载体，平台业务数据存储于云服务器磁盘，运维工作保障基础设施持续稳定运行。</w:t>
      </w:r>
    </w:p>
    <w:p>
      <w:pPr>
        <w:numPr>
          <w:ilvl w:val="0"/>
          <w:numId w:val="20"/>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保障云服务器算力、存储、网络带宽资源稳定供给，承载平台全部业务应用，满足公共文化服务相关业务访问需求。</w:t>
      </w:r>
    </w:p>
    <w:p>
      <w:pPr>
        <w:numPr>
          <w:ilvl w:val="0"/>
          <w:numId w:val="20"/>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开展服务器基础环境运维管理，完成操作系统环境维护、系统及安全补丁更新；持续监控服务器 CPU、内存、磁盘、网络等关键运行指标，开展常态化巡检，及时识别运行异常并处置。</w:t>
      </w:r>
    </w:p>
    <w:p>
      <w:pPr>
        <w:numPr>
          <w:ilvl w:val="0"/>
          <w:numId w:val="20"/>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针对服务器资源过载、网络中断、运行故障等问题开展故障排查与修复，保障云服务器业务连续性。</w:t>
      </w:r>
    </w:p>
    <w:p>
      <w:pPr>
        <w:numPr>
          <w:ilvl w:val="0"/>
          <w:numId w:val="20"/>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提供数据存储相关技术支撑，为平台数据备份、数据调取提供技术保障，保障存储数据可正常访问。</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2、网站功能运维</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围绕文化云平台各项业务功能开展运维保障，保障平台业务场景正常使用。</w:t>
      </w:r>
    </w:p>
    <w:p>
      <w:pPr>
        <w:numPr>
          <w:ilvl w:val="0"/>
          <w:numId w:val="21"/>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开展平台功能定期巡检，对公共文化服务展示、文化消费板块、数字资源浏览等核心业务模块进行检查，及时处理页面加载异常、功能报错、交互失效等问题，保障全部业务功能正常可用。</w:t>
      </w:r>
    </w:p>
    <w:p>
      <w:pPr>
        <w:numPr>
          <w:ilvl w:val="0"/>
          <w:numId w:val="21"/>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对平台运行过程中出现的软件功能缺陷进行修复，消除程序 BUG，保障平台业务逻辑正常。</w:t>
      </w:r>
    </w:p>
    <w:p>
      <w:pPr>
        <w:numPr>
          <w:ilvl w:val="0"/>
          <w:numId w:val="21"/>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配套提供平台操作文档、使用说明等技术资料，解答平台使用过程中的各类技术疑问，为平台日常业务操作提供技术支撑。</w:t>
      </w:r>
    </w:p>
    <w:p>
      <w:pPr>
        <w:numPr>
          <w:ilvl w:val="0"/>
          <w:numId w:val="21"/>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配合完成平台测试、验收相关技术工作，保障平台各项功能达到建设使用要求。</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3、网站安全运维</w:t>
      </w:r>
    </w:p>
    <w:p>
      <w:pPr>
        <w:bidi w:val="0"/>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落实平台数据安全与网络安全防护要求，搭建安全防护体系，防范各类网络安全风险。</w:t>
      </w:r>
    </w:p>
    <w:p>
      <w:pPr>
        <w:numPr>
          <w:ilvl w:val="0"/>
          <w:numId w:val="22"/>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配置云安全防火墙，做好服务器访问权限、端口安全管控，抵御恶意访问、网络扫描等基础网络攻击；开启云服务器日志记录，留存系统运行、访问日志，满足安全审计需要。</w:t>
      </w:r>
    </w:p>
    <w:p>
      <w:pPr>
        <w:numPr>
          <w:ilvl w:val="0"/>
          <w:numId w:val="22"/>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落实云服务器备份机制，对平台业务数据开展备份防护，降低数据丢失风险；对接数据安全责任人落实各项数据安全管理工作。</w:t>
      </w:r>
    </w:p>
    <w:p>
      <w:pPr>
        <w:numPr>
          <w:ilvl w:val="0"/>
          <w:numId w:val="22"/>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定期开展安全隐患排查，对发现的安全漏洞及时处置；面对黑客攻击、未知病毒等突发安全事件开展应急处置，最大限度降低安全事件对平台业务的影响。</w:t>
      </w:r>
    </w:p>
    <w:p>
      <w:pPr>
        <w:numPr>
          <w:ilvl w:val="0"/>
          <w:numId w:val="22"/>
        </w:numPr>
        <w:bidi w:val="0"/>
        <w:spacing w:line="360" w:lineRule="auto"/>
        <w:ind w:left="0" w:leftChars="0"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保障平台所用软件均为合法正版授权，规避知识产权相关风险；严格保守项目建设运行过程中产生的业务资料、技术信息等内部信息，落实保密管理要求。</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临湘市社会信用体系建设平台（信用临湘）</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①协助做好信用建设各项工作，包括提供成员单位建议、数据归集咨询、集中式业务培训，以及根据需求的部门专题培训会议；</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②按照归集时间要求，采取现场、远程等多种方式与各成员单位进行技术与数据对接，根据信用信息资源目录及公示目录要求及时归集信用数据及双公示数据；</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③及时完成全市信用数据及双公示数据的清洗、比对、入库、发布、共享等；</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④做好信用平台与信用岳阳市级平台间的协调工作，及时响应市平台的各项工作要求，包括日常工作协调、数据上报、属地数据下发处理等；</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⑤做好信用平台的技术维护工作，包括日常运维、系统升级、故障处理、性能调优、技术咨询、考核咨询、信用应用推广等。</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临湘市综合指挥平台</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常态化技术支持。提供每周5天、每天8小时的技术热线，用于解答使用单位在使用综合指挥平台软件过程中遇到的技术疑问，并提供专业的技术咨询服务。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远程支持与故障排查。通过远程接入或在线指导方式提供技术支持，协助排查并解决系统故障。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3、</w:t>
      </w:r>
      <w:r>
        <w:rPr>
          <w:rFonts w:hint="default" w:ascii="Times New Roman" w:hAnsi="Times New Roman" w:eastAsia="宋体" w:cs="Times New Roman"/>
          <w:kern w:val="0"/>
          <w:sz w:val="24"/>
          <w:highlight w:val="none"/>
        </w:rPr>
        <w:t>年度系统健康巡检。根据预设的巡检规范，每年进行一次全面的远程系统健康巡检，主动发现并预防潜在问题，具体包括：①服务器性能监测：检查服务器关键性能指标（如CPU利用率、内存使用情况等），评估其运行健康状况；②日志分析与预警：审查程序运行日志及系统日志，识别潜在的系统瓶颈、错误信息及可能存在的故障隐患；③系统负载与链路分析：分析系统及其各模块的运行负载情况，评估其变化趋势，并针对性地提出优化建议，以提升系统效率和稳定性；④核心功能验证：对系统的主要功能进行模拟操作与验证，确保各项功能正常、稳定运行；发现任何功能异常或缺陷时，立即报告使用单位并启动相应的处理流程。</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4、</w:t>
      </w:r>
      <w:r>
        <w:rPr>
          <w:rFonts w:hint="default" w:ascii="Times New Roman" w:hAnsi="Times New Roman" w:eastAsia="宋体" w:cs="Times New Roman"/>
          <w:kern w:val="0"/>
          <w:sz w:val="24"/>
          <w:highlight w:val="none"/>
        </w:rPr>
        <w:t>系统问题修复与优化。在服务范围内，平台出现软件缺陷、漏洞或性能瓶颈时，负责进行修复，并基于修复情况进行必要的代码优化和系统升级处理，提升系统整体表现；涉及新的定制需求（如新系统、新部门的对接需求等）另行评估实施。</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5、</w:t>
      </w:r>
      <w:r>
        <w:rPr>
          <w:rFonts w:hint="default" w:ascii="Times New Roman" w:hAnsi="Times New Roman" w:eastAsia="宋体" w:cs="Times New Roman"/>
          <w:kern w:val="0"/>
          <w:sz w:val="24"/>
          <w:highlight w:val="none"/>
        </w:rPr>
        <w:t>附加服务。如因特殊情况，使用单位要求工程师提供上门现场排查或维护服务，由此产生的额外费用（包括但不限于差旅费、人工费等）另行协商计收。标准为3000元/次(一天内)，上门驻场每超过一天(不足一天计一天)加收1000元/天。</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6、</w:t>
      </w:r>
      <w:r>
        <w:rPr>
          <w:rFonts w:hint="default" w:ascii="Times New Roman" w:hAnsi="Times New Roman" w:eastAsia="宋体" w:cs="Times New Roman"/>
          <w:kern w:val="0"/>
          <w:sz w:val="24"/>
          <w:highlight w:val="none"/>
        </w:rPr>
        <w:t>服务边界。本服务不包含任何硬件设备的维修或更换；如系统硬件设备需要维修或更换，相关费用由使用单位承担，或另行协商合作方案。</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临湘市校车监控平台</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1、服务</w:t>
      </w:r>
      <w:r>
        <w:rPr>
          <w:rFonts w:hint="default" w:ascii="Times New Roman" w:hAnsi="Times New Roman" w:eastAsia="宋体" w:cs="Times New Roman"/>
          <w:kern w:val="0"/>
          <w:sz w:val="24"/>
          <w:highlight w:val="none"/>
        </w:rPr>
        <w:t>内容</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①校车终端设备安装：负责更换辖区内80台校车终端设备（具体数量根据实际情况确定），按《湖南省校车安全监管平台建设智能化功能指导清单》升级监控平台，并提供运营维护服务；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②维护服务：设备验收合格后提供维护服务，包含定期巡检、非人为损坏设备的免费维修更换、2小时内响应并远程修复；无法远程修复的，应在24小时内实地修复（不可抗力除外）、系统升级及操作人员培训。</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智能化功能要求：按《湖南省校车安全监管平台建设智能化功能指导清单》执行，共19项，详见</w:t>
      </w:r>
      <w:r>
        <w:rPr>
          <w:rFonts w:hint="default" w:ascii="Times New Roman" w:hAnsi="Times New Roman" w:eastAsia="宋体" w:cs="Times New Roman"/>
          <w:kern w:val="0"/>
          <w:sz w:val="24"/>
          <w:highlight w:val="none"/>
          <w:lang w:val="en-US" w:eastAsia="zh-CN"/>
        </w:rPr>
        <w:t>下表</w:t>
      </w:r>
      <w:r>
        <w:rPr>
          <w:rFonts w:hint="default" w:ascii="Times New Roman" w:hAnsi="Times New Roman" w:eastAsia="宋体" w:cs="Times New Roman"/>
          <w:kern w:val="0"/>
          <w:sz w:val="24"/>
          <w:highlight w:val="none"/>
        </w:rPr>
        <w:t>。</w:t>
      </w:r>
    </w:p>
    <w:p>
      <w:pPr>
        <w:widowControl w:val="0"/>
        <w:bidi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7</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湖南省校车安全监管平台建设智能化功能指导清单表</w:t>
      </w:r>
    </w:p>
    <w:tbl>
      <w:tblPr>
        <w:tblStyle w:val="5"/>
        <w:tblW w:w="8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43"/>
        <w:gridCol w:w="1574"/>
        <w:gridCol w:w="6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blHeader/>
        </w:trPr>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序号</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功能名称</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驾驶员身份识别</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全程对驾驶员是否为指定人员进行识别，防止校车运行途中更换驾驶员；违规时系统自动发出警示信息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2</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驾驶员行为识别</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车辆行驶期间全程自动识别驾驶员非规范驾驶行为，包括抽烟、打电话、看手机长时间不看前方，以及疲劳驾驶（打哈欠不断闭眼），违规时系统自动发出警示信息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3</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线路偏离</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依据确定的校车行驶线路，对偏离线路的车辆运行行为（偏离线路超过50米，或偏离线路时间2分钟以上，或未在停靠站点停靠）进行预警；违规时系统自动发出警示信息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4</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分段超速限制</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对校车行驶线路的不同路段按相关规定进行限速；违规时系统自动发出警示信息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5</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人数超载检测</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通过人脸识别系统识别乘坐校车的人数是否超过核定载客人数；违规时系统自动发出警示信息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6</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安全带检测</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对车辆行驶期间所有乘坐学生及司机是否佩戴安全带进行检测；违规时系统自动发出警示信息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7</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遗留检测</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对校车停止运营后的车内是否遗留学生进行检测；违规时系统自动发出警示信息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8</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分级报警</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系统自动对相应违规行为进行识别，并自动以语音方式提醒驾驶员，同时按照已设定的警示级别，分别将警示信息发送至校车运营企业、政府监管部门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9</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远程视频监控</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值守人员通过远程实时视频或历史录像对校车运行时的车厢情况进行查看，如学生是否未系安全带，是否有学生站立打闹，学生上下车时随车照管员在车下的引导、指挥情况，驾驶员与随车照管员是否存在聊天等影响工作行为，判断驾驶员习惯、路况环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10</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运行轨迹查看</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值守人员查看车辆运行轨迹、车辆最后停车地点（主要指每天停止运营后的停车地点、发生事故时的地点）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11</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多客户端</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政府监管部门、校车运营公司、学校、驾驶员、随车照管员、学生家长等多方人员都具备客户端，每天上传车辆设备、运行等情况，均可参与校车运行管理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12</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语音提醒及语音对讲</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值守人员根据收到的警示信息，或根据其他工作需要，通过语音对讲方式对驾驶员进行语音提醒或交流，或发送其他工作信息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13</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主动安全高级辅助驾驶（ADAS）</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根据校车运行时的路面交通情况，系统自动向驾驶员发出碰撞预警、车道保持、车距监测、并道提醒的提示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14</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安全设备状态管理</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对非智能化安全设备（逃生锤、灭火器、急救箱等）进行台账式管理；对智能化安全设备（破窗器、安全带检测设备、遗留检测设备等）进行实时状态管理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15</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数据存储时间</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动态监控数据应当至少保存6个月，视频数据应当至少保存3个月，违法违规驾驶信息及处理情况应当至少保存3年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16</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到达停靠站点时间预测</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通过北斗系统，运用GIS地理信息系统技术，学生家长可预先知道校车到达停靠站点时间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17</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监护权转移留证</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在家长和校车之间接送学生、校车与学校之间接送学生的上下车时，对学生监护权的转移行为进行留证（照片录像等打卡证据）。证据应该保留至云平台，家长及学校、校车照管员可随时调取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18</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家长投诉与举报</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家长通过客户端进行举报和投诉，包括司机酒驾举报、校车服务质量投诉、校车安全管理建议等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64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19</w:t>
            </w:r>
          </w:p>
        </w:tc>
        <w:tc>
          <w:tcPr>
            <w:tcW w:w="157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联网联控</w:t>
            </w:r>
          </w:p>
        </w:tc>
        <w:tc>
          <w:tcPr>
            <w:tcW w:w="60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将校车违法违规数据分享至公安交警、交通运输等部门，以便于加强路面查控；将天气路况等信息共享至校车，预防事故发生</w:t>
            </w:r>
          </w:p>
        </w:tc>
      </w:tr>
    </w:tbl>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临湘市交通治超综合管理平台</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服务范围</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治超综合管理平台接入的四套非现场执法检测点（G353横铺检测点、S208忠防检测点、S206聂市检测点、S208江南检测点）及10家源头检测系统（临湘市凡泰矿业有限公司、临湘海螺水泥有限责任公司、临湘鸭栏码头、湖南中发矿业有限公司、临湘市东辉建材科技有限公司、临湘市高强混凝土有限公司、岳阳华强混凝土有限公司、岳阳市富安矿业有限公司、兆邦陶瓷有限责任公司、湖南振湘有限公司）货运车辆称重检测数据的运维服务。</w:t>
      </w:r>
    </w:p>
    <w:p>
      <w:pPr>
        <w:bidi w:val="0"/>
        <w:spacing w:line="360" w:lineRule="auto"/>
        <w:ind w:firstLine="480" w:firstLineChars="200"/>
        <w:jc w:val="both"/>
        <w:rPr>
          <w:rFonts w:hint="default" w:ascii="Times New Roman" w:hAnsi="Times New Roman" w:eastAsia="宋体" w:cs="Times New Roman"/>
          <w:kern w:val="0"/>
          <w:sz w:val="24"/>
          <w:highlight w:val="none"/>
          <w:lang w:val="en-US"/>
        </w:rPr>
      </w:pPr>
      <w:r>
        <w:rPr>
          <w:rFonts w:hint="default" w:ascii="Times New Roman" w:hAnsi="Times New Roman" w:eastAsia="宋体" w:cs="Times New Roman"/>
          <w:kern w:val="0"/>
          <w:sz w:val="24"/>
          <w:highlight w:val="none"/>
          <w:lang w:val="en-US" w:eastAsia="zh-CN"/>
        </w:rPr>
        <w:t>2、服务内容</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日常保障：确保治超平台软件7×24小时稳定运行，负责协助操作系统的安装、更新，数据库的性能调优、备份与恢复，以及中间件的维护，保证设备正常运行，保障系统在线率；故障设备及时维修：0.5小时响应，4小时到达现场，一般故障12小时内解决，重大故障24小时内解决；设备日常检查；</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②平台运行监管：远程监测服务器、存储设备状态，定期协助整理数据碎片，升级操作系统补丁；</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③软件功能优化：根据省市平台接口规范，动态调整数据上传格式，确保超限数据自动分类；</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安全防护：协助更新病毒特征库，实施网络入侵监测，定期开展等保测评，确保系统符合三级等保要求；检查系统备份情况（必要时进行备份恢复）；检查系统空间使用情况，清理系统垃圾；文件系统安全性检查，防病毒措施检查；对系统进行预防性维护；指导用户正确使用和维护系统；协助分析、解决日常设备运行中出现的未解决的问题。</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3、</w:t>
      </w:r>
      <w:r>
        <w:rPr>
          <w:rFonts w:hint="default" w:ascii="Times New Roman" w:hAnsi="Times New Roman" w:eastAsia="宋体" w:cs="Times New Roman"/>
          <w:kern w:val="0"/>
          <w:sz w:val="24"/>
          <w:highlight w:val="none"/>
        </w:rPr>
        <w:t>运维单位责任</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售后客服人员24小时在线，解答用户疑问，快速精准解答问题；提供实时响应远程解决，在远程服务不能排除故障时，及时安排工作人员赶达设备故障地点，并记录用户信息和需求，及时上报反馈，并将获得的解决方案及时通知用户；跟进回访，确保相应问题得到解决；接到通知后，2小时内安排技术人员到达现场，及时排除故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②提供7天×24小时技术咨询服务；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③及时更新系统软件，并与省市级平台无缝对接；</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④系统维修保养时所需的工具，由运维单位自行配备；</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⑤如出现设备维修更换零部件或更换设备时，设备成本费及安装调试费用按有关约定承担，所有更换的设备及零部件保修一年；</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⑥检修期间如因运维单位原因发生设备、人身等事故，由运维单位承担赔偿责任，运维单位应对自己员工的安全负责。</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4、</w:t>
      </w:r>
      <w:r>
        <w:rPr>
          <w:rFonts w:hint="default" w:ascii="Times New Roman" w:hAnsi="Times New Roman" w:eastAsia="宋体" w:cs="Times New Roman"/>
          <w:kern w:val="0"/>
          <w:sz w:val="24"/>
          <w:highlight w:val="none"/>
        </w:rPr>
        <w:t>运维服务清单明细</w:t>
      </w:r>
    </w:p>
    <w:p>
      <w:pPr>
        <w:widowControl w:val="0"/>
        <w:bidi w:val="0"/>
        <w:spacing w:line="240" w:lineRule="auto"/>
        <w:ind w:firstLine="0" w:firstLineChars="0"/>
        <w:jc w:val="center"/>
        <w:rPr>
          <w:rFonts w:hint="default" w:ascii="Times New Roman" w:hAnsi="Times New Roman" w:eastAsia="黑体" w:cs="Times New Roman"/>
          <w:sz w:val="21"/>
          <w:szCs w:val="24"/>
          <w:highlight w:val="none"/>
          <w:lang w:val="en-US" w:eastAsia="zh-CN" w:bidi="ar-SA"/>
        </w:rPr>
      </w:pPr>
      <w:r>
        <w:rPr>
          <w:rFonts w:hint="default" w:ascii="Times New Roman" w:hAnsi="Times New Roman" w:eastAsia="黑体" w:cs="Times New Roman"/>
          <w:sz w:val="21"/>
          <w:szCs w:val="24"/>
          <w:highlight w:val="none"/>
          <w:lang w:val="en-US" w:eastAsia="zh-CN" w:bidi="ar-SA"/>
        </w:rPr>
        <w:t xml:space="preserve">表 </w:t>
      </w:r>
      <w:r>
        <w:rPr>
          <w:rFonts w:hint="default" w:ascii="Times New Roman" w:hAnsi="Times New Roman" w:eastAsia="黑体" w:cs="Times New Roman"/>
          <w:sz w:val="21"/>
          <w:szCs w:val="24"/>
          <w:highlight w:val="none"/>
          <w:lang w:val="en-US" w:eastAsia="zh-CN" w:bidi="ar-SA"/>
        </w:rPr>
        <w:fldChar w:fldCharType="begin"/>
      </w:r>
      <w:r>
        <w:rPr>
          <w:rFonts w:hint="default" w:ascii="Times New Roman" w:hAnsi="Times New Roman" w:eastAsia="黑体" w:cs="Times New Roman"/>
          <w:sz w:val="21"/>
          <w:szCs w:val="24"/>
          <w:highlight w:val="none"/>
          <w:lang w:val="en-US" w:eastAsia="zh-CN" w:bidi="ar-SA"/>
        </w:rPr>
        <w:instrText xml:space="preserve"> STYLEREF 2 \s </w:instrText>
      </w:r>
      <w:r>
        <w:rPr>
          <w:rFonts w:hint="default" w:ascii="Times New Roman" w:hAnsi="Times New Roman" w:eastAsia="黑体" w:cs="Times New Roman"/>
          <w:sz w:val="21"/>
          <w:szCs w:val="24"/>
          <w:highlight w:val="none"/>
          <w:lang w:val="en-US" w:eastAsia="zh-CN" w:bidi="ar-SA"/>
        </w:rPr>
        <w:fldChar w:fldCharType="separate"/>
      </w:r>
      <w:r>
        <w:rPr>
          <w:rFonts w:hint="default" w:ascii="Times New Roman" w:hAnsi="Times New Roman" w:eastAsia="黑体" w:cs="Times New Roman"/>
          <w:sz w:val="21"/>
          <w:szCs w:val="24"/>
          <w:highlight w:val="none"/>
          <w:lang w:val="en-US" w:eastAsia="zh-CN" w:bidi="ar-SA"/>
        </w:rPr>
        <w:t>5.5</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w:t>
      </w:r>
      <w:r>
        <w:rPr>
          <w:rFonts w:hint="default" w:ascii="Times New Roman" w:hAnsi="Times New Roman" w:eastAsia="黑体" w:cs="Times New Roman"/>
          <w:sz w:val="21"/>
          <w:szCs w:val="24"/>
          <w:highlight w:val="none"/>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highlight w:val="none"/>
          <w:lang w:val="en-US" w:eastAsia="zh-CN" w:bidi="ar-SA"/>
        </w:rPr>
        <w:fldChar w:fldCharType="separate"/>
      </w:r>
      <w:r>
        <w:rPr>
          <w:rFonts w:ascii="Times New Roman" w:hAnsi="Times New Roman" w:eastAsia="黑体" w:cs="宋体"/>
          <w:sz w:val="21"/>
          <w:szCs w:val="24"/>
          <w:lang w:val="en-US" w:eastAsia="zh-CN" w:bidi="ar-SA"/>
        </w:rPr>
        <w:t>8</w:t>
      </w:r>
      <w:r>
        <w:rPr>
          <w:rFonts w:hint="default" w:ascii="Times New Roman" w:hAnsi="Times New Roman" w:eastAsia="黑体" w:cs="Times New Roman"/>
          <w:sz w:val="21"/>
          <w:szCs w:val="24"/>
          <w:highlight w:val="none"/>
          <w:lang w:val="en-US" w:eastAsia="zh-CN" w:bidi="ar-SA"/>
        </w:rPr>
        <w:fldChar w:fldCharType="end"/>
      </w:r>
      <w:r>
        <w:rPr>
          <w:rFonts w:hint="default" w:ascii="Times New Roman" w:hAnsi="Times New Roman" w:eastAsia="黑体" w:cs="Times New Roman"/>
          <w:sz w:val="21"/>
          <w:szCs w:val="24"/>
          <w:highlight w:val="none"/>
          <w:lang w:val="en-US" w:eastAsia="zh-CN" w:bidi="ar-SA"/>
        </w:rPr>
        <w:t xml:space="preserve"> 运维服务清单明细</w:t>
      </w:r>
    </w:p>
    <w:tbl>
      <w:tblPr>
        <w:tblStyle w:val="5"/>
        <w:tblW w:w="8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83"/>
        <w:gridCol w:w="1247"/>
        <w:gridCol w:w="3980"/>
        <w:gridCol w:w="2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blHeader/>
        </w:trPr>
        <w:tc>
          <w:tcPr>
            <w:tcW w:w="88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服务大类</w:t>
            </w: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具体服务项</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服务内容与频次描述</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1"/>
                <w:szCs w:val="21"/>
                <w:highlight w:val="none"/>
              </w:rPr>
              <w:t>资源分配逻辑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83" w:type="dxa"/>
            <w:vMerge w:val="restart"/>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平台运行监管</w:t>
            </w: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数据接入与上传省或市平台</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（最高优先级）通过远程协助对14个检测点的数据上传状态进行7×24小时监控。每日检查数据流，及时处理数据中断、延迟、异常等问题</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最大投入点，直接保障核心指标，上线率及超限率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83"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治超平台基础维护</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远程监测服务器、存储设备状态，定期协助整理数据碎片，升级操作系统补丁</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保障治超管理平台正常工作，数据才能流转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83"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软件功能优化</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根据省市平台接口规范，动态调整数据上传格式，确保超限数据自动分类</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保障平台软件适配省市对接要求，数据无缝对接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83"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安全防护、系统备份</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协助更新病毒特征库，实施网络入侵监测，定期开展等保测评，确保系统符合三级等保要求；定期清理系统垃圾</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防火墙、入侵防御等基础安全软硬件的策略配置与更新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83" w:type="dxa"/>
            <w:vMerge w:val="restart"/>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主动巡检与预防</w:t>
            </w: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远程诊断与巡检</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定期远程登录设备及平台，进行日志分析、性能诊断与配置核查，主动发现潜在风险</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减少紧急故障发生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83" w:type="dxa"/>
            <w:vMerge w:val="continue"/>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精准现场巡检</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集中现场巡检，覆盖：1.4套非现场执法点的核心设备运行情况；2.抽样巡检4—5家源头企业的数据接入设备情况（出现网络传输问题第一时间反馈使用单位，提供合理建议）</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主要用于技术员差旅及人工投入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883"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应急响应与支持</w:t>
            </w:r>
          </w:p>
        </w:tc>
        <w:tc>
          <w:tcPr>
            <w:tcW w:w="1247"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应急响应与支持</w:t>
            </w:r>
          </w:p>
        </w:tc>
        <w:tc>
          <w:tcPr>
            <w:tcW w:w="3980"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提供远程应急响应。接到故障通知后，2小时内启动远程排查</w:t>
            </w:r>
          </w:p>
        </w:tc>
        <w:tc>
          <w:tcPr>
            <w:tcW w:w="2154" w:type="dxa"/>
            <w:noWrap w:val="0"/>
            <w:tcMar>
              <w:top w:w="40" w:type="dxa"/>
              <w:left w:w="80" w:type="dxa"/>
              <w:bottom w:w="40" w:type="dxa"/>
              <w:right w:w="80" w:type="dxa"/>
            </w:tcMar>
            <w:vAlign w:val="center"/>
          </w:tcPr>
          <w:p>
            <w:pPr>
              <w:spacing w:before="0" w:after="0" w:line="240" w:lineRule="auto"/>
              <w:ind w:left="0" w:leftChars="0" w:right="0" w:rightChars="0" w:firstLine="0" w:firstLineChars="0"/>
              <w:jc w:val="center"/>
              <w:rPr>
                <w:rFonts w:hint="default" w:ascii="Times New Roman" w:hAnsi="Times New Roman" w:eastAsia="宋体" w:cs="Times New Roman"/>
                <w:kern w:val="0"/>
                <w:sz w:val="24"/>
                <w:highlight w:val="none"/>
              </w:rPr>
            </w:pPr>
            <w:r>
              <w:rPr>
                <w:rFonts w:hint="default" w:ascii="Times New Roman" w:hAnsi="Times New Roman" w:eastAsia="宋体" w:cs="Times New Roman"/>
                <w:b w:val="0"/>
                <w:bCs w:val="0"/>
                <w:kern w:val="0"/>
                <w:sz w:val="21"/>
                <w:szCs w:val="21"/>
                <w:highlight w:val="none"/>
              </w:rPr>
              <w:t>7天×24小时应急响应</w:t>
            </w:r>
          </w:p>
        </w:tc>
      </w:tr>
    </w:tbl>
    <w:p>
      <w:pPr>
        <w:spacing w:before="0" w:after="0" w:line="240" w:lineRule="auto"/>
        <w:ind w:firstLine="480" w:firstLineChars="200"/>
        <w:jc w:val="both"/>
        <w:rPr>
          <w:rFonts w:hint="default" w:ascii="Times New Roman" w:hAnsi="Times New Roman" w:eastAsia="宋体" w:cs="Times New Roman"/>
          <w:kern w:val="0"/>
          <w:sz w:val="24"/>
          <w:highlight w:val="none"/>
        </w:rPr>
      </w:pP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临湘市人民政府门户网站</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服务目标</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保障政府门户网站正常运行，负责维护政府门户网站和网站接口程序、网页、网站云服务器、网站程序及数据库的技术维护。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网站维护服务内容</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①网站应用系统日常维护：维护人员对所管理的网站应用系统进行每日巡检，包括对磁盘空间、系统日志、系统资源占用、访问性能等的检查；</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②网站系统日常监控：对网站系统每天的运行进行监控，及时发现系统故障，确保系统可靠稳定运行，并在日常监控的基础上进行安全事件积累、分析；</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③网站内容监控：每日完成对政府网站栏目、内容的巡检，为网站信息发布提供技术咨询和技术支持，解答和解决网站发布系统使用过程中出现的问题；</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④网站内容维护：完成政府网站主站页面、专题专栏及相关栏目内容的维护；互动板块各栏目的维护；网站内容管理系统用户管理等工作；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⑤网站栏目调整：指导网站管理员对网站栏目、图片和样式进行管理，提供阶段性栏目或栏目内容调整、程序修改、信息发布等服务；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⑥专题专栏网站架构规范服务：按照国办、省政府本年度《政务公开工作要点》以及市政府中心专题工作开展的要求进行专栏策划、内容梳理，依据专栏栏目内容保障单位职责，划分栏目内容保障权限，并在市政府门户网站首页醒目位置以图文、动画、轮播等多种形式展示；同时根据专题策划进行美工UI设计，重构网站架构和布局，原型设计以架构扁平化、设计简约为目标进行统一规范设计，自适配手机端；</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⑦考核指导服务：依据国务院、省、市对政府门户网站及政务新媒体考核指标要求，规范站群名称、域名、徽标和宣传语、外链制作；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⑧集中培训和远程培训：针对系统培训对象完成现场或远程系统培训工作，并提供技术支持，对使用、操作、维护门户网站的相关问题提供及时的响应和处理；</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⑨数据统计：在网站系统和内容监控的基础上，对网站访问量等基础数据进行统计，提供统计数据，并根据实际工作需要进行其他数据统计工作；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⑩网站应用系统完善：针对使用过程中提出的网站应用系统改进和完善需求，及时响应小范围应用软件调整的需求，不断完善网站应用系统；</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⑪网站信息系统调整：配合政务公开股室开展网站信息系统建设调整工作，包括实现网站信息的分库存储，备份网站系统和测试系统建设，网站部分历史数据的梳理、补充及其他调整任务；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⑫攻防演习技术支撑：以有效安全防护措施提高网站防篡改、防病毒、防攻击、防瘫痪、防劫持、防泄密能力，对非常时期上级主管部门组织的攻防演习做好24小时值班值守和预测出的风险漏洞整改工作；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⑬门户网站接口维护：针对所有的接口文档进行完善和更新，并定期对外发布，确保各个异构系统都能使用最新的文档进行开发和维护；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⑭网站敏感信息排查并提供修复或脱敏处理。</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3、</w:t>
      </w:r>
      <w:r>
        <w:rPr>
          <w:rFonts w:hint="default" w:ascii="Times New Roman" w:hAnsi="Times New Roman" w:eastAsia="宋体" w:cs="Times New Roman"/>
          <w:kern w:val="0"/>
          <w:sz w:val="24"/>
          <w:highlight w:val="none"/>
        </w:rPr>
        <w:t>服务响应约定：使用单位发现网站不能正常使用时应及时通知运维单位，运维单位应在第一时间检查网站找出原因，并于24小时内恢复网站正常使用；提供网站在线咨询和远程协助服务，针对网站运行中的一般问题30分钟响应；提供网站电话技术支持，电话服务时间为正常工作时间周一至周五8:00至18:00（法定假日除外）。</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4、</w:t>
      </w:r>
      <w:r>
        <w:rPr>
          <w:rFonts w:hint="default" w:ascii="Times New Roman" w:hAnsi="Times New Roman" w:eastAsia="宋体" w:cs="Times New Roman"/>
          <w:kern w:val="0"/>
          <w:sz w:val="24"/>
          <w:highlight w:val="none"/>
        </w:rPr>
        <w:t>维护原则：在不改变网站原页面风格和模版的前提下进行网站维护。如需开发新功能、增加新栏目、增加个性特色专题等，依据具体工作量另行协商实施。</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5、</w:t>
      </w:r>
      <w:r>
        <w:rPr>
          <w:rFonts w:hint="default" w:ascii="Times New Roman" w:hAnsi="Times New Roman" w:eastAsia="宋体" w:cs="Times New Roman"/>
          <w:kern w:val="0"/>
          <w:sz w:val="24"/>
          <w:highlight w:val="none"/>
        </w:rPr>
        <w:t>运维服务方式</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网站应用系统每日巡检、系统日常监控、网站内容监控与维护、栏目调整、专题专栏架构规范、集中培训和远程培训、数据统计、网站应用系统完善、网站信息系统调整、攻防演习技术支撑、门户网站接口维护、敏感信息排查修复或脱敏处理。</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临湘市政府网微信公众号</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1、</w:t>
      </w:r>
      <w:r>
        <w:rPr>
          <w:rFonts w:hint="default" w:ascii="Times New Roman" w:hAnsi="Times New Roman" w:eastAsia="宋体" w:cs="Times New Roman"/>
          <w:kern w:val="0"/>
          <w:sz w:val="24"/>
          <w:highlight w:val="none"/>
        </w:rPr>
        <w:t>服务定位</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政务新媒体技术运维，指政府网微信公众号的前端和后端的技术运维服务，主要包括前端网页设计运维以及相关后端程序及数据库的技术维护。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2、</w:t>
      </w:r>
      <w:r>
        <w:rPr>
          <w:rFonts w:hint="default" w:ascii="Times New Roman" w:hAnsi="Times New Roman" w:eastAsia="宋体" w:cs="Times New Roman"/>
          <w:kern w:val="0"/>
          <w:sz w:val="24"/>
          <w:highlight w:val="none"/>
        </w:rPr>
        <w:t>人员要求</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安排1名在政府网站新媒体运维项目中从事专业工作4年以上、且熟悉机关党群新媒体运维服务业务特点的技术维护人员，提供24小时运维服务，并能协调与宣传、网信、公安等部门的沟通，共同做好信息内容及时保障，推动政务新媒体持续健康发展。</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3、</w:t>
      </w:r>
      <w:r>
        <w:rPr>
          <w:rFonts w:hint="default" w:ascii="Times New Roman" w:hAnsi="Times New Roman" w:eastAsia="宋体" w:cs="Times New Roman"/>
          <w:kern w:val="0"/>
          <w:sz w:val="24"/>
          <w:highlight w:val="none"/>
        </w:rPr>
        <w:t>公众号网页设计运维服务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①前端页面编辑：前端页面UI的装饰，自定义菜单的设置，互动交流关联等；</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②前端排版设计：信息内容的前端设计，包括页面HTML编码以及通过图表图解、音频、视频、动画等形式予以展现；</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③微信公众号推文封面图设计制作；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④微信公众号错别字、敏感字纠错技术处理；</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⑤微信公众号数据分析和报告：定期分析公众号的数据，包括关注者、互动量、用户的喜好行为等，撰写相应的分析报告，根据分析结果调整运营内容，增加用户粘度，增强用户体验。</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4、</w:t>
      </w:r>
      <w:r>
        <w:rPr>
          <w:rFonts w:hint="default" w:ascii="Times New Roman" w:hAnsi="Times New Roman" w:eastAsia="宋体" w:cs="Times New Roman"/>
          <w:kern w:val="0"/>
          <w:sz w:val="24"/>
          <w:highlight w:val="none"/>
        </w:rPr>
        <w:t>后端程序及数据库技术维护</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①根据上级相关文件精神以及网信、公安部门监测报告要求，做好新媒体的栏目策划、解读回应、互动交流、信息转载、问题整改等工作，并就新媒体栏目调整、内容更新、专题专栏制作提出意见和建议，确保政务新媒体符合上级主管部门普查、评估的有关要求；</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②政务新媒体的架构规划服务、内容保障服务、日常监测服务和考核指导服务；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③协助做好政府网微信公众号年度认证工作；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④协助做好政务新媒体与省政府政务新媒体联动、政策转载工作；</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⑤管理设置，包括关键词回复、被关注回复以及开发者账号运维。</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5、</w:t>
      </w:r>
      <w:r>
        <w:rPr>
          <w:rFonts w:hint="default" w:ascii="Times New Roman" w:hAnsi="Times New Roman" w:eastAsia="宋体" w:cs="Times New Roman"/>
          <w:kern w:val="0"/>
          <w:sz w:val="24"/>
          <w:highlight w:val="none"/>
        </w:rPr>
        <w:t>运维服务方式</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前端网页设计运维（前端页面编辑、排版设计、封面图设计、错别字敏感字纠错、数据分析报告）和后端程序及数据库技术维护（栏目策划、架构规划、内容保障、日常监测、考核指导、年度认证、省级联动、关键词回复等）。</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6、</w:t>
      </w:r>
      <w:r>
        <w:rPr>
          <w:rFonts w:hint="default" w:ascii="Times New Roman" w:hAnsi="Times New Roman" w:eastAsia="宋体" w:cs="Times New Roman"/>
          <w:kern w:val="0"/>
          <w:sz w:val="24"/>
          <w:highlight w:val="none"/>
        </w:rPr>
        <w:t>服务响应与质量标准</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安排1名在政府网站新媒体运维项目中从事专业工作4年以上、且熟悉机关党群新媒体运维服务业务特点的技术维护人员，提供24小时运维服务。</w:t>
      </w:r>
    </w:p>
    <w:p>
      <w:pPr>
        <w:bidi w:val="0"/>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lang w:val="en-US" w:eastAsia="zh-CN"/>
        </w:rPr>
        <w:t>7、</w:t>
      </w:r>
      <w:r>
        <w:rPr>
          <w:rFonts w:hint="default" w:ascii="Times New Roman" w:hAnsi="Times New Roman" w:eastAsia="宋体" w:cs="Times New Roman"/>
          <w:kern w:val="0"/>
          <w:sz w:val="24"/>
          <w:highlight w:val="none"/>
        </w:rPr>
        <w:t>运维服务要求</w:t>
      </w:r>
    </w:p>
    <w:p>
      <w:pPr>
        <w:bidi w:val="0"/>
        <w:spacing w:line="360" w:lineRule="auto"/>
        <w:ind w:firstLine="480" w:firstLineChars="200"/>
        <w:jc w:val="both"/>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kern w:val="0"/>
          <w:sz w:val="24"/>
          <w:highlight w:val="none"/>
        </w:rPr>
        <w:t>能协调与宣传、网信、公安等部门的沟通，共同做好信息内容及时保障，推动政务新媒体持续健康发展；协助做好年度认证工作；协助做好政务新媒体与省政府政务新媒体联动、政策转载工作</w:t>
      </w:r>
      <w:r>
        <w:rPr>
          <w:rFonts w:hint="default" w:ascii="Times New Roman" w:hAnsi="Times New Roman" w:eastAsia="宋体" w:cs="Times New Roman"/>
          <w:kern w:val="0"/>
          <w:sz w:val="24"/>
          <w:highlight w:val="none"/>
          <w:lang w:eastAsia="zh-CN"/>
        </w:rPr>
        <w:t>。</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56" w:name="_Toc29615"/>
      <w:r>
        <w:rPr>
          <w:rFonts w:hint="eastAsia" w:ascii="Times New Roman" w:hAnsi="Times New Roman" w:eastAsia="黑体" w:cs="Times New Roman"/>
          <w:bCs/>
          <w:kern w:val="2"/>
          <w:sz w:val="28"/>
          <w:szCs w:val="32"/>
          <w:lang w:val="en-US" w:eastAsia="zh-CN" w:bidi="ar-SA"/>
        </w:rPr>
        <w:t>网络线路租赁与运维管理</w:t>
      </w:r>
      <w:r>
        <w:rPr>
          <w:rFonts w:hint="default" w:ascii="Times New Roman" w:hAnsi="Times New Roman" w:eastAsia="黑体" w:cs="Times New Roman"/>
          <w:bCs/>
          <w:kern w:val="2"/>
          <w:sz w:val="28"/>
          <w:szCs w:val="32"/>
          <w:lang w:val="en-US" w:eastAsia="zh-CN" w:bidi="ar-SA"/>
        </w:rPr>
        <w:t>服务方案</w:t>
      </w:r>
      <w:bookmarkEnd w:id="56"/>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网络线路租赁服务方案</w:t>
      </w:r>
    </w:p>
    <w:p>
      <w:pPr>
        <w:spacing w:line="360" w:lineRule="auto"/>
        <w:ind w:firstLine="480" w:firstLineChars="200"/>
        <w:jc w:val="both"/>
        <w:rPr>
          <w:rFonts w:hint="default" w:ascii="Times New Roman" w:hAnsi="Times New Roman" w:eastAsia="仿宋" w:cs="Times New Roman"/>
          <w:kern w:val="0"/>
          <w:sz w:val="24"/>
          <w:highlight w:val="none"/>
          <w:lang w:eastAsia="zh-CN"/>
        </w:rPr>
      </w:pPr>
      <w:r>
        <w:rPr>
          <w:rFonts w:hint="default" w:ascii="Times New Roman" w:hAnsi="Times New Roman" w:eastAsia="宋体" w:cs="Times New Roman"/>
          <w:kern w:val="0"/>
          <w:sz w:val="24"/>
          <w:szCs w:val="24"/>
        </w:rPr>
        <w:t xml:space="preserve">本项目租赁各类政务网络链路共计 </w:t>
      </w:r>
      <w:r>
        <w:rPr>
          <w:rFonts w:hint="default" w:ascii="Times New Roman" w:hAnsi="Times New Roman" w:eastAsia="宋体" w:cs="Times New Roman"/>
          <w:kern w:val="0"/>
          <w:sz w:val="24"/>
          <w:szCs w:val="24"/>
          <w:lang w:eastAsia="zh-CN"/>
        </w:rPr>
        <w:t>317</w:t>
      </w:r>
      <w:r>
        <w:rPr>
          <w:rFonts w:hint="default" w:ascii="Times New Roman" w:hAnsi="Times New Roman" w:eastAsia="宋体" w:cs="Times New Roman"/>
          <w:kern w:val="0"/>
          <w:sz w:val="24"/>
          <w:szCs w:val="24"/>
          <w:lang w:val="en-US" w:eastAsia="zh-CN"/>
        </w:rPr>
        <w:t>2</w:t>
      </w:r>
      <w:r>
        <w:rPr>
          <w:rFonts w:hint="default" w:ascii="Times New Roman" w:hAnsi="Times New Roman" w:eastAsia="宋体" w:cs="Times New Roman"/>
          <w:kern w:val="0"/>
          <w:sz w:val="24"/>
          <w:szCs w:val="24"/>
        </w:rPr>
        <w:t>条，</w:t>
      </w:r>
      <w:r>
        <w:rPr>
          <w:rFonts w:hint="default" w:ascii="Times New Roman" w:hAnsi="Times New Roman" w:eastAsia="宋体" w:cs="Times New Roman"/>
          <w:kern w:val="0"/>
          <w:sz w:val="24"/>
          <w:lang w:val="en-US" w:eastAsia="zh-CN"/>
        </w:rPr>
        <w:t>主要包含</w:t>
      </w:r>
      <w:r>
        <w:rPr>
          <w:rFonts w:hint="default" w:ascii="Times New Roman" w:hAnsi="Times New Roman" w:eastAsia="宋体" w:cs="Times New Roman"/>
          <w:kern w:val="0"/>
          <w:sz w:val="24"/>
        </w:rPr>
        <w:t>电子政务外网应用数据专线、本地数据专线、教育云专网、云视讯专网、校园一键报警专网、前端感知设备数据专线、国家省市数据专线、互联网出口、物联网卡及裸纤等类型，覆盖市直各单位、乡镇（街道）及村（社区）。服务商负责线路开通调测、日常运行维护、故障修复、新增迁移开通及重大活动网络保障；网络线路可用率不低于99.90%，平均故障修复时间城区不超过3小时、乡镇不超过6小时，线路开通调整平均不超过48小时，满足全市政务网络稳定运行和各单位业务连续性需要</w:t>
      </w:r>
      <w:r>
        <w:rPr>
          <w:rFonts w:hint="default" w:ascii="Times New Roman" w:hAnsi="Times New Roman" w:eastAsia="宋体" w:cs="Times New Roman"/>
          <w:kern w:val="0"/>
          <w:sz w:val="24"/>
          <w:lang w:eastAsia="zh-CN"/>
        </w:rPr>
        <w:t>。</w:t>
      </w: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具体服务内容如下：</w:t>
      </w:r>
    </w:p>
    <w:p>
      <w:pPr>
        <w:widowControl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5.5</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9</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网络线路租赁表</w:t>
      </w:r>
    </w:p>
    <w:p>
      <w:pPr>
        <w:spacing w:line="360" w:lineRule="auto"/>
        <w:ind w:firstLine="480" w:firstLineChars="200"/>
        <w:jc w:val="both"/>
        <w:rPr>
          <w:rFonts w:hint="default" w:ascii="Times New Roman" w:hAnsi="Times New Roman" w:eastAsia="宋体" w:cs="Times New Roman"/>
          <w:kern w:val="0"/>
          <w:sz w:val="24"/>
          <w:lang w:val="en-US" w:eastAsia="zh-CN"/>
        </w:rPr>
      </w:pPr>
    </w:p>
    <w:p>
      <w:pPr>
        <w:jc w:val="both"/>
        <w:rPr>
          <w:rFonts w:hint="default" w:ascii="Times New Roman" w:hAnsi="Times New Roman" w:cs="Times New Roman"/>
          <w:lang w:val="en-US" w:eastAsia="zh-CN"/>
        </w:rPr>
        <w:sectPr>
          <w:headerReference r:id="rId9" w:type="default"/>
          <w:pgSz w:w="11906" w:h="16838"/>
          <w:pgMar w:top="1418" w:right="1701" w:bottom="1418" w:left="1644" w:header="794" w:footer="397" w:gutter="284"/>
          <w:pgNumType w:fmt="decimal"/>
          <w:cols w:space="720" w:num="1"/>
          <w:docGrid w:linePitch="326" w:charSpace="0"/>
        </w:sectPr>
      </w:pPr>
    </w:p>
    <w:tbl>
      <w:tblPr>
        <w:tblStyle w:val="5"/>
        <w:tblW w:w="139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8"/>
        <w:gridCol w:w="1896"/>
        <w:gridCol w:w="2736"/>
        <w:gridCol w:w="2736"/>
        <w:gridCol w:w="1166"/>
        <w:gridCol w:w="1637"/>
        <w:gridCol w:w="956"/>
        <w:gridCol w:w="741"/>
        <w:gridCol w:w="640"/>
        <w:gridCol w:w="8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63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使用单位</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链路名称</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线路使用地址</w:t>
            </w:r>
          </w:p>
        </w:tc>
        <w:tc>
          <w:tcPr>
            <w:tcW w:w="116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城区/乡镇</w:t>
            </w:r>
          </w:p>
        </w:tc>
        <w:tc>
          <w:tcPr>
            <w:tcW w:w="163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链路类型</w:t>
            </w:r>
          </w:p>
        </w:tc>
        <w:tc>
          <w:tcPr>
            <w:tcW w:w="95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带宽</w:t>
            </w:r>
          </w:p>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（bps）</w:t>
            </w:r>
          </w:p>
        </w:tc>
        <w:tc>
          <w:tcPr>
            <w:tcW w:w="74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6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租赁期</w:t>
            </w:r>
          </w:p>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63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rPr>
                <w:rFonts w:hint="eastAsia" w:ascii="宋体" w:hAnsi="宋体" w:eastAsia="宋体" w:cs="宋体"/>
                <w:b/>
                <w:bCs/>
                <w:i w:val="0"/>
                <w:iCs w:val="0"/>
                <w:color w:val="000000"/>
                <w:kern w:val="0"/>
                <w:sz w:val="21"/>
                <w:szCs w:val="21"/>
                <w:u w:val="none"/>
              </w:rPr>
            </w:pP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116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163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95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74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64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13146" w:type="dxa"/>
            <w:gridSpan w:val="9"/>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（一）临湘市数字化平台网络链路统一运维服务项目</w:t>
            </w:r>
          </w:p>
        </w:tc>
        <w:tc>
          <w:tcPr>
            <w:tcW w:w="850" w:type="dxa"/>
            <w:tcBorders>
              <w:top w:val="single" w:color="000000" w:sz="4" w:space="0"/>
              <w:left w:val="nil"/>
              <w:bottom w:val="single" w:color="000000" w:sz="4" w:space="0"/>
              <w:right w:val="nil"/>
            </w:tcBorders>
            <w:noWrap/>
            <w:vAlign w:val="center"/>
          </w:tcPr>
          <w:p>
            <w:pPr>
              <w:spacing w:line="360" w:lineRule="auto"/>
              <w:ind w:left="0" w:leftChars="0" w:right="0" w:rightChars="0" w:firstLine="0" w:firstLineChars="0"/>
              <w:rPr>
                <w:rFonts w:hint="eastAsia" w:ascii="宋体" w:hAnsi="宋体" w:eastAsia="宋体" w:cs="宋体"/>
                <w:b/>
                <w:bCs/>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电子政务外网光纤租用及网络维护（市直单位）</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市直单位及城区二级机构</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nil"/>
              <w:left w:val="nil"/>
              <w:bottom w:val="nil"/>
              <w:right w:val="nil"/>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电子政务外网应用数据专线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电子政务外网光纤互联网出口2G(主用1)</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数据中心机房</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互联网出口带宽</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2G</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电子政务外网光纤互联网出口2G(主用2)</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数据中心机房</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互联网出口带宽</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2G</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电子政务外网光纤互联网出口1G(备用)</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数据中心机房</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互联网出口带宽</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1G</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DC机房数据上传岳阳政务云（100M）</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数据局</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临湘市水利局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到省厅水利专线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水利局办公楼</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临湘市应急局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山塘水库</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临湘所有水库监控</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到省厅应急专线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应急局办公楼</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临湘市教体局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教育局中考阅卷专线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一中教学楼</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临湘市教体局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教育云专网</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各学校办公教育云专网</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教育云专网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1835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临湘市教体局</w:t>
            </w: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一键报警运维服务项目</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一键报警平台使用，联通机房到教体局到岳阳云服务平台</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校园一键报警专网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临湘市教体局</w:t>
            </w: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一键报警平台使用，联通机房到学校一键报警设备</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校园一键报警专网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临湘市人社局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人社全省视频会议专线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人社局办公楼</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临湘市人社局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社保专线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人社局办公楼</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临湘市统计局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民调专线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统计局办公楼6楼</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临湘市财政局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财政专线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财政局办公楼</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临湘市农业农村局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渔政执法监控</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各个渔政点</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临湘市城管局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城区易涝点监控视频6条</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各易涝点</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儒溪工业园视频专线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儒溪管委会（高新区）</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单位专网裸纤</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上云系统至单位专线（农业、水利）</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数据裸纤</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统一运维中心至电信机房</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裸纤</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数据局视频裸纤</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数据局至视频融合平台</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矿山摄像头收编</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桃矿</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矿山摄像头收编</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海螺、凡泰、富安、正鑫、强盛、湘岳、渔源</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89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临湘市数据局</w:t>
            </w: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电子政务外网光纤租用及维护（镇村）</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各镇街道</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162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云视讯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市直单位、镇街道、村社区</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云视讯本地化应用专网硬终端</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软终端</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云视讯本地化应用专网账号</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338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89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临湘市城管局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城管街面监控专线</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城管路面视频监控</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焚烧烟雾专线</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烟雾报警</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燃气平台专线</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燃气项目</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物联网100M互联网出口</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数据中心机房</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互联网出口</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横铺治超非现场执法专线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横铺与桃林公路交叉点</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临湘市白石园林场</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临湘市白石园林场</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临湘市药菇山林场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临湘市药菇山林场</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临湘市荆竹山林场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临湘市荆竹山林场</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临湘市五尖山林场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临湘市五尖山林场</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临湘市羊楼司镇林业站</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临湘市桃林林业站</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临湘市聂市镇林业站</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临湘市林业局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临湘市黄盖湖实地保护站</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临湘市财政局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财政专线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人大对接财政局</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财政专线</w:t>
            </w:r>
          </w:p>
        </w:tc>
        <w:tc>
          <w:tcPr>
            <w:tcW w:w="273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各财政预算单位</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151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临湘市农业局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畜牧水产监控点位线路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桃林、聂市、杨田</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临湘市市监局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对接岳阳市局专线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临湘至岳阳市局</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临湘市水利局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视频监控线路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各镇街道水管站</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前端感知设备数据专线网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临湘市文旅广电局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各网络会所文化监控接入</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市文化市场综合执法大队</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互联网出口</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临湘市总工会</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云视讯专线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对接省工会</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18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临湘市数据局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电子政务外网光纤租用及维护（镇村）</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各站所</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临湘移动机房至数据局机房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临湘移动机房至数据局机房</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裸纤</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云视讯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党校硬终端</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18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云视讯</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水利局硬终端</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临湘市水利局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各乡村水库监控</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物联网卡</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物联网卡</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18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临湘市数据局</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临湘联通机房至数据局机房</w:t>
            </w:r>
          </w:p>
        </w:tc>
        <w:tc>
          <w:tcPr>
            <w:tcW w:w="27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临湘移动机房至数据局机房</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裸纤</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临湘高新区</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网络专线（智赋万企、专线、电路）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管委会中控平台使用，高新区到联通机房到中控平台</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189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临湘市卫健局</w:t>
            </w:r>
          </w:p>
        </w:tc>
        <w:tc>
          <w:tcPr>
            <w:tcW w:w="273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网络专线和医保电路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人民医院</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横铺卫生院、聂市卫生院</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子叶大药房</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智赋万企</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18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i w:val="0"/>
                <w:iCs w:val="0"/>
                <w:color w:val="000000"/>
                <w:kern w:val="0"/>
                <w:sz w:val="21"/>
                <w:szCs w:val="21"/>
                <w:u w:val="none"/>
              </w:rPr>
            </w:pP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老百姓大药房</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临湘市市监局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网络专线</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用于市监局桃林所智慧监管平台使用，联通机房到市监局到桃林市监局管理所</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临湘市应急局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网络专线</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云服务平台支撑使用，联通机房到应急局到云服务平台</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临湘市水利局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应用于气象局与水利局针对汛情期间水位监测，联通机房到气象局到水利局</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20M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67</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临湘市纪委</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会议系统使用，联通机房到市纪委到云会议系统</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国家、省、岳阳数据专线网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100M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68</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临湘市高强混凝土有限公司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中储恒科物联网系统有限公司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中储恒科物联网系统有限公司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中储恒科物联网系统有限公司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临鸭码头</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临湘市凡泰矿业有限公司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74</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临湘海螺水泥有限责任公司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临湘市智航铭德机动车检测有限公司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临湘市智航铭德机动车检测有限公司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77</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岳阳三诚计量器材有限公司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1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临湘市交通局</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交通治超电路</w:t>
            </w:r>
          </w:p>
        </w:tc>
        <w:tc>
          <w:tcPr>
            <w:tcW w:w="27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岳阳华强混凝土有限公司</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城区/乡镇</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本地数据专线网</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50M</w:t>
            </w:r>
          </w:p>
        </w:tc>
        <w:tc>
          <w:tcPr>
            <w:tcW w:w="7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条/年</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12506"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合计2</w:t>
            </w:r>
          </w:p>
        </w:tc>
        <w:tc>
          <w:tcPr>
            <w:tcW w:w="6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1"/>
                <w:szCs w:val="21"/>
                <w:u w:val="none"/>
              </w:rPr>
            </w:pPr>
            <w:r>
              <w:rPr>
                <w:rFonts w:hint="eastAsia" w:ascii="宋体" w:hAnsi="宋体" w:eastAsia="宋体" w:cs="宋体"/>
                <w:b/>
                <w:bCs/>
                <w:i w:val="0"/>
                <w:iCs w:val="0"/>
                <w:color w:val="000000"/>
                <w:kern w:val="0"/>
                <w:sz w:val="21"/>
                <w:szCs w:val="21"/>
                <w:u w:val="none"/>
                <w:lang w:val="en-US" w:eastAsia="zh-CN" w:bidi="ar"/>
              </w:rPr>
              <w:t>3172</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1"/>
                <w:szCs w:val="21"/>
                <w:u w:val="none"/>
              </w:rPr>
            </w:pPr>
          </w:p>
        </w:tc>
      </w:tr>
    </w:tbl>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p>
    <w:p>
      <w:pPr>
        <w:bidi w:val="0"/>
        <w:rPr>
          <w:rFonts w:hint="default" w:ascii="Times New Roman" w:hAnsi="Times New Roman" w:cs="Times New Roman"/>
          <w:lang w:val="en-US" w:eastAsia="zh-CN"/>
        </w:rPr>
        <w:sectPr>
          <w:pgSz w:w="16838" w:h="11906" w:orient="landscape"/>
          <w:pgMar w:top="1644" w:right="1418" w:bottom="1701" w:left="1418" w:header="964" w:footer="397" w:gutter="284"/>
          <w:pgNumType w:fmt="decimal"/>
          <w:cols w:space="720" w:num="1"/>
          <w:docGrid w:linePitch="326" w:charSpace="0"/>
        </w:sectPr>
      </w:pP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具体服务要求如下：</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1、管理制度文档：制定管理办法，管理办法包括但不限于机房值班制度、进出登记制度、系统设备定期检修制度、岗位责任制、设备管理制度、技术资料管理制度、运维流程、文档管理、备份恢复策略等，并装订成册。</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2、网络线路可靠性：网络线路正常运行的时间占总时间的比例不低于99.90%。</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3、网络安全性：采集、分析、存储所有网络流量，回溯分析数据包特征、异常网络行为，以多维数据分析和深度挖掘为手段，实现数据包层面的流量追踪，发现潜伏于网络中的未知攻击。</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4、线路开通、调整平均时间：协助完成各单位新增、迁移和开通线路的平均时间不超过48小时。</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5、平均故障修复时间：从通知网络线路发生故障，到故障被成功修复并恢复到正常运行状态所需的平均时间不超过3（城区）/6（乡镇）小时。（长安街道、五里街道、云湖街道三个街道为临湘城区；其余均为乡镇范畴）。</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6、现场响应时间：技术人员到达现场，对网络进行维护的响应时间不超过2小时。</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7、电话响应时间：需技术人员电话远程指导进行网络维护的响应时间不超过30分钟。</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8、使用满意度：每家使用单位对运营商服务做出的满意评价比例不低于80%。</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9、重大活动网络保障服务：在重大活动和特殊时期时，应根据相关部门的要求，24小时安排工作人员值守、抢修。</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eastAsia" w:ascii="Times New Roman" w:hAnsi="Times New Roman" w:eastAsia="黑体" w:cs="Times New Roman"/>
          <w:bCs/>
          <w:sz w:val="24"/>
          <w:szCs w:val="28"/>
          <w:lang w:val="en-US" w:eastAsia="zh-CN" w:bidi="ar-SA"/>
        </w:rPr>
        <w:t>网络运维管理</w:t>
      </w:r>
      <w:r>
        <w:rPr>
          <w:rFonts w:hint="default" w:ascii="Times New Roman" w:hAnsi="Times New Roman" w:eastAsia="黑体" w:cs="Times New Roman"/>
          <w:bCs/>
          <w:sz w:val="24"/>
          <w:szCs w:val="28"/>
          <w:lang w:val="en-US" w:eastAsia="zh-CN" w:bidi="ar-SA"/>
        </w:rPr>
        <w:t>服务方案</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本项目采购</w:t>
      </w:r>
      <w:r>
        <w:rPr>
          <w:rFonts w:hint="eastAsia" w:ascii="Times New Roman" w:hAnsi="Times New Roman" w:eastAsia="宋体" w:cs="Times New Roman"/>
          <w:kern w:val="0"/>
          <w:sz w:val="24"/>
          <w:lang w:val="en-US" w:eastAsia="zh-CN"/>
        </w:rPr>
        <w:t>网络运维管理</w:t>
      </w:r>
      <w:r>
        <w:rPr>
          <w:rFonts w:hint="default" w:ascii="Times New Roman" w:hAnsi="Times New Roman" w:eastAsia="宋体" w:cs="Times New Roman"/>
          <w:kern w:val="0"/>
          <w:sz w:val="24"/>
          <w:lang w:val="en-US" w:eastAsia="zh-CN"/>
        </w:rPr>
        <w:t>服务，将纳入全市统一运维的网络链路进行统一平台、统一流程、统一监管，实现链路资源统一纳管、故障处置全流程闭环、多部门协同调度和运维态势可视化，支撑各使用单位、基础电信运营商、系统集成商、维保单位统一协同开展链路运维业务，全面提升政务通信链路运维管理水平和故障处置效率，保障政务通信链路稳定运行。</w:t>
      </w:r>
    </w:p>
    <w:p>
      <w:pPr>
        <w:keepNext/>
        <w:keepLines/>
        <w:widowControl w:val="0"/>
        <w:numPr>
          <w:ilvl w:val="4"/>
          <w:numId w:val="1"/>
        </w:numPr>
        <w:bidi w:val="0"/>
        <w:spacing w:line="360" w:lineRule="auto"/>
        <w:ind w:left="0" w:firstLine="0" w:firstLineChars="0"/>
        <w:jc w:val="both"/>
        <w:outlineLvl w:val="4"/>
        <w:rPr>
          <w:rFonts w:hint="default" w:ascii="Times New Roman" w:hAnsi="Times New Roman" w:eastAsia="黑体" w:cs="Times New Roman"/>
          <w:bCs/>
          <w:kern w:val="2"/>
          <w:sz w:val="24"/>
          <w:szCs w:val="28"/>
          <w:lang w:val="en-US" w:eastAsia="zh-CN" w:bidi="ar-SA"/>
        </w:rPr>
      </w:pPr>
      <w:r>
        <w:rPr>
          <w:rFonts w:hint="default" w:ascii="Times New Roman" w:hAnsi="Times New Roman" w:eastAsia="黑体" w:cs="Times New Roman"/>
          <w:bCs/>
          <w:kern w:val="2"/>
          <w:sz w:val="24"/>
          <w:szCs w:val="28"/>
          <w:lang w:val="en-US" w:eastAsia="zh-CN" w:bidi="ar-SA"/>
        </w:rPr>
        <w:t>服务内容</w:t>
      </w:r>
    </w:p>
    <w:p>
      <w:pPr>
        <w:spacing w:line="360" w:lineRule="auto"/>
        <w:ind w:firstLine="480" w:firstLineChars="200"/>
        <w:rPr>
          <w:rFonts w:hint="default" w:ascii="Times New Roman" w:hAnsi="Times New Roman" w:eastAsia="宋体" w:cs="宋体"/>
          <w:kern w:val="0"/>
          <w:sz w:val="24"/>
          <w:lang w:val="en-US" w:eastAsia="zh-CN"/>
        </w:rPr>
      </w:pPr>
      <w:r>
        <w:rPr>
          <w:rFonts w:hint="eastAsia" w:ascii="Times New Roman" w:hAnsi="Times New Roman" w:eastAsia="宋体" w:cs="Times New Roman"/>
          <w:kern w:val="0"/>
          <w:sz w:val="24"/>
          <w:lang w:val="en-US" w:eastAsia="zh-CN"/>
        </w:rPr>
        <w:t>一、管理软件授权服务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1、平台底座服务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平台底座为各项业务功能运行提供公共基础支撑，主要内容包括：</w:t>
      </w:r>
    </w:p>
    <w:p>
      <w:pPr>
        <w:numPr>
          <w:ilvl w:val="0"/>
          <w:numId w:val="23"/>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组织机构与用户管理。支持市直使用单位及基础电信运营商、集成商、维保单位等外部协作单位实际组织关系建立多级组织架构；对接统一身份认证系统，实现用户集中管理与单点登录，避免多套账号并存；支持人员岗位变动对应的账号开通、变更、注销全生命周期管理。</w:t>
      </w:r>
    </w:p>
    <w:p>
      <w:pPr>
        <w:numPr>
          <w:ilvl w:val="0"/>
          <w:numId w:val="23"/>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权限与日志审计。提供基于角色的细粒度权限管控，可按功能菜单、数据范围、操作类型进行差异化配置，确保各岗位人员按权履职；对故障受理、派单、转派、归档等关键操作全程记录日志，满足事后追溯与责任认定要求。</w:t>
      </w:r>
    </w:p>
    <w:p>
      <w:pPr>
        <w:numPr>
          <w:ilvl w:val="0"/>
          <w:numId w:val="23"/>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流程与SLA配置管理。提供可视化流程配置功能，支持工单流转规则、故障分级标准、SLA时限及升级条件自定义配置，适配现行运维管理制度；流程配置变更实行版本管理，可追溯、可回退。</w:t>
      </w:r>
    </w:p>
    <w:p>
      <w:pPr>
        <w:numPr>
          <w:ilvl w:val="0"/>
          <w:numId w:val="23"/>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接口与移动访问服务。提供标准接口网关，作为平台与外部系统数据交互的统一出入口；提供H5移动端访问能力，支撑现场运维人员通过移动终端完成工单接收、处置反馈、信息查询等操作，满足移动办公需要。</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2、故障全流程闭环管理服务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本服务实现故障从受理到归档的全生命周期管理，具体功能包括：</w:t>
      </w:r>
    </w:p>
    <w:p>
      <w:pPr>
        <w:numPr>
          <w:ilvl w:val="0"/>
          <w:numId w:val="24"/>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多渠道故障受理。支持人工录入、监控系统自动推送、邮件转办等多渠道受理方式，故障信息统一汇聚至工单池，避免漏登记、重复登记。</w:t>
      </w:r>
    </w:p>
    <w:p>
      <w:pPr>
        <w:numPr>
          <w:ilvl w:val="0"/>
          <w:numId w:val="24"/>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故障分级分类。依据链路承载业务重要程度、影响范围等要素对故障进行分级，并匹配相应的处置优先级与响应时限要求，实现分级施策。</w:t>
      </w:r>
    </w:p>
    <w:p>
      <w:pPr>
        <w:numPr>
          <w:ilvl w:val="0"/>
          <w:numId w:val="24"/>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智能派单。通过规则引擎按责任归属、技能匹配、当前负载等条件自动派发工单，减少人工分派环节耗时；派单规则支持按管理要求灵活调整。</w:t>
      </w:r>
    </w:p>
    <w:p>
      <w:pPr>
        <w:numPr>
          <w:ilvl w:val="0"/>
          <w:numId w:val="24"/>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转派协办与主子工单。支持工单跨单位转派、多单位协办；对涉及多条链路或多个专业的重大故障，支持拆分主子工单，实现任务分解、并行处置和统一归口。</w:t>
      </w:r>
    </w:p>
    <w:p>
      <w:pPr>
        <w:numPr>
          <w:ilvl w:val="0"/>
          <w:numId w:val="24"/>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SLA三级升级督办。按预警提醒、超时催办、逐级上报三级机制实施督办，督办信息同步推送相关责任人及管理层，保障故障处置时效。</w:t>
      </w:r>
    </w:p>
    <w:p>
      <w:pPr>
        <w:numPr>
          <w:ilvl w:val="0"/>
          <w:numId w:val="24"/>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闭环核验与归档。故障恢复后，系统自动比对链路性能指标恢复情况，辅以人工确认双重核验，确保故障真实闭环；核验通过后工单自动归档，形成完整处置记录，供统计分析与复盘使用。</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3、跨部门协同调度管理服务</w:t>
      </w:r>
    </w:p>
    <w:p>
      <w:pPr>
        <w:numPr>
          <w:ilvl w:val="0"/>
          <w:numId w:val="25"/>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主办协办管理。对涉及多单位的运维任务明确主办单位、协办单位及责任人，权责落实到岗到人。</w:t>
      </w:r>
    </w:p>
    <w:p>
      <w:pPr>
        <w:numPr>
          <w:ilvl w:val="0"/>
          <w:numId w:val="25"/>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工单交接留痕。工单跨单位、跨岗位交接全过程记录，交接时间、交接人、交接意见可查可溯，避免责任悬空。</w:t>
      </w:r>
    </w:p>
    <w:p>
      <w:pPr>
        <w:numPr>
          <w:ilvl w:val="0"/>
          <w:numId w:val="25"/>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责任争议仲裁。提供线上争议提报与仲裁流程，对故障责任归属存在分歧的，由管理方在线裁定，保障处置流程不因争议停滞。</w:t>
      </w:r>
    </w:p>
    <w:p>
      <w:pPr>
        <w:numPr>
          <w:ilvl w:val="0"/>
          <w:numId w:val="25"/>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重大故障线上会商。支持多单位人员在线会商，会商意见、处置决策及责任分工全程记录。</w:t>
      </w:r>
    </w:p>
    <w:p>
      <w:pPr>
        <w:numPr>
          <w:ilvl w:val="0"/>
          <w:numId w:val="25"/>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运维作业流程管理。提供割接、变更、巡检等日常运维作业的标准化流程管理，实现作业计划申报、审批、执行、确认全过程管控。</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4、链路资源数字化台账管理服务</w:t>
      </w:r>
    </w:p>
    <w:p>
      <w:pPr>
        <w:numPr>
          <w:ilvl w:val="0"/>
          <w:numId w:val="26"/>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台账管理。对全市纳入统一运维的通信链路建立统一数字化台账，台账要素在现有申报口径（序号、使用单位、链路名称、线路使用地址、城区/乡镇、链路类型、带宽、数量）基础上，补充产权归属、运营商归属、起止地点、开通时间、运维联系人等信息，形成全要素台账，支持批量导入导出。教育云专网、云视讯软终端账号、物联网卡等非带宽类接入对象，按类型单独建立分类台账，与带宽专线分口径管理。</w:t>
      </w:r>
    </w:p>
    <w:p>
      <w:pPr>
        <w:numPr>
          <w:ilvl w:val="0"/>
          <w:numId w:val="26"/>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拓扑展示。基于台账数据生成链路拓扑视图，直观呈现统一运维中心、运营商机房、数据中心机房与各使用单位之间的链路连接关系及归属情况；故障发生时自动高亮受影响链路，辅助快速定位。</w:t>
      </w:r>
    </w:p>
    <w:p>
      <w:pPr>
        <w:numPr>
          <w:ilvl w:val="0"/>
          <w:numId w:val="26"/>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备用链路管理。对电子政务外网互联网出口主备链路（2G主用×2、1G备用）等备用资源单独登记管理，记录主备对应关系，故障处置时可快速查询调用，支撑业务及时恢复。</w:t>
      </w:r>
    </w:p>
    <w:p>
      <w:pPr>
        <w:numPr>
          <w:ilvl w:val="0"/>
          <w:numId w:val="26"/>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生命周期管理。覆盖链路新开、变更、退运全过程管理，变更信息实时更新，保障台账与实物资产一致。</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5、监控告警联动处置服务</w:t>
      </w:r>
    </w:p>
    <w:p>
      <w:pPr>
        <w:numPr>
          <w:ilvl w:val="0"/>
          <w:numId w:val="27"/>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指标采集。对纳管链路的通断状态、时延、丢包率等关键性能指标进行持续采集监测，覆盖20M至1000M各带宽等级专线及互联网出口链路；物联网卡、云视讯软终端账号等无带宽指标的接入对象，按在线状态开展监测。</w:t>
      </w:r>
    </w:p>
    <w:p>
      <w:pPr>
        <w:numPr>
          <w:ilvl w:val="0"/>
          <w:numId w:val="27"/>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告警降噪。对告警风暴进行抑制、去重与关联聚合，压缩无效告警数量，突出真实风险信息；对同一基础故障引发的多链路告警（如机房级、光缆级故障）进行关联归并。</w:t>
      </w:r>
    </w:p>
    <w:p>
      <w:pPr>
        <w:numPr>
          <w:ilvl w:val="0"/>
          <w:numId w:val="27"/>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告警转工单。按预设规则将关键告警自动生成工单并派发至责任单位，缩短告警发现至处置响应的链条。</w:t>
      </w:r>
    </w:p>
    <w:p>
      <w:pPr>
        <w:numPr>
          <w:ilvl w:val="0"/>
          <w:numId w:val="27"/>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告警总览。提供统一的告警总览页面，集中展示当前告警级别、数量及处置进展。</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6、运维统计报表与管理驾驶舱服务</w:t>
      </w:r>
    </w:p>
    <w:p>
      <w:pPr>
        <w:numPr>
          <w:ilvl w:val="0"/>
          <w:numId w:val="28"/>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指标统计。建立平均修复时长（MTTR）、SLA达成率、故障数量分布、工单超时率等核心运维指标统计体系。</w:t>
      </w:r>
    </w:p>
    <w:p>
      <w:pPr>
        <w:numPr>
          <w:ilvl w:val="0"/>
          <w:numId w:val="28"/>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自动报表。按日、周、月自动生成运维统计报表，支持订阅推送与导出，减少人工汇总工作量。</w:t>
      </w:r>
    </w:p>
    <w:p>
      <w:pPr>
        <w:numPr>
          <w:ilvl w:val="0"/>
          <w:numId w:val="28"/>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管理驾驶舱。提供多维度查询分析视图，支持按单位、链路、时间等维度开展故障分布、处置效率分析，识别频发故障环节与处置短板，为运维管理决策提供数据支撑。</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7、大屏可视化展示服务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提供运维综合大屏软件视图能力，集中展示链路运行总览、实时工单状态、超时告警、故障热力图、SLA达成情况等运维态势信息，兼顾管理层总览与值班监控等不同使用视角，按需切换展示内容。本项服务为软件视图能力，不含大屏显示硬件设备，大屏硬件由业主单位另行配置。</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二、云资源租赁服务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提供</w:t>
      </w:r>
      <w:r>
        <w:rPr>
          <w:rFonts w:hint="default" w:ascii="Times New Roman" w:hAnsi="Times New Roman" w:eastAsia="宋体" w:cs="Times New Roman"/>
          <w:kern w:val="0"/>
          <w:sz w:val="24"/>
          <w:lang w:val="en-US" w:eastAsia="zh-CN"/>
        </w:rPr>
        <w:t>政务云计算虚拟机、数据库实例、块存储、对象存储、出口带宽资源，支撑整套网络运维管理运行</w:t>
      </w:r>
      <w:r>
        <w:rPr>
          <w:rFonts w:hint="eastAsia" w:ascii="Times New Roman" w:hAnsi="Times New Roman" w:eastAsia="宋体" w:cs="Times New Roman"/>
          <w:kern w:val="0"/>
          <w:sz w:val="24"/>
          <w:lang w:val="en-US" w:eastAsia="zh-CN"/>
        </w:rPr>
        <w:t>，</w:t>
      </w:r>
      <w:r>
        <w:rPr>
          <w:rFonts w:hint="default" w:ascii="Times New Roman" w:hAnsi="Times New Roman" w:eastAsia="宋体" w:cs="Times New Roman"/>
          <w:kern w:val="0"/>
          <w:sz w:val="24"/>
          <w:lang w:val="en-US" w:eastAsia="zh-CN"/>
        </w:rPr>
        <w:t>包含云资源监控、基础快照备份</w:t>
      </w:r>
      <w:r>
        <w:rPr>
          <w:rFonts w:hint="eastAsia" w:ascii="Times New Roman" w:hAnsi="Times New Roman" w:eastAsia="宋体" w:cs="Times New Roman"/>
          <w:kern w:val="0"/>
          <w:sz w:val="24"/>
          <w:lang w:val="en-US" w:eastAsia="zh-CN"/>
        </w:rPr>
        <w:t>等。</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三、</w:t>
      </w:r>
      <w:r>
        <w:rPr>
          <w:rFonts w:hint="default" w:ascii="Times New Roman" w:hAnsi="Times New Roman" w:eastAsia="宋体" w:cs="Times New Roman"/>
          <w:kern w:val="0"/>
          <w:sz w:val="24"/>
          <w:lang w:val="en-US" w:eastAsia="zh-CN"/>
        </w:rPr>
        <w:t>故障监测服务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提供</w:t>
      </w:r>
      <w:r>
        <w:rPr>
          <w:rFonts w:hint="default" w:ascii="Times New Roman" w:hAnsi="Times New Roman" w:eastAsia="宋体" w:cs="Times New Roman"/>
          <w:kern w:val="0"/>
          <w:sz w:val="24"/>
          <w:lang w:val="en-US" w:eastAsia="zh-CN"/>
        </w:rPr>
        <w:t>7×24 小时对</w:t>
      </w:r>
      <w:r>
        <w:rPr>
          <w:rFonts w:hint="eastAsia" w:ascii="Times New Roman" w:hAnsi="Times New Roman" w:eastAsia="宋体" w:cs="Times New Roman"/>
          <w:kern w:val="0"/>
          <w:sz w:val="24"/>
          <w:lang w:val="en-US" w:eastAsia="zh-CN"/>
        </w:rPr>
        <w:t>统一运维</w:t>
      </w:r>
      <w:r>
        <w:rPr>
          <w:rFonts w:hint="default" w:ascii="Times New Roman" w:hAnsi="Times New Roman" w:eastAsia="宋体" w:cs="Times New Roman"/>
          <w:kern w:val="0"/>
          <w:sz w:val="24"/>
          <w:lang w:val="en-US" w:eastAsia="zh-CN"/>
        </w:rPr>
        <w:t>政务链路做状态监测；完成告警甄别、无效告警过滤、告警信息预处理，将有效告警推送至运维管理平台生成工单；定期输出链路监测简报。</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四、</w:t>
      </w:r>
      <w:r>
        <w:rPr>
          <w:rFonts w:hint="default" w:ascii="Times New Roman" w:hAnsi="Times New Roman" w:eastAsia="宋体" w:cs="Times New Roman"/>
          <w:kern w:val="0"/>
          <w:sz w:val="24"/>
          <w:lang w:val="en-US" w:eastAsia="zh-CN"/>
        </w:rPr>
        <w:t>故障定位服务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接到故障告警 / 工单后，开展链路分段辅助排查，协助区分故障段落（局内设备、传输线路、运营商侧）；提供故障初步根因分析意见；配合现场人员完成测试信息汇总，输出故障定位说明。</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五、</w:t>
      </w:r>
      <w:r>
        <w:rPr>
          <w:rFonts w:hint="default" w:ascii="Times New Roman" w:hAnsi="Times New Roman" w:eastAsia="宋体" w:cs="Times New Roman"/>
          <w:kern w:val="0"/>
          <w:sz w:val="24"/>
          <w:lang w:val="en-US" w:eastAsia="zh-CN"/>
        </w:rPr>
        <w:t>单位协调服务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负责跨部门、多家运营商、集成商之间业务协调；组织故障处置沟通会；跟踪督办事项落实；做好多方沟通记录归档；对责任存在争议的事项开展前置协调。</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六、</w:t>
      </w:r>
      <w:r>
        <w:rPr>
          <w:rFonts w:hint="default" w:ascii="Times New Roman" w:hAnsi="Times New Roman" w:eastAsia="宋体" w:cs="Times New Roman"/>
          <w:kern w:val="0"/>
          <w:sz w:val="24"/>
          <w:lang w:val="en-US" w:eastAsia="zh-CN"/>
        </w:rPr>
        <w:t>培训服务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开展平台管理员培训、业务运维人员操作培训、大屏操作培训；编制平台管理员手册、业务操作手册、大屏使用手册；提供培训课件。</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七、</w:t>
      </w:r>
      <w:r>
        <w:rPr>
          <w:rFonts w:hint="default" w:ascii="Times New Roman" w:hAnsi="Times New Roman" w:eastAsia="宋体" w:cs="Times New Roman"/>
          <w:kern w:val="0"/>
          <w:sz w:val="24"/>
          <w:lang w:val="en-US" w:eastAsia="zh-CN"/>
        </w:rPr>
        <w:t>人员驻场服务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配置专职驻场技术人员；负责平台日常运行看护、工单初审、链路台账资料更新；承接各单位咨询；协助整理运维台账、统计报表资料；配合开展故障协调对接。</w:t>
      </w:r>
    </w:p>
    <w:p>
      <w:pPr>
        <w:keepNext/>
        <w:keepLines/>
        <w:widowControl w:val="0"/>
        <w:numPr>
          <w:ilvl w:val="4"/>
          <w:numId w:val="1"/>
        </w:numPr>
        <w:bidi w:val="0"/>
        <w:spacing w:line="360" w:lineRule="auto"/>
        <w:ind w:left="0" w:firstLine="0" w:firstLineChars="0"/>
        <w:jc w:val="both"/>
        <w:outlineLvl w:val="4"/>
        <w:rPr>
          <w:rFonts w:hint="default" w:ascii="Times New Roman" w:hAnsi="Times New Roman" w:eastAsia="黑体" w:cs="Times New Roman"/>
          <w:bCs/>
          <w:kern w:val="2"/>
          <w:sz w:val="24"/>
          <w:szCs w:val="28"/>
          <w:lang w:val="en-US" w:eastAsia="zh-CN" w:bidi="ar-SA"/>
        </w:rPr>
      </w:pPr>
      <w:r>
        <w:rPr>
          <w:rFonts w:hint="default" w:ascii="Times New Roman" w:hAnsi="Times New Roman" w:eastAsia="黑体" w:cs="Times New Roman"/>
          <w:bCs/>
          <w:kern w:val="2"/>
          <w:sz w:val="24"/>
          <w:szCs w:val="28"/>
          <w:lang w:val="en-US" w:eastAsia="zh-CN" w:bidi="ar-SA"/>
        </w:rPr>
        <w:t>服务要求</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1、服务等级要求</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服务商应提供7×24小时三级技术支持服务，远程响应时间不超过1小时，紧急故障优先处置；平台年度可用度不低于99.95%。</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2、技术服务要求</w:t>
      </w:r>
    </w:p>
    <w:p>
      <w:pPr>
        <w:numPr>
          <w:ilvl w:val="0"/>
          <w:numId w:val="29"/>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服务商负责平台的年度版本迭代与功能更新，定期提供安全补丁与漏洞修复，保障平台能力持续演进、安全稳定运行。</w:t>
      </w:r>
    </w:p>
    <w:p>
      <w:pPr>
        <w:numPr>
          <w:ilvl w:val="0"/>
          <w:numId w:val="29"/>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服务商提供7×24小时原厂技术支持与远程故障排查服务。</w:t>
      </w:r>
    </w:p>
    <w:p>
      <w:pPr>
        <w:numPr>
          <w:ilvl w:val="0"/>
          <w:numId w:val="29"/>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服务商提供平台运行所需云计算、存储、数据库资源。</w:t>
      </w:r>
    </w:p>
    <w:p>
      <w:pPr>
        <w:numPr>
          <w:ilvl w:val="0"/>
          <w:numId w:val="29"/>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定期开展数据备份与日志留存，满足安全审计要求。</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57" w:name="_Toc32608"/>
      <w:r>
        <w:rPr>
          <w:rFonts w:hint="default" w:ascii="Times New Roman" w:hAnsi="Times New Roman" w:eastAsia="黑体" w:cs="Times New Roman"/>
          <w:bCs/>
          <w:kern w:val="2"/>
          <w:sz w:val="28"/>
          <w:szCs w:val="32"/>
          <w:lang w:val="en-US" w:eastAsia="zh-CN" w:bidi="ar-SA"/>
        </w:rPr>
        <w:t>硬件设备运维服务方案</w:t>
      </w:r>
      <w:bookmarkEnd w:id="57"/>
    </w:p>
    <w:p>
      <w:pPr>
        <w:spacing w:before="0" w:after="0"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宋体"/>
          <w:kern w:val="0"/>
          <w:sz w:val="24"/>
        </w:rPr>
        <w:t>本</w:t>
      </w:r>
      <w:r>
        <w:rPr>
          <w:rFonts w:hint="default" w:ascii="Times New Roman" w:hAnsi="Times New Roman" w:eastAsia="宋体" w:cs="宋体"/>
          <w:kern w:val="0"/>
          <w:sz w:val="24"/>
          <w:lang w:val="en-US" w:eastAsia="zh-CN"/>
        </w:rPr>
        <w:t>项目</w:t>
      </w:r>
      <w:r>
        <w:rPr>
          <w:rFonts w:hint="default" w:ascii="Times New Roman" w:hAnsi="Times New Roman" w:eastAsia="宋体" w:cs="宋体"/>
          <w:kern w:val="0"/>
          <w:sz w:val="24"/>
        </w:rPr>
        <w:t>对全市</w:t>
      </w:r>
      <w:r>
        <w:rPr>
          <w:rFonts w:hint="default" w:ascii="Times New Roman" w:hAnsi="Times New Roman" w:eastAsia="宋体" w:cs="宋体"/>
          <w:kern w:val="0"/>
          <w:sz w:val="24"/>
          <w:lang w:val="en-US" w:eastAsia="zh-CN"/>
        </w:rPr>
        <w:t>纳入统一运维的</w:t>
      </w:r>
      <w:r>
        <w:rPr>
          <w:rFonts w:hint="default" w:ascii="Times New Roman" w:hAnsi="Times New Roman" w:eastAsia="宋体" w:cs="宋体"/>
          <w:kern w:val="0"/>
          <w:sz w:val="24"/>
        </w:rPr>
        <w:t>前端感知设备、IT设备、政务大厅终端及机房配套设备提供服务，服务</w:t>
      </w:r>
      <w:r>
        <w:rPr>
          <w:rFonts w:hint="default" w:ascii="Times New Roman" w:hAnsi="Times New Roman" w:eastAsia="宋体" w:cs="宋体"/>
          <w:kern w:val="0"/>
          <w:sz w:val="24"/>
          <w:lang w:val="en-US" w:eastAsia="zh-CN"/>
        </w:rPr>
        <w:t>内容包括业务终端交付一体机系统2套运维(主用)、业务终端交付一体机系统4套运维(主用)、预算一体化系统驻场服务、云平台4套及业务终端交付5套运维、电池更换及机房硬件维修、业务终端交付一体机系统2套运维(备用)、部门预算终端维护服务、机房维护和预算单位网络及硬件维护、网络安全设备运维、千兆光模块维护、机房维护费（非煤矿山企业接入）、临湘市数字化平台统一运维第三方技术服务项目、前端摄像头同步管理授时服务器等13个项目，具体服务内容如下</w:t>
      </w:r>
      <w:r>
        <w:rPr>
          <w:rFonts w:hint="default" w:ascii="Times New Roman" w:hAnsi="Times New Roman" w:eastAsia="宋体" w:cs="Times New Roman"/>
          <w:kern w:val="0"/>
          <w:sz w:val="24"/>
          <w:lang w:val="en-US" w:eastAsia="zh-CN"/>
        </w:rPr>
        <w:t>：</w:t>
      </w:r>
    </w:p>
    <w:p>
      <w:pPr>
        <w:widowControl w:val="0"/>
        <w:spacing w:before="0" w:after="0" w:line="360" w:lineRule="auto"/>
        <w:ind w:left="0" w:leftChars="0" w:firstLine="0" w:firstLineChars="0"/>
        <w:jc w:val="center"/>
        <w:rPr>
          <w:rFonts w:hint="default" w:ascii="Times New Roman" w:hAnsi="Times New Roman" w:eastAsia="黑体" w:cs="Times New Roman"/>
          <w:sz w:val="24"/>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5.5</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10</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硬件设备运维表</w:t>
      </w:r>
    </w:p>
    <w:tbl>
      <w:tblPr>
        <w:tblStyle w:val="5"/>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6"/>
        <w:gridCol w:w="4626"/>
        <w:gridCol w:w="2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blHeader/>
        </w:trPr>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设备名称</w:t>
            </w:r>
          </w:p>
        </w:tc>
        <w:tc>
          <w:tcPr>
            <w:tcW w:w="26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运维内容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一</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业务终端交付一体机系统2套运维(主用)</w:t>
            </w:r>
          </w:p>
        </w:tc>
        <w:tc>
          <w:tcPr>
            <w:tcW w:w="2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二</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业务终端交付一体机系统4套运维(主用)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三</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预算一体化系统驻场服务</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四</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云平台4套，业务终端交付5套运维</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五</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电池更换及机房硬件维修</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六</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业务终端交付一体机系统2套运维(备用)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七</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部门预算终端维护服务</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八</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机房维护和预算单位网络、硬件维护</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九</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网络安全设备运维</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eastAsia="zh-CN"/>
              </w:rPr>
            </w:pPr>
            <w:r>
              <w:rPr>
                <w:rFonts w:hint="default" w:ascii="Times New Roman" w:hAnsi="Times New Roman" w:eastAsia="宋体" w:cs="Times New Roman"/>
                <w:i w:val="0"/>
                <w:iCs w:val="0"/>
                <w:color w:val="000000"/>
                <w:kern w:val="0"/>
                <w:sz w:val="21"/>
                <w:szCs w:val="21"/>
                <w:u w:val="none"/>
                <w:lang w:eastAsia="zh-CN"/>
              </w:rPr>
              <w:t>（</w:t>
            </w:r>
            <w:r>
              <w:rPr>
                <w:rFonts w:hint="default" w:ascii="Times New Roman" w:hAnsi="Times New Roman" w:eastAsia="宋体" w:cs="Times New Roman"/>
                <w:i w:val="0"/>
                <w:iCs w:val="0"/>
                <w:color w:val="000000"/>
                <w:kern w:val="0"/>
                <w:sz w:val="21"/>
                <w:szCs w:val="21"/>
                <w:u w:val="none"/>
                <w:lang w:val="en-US" w:eastAsia="zh-CN"/>
              </w:rPr>
              <w:t>十</w:t>
            </w:r>
            <w:r>
              <w:rPr>
                <w:rFonts w:hint="default" w:ascii="Times New Roman" w:hAnsi="Times New Roman" w:eastAsia="宋体" w:cs="Times New Roman"/>
                <w:i w:val="0"/>
                <w:iCs w:val="0"/>
                <w:color w:val="000000"/>
                <w:kern w:val="0"/>
                <w:sz w:val="21"/>
                <w:szCs w:val="21"/>
                <w:u w:val="none"/>
                <w:lang w:eastAsia="zh-CN"/>
              </w:rPr>
              <w:t>）</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千兆光模块维护</w:t>
            </w:r>
          </w:p>
        </w:tc>
        <w:tc>
          <w:tcPr>
            <w:tcW w:w="26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（十一）</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机房维护费（非煤矿山企业接入）</w:t>
            </w:r>
          </w:p>
        </w:tc>
        <w:tc>
          <w:tcPr>
            <w:tcW w:w="26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（十二）</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kern w:val="0"/>
                <w:sz w:val="21"/>
                <w:szCs w:val="21"/>
                <w:lang w:val="en-US" w:eastAsia="zh-CN"/>
              </w:rPr>
              <w:t>临湘市数字化平台统一运维第三方技术服务项目</w:t>
            </w:r>
          </w:p>
        </w:tc>
        <w:tc>
          <w:tcPr>
            <w:tcW w:w="26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2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半球摄像机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政务自助终端</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（自助一体化）</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超级柜台自助终端</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（窗口双屏电脑）</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信息发布查询终端</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（竖屏查询机）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一体化电脑</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高拍仪（带二代证阅读器）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窗口物理呼叫器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排队信息显示屏（65寸）</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排队信息显示屏（49寸）</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LED窗口显示屏（公安窗口）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LED窗口显示屏（人社窗口）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LED窗口显示屏（交警窗口）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LED窗口显示屏（医保窗口）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LED窗口显示屏（公共窗口）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LED窗口显示屏(民政窗口)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LED窗口显示屏（综合窗口）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LED窗口显示屏（税务窗口）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LED窗口显示屏（工程窗口）</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LED窗口显示屏（3楼）</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LED控制器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高点/红外/热成像</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高点/红外/热成像</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高点/雷达</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球形摄像机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全景摄像机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仓温仓湿传感器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气温气湿传感器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粮情检测主机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粮情检测分机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烟雾报警器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声光报警器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LED服务器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球形摄像机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全景摄像机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城市内涝水位计</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其他摄像机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球形摄像机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高清网络枪机摄像机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室内半球摄像机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高清网络高速球形摄像机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26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48口接入交换机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办公网普通AP</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办公网高密AP</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办公网无线控制器</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24口POE接入交换机</w:t>
            </w:r>
          </w:p>
        </w:tc>
        <w:tc>
          <w:tcPr>
            <w:tcW w:w="26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0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（十三）</w:t>
            </w:r>
          </w:p>
        </w:tc>
        <w:tc>
          <w:tcPr>
            <w:tcW w:w="46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前端摄像头同步管理授时服务器</w:t>
            </w:r>
          </w:p>
        </w:tc>
        <w:tc>
          <w:tcPr>
            <w:tcW w:w="26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r>
    </w:tbl>
    <w:p>
      <w:pPr>
        <w:spacing w:before="0" w:after="0" w:line="360" w:lineRule="auto"/>
        <w:ind w:left="0" w:leftChars="0" w:firstLine="0" w:firstLineChars="0"/>
        <w:jc w:val="both"/>
        <w:rPr>
          <w:rFonts w:hint="default" w:ascii="Times New Roman" w:hAnsi="Times New Roman" w:eastAsia="宋体" w:cs="Times New Roman"/>
          <w:kern w:val="0"/>
          <w:sz w:val="24"/>
          <w:lang w:val="en-US" w:eastAsia="zh-CN"/>
        </w:rPr>
      </w:pP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运维服务内容主要包括保养和清洁服务、运维和巡检服务、故障响应及处理服务、设备更换服务、重大事件保障服务、运维服务质量。</w:t>
      </w:r>
    </w:p>
    <w:p>
      <w:pPr>
        <w:spacing w:line="360" w:lineRule="auto"/>
        <w:ind w:firstLine="480" w:firstLineChars="200"/>
        <w:jc w:val="both"/>
        <w:rPr>
          <w:rFonts w:hint="default" w:ascii="Times New Roman" w:hAnsi="Times New Roman" w:eastAsia="宋体" w:cs="Times New Roman"/>
          <w:kern w:val="0"/>
          <w:sz w:val="24"/>
        </w:rPr>
      </w:pPr>
      <w:bookmarkStart w:id="58" w:name="_Toc46175289"/>
      <w:bookmarkStart w:id="59" w:name="_Toc8145"/>
      <w:bookmarkStart w:id="60" w:name="_Toc46165213"/>
      <w:r>
        <w:rPr>
          <w:rFonts w:hint="default" w:ascii="Times New Roman" w:hAnsi="Times New Roman" w:eastAsia="宋体" w:cs="Times New Roman"/>
          <w:kern w:val="0"/>
          <w:sz w:val="24"/>
        </w:rPr>
        <w:t>1、保养和清洁服务：服务商应对服务范围内的设备进行除尘、清理，扫净监控设备上显露的尘土，确保设备正常运行。</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2、运维和巡检服务</w:t>
      </w:r>
    </w:p>
    <w:p>
      <w:pPr>
        <w:widowControl w:val="0"/>
        <w:spacing w:line="360" w:lineRule="auto"/>
        <w:ind w:left="0" w:firstLine="480" w:firstLineChars="200"/>
        <w:jc w:val="both"/>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安排值守人员通过运维工具检查全部接入监控设备的运行情况，发现异常及时报前端维修人员，并记录前端设备故障原因及维修结果。</w:t>
      </w:r>
    </w:p>
    <w:p>
      <w:pPr>
        <w:widowControl w:val="0"/>
        <w:spacing w:line="360" w:lineRule="auto"/>
        <w:ind w:left="0" w:firstLine="480" w:firstLineChars="200"/>
        <w:jc w:val="both"/>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建立日常巡检维护台账，随时登记各类运行情况。记录内容应包括检查时间、设备信息、安装地点、具体工作内容和检查结果等。</w:t>
      </w:r>
    </w:p>
    <w:p>
      <w:pPr>
        <w:widowControl w:val="0"/>
        <w:spacing w:line="360" w:lineRule="auto"/>
        <w:ind w:left="0" w:firstLine="480" w:firstLineChars="200"/>
        <w:jc w:val="both"/>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对运维服务范围内的设备进行检查、测试，检查设备安装、固定、防护和供电等情况，发现问题和隐患及时解决，并做好记录。</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3、故障响应及处理： 设备的故障响应、排查及维修服务，故障响应不得超过30分钟，排除故障时间不得超过12（城区）/24（乡镇）小时。</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4、设备更换服务：已达折旧年限及无法维修的设备，由服务商出具相关诊断证明，通过使用单位向数据局提出更换申请，数据局审核采购，服务商按照各委办局实际需求进行安装、调试及运维。</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5、重大事件保障服务：在重大活动和特殊时期时，应根据相关部门的要求，24小时安排工作人员值守、抢修。</w:t>
      </w:r>
    </w:p>
    <w:p>
      <w:pPr>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6、运维服务质量：为保障数字化平台资源稳定运行，督促服务商提升运维服务质量。</w:t>
      </w:r>
    </w:p>
    <w:bookmarkEnd w:id="58"/>
    <w:bookmarkEnd w:id="59"/>
    <w:bookmarkEnd w:id="60"/>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61" w:name="_Toc15393"/>
      <w:r>
        <w:rPr>
          <w:rFonts w:hint="default" w:ascii="Times New Roman" w:hAnsi="Times New Roman" w:eastAsia="黑体" w:cs="Times New Roman"/>
          <w:bCs/>
          <w:kern w:val="2"/>
          <w:sz w:val="28"/>
          <w:szCs w:val="32"/>
          <w:lang w:val="en-US" w:eastAsia="zh-CN" w:bidi="ar-SA"/>
        </w:rPr>
        <w:t>设备更新替换服务方案</w:t>
      </w:r>
      <w:bookmarkEnd w:id="61"/>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防汛抗旱救灾主题场景应用一期建设项目</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针对防汛抗旱救灾主题场景应用一期建设项目的涉水预警前端设备、应用平台模块及支撑服务器实施更新替换和功能补强，恢复并提升内涝点涉水预警、汛情监测研判和应急指挥支撑能力。</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lang w:val="en-US" w:eastAsia="zh-CN"/>
        </w:rPr>
        <w:t>1、</w:t>
      </w:r>
      <w:r>
        <w:rPr>
          <w:rFonts w:hint="eastAsia" w:ascii="Times New Roman" w:hAnsi="Times New Roman" w:eastAsia="宋体" w:cs="宋体"/>
          <w:kern w:val="0"/>
          <w:sz w:val="24"/>
          <w:lang w:val="en-US" w:eastAsia="zh-CN"/>
        </w:rPr>
        <w:t>2026年度</w:t>
      </w:r>
      <w:r>
        <w:rPr>
          <w:rFonts w:hint="default" w:ascii="Times New Roman" w:hAnsi="Times New Roman" w:eastAsia="宋体" w:cs="宋体"/>
          <w:kern w:val="0"/>
          <w:sz w:val="24"/>
        </w:rPr>
        <w:t>服务内容</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①内涝点涉水预警前端：更新400万像素智能视频雷达一体机1台，配套电动云台壁装支架1台、IPC扩声音柱1台，实现内涝点位涉水状态实时感知和语音警示。</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②防汛抗旱应用平台：补充完善基础模块、综合管理系统、一张图模块、报警研判模块、水文监测模块、人工巡检模块、移动端模块、视频接力巡检模块、报警统计模块、管护巡护地图模块共10个功能模块，实现河段、视频、雨量、水位等数据汇聚和报警研判、巡检闭环管理。</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③视频接入及授权：配置视频国标对接网关（100路）5个，新增视频监控系统视频通道授权500个，按GB/T 28181标准实现视频监控平台级联互联。</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④平台服务器：配置国产化CPU平台服务器2台（单台24核、主频不低于2.5GHz），承载防汛抗旱应用平台运行。</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⑤技术支持服务：提供平台软件部署调试、摄像机角度调优、检测场景调优、报警策略调优等技术支持。</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⑥计算效能支撑：配套DeepSeek计算效能中台服务，提供快速响应、定期跟踪、热线支持等服务。</w:t>
      </w:r>
    </w:p>
    <w:p>
      <w:pPr>
        <w:bidi w:val="0"/>
        <w:spacing w:line="360" w:lineRule="auto"/>
        <w:ind w:firstLine="480" w:firstLineChars="200"/>
        <w:jc w:val="both"/>
        <w:rPr>
          <w:rFonts w:hint="default" w:ascii="Times New Roman" w:hAnsi="Times New Roman" w:eastAsia="宋体" w:cs="宋体"/>
          <w:kern w:val="0"/>
          <w:sz w:val="24"/>
        </w:rPr>
      </w:pPr>
      <w:r>
        <w:rPr>
          <w:rFonts w:hint="default" w:ascii="Times New Roman" w:hAnsi="Times New Roman" w:eastAsia="宋体" w:cs="宋体"/>
          <w:kern w:val="0"/>
          <w:sz w:val="24"/>
        </w:rPr>
        <w:t>上述①至⑤项为一次性实施内容</w:t>
      </w:r>
    </w:p>
    <w:p>
      <w:pPr>
        <w:bidi w:val="0"/>
        <w:spacing w:line="360" w:lineRule="auto"/>
        <w:ind w:firstLine="480" w:firstLineChars="200"/>
        <w:jc w:val="both"/>
        <w:rPr>
          <w:rFonts w:hint="default" w:ascii="Times New Roman" w:hAnsi="Times New Roman" w:eastAsia="宋体" w:cs="宋体"/>
          <w:kern w:val="0"/>
          <w:sz w:val="24"/>
          <w:szCs w:val="24"/>
        </w:rPr>
      </w:pPr>
      <w:r>
        <w:rPr>
          <w:rFonts w:hint="eastAsia" w:ascii="Times New Roman" w:hAnsi="Times New Roman" w:eastAsia="宋体" w:cs="宋体"/>
          <w:kern w:val="0"/>
          <w:sz w:val="24"/>
          <w:szCs w:val="24"/>
          <w:lang w:val="en-US" w:eastAsia="zh-CN"/>
        </w:rPr>
        <w:t>2</w:t>
      </w:r>
      <w:r>
        <w:rPr>
          <w:rFonts w:hint="default" w:ascii="Times New Roman" w:hAnsi="Times New Roman" w:eastAsia="宋体" w:cs="宋体"/>
          <w:kern w:val="0"/>
          <w:sz w:val="24"/>
          <w:szCs w:val="24"/>
          <w:lang w:val="en-US" w:eastAsia="zh-CN"/>
        </w:rPr>
        <w:t>、</w:t>
      </w:r>
      <w:r>
        <w:rPr>
          <w:rFonts w:hint="eastAsia" w:ascii="Times New Roman" w:hAnsi="Times New Roman" w:eastAsia="宋体" w:cs="宋体"/>
          <w:kern w:val="0"/>
          <w:sz w:val="24"/>
          <w:szCs w:val="24"/>
          <w:lang w:val="en-US" w:eastAsia="zh-CN"/>
        </w:rPr>
        <w:t>2027、2028年度</w:t>
      </w:r>
      <w:r>
        <w:rPr>
          <w:rFonts w:hint="default" w:ascii="Times New Roman" w:hAnsi="Times New Roman" w:eastAsia="宋体" w:cs="宋体"/>
          <w:kern w:val="0"/>
          <w:sz w:val="24"/>
          <w:szCs w:val="24"/>
        </w:rPr>
        <w:t>服务内容</w:t>
      </w:r>
    </w:p>
    <w:p>
      <w:pPr>
        <w:spacing w:line="360" w:lineRule="auto"/>
        <w:ind w:firstLine="480" w:firstLineChars="200"/>
        <w:rPr>
          <w:rFonts w:hint="eastAsia" w:ascii="Times New Roman" w:hAnsi="Times New Roman" w:eastAsia="宋体" w:cs="宋体"/>
          <w:kern w:val="0"/>
          <w:sz w:val="24"/>
          <w:szCs w:val="24"/>
          <w:lang w:eastAsia="zh-CN"/>
        </w:rPr>
      </w:pPr>
      <w:r>
        <w:rPr>
          <w:rFonts w:hint="eastAsia" w:ascii="Times New Roman" w:hAnsi="Times New Roman" w:eastAsia="宋体" w:cs="宋体"/>
          <w:kern w:val="0"/>
          <w:sz w:val="24"/>
          <w:szCs w:val="24"/>
        </w:rPr>
        <w:t>①备品备件：按内涝点涉水预警前端设备在用数量的年度更换率储备备件，主要包括400万像素智能视频雷达一体机1台、电动云台壁装支架1台、IPC扩声音柱1台、视频国标对接网关1个，用于故障设备的应急更换。</w:t>
      </w:r>
      <w:r>
        <w:rPr>
          <w:rFonts w:ascii="Times New Roman" w:hAnsi="Times New Roman" w:eastAsia="宋体" w:cs="宋体"/>
          <w:b w:val="0"/>
          <w:kern w:val="0"/>
          <w:sz w:val="24"/>
          <w:szCs w:val="24"/>
        </w:rPr>
        <w:t>上述数量为按"在用设备数量×分年度更换率"测算的计划储备量，实际采购数量按年度运维实际发生情况据实结算</w:t>
      </w:r>
      <w:r>
        <w:rPr>
          <w:rFonts w:hint="eastAsia" w:ascii="Times New Roman" w:hAnsi="Times New Roman" w:eastAsia="宋体" w:cs="宋体"/>
          <w:b w:val="0"/>
          <w:kern w:val="0"/>
          <w:sz w:val="24"/>
          <w:lang w:eastAsia="zh-CN"/>
        </w:rPr>
        <w:t>。</w:t>
      </w:r>
    </w:p>
    <w:p>
      <w:pPr>
        <w:bidi w:val="0"/>
        <w:spacing w:line="360" w:lineRule="auto"/>
        <w:ind w:firstLine="480" w:firstLineChars="200"/>
        <w:jc w:val="both"/>
        <w:rPr>
          <w:rFonts w:hint="default" w:ascii="Times New Roman" w:hAnsi="Times New Roman" w:eastAsia="宋体" w:cs="宋体"/>
          <w:kern w:val="0"/>
          <w:sz w:val="24"/>
          <w:szCs w:val="24"/>
        </w:rPr>
      </w:pPr>
      <w:r>
        <w:rPr>
          <w:rFonts w:hint="eastAsia" w:ascii="Times New Roman" w:hAnsi="Times New Roman" w:eastAsia="宋体" w:cs="宋体"/>
          <w:kern w:val="0"/>
          <w:sz w:val="24"/>
          <w:szCs w:val="24"/>
        </w:rPr>
        <w:t>②计算效能支撑：延续配套DeepSeek计算效能中台服务，提供快速响应、定期跟踪、热线支持等服务，</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宋体"/>
          <w:kern w:val="0"/>
          <w:sz w:val="24"/>
          <w:lang w:val="en-US" w:eastAsia="zh-CN"/>
        </w:rPr>
        <w:t>2、</w:t>
      </w:r>
      <w:r>
        <w:rPr>
          <w:rFonts w:hint="default" w:ascii="Times New Roman" w:hAnsi="Times New Roman" w:eastAsia="宋体" w:cs="宋体"/>
          <w:kern w:val="0"/>
          <w:sz w:val="24"/>
        </w:rPr>
        <w:t>服务要求。设备选型符合国家建设标准和技术规范；软件模块应与现有防汛抗旱业务系统兼容对接，数据接口按市大数据中心统一要求开放；项目实施完成后应组织功能测试和业务验证，形成验收资料并纳入台账管理</w:t>
      </w:r>
      <w:r>
        <w:rPr>
          <w:rFonts w:hint="default" w:ascii="Times New Roman" w:hAnsi="Times New Roman" w:eastAsia="宋体" w:cs="Times New Roman"/>
          <w:kern w:val="0"/>
          <w:sz w:val="24"/>
          <w:lang w:eastAsia="zh-CN"/>
        </w:rPr>
        <w:t>。</w:t>
      </w: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山塘水库防溺水视频监控平台端摄像头修复项目</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针对山塘水库防溺水视频监控平台前端摄像头及配套基础设施老化损坏问题实施修复性更换，恢复重点水域防溺水视频监控能力，消除监控盲区和安全隐患。</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1、</w:t>
      </w:r>
      <w:r>
        <w:rPr>
          <w:rFonts w:hint="eastAsia" w:ascii="Times New Roman" w:hAnsi="Times New Roman" w:eastAsia="宋体" w:cs="Times New Roman"/>
          <w:kern w:val="0"/>
          <w:sz w:val="24"/>
          <w:lang w:val="en-US" w:eastAsia="zh-CN"/>
        </w:rPr>
        <w:t>2026年度</w:t>
      </w:r>
      <w:r>
        <w:rPr>
          <w:rFonts w:hint="default" w:ascii="Times New Roman" w:hAnsi="Times New Roman" w:eastAsia="宋体" w:cs="Times New Roman"/>
          <w:kern w:val="0"/>
          <w:sz w:val="24"/>
          <w:lang w:val="en-US" w:eastAsia="zh-CN"/>
        </w:rPr>
        <w:t>服务内容</w:t>
      </w:r>
    </w:p>
    <w:p>
      <w:pPr>
        <w:bidi w:val="0"/>
        <w:spacing w:line="360" w:lineRule="auto"/>
        <w:ind w:firstLine="480" w:firstLineChars="200"/>
        <w:jc w:val="both"/>
        <w:rPr>
          <w:rFonts w:hint="eastAsia" w:ascii="Times New Roman" w:hAnsi="Times New Roman" w:eastAsia="宋体" w:cs="Times New Roman"/>
          <w:kern w:val="0"/>
          <w:sz w:val="24"/>
          <w:lang w:val="en-US" w:eastAsia="zh-CN"/>
        </w:rPr>
      </w:pPr>
      <w:r>
        <w:rPr>
          <w:rFonts w:hint="eastAsia" w:ascii="Times New Roman" w:hAnsi="Times New Roman" w:eastAsia="宋体" w:cs="宋体"/>
          <w:kern w:val="0"/>
          <w:sz w:val="24"/>
        </w:rPr>
        <w:t>对山塘水库前端视频监控点位实施修复性更换，共更换视频监控球机15台（含小水利球10台、大水利球1台、大华警戒球4台），配套球机电源57个、监控配件及支架配件</w:t>
      </w:r>
      <w:r>
        <w:rPr>
          <w:rFonts w:hint="eastAsia" w:ascii="Times New Roman" w:hAnsi="Times New Roman" w:eastAsia="宋体" w:cs="宋体"/>
          <w:kern w:val="0"/>
          <w:sz w:val="24"/>
          <w:lang w:val="en-US" w:eastAsia="zh-CN"/>
        </w:rPr>
        <w:t>266</w:t>
      </w:r>
      <w:r>
        <w:rPr>
          <w:rFonts w:hint="eastAsia" w:ascii="Times New Roman" w:hAnsi="Times New Roman" w:eastAsia="宋体" w:cs="宋体"/>
          <w:kern w:val="0"/>
          <w:sz w:val="24"/>
        </w:rPr>
        <w:t>个</w:t>
      </w:r>
      <w:r>
        <w:rPr>
          <w:rFonts w:hint="eastAsia" w:ascii="Times New Roman" w:hAnsi="Times New Roman" w:eastAsia="宋体" w:cs="宋体"/>
          <w:kern w:val="0"/>
          <w:sz w:val="24"/>
          <w:lang w:val="en-US" w:eastAsia="zh-CN"/>
        </w:rPr>
        <w:t>等，详见下表：</w:t>
      </w:r>
    </w:p>
    <w:p>
      <w:pPr>
        <w:widowControl w:val="0"/>
        <w:bidi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5.5</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山塘水库摄像头修复项目主要工程量表</w:t>
      </w:r>
    </w:p>
    <w:tbl>
      <w:tblPr>
        <w:tblStyle w:val="5"/>
        <w:tblW w:w="83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9"/>
        <w:gridCol w:w="1530"/>
        <w:gridCol w:w="4470"/>
        <w:gridCol w:w="770"/>
        <w:gridCol w:w="7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blHeader/>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名称</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主要内容</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数量</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视频监控球机</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含小水利球10台、大水利球1台、大华警戒球4台</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球机配套电源</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42个+15个合并</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监控配套支架及配件</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球机抱箍支架16个+监控配件250个</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266</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安装辅材</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支架配件250个、防水箱125个、二合一防雷器125个、漏电保护开关125个、插座2个；线缆辅材45卷，电源线860米</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网络通信设备</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光猫35个、接入交换机15个</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通信线缆</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网线2箱、光缆8980米、光纤尾纤125根</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管线工程</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人工挖沟槽860米、线管敷设860米</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工程施工</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人工挖沟槽、旧设备拆除、熔纤、设备维保</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机械租赁</w:t>
            </w:r>
          </w:p>
        </w:tc>
        <w:tc>
          <w:tcPr>
            <w:tcW w:w="4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升降车租赁、吊车租赁</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top"/>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天</w:t>
            </w:r>
          </w:p>
        </w:tc>
      </w:tr>
    </w:tbl>
    <w:p>
      <w:pPr>
        <w:numPr>
          <w:ilvl w:val="0"/>
          <w:numId w:val="17"/>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2027、2028年度服务内容</w:t>
      </w:r>
    </w:p>
    <w:p>
      <w:pPr>
        <w:spacing w:after="60" w:line="360" w:lineRule="auto"/>
        <w:ind w:left="240" w:firstLine="480" w:firstLineChars="200"/>
        <w:rPr>
          <w:rFonts w:ascii="Times New Roman" w:hAnsi="Times New Roman" w:eastAsia="宋体" w:cs="宋体"/>
          <w:b w:val="0"/>
          <w:kern w:val="0"/>
          <w:sz w:val="24"/>
        </w:rPr>
      </w:pPr>
      <w:r>
        <w:rPr>
          <w:rFonts w:ascii="Times New Roman" w:hAnsi="Times New Roman" w:eastAsia="宋体" w:cs="宋体"/>
          <w:b w:val="0"/>
          <w:kern w:val="0"/>
          <w:sz w:val="24"/>
        </w:rPr>
        <w:t>本项目点位总数125个，2026年度完成15个点位摄像设备更换，其余110个点位为存量老旧设备，存在图像模糊、夜视衰减、防水箱体老化、供电不稳等运行隐患，结合设备运行状态分批实施更新替换，不采取一次性集中更换方式，改为分年度储备备品备件、按实际故障点位据实更换的方式实施：2027年度配置小水利球55台及相关配套设备（含球机电源、抱箍支架、防水箱、二合一防雷器、漏电保护开关、插座、电源线、光猫、网线、光纤尾纤、接入交换机、旧设备拆除、熔纤、升降车租赁等）作为备品备件；2028年度配置小水利球30台及相关配套设备作为备品备件。</w:t>
      </w:r>
    </w:p>
    <w:p>
      <w:pPr>
        <w:spacing w:after="60" w:line="360" w:lineRule="auto"/>
        <w:ind w:left="240" w:firstLine="480" w:firstLineChars="200"/>
        <w:rPr>
          <w:rFonts w:hint="eastAsia" w:ascii="Times New Roman" w:hAnsi="Times New Roman" w:eastAsia="宋体" w:cs="宋体"/>
          <w:b w:val="0"/>
          <w:kern w:val="0"/>
          <w:sz w:val="24"/>
          <w:lang w:val="en-US" w:eastAsia="zh-CN"/>
        </w:rPr>
      </w:pPr>
      <w:r>
        <w:rPr>
          <w:rFonts w:ascii="Times New Roman" w:hAnsi="Times New Roman" w:eastAsia="宋体" w:cs="宋体"/>
          <w:b w:val="0"/>
          <w:kern w:val="0"/>
          <w:sz w:val="24"/>
        </w:rPr>
        <w:t>备品备件数量系按分年度预计故障更换规模测算的计划储备量，实际更换以运行期设备故障报修及巡检发现的损坏点位为准</w:t>
      </w:r>
      <w:r>
        <w:rPr>
          <w:rFonts w:hint="eastAsia" w:ascii="Times New Roman" w:hAnsi="Times New Roman" w:eastAsia="宋体" w:cs="宋体"/>
          <w:b w:val="0"/>
          <w:kern w:val="0"/>
          <w:sz w:val="24"/>
          <w:lang w:eastAsia="zh-CN"/>
        </w:rPr>
        <w:t>。</w:t>
      </w:r>
    </w:p>
    <w:p>
      <w:pPr>
        <w:numPr>
          <w:ilvl w:val="0"/>
          <w:numId w:val="17"/>
        </w:numPr>
        <w:bidi w:val="0"/>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服务要求</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施工应符合《公共安全视频监控联网系统信息传输、交换、控制技术要求》（GB/T28181-2016）及相关施工规范，野外作业须落实防雷接地、防水防尘、防触电等安全措施；更换设备的技术参数不低于原设备，图像分辨率不低于400万像素；施工完成后应逐个点位进行图像质量、夜视效果、网络传输测试，确保接入平台并正常调阅；旧设备拆除后按固定资产管理规定办理处置手续。</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本类别服务内容包括防汛抗旱救灾主题场景应用一期建设项目设备更新、山塘水库防溺水视频监控平台端摄像头修复两个项目，按资金性质分为一次性投入、备品备件、服务性支出三类实施。</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62" w:name="_Toc9878"/>
      <w:r>
        <w:rPr>
          <w:rFonts w:hint="default" w:ascii="Times New Roman" w:hAnsi="Times New Roman" w:eastAsia="黑体" w:cs="Times New Roman"/>
          <w:bCs/>
          <w:kern w:val="2"/>
          <w:sz w:val="28"/>
          <w:szCs w:val="32"/>
          <w:lang w:val="en-US" w:eastAsia="zh-CN" w:bidi="ar-SA"/>
        </w:rPr>
        <w:t>云资源租赁服务方案</w:t>
      </w:r>
      <w:bookmarkEnd w:id="62"/>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全市上云的非涉密政务信息系统提供云资源租赁及运行保障服务，本期服务10个上云系统、33台虚拟机，配置vCPU 200核、内存668GB、块存储17700GB。</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具体云资源配置如下：</w:t>
      </w:r>
    </w:p>
    <w:p>
      <w:pPr>
        <w:widowControl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5.5</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12</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云资源配置表</w:t>
      </w:r>
    </w:p>
    <w:tbl>
      <w:tblPr>
        <w:tblStyle w:val="5"/>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8"/>
        <w:gridCol w:w="3301"/>
        <w:gridCol w:w="1350"/>
        <w:gridCol w:w="1166"/>
        <w:gridCol w:w="977"/>
        <w:gridCol w:w="11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blHeader/>
        </w:trPr>
        <w:tc>
          <w:tcPr>
            <w:tcW w:w="6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序号</w:t>
            </w:r>
          </w:p>
        </w:tc>
        <w:tc>
          <w:tcPr>
            <w:tcW w:w="33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名称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虚拟机数量</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（台）</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vcpu(核）</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内存</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（G）</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块存储</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临湘市智慧交通管理平台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综合治税平台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临湘市村级财务资金监督管理平台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临湘市房地产信息平台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山洪灾害监测预警平台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城市运行综合管理中心平台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6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33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人事工资管理信息平台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临湘市燃气监管平台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临湘市农村土地承包经营权信息平台</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33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全面应用省一网通办平台系统</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618"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33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3919"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13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w:t>
            </w:r>
          </w:p>
        </w:tc>
        <w:tc>
          <w:tcPr>
            <w:tcW w:w="11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9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668</w:t>
            </w:r>
          </w:p>
        </w:tc>
        <w:tc>
          <w:tcPr>
            <w:tcW w:w="11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17700</w:t>
            </w:r>
          </w:p>
        </w:tc>
      </w:tr>
    </w:tbl>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1、服务内容</w:t>
      </w:r>
    </w:p>
    <w:p>
      <w:pPr>
        <w:numPr>
          <w:ilvl w:val="0"/>
          <w:numId w:val="30"/>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资源开通与配置：按各系统需求提供虚拟机、vCPU、内存、块存储等资源的开通、配置和初始化；</w:t>
      </w:r>
    </w:p>
    <w:p>
      <w:pPr>
        <w:numPr>
          <w:ilvl w:val="0"/>
          <w:numId w:val="30"/>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资源监控与保障：对云资源使用率、性能指标实行7×24小时监控，异常情况及时告警和处置；</w:t>
      </w:r>
    </w:p>
    <w:p>
      <w:pPr>
        <w:numPr>
          <w:ilvl w:val="0"/>
          <w:numId w:val="30"/>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资源扩容与调整：根据业务变化受理资源扩容、变更、退订申请并实施；</w:t>
      </w:r>
    </w:p>
    <w:p>
      <w:pPr>
        <w:numPr>
          <w:ilvl w:val="0"/>
          <w:numId w:val="30"/>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数据备份与恢复：按约定策略提供数据备份服务，必要时实施恢复；安全管理：配合开展云上系统安全加固、漏洞修复、等级保护测评整改等工作。</w:t>
      </w:r>
    </w:p>
    <w:p>
      <w:pPr>
        <w:numPr>
          <w:ilvl w:val="0"/>
          <w:numId w:val="0"/>
        </w:numPr>
        <w:spacing w:line="360" w:lineRule="auto"/>
        <w:ind w:leftChars="20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2、服务要求</w:t>
      </w:r>
    </w:p>
    <w:p>
      <w:pPr>
        <w:bidi w:val="0"/>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云资源服务商应具备相应资质和安全保障能力，云平台应通过网络安全等级保护测评；建立云资源使用台账，实行资源申请、变更、退订全流程登记；配合开展存量低效资源清理，对利用率长期偏低的资源提出降配或退订建议，实现资源集约和成本控制。</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63" w:name="_Toc1147"/>
      <w:r>
        <w:rPr>
          <w:rFonts w:hint="eastAsia" w:ascii="Times New Roman" w:hAnsi="Times New Roman" w:eastAsia="黑体" w:cs="Times New Roman"/>
          <w:bCs/>
          <w:kern w:val="2"/>
          <w:sz w:val="28"/>
          <w:szCs w:val="32"/>
          <w:lang w:val="en-US" w:eastAsia="zh-CN" w:bidi="ar-SA"/>
        </w:rPr>
        <w:t>其他服务</w:t>
      </w:r>
      <w:r>
        <w:rPr>
          <w:rFonts w:hint="default" w:ascii="Times New Roman" w:hAnsi="Times New Roman" w:eastAsia="黑体" w:cs="Times New Roman"/>
          <w:bCs/>
          <w:kern w:val="2"/>
          <w:sz w:val="28"/>
          <w:szCs w:val="32"/>
          <w:lang w:val="en-US" w:eastAsia="zh-CN" w:bidi="ar-SA"/>
        </w:rPr>
        <w:t>方案</w:t>
      </w:r>
      <w:bookmarkEnd w:id="63"/>
    </w:p>
    <w:p>
      <w:pPr>
        <w:spacing w:before="0" w:after="0"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提供保障全市非涉密政务信息系统正常运行所需的配套服务，包括网络安全等级保护测评、前端视频监控设备用电、机房用电三项。</w:t>
      </w:r>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1、网络安全等级保护测评服务</w:t>
      </w:r>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服务内容：对纳入范围的信息系统开展网络安全等级保护测评，含现场测评、漏洞整改咨询、出具测评报告等，</w:t>
      </w:r>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服务要求：测评机构应具备相应资质，测评依据《信息安全技术 网络安全等级保护基本要求》（GB/T 22239-2019）等标准执行；测评发现的问题应形成整改清单并跟踪整改闭环；测评报告报市数据局和市公安局备案。</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2、前端视频监控设备用电服务</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服务内容：负责山塘水库前端视频监控设备用电代收代缴服务，涵盖摄像头及所有配套前端设备日常运行供电费用的统一代收、代缴工作，保障前端监控设备持续稳定供电运行。</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服务要求：电费代收代缴按供电部门计量装置抄见电量据实结算，凭缴费凭证按季度列支，不纳入服务费用包干范围；建立用电台账，逐月登记抄见电量、电价、金额及缴费凭证编号，定期与使用单位核对；对用电异常点位及时排查，防止因欠费或线路故障导致设备离线。</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3、机房用电服务</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服务内容：负责运维期间项目配套机房信息化设备年度用电代收代缴服务，包含机房内服务器、交换机、UPS电源及各类配套信息化设备的日常供电费用统一代收、代缴，全面保障机房核心设备全年正常供电运转。</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服务要求：电费代收代缴按供电部门计量装置抄见电量据实结算，凭缴费凭证按季度列支，不纳入服务费用包干范围；建立用电台账，逐月登记抄见电量、电价、金额及缴费凭证编号，按季度报送使用单位备案；全面保障机房核心设备全年正常供电运转。</w:t>
      </w:r>
    </w:p>
    <w:p>
      <w:pPr>
        <w:bidi w:val="0"/>
        <w:rPr>
          <w:rFonts w:hint="default" w:ascii="Times New Roman" w:hAnsi="Times New Roman" w:cs="Times New Roman"/>
        </w:rPr>
        <w:sectPr>
          <w:headerReference r:id="rId10" w:type="default"/>
          <w:footerReference r:id="rId11" w:type="default"/>
          <w:pgSz w:w="11906" w:h="16838"/>
          <w:pgMar w:top="1440" w:right="1797" w:bottom="1440" w:left="1797" w:header="794" w:footer="397" w:gutter="0"/>
          <w:pgNumType w:fmt="decimal"/>
          <w:cols w:space="720" w:num="1"/>
          <w:docGrid w:linePitch="326" w:charSpace="0"/>
        </w:sectPr>
      </w:pP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64" w:name="_Toc8541"/>
      <w:r>
        <w:rPr>
          <w:rFonts w:hint="default" w:ascii="Times New Roman" w:hAnsi="Times New Roman" w:eastAsia="黑体" w:cs="Times New Roman"/>
          <w:b/>
          <w:bCs/>
          <w:kern w:val="44"/>
          <w:sz w:val="32"/>
          <w:szCs w:val="44"/>
          <w:lang w:val="en-US" w:eastAsia="zh-CN" w:bidi="ar-SA"/>
        </w:rPr>
        <w:t>项目采购方案</w:t>
      </w:r>
      <w:bookmarkEnd w:id="64"/>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65" w:name="_Toc21155"/>
      <w:r>
        <w:rPr>
          <w:rFonts w:hint="default" w:ascii="Times New Roman" w:hAnsi="Times New Roman" w:eastAsia="黑体" w:cs="Times New Roman"/>
          <w:bCs/>
          <w:kern w:val="2"/>
          <w:sz w:val="30"/>
          <w:szCs w:val="32"/>
          <w:lang w:val="en-US" w:eastAsia="zh-CN" w:bidi="ar-SA"/>
        </w:rPr>
        <w:t>采购范围</w:t>
      </w:r>
      <w:bookmarkEnd w:id="65"/>
    </w:p>
    <w:p>
      <w:pPr>
        <w:bidi w:val="0"/>
        <w:spacing w:line="360" w:lineRule="auto"/>
        <w:ind w:firstLine="480"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kern w:val="0"/>
          <w:sz w:val="24"/>
          <w:lang w:eastAsia="zh-CN"/>
        </w:rPr>
        <w:t>本项目采购临湘市非涉密信息系统一体化运维及网络安全技术服务，服务期限36个月（2026年至2028年，每年度服务期限12个月），服务地点为临湘市全市范围（含各乡镇、街道）。采购</w:t>
      </w:r>
      <w:r>
        <w:rPr>
          <w:rFonts w:hint="default" w:ascii="Times New Roman" w:hAnsi="Times New Roman" w:eastAsia="宋体" w:cs="Times New Roman"/>
          <w:kern w:val="0"/>
          <w:sz w:val="24"/>
          <w:lang w:val="en-US" w:eastAsia="zh-CN"/>
        </w:rPr>
        <w:t>范围</w:t>
      </w:r>
      <w:r>
        <w:rPr>
          <w:rFonts w:hint="default" w:ascii="Times New Roman" w:hAnsi="Times New Roman" w:eastAsia="宋体" w:cs="Times New Roman"/>
          <w:kern w:val="0"/>
          <w:sz w:val="24"/>
          <w:lang w:eastAsia="zh-CN"/>
        </w:rPr>
        <w:t>按服务</w:t>
      </w:r>
      <w:r>
        <w:rPr>
          <w:rFonts w:hint="default" w:ascii="Times New Roman" w:hAnsi="Times New Roman" w:eastAsia="宋体" w:cs="Times New Roman"/>
          <w:kern w:val="0"/>
          <w:sz w:val="24"/>
          <w:lang w:val="en-US" w:eastAsia="zh-CN"/>
        </w:rPr>
        <w:t>类别</w:t>
      </w:r>
      <w:r>
        <w:rPr>
          <w:rFonts w:hint="default" w:ascii="Times New Roman" w:hAnsi="Times New Roman" w:eastAsia="宋体" w:cs="Times New Roman"/>
          <w:kern w:val="0"/>
          <w:sz w:val="24"/>
          <w:lang w:eastAsia="zh-CN"/>
        </w:rPr>
        <w:t>划分如下：</w:t>
      </w:r>
    </w:p>
    <w:p>
      <w:pPr>
        <w:spacing w:before="80" w:after="40" w:line="300" w:lineRule="auto"/>
        <w:ind w:firstLine="420" w:firstLineChars="200"/>
        <w:jc w:val="center"/>
        <w:rPr>
          <w:rFonts w:hint="default" w:ascii="Times New Roman" w:hAnsi="Times New Roman" w:eastAsia="宋体" w:cs="Times New Roman"/>
          <w:b w:val="0"/>
          <w:bCs w:val="0"/>
          <w:kern w:val="0"/>
          <w:sz w:val="24"/>
        </w:rPr>
      </w:pPr>
      <w:r>
        <w:rPr>
          <w:rFonts w:hint="default" w:ascii="Times New Roman" w:hAnsi="Times New Roman" w:eastAsia="黑体" w:cs="Times New Roman"/>
          <w:b w:val="0"/>
          <w:bCs w:val="0"/>
          <w:kern w:val="0"/>
          <w:sz w:val="21"/>
          <w:szCs w:val="21"/>
        </w:rPr>
        <w:t>表6.1-1采购内容一览表</w:t>
      </w:r>
    </w:p>
    <w:tbl>
      <w:tblPr>
        <w:tblStyle w:val="6"/>
        <w:tblW w:w="82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
        <w:gridCol w:w="889"/>
        <w:gridCol w:w="3403"/>
        <w:gridCol w:w="586"/>
        <w:gridCol w:w="939"/>
        <w:gridCol w:w="1058"/>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序号</w:t>
            </w: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采购板块</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采购内容</w:t>
            </w: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规模</w:t>
            </w: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b/>
                <w:kern w:val="0"/>
                <w:sz w:val="18"/>
              </w:rPr>
            </w:pPr>
            <w:r>
              <w:rPr>
                <w:rFonts w:ascii="Times New Roman" w:hAnsi="Times New Roman" w:eastAsia="宋体" w:cs="宋体"/>
                <w:b/>
                <w:kern w:val="0"/>
                <w:sz w:val="18"/>
              </w:rPr>
              <w:t>2026年年度概算</w:t>
            </w:r>
          </w:p>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（万元）</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b/>
                <w:kern w:val="0"/>
                <w:sz w:val="18"/>
              </w:rPr>
            </w:pPr>
            <w:r>
              <w:rPr>
                <w:rFonts w:ascii="Times New Roman" w:hAnsi="Times New Roman" w:eastAsia="宋体" w:cs="宋体"/>
                <w:b/>
                <w:kern w:val="0"/>
                <w:sz w:val="18"/>
              </w:rPr>
              <w:t>2027年年度概算</w:t>
            </w:r>
          </w:p>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（万元）</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b/>
                <w:kern w:val="0"/>
                <w:sz w:val="18"/>
              </w:rPr>
            </w:pPr>
            <w:r>
              <w:rPr>
                <w:rFonts w:ascii="Times New Roman" w:hAnsi="Times New Roman" w:eastAsia="宋体" w:cs="宋体"/>
                <w:b/>
                <w:kern w:val="0"/>
                <w:sz w:val="18"/>
              </w:rPr>
              <w:t>2028年年度概算</w:t>
            </w:r>
          </w:p>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w:t>
            </w: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信息系统运维服务</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18个非涉密政务信息系统运维，含巡检、故障处置、备份、优化、升级、安全加固、培训等</w:t>
            </w: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18个系统</w:t>
            </w: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230.03</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230.03</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230.03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w:t>
            </w: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网络线路租赁与运维管理服务</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全市3172条政务网络链路租赁，含线路租用、开通调测、日常维护、故障修复、重大活动保障等；网络运维管理1套，含平台底座及六大业务功能模块（故障闭环、协同调度、链路台账、监控告警、统计驾驶舱、大屏可视化）</w:t>
            </w: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3172条、1套</w:t>
            </w: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364.39</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364.39</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364.39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w:t>
            </w: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硬件设备运维服务</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前端感知设备、IT设备、政务大厅终端、机房及配套设备运维（维修保养，不含整机更换设备购置费）</w:t>
            </w: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13个项目</w:t>
            </w: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136.90</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136.90</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136.90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4</w:t>
            </w: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设备更新替换服务</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防汛抗旱一期建设设备更新、山塘水库摄像头修复。一次性投入仅2026年度列支；2027年度按55个小水利球及相关配套设备、2028年度按30个小水利球及相关配套设备储备备品备件，以实际使用为准；服务性支出按年度列支</w:t>
            </w: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2个项目</w:t>
            </w: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67.00</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29.05</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5</w:t>
            </w: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云资源租赁服务</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虚拟机、vCPU、内存、块存储等云资源租赁及运行保障</w:t>
            </w: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33台虚拟机</w:t>
            </w: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35.00</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35.00</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6</w:t>
            </w: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其他服务</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网络安全等级保护测评、前端视频监控设备用电、机房用电（电费按抄见电量据实结算）</w:t>
            </w: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3项</w:t>
            </w: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33.89</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33.89</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33.89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p>
        </w:tc>
        <w:tc>
          <w:tcPr>
            <w:tcW w:w="88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合计</w:t>
            </w:r>
          </w:p>
        </w:tc>
        <w:tc>
          <w:tcPr>
            <w:tcW w:w="3403"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p>
        </w:tc>
        <w:tc>
          <w:tcPr>
            <w:tcW w:w="58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p>
        </w:tc>
        <w:tc>
          <w:tcPr>
            <w:tcW w:w="939"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867.21</w:t>
            </w:r>
          </w:p>
        </w:tc>
        <w:tc>
          <w:tcPr>
            <w:tcW w:w="105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829.26</w:t>
            </w:r>
          </w:p>
        </w:tc>
        <w:tc>
          <w:tcPr>
            <w:tcW w:w="1002"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821.54</w:t>
            </w:r>
          </w:p>
        </w:tc>
      </w:tr>
    </w:tbl>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66" w:name="_Toc19275"/>
      <w:r>
        <w:rPr>
          <w:rFonts w:hint="default" w:ascii="Times New Roman" w:hAnsi="Times New Roman" w:eastAsia="黑体" w:cs="Times New Roman"/>
          <w:bCs/>
          <w:kern w:val="2"/>
          <w:sz w:val="30"/>
          <w:szCs w:val="32"/>
          <w:lang w:val="en-US" w:eastAsia="zh-CN" w:bidi="ar-SA"/>
        </w:rPr>
        <w:t>采购方式</w:t>
      </w:r>
      <w:bookmarkEnd w:id="66"/>
    </w:p>
    <w:p>
      <w:pPr>
        <w:bidi w:val="0"/>
        <w:spacing w:line="360" w:lineRule="auto"/>
        <w:ind w:firstLine="480"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kern w:val="0"/>
          <w:sz w:val="24"/>
          <w:lang w:eastAsia="zh-CN"/>
        </w:rPr>
        <w:t>本项目采用公开招标方式，主要理由如下：一是本项目年度预算金额达到公开招标数额标准，依据《中华人民共和国政府采购法》《政府采购货物和服务招标投标管理办法》（财政部令第87号）应当公开招标；二是本项目服务内容明确、技术标准成熟（存量运维合同已形成完整服务标准体系），市场竞争充分，具备公开招标的条件。</w:t>
      </w:r>
    </w:p>
    <w:p>
      <w:pPr>
        <w:bidi w:val="0"/>
        <w:spacing w:line="360" w:lineRule="auto"/>
        <w:ind w:firstLine="480" w:firstLineChars="200"/>
        <w:jc w:val="both"/>
        <w:rPr>
          <w:rFonts w:hint="eastAsia" w:ascii="Times New Roman" w:hAnsi="Times New Roman" w:eastAsia="宋体" w:cs="Times New Roman"/>
          <w:kern w:val="0"/>
          <w:sz w:val="24"/>
          <w:lang w:eastAsia="zh-CN"/>
        </w:rPr>
      </w:pPr>
      <w:r>
        <w:rPr>
          <w:rFonts w:ascii="Times New Roman" w:hAnsi="Times New Roman" w:eastAsia="宋体" w:cs="宋体"/>
          <w:b w:val="0"/>
          <w:kern w:val="0"/>
          <w:sz w:val="24"/>
        </w:rPr>
        <w:t>合同签订与履行：依据《政府购买服务管理办法》（财政部令第102号），政府购买服务合同履行期限一般不超过1年；本项目购买内容相对固定、连续性强、经费来源稳定，每年度服务期限12个月，年度合同可根据考核结果、服务需求变化及财政评审结论调整服务内容与费用。付款方式明确如下：服务费用以季度为结算周期，按季度考核结果分期支付，年度考核结论与年度费用结算、下年度合同签订挂钩，考核未达标部分按合同约定比例扣减；备品备件更换、熔纤、机械台班等按实际发生计量的项目，按中标单价据实结算；电费代收代缴按供电部门计量装置抄见电量据实结算，凭缴费凭证按季度列支</w:t>
      </w:r>
      <w:r>
        <w:rPr>
          <w:rFonts w:hint="eastAsia" w:ascii="Times New Roman" w:hAnsi="Times New Roman" w:eastAsia="宋体" w:cs="宋体"/>
          <w:b w:val="0"/>
          <w:kern w:val="0"/>
          <w:sz w:val="24"/>
          <w:lang w:eastAsia="zh-CN"/>
        </w:rPr>
        <w:t>。</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67" w:name="_Toc1172"/>
      <w:r>
        <w:rPr>
          <w:rFonts w:hint="default" w:ascii="Times New Roman" w:hAnsi="Times New Roman" w:eastAsia="黑体" w:cs="Times New Roman"/>
          <w:bCs/>
          <w:kern w:val="2"/>
          <w:sz w:val="30"/>
          <w:szCs w:val="32"/>
          <w:lang w:val="en-US" w:eastAsia="zh-CN" w:bidi="ar-SA"/>
        </w:rPr>
        <w:t>采购组织形式</w:t>
      </w:r>
      <w:bookmarkEnd w:id="67"/>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68" w:name="_Toc21736"/>
      <w:r>
        <w:rPr>
          <w:rFonts w:hint="default" w:ascii="Times New Roman" w:hAnsi="Times New Roman" w:eastAsia="黑体" w:cs="Times New Roman"/>
          <w:bCs/>
          <w:kern w:val="2"/>
          <w:sz w:val="28"/>
          <w:szCs w:val="32"/>
          <w:lang w:val="en-US" w:eastAsia="zh-CN" w:bidi="ar-SA"/>
        </w:rPr>
        <w:t>组织形式</w:t>
      </w:r>
      <w:bookmarkEnd w:id="68"/>
    </w:p>
    <w:p>
      <w:pPr>
        <w:keepNext w:val="0"/>
        <w:keepLines w:val="0"/>
        <w:widowControl/>
        <w:suppressLineNumbers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szCs w:val="24"/>
          <w:lang w:val="en-US" w:eastAsia="zh-CN" w:bidi="ar"/>
        </w:rPr>
        <w:t>本项目采购人为临湘市大数据中心，采购组织形式严格按照政府采购及政务信息化项目相关管理要求确定，可委托具备合法资质的专业采购代理机构组织实施，也可按规定通过集中采购机构或行业主管部门认可的合规方式开展采购工作，全程严格执行法定政府采购流程，规范开展招标、评标、定标及合同签订等各项工作。</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69" w:name="_Toc32147"/>
      <w:r>
        <w:rPr>
          <w:rFonts w:hint="default" w:ascii="Times New Roman" w:hAnsi="Times New Roman" w:eastAsia="黑体" w:cs="Times New Roman"/>
          <w:bCs/>
          <w:kern w:val="2"/>
          <w:sz w:val="28"/>
          <w:szCs w:val="32"/>
          <w:lang w:val="en-US" w:eastAsia="zh-CN" w:bidi="ar-SA"/>
        </w:rPr>
        <w:t>采用联合体招标的必要性</w:t>
      </w:r>
      <w:bookmarkEnd w:id="69"/>
    </w:p>
    <w:p>
      <w:pPr>
        <w:keepNext w:val="0"/>
        <w:keepLines w:val="0"/>
        <w:widowControl/>
        <w:suppressLineNumbers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szCs w:val="24"/>
          <w:lang w:val="en-US" w:eastAsia="zh-CN" w:bidi="ar"/>
        </w:rPr>
        <w:t>本项目建设及服务内容涵盖信息系统运维、基础通信线路服务、网络安全保障等多个跨领域专业板块，业务专业性强、覆盖范围广，对服务商综合技术能力、专项资质、服务经验要求较高。单一市场主体难以同时具备全领域服务能力和对应专项从业资质，无法全面匹配项目建设及运维需求。为拓宽有效投标人范围、保障充分市场竞争、规避单一服务商服务短板，切实保障项目整体建设质量与运维成效，依据政府采购相关法规要求，本项目采用联合体招标模式。</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70" w:name="_Toc19468"/>
      <w:r>
        <w:rPr>
          <w:rFonts w:hint="default" w:ascii="Times New Roman" w:hAnsi="Times New Roman" w:eastAsia="黑体" w:cs="Times New Roman"/>
          <w:bCs/>
          <w:kern w:val="2"/>
          <w:sz w:val="28"/>
          <w:szCs w:val="32"/>
          <w:lang w:val="en-US" w:eastAsia="zh-CN" w:bidi="ar-SA"/>
        </w:rPr>
        <w:t>采购主体职责分工要求</w:t>
      </w:r>
      <w:bookmarkEnd w:id="70"/>
    </w:p>
    <w:p>
      <w:pPr>
        <w:keepNext w:val="0"/>
        <w:keepLines w:val="0"/>
        <w:widowControl/>
        <w:suppressLineNumbers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szCs w:val="24"/>
          <w:lang w:val="en-US" w:eastAsia="zh-CN" w:bidi="ar"/>
        </w:rPr>
        <w:t>项目建设单位主要负责采购需求统筹确认、技术方案及文件审核、项目预算及资金落实、采购全过程配合协调，统筹推进项目合同签订、实施管控、成果验收及后期运维管理等工作。采购代理机构负责严格按照法律法规及项目要求，规范组织开展全流程采购活动。监理、测评、评估等第三方机构，严格依据合同约定及行业管理规范，开展项目过程监督、质量管控、合规核查及验收支撑等工作。</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71" w:name="_Toc1757"/>
      <w:r>
        <w:rPr>
          <w:rFonts w:hint="default" w:ascii="Times New Roman" w:hAnsi="Times New Roman" w:eastAsia="黑体" w:cs="Times New Roman"/>
          <w:bCs/>
          <w:kern w:val="2"/>
          <w:sz w:val="28"/>
          <w:szCs w:val="32"/>
          <w:lang w:val="en-US" w:eastAsia="zh-CN" w:bidi="ar-SA"/>
        </w:rPr>
        <w:t>采购管控与合同管理要求</w:t>
      </w:r>
      <w:bookmarkEnd w:id="71"/>
    </w:p>
    <w:p>
      <w:pPr>
        <w:keepNext w:val="0"/>
        <w:keepLines w:val="0"/>
        <w:widowControl/>
        <w:suppressLineNumbers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szCs w:val="24"/>
          <w:lang w:val="en-US" w:eastAsia="zh-CN" w:bidi="ar"/>
        </w:rPr>
        <w:t>项目采购全过程强化需求管控与风险防控，重点规避采购范围界定模糊、建设边界不清、现有资源重复采购、服务能力承诺不实、数据共享机制不明确、网络安全合规要求缺失等各类问题，从源头保障采购质量与项目投资效益。项目采购合同将严格规范约定各项权责，明确项目阶段建设成果、付款节点、质量责任、保密责任、网络安全责任、后期运维责任，同时细化违约责任、服务考核机制及项目退出、移交相关要求，保障项目规范实施、闭环管理。</w:t>
      </w:r>
    </w:p>
    <w:p>
      <w:pPr>
        <w:bidi w:val="0"/>
        <w:jc w:val="both"/>
        <w:rPr>
          <w:rFonts w:hint="default" w:ascii="Times New Roman" w:hAnsi="Times New Roman" w:cs="Times New Roman"/>
        </w:rPr>
        <w:sectPr>
          <w:pgSz w:w="11906" w:h="16838"/>
          <w:pgMar w:top="1440" w:right="1797" w:bottom="1440" w:left="1797" w:header="794" w:footer="397" w:gutter="0"/>
          <w:pgNumType w:fmt="decimal"/>
          <w:cols w:space="720" w:num="1"/>
          <w:docGrid w:linePitch="326" w:charSpace="0"/>
        </w:sectPr>
      </w:pP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72" w:name="_Toc9385"/>
      <w:r>
        <w:rPr>
          <w:rFonts w:hint="default" w:ascii="Times New Roman" w:hAnsi="Times New Roman" w:eastAsia="黑体" w:cs="Times New Roman"/>
          <w:b/>
          <w:bCs/>
          <w:kern w:val="44"/>
          <w:sz w:val="32"/>
          <w:szCs w:val="44"/>
          <w:lang w:val="en-US" w:eastAsia="zh-CN" w:bidi="ar-SA"/>
        </w:rPr>
        <w:t>项目管理</w:t>
      </w:r>
      <w:bookmarkEnd w:id="72"/>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73" w:name="_Toc23996"/>
      <w:r>
        <w:rPr>
          <w:rFonts w:hint="default" w:ascii="Times New Roman" w:hAnsi="Times New Roman" w:eastAsia="黑体" w:cs="Times New Roman"/>
          <w:bCs/>
          <w:kern w:val="2"/>
          <w:sz w:val="30"/>
          <w:szCs w:val="32"/>
          <w:lang w:val="en-US" w:eastAsia="zh-CN" w:bidi="ar-SA"/>
        </w:rPr>
        <w:t>项目组织机构和人员</w:t>
      </w:r>
      <w:bookmarkEnd w:id="73"/>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74" w:name="_Toc17293"/>
      <w:r>
        <w:rPr>
          <w:rFonts w:hint="default" w:ascii="Times New Roman" w:hAnsi="Times New Roman" w:eastAsia="黑体" w:cs="Times New Roman"/>
          <w:bCs/>
          <w:kern w:val="2"/>
          <w:sz w:val="28"/>
          <w:szCs w:val="32"/>
          <w:lang w:val="en-US" w:eastAsia="zh-CN" w:bidi="ar-SA"/>
        </w:rPr>
        <w:t>组织管理</w:t>
      </w:r>
      <w:bookmarkEnd w:id="74"/>
    </w:p>
    <w:p>
      <w:pPr>
        <w:numPr>
          <w:ilvl w:val="0"/>
          <w:numId w:val="31"/>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领导机构。本项目在市委、市政府统一领导下实施，作为全市大运维大安全改革“一把手”工程的组成部分。市数据局统筹改革、协调各方、解答政策、处置遗留问题并定期通报工作进展情况；市财政局做好资金保障；市委网信办、市委办公室机要保密部门、市公安局、市数据局等单位建立安全责任机制。建议由市数据局牵头，从市直信息化类事业单位抽调专业人员组建项目工作专班，负责项目重大事项决策与跨部门协调。</w:t>
      </w:r>
    </w:p>
    <w:p>
      <w:pPr>
        <w:numPr>
          <w:ilvl w:val="0"/>
          <w:numId w:val="31"/>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实施机构。临湘市大数据中心为项目实施机构，主要职责包括：与运维服务机构签订运维服务合同并监督各方履行合同条款；对运维服务机构进行定期考核，向市数据局报告考核结果，根据考核结果结算服务费用；审查并确认故障处理方案、设备检修方案、设备更换方案、重大活动支撑方案、应急演练方案等，监督各类方案执行情况；监督全市统一运维故障报修及处理情况；协助市数据局完成部门单位新增、迁移和开通线路。</w:t>
      </w:r>
    </w:p>
    <w:p>
      <w:pPr>
        <w:numPr>
          <w:ilvl w:val="0"/>
          <w:numId w:val="31"/>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运维机构。中标联合体为运维服务机构，负责组建现场服务队伍，按合同约定提供</w:t>
      </w:r>
      <w:r>
        <w:rPr>
          <w:rFonts w:hint="eastAsia" w:ascii="Times New Roman" w:hAnsi="Times New Roman" w:eastAsia="宋体" w:cs="Times New Roman"/>
          <w:kern w:val="0"/>
          <w:sz w:val="24"/>
          <w:lang w:eastAsia="zh-CN"/>
        </w:rPr>
        <w:t>六大板块</w:t>
      </w:r>
      <w:r>
        <w:rPr>
          <w:rFonts w:hint="default" w:ascii="Times New Roman" w:hAnsi="Times New Roman" w:eastAsia="宋体" w:cs="Times New Roman"/>
          <w:kern w:val="0"/>
          <w:sz w:val="24"/>
          <w:lang w:eastAsia="zh-CN"/>
        </w:rPr>
        <w:t>运维服务</w:t>
      </w:r>
      <w:r>
        <w:rPr>
          <w:rFonts w:hint="default" w:ascii="Times New Roman" w:hAnsi="Times New Roman" w:eastAsia="宋体" w:cs="Times New Roman"/>
          <w:kern w:val="0"/>
          <w:sz w:val="24"/>
        </w:rPr>
        <w:t>；联合体牵头方对履约承担统一组织责任，设立统一服务接口。</w:t>
      </w:r>
    </w:p>
    <w:p>
      <w:pPr>
        <w:numPr>
          <w:ilvl w:val="0"/>
          <w:numId w:val="31"/>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使用单位。各系统牵头使用单位按改革实施方案要求，聚焦本行业业务发展需要，承担本部门系统的应用推广、数据统计和数据归集共享等工作，配合运维服务开展，并按安全管理法律法规要求负责非涉密政务信息化系统使用过程中的相关安全管理。</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75" w:name="_Toc17837"/>
      <w:r>
        <w:rPr>
          <w:rFonts w:hint="default" w:ascii="Times New Roman" w:hAnsi="Times New Roman" w:eastAsia="黑体" w:cs="Times New Roman"/>
          <w:bCs/>
          <w:kern w:val="2"/>
          <w:sz w:val="28"/>
          <w:szCs w:val="32"/>
          <w:lang w:val="en-US" w:eastAsia="zh-CN" w:bidi="ar-SA"/>
        </w:rPr>
        <w:t>人员配置</w:t>
      </w:r>
      <w:bookmarkEnd w:id="75"/>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运维服务机构人员配置应满足统一运维服务需求，实行运维人员监管率100%。</w:t>
      </w:r>
      <w:r>
        <w:rPr>
          <w:rFonts w:hint="default" w:ascii="Times New Roman" w:hAnsi="Times New Roman" w:eastAsia="宋体" w:cs="Times New Roman"/>
          <w:kern w:val="0"/>
          <w:sz w:val="24"/>
          <w:lang w:val="en-US" w:eastAsia="zh-CN"/>
        </w:rPr>
        <w:t>具体的</w:t>
      </w:r>
      <w:r>
        <w:rPr>
          <w:rFonts w:hint="default" w:ascii="Times New Roman" w:hAnsi="Times New Roman" w:eastAsia="宋体" w:cs="Times New Roman"/>
          <w:kern w:val="0"/>
          <w:sz w:val="24"/>
        </w:rPr>
        <w:t>人员配置计划如下：</w:t>
      </w:r>
    </w:p>
    <w:p>
      <w:pPr>
        <w:widowControl w:val="0"/>
        <w:bidi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表</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7.1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运维服务人员配置计划表</w:t>
      </w:r>
    </w:p>
    <w:tbl>
      <w:tblPr>
        <w:tblStyle w:val="5"/>
        <w:tblW w:w="8264" w:type="dxa"/>
        <w:jc w:val="center"/>
        <w:tblInd w:w="0" w:type="dxa"/>
        <w:tblLayout w:type="fixed"/>
        <w:tblCellMar>
          <w:top w:w="0" w:type="dxa"/>
          <w:left w:w="108" w:type="dxa"/>
          <w:bottom w:w="0" w:type="dxa"/>
          <w:right w:w="108" w:type="dxa"/>
        </w:tblCellMar>
      </w:tblPr>
      <w:tblGrid>
        <w:gridCol w:w="842"/>
        <w:gridCol w:w="2150"/>
        <w:gridCol w:w="842"/>
        <w:gridCol w:w="4430"/>
      </w:tblGrid>
      <w:tr>
        <w:tblPrEx>
          <w:tblLayout w:type="fixed"/>
        </w:tblPrEx>
        <w:trPr>
          <w:tblHeader/>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序号</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岗位名称</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人数</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主要职责</w:t>
            </w:r>
          </w:p>
        </w:tc>
      </w:tr>
      <w:tr>
        <w:tblPrEx>
          <w:tblLayout w:type="fixed"/>
          <w:tblCellMar>
            <w:top w:w="0" w:type="dxa"/>
            <w:left w:w="108" w:type="dxa"/>
            <w:bottom w:w="0" w:type="dxa"/>
            <w:right w:w="108" w:type="dxa"/>
          </w:tblCellMar>
        </w:tblPrEx>
        <w:trPr>
          <w:trHeight w:val="90" w:hRule="atLeast"/>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项目经理</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统筹项目履约、接口对接、进度质量管控、考核配合等</w:t>
            </w:r>
          </w:p>
        </w:tc>
      </w:tr>
      <w:tr>
        <w:tblPrEx>
          <w:tblLayout w:type="fixed"/>
          <w:tblCellMar>
            <w:top w:w="0" w:type="dxa"/>
            <w:left w:w="108" w:type="dxa"/>
            <w:bottom w:w="0" w:type="dxa"/>
            <w:right w:w="108" w:type="dxa"/>
          </w:tblCellMar>
        </w:tblPrEx>
        <w:trPr>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服务台（坐席）</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2</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7×24小时受理故障申告、工单派发、跟踪闭环、满意度回访等</w:t>
            </w:r>
          </w:p>
        </w:tc>
      </w:tr>
      <w:tr>
        <w:tblPrEx>
          <w:tblLayout w:type="fixed"/>
          <w:tblCellMar>
            <w:top w:w="0" w:type="dxa"/>
            <w:left w:w="108" w:type="dxa"/>
            <w:bottom w:w="0" w:type="dxa"/>
            <w:right w:w="108" w:type="dxa"/>
          </w:tblCellMar>
        </w:tblPrEx>
        <w:trPr>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系统运维工程师（财政驻场）</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财政局7个系统驻场运维、会计核算云系统全市培训指导等</w:t>
            </w:r>
          </w:p>
        </w:tc>
      </w:tr>
      <w:tr>
        <w:tblPrEx>
          <w:tblLayout w:type="fixed"/>
          <w:tblCellMar>
            <w:top w:w="0" w:type="dxa"/>
            <w:left w:w="108" w:type="dxa"/>
            <w:bottom w:w="0" w:type="dxa"/>
            <w:right w:w="108" w:type="dxa"/>
          </w:tblCellMar>
        </w:tblPrEx>
        <w:trPr>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4</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系统运维工程师（综合应用）</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11</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人社、住建、融媒体、文旅、发改、应急、教体、数据局等11个系统运维等</w:t>
            </w:r>
          </w:p>
        </w:tc>
      </w:tr>
      <w:tr>
        <w:tblPrEx>
          <w:tblLayout w:type="fixed"/>
          <w:tblCellMar>
            <w:top w:w="0" w:type="dxa"/>
            <w:left w:w="108" w:type="dxa"/>
            <w:bottom w:w="0" w:type="dxa"/>
            <w:right w:w="108" w:type="dxa"/>
          </w:tblCellMar>
        </w:tblPrEx>
        <w:trPr>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5</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网络安全运维工程师</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网络链路巡检、故障处置、链路开通变更、网络优化、安全运维等</w:t>
            </w:r>
          </w:p>
        </w:tc>
      </w:tr>
      <w:tr>
        <w:tblPrEx>
          <w:tblLayout w:type="fixed"/>
          <w:tblCellMar>
            <w:top w:w="0" w:type="dxa"/>
            <w:left w:w="108" w:type="dxa"/>
            <w:bottom w:w="0" w:type="dxa"/>
            <w:right w:w="108" w:type="dxa"/>
          </w:tblCellMar>
        </w:tblPrEx>
        <w:trPr>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前端设备运维工程师</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6</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视频监控、传感器、政务终端、机房配套设备巡检与维修等</w:t>
            </w:r>
          </w:p>
        </w:tc>
      </w:tr>
      <w:tr>
        <w:tblPrEx>
          <w:tblLayout w:type="fixed"/>
          <w:tblCellMar>
            <w:top w:w="0" w:type="dxa"/>
            <w:left w:w="108" w:type="dxa"/>
            <w:bottom w:w="0" w:type="dxa"/>
            <w:right w:w="108" w:type="dxa"/>
          </w:tblCellMar>
        </w:tblPrEx>
        <w:trPr>
          <w:jc w:val="center"/>
        </w:trPr>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7</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机房基础设施工程师</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3</w:t>
            </w:r>
          </w:p>
        </w:tc>
        <w:tc>
          <w:tcPr>
            <w:tcW w:w="4430" w:type="dxa"/>
            <w:tcBorders>
              <w:top w:val="single" w:color="000000" w:sz="4" w:space="0"/>
              <w:left w:val="single" w:color="000000" w:sz="4" w:space="0"/>
              <w:bottom w:val="single" w:color="000000" w:sz="4" w:space="0"/>
              <w:right w:val="single" w:color="000000" w:sz="4" w:space="0"/>
            </w:tcBorders>
            <w:noWrap w:val="0"/>
            <w:vAlign w:val="center"/>
          </w:tcPr>
          <w:p>
            <w:pPr>
              <w:widowControl w:val="0"/>
              <w:bidi w:val="0"/>
              <w:spacing w:line="240" w:lineRule="auto"/>
              <w:ind w:left="0" w:leftChars="0" w:right="0" w:rightChars="0" w:firstLine="0" w:firstLineChars="0"/>
              <w:jc w:val="center"/>
              <w:rPr>
                <w:rFonts w:hint="default" w:ascii="Times New Roman" w:hAnsi="Times New Roman" w:eastAsia="宋体" w:cs="宋体"/>
                <w:sz w:val="21"/>
                <w:szCs w:val="24"/>
                <w:lang w:val="en-US" w:eastAsia="zh-CN" w:bidi="ar-SA"/>
              </w:rPr>
            </w:pPr>
            <w:r>
              <w:rPr>
                <w:rFonts w:hint="default" w:ascii="Times New Roman" w:hAnsi="Times New Roman" w:eastAsia="宋体" w:cs="宋体"/>
                <w:sz w:val="21"/>
                <w:szCs w:val="24"/>
                <w:lang w:val="en-US" w:eastAsia="zh-CN" w:bidi="ar-SA"/>
              </w:rPr>
              <w:t>UPS、机房环境维护等</w:t>
            </w:r>
          </w:p>
        </w:tc>
      </w:tr>
    </w:tbl>
    <w:p>
      <w:pPr>
        <w:spacing w:line="360" w:lineRule="auto"/>
        <w:ind w:firstLine="480" w:firstLineChars="200"/>
        <w:jc w:val="both"/>
        <w:rPr>
          <w:rFonts w:hint="default" w:ascii="Times New Roman" w:hAnsi="Times New Roman" w:eastAsia="宋体" w:cs="Times New Roman"/>
          <w:kern w:val="0"/>
          <w:sz w:val="24"/>
        </w:rPr>
      </w:pP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76" w:name="_Toc12423"/>
      <w:r>
        <w:rPr>
          <w:rFonts w:hint="default" w:ascii="Times New Roman" w:hAnsi="Times New Roman" w:eastAsia="黑体" w:cs="Times New Roman"/>
          <w:bCs/>
          <w:kern w:val="2"/>
          <w:sz w:val="30"/>
          <w:szCs w:val="32"/>
          <w:lang w:val="en-US" w:eastAsia="zh-CN" w:bidi="ar-SA"/>
        </w:rPr>
        <w:t>项目实施进度</w:t>
      </w:r>
      <w:bookmarkEnd w:id="76"/>
    </w:p>
    <w:p>
      <w:pPr>
        <w:bidi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本项目服务期限为36个月（2026年至2028年）。项目进度</w:t>
      </w:r>
      <w:r>
        <w:rPr>
          <w:rFonts w:hint="default" w:ascii="Times New Roman" w:hAnsi="Times New Roman" w:eastAsia="宋体" w:cs="Times New Roman"/>
          <w:kern w:val="0"/>
          <w:sz w:val="24"/>
          <w:lang w:val="en-US" w:eastAsia="zh-CN"/>
        </w:rPr>
        <w:t>计划</w:t>
      </w:r>
      <w:r>
        <w:rPr>
          <w:rFonts w:hint="default" w:ascii="Times New Roman" w:hAnsi="Times New Roman" w:eastAsia="宋体" w:cs="Times New Roman"/>
          <w:kern w:val="0"/>
          <w:sz w:val="24"/>
        </w:rPr>
        <w:t>安排如下（具体时间以实际采购进程为准）：</w:t>
      </w:r>
    </w:p>
    <w:p>
      <w:pPr>
        <w:widowControl w:val="0"/>
        <w:bidi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7.2</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项目实施进度计划表</w:t>
      </w:r>
    </w:p>
    <w:tbl>
      <w:tblPr>
        <w:tblStyle w:val="6"/>
        <w:tblW w:w="85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416"/>
        <w:gridCol w:w="1578"/>
        <w:gridCol w:w="1596"/>
        <w:gridCol w:w="3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bookmarkStart w:id="77" w:name="_Toc14459"/>
            <w:r>
              <w:rPr>
                <w:rFonts w:ascii="Times New Roman" w:hAnsi="Times New Roman" w:eastAsia="宋体" w:cs="宋体"/>
                <w:b/>
                <w:kern w:val="0"/>
                <w:sz w:val="18"/>
              </w:rPr>
              <w:t>序号</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实施阶段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实施任务名称</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时间节点</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kern w:val="0"/>
                <w:sz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1</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项目规划阶段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挂网公示</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2026年7月</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挂网公示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项目规划阶段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服务方案编制</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2026年8月</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开展各使用单位需求调研与链路清单核实，完成服务方案及概算编制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3</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项目规划阶段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专家评审</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2026年9月</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组织专家评审论证，按评审意见修改完善服务方案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4</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项目规划阶段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项目招投标</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2026年9月</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完成招标文件编制，采用公开招标（联合体）方式组织评标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5</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过渡期阶段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过渡期运维延续</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存量合同到期日至本项目服务启动前</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由原运维单位延续承担运维责任，按原合同标准据实结算费用，确保服务不中断；过渡期衔接事项及费用承担方式在招标文件和合同中一并约定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6</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项目实施阶段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运维交接</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合同签订后1个月内</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与原运维单位完成资产、账号、网络拓扑、设备台账及未闭环故障事项交接；交接期内故障响应与安全事件处置责任由中标服务商承担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7</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项目实施阶段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常态化运维</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各年度服务期内</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按服务方案提供运维服务，月度检查、季度评价、按季度考核结果分期支付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8</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项目实施阶段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年度考核与续签</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各年度服务期末</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年度考核、费用结算、下年度合同签订（结合考核结果与财政评审结论）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7"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9</w:t>
            </w:r>
          </w:p>
        </w:tc>
        <w:tc>
          <w:tcPr>
            <w:tcW w:w="14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项目实施阶段</w:t>
            </w:r>
          </w:p>
        </w:tc>
        <w:tc>
          <w:tcPr>
            <w:tcW w:w="1578"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期末总验收</w:t>
            </w:r>
          </w:p>
        </w:tc>
        <w:tc>
          <w:tcPr>
            <w:tcW w:w="159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服务期满（2028年末）</w:t>
            </w:r>
          </w:p>
        </w:tc>
        <w:tc>
          <w:tcPr>
            <w:tcW w:w="3216" w:type="dxa"/>
            <w:noWrap w:val="0"/>
            <w:vAlign w:val="center"/>
          </w:tcPr>
          <w:p>
            <w:pPr>
              <w:spacing w:after="0" w:line="240" w:lineRule="auto"/>
              <w:ind w:left="0" w:leftChars="0" w:right="0" w:rightChars="0" w:firstLine="0" w:firstLineChars="0"/>
              <w:jc w:val="center"/>
              <w:rPr>
                <w:rFonts w:ascii="Times New Roman" w:hAnsi="Times New Roman" w:eastAsia="宋体" w:cs="宋体"/>
                <w:kern w:val="0"/>
                <w:sz w:val="24"/>
              </w:rPr>
            </w:pPr>
            <w:r>
              <w:rPr>
                <w:rFonts w:ascii="Times New Roman" w:hAnsi="Times New Roman" w:eastAsia="宋体" w:cs="宋体"/>
                <w:b w:val="0"/>
                <w:kern w:val="0"/>
                <w:sz w:val="18"/>
              </w:rPr>
              <w:t>整体服务验收、运维台账与资料移交、服务总结评价</w:t>
            </w:r>
          </w:p>
        </w:tc>
      </w:tr>
    </w:tbl>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r>
        <w:rPr>
          <w:rFonts w:hint="default" w:ascii="Times New Roman" w:hAnsi="Times New Roman" w:eastAsia="黑体" w:cs="Times New Roman"/>
          <w:bCs/>
          <w:kern w:val="2"/>
          <w:sz w:val="30"/>
          <w:szCs w:val="32"/>
          <w:lang w:val="en-US" w:eastAsia="zh-CN" w:bidi="ar-SA"/>
        </w:rPr>
        <w:t>培训需求和计划</w:t>
      </w:r>
      <w:bookmarkEnd w:id="77"/>
    </w:p>
    <w:p>
      <w:pPr>
        <w:numPr>
          <w:ilvl w:val="0"/>
          <w:numId w:val="32"/>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培训目标。通过培训提升使用单位操作人员系统应用能力和运维服务机构人员服务能力，落实运维人员监管率100%要求，建设与统一运维体系相适应的信息化人力资源。</w:t>
      </w:r>
    </w:p>
    <w:p>
      <w:pPr>
        <w:numPr>
          <w:ilvl w:val="0"/>
          <w:numId w:val="32"/>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培训对象与内容。运维人员培训：运维制度流程、各系统技术架构、应急处置流程，实行岗前培训与持续培训；使用单位操作人员培训：按各系统服务标准执行，包括会计核算云系统业务培训（服务全市行政事业单位）、城建档案系统标准培训（每年不少于1次）、三防平台操作培训（不限次数）、网站群及政务新媒体培训等；安全培训：网络安全意识、安全操作规范、数据安全管理要求。</w:t>
      </w:r>
    </w:p>
    <w:p>
      <w:pPr>
        <w:numPr>
          <w:ilvl w:val="0"/>
          <w:numId w:val="32"/>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培训安排。培训纳入年度服务计划与考核内容，采取集中培训、远程培训、现场指导相结合方式；培训教材、课件、签到及考核记录纳入运维台账管理。</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78" w:name="_Toc12931"/>
      <w:r>
        <w:rPr>
          <w:rFonts w:hint="default" w:ascii="Times New Roman" w:hAnsi="Times New Roman" w:eastAsia="黑体" w:cs="Times New Roman"/>
          <w:bCs/>
          <w:kern w:val="2"/>
          <w:sz w:val="30"/>
          <w:szCs w:val="32"/>
          <w:lang w:val="en-US" w:eastAsia="zh-CN" w:bidi="ar-SA"/>
        </w:rPr>
        <w:t>项目质量保障</w:t>
      </w:r>
      <w:bookmarkEnd w:id="78"/>
    </w:p>
    <w:p>
      <w:pPr>
        <w:numPr>
          <w:ilvl w:val="0"/>
          <w:numId w:val="33"/>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服务考核。建立月度检查、季度评价、年度考核相结合的考核机制，考核指标涵盖响应时限达成率、故障处理及时率、系统在线率、用户满意度等；考核结果与费用结算、年度合同续签挂钩，落实绩效评价覆盖率100%。</w:t>
      </w:r>
    </w:p>
    <w:p>
      <w:pPr>
        <w:numPr>
          <w:ilvl w:val="0"/>
          <w:numId w:val="33"/>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验收管理。实行分年度验收与期末总验收：每年度服务期满，由采购人依据年度考核结果与运维台账组织年度服务验收；三年服务期满，组织整体验收，办理运维台账、系统资料及有关资产移交。</w:t>
      </w:r>
    </w:p>
    <w:p>
      <w:pPr>
        <w:numPr>
          <w:ilvl w:val="0"/>
          <w:numId w:val="33"/>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监督机制。市数据局对项目实施情况实行监督并定期通报；市大数据中心监督全市统一运维故障报修及处理情况；使用单位对服务质量进行反馈评价，评价结果纳入考核。</w:t>
      </w:r>
    </w:p>
    <w:p>
      <w:pPr>
        <w:numPr>
          <w:ilvl w:val="0"/>
          <w:numId w:val="33"/>
        </w:numPr>
        <w:bidi w:val="0"/>
        <w:spacing w:line="360" w:lineRule="auto"/>
        <w:ind w:left="0" w:leftChars="0"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应急管理。运维服务机构应编制应急预案并每年组织应急演练，包括攻防演习24小时值班值守、重大活动期间专人值守与网络保障（按相关部门要求24小时安排工作人员值守、抢修）</w:t>
      </w:r>
      <w:r>
        <w:rPr>
          <w:rFonts w:hint="default" w:ascii="Times New Roman" w:hAnsi="Times New Roman" w:eastAsia="宋体" w:cs="Times New Roman"/>
          <w:kern w:val="0"/>
          <w:sz w:val="24"/>
          <w:lang w:eastAsia="zh-CN"/>
        </w:rPr>
        <w:t>。</w:t>
      </w:r>
    </w:p>
    <w:p>
      <w:pPr>
        <w:bidi w:val="0"/>
        <w:rPr>
          <w:rFonts w:hint="default" w:ascii="Times New Roman" w:hAnsi="Times New Roman" w:cs="Times New Roman"/>
          <w:highlight w:val="none"/>
        </w:rPr>
        <w:sectPr>
          <w:pgSz w:w="11906" w:h="16838"/>
          <w:pgMar w:top="1440" w:right="1797" w:bottom="1440" w:left="1797" w:header="794" w:footer="397" w:gutter="0"/>
          <w:pgNumType w:fmt="decimal"/>
          <w:cols w:space="720" w:num="1"/>
          <w:docGrid w:linePitch="326" w:charSpace="0"/>
        </w:sectPr>
      </w:pP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79" w:name="_Toc28042"/>
      <w:r>
        <w:rPr>
          <w:rFonts w:hint="default" w:ascii="Times New Roman" w:hAnsi="Times New Roman" w:eastAsia="黑体" w:cs="Times New Roman"/>
          <w:b/>
          <w:bCs/>
          <w:kern w:val="44"/>
          <w:sz w:val="32"/>
          <w:szCs w:val="44"/>
          <w:lang w:val="en-US" w:eastAsia="zh-CN" w:bidi="ar-SA"/>
        </w:rPr>
        <w:t>效益与风险分析</w:t>
      </w:r>
      <w:bookmarkEnd w:id="79"/>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80" w:name="_Toc26827"/>
      <w:r>
        <w:rPr>
          <w:rFonts w:hint="default" w:ascii="Times New Roman" w:hAnsi="Times New Roman" w:eastAsia="黑体" w:cs="Times New Roman"/>
          <w:bCs/>
          <w:kern w:val="2"/>
          <w:sz w:val="30"/>
          <w:szCs w:val="32"/>
          <w:lang w:val="en-US" w:eastAsia="zh-CN" w:bidi="ar-SA"/>
        </w:rPr>
        <w:t>项目的经济效益和社会效益分析</w:t>
      </w:r>
      <w:bookmarkEnd w:id="80"/>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81" w:name="_Toc6608"/>
      <w:r>
        <w:rPr>
          <w:rFonts w:hint="default" w:ascii="Times New Roman" w:hAnsi="Times New Roman" w:eastAsia="黑体" w:cs="Times New Roman"/>
          <w:bCs/>
          <w:kern w:val="2"/>
          <w:sz w:val="28"/>
          <w:szCs w:val="32"/>
          <w:lang w:val="en-US" w:eastAsia="zh-CN" w:bidi="ar-SA"/>
        </w:rPr>
        <w:t>经济效益分析</w:t>
      </w:r>
      <w:bookmarkEnd w:id="81"/>
    </w:p>
    <w:p>
      <w:pPr>
        <w:numPr>
          <w:ilvl w:val="0"/>
          <w:numId w:val="34"/>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直接节约运维资金。按照改革实施方案确定的目标，2026年底全市运维总费用在2025年降本增效基础上再压减5%以上。本项目通过统一采购、集中谈判实现规模议价，有效降低单个部门分散采购溢价。同时，通过统一运维服务标准的制定与执行，消除各部门运维服务的重复性配置，实现财政资金的集约化使用。</w:t>
      </w:r>
    </w:p>
    <w:p>
      <w:pPr>
        <w:numPr>
          <w:ilvl w:val="0"/>
          <w:numId w:val="34"/>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减少重复投资与管理成本。降低了各部门分散组织采购、分散管理合同产生的交易成本与管理成本；统一运维台账与工单体系减少了各部门各自建立台账、分别派单的系统性损耗。通过整合信息系统、网络链路及前端感知设备的运维需求，实现运维管理流程的统一规范，降低管理协调成本。</w:t>
      </w:r>
    </w:p>
    <w:p>
      <w:pPr>
        <w:numPr>
          <w:ilvl w:val="0"/>
          <w:numId w:val="34"/>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延长存量资产使用寿命。通过对路视频监控、前端感知设备、IT设备等的统一维保与预防性维护，及时发现并排除潜在故障，延长设备使用寿命，降低更新置换支出。统一的运维团队具备专业技术能力，可对存量资产进行定期巡检、保养和性能优化，提高资产使用效率，减少因设备故障导致的业务中断损失。</w:t>
      </w:r>
    </w:p>
    <w:p>
      <w:pPr>
        <w:numPr>
          <w:ilvl w:val="0"/>
          <w:numId w:val="34"/>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提升财政资金使用效益。实行运维服务绩效考核，将运维经费拨付与服务质量挂钩，建立"服务优质优价、服务不达标扣减"的激励约束机制，倒逼运维单位提升服务质量，确保财政资金用在刀刃上。同时，通过统一运维降低各使用单位的隐性运行成本，释放各单位人力资源专注核心业务发展。</w:t>
      </w:r>
    </w:p>
    <w:p>
      <w:pPr>
        <w:numPr>
          <w:ilvl w:val="0"/>
          <w:numId w:val="34"/>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带动本地IT服务产业发展。项目采用联合体投标方式，引入具备综合技术实力的运维服务商，带动本地信息技术服务生态发展，培育本土运维服务能力，形成可持续的运维服务体系。</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82" w:name="_Toc25364"/>
      <w:r>
        <w:rPr>
          <w:rFonts w:hint="default" w:ascii="Times New Roman" w:hAnsi="Times New Roman" w:eastAsia="黑体" w:cs="Times New Roman"/>
          <w:bCs/>
          <w:kern w:val="2"/>
          <w:sz w:val="28"/>
          <w:szCs w:val="32"/>
          <w:lang w:val="en-US" w:eastAsia="zh-CN" w:bidi="ar-SA"/>
        </w:rPr>
        <w:t>社会效益分析</w:t>
      </w:r>
      <w:bookmarkEnd w:id="82"/>
    </w:p>
    <w:p>
      <w:pPr>
        <w:numPr>
          <w:ilvl w:val="0"/>
          <w:numId w:val="35"/>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保障政务服务连续稳定。18个系统支撑财政核算、社会保障、就业服务、房地产市场监管、交通非现场执法、校车安全监管、应急指挥、政务公开与宣传等核心政务业务，统一运维可有效避免因运维服务不到位导致的系统故障和业务中断风险，确保政务服务"不打烊"、不降速，持续提升企业和群众办事体验。</w:t>
      </w:r>
    </w:p>
    <w:p>
      <w:pPr>
        <w:numPr>
          <w:ilvl w:val="0"/>
          <w:numId w:val="35"/>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提升网络安全保障水平。落实网络安全等级保护和数据安全管理要求，建立统一监测预警与应急响应体系，防范核心业务中断和数据泄露风险，切实守护政务数据安全与公民个人信息安全。通过统一的安全运维服务，实现安全事件的统一发现、统一处置和统一报告，提升整体安全防护效能。</w:t>
      </w:r>
    </w:p>
    <w:p>
      <w:pPr>
        <w:numPr>
          <w:ilvl w:val="0"/>
          <w:numId w:val="35"/>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支撑改革目标实现。项目实施直接支撑监测覆盖率、安全管理覆盖率、运维人员监管率、绩效评价覆盖率100%等改革目标达成，助推临湘打造全省县域大运维大安全改革标杆，为全市推广提供可复制可借鉴的经验模式。</w:t>
      </w:r>
    </w:p>
    <w:p>
      <w:pPr>
        <w:numPr>
          <w:ilvl w:val="0"/>
          <w:numId w:val="35"/>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提升数字治理能力。通过统一运维台账、智能监测预警和绩效化管理，推动运维管理从被动响应向主动预防转变，为全市数字政府建设和数字化转型提供长期基础支撑。统一运维积累的运行数据和经验反馈，可为后续信息化项目规划和建设决策提供参考依据。</w:t>
      </w:r>
    </w:p>
    <w:p>
      <w:pPr>
        <w:numPr>
          <w:ilvl w:val="0"/>
          <w:numId w:val="35"/>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促进部门协同与资源共享。打破部门间信息壁垒，推动运维资源跨部门共享共用，避免"烟囱式"运维各自为政，提升全市政务信息化整体运维效能。通过统一运维平台的建设和应用，促进各部门之间的数据互通和业务协同。</w:t>
      </w:r>
    </w:p>
    <w:p>
      <w:pPr>
        <w:numPr>
          <w:ilvl w:val="0"/>
          <w:numId w:val="35"/>
        </w:numPr>
        <w:spacing w:line="360" w:lineRule="auto"/>
        <w:ind w:left="0" w:leftChars="0"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提升群众满意度。系统稳定运行直接关系群众办事便利度。通过高质量运维服务保障系统可用性，减少群众办事"跑断腿""等太久"等问题，提升群众对政务服务的获得感和满意度。</w:t>
      </w: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83" w:name="_Toc25660"/>
      <w:r>
        <w:rPr>
          <w:rFonts w:hint="default" w:ascii="Times New Roman" w:hAnsi="Times New Roman" w:eastAsia="黑体" w:cs="Times New Roman"/>
          <w:bCs/>
          <w:kern w:val="2"/>
          <w:sz w:val="30"/>
          <w:szCs w:val="32"/>
          <w:lang w:val="en-US" w:eastAsia="zh-CN" w:bidi="ar-SA"/>
        </w:rPr>
        <w:t>项目风险与风险对策</w:t>
      </w:r>
      <w:bookmarkEnd w:id="83"/>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84" w:name="_Toc13334"/>
      <w:r>
        <w:rPr>
          <w:rFonts w:hint="default" w:ascii="Times New Roman" w:hAnsi="Times New Roman" w:eastAsia="黑体" w:cs="Times New Roman"/>
          <w:bCs/>
          <w:kern w:val="2"/>
          <w:sz w:val="28"/>
          <w:szCs w:val="32"/>
          <w:lang w:val="en-US" w:eastAsia="zh-CN" w:bidi="ar-SA"/>
        </w:rPr>
        <w:t>项目风险</w:t>
      </w:r>
      <w:bookmarkEnd w:id="84"/>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本项目为全市非涉密信息系统一体化运维服务项目，覆盖范围广、涉及主体多、服务周期长，实施过程中主要存在以下风险：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1. 政策风险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本项目是落实省、市、县三级 “大运维大安全” 改革的政策性落地项目，若后续政务信息化改革政策、运维管理体制、安全监管要求发生调整，可能导致服务范围、服务标准、管理机制发生变动，影响项目实施的连续性与预算适配性。</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2. 市场风险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本项目涵盖系统运维、网络租赁、硬件维保、安全服务等多个专业领域，需采用联合体模式招标。若细分领域服务商供给不足、市场竞争不充分，可能导致中标价格偏离预期；若联合体内部职责划分不清、协同不畅，可能出现服务短板、责任推诿等问题，影响整体服务质量。</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3. 管理风险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项目覆盖政务信息系统、网络链路、数千台前端设备，涉及数十个市直部门及乡镇街道，管理跨度大、协同主体多。若统一管理机制不健全、部门协同不到位、资产台账底数不清，可能出现运维责任边界模糊、故障处置推诿、新旧服务衔接断档等问题；运维人员流动性大、监管不到位，也会影响服务稳定性。</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4. 安全风险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运维对象涵盖财政、人社、住建、交通等核心业务系统，涉及大量政务数据和公民个人信息。若运维过程中权限管控不严、操作留痕不全、数据备份机制失效，可能引发数据泄露、系统被入侵、业务中断等安全事件；同时网络攻击技术持续迭代，现有防护措施存在滞后性，无法完全抵御新型威胁。</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5. 投资风险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项目服务期限 3 年，若年度财政预算调整、资金拨付不及时，可能影响运维服务连续性；若业务需求变化、服务范围调整导致工作量增加，可能出现投资超支风险；存量资产统计偏差、隐性运维需求摸排不充分，也可能导致概算与实际支出存在差异。</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6. 进度风险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全市多数存量运维合同于 2025 年底到期，若立项、财政评审、招标采购等前期环节进度滞后，可能出现新旧运维服务衔接空档，影响核心业务系统正常运行；部分老旧系统技术资料缺失、资产情况复杂，也可能延长交接周期。</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7. 质量风险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各政务系统建设年代不一、技术架构差异大，部分老旧系统缺乏完整技术文档，运维服务商对系统熟悉程度不足，可能导致故障处置不及时、问题解决不彻底；若服务考核指标细化不足、考核执行不严，可能出现服务质量下降、响应超时等问题。</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8. 技术风险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政务信息化技术迭代快，信创适配、云原生架构升级等要求不断提升，现有运维技术能力可能无法适配未来技术演进；部分专用硬件设备（如治超检测设备、校车监控终端）厂商技术壁垒高，备件供应不足，可能导致故障维修周期长、成本高。</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9. 业务需求变化风险</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政务服务改革持续推进，各部门职能调整、流程优化、新增业务场景等情况，可能导致系统功能变更、接口调整、链路增减，超出原定运维服务范围，增加运维复杂度和工作量。</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85" w:name="_Toc19461"/>
      <w:r>
        <w:rPr>
          <w:rFonts w:hint="default" w:ascii="Times New Roman" w:hAnsi="Times New Roman" w:eastAsia="黑体" w:cs="Times New Roman"/>
          <w:bCs/>
          <w:kern w:val="2"/>
          <w:sz w:val="28"/>
          <w:szCs w:val="32"/>
          <w:lang w:val="en-US" w:eastAsia="zh-CN" w:bidi="ar-SA"/>
        </w:rPr>
        <w:t>风险对策</w:t>
      </w:r>
      <w:bookmarkEnd w:id="85"/>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针对上述风险，制定相应防控措施如下：</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1. 政策风险对策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建立政策动态跟踪研判机制，密切关注国家、省、市政务信息化及大运维大安全改革政策动向，及时调整服务方案和管理机制，确保项目实施始终符合最新政策要求。在年度合同中预留政策调整适配条款，明确政策变动时服务内容变更和费用调整机制，保障项目合规性和连续性。</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2. 市场风险对策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合理设置投标人资格条件和联合体投标规则，明确联合体牵头方主体责任与连带责任，拓宽合格服务商范围，保障充分竞争。招标前开展充分市场调研，掌握各服务类别市场价格水平，合理设置预算限价。合同中明确服务质量标准、违约处罚条款和退出机制，严格约束服务商履约行为。</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3. 管理风险对策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建立市数据局统筹、市大数据中心具体实施、各使用单位协同的三级管理机制，明确各方职责边界。搭建统一运维台账和工单系统，实现故障受理、派单、处置、销号全流程闭环管理，厘清运维责任。建立跨部门协调例会制度，统一服务接口和响应流程，及时解决协同问题。实行运维人员备案制和关键岗位 AB 角制度，保持服务团队相对稳定。</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4.安全风险对策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严格落实网络安全等级保护和数据安全管理要求，将安全管控嵌入运维全流程，实行运维权限最小化、操作全程留痕、定期安全审计。建立统一安全监测预警体系，7×24 小时监测系统运行状态和网络攻击行为，及时更新安全防护策略和病毒特征库。完善数据备份和容灾机制，定期开展备份恢复演练和应急演练，确保核心业务数据不丢失、业务中断可快速恢复。与运维服务商签订保密协议，明确保密责任和处罚条款。</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5. 投资风险对策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加强预算全周期管理，按年度细化资金使用计划，主动对接财政部门保障年度运维经费足额纳入预算。严格控制服务范围变更，确需调整的按规定程序履行审批手续，同步调整费用。全面摸排存量资产和运维需求，做实做细概算编制，减少偏差。建立经费动态调整机制，年度考核结果与费用结算挂钩，实现 “优绩优价、不达标扣减”。</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6. 进度风险对策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倒排前期工作节点，明确立项、财政评审、招标各环节时限，加快推进采购流程。提前梳理各系统存量合同到期时间，编制 “一系统一交接” 方案，明确交接清单、责任人和过渡期安排，采用 “并行交接、先接后撤” 模式，避免服务断档。提前开展系统资料清查和资产盘点，为服务交接做好准备。</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7. 质量风险对策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建立月度检查、季度评价、年度考核的多级质量考核机制，细化响应时限、系统在线率、故障修复率、用户满意度等量化考核指标，考核结果直接与费用结算、合同续签挂钩。要求运维服务商提前开展系统调研和技术交底，配备熟悉各业务系统的专职技术人员。建立问题复盘机制，对典型故障进行根因分析，持续优化运维服务。</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8. 技术风险对策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在运维服务中纳入技术升级适配要求，支持信创改造、架构优化等技术演进需求。建立运维技术能力培训机制，定期开展新技术、新设备运维技能培训，提升团队技术水平。针对专用硬件设备，提前储备备件资源或与厂商签订长效维保协议，缩短维修周期。推广智能化运维工具应用，提升故障自动发现和自动处置能力。</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9. 业务需求变化风险对策</w:t>
      </w:r>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建立需求变更管理流程，明确需求变更的申请、评估、审批和实施程序，区分常规运维和新增开发边界。对于业务调整带来的常规运维需求变更，纳入年度服务范围统筹优化；对于新增功能开发、大规模系统调整等超出运维范畴的需求，按规定另行立项实施。</w:t>
      </w:r>
    </w:p>
    <w:p>
      <w:pPr>
        <w:widowControl w:val="0"/>
        <w:spacing w:line="360" w:lineRule="auto"/>
        <w:ind w:firstLine="480" w:firstLineChars="200"/>
        <w:jc w:val="both"/>
        <w:rPr>
          <w:rFonts w:hint="default" w:ascii="Times New Roman" w:hAnsi="Times New Roman" w:eastAsia="宋体" w:cs="Times New Roman"/>
          <w:sz w:val="24"/>
          <w:szCs w:val="24"/>
          <w:lang w:val="en-US" w:eastAsia="zh-CN" w:bidi="ar-SA"/>
        </w:rPr>
      </w:pPr>
    </w:p>
    <w:p>
      <w:pPr>
        <w:bidi w:val="0"/>
        <w:rPr>
          <w:rFonts w:hint="default" w:ascii="Times New Roman" w:hAnsi="Times New Roman" w:cs="Times New Roman"/>
          <w:highlight w:val="none"/>
          <w:lang w:eastAsia="zh-CN"/>
        </w:rPr>
        <w:sectPr>
          <w:pgSz w:w="11906" w:h="16838"/>
          <w:pgMar w:top="1440" w:right="1797" w:bottom="1440" w:left="1797" w:header="794" w:footer="397" w:gutter="0"/>
          <w:pgNumType w:fmt="decimal"/>
          <w:cols w:space="720" w:num="1"/>
          <w:docGrid w:linePitch="326" w:charSpace="0"/>
        </w:sectPr>
      </w:pPr>
    </w:p>
    <w:p>
      <w:pPr>
        <w:keepNext/>
        <w:keepLines/>
        <w:widowControl w:val="0"/>
        <w:numPr>
          <w:ilvl w:val="0"/>
          <w:numId w:val="1"/>
        </w:numPr>
        <w:bidi w:val="0"/>
        <w:spacing w:before="100" w:beforeLines="100" w:after="100" w:afterLines="100" w:line="360" w:lineRule="auto"/>
        <w:ind w:left="0" w:firstLine="0" w:firstLineChars="0"/>
        <w:jc w:val="both"/>
        <w:outlineLvl w:val="0"/>
        <w:rPr>
          <w:rFonts w:hint="default" w:ascii="Times New Roman" w:hAnsi="Times New Roman" w:eastAsia="黑体" w:cs="Times New Roman"/>
          <w:b/>
          <w:bCs/>
          <w:kern w:val="44"/>
          <w:sz w:val="32"/>
          <w:szCs w:val="44"/>
          <w:lang w:val="en-US" w:eastAsia="zh-CN" w:bidi="ar-SA"/>
        </w:rPr>
      </w:pPr>
      <w:bookmarkStart w:id="86" w:name="_Toc11862"/>
      <w:r>
        <w:rPr>
          <w:rFonts w:hint="default" w:ascii="Times New Roman" w:hAnsi="Times New Roman" w:eastAsia="黑体" w:cs="Times New Roman"/>
          <w:b/>
          <w:bCs/>
          <w:kern w:val="44"/>
          <w:sz w:val="32"/>
          <w:szCs w:val="44"/>
          <w:lang w:val="en-US" w:eastAsia="zh-CN" w:bidi="ar-SA"/>
        </w:rPr>
        <w:t>投资概算</w:t>
      </w:r>
      <w:bookmarkEnd w:id="86"/>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87" w:name="_Toc24907"/>
      <w:r>
        <w:rPr>
          <w:rFonts w:hint="default" w:ascii="Times New Roman" w:hAnsi="Times New Roman" w:eastAsia="黑体" w:cs="Times New Roman"/>
          <w:bCs/>
          <w:kern w:val="2"/>
          <w:sz w:val="30"/>
          <w:szCs w:val="32"/>
          <w:lang w:val="en-US" w:eastAsia="zh-CN" w:bidi="ar-SA"/>
        </w:rPr>
        <w:t>投资概算的有关说明</w:t>
      </w:r>
      <w:bookmarkEnd w:id="87"/>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88" w:name="_Toc30757"/>
      <w:r>
        <w:rPr>
          <w:rFonts w:hint="default" w:ascii="Times New Roman" w:hAnsi="Times New Roman" w:eastAsia="黑体" w:cs="Times New Roman"/>
          <w:bCs/>
          <w:kern w:val="2"/>
          <w:sz w:val="28"/>
          <w:szCs w:val="32"/>
          <w:lang w:val="en-US" w:eastAsia="zh-CN" w:bidi="ar-SA"/>
        </w:rPr>
        <w:t>编制依据</w:t>
      </w:r>
      <w:bookmarkEnd w:id="88"/>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1. 政策文件依据：《岳阳市市本级政务信息化项目建设管理办法》（岳政办发〔2023〕10号）、《湖南省省直单位政务信息系统项目概算编制与评审工作指南（试行）》（湘发改高技〔2022〕1056号）、《湖南省省直单位政府投资信息化项目预算编制与财政评审工作指南（试行）》（湘财办〔2024〕10号）、《临湘市非涉密政务信息系统大运维大安全改革实施方案》（临办发〔2026〕12号）等相关管理规定与技术标准。</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2. 市场价格依据：岳阳市、临湘市历年来同类运维服务采购合同及中标价格；当前政务云资源、网络链路、硬件维保、安全服务等市场公允价格水平；网络线路租赁与运维管理服务行业人工成本标准。</w:t>
      </w:r>
    </w:p>
    <w:p>
      <w:pPr>
        <w:spacing w:after="60" w:line="360" w:lineRule="auto"/>
        <w:ind w:left="240" w:firstLine="480" w:firstLineChars="200"/>
        <w:rPr>
          <w:rFonts w:ascii="Times New Roman" w:hAnsi="Times New Roman" w:eastAsia="宋体" w:cs="宋体"/>
          <w:kern w:val="0"/>
          <w:sz w:val="24"/>
        </w:rPr>
      </w:pPr>
      <w:r>
        <w:rPr>
          <w:rFonts w:ascii="Times New Roman" w:hAnsi="Times New Roman" w:eastAsia="宋体" w:cs="宋体"/>
          <w:b w:val="0"/>
          <w:kern w:val="0"/>
          <w:sz w:val="24"/>
        </w:rPr>
        <w:t>3. 取价依据与询价数据来源：本概算各项单价以上年度运维服务合同及同期市场询价为主要依据。其中信息系统运维、硬件设备运维单价参照上年度各类运维服务合同实际成交单价，按人月法测算（人月单价10000元/月）；网络链路租赁单价参照上年度数字化平台网络链路统一运维服务项目合同单价；云资源租赁单价参照上年度政务云资源租赁结算单价并计列折扣系数；设备更新替换设备类单价参照2026年度同类设备采购合同及厂商询价，服务类单价参照上年度各类运维服务合同及本地市场询价。</w:t>
      </w: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89" w:name="_Toc1819"/>
      <w:r>
        <w:rPr>
          <w:rFonts w:hint="default" w:ascii="Times New Roman" w:hAnsi="Times New Roman" w:eastAsia="黑体" w:cs="Times New Roman"/>
          <w:bCs/>
          <w:kern w:val="2"/>
          <w:sz w:val="28"/>
          <w:szCs w:val="32"/>
          <w:lang w:val="en-US" w:eastAsia="zh-CN" w:bidi="ar-SA"/>
        </w:rPr>
        <w:t>费用构成</w:t>
      </w:r>
      <w:bookmarkEnd w:id="89"/>
    </w:p>
    <w:p>
      <w:pPr>
        <w:spacing w:line="360" w:lineRule="auto"/>
        <w:ind w:firstLine="480" w:firstLineChars="200"/>
        <w:jc w:val="both"/>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val="en-US" w:eastAsia="zh-CN"/>
        </w:rPr>
        <w:t>本项目为购买服务类项目，投资概算为运维</w:t>
      </w:r>
      <w:r>
        <w:rPr>
          <w:rFonts w:hint="eastAsia" w:ascii="Times New Roman" w:hAnsi="Times New Roman" w:eastAsia="宋体" w:cs="Times New Roman"/>
          <w:kern w:val="0"/>
          <w:sz w:val="24"/>
          <w:lang w:val="en-US" w:eastAsia="zh-CN"/>
        </w:rPr>
        <w:t>及租赁</w:t>
      </w:r>
      <w:r>
        <w:rPr>
          <w:rFonts w:hint="default" w:ascii="Times New Roman" w:hAnsi="Times New Roman" w:eastAsia="宋体" w:cs="Times New Roman"/>
          <w:kern w:val="0"/>
          <w:sz w:val="24"/>
          <w:lang w:val="en-US" w:eastAsia="zh-CN"/>
        </w:rPr>
        <w:t>服务费用，不单独列支配套类费用，项目管理、质量管控等相关工作由建设单位统筹开展，相关需求纳入运维服务范围统一落实。</w:t>
      </w:r>
    </w:p>
    <w:p>
      <w:pPr>
        <w:tabs>
          <w:tab w:val="left" w:pos="0"/>
        </w:tabs>
        <w:bidi w:val="0"/>
        <w:rPr>
          <w:rFonts w:hint="default" w:ascii="Times New Roman" w:hAnsi="Times New Roman" w:cs="Times New Roman"/>
          <w:lang w:val="en-US" w:eastAsia="zh-CN"/>
        </w:rPr>
        <w:sectPr>
          <w:pgSz w:w="11906" w:h="16838"/>
          <w:pgMar w:top="1440" w:right="1797" w:bottom="1440" w:left="1797" w:header="794" w:footer="397" w:gutter="0"/>
          <w:pgNumType w:fmt="decimal"/>
          <w:cols w:space="720" w:num="1"/>
          <w:docGrid w:linePitch="326" w:charSpace="0"/>
        </w:sectPr>
      </w:pPr>
    </w:p>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90" w:name="_Toc17968"/>
      <w:r>
        <w:rPr>
          <w:rFonts w:hint="default" w:ascii="Times New Roman" w:hAnsi="Times New Roman" w:eastAsia="黑体" w:cs="Times New Roman"/>
          <w:bCs/>
          <w:kern w:val="2"/>
          <w:sz w:val="30"/>
          <w:szCs w:val="32"/>
          <w:lang w:val="en-US" w:eastAsia="zh-CN" w:bidi="ar-SA"/>
        </w:rPr>
        <w:t>项目投资概算汇总</w:t>
      </w:r>
      <w:bookmarkEnd w:id="90"/>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本项目按照3年服务期限计算，2026年度服务金额为867.21万元，其中信息系统运维费用为230.03万元；</w:t>
      </w:r>
      <w:r>
        <w:rPr>
          <w:rFonts w:hint="eastAsia" w:ascii="Times New Roman" w:hAnsi="Times New Roman" w:eastAsia="宋体" w:cs="Times New Roman"/>
          <w:kern w:val="0"/>
          <w:sz w:val="24"/>
          <w:highlight w:val="none"/>
          <w:lang w:val="en-US" w:eastAsia="zh-CN"/>
        </w:rPr>
        <w:t>网络线路租赁与运维管理服务费用为</w:t>
      </w:r>
      <w:r>
        <w:rPr>
          <w:rFonts w:hint="eastAsia" w:ascii="Times New Roman" w:hAnsi="Times New Roman" w:eastAsia="宋体" w:cs="宋体"/>
          <w:kern w:val="0"/>
          <w:sz w:val="24"/>
        </w:rPr>
        <w:t>364.39</w:t>
      </w:r>
      <w:r>
        <w:rPr>
          <w:rFonts w:hint="eastAsia" w:ascii="Times New Roman" w:hAnsi="Times New Roman" w:eastAsia="宋体" w:cs="宋体"/>
          <w:kern w:val="0"/>
          <w:sz w:val="24"/>
          <w:lang w:val="en-US" w:eastAsia="zh-CN"/>
        </w:rPr>
        <w:t>万元</w:t>
      </w:r>
      <w:r>
        <w:rPr>
          <w:rFonts w:hint="default" w:ascii="Times New Roman" w:hAnsi="Times New Roman" w:eastAsia="宋体" w:cs="Times New Roman"/>
          <w:kern w:val="0"/>
          <w:sz w:val="24"/>
          <w:highlight w:val="none"/>
          <w:lang w:val="en-US" w:eastAsia="zh-CN"/>
        </w:rPr>
        <w:t>；硬件设备运维费用136.90万元；设备更新替换费用67.00万元；云资源租赁服务费用35.00万元；其他服务运维费用33.89万元。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2027、2028年度，信息系统运维、网络线路租赁与运维管理服务、硬件设备运维、云资源租赁、其他服务等日常运维类服务维持2026年度服务标准与服务规模，年度费用800.21万元保持不变；设备更新替换费用不再按2026年度标准重复列支，按一次性投入、备品备件、服务性支出三类分年度据实测算：一次性投入类（软件功能模块、视频通道授权等）属一次性实施内容，2026年度实施完成后即行结束，2027、2028年度不再列支；备品备件类按存量设备分年度更换率测算，用于存量老旧设备故障更换，按实际发生据实结算并执行中标单价，未发生更换的备件结转下一年度继续使用，不重复计费；服务性支出类按年度延续列支。据此测算，设备更新替换费用2027年度为29.05万元、2028年度为21.33万元</w:t>
      </w:r>
      <w:r>
        <w:rPr>
          <w:rFonts w:hint="eastAsia" w:ascii="Times New Roman" w:hAnsi="Times New Roman" w:eastAsia="宋体" w:cs="Times New Roman"/>
          <w:kern w:val="0"/>
          <w:sz w:val="24"/>
          <w:highlight w:val="none"/>
          <w:lang w:val="en-US" w:eastAsia="zh-CN"/>
        </w:rPr>
        <w:t>，即</w:t>
      </w:r>
      <w:r>
        <w:rPr>
          <w:rFonts w:hint="default" w:ascii="Times New Roman" w:hAnsi="Times New Roman" w:eastAsia="宋体" w:cs="Times New Roman"/>
          <w:kern w:val="0"/>
          <w:sz w:val="24"/>
          <w:highlight w:val="none"/>
          <w:lang w:val="en-US" w:eastAsia="zh-CN"/>
        </w:rPr>
        <w:t>2027年度服务金额为829.26万元，2028年度服务金额为821.54万元</w:t>
      </w:r>
      <w:r>
        <w:rPr>
          <w:rFonts w:hint="eastAsia" w:ascii="Times New Roman" w:hAnsi="Times New Roman" w:eastAsia="宋体" w:cs="Times New Roman"/>
          <w:kern w:val="0"/>
          <w:sz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三年服务总金额为2518.01万元。</w:t>
      </w:r>
    </w:p>
    <w:p>
      <w:pPr>
        <w:spacing w:line="360" w:lineRule="auto"/>
        <w:ind w:firstLine="480" w:firstLineChars="200"/>
        <w:jc w:val="both"/>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rPr>
        <w:t>资金来源</w:t>
      </w:r>
      <w:r>
        <w:rPr>
          <w:rFonts w:hint="default" w:ascii="Times New Roman" w:hAnsi="Times New Roman" w:eastAsia="宋体" w:cs="Times New Roman"/>
          <w:kern w:val="0"/>
          <w:sz w:val="24"/>
          <w:highlight w:val="none"/>
          <w:lang w:val="en-US" w:eastAsia="zh-CN"/>
        </w:rPr>
        <w:t>于临湘市</w:t>
      </w:r>
      <w:r>
        <w:rPr>
          <w:rFonts w:hint="default" w:ascii="Times New Roman" w:hAnsi="Times New Roman" w:eastAsia="宋体" w:cs="Times New Roman"/>
          <w:kern w:val="0"/>
          <w:sz w:val="24"/>
          <w:highlight w:val="none"/>
        </w:rPr>
        <w:t>市本级财政资金。</w:t>
      </w:r>
    </w:p>
    <w:p>
      <w:pPr>
        <w:spacing w:line="360" w:lineRule="auto"/>
        <w:ind w:firstLine="480" w:firstLineChars="200"/>
        <w:jc w:val="both"/>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资金使用计划按年度合同约定分期支付，结合服务进度和验收情况拨付。</w:t>
      </w:r>
    </w:p>
    <w:p>
      <w:pPr>
        <w:widowControl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9.2</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项目投资概算汇总表</w:t>
      </w:r>
    </w:p>
    <w:tbl>
      <w:tblPr>
        <w:tblStyle w:val="5"/>
        <w:tblW w:w="139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7"/>
        <w:gridCol w:w="2470"/>
        <w:gridCol w:w="1440"/>
        <w:gridCol w:w="3432"/>
        <w:gridCol w:w="1527"/>
        <w:gridCol w:w="1527"/>
        <w:gridCol w:w="1527"/>
        <w:gridCol w:w="15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0" w:hRule="atLeast"/>
          <w:tblHeader/>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服务类别</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服务名称</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2026年度</w:t>
            </w:r>
          </w:p>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（万元）</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2027年度</w:t>
            </w:r>
          </w:p>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（万元）</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2028年度</w:t>
            </w:r>
          </w:p>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三年合计</w:t>
            </w:r>
          </w:p>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一</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2"/>
                <w:szCs w:val="22"/>
                <w:u w:val="none"/>
              </w:rPr>
            </w:pP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0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临湘市财政内控信息化综合管理平台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37.00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37.00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37.00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三防云平台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湖南省财政客户端安全监控管理系统</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临湘市财政业务查询分析系统</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23.00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U8财务软件</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预算管理一体化单位会计核算云系统</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7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临湘市财政局综合治税信息平台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56.00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临湘市人社局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金保工程二期人社分级分类运营服务</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9.90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9.90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9.90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29.70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临湘市住建局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临湘市城建档案系统</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7.20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临湘市住建局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房地产信息服务综合平台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6.40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6.40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6.40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临湘市融媒体中心</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5G智慧电台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临湘市文化旅游广电局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临湘市文化云平台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0.58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0.58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0.58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临湘市发改局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临湘市社会信用体系建设平台（信用临湘）</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临湘市应急局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临湘市综合指挥平台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临湘市教育体育局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临湘市校车监控平台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临湘市交通治超综合管理平台</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17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临湘市人民政府门户网站</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4.85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4.85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4.85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信息系统运维费用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临湘市政府网微信公众号</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786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小计1</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230.03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230.03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230.03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690.10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二</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网络线路租赁与运维管理费用</w:t>
            </w:r>
          </w:p>
        </w:tc>
        <w:tc>
          <w:tcPr>
            <w:tcW w:w="1440"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2"/>
                <w:szCs w:val="22"/>
                <w:u w:val="none"/>
              </w:rPr>
            </w:pP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0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网络线路租赁费用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临湘市数字化平台网络链路统一运维服务项目</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163.94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163.94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163.94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491.82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 </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网络运维管理费用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网络运维管理</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200.45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200.45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200.45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601.35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786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小计2</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364.39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364.39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364.39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1093.17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三</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2"/>
                <w:szCs w:val="22"/>
                <w:u w:val="none"/>
              </w:rPr>
            </w:pP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0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21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业务终端交付一体机系统2套运维(主用)</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22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业务终端交付一体机系统4套运维(主用)</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23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预算一体化系统驻场服务</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云平台4套，业务终端交付5套运维</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25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电池更换及机房硬件维修</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26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业务终端交付一体机系统2套运维(备用)</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27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部门预算终端维护服务</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28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机房维护和预算单位网络、硬件维护</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29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网络安全设备运维</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临湘市发改局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千兆光模块维护</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0.22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0.22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0.22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31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机房维护费（非煤矿山企业接入）</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32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临湘市数字化平台统一运维第三方技术服务项目</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34.00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34.00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34.00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33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硬件设备运维费用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前端摄像头同步管理授时服务器</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0.34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0.34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0.34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786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小计3</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136.90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136.90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136.90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410.70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四</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设备更新替换费用</w:t>
            </w:r>
          </w:p>
        </w:tc>
        <w:tc>
          <w:tcPr>
            <w:tcW w:w="1440"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2"/>
                <w:szCs w:val="22"/>
                <w:u w:val="none"/>
              </w:rPr>
            </w:pP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0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34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设备更新替换费用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防汛抗旱救灾主题场景应用一期建设项目</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37.00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46.98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35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设备更新替换费用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山塘水库防溺水视频监控平台端摄像头修复项目</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24.06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16.34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70.40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786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小计4</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67.00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29.05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21.33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117.38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五</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云资源租赁服务费用</w:t>
            </w:r>
          </w:p>
        </w:tc>
        <w:tc>
          <w:tcPr>
            <w:tcW w:w="1440"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2"/>
                <w:szCs w:val="22"/>
                <w:u w:val="none"/>
              </w:rPr>
            </w:pP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0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云资源租赁服务费用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政务云资源租赁</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786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小计5</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35.00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105.00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六</w:t>
            </w:r>
          </w:p>
        </w:tc>
        <w:tc>
          <w:tcPr>
            <w:tcW w:w="2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其他服务运维费用</w:t>
            </w:r>
          </w:p>
        </w:tc>
        <w:tc>
          <w:tcPr>
            <w:tcW w:w="1440"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2"/>
                <w:szCs w:val="22"/>
                <w:u w:val="none"/>
              </w:rPr>
            </w:pP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c>
          <w:tcPr>
            <w:tcW w:w="150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eastAsia" w:ascii="微软雅黑" w:hAnsi="微软雅黑" w:eastAsia="微软雅黑" w:cs="微软雅黑"/>
                <w:b/>
                <w:bCs/>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37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其他服务运维费用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临湘市财政局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三级安全等保测评</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38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其他服务运维费用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山塘水库防溺水视频监控摄像头5-8月电费、2-8月运维电费</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0.89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0.89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0.89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39 </w:t>
            </w:r>
          </w:p>
        </w:tc>
        <w:tc>
          <w:tcPr>
            <w:tcW w:w="247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其他服务运维费用</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临湘市数据局</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机房电费</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3" w:hRule="atLeast"/>
        </w:trPr>
        <w:tc>
          <w:tcPr>
            <w:tcW w:w="786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小计6</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33.89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33.89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33.89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101.67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7" w:hRule="atLeast"/>
        </w:trPr>
        <w:tc>
          <w:tcPr>
            <w:tcW w:w="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七</w:t>
            </w:r>
          </w:p>
        </w:tc>
        <w:tc>
          <w:tcPr>
            <w:tcW w:w="734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总计</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 xml:space="preserve">867.21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 xml:space="preserve">829.26 </w:t>
            </w:r>
          </w:p>
        </w:tc>
        <w:tc>
          <w:tcPr>
            <w:tcW w:w="1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 xml:space="preserve">821.54 </w:t>
            </w:r>
          </w:p>
        </w:tc>
        <w:tc>
          <w:tcPr>
            <w:tcW w:w="15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 xml:space="preserve">2518.01 </w:t>
            </w:r>
          </w:p>
        </w:tc>
      </w:tr>
    </w:tbl>
    <w:p>
      <w:pPr>
        <w:keepNext/>
        <w:keepLines/>
        <w:widowControl w:val="0"/>
        <w:numPr>
          <w:ilvl w:val="1"/>
          <w:numId w:val="1"/>
        </w:numPr>
        <w:tabs>
          <w:tab w:val="left" w:pos="0"/>
        </w:tabs>
        <w:bidi w:val="0"/>
        <w:spacing w:line="360" w:lineRule="auto"/>
        <w:ind w:firstLine="480" w:firstLineChars="0"/>
        <w:jc w:val="both"/>
        <w:outlineLvl w:val="1"/>
        <w:rPr>
          <w:rFonts w:hint="default" w:ascii="Times New Roman" w:hAnsi="Times New Roman" w:eastAsia="黑体" w:cs="Times New Roman"/>
          <w:bCs/>
          <w:kern w:val="2"/>
          <w:sz w:val="30"/>
          <w:szCs w:val="32"/>
          <w:lang w:val="en-US" w:eastAsia="zh-CN" w:bidi="ar-SA"/>
        </w:rPr>
      </w:pPr>
      <w:bookmarkStart w:id="91" w:name="_Toc20908"/>
      <w:r>
        <w:rPr>
          <w:rFonts w:hint="default" w:ascii="Times New Roman" w:hAnsi="Times New Roman" w:eastAsia="黑体" w:cs="Times New Roman"/>
          <w:bCs/>
          <w:kern w:val="2"/>
          <w:sz w:val="30"/>
          <w:szCs w:val="32"/>
          <w:lang w:val="en-US" w:eastAsia="zh-CN" w:bidi="ar-SA"/>
        </w:rPr>
        <w:t>项目分项投资费用明细</w:t>
      </w:r>
      <w:bookmarkEnd w:id="91"/>
    </w:p>
    <w:p>
      <w:pPr>
        <w:bidi w:val="0"/>
        <w:spacing w:line="360" w:lineRule="auto"/>
        <w:ind w:firstLine="480" w:firstLineChars="200"/>
        <w:jc w:val="both"/>
        <w:rPr>
          <w:rFonts w:hint="default" w:ascii="Times New Roman" w:hAnsi="Times New Roman" w:eastAsia="宋体" w:cs="Times New Roman"/>
          <w:kern w:val="0"/>
          <w:sz w:val="24"/>
          <w:lang w:eastAsia="zh-CN"/>
        </w:rPr>
      </w:pPr>
      <w:r>
        <w:rPr>
          <w:rFonts w:hint="default" w:ascii="Times New Roman" w:hAnsi="Times New Roman" w:eastAsia="宋体" w:cs="Times New Roman"/>
          <w:kern w:val="0"/>
          <w:sz w:val="24"/>
          <w:lang w:eastAsia="zh-CN"/>
        </w:rPr>
        <w:t>本项目全部投资均为</w:t>
      </w:r>
      <w:r>
        <w:rPr>
          <w:rFonts w:hint="default" w:ascii="Times New Roman" w:hAnsi="Times New Roman" w:eastAsia="宋体" w:cs="Times New Roman"/>
          <w:kern w:val="0"/>
          <w:sz w:val="24"/>
          <w:lang w:val="en-US" w:eastAsia="zh-CN"/>
        </w:rPr>
        <w:t>运维</w:t>
      </w:r>
      <w:r>
        <w:rPr>
          <w:rFonts w:hint="default" w:ascii="Times New Roman" w:hAnsi="Times New Roman" w:eastAsia="宋体" w:cs="Times New Roman"/>
          <w:kern w:val="0"/>
          <w:sz w:val="24"/>
          <w:lang w:eastAsia="zh-CN"/>
        </w:rPr>
        <w:t>服务费用，对应六大运维服务类别，各</w:t>
      </w:r>
      <w:r>
        <w:rPr>
          <w:rFonts w:hint="default" w:ascii="Times New Roman" w:hAnsi="Times New Roman" w:eastAsia="宋体" w:cs="Times New Roman"/>
          <w:kern w:val="0"/>
          <w:sz w:val="24"/>
          <w:lang w:val="en-US" w:eastAsia="zh-CN"/>
        </w:rPr>
        <w:t>类别</w:t>
      </w:r>
      <w:r>
        <w:rPr>
          <w:rFonts w:hint="default" w:ascii="Times New Roman" w:hAnsi="Times New Roman" w:eastAsia="宋体" w:cs="Times New Roman"/>
          <w:kern w:val="0"/>
          <w:sz w:val="24"/>
          <w:lang w:eastAsia="zh-CN"/>
        </w:rPr>
        <w:t>费用明细如下：</w:t>
      </w:r>
    </w:p>
    <w:p>
      <w:pPr>
        <w:bidi w:val="0"/>
        <w:rPr>
          <w:rFonts w:hint="default" w:ascii="Times New Roman" w:hAnsi="Times New Roman" w:cs="Times New Roman"/>
          <w:lang w:eastAsia="zh-CN"/>
        </w:rPr>
        <w:sectPr>
          <w:pgSz w:w="16838" w:h="11906" w:orient="landscape"/>
          <w:pgMar w:top="1797" w:right="1440" w:bottom="1797" w:left="1440" w:header="1134" w:footer="397" w:gutter="0"/>
          <w:pgNumType w:fmt="decimal"/>
          <w:cols w:space="720" w:num="1"/>
          <w:docGrid w:linePitch="326" w:charSpace="0"/>
        </w:sectPr>
      </w:pP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92" w:name="_Toc1529"/>
      <w:r>
        <w:rPr>
          <w:rFonts w:hint="default" w:ascii="Times New Roman" w:hAnsi="Times New Roman" w:eastAsia="黑体" w:cs="Times New Roman"/>
          <w:bCs/>
          <w:kern w:val="2"/>
          <w:sz w:val="28"/>
          <w:szCs w:val="32"/>
          <w:lang w:val="en-US" w:eastAsia="zh-CN" w:bidi="ar-SA"/>
        </w:rPr>
        <w:t>信息系统运维费用</w:t>
      </w:r>
      <w:bookmarkEnd w:id="92"/>
    </w:p>
    <w:p>
      <w:pPr>
        <w:widowControl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1</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信息系统运维费用表</w:t>
      </w:r>
    </w:p>
    <w:tbl>
      <w:tblPr>
        <w:tblStyle w:val="5"/>
        <w:tblW w:w="139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5"/>
        <w:gridCol w:w="2813"/>
        <w:gridCol w:w="5256"/>
        <w:gridCol w:w="1030"/>
        <w:gridCol w:w="1155"/>
        <w:gridCol w:w="1292"/>
        <w:gridCol w:w="871"/>
        <w:gridCol w:w="11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blHeader/>
        </w:trPr>
        <w:tc>
          <w:tcPr>
            <w:tcW w:w="4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序号</w:t>
            </w:r>
          </w:p>
        </w:tc>
        <w:tc>
          <w:tcPr>
            <w:tcW w:w="28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名称</w:t>
            </w:r>
          </w:p>
        </w:tc>
        <w:tc>
          <w:tcPr>
            <w:tcW w:w="525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运维内容</w:t>
            </w:r>
          </w:p>
        </w:tc>
        <w:tc>
          <w:tcPr>
            <w:tcW w:w="10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人月数量</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（月）</w:t>
            </w:r>
          </w:p>
        </w:tc>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人月单价</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（元/月）</w:t>
            </w:r>
          </w:p>
        </w:tc>
        <w:tc>
          <w:tcPr>
            <w:tcW w:w="328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blHeader/>
        </w:trPr>
        <w:tc>
          <w:tcPr>
            <w:tcW w:w="41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auto"/>
                <w:kern w:val="0"/>
                <w:sz w:val="21"/>
                <w:szCs w:val="21"/>
                <w:u w:val="none"/>
              </w:rPr>
            </w:pPr>
          </w:p>
        </w:tc>
        <w:tc>
          <w:tcPr>
            <w:tcW w:w="28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auto"/>
                <w:kern w:val="0"/>
                <w:sz w:val="21"/>
                <w:szCs w:val="21"/>
                <w:u w:val="none"/>
              </w:rPr>
            </w:pPr>
          </w:p>
        </w:tc>
        <w:tc>
          <w:tcPr>
            <w:tcW w:w="525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auto"/>
                <w:kern w:val="0"/>
                <w:sz w:val="21"/>
                <w:szCs w:val="21"/>
                <w:u w:val="none"/>
              </w:rPr>
            </w:pPr>
          </w:p>
        </w:tc>
        <w:tc>
          <w:tcPr>
            <w:tcW w:w="103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auto"/>
                <w:kern w:val="0"/>
                <w:sz w:val="21"/>
                <w:szCs w:val="21"/>
                <w:u w:val="none"/>
              </w:rPr>
            </w:pPr>
          </w:p>
        </w:tc>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2026年度</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2027年度</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2028年度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一、临湘市财政局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临湘市财政内控信息化综合管理平台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一、自助服务(7x24小时可用)</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1.自助服务网站:提供FAQ常见问题、补丁包、应用技巧资料，自助查阅，响应&lt;30分钟。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2.微信服务平台:通过公众号获取服务资讯、问题处理技巧、应用案例、产品新功能，自助查阅，响应&lt;30分钟。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3.S1运维工具:实现协同服务启停、补丁获取、服务进度跟踪、问题知识库查询，自助使用，即时响应。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二、远程服务(5*8小时工作时间)</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1.400热线支持:原厂客服团队受理产品功能、系统环境、应用咨询、产品功能需求，响应&lt;30分钟。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本地远程支持:本地运维团队通过电话、远程方式处理系统环境、产品应用咨询、功能需求，响应&lt;30分钟。3.电话回访及关怀:本地运维团队定期回访用户，跟踪共性问题，推送服务资讯、应用案例，邀请参加能力提升培训，响应&lt;30分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4.系统紧急救援:针对影响关键用户或全员使用的突发问题提供紧急救援，响应〈30分钟。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5.需求变更服务:依据财政相关要求，调整控制规则、系统功能，响应〈30分钟。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三、现场服务(5*8小时工作时间)</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1.本地现场支持:本地运维团队上门处理产品、环境类日常问题，响应〈30分钟。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2.系统健康巡检:开展系统健康巡检，出具巡检报告，每年1次。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3.定期现场专访:上门梳理用户及系统问题，协调资源解决，结合业务现状给出参考建议，每年3次。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4.能力提升&amp;认证:开展系统管理员实操培训，由原厂评定颁发能力等级认证证书，每年3次。</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28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三防云平台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①负责平台软件技术支持服务活动，并培训指导使用单位掌握系统软件的日常系统管理方法；</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②负责实施平台软件与上级财政部门平台软件的联网；</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③提供软件产品维保、现场技术支持等增值技术支持维护。</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湖南省财政客户端安全监控管理系统</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①负责平台软件安装调试，并培训指导使用单位掌握使用方法；</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②负责实施平台软件与上级财政部门平台软件的联网；</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③提供软件产品升级、维保、远程和现场技术支持。</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临湘市财政业务查询分析系统</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1、服务器及数据库运维服务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w:t>
            </w:r>
            <w:r>
              <w:rPr>
                <w:rFonts w:hint="eastAsia" w:ascii="Times New Roman" w:hAnsi="Times New Roman" w:eastAsia="宋体" w:cs="Times New Roman"/>
                <w:i w:val="0"/>
                <w:iCs w:val="0"/>
                <w:color w:val="auto"/>
                <w:kern w:val="0"/>
                <w:sz w:val="21"/>
                <w:szCs w:val="21"/>
                <w:u w:val="none"/>
                <w:lang w:val="en-US" w:eastAsia="zh-CN" w:bidi="ar"/>
              </w:rPr>
              <w:t>财政</w:t>
            </w:r>
            <w:r>
              <w:rPr>
                <w:rFonts w:hint="default" w:ascii="Times New Roman" w:hAnsi="Times New Roman" w:eastAsia="宋体" w:cs="Times New Roman"/>
                <w:i w:val="0"/>
                <w:iCs w:val="0"/>
                <w:color w:val="auto"/>
                <w:kern w:val="0"/>
                <w:sz w:val="21"/>
                <w:szCs w:val="21"/>
                <w:u w:val="none"/>
                <w:lang w:val="en-US" w:eastAsia="zh-CN" w:bidi="ar"/>
              </w:rPr>
              <w:t>数据查询分析系统运维服务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3、数据转换运维服务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4、历史数据运维与治理运维服务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5、与</w:t>
            </w:r>
            <w:r>
              <w:rPr>
                <w:rFonts w:hint="eastAsia" w:ascii="Times New Roman" w:hAnsi="Times New Roman" w:eastAsia="宋体" w:cs="Times New Roman"/>
                <w:i w:val="0"/>
                <w:iCs w:val="0"/>
                <w:color w:val="auto"/>
                <w:kern w:val="0"/>
                <w:sz w:val="21"/>
                <w:szCs w:val="21"/>
                <w:u w:val="none"/>
                <w:lang w:val="en-US" w:eastAsia="zh-CN" w:bidi="ar"/>
              </w:rPr>
              <w:t>其他</w:t>
            </w:r>
            <w:r>
              <w:rPr>
                <w:rFonts w:hint="default" w:ascii="Times New Roman" w:hAnsi="Times New Roman" w:eastAsia="宋体" w:cs="Times New Roman"/>
                <w:i w:val="0"/>
                <w:iCs w:val="0"/>
                <w:color w:val="auto"/>
                <w:kern w:val="0"/>
                <w:sz w:val="21"/>
                <w:szCs w:val="21"/>
                <w:u w:val="none"/>
                <w:lang w:val="en-US" w:eastAsia="zh-CN" w:bidi="ar"/>
              </w:rPr>
              <w:t>系统接口运维服务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6、个性化报表服务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7、用户培训服务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8、系统优化服务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9、其他运维服务</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U8财务软件</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 用户自助：用户通过自助服务网站解决常规业务问题；服务标准：7×24 小时提供服务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 热线咨询：对自助服务无法解决的问题，通过热线支持解决用户常用的业务问题；服务标准：6×8 小时提供服务；即时响应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 登录故障：解决软件无法登录服务器的故障；服务标准：即时响应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 应用故障：排除用户正常应用过程中的故障，确保正常运行；服务标准：5×8 小时提供服务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5. 软件安装：用友软件安装；服务标准：1 小时内响应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6. 补丁安装：根据需要为用户安装相关的软件补丁；服务标准：5×8 小时提供服务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7. 数据迁移：用户更换机器或网络等设备时，将数据迁移到新机器上；服务标准：6 小时内响应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8. 结账服务：每个月末为用户进行月末结账处理；服务标准：5×8 小时提供服务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9. 报表制作：为用户提供标准财务报表的编制指导；服务标准：30 公里以内 6 小时内响应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10. 专用套打调试：调试专用表单套打故障；服务标准：30 公里以外 12 个小时内响应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11. 年度结转：帮助用户进行年度结转指导；</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12. 关怀服务：定期通过回访、电话沟通等方式了解用户使用状况并给予关怀；服务标准：4 次巡检</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13. 增值服务（培训服务）：定期或不定期举办用户培训班；服务标准：按培训计划安排</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14. 增值服务（专家服务）：指定实施顾问持续服务；</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预算管理一体化单位会计核算云系统</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一、指导软件使用</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1.账务管理:账套、会计科目、辅助核算项设置;凭证、出纳、期初期末业务处理;差异项处理、账证查询、对账打印及附件管理。</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2.报表管理:提供固定报表、自定义报表，支持部门决算报告、部门财务报告编制。</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3.系统管理:账户管理、模板配置、系统参数设置、国标数据导出。</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二、年度运维服务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1.系统安装:完成服务端安装，协助预算单位做好客户端初始化，保障系统正常可用。</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2.系统实现:机构、用户、财务数据采集;初始化数据维护、余额表核对;编制培训材料，开展财务人员、系统管理员操作培训。</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3.系统运行:系统上线实施，跟踪解决问题，开展上线总结、系统难点培训答疑。</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三、运维服务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1.云支持服务:在岳阳市财政局派驻技术队伍，提供7x24小时技术支持，特殊需求另行收费。</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2.终端服务:提供远程支持、业务功能咨询、巡检服务;提供现场支持服务，每年不少于3次。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3.数据验证服务:对照政府财务报告、决算、资产、内控等报表填报要求，遵循会计准则，通过驻场或远程方式，协助预算单位校验财务数据，核查数据合理性、准确性，提升会计核算与数据质量。</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临湘市财政局综合治税信息平台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1.现场驻点服务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2.远程服务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3.热线服务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4.现场支持</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小计1</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159</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1590000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1590000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1590000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二、临湘市人社局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金保工程二期人社分级分类运营服务</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1.本地化需求咨询服务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2.数据处理服务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3.公服（网办）服务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4.技术咨询服务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5.专项巡检服务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6.数据统计服务</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小计2</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99000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99000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三、临湘市住建局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临湘市城建档案系统</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①系统运行维护：对在线及离线档案系统的正常运行、数据备份等提供每周7×24小时技术支持服务，每季度安排一次系统全面检测；</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②产品标准培训：负责承担使用区域内城建档案系统使用人员及城建档案馆内部人员的系统操作标准培训，每年不少于1次；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③热线支持：安排服务人员通过电话向使用区域内用户提供技术问题解答；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④现场维护：在使用单位认为必要时，根据要求派遣技术人员到用户现场处理解决问题；</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⑤远程维护：在双方认为必要时，由运维单位提出书面申请，使用单位临时开通VPN远程服务端，在使用单位全程监督下完成远程维护；</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⑥功能改进：按照上级城建档案馆统一要求，对档案系统现有功能进行免费升级。</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临湘市房地产信息服务综合平台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①在线服务：通过浏览器、即时通讯工具等在线工具提供提交问题、查询问题、解答问题的在线式服务；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②热线服务：维护人员通过热线电话解答技术问题；</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③远程维护服务：通过远程维护系统对软件系统进行远程调试；</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④现场服务：派遣技术人员到软件使用现场解决问题，并对软件系统进行系统保障维修。</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小计3</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88000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88000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四、临湘市融媒体中心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5G智慧电台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"Mango播出系统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1.播出系统，自带歌库，支持个性化歌单编排;</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2.新闻云，支持AI语音合成、新闻抓取编排;</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3.节目云，实现智能节目生成;</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4.AI天气，可抓取指定地区实时天气;</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5.AI路况，抓取指定地区实时路况;</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6.AI音乐串接。</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全年更新精编内容</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1.2名AI虚拟主播应用;</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2.15档节目可供选择;</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3.10条定制宣传带;</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4.新闻三审功能。</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二、技术服务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1.根据甲方软硬件环境，完成系统优化、安装、调试，保障系统正常运行;</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2.开展技术培训，使甲方人员可独立操作系统;服务期内及时解答系统操作相关问题;</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3.提供24小时一对一客服支持。"</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小计4</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五、临湘市文化旅游广电局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临湘市文化云平台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主要包含云服务器租赁运维、网站功能运维、网站安全运维三大部分，保障临湘市文化云平台稳定运行，支撑平台公共文化服务、文化消费展示、本地数字资源对外展示等业务开展</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0.583</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小计5</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0.583</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六、临湘市发改局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临湘市社会信用体系建设平台（信用临湘）</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①协助做好信用建设各项工作，包括提供成员单位建议、数据归集咨询、集中式业务培训，以及根据需求的部门专题培训会议；</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②按照归集时间要求，采取现场、远程等多种方式与各成员单位进行技术与数据对接，根据信用信息资源目录及公示目录要求及时归集信用数据及双公示数据；</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③及时完成全市信用数据及双公示数据的清洗、比对、入库、发布、共享等；</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④做好信用平台与信用岳阳市级平台间的协调工作，及时响应市平台的各项工作要求，包括日常工作协调、数据上报、属地数据下发处理等；</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⑤做好信用平台的技术维护工作，包括日常运维、系统升级、故障处理、性能调优、技术咨询、考核咨询、信用应用推广等。</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小计6</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七、临湘市应急局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28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临湘市综合指挥平台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1、常态化技术支持。提供每周5天、每天8小时的技术热线，用于解答使用单位在使用综合指挥平台软件过程中遇到的技术疑问，并提供专业的技术咨询服务。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2、远程支持与故障排查。通过远程接入或在线指导方式提供技术支持，协助排查并解决系统故障。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3、年度系统健康巡检。根据预设的巡检规范，每年进行一次全面的远程系统健康巡检，主动发现并预防潜在问题，具体包括：①服务器性能监测：检查服务器关键性能指标（如CPU利用率、内存使用情况等），评估其运行健康状况；②日志分析与预警：审查程序运行日志及系统日志，识别潜在的系统瓶颈、错误信息及可能存在的故障隐患；③系统负载与链路分析：分析系统及其各模块的运行负载情况，评估其变化趋势，并针对性地提出优化建议，以提升系统效率和稳定性；④核心功能验证：对系统的主要功能进行模拟操作与验证，确保各项功能正常、稳定运行；发现任何功能异常或缺陷时，立即报告使用单位并启动相应的处理流程。</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4、系统问题修复与优化。在服务范围内，平台出现软件缺陷、漏洞或性能瓶颈时，负责进行修复，并基于修复情况进行必要的代码优化和系统升级处理，提升系统整体表现；涉及新的定制需求（如新系统、新部门的对接需求等）另行评估实施。</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5、附加服务。如因特殊情况，使用单位要求工程师提供上门现场排查或维护服务，由此产生的额外费用（包括但不限于差旅费、人工费等）另行协商计收。标准为3000元/次(一天内)，上门驻场每超过一天(不足一天计一天)加收1000元/天。</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6、服务边界。本服务不包含任何硬件设备的维修或更换；如系统硬件设备需要维修或更换，相关费用由使用单位承担，或另行协商合作方案。</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小计7</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49000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49000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八、临湘市教育体育局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临湘市校车监控平台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①校车终端设备安装：负责更换辖区内80台校车终端设备（具体数量根据实际情况确定），按《湖南省校车安全监管平台建设智能化功能指导清单》升级监控平台，并提供运营维护服务；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②维护服务：设备验收合格后提供维护服务，包含定期巡检、非人为损坏设备的免费维修更换、2小时内响应并远程修复；无法远程修复的，应在24小时内实地修复（不可抗力除外）、系统升级及操作人员培训。</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2、智能化功能要求：按《湖南省校车安全监管平台建设智能化功能指导清单》执行，</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小计8</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200000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200000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九、临湘市数据局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28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临湘市交通治超综合管理平台</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日常保障：确保治超平台软件7×24小时稳定运行，负责协助操作系统的安装、更新，数据库的性能调优、备份与恢复，以及中间件的维护，保证设备正常运行，保障系统在线率；故障设备及时维修：0.5小时响应，4小时到达现场，一般故障12小时内解决，重大故障24小时内解决；设备日常检查；</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②平台运行监管：远程监测服务器、存储设备状态，定期协助整理数据碎片，升级操作系统补丁；</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③软件功能优化：根据省市平台接口规范，动态调整数据上传格式，确保超限数据自动分类；</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④安全防护：协助更新病毒特征库，实施网络入侵监测，定期开展等保测评，确保系统符合三级等保要求；检查系统备份情况（必要时进行备份恢复）；检查系统空间使用情况，清理系统垃圾；文件系统安全性检查，防病毒措施检查；对系统进行预防性维护；指导用户正确使用和维护系统；协助分析、解决日常设备运行中出现的未解决的问题</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28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临湘市人民政府门户网站</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①网站应用系统日常维护：维护人员对所管理的网站应用系统进行每日巡检，包括对磁盘空间、系统日志、系统资源占用、访问性能等的检查；</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②网站系统日常监控：对网站系统每天的运行进行监控，及时发现系统故障，确保系统可靠稳定运行，并在日常监控的基础上进行安全事件积累、分析；</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③网站内容监控：每日完成对政府网站栏目、内容的巡检，为网站信息发布提供技术咨询和技术支持，解答和解决网站发布系统使用过程中出现的问题；</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④网站内容维护：完成政府网站主站页面、专题专栏及相关栏目内容的维护；互动板块各栏目的维护；网站内容管理系统用户管理等工作；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⑤网站栏目调整：指导网站管理员对网站栏目、图片和样式进行管理，提供阶段性栏目或栏目内容调整、程序修改、信息发布等服务；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⑥专题专栏网站架构规范服务：按照国办、省政府本年度《政务公开工作要点》以及市政府中心专题工作开展的要求进行专栏策划、内容梳理，依据专栏栏目内容保障单位职责，划分栏目内容保障权限，并在市政府门户网站首页醒目位置以图文、动画、轮播等多种形式展示；同时根据专题策划进行美工UI设计，重构网站架构和布局，原型设计以架构扁平化、设计简约为目标进行统一规范设计，自适配手机端；</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⑦考核指导服务：依据国务院、省、市对政府门户网站及政务新媒体考核指标要求，规范站群名称、域名、徽标和宣传语、外链制作；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⑧集中培训和远程培训：针对系统培训对象完成现场或远程系统培训工作，并提供技术支持，对使用、操作、维护门户网站的相关问题提供及时的响应和处理；</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⑨数据统计：在网站系统和内容监控的基础上，对网站访问量等基础数据进行统计，提供统计数据，并根据实际工作需要进行其他数据统计工作；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⑩网站应用系统完善：针对使用过程中提出的网站应用系统改进和完善需求，及时响应小范围应用软件调整的需求，不断完善网站应用系统；</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⑪网站信息系统调整：配合政务公开股室开展网站信息系统建设调整工作，包括实现网站信息的分库存储，备份网站系统和测试系统建设，网站部分历史数据的梳理、补充及其他调整任务；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⑫攻防演习技术支撑：以有效安全防护措施提高网站防篡改、防病毒、防攻击、防瘫痪、防劫持、防泄密能力，对非常时期上级主管部门组织的攻防演习做好24小时值班值守和预测出的风险漏洞整改工作；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⑬门户网站接口维护：针对所有的接口文档进行完善和更新，并定期对外发布，确保各个异构系统都能使用最新的文档进行开发和维护；</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⑭网站敏感信息排查并提供修复或脱敏处理。</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4.85</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48500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48500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4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28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临湘市政府网微信公众号</w:t>
            </w:r>
          </w:p>
        </w:tc>
        <w:tc>
          <w:tcPr>
            <w:tcW w:w="5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1.公众号网页设计运维服务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①前端页面编辑：前端页面UI的装饰，自定义菜单的设置，互动交流关联等；</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②前端排版设计：信息内容的前端设计，包括页面HTML编码以及通过图表图解、音频、视频、动画等形式予以展现；</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③微信公众号推文封面图设计制作；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④微信公众号错别字、敏感字纠错技术处理；</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⑤微信公众号数据分析和报告：定期分析公众号的数据，包括关注者、互动量、用户的喜好行为等，撰写相应的分析报告，根据分析结果调整运营内容，增加用户粘度，增强用户体验。</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2.后端程序及数据库技术维护</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①根据上级相关文件精神以及网信、公安部门监测报告要求，做好新媒体的栏目策划、解读回应、互动交流、信息转载、问题整改等工作，并就新媒体栏目调整、内容更新、专题专栏制作提出意见和建议，确保政务新媒体符合上级主管部门普查、评估的有关要求；</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②政务新媒体的架构规划服务、内容保障服务、日常监测服务和考核指导服务；</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③协助做好政府网微信公众号年度认证工作；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④协助做好政务新媒体与省政府政务新媒体联动、政策转载工作；</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⑤管理设置，包括关键词回复、被关注回复以及开发者账号运维。</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小计9</w:t>
            </w:r>
          </w:p>
        </w:tc>
        <w:tc>
          <w:tcPr>
            <w:tcW w:w="10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13.85</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138500</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138500</w:t>
            </w:r>
          </w:p>
        </w:tc>
        <w:tc>
          <w:tcPr>
            <w:tcW w:w="11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484"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合计1</w:t>
            </w:r>
          </w:p>
        </w:tc>
        <w:tc>
          <w:tcPr>
            <w:tcW w:w="10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230.033</w:t>
            </w:r>
          </w:p>
        </w:tc>
        <w:tc>
          <w:tcPr>
            <w:tcW w:w="1155"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u w:val="none"/>
              </w:rPr>
            </w:pPr>
          </w:p>
        </w:tc>
        <w:tc>
          <w:tcPr>
            <w:tcW w:w="129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2300330</w:t>
            </w:r>
          </w:p>
        </w:tc>
        <w:tc>
          <w:tcPr>
            <w:tcW w:w="8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2300330</w:t>
            </w:r>
          </w:p>
        </w:tc>
        <w:tc>
          <w:tcPr>
            <w:tcW w:w="11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2300330</w:t>
            </w:r>
          </w:p>
        </w:tc>
      </w:tr>
    </w:tbl>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93" w:name="_Toc16122"/>
      <w:r>
        <w:rPr>
          <w:rFonts w:hint="eastAsia" w:ascii="Times New Roman" w:hAnsi="Times New Roman" w:eastAsia="黑体" w:cs="Times New Roman"/>
          <w:bCs/>
          <w:kern w:val="2"/>
          <w:sz w:val="28"/>
          <w:szCs w:val="32"/>
          <w:lang w:val="en-US" w:eastAsia="zh-CN" w:bidi="ar-SA"/>
        </w:rPr>
        <w:t>网络线路租赁与运维管理</w:t>
      </w:r>
      <w:r>
        <w:rPr>
          <w:rFonts w:hint="default" w:ascii="Times New Roman" w:hAnsi="Times New Roman" w:eastAsia="黑体" w:cs="Times New Roman"/>
          <w:bCs/>
          <w:kern w:val="2"/>
          <w:sz w:val="28"/>
          <w:szCs w:val="32"/>
          <w:lang w:val="en-US" w:eastAsia="zh-CN" w:bidi="ar-SA"/>
        </w:rPr>
        <w:t>费用</w:t>
      </w:r>
      <w:bookmarkEnd w:id="93"/>
    </w:p>
    <w:p>
      <w:pPr>
        <w:bidi w:val="0"/>
        <w:rPr>
          <w:rFonts w:hint="default" w:ascii="Times New Roman" w:hAnsi="Times New Roman" w:cs="Times New Roman"/>
          <w:lang w:eastAsia="zh-CN"/>
        </w:rPr>
        <w:sectPr>
          <w:pgSz w:w="16838" w:h="11906" w:orient="landscape"/>
          <w:pgMar w:top="1797" w:right="1440" w:bottom="1797" w:left="1440" w:header="1134" w:footer="397" w:gutter="0"/>
          <w:pgNumType w:fmt="decimal"/>
          <w:cols w:space="720" w:num="1"/>
          <w:docGrid w:linePitch="326" w:charSpace="0"/>
        </w:sectPr>
      </w:pP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default" w:ascii="Times New Roman" w:hAnsi="Times New Roman" w:eastAsia="黑体" w:cs="Times New Roman"/>
          <w:bCs/>
          <w:sz w:val="24"/>
          <w:szCs w:val="28"/>
          <w:lang w:val="en-US" w:eastAsia="zh-CN" w:bidi="ar-SA"/>
        </w:rPr>
        <w:t>网络线路租赁费用</w:t>
      </w:r>
    </w:p>
    <w:p>
      <w:pPr>
        <w:widowControl w:val="0"/>
        <w:bidi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2</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网络线路租赁费用表</w:t>
      </w:r>
    </w:p>
    <w:tbl>
      <w:tblPr>
        <w:tblStyle w:val="5"/>
        <w:tblW w:w="137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7"/>
        <w:gridCol w:w="787"/>
        <w:gridCol w:w="1344"/>
        <w:gridCol w:w="2227"/>
        <w:gridCol w:w="825"/>
        <w:gridCol w:w="1021"/>
        <w:gridCol w:w="997"/>
        <w:gridCol w:w="553"/>
        <w:gridCol w:w="604"/>
        <w:gridCol w:w="935"/>
        <w:gridCol w:w="1096"/>
        <w:gridCol w:w="767"/>
        <w:gridCol w:w="767"/>
        <w:gridCol w:w="767"/>
        <w:gridCol w:w="5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52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使用单位</w:t>
            </w:r>
          </w:p>
        </w:tc>
        <w:tc>
          <w:tcPr>
            <w:tcW w:w="134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链路名称</w:t>
            </w:r>
          </w:p>
        </w:tc>
        <w:tc>
          <w:tcPr>
            <w:tcW w:w="222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线路使用地址</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城区/乡镇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链路类型</w:t>
            </w:r>
          </w:p>
        </w:tc>
        <w:tc>
          <w:tcPr>
            <w:tcW w:w="9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带宽</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（bps）</w:t>
            </w:r>
          </w:p>
        </w:tc>
        <w:tc>
          <w:tcPr>
            <w:tcW w:w="55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单位</w:t>
            </w:r>
          </w:p>
        </w:tc>
        <w:tc>
          <w:tcPr>
            <w:tcW w:w="6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数量</w:t>
            </w:r>
          </w:p>
        </w:tc>
        <w:tc>
          <w:tcPr>
            <w:tcW w:w="9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租赁期</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（年）</w:t>
            </w:r>
          </w:p>
        </w:tc>
        <w:tc>
          <w:tcPr>
            <w:tcW w:w="109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单价</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（元/年）</w:t>
            </w:r>
          </w:p>
        </w:tc>
        <w:tc>
          <w:tcPr>
            <w:tcW w:w="2301"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金额（元）</w:t>
            </w:r>
          </w:p>
        </w:tc>
        <w:tc>
          <w:tcPr>
            <w:tcW w:w="52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52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rPr>
                <w:rFonts w:hint="default" w:ascii="Times New Roman" w:hAnsi="Times New Roman" w:eastAsia="宋体" w:cs="Times New Roman"/>
                <w:b/>
                <w:bCs/>
                <w:i w:val="0"/>
                <w:iCs w:val="0"/>
                <w:color w:val="000000"/>
                <w:kern w:val="0"/>
                <w:sz w:val="21"/>
                <w:szCs w:val="21"/>
                <w:u w:val="none"/>
              </w:rPr>
            </w:pP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222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99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55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60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93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2026年度</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2027年度</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2028年度</w:t>
            </w:r>
          </w:p>
        </w:tc>
        <w:tc>
          <w:tcPr>
            <w:tcW w:w="52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885" w:type="dxa"/>
            <w:gridSpan w:val="9"/>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（一）临湘市数字化平台网络链路统一运维服务项目</w:t>
            </w:r>
          </w:p>
        </w:tc>
        <w:tc>
          <w:tcPr>
            <w:tcW w:w="935" w:type="dxa"/>
            <w:tcBorders>
              <w:top w:val="single" w:color="000000" w:sz="4" w:space="0"/>
              <w:left w:val="nil"/>
              <w:bottom w:val="single" w:color="000000" w:sz="4" w:space="0"/>
              <w:right w:val="nil"/>
            </w:tcBorders>
            <w:noWrap/>
            <w:vAlign w:val="center"/>
          </w:tcPr>
          <w:p>
            <w:pPr>
              <w:spacing w:line="360" w:lineRule="auto"/>
              <w:ind w:left="0" w:leftChars="0" w:right="0" w:rightChars="0" w:firstLine="0" w:firstLineChars="0"/>
              <w:rPr>
                <w:rFonts w:hint="default" w:ascii="Times New Roman" w:hAnsi="Times New Roman" w:eastAsia="宋体" w:cs="Times New Roman"/>
                <w:b/>
                <w:bCs/>
                <w:i w:val="0"/>
                <w:iCs w:val="0"/>
                <w:color w:val="000000"/>
                <w:kern w:val="0"/>
                <w:sz w:val="21"/>
                <w:szCs w:val="21"/>
                <w:u w:val="none"/>
              </w:rPr>
            </w:pPr>
          </w:p>
        </w:tc>
        <w:tc>
          <w:tcPr>
            <w:tcW w:w="1096" w:type="dxa"/>
            <w:tcBorders>
              <w:top w:val="single" w:color="000000" w:sz="4" w:space="0"/>
              <w:left w:val="nil"/>
              <w:bottom w:val="single" w:color="000000" w:sz="4" w:space="0"/>
              <w:right w:val="nil"/>
            </w:tcBorders>
            <w:noWrap/>
            <w:vAlign w:val="center"/>
          </w:tcPr>
          <w:p>
            <w:pPr>
              <w:spacing w:line="360" w:lineRule="auto"/>
              <w:ind w:left="0" w:leftChars="0" w:right="0" w:rightChars="0" w:firstLine="0" w:firstLineChars="0"/>
              <w:rPr>
                <w:rFonts w:hint="default" w:ascii="Times New Roman" w:hAnsi="Times New Roman" w:eastAsia="宋体" w:cs="Times New Roman"/>
                <w:b/>
                <w:bCs/>
                <w:i w:val="0"/>
                <w:iCs w:val="0"/>
                <w:color w:val="000000"/>
                <w:kern w:val="0"/>
                <w:sz w:val="21"/>
                <w:szCs w:val="21"/>
                <w:u w:val="none"/>
              </w:rPr>
            </w:pPr>
          </w:p>
        </w:tc>
        <w:tc>
          <w:tcPr>
            <w:tcW w:w="767" w:type="dxa"/>
            <w:tcBorders>
              <w:top w:val="single" w:color="000000" w:sz="4" w:space="0"/>
              <w:left w:val="nil"/>
              <w:bottom w:val="single" w:color="000000" w:sz="4" w:space="0"/>
              <w:right w:val="nil"/>
            </w:tcBorders>
            <w:noWrap/>
            <w:vAlign w:val="center"/>
          </w:tcPr>
          <w:p>
            <w:pPr>
              <w:spacing w:line="360" w:lineRule="auto"/>
              <w:ind w:left="0" w:leftChars="0" w:right="0" w:rightChars="0" w:firstLine="0" w:firstLineChars="0"/>
              <w:rPr>
                <w:rFonts w:hint="default" w:ascii="Times New Roman" w:hAnsi="Times New Roman" w:eastAsia="宋体" w:cs="Times New Roman"/>
                <w:b/>
                <w:bCs/>
                <w:i w:val="0"/>
                <w:iCs w:val="0"/>
                <w:color w:val="000000"/>
                <w:kern w:val="0"/>
                <w:sz w:val="21"/>
                <w:szCs w:val="21"/>
                <w:u w:val="none"/>
              </w:rPr>
            </w:pPr>
          </w:p>
        </w:tc>
        <w:tc>
          <w:tcPr>
            <w:tcW w:w="767" w:type="dxa"/>
            <w:tcBorders>
              <w:top w:val="single" w:color="000000" w:sz="4" w:space="0"/>
              <w:left w:val="nil"/>
              <w:bottom w:val="single" w:color="000000" w:sz="4" w:space="0"/>
              <w:right w:val="nil"/>
            </w:tcBorders>
            <w:noWrap/>
            <w:vAlign w:val="center"/>
          </w:tcPr>
          <w:p>
            <w:pPr>
              <w:spacing w:line="360" w:lineRule="auto"/>
              <w:ind w:left="0" w:leftChars="0" w:right="0" w:rightChars="0" w:firstLine="0" w:firstLineChars="0"/>
              <w:rPr>
                <w:rFonts w:hint="default" w:ascii="Times New Roman" w:hAnsi="Times New Roman" w:eastAsia="宋体" w:cs="Times New Roman"/>
                <w:b/>
                <w:bCs/>
                <w:i w:val="0"/>
                <w:iCs w:val="0"/>
                <w:color w:val="000000"/>
                <w:kern w:val="0"/>
                <w:sz w:val="21"/>
                <w:szCs w:val="21"/>
                <w:u w:val="none"/>
              </w:rPr>
            </w:pPr>
          </w:p>
        </w:tc>
        <w:tc>
          <w:tcPr>
            <w:tcW w:w="767" w:type="dxa"/>
            <w:tcBorders>
              <w:top w:val="single" w:color="000000" w:sz="4" w:space="0"/>
              <w:left w:val="nil"/>
              <w:bottom w:val="single" w:color="000000" w:sz="4" w:space="0"/>
              <w:right w:val="single" w:color="000000" w:sz="4" w:space="0"/>
            </w:tcBorders>
            <w:noWrap/>
            <w:vAlign w:val="center"/>
          </w:tcPr>
          <w:p>
            <w:pPr>
              <w:spacing w:line="360" w:lineRule="auto"/>
              <w:ind w:left="0" w:leftChars="0" w:right="0" w:rightChars="0" w:firstLine="0" w:firstLineChars="0"/>
              <w:rPr>
                <w:rFonts w:hint="default" w:ascii="Times New Roman" w:hAnsi="Times New Roman" w:eastAsia="宋体" w:cs="Times New Roman"/>
                <w:b/>
                <w:bCs/>
                <w:i w:val="0"/>
                <w:iCs w:val="0"/>
                <w:color w:val="000000"/>
                <w:kern w:val="0"/>
                <w:sz w:val="21"/>
                <w:szCs w:val="21"/>
                <w:u w:val="none"/>
              </w:rPr>
            </w:pP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临湘市数据局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电子政务外网光纤租用及网络维护（市直单位）</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市直单位及城区二级机构</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nil"/>
              <w:left w:val="nil"/>
              <w:bottom w:val="nil"/>
              <w:right w:val="nil"/>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电子政务外网应用数据专线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电子政务外网光纤互联网出口2G(主用1)</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数据中心机房</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互联网出口带宽</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2G</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电子政务外网光纤互联网出口2G(主用2)</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数据中心机房</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互联网出口带宽</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2G</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电子政务外网光纤互联网出口1G(备用)</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数据中心机房</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互联网出口带宽</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1G</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DC机房数据上传岳阳政务云（100M）</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数据局</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临湘市水利局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到省厅水利专线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水利局办公楼</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临湘市应急局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山塘水库</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临湘所有水库监控</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到省厅应急专线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应急局办公楼</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临湘市教体局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教育局中考阅卷专线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一中教学楼</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临湘市教体局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教育云专网</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各学校办公教育云专网</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教育云专网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1835</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76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700000</w:t>
            </w:r>
          </w:p>
        </w:tc>
        <w:tc>
          <w:tcPr>
            <w:tcW w:w="76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700000</w:t>
            </w:r>
          </w:p>
        </w:tc>
        <w:tc>
          <w:tcPr>
            <w:tcW w:w="76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700000</w:t>
            </w:r>
          </w:p>
        </w:tc>
        <w:tc>
          <w:tcPr>
            <w:tcW w:w="526"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包干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临湘市教体局</w:t>
            </w: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一键报警运维服务项目</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一键报警平台使用，联通机房到教体局到岳阳云服务平台</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校园一键报警专网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52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临湘市教体局</w:t>
            </w: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一键报警平台使用，联通机房到学校一键报警设备</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校园一键报警专网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526"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临湘市人社局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人社全省视频会议专线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人社局办公楼</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临湘市人社局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社保专线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人社局办公楼</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临湘市统计局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民调专线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统计局办公楼6楼</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临湘市财政局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财政专线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财政局办公楼</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临湘市农业农村局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渔政执法监控</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各个渔政点</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临湘市城管局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城区易涝点监控视频6条</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各易涝点</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临湘市数据局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儒溪工业园视频专线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儒溪管委会（高新区）</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单位专网裸纤</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上云系统至单位专线（农业、水利）</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数据裸纤</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统一运维中心至电信机房</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裸纤</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数据局视频裸纤</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数据局至视频融合平台</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临湘市数据局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矿山摄像头收编</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桃矿</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矿山摄像头收编</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海螺、凡泰、富安、正鑫、强盛、湘岳、渔源</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7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临湘市数据局</w:t>
            </w: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电子政务外网光纤租用及维护（镇村）</w:t>
            </w:r>
          </w:p>
        </w:tc>
        <w:tc>
          <w:tcPr>
            <w:tcW w:w="222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各镇街道</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194400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194400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194400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云视讯</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市直单位、镇街道、村社区</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云视讯本地化应用专网硬终端</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软终端</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云视讯本地化应用专网账号</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338</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20280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20280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20280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7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临湘市城管局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城管街面监控专线</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城管路面视频监控</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焚烧烟雾专线</w:t>
            </w:r>
          </w:p>
        </w:tc>
        <w:tc>
          <w:tcPr>
            <w:tcW w:w="222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烟雾报警</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燃气平台专线</w:t>
            </w:r>
          </w:p>
        </w:tc>
        <w:tc>
          <w:tcPr>
            <w:tcW w:w="222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燃气项目</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物联网100M互联网出口</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数据中心机房</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互联网出口</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横铺治超非现场执法专线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横铺与桃林公路交叉点</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临湘市林业局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临湘市白石园林场</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临湘市白石园林场</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临湘市药菇山林场</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临湘市药菇山林场</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临湘市荆竹山林场</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临湘市荆竹山林场</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临湘市五尖山林场</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临湘市五尖山林场</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临湘市林业局</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临湘市羊楼司镇林业站</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临湘市林业局</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临湘市桃林林业站</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临湘市林业局</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临湘市聂市镇林业站</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临湘市林业局</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临湘市黄盖湖实地保护站</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临湘市财政局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财政专线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人大对接财政局</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财政专线</w:t>
            </w:r>
          </w:p>
        </w:tc>
        <w:tc>
          <w:tcPr>
            <w:tcW w:w="222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各财政预算单位</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临湘市农业农村局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畜牧水产监控点位线路</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桃林、聂市、杨田</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临湘市市监局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对接岳阳市局专线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临湘至岳阳市局</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临湘市水利局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视频监控线路</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各镇街道水管站</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前端感知设备数据专线网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临湘市文旅广电局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各网络会所文化监控接入</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市文化市场综合执法大队</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互联网出口</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临湘市总工会</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云视讯专线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对接省工会</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国家、省、岳阳数据专线网</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78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临湘市数据局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电子政务外网光纤租用及维护（镇村）</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各站所</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临湘移动机房至数据局机房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临湘移动机房至数据局机房</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裸纤</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云视讯</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党校硬终端</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78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云视讯</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水利局硬终端</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9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临湘市水利局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各乡村水库监控</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物联网卡</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物联网卡</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252</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10332</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10332</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10332</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7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临湘市数据局</w:t>
            </w:r>
          </w:p>
        </w:tc>
        <w:tc>
          <w:tcPr>
            <w:tcW w:w="13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临湘联通机房至数据局机房</w:t>
            </w:r>
          </w:p>
        </w:tc>
        <w:tc>
          <w:tcPr>
            <w:tcW w:w="22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临湘联通机房至数据局机房</w:t>
            </w:r>
          </w:p>
        </w:tc>
        <w:tc>
          <w:tcPr>
            <w:tcW w:w="8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裸纤</w:t>
            </w:r>
          </w:p>
        </w:tc>
        <w:tc>
          <w:tcPr>
            <w:tcW w:w="99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临湘高新区</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网络专线（智赋万企、专线、电路）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管委会中控平台使用，高新区到联通机房到中控平台</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7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临湘市卫健局</w:t>
            </w:r>
          </w:p>
        </w:tc>
        <w:tc>
          <w:tcPr>
            <w:tcW w:w="13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网络专线和医保电路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人民医院</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横铺卫生院、聂市卫生院</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子叶大药房</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智赋万企</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78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3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老百姓大药房</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临湘市市监局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网络专线</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用于市监局桃林所智慧监管平台使用，联通机房到市监局到桃林市监局管理所</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临湘市应急局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网络专线</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云服务平台支撑使用，联通机房到应急局到云服务平台</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临湘市水利局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应用于气象局与水利局针对汛情期间水位监测，联通机房到气象局到水利局</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临湘市纪委</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会议系统使用，联通机房到市纪委到云会议系统</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国家、省、岳阳数据专线网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临湘市高强混凝土有限公司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中储恒科物联网系统有限公司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中储恒科物联网系统有限公司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中储恒科物联网系统有限公司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临鸭码头</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临湘市凡泰矿业有限公司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临湘海螺水泥有限责任公司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临湘市智航铭德机动车检测有限公司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临湘市智航铭德机动车检测有限公司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rPr>
            </w:pPr>
            <w:r>
              <w:rPr>
                <w:rFonts w:hint="eastAsia" w:ascii="Times New Roman" w:hAnsi="Times New Roman" w:eastAsia="宋体" w:cs="Times New Roman"/>
                <w:i w:val="0"/>
                <w:iCs w:val="0"/>
                <w:color w:val="000000"/>
                <w:kern w:val="0"/>
                <w:sz w:val="21"/>
                <w:szCs w:val="21"/>
                <w:u w:val="none"/>
                <w:lang w:val="en-US" w:eastAsia="zh-CN"/>
              </w:rPr>
              <w:t>77</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岳阳三诚计量器材有限公司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rPr>
            </w:pPr>
            <w:r>
              <w:rPr>
                <w:rFonts w:hint="eastAsia" w:ascii="Times New Roman" w:hAnsi="Times New Roman" w:eastAsia="宋体" w:cs="Times New Roman"/>
                <w:i w:val="0"/>
                <w:iCs w:val="0"/>
                <w:color w:val="000000"/>
                <w:kern w:val="0"/>
                <w:sz w:val="21"/>
                <w:szCs w:val="21"/>
                <w:u w:val="none"/>
                <w:lang w:val="en-US" w:eastAsia="zh-CN"/>
              </w:rPr>
              <w:t>78</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临湘市交通局</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交通治超电路</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岳阳华强混凝土有限公司</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城区/乡镇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本地数据专线网</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50M</w:t>
            </w:r>
          </w:p>
        </w:tc>
        <w:tc>
          <w:tcPr>
            <w:tcW w:w="5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条/年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281"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合计2</w:t>
            </w:r>
          </w:p>
        </w:tc>
        <w:tc>
          <w:tcPr>
            <w:tcW w:w="60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3172</w:t>
            </w:r>
          </w:p>
        </w:tc>
        <w:tc>
          <w:tcPr>
            <w:tcW w:w="935"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1639412</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1639412</w:t>
            </w:r>
          </w:p>
        </w:tc>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1639412</w:t>
            </w:r>
          </w:p>
        </w:tc>
        <w:tc>
          <w:tcPr>
            <w:tcW w:w="52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r>
    </w:tbl>
    <w:p>
      <w:pPr>
        <w:spacing w:line="360" w:lineRule="auto"/>
        <w:ind w:firstLine="480" w:firstLineChars="200"/>
        <w:jc w:val="both"/>
        <w:rPr>
          <w:rFonts w:hint="default" w:ascii="Times New Roman" w:hAnsi="Times New Roman" w:eastAsia="宋体" w:cs="Times New Roman"/>
          <w:kern w:val="0"/>
          <w:sz w:val="24"/>
          <w:lang w:val="en-US" w:eastAsia="zh-CN"/>
        </w:rPr>
      </w:pPr>
    </w:p>
    <w:p>
      <w:pPr>
        <w:bidi w:val="0"/>
        <w:rPr>
          <w:rFonts w:hint="default" w:ascii="Times New Roman" w:hAnsi="Times New Roman" w:cs="Times New Roman"/>
          <w:lang w:eastAsia="zh-CN"/>
        </w:rPr>
        <w:sectPr>
          <w:pgSz w:w="16838" w:h="11906" w:orient="landscape"/>
          <w:pgMar w:top="1797" w:right="1440" w:bottom="1797" w:left="1440" w:header="1134" w:footer="397" w:gutter="0"/>
          <w:pgNumType w:fmt="decimal"/>
          <w:cols w:space="720" w:num="1"/>
          <w:docGrid w:linePitch="326" w:charSpace="0"/>
        </w:sectPr>
      </w:pPr>
    </w:p>
    <w:p>
      <w:pPr>
        <w:keepNext/>
        <w:keepLines/>
        <w:widowControl w:val="0"/>
        <w:numPr>
          <w:ilvl w:val="3"/>
          <w:numId w:val="1"/>
        </w:numPr>
        <w:bidi w:val="0"/>
        <w:spacing w:line="360" w:lineRule="auto"/>
        <w:ind w:left="0" w:firstLine="0" w:firstLineChars="0"/>
        <w:jc w:val="both"/>
        <w:outlineLvl w:val="3"/>
        <w:rPr>
          <w:rFonts w:hint="default" w:ascii="Times New Roman" w:hAnsi="Times New Roman" w:eastAsia="黑体" w:cs="Times New Roman"/>
          <w:bCs/>
          <w:sz w:val="24"/>
          <w:szCs w:val="28"/>
          <w:lang w:val="en-US" w:eastAsia="zh-CN" w:bidi="ar-SA"/>
        </w:rPr>
      </w:pPr>
      <w:r>
        <w:rPr>
          <w:rFonts w:hint="eastAsia" w:ascii="Times New Roman" w:hAnsi="Times New Roman" w:eastAsia="黑体" w:cs="Times New Roman"/>
          <w:bCs/>
          <w:sz w:val="24"/>
          <w:szCs w:val="28"/>
          <w:lang w:val="en-US" w:eastAsia="zh-CN" w:bidi="ar-SA"/>
        </w:rPr>
        <w:t>网络运维管理</w:t>
      </w:r>
      <w:r>
        <w:rPr>
          <w:rFonts w:hint="default" w:ascii="Times New Roman" w:hAnsi="Times New Roman" w:eastAsia="黑体" w:cs="Times New Roman"/>
          <w:bCs/>
          <w:sz w:val="24"/>
          <w:szCs w:val="28"/>
          <w:lang w:val="en-US" w:eastAsia="zh-CN" w:bidi="ar-SA"/>
        </w:rPr>
        <w:t>费用</w:t>
      </w:r>
    </w:p>
    <w:p>
      <w:pPr>
        <w:widowControl w:val="0"/>
        <w:spacing w:line="240" w:lineRule="auto"/>
        <w:ind w:firstLine="0" w:firstLineChars="0"/>
        <w:jc w:val="center"/>
        <w:rPr>
          <w:rFonts w:hint="default" w:ascii="Times New Roman" w:hAnsi="Times New Roman" w:eastAsia="黑体" w:cs="宋体"/>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w:t>
      </w:r>
      <w:r>
        <w:rPr>
          <w:rFonts w:hint="eastAsia" w:ascii="Times New Roman" w:hAnsi="Times New Roman" w:eastAsia="黑体" w:cs="Times New Roman"/>
          <w:sz w:val="21"/>
          <w:szCs w:val="24"/>
          <w:lang w:val="en-US" w:eastAsia="zh-CN" w:bidi="ar-SA"/>
        </w:rPr>
        <w:t>网络运维管理</w:t>
      </w:r>
      <w:r>
        <w:rPr>
          <w:rFonts w:hint="default" w:ascii="Times New Roman" w:hAnsi="Times New Roman" w:eastAsia="黑体" w:cs="Times New Roman"/>
          <w:sz w:val="21"/>
          <w:szCs w:val="24"/>
          <w:lang w:val="en-US" w:eastAsia="zh-CN" w:bidi="ar-SA"/>
        </w:rPr>
        <w:t>费用表</w:t>
      </w:r>
    </w:p>
    <w:tbl>
      <w:tblPr>
        <w:tblStyle w:val="5"/>
        <w:tblW w:w="139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7"/>
        <w:gridCol w:w="2975"/>
        <w:gridCol w:w="4566"/>
        <w:gridCol w:w="640"/>
        <w:gridCol w:w="617"/>
        <w:gridCol w:w="819"/>
        <w:gridCol w:w="1256"/>
        <w:gridCol w:w="1256"/>
        <w:gridCol w:w="12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56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97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456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规格参数</w:t>
            </w:r>
          </w:p>
        </w:tc>
        <w:tc>
          <w:tcPr>
            <w:tcW w:w="6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61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81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单价</w:t>
            </w:r>
          </w:p>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（元）</w:t>
            </w:r>
          </w:p>
        </w:tc>
        <w:tc>
          <w:tcPr>
            <w:tcW w:w="376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56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297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456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64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2026年度</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2027年度</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2028年度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67"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一</w:t>
            </w:r>
          </w:p>
        </w:tc>
        <w:tc>
          <w:tcPr>
            <w:tcW w:w="2975"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spacing w:line="240" w:lineRule="auto"/>
              <w:ind w:left="0" w:leftChars="0" w:right="0" w:rightChars="0" w:firstLine="0" w:firstLineChars="0"/>
              <w:jc w:val="center"/>
              <w:textAlignment w:val="bottom"/>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管理软件授权费用</w:t>
            </w:r>
          </w:p>
        </w:tc>
        <w:tc>
          <w:tcPr>
            <w:tcW w:w="4566"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640"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617"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819" w:type="dxa"/>
            <w:tcBorders>
              <w:top w:val="single" w:color="000000" w:sz="4" w:space="0"/>
              <w:left w:val="single" w:color="000000" w:sz="4" w:space="0"/>
              <w:bottom w:val="single" w:color="000000" w:sz="4" w:space="0"/>
              <w:right w:val="single" w:color="000000" w:sz="4" w:space="0"/>
            </w:tcBorders>
            <w:noWrap/>
            <w:vAlign w:val="bottom"/>
          </w:tcPr>
          <w:p>
            <w:pPr>
              <w:spacing w:line="36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平台底座基础授权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含组织架构、角色权限、操作日志审计、流程配置、基础API网关、简易H5访问</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套/年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89000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89000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89000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89000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故障全流程闭环管理模块授权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多渠道受理、故障分级、智能派单、SLA三级督办、主子工单、闭环归档</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套/年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172000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172000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172000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172000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跨部门协同调度管理模块授权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主办协办、工单交接留痕、责任仲裁、线上会商、巡检割接工作流</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套/年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148000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148000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148000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148000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链路资源数字化台账管理模块授权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链路全要素台账、基础拓扑视图、故障高亮、备用链路登记</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套/年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116000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5"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监控告警联动处置模块授权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通断/时延/丢包采集、告警风暴抑制、告警自动转工单、基础告警总览</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套/年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130000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运维统计报表与管理驾驶舱模块授权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MTTR、SLA、故障分布统计；日报周报月报；多维驾驶舱</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套/年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104000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7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大屏可视化展示模块授权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运维总览大屏、实时工单、链路状态、故障热力图、SLA可视化；仅软件授权</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套/年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85000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85000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链路纳管授权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每条计量允许纳管1条通信链路；超量增购</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条/年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4000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 </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统一并发用户账号授权</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统一账号池覆盖内外部人员</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二</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云资源租赁费</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政务云虚拟机、数据库、存储、带宽、基础备份</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三</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故障监测费</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7×24 小时链路告警监测、告警甄别预处理</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180000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四</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故障定位费</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链路故障辅助排查、分段定位、初步根因分析</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140000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五</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单位协调费</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跨部门、运营商、集成商沟通协调、会议组织</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104500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104500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104500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六</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培训费</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多场次培训，全套操作文档课件输出</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36000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七</w:t>
            </w:r>
          </w:p>
        </w:tc>
        <w:tc>
          <w:tcPr>
            <w:tcW w:w="2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人员驻场费</w:t>
            </w:r>
          </w:p>
        </w:tc>
        <w:tc>
          <w:tcPr>
            <w:tcW w:w="45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专职驻场技术支撑服务</w:t>
            </w:r>
          </w:p>
        </w:tc>
        <w:tc>
          <w:tcPr>
            <w:tcW w:w="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项/年</w:t>
            </w:r>
          </w:p>
        </w:tc>
        <w:tc>
          <w:tcPr>
            <w:tcW w:w="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24000</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24000 </w:t>
            </w:r>
          </w:p>
        </w:tc>
        <w:tc>
          <w:tcPr>
            <w:tcW w:w="1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1018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合计7</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2004500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2004500 </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2004500 </w:t>
            </w:r>
          </w:p>
        </w:tc>
      </w:tr>
    </w:tbl>
    <w:p>
      <w:pPr>
        <w:bidi w:val="0"/>
        <w:spacing w:line="360" w:lineRule="auto"/>
        <w:ind w:left="0" w:leftChars="0" w:firstLine="0" w:firstLineChars="0"/>
        <w:rPr>
          <w:rFonts w:hint="default" w:ascii="Times New Roman" w:hAnsi="Times New Roman" w:eastAsia="宋体" w:cs="宋体"/>
          <w:kern w:val="0"/>
          <w:sz w:val="24"/>
          <w:lang w:eastAsia="zh-CN"/>
        </w:rPr>
      </w:pP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94" w:name="_Toc22645"/>
      <w:r>
        <w:rPr>
          <w:rFonts w:hint="default" w:ascii="Times New Roman" w:hAnsi="Times New Roman" w:eastAsia="黑体" w:cs="Times New Roman"/>
          <w:bCs/>
          <w:kern w:val="2"/>
          <w:sz w:val="28"/>
          <w:szCs w:val="32"/>
          <w:lang w:val="en-US" w:eastAsia="zh-CN" w:bidi="ar-SA"/>
        </w:rPr>
        <w:t>硬件设备运维费用</w:t>
      </w:r>
      <w:bookmarkEnd w:id="94"/>
    </w:p>
    <w:p>
      <w:pPr>
        <w:widowControl w:val="0"/>
        <w:bidi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4</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硬件设备运维费用表</w:t>
      </w:r>
    </w:p>
    <w:tbl>
      <w:tblPr>
        <w:tblStyle w:val="5"/>
        <w:tblW w:w="139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6"/>
        <w:gridCol w:w="3256"/>
        <w:gridCol w:w="4182"/>
        <w:gridCol w:w="1044"/>
        <w:gridCol w:w="1091"/>
        <w:gridCol w:w="1175"/>
        <w:gridCol w:w="1175"/>
        <w:gridCol w:w="11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325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设备名称</w:t>
            </w:r>
          </w:p>
        </w:tc>
        <w:tc>
          <w:tcPr>
            <w:tcW w:w="41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运维内容</w:t>
            </w:r>
          </w:p>
        </w:tc>
        <w:tc>
          <w:tcPr>
            <w:tcW w:w="104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人月数量</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（月）</w:t>
            </w:r>
          </w:p>
        </w:tc>
        <w:tc>
          <w:tcPr>
            <w:tcW w:w="109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人月单价</w:t>
            </w:r>
          </w:p>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（元/月）</w:t>
            </w:r>
          </w:p>
        </w:tc>
        <w:tc>
          <w:tcPr>
            <w:tcW w:w="3533"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325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4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2026年度</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2027年度</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2028年度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5" w:hRule="atLeast"/>
        </w:trPr>
        <w:tc>
          <w:tcPr>
            <w:tcW w:w="13952"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一、临湘市财政局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业务终端交付一体机系统2套运维(主用)</w:t>
            </w:r>
          </w:p>
        </w:tc>
        <w:tc>
          <w:tcPr>
            <w:tcW w:w="41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业务终端交付一体机系统4套运维(主用)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预算一体化系统驻场服务</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云平台4套，业务终端交付5套运维</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电池更换及机房硬件维修</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业务终端交付一体机系统2套运维(备用)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部门预算终端维护服务</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机房维护和预算单位网络、硬件维护</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网络安全设备运维</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5"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小计1</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418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1008000</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1008000</w:t>
            </w:r>
          </w:p>
        </w:tc>
        <w:tc>
          <w:tcPr>
            <w:tcW w:w="11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1008000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5" w:hRule="atLeast"/>
        </w:trPr>
        <w:tc>
          <w:tcPr>
            <w:tcW w:w="13952"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二、临湘市发改局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千兆光模块维护</w:t>
            </w:r>
          </w:p>
        </w:tc>
        <w:tc>
          <w:tcPr>
            <w:tcW w:w="4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0.22</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5"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小计2</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418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2200</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2200</w:t>
            </w:r>
          </w:p>
        </w:tc>
        <w:tc>
          <w:tcPr>
            <w:tcW w:w="11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5" w:hRule="atLeast"/>
        </w:trPr>
        <w:tc>
          <w:tcPr>
            <w:tcW w:w="13952"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二、临湘市数据局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机房维护费（非煤矿山企业接入）</w:t>
            </w:r>
          </w:p>
        </w:tc>
        <w:tc>
          <w:tcPr>
            <w:tcW w:w="4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15400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15400</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5"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小计3</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418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15400</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15400</w:t>
            </w:r>
          </w:p>
        </w:tc>
        <w:tc>
          <w:tcPr>
            <w:tcW w:w="11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5" w:hRule="atLeast"/>
        </w:trPr>
        <w:tc>
          <w:tcPr>
            <w:tcW w:w="13952"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（二）临湘市数字化平台统一运维第三方技术服务项目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41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保养和清洁服务、运维和巡检服务、故障响应及处理服务、设备更换服务、重大事件保障服务、运维服务质量六部分内容</w:t>
            </w: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3.10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30979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30979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30979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半球摄像机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3770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3770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政务自助终端</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（自助一体化）</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0.30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3009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3009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超级柜台自助终端</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（窗口双屏电脑）</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17308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17308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17308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信息发布查询终端</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（竖屏查询机）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5587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5587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5587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一体化电脑</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2102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2102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高拍仪（带二代证阅读器）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窗口物理呼叫器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550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550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排队信息显示屏（65寸）</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5927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5927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5927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排队信息显示屏（49寸）</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LED窗口显示屏（公安窗口）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1898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1898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LED窗口显示屏（人社窗口）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0.20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LED窗口显示屏（交警窗口）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LED窗口显示屏（医保窗口）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1597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1597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LED窗口显示屏（公共窗口）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522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522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LED窗口显示屏(民政窗口)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0.04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LED窗口显示屏（综合窗口）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2057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2057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LED窗口显示屏（税务窗口）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2057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2057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LED窗口显示屏（工程窗口）</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332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332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LED窗口显示屏（3楼）</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758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758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LED控制器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0.63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6305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6305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6305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1665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1665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高点/红外/热成像</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3747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3747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高点/红外/热成像</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2498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2498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高点/雷达</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833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833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5115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5115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球形摄像机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3926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3926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全景摄像机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2141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2141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仓温仓湿传感器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0.14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1428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1428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气温气湿传感器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粮情检测主机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714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714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粮情检测分机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3569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3569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烟雾报警器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3763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3763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声光报警器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14804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14804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14804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LED服务器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1179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1179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枪式摄像机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2498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2498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球形摄像机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0.76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7635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7635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全景摄像机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2776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2776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2"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城市内涝水位计</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0.69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6939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6939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其他摄像机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球形摄像机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5.31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53096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53096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53096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0.10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1043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1043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2542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2542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8"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车头高清抓拍摄像及车牌识别机(高速)车头照</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车尾、侧面高清抓拍摄像及车牌识别机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高清网络枪机摄像机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室内半球摄像机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高清网络高速球形摄像机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0.14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1369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1369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27155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27155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27155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1140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1140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869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869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675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675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1336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1336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1085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1085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3128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3128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717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717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路面触感单元</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18103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高频信号处理器（12通道）</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0.08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车辆检测器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0.06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轨道位移控制器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称重仪表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0.09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传感器安装灌封胶</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长宽高仪传感器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UPS不间断电源</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一体化机柜防盗网</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41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日常巡检、故障响应及处理、调整优化、设备更换、运维服务质量、重大事件保障六部分内容</w:t>
            </w: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千兆网络交换机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48口接入交换机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5287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5287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办公网普通AP</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0.11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1131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1131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办公网高密AP</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0.04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423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423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办公网无线控制器</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288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288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32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24口POE接入交换机</w:t>
            </w:r>
          </w:p>
        </w:tc>
        <w:tc>
          <w:tcPr>
            <w:tcW w:w="418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529 </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529 </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小计4</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418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340000 </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340000</w:t>
            </w:r>
          </w:p>
        </w:tc>
        <w:tc>
          <w:tcPr>
            <w:tcW w:w="11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340000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（三）</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前端摄像头同步管理授时服务器</w:t>
            </w:r>
          </w:p>
        </w:tc>
        <w:tc>
          <w:tcPr>
            <w:tcW w:w="4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日常巡检、故障响应及处理、调整优化、设备更换、运维服务质量、重大事件保障六部分内容</w:t>
            </w:r>
          </w:p>
        </w:tc>
        <w:tc>
          <w:tcPr>
            <w:tcW w:w="1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0.34 </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10000</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3400 </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3400 </w:t>
            </w:r>
          </w:p>
        </w:tc>
        <w:tc>
          <w:tcPr>
            <w:tcW w:w="11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3400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小计5</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418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3400</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3400</w:t>
            </w:r>
          </w:p>
        </w:tc>
        <w:tc>
          <w:tcPr>
            <w:tcW w:w="11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3400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4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合计3</w:t>
            </w:r>
          </w:p>
        </w:tc>
        <w:tc>
          <w:tcPr>
            <w:tcW w:w="3256"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4182"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09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1369000 </w:t>
            </w:r>
          </w:p>
        </w:tc>
        <w:tc>
          <w:tcPr>
            <w:tcW w:w="11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1369000 </w:t>
            </w:r>
          </w:p>
        </w:tc>
        <w:tc>
          <w:tcPr>
            <w:tcW w:w="118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1369000 </w:t>
            </w:r>
          </w:p>
        </w:tc>
      </w:tr>
    </w:tbl>
    <w:p>
      <w:pPr>
        <w:bidi w:val="0"/>
        <w:spacing w:line="360" w:lineRule="auto"/>
        <w:ind w:firstLine="480" w:firstLineChars="200"/>
        <w:jc w:val="both"/>
        <w:rPr>
          <w:rFonts w:hint="default" w:ascii="Times New Roman" w:hAnsi="Times New Roman" w:eastAsia="宋体" w:cs="Times New Roman"/>
          <w:kern w:val="0"/>
          <w:sz w:val="24"/>
          <w:lang w:eastAsia="zh-CN"/>
        </w:rPr>
      </w:pPr>
    </w:p>
    <w:p>
      <w:pPr>
        <w:bidi w:val="0"/>
        <w:rPr>
          <w:rFonts w:hint="default" w:ascii="Times New Roman" w:hAnsi="Times New Roman" w:cs="Times New Roman"/>
          <w:lang w:eastAsia="zh-CN"/>
        </w:rPr>
        <w:sectPr>
          <w:pgSz w:w="16838" w:h="11906" w:orient="landscape"/>
          <w:pgMar w:top="1797" w:right="1440" w:bottom="1797" w:left="1440" w:header="1134" w:footer="397" w:gutter="0"/>
          <w:pgNumType w:fmt="decimal"/>
          <w:cols w:space="720" w:num="1"/>
          <w:docGrid w:linePitch="326" w:charSpace="0"/>
        </w:sectPr>
      </w:pP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95" w:name="_Toc17435"/>
      <w:r>
        <w:rPr>
          <w:rFonts w:hint="default" w:ascii="Times New Roman" w:hAnsi="Times New Roman" w:eastAsia="黑体" w:cs="Times New Roman"/>
          <w:bCs/>
          <w:kern w:val="2"/>
          <w:sz w:val="28"/>
          <w:szCs w:val="32"/>
          <w:lang w:val="en-US" w:eastAsia="zh-CN" w:bidi="ar-SA"/>
        </w:rPr>
        <w:t>设备更新替换费用</w:t>
      </w:r>
      <w:bookmarkEnd w:id="95"/>
    </w:p>
    <w:p>
      <w:pPr>
        <w:widowControl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5</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设备更新替换费用表</w:t>
      </w:r>
    </w:p>
    <w:tbl>
      <w:tblPr>
        <w:tblStyle w:val="5"/>
        <w:tblW w:w="139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9"/>
        <w:gridCol w:w="1097"/>
        <w:gridCol w:w="5302"/>
        <w:gridCol w:w="620"/>
        <w:gridCol w:w="620"/>
        <w:gridCol w:w="1061"/>
        <w:gridCol w:w="417"/>
        <w:gridCol w:w="819"/>
        <w:gridCol w:w="1059"/>
        <w:gridCol w:w="1059"/>
        <w:gridCol w:w="10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0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530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规格参数</w:t>
            </w:r>
          </w:p>
        </w:tc>
        <w:tc>
          <w:tcPr>
            <w:tcW w:w="230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41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81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单价</w:t>
            </w:r>
          </w:p>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（元）</w:t>
            </w:r>
          </w:p>
        </w:tc>
        <w:tc>
          <w:tcPr>
            <w:tcW w:w="3197"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530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2026年度</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2027年度</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2028年度</w:t>
            </w:r>
          </w:p>
        </w:tc>
        <w:tc>
          <w:tcPr>
            <w:tcW w:w="41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81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2026年度</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2027年度</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2028年度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2" w:type="dxa"/>
            <w:gridSpan w:val="11"/>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一、防汛抗旱救灾主题场景应用一期建设项目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（一）</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内涝点涉水预警</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pPr>
              <w:spacing w:line="240" w:lineRule="auto"/>
              <w:ind w:left="0" w:leftChars="0" w:right="0" w:rightChars="0" w:firstLine="0" w:firstLineChars="0"/>
              <w:rPr>
                <w:rFonts w:hint="eastAsia" w:ascii="宋体" w:hAnsi="宋体" w:eastAsia="宋体" w:cs="宋体"/>
                <w:i w:val="0"/>
                <w:iCs w:val="0"/>
                <w:color w:val="000000"/>
                <w:kern w:val="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noWrap/>
            <w:vAlign w:val="center"/>
          </w:tcPr>
          <w:p>
            <w:pPr>
              <w:spacing w:line="240" w:lineRule="auto"/>
              <w:ind w:left="0" w:leftChars="0" w:right="0" w:rightChars="0" w:firstLine="0" w:firstLineChars="0"/>
              <w:rPr>
                <w:rFonts w:hint="eastAsia" w:ascii="宋体" w:hAnsi="宋体" w:eastAsia="宋体" w:cs="宋体"/>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400万专智能视频雷达一体机</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采用摄像头、雷达、补光灯一体化设计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采用不小于400万像素1/1.8英寸CMOS传感器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内置GPU芯片，支持深度学习算法，有效提升监视准确率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内置4颗白光灯，补光距离不小于30米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设备支持水平方向0-340°旋转，垂直方向-20°~90°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支持雷达水位数据读取功能，可自动读取水位，可通过浏览器或客户端软件显示设备读取的水位高度信息以及水位状态信息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设备处于休眠模式下，雷达仍处于工作状态，数据上传间隔可设置；设备处于休眠模式下，功耗应≤0.9W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内置扬声器可随设备的转动进行水平，垂直不同方向的定向播放；扬声器支持水平0-340°，垂直-20~90°旋转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支持漂浮物检测，可对限定区域内漂浮物的面积超过阈值的状态进行报警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不同智能行为分析可设置联动不同的声音，可通过内置扬声器播放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光警戒：支持白光警戒；闪烁时间可设置：5-30秒；频率：高/中/低；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声警戒：内置27条语音报警内容，支持自定义语音内容导入；声音：0-100可调；播放次数1-10次可调；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设备内置水平仪，可检测设备所处位置的水平度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内置2个RS485接口</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4922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4922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4922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电动云台壁装支架</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承重：12.0kg；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安装方式：壁装；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执行标准：Q/DXJ 064-2018；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产品材质：铝合金</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292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292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292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IPC扩声音柱</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2路音频输入、1路音频输出；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1路音量调节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供电模式：POE供电；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输出短路保护及报警，过热及饱和和失真告警；配有安装支架，安装便捷；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 POE 48V 0.5A / DC 12V 2A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功率 24W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输入灵敏度 500mV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频响 (-10dB) 120Hz- 15KHz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信噪比 86dB ± 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声压级 (平均) 91dB ± 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 白色 (RAL 9003)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材料 外壳：铝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前格栅：铝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上下盖：ABS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接口规格 RJ45*1, RCA公头*1、凤凰接口 (音频输入接口*1、音频输出接口*1) DC IN*1</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368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（二）</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防汛抗旱应用平台</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b/>
                <w:bCs/>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pPr>
              <w:spacing w:line="240" w:lineRule="auto"/>
              <w:ind w:left="0" w:leftChars="0" w:right="0" w:rightChars="0" w:firstLine="0" w:firstLineChars="0"/>
              <w:rPr>
                <w:rFonts w:hint="eastAsia" w:ascii="宋体" w:hAnsi="宋体" w:eastAsia="宋体" w:cs="宋体"/>
                <w:i w:val="0"/>
                <w:iCs w:val="0"/>
                <w:color w:val="000000"/>
                <w:kern w:val="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noWrap/>
            <w:vAlign w:val="center"/>
          </w:tcPr>
          <w:p>
            <w:pPr>
              <w:spacing w:line="240" w:lineRule="auto"/>
              <w:ind w:left="0" w:leftChars="0" w:right="0" w:rightChars="0" w:firstLine="0" w:firstLineChars="0"/>
              <w:rPr>
                <w:rFonts w:hint="eastAsia" w:ascii="宋体" w:hAnsi="宋体" w:eastAsia="宋体" w:cs="宋体"/>
                <w:i w:val="0"/>
                <w:iCs w:val="0"/>
                <w:color w:val="000000"/>
                <w:kern w:val="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防汛抗旱应用平台基础模块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智慧物联生态感知平台是行业平台基础底座，为业务功能提供基础支撑能力，软件集成系统管理、视频管理、报警管理、门禁管理、车辆卡口、设备运维、停车管理、人员布控、动环监管、工作台、安全数据库等业务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一、系统管理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1、基础资源管理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支持组织基础信息的增删查、导入、导出等功能；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提供设备的统一接入及管理，包含：视频设备、门禁设备、出入口设备、对讲设备、报警设备、卡口设备、动环设备、物模型设备等；支持设备的增删查、导入、导出、自动搜索等功能；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支持用户基础信息的增删查、冻结、解冻、密码重置等功能；支持从Windows域同步用户信息，和企业域账户打通，通过域账户密码直接登录平台；支持用户的安全信息配置，可设置用户及用户登录密码有效期以及MAC白名单地址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支持角色基础信息的增删查；角色关联权限，可配置角色的应用菜单、部门、逻辑组织以及系统资源操作权限；支持角色的复制能力；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支持部门基础信息的增删查、导入、导出等功能；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支持人员基础信息的增删查、导入、导出、移动等功能；支持人员信息的采集，包含：人脸、指纹、卡片等，人脸照片支持图片质量检测；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支持卡片基础信息的增删查、导入、导出等功能；支持人员开卡、挂失、解挂、退卡、补卡、回收等功能；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支持车辆基础信息的增删查、导入、导出等功能；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提供地图管理配置能力，地图类型包含：二维、光栅、三维地图，支持厂家包含：百度、谷歌、高德、天地图、Arcgis；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 支持平台资源绑定，包含：设备、通道等，绑定的资源可供各业务系统调阅使用；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提供门户首页内容自定义能力，支持自定义快捷入口、自定义菜单内容、自定义页面元素设置；支持门户展示元素自定义，包括页面logo图标、修改网站标题、设置并添加网站外部链接、界面微件自定义布局等；</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5750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5750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防汛抗旱综合管理系统</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综合管理系统依托AI智能、物联网、大数据等人工智能技术，汇聚河段、视频、城市易涝点、闸泵站、水文监测站、排水口、水库等点位数据，支持资源的添加、修改、删除、点位分布拖动功能，以及河段管理、防汛抗旱系统配置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1、综合资源管理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（1）支持资源的添加、修改、删除功能，包含水库、排水口、城市易涝点、闸泵站、水文监测站资源；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（2）支持中心点设置功能；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（3）支持框选地图资源功能；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（4）支持资源搜索功能；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（5）支持资源拖动至地图，确定资源在地图经纬度；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2、河段管理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（1）支持河段的新增、修改、删除功能；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（2）支持河段关联所属河湖、防汛抗旱执法队长；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（3）支持河段关联视频设备、环境量、报警输入输出；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3、防汛抗旱系统配置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（1）支持报警统计超时配置；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（2）支持设备高度统一配置；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（3）支持默认天气地区配置；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（4）支持主管人员配置；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（5）支持值班人员配置；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（6）支持报警统计类型配置；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（7）支持默认河段通道配置；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二、性能规格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1、单机支持防汛抗旱球接入不少于500台；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2、支持添加河段不少于100个；</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20183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20183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防汛抗旱一张图模块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一张图模块依托AI智能、物联网、大数据等人工智能技术，汇聚河段、视频、城市易涝点、闸泵站、水文监测站、排水口、水库等点位数据，支持报警总数、报警类型、实时报警、水文监测、巡河详情、巡河次数等进行统计分析可视化呈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1、图表统计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报警概览：支持对设备报警总数进行统计，包含未处理、处理中、已处理、误报报警数据，支持按当日、近一周、近一月、近三月、近六月、近一年时间筛选统计；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报警类型：支持滚动展示报警类型统计，支持按当日、近一周、近一月、近三月、近六月、近一年时间筛选统计；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报警信息：支持对设备实时报警数据滚动展示，包含报警类型、报警源头、报警时间数据；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水文监测：支持对水文监测数据进行统计，包括水位、流速、雨量数据；支持按通道、当日、近一周、近一月、近三月、近六月、近一年时间筛选统计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巡河详情：支持巡河详情统计，支持统计计划巡河、进行中、按时完成、超时完成、未完成次数，以及巡河完成率、及时率，支持按河段、当日、近一周、近一月、近三月、近六月、近一年时间筛选统计；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巡河次数top5：支持巡河次数top5统计，展示河段名称、巡河次数；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更多巡河：支持查看更多巡河详情信息；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2、资源展示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资源地图：支持视频资源地图点位展示，支持气泡展示名称、通道编号、所属组织、经纬度信息，支持查看实时视频；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资源信息：支持展示水库、排水口、城市易涝点、闸泵站、水文监测站资源，支持气泡展示资源类型、名称、经纬度信息；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河段资源：支持河段资源地图点位展示，支持河段区域边界展示，支持气泡展示河段名称、所属河湖、河长姓名、河长电话信息，支持查看河段相关</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13800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13800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防汛抗旱报警研判模块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报警研判模块依托AI智能、物联网、大数据等人工智能技术，汇聚河段、视频、城市易涝点、闸泵站、水文监测站、排水口、水库等点位数据，支持报警信息列表及地图点位展示，支持回溯报警抓图、报警录像并处置报警，联动app形成报警处置的全流程闭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1、研判列表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研判筛选：支持报警时间、报警类型筛选功能，支持按待处理、处理中、已处理状态分类展示，并展示各状态报警条数；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报警导出：支持导出报警数据，支持导出数据、数据和图片两种形式，并且导出需再次输入密码进行安全验证；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报警类型：支持水位过低、水位过高、水体颜色、流速过高、流速过低、排污事件、事件上报等类型的报警展示；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研判点位联动：支持点击报警列表，地图联动定位报警图层，并展示报警详细信息弹框；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2、研判地图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地图点位：支持点击报警列表地图报警点位展示，支持气泡展示报警类型、报警来源、报警时间、经纬度、报警图片信息，支持报警处理和查看报警实时视频；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图层过滤：支持图层过滤功能，支持设备、报警、资源、其他图层分类筛选；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研判工具：支持测量工具，支持地图点位测距和测面积操作，以及清除测量结果；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研判资源：支持河段、视频、水库、排水口、城市易涝点、闸泵站、水文监测站资源树状结构展示；支持资源搜索，点击资源定位到地图展示；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全屏功能：支持全屏展示功能；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3、研判信息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报警展示：支持展示报警类型、经纬度、设备名称、处理状态、报警时间、报警图片报警信息；</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13800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13800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防汛抗旱水文监测模块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依托AI智能、物联网、大数据等人工智能技术，支持水位、流速、雨量数据的历史数据查看，支持数据的图表形式展示和导出功能。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1、水文监测点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基础信息：支持在地图上查看水文监测点位分布，点击水文监测点，可查看到监测名称、所属组织、备注信息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雨量数据：支持查看单个水文监测点实时雨量数据，包含近1小时雨量、近6小时雨量、近24小时雨量；支持默认查看近24小时，该点位历史雨量趋势图，可调整时间筛选条件查询更多数据；支持查看当前监测点绑定的监测设备名称，以及设备最新数据上报的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水位数据：支持查看单个水文监测点实时水位数据；支持查询该点位历史水位数据，可调整时间筛选条件查询更多数据；支持查看当前监测点绑定的监测设备名称，以及设备最新数据上报的时间；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流速数据：支持查看单个水文监测点实时流速数据；支持查询该点位历史流速数据，可调整时间筛选条件查询更多数据；支持查看当前监测点绑定的监测设备名称，以及设备最新数据上报的时间；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实时视频：支持预览单个水文监测点所绑定设备的实时视频画面，如果绑定多个设备支持按照设备通道进行视频切换；支持打开视频控制界面，可对球机进行云台操作控制，同时支持多画面窗口显示；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报警信息：支持查看单个水文监测点最新报警数据，可预览报警抓图和报警类型、报警时间等信息；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2、水文数据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数据筛选：支持按水文监测点、时间范围、监测指标对监测数据进行筛选查询；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监测明细：支持按水文监测点的纬度，查看设备上报的数据明细，支持雨量、水位、流速三个监测指标；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数据统计：支持按小时、按天、按月进行数据统计，雨量以累计方式统计，水位、流速按统计周期计算平均值；</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13455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13455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防汛抗旱人工巡检模块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人工巡检模块与移动端APP联动，实现人工巡检数据上报，通过计划配置、计划执行、巡检报表，形成完整的人工巡检管理闭环，及时上报巡检过程中发现的问题，作为系统智能报警有效补充手段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1、支持设置巡逻员、巡检区域、巡检点位、巡检打卡、巡逻时间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2、支持巡检点位设置可用地图选点完成配置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3、支持设置打卡是否按设置的固定顺序打卡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4、支持巡检按照周、月设置长期周期任务；支持设置临时任务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5、支持查看所有巡检任务；并支持查看人工巡检路线图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6、支持按照时间段、计划名称查询及导出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7、支持根据巡检计划名、巡检时间、巡检区域、巡检结果展示巡检信息</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12420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12420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防汛抗旱移动端模块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移动端模块依托AI智能、物联网、大数据等人工智能技术，汇聚视频、报警等点位数据，支持人工巡检、人工上报报警功能，同时支持视频点位的预览、回放功能，以及报警消息、任务的展示。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1、首页功能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支持功能栏自定义展示，设备收藏的添加、查看，查看最近访问记录查看；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2、事件上报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支持报警点位定位；支持录入上报标题名称，最多上传9个附件，包括图片、视频、音频，以及录入备注信息；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3、预览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添加视频时可选择当前组织机构下设备和通道，支持抓图、录像、对讲、云台、收藏功能；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4、回放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支持设备录像的回放功能；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5、地图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点位分布：支持查看地图，展示地图上层分布，包括视频、水文监测点、水质监测点图层；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水文监测点：支持查看监测点位水位、雨量、流速实时数据和历史数据；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水质监测点：支持查看监测点水质相关指标的实时数据和历史数据；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6、消息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报警消息：支持查看报警消息，包括报警设备、报警类型、报警时间、</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10178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10178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视频接力巡检模块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视频接力巡检系统，通过串联某一个较大区域内各点位摄像头设备（如：河段、库区等），编排各视频点位转动方向和停留时间、执行顺序等规则，实现一次操作自动切换，完成对整个巡查区域监控多角度覆盖，减少现场人力巡查成本，提升管理效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1、任务管理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任务卡片：支持通过卡片方式，呈现需要进行的巡查任务信息及状态，通过任务相关视频画面截图结合任务名称，直观区分不同巡查任务；支持对今日已完成的任务和进行中的任务状态进行标识，显示最新一次任务执行的开始时间和结束时间，并统计该任务总执行次数和上报事件个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（2）任务排序：支持按最新任务创建时间、任务名称、最新执行时间正序、最新执行时间倒序进行排序显示任务卡片；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（3）任务查询：支持按照任务名称、任务所属组织筛选视频接力巡检任务；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（4）任务导出：支持导出当前查询条件下的任务信息，包括任务名称、最近一次任务执行开始时间、最近一次任务执行结束时间、上报事件数、执行任务次数、任务最近一次状态、任务所属组织名称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（5）任务编辑：支持视频接力任务新增、编辑、删除，编辑任务名称、所属组织、任务执行步骤；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视频接力步骤：支持通过组织资源树查找和关联视频通道，定义每个视频通道巡检方式，支持预置点、巡航、巡迹、水平旋转等巡查方式；支持设置每个步骤的停留时间，支持批量设置多个步骤停留时间；支持通过拖拽方式，以及置顶、置底、上移、下移等多种方式调整步骤执行顺序；支持单个删除或批量清空任务步骤；支持按资源名称或通道名称搜索任务步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视频接力地图：支持通过地图展示视频接力相关步骤视频点位，按照巡检顺序通过箭头方式进行连接，直观呈现视频接力步骤；通过展示步骤中视频画面覆盖的方向和范围，直观掌握视频接力巡检区域整体覆盖范围和接力交叉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（8）视频接力预览：支持对任务中的单个步骤的视频画面进行预览。</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13455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13455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防汛抗旱报警统计模块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汛抗旱报警统计模块，提供业务相关报警历史数据查询，通过各种查询条件对数据进一步分析和总结，也可以通过对报警状态、报警类型、事件类型、报警数量的多维度统计及趋势查看，掌握平台报警总体情况，辅助决策分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1、报警列表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（1）支持防汛抗旱历史报警数据展示，按报警类型、报警时间、处理状态等维度进行报警数据的查询；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（2）支持查看报警详情及关联抓图和录像信息；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2、报警分析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（1）支持报警统计，按报警处理状态、报警类型、报警事件纬度，以饼状图方式呈现对应数量和占比；</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11270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11270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管护巡护地图模块</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自然管护监测地图模块（需要配套人工巡检模块及防汛抗旱移动端模块），基于GIS地图对巡护人员进行状态监控、线路追踪、上报事件查看，实现巡护实时情况的有效监管；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一、软件参数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1、巡护地图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（1）实时位置：支持GIS地图查看巡护员实时位置；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（2）按时间查询轨迹：支持按时间范围查看巡护员轨迹信息；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（3）巡护事件上报：支持查看巡护员在巡护过程中上报的巡护事件详情；</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38548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38548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视频国标对接网关100路</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基于GB/T 28181等联网标准实现视频监控平台间的级联、互联功能，支持多平台多层次级联，实现平台之间的跨域互联互通与资源共享，具备高度的开放性</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1127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5635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1127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视频监控系统_视频通道数量</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视频通道管理个数授权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一、功能参数：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1、支持实时预览、录像回放、云台控制、视频上墙等功能；</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29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14375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技术支持服务费用</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平台软件部署、调试；山塘水库摄像机角度调优、检测场景调优、报警策略调优</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44850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44850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平台服务器</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主处理器：1颗国产化CPU，24核 ≥2.5GHz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芯片组：板载BMC管理芯片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硬盘：2块4T 3.5寸 SATA 热插拔机械硬盘，最大支持12块3.5寸/2.5寸的SAS/SATA机械硬盘或固态硬盘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内存：配置128G内存（4根32G DDR4 ECC内存条）、4个DDR4 DIMM插槽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RAID卡：RAID卡/1GB缓存，支持RAID 0/1/5/6/10/50/60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风扇：4个热插拔风扇 支持N+1冗余</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51750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103500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（三）</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DeepSeek计算效能中台服务费</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提供快速响应、定期跟踪、热线等相关</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43200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43200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43200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43200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小计1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819" w:type="dxa"/>
            <w:tcBorders>
              <w:top w:val="single" w:color="000000" w:sz="4" w:space="0"/>
              <w:left w:val="single" w:color="000000" w:sz="4" w:space="0"/>
              <w:bottom w:val="single" w:color="000000" w:sz="4" w:space="0"/>
              <w:right w:val="single" w:color="000000" w:sz="4" w:space="0"/>
            </w:tcBorders>
            <w:noWrap/>
            <w:vAlign w:val="bottom"/>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370000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49909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49909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3952" w:type="dxa"/>
            <w:gridSpan w:val="11"/>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二、山塘水库防溺水视频监控平台端摄像头修复项目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小水利球</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传感器类型：1/2.8 英寸 CMOS；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像素：400 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最大分辨率：2560×1440；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最低照度：彩色：0.005lux@F1.6 黑白：0.0005lux@F1.6；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最大补光距离：100m（白光）；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补光类型：白光；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镜头焦距：4.8mm～154mm；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镜头光圈：F1.6~4.0；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视场角：水平：55.8°~2.3° 垂直：31.9°~1.3° 对角线：63.7°~2.7°；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光学变倍：32 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定时任务：预置点；巡迹；巡航；线扫；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可视域功能：支持；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智能分类：专智能；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周界防范：支持绊线入侵、区域入侵、穿越围栏、徘徊、物品遗留、物品搬移、快速移动、停车、人员聚集检测；支持人车分类报警；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水利监测：支持标准水位标尺识别；支持虚拟水位标尺识别；支持水位超出上下限报警；支持水位数据定时推送；支持检测区域内水面漂浮物堆积面积占比检测；支持排水口检测；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防抖功能：电子防抖；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透雾功能：电子透雾；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网络接口：1 个（内置 RJ-45 网口，支持 10M/100M 网络数据）；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音频输入：1 路（LINE IN; 裸线）；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音频输出：1 路（LINE OUT; 裸线）；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语音对讲：支持；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报警输入：2 路，开关量输入（0~5V 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报警输出：1 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供电方式：DC12V/3A（-10%~+25%）；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防护等级：IP66；TVS 6000V 防雷、防浪涌和防突波保护；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球机尺寸：6 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接口类型：RJ45 接口；RS485 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一年质保</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3049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30490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167695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91470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大水利球</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传感器类型：1/1.8 英寸 CMOS；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像素：400 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最大分辨率：2560×1440；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最低照度：彩色：0.001Lux@F1.4 黑白：0.0001Lux@F1.4；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最大补光距离：120m（白光）；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补光类型：白光；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雨刷功能：智能雨刷；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镜头焦距：5.5mm~220mm；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镜头光圈：F1.4-F4.5；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视场角：水平：61.8°~2.2° 垂直：36.3°~1.3° 对角：69.2°~2.4°；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光学变倍：40 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定时任务：预置点；巡迹；巡航；线扫；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可视域功能：支持；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通用行为分析：支持绊线入侵；支持区域入侵；支持徘徊检测；支持快速移动；支持停车检测；支持人员聚集；支持停留检测；支持人车分类报警；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智能分类：专智能；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周界防范：支持绊线入侵；支持区域入侵；支持徘徊检测；支持快速移动；支持停车检测；支持人员聚集；支持停留检测；支持人车分类报警；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水利监测：支持标准水位标尺识别；支持虚拟水位标尺识别；支持水位超出上下限报警；支持水位数据定时推送；支持水面漂浮物堆积面积检测；支持排水口检测；支持船只检测；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防抖功能：电子防抖；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透雾功能：光学透雾；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网络接口：1个（RJ-45 母头网口，支持 10M/100M 网络数据）；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音频输入：1路（LINE IN；裸线）；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音频输出：1路（LINE OUT；裸线）；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报警接口：7 进 2 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语音对讲：支持；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报警输入：7 路，开关量输入（0~5V 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报警输出：2 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供电方式：AC24V/5A±25%（标配）；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防护等级：IP67；TVS 8000V 防雷、防浪涌和防突波保护；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球机尺寸：8 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接口类型：RJ45 接口；RS485 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其他特性：智慧水利；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一年质保</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9500</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9500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大华警戒球</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传感器类型：1/2.8 英寸 CMOS；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像素：400 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最大分辨率：2560×1440；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最低照度：彩色：0.005Lux@F1.6 黑白：0.0005Lux@F1.60Lux（红外灯开启）；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最大补光距离：30m（白光）；150m（红外）；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补光类型：红外+白光；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镜头焦距：4.8mm～154mm；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镜头光圈：F1.6~F4.0；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视场角：水平：55.8°~2.3° 垂直：31.9°~1.3° 对角线：63.7°~2.7°；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光学变倍：32 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定时任务：预置点；巡查；巡航；线扫；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可视域功能：支持；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智能分类：易智能；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周界防范：支持绊线入侵；支持区域入侵；支持穿越围栏；支持徘徊检测；支持物品遗留；支持物品搬移；支持快速移动；支持停车检测；支持人员聚集；支持人车分类报警；支持联动跟踪；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人脸检测：支持人脸检测；支持人脸轨迹框；支持优选；支持抓拍；支持上报最优的人脸抓图；支持人脸增强；支持人脸属性提取，支持 6 种属性 8 种表情：性别，年龄，眼镜，表情（愤怒，悲伤，厌恶，害怕，惊讶，平静，高兴，困惑），口罩，胡子；支持人脸抠图区域可设：人脸，单光照；支持实时抓拍，优选抓拍，支持质量优先三种抓拍策略；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光警戒：支持白光警戒；闪烁时间可设置：5-30 秒；频率：高/中/低；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声警戒：共计 22 条语音报警内容，支持自定义语音内容导入；声音：高/中/低；持续时间可设置：5-30 秒；110dB；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透雾功能：电子透雾；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网络接口：1 个（RJ-45 网口，支持 10M/100M 网络数据）；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音频输入：1 路（LINE IN；裸线）；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音频输出：1 路（LINE OUT，裸线；内置扬声器；互斥使用）；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语音对讲：支持；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报警输入：2 路，开关量输入（0~5V 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报警输出：1 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供电方式：DC24V/2.5A±25%（标配）；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防护等级：IP66；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球机尺寸：6 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接口类型：RJ45 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其他特性：声光警戒；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一年质保</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4631</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18524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球机电源</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12V，一年质保</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1638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2145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球机电源</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24V，一年质保</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监控配件</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防水箱挂板/55*250/加厚</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2500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球机抱箍支架</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TC-100MM</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464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1624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1624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支架配件</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抱箍/TC-300MM/圈内直径 30cm</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750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防水箱</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TC-201/不锈钢/400*300*180mm</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18875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9513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9513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二合一防雷器</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12V,24V,220V 可选；标称放电电流：5kA；最大通流容量：10kA；响应时间：1ns；特性阻抗 75 Ω；接口：电源：2P 压接式端子，视频：BNC；插入损耗：≤0.5dB;</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161</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20125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11270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11270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漏电保护开关</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2P, 10A</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4750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2660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2660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插座</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 孔</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辅材</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耐电压（1000V×1min）不击穿</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315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辅材</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20#, 施工费/运费 12 元/米/点</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2500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RVV3*2.5 平方</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860</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10320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4560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4560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光猫</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定制，数据调测工费 100 元/点</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237</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8295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4266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4266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网线</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超五类网线，布线，水晶头制作</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632</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1264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632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光缆</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24 芯单模光缆，光缆布放</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8980</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35920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光纤尾纤</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 米单芯单模 LC 尾纤</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人工挖沟槽</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80mm*100mm，室外沟槽拆除、恢复，挖沟槽土方、回填</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860</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51600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线管</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PVC25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860</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3440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立杆</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4.5m 立杆，含地笼、避雷针以及立杆基础开挖</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1136</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15904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防雷接地</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防雷接地网制作（含引下线、接地网等），3 根 50mm×50mm×5mm 热镀锌角钢为垂直地极 L=1.0 米，以 40×4mm 热镀锌扁钢互连，地极埋地深度≥0.8 米。接地电阻≤10Ω</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处</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502</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7028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接入交换机</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 口 POE 千兆以太网交换机传输速率 10/100/1000Mbps, 金属外壳</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161</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2415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1288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1288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旧设备拆除</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拆旧摄像头、防水箱、安装新防水箱</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1980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1980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熔纤费用</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光纤熔接</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1560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696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设备维保费用</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每年 125 个点位定期监控相关设备巡检</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3588</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21528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21528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21528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升降车租赁</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安装摄像头, 平台升降车辆租用费</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957</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14355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6699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6699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吊车租赁</w:t>
            </w: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装载、安装立杆</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81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1076</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5380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rPr>
            </w:pPr>
            <w:r>
              <w:rPr>
                <w:rFonts w:hint="eastAsia" w:ascii="宋体" w:hAnsi="宋体" w:eastAsia="宋体" w:cs="宋体"/>
                <w:i w:val="0"/>
                <w:iCs w:val="0"/>
                <w:color w:val="000000"/>
                <w:kern w:val="0"/>
                <w:sz w:val="20"/>
                <w:szCs w:val="20"/>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小计2</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819" w:type="dxa"/>
            <w:tcBorders>
              <w:top w:val="single" w:color="000000" w:sz="4" w:space="0"/>
              <w:left w:val="single" w:color="000000" w:sz="4" w:space="0"/>
              <w:bottom w:val="single" w:color="000000" w:sz="4" w:space="0"/>
              <w:right w:val="single" w:color="000000" w:sz="4" w:space="0"/>
            </w:tcBorders>
            <w:noWrap/>
            <w:vAlign w:val="bottom"/>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300000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240586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163386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8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合计4</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530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62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ind w:left="0" w:leftChars="0" w:right="0" w:rightChars="0" w:firstLine="0" w:firstLineChars="0"/>
              <w:rPr>
                <w:rFonts w:hint="eastAsia" w:ascii="宋体" w:hAnsi="宋体" w:eastAsia="宋体" w:cs="宋体"/>
                <w:b/>
                <w:bCs/>
                <w:i w:val="0"/>
                <w:iCs w:val="0"/>
                <w:color w:val="000000"/>
                <w:kern w:val="0"/>
                <w:sz w:val="20"/>
                <w:szCs w:val="20"/>
                <w:u w:val="none"/>
              </w:rPr>
            </w:pPr>
          </w:p>
        </w:tc>
        <w:tc>
          <w:tcPr>
            <w:tcW w:w="819" w:type="dxa"/>
            <w:tcBorders>
              <w:top w:val="single" w:color="000000" w:sz="4" w:space="0"/>
              <w:left w:val="single" w:color="000000" w:sz="4" w:space="0"/>
              <w:bottom w:val="single" w:color="000000" w:sz="4" w:space="0"/>
              <w:right w:val="single" w:color="000000" w:sz="4" w:space="0"/>
            </w:tcBorders>
            <w:noWrap/>
            <w:vAlign w:val="bottom"/>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670000 </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290495 </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213295 </w:t>
            </w:r>
          </w:p>
        </w:tc>
      </w:tr>
    </w:tbl>
    <w:p>
      <w:pPr>
        <w:spacing w:line="360" w:lineRule="auto"/>
        <w:ind w:firstLine="480" w:firstLineChars="200"/>
        <w:jc w:val="both"/>
        <w:rPr>
          <w:rFonts w:hint="default" w:ascii="Times New Roman" w:hAnsi="Times New Roman" w:eastAsia="宋体" w:cs="Times New Roman"/>
          <w:kern w:val="0"/>
          <w:sz w:val="24"/>
          <w:lang w:eastAsia="zh-CN"/>
        </w:rPr>
      </w:pPr>
    </w:p>
    <w:p>
      <w:pPr>
        <w:bidi w:val="0"/>
        <w:rPr>
          <w:rFonts w:hint="default" w:ascii="Times New Roman" w:hAnsi="Times New Roman" w:cs="Times New Roman"/>
          <w:lang w:eastAsia="zh-CN"/>
        </w:rPr>
        <w:sectPr>
          <w:pgSz w:w="16838" w:h="11906" w:orient="landscape"/>
          <w:pgMar w:top="1797" w:right="1440" w:bottom="1797" w:left="1440" w:header="1134" w:footer="397" w:gutter="0"/>
          <w:pgNumType w:fmt="decimal"/>
          <w:cols w:space="720" w:num="1"/>
          <w:docGrid w:linePitch="326" w:charSpace="0"/>
        </w:sectPr>
      </w:pP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96" w:name="_Toc23110"/>
      <w:r>
        <w:rPr>
          <w:rFonts w:hint="default" w:ascii="Times New Roman" w:hAnsi="Times New Roman" w:eastAsia="黑体" w:cs="Times New Roman"/>
          <w:bCs/>
          <w:kern w:val="2"/>
          <w:sz w:val="28"/>
          <w:szCs w:val="32"/>
          <w:lang w:val="en-US" w:eastAsia="zh-CN" w:bidi="ar-SA"/>
        </w:rPr>
        <w:t>云资源租赁费用</w:t>
      </w:r>
      <w:bookmarkEnd w:id="96"/>
    </w:p>
    <w:p>
      <w:pPr>
        <w:widowControl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6</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云资源租赁费用表</w:t>
      </w:r>
    </w:p>
    <w:tbl>
      <w:tblPr>
        <w:tblStyle w:val="5"/>
        <w:tblW w:w="139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4"/>
        <w:gridCol w:w="3729"/>
        <w:gridCol w:w="1990"/>
        <w:gridCol w:w="1222"/>
        <w:gridCol w:w="1222"/>
        <w:gridCol w:w="1449"/>
        <w:gridCol w:w="1167"/>
        <w:gridCol w:w="1167"/>
        <w:gridCol w:w="11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blHeader/>
        </w:trPr>
        <w:tc>
          <w:tcPr>
            <w:tcW w:w="83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名称</w:t>
            </w:r>
          </w:p>
        </w:tc>
        <w:tc>
          <w:tcPr>
            <w:tcW w:w="19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虚拟机数量（台）</w:t>
            </w:r>
          </w:p>
        </w:tc>
        <w:tc>
          <w:tcPr>
            <w:tcW w:w="122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vcpu(核）</w:t>
            </w:r>
          </w:p>
        </w:tc>
        <w:tc>
          <w:tcPr>
            <w:tcW w:w="122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内存（G）</w:t>
            </w:r>
          </w:p>
        </w:tc>
        <w:tc>
          <w:tcPr>
            <w:tcW w:w="144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块存储（G）</w:t>
            </w:r>
          </w:p>
        </w:tc>
        <w:tc>
          <w:tcPr>
            <w:tcW w:w="3506"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0" w:hRule="atLeast"/>
          <w:tblHeader/>
        </w:trPr>
        <w:tc>
          <w:tcPr>
            <w:tcW w:w="834"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99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22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222"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44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2026年度</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2027年度</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2028年度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临湘市智慧交通管理平台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14190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14190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9690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9690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综合治税平台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12360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12360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20270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20270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7"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临湘市村级财务资金监督管理平台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17300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17300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17750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17750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临湘市房地产信息平台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7170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7170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21930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21930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21930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12090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12090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山洪灾害监测预警平台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11190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11190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11190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11190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10740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10740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城市运行综合管理中心平台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19260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19260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15660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15660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37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人事工资管理信息平台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9100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9100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临湘市燃气监管平台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6540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6540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临湘市农村土地承包经营权信息平台</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37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全面应用省一网通办平台系统</w:t>
            </w: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12360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12360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3729"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c>
          <w:tcPr>
            <w:tcW w:w="11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c>
          <w:tcPr>
            <w:tcW w:w="11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小计</w:t>
            </w:r>
          </w:p>
        </w:tc>
        <w:tc>
          <w:tcPr>
            <w:tcW w:w="372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435530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435530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435530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10446"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折扣系数</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80.36%</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80.36%</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8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合计5</w:t>
            </w:r>
          </w:p>
        </w:tc>
        <w:tc>
          <w:tcPr>
            <w:tcW w:w="372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99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44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left="0" w:leftChars="0" w:right="0" w:rightChars="0" w:firstLine="0" w:firstLineChars="0"/>
              <w:jc w:val="center"/>
              <w:rPr>
                <w:rFonts w:hint="default" w:ascii="Times New Roman" w:hAnsi="Times New Roman" w:eastAsia="宋体" w:cs="Times New Roman"/>
                <w:i w:val="0"/>
                <w:iCs w:val="0"/>
                <w:color w:val="000000"/>
                <w:kern w:val="0"/>
                <w:sz w:val="21"/>
                <w:szCs w:val="21"/>
                <w:u w:val="none"/>
              </w:rPr>
            </w:pP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350000</w:t>
            </w:r>
          </w:p>
        </w:tc>
        <w:tc>
          <w:tcPr>
            <w:tcW w:w="11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350000</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350000</w:t>
            </w:r>
          </w:p>
        </w:tc>
      </w:tr>
    </w:tbl>
    <w:p>
      <w:pPr>
        <w:bidi w:val="0"/>
        <w:rPr>
          <w:rFonts w:hint="default" w:ascii="Times New Roman" w:hAnsi="Times New Roman" w:cs="Times New Roman"/>
          <w:lang w:eastAsia="zh-CN"/>
        </w:rPr>
        <w:sectPr>
          <w:pgSz w:w="16838" w:h="11906" w:orient="landscape"/>
          <w:pgMar w:top="1797" w:right="1440" w:bottom="1797" w:left="1440" w:header="1134" w:footer="397" w:gutter="0"/>
          <w:pgNumType w:fmt="decimal"/>
          <w:cols w:space="720" w:num="1"/>
          <w:docGrid w:linePitch="326" w:charSpace="0"/>
        </w:sectPr>
      </w:pPr>
    </w:p>
    <w:p>
      <w:pPr>
        <w:keepNext/>
        <w:keepLines/>
        <w:widowControl w:val="0"/>
        <w:numPr>
          <w:ilvl w:val="2"/>
          <w:numId w:val="1"/>
        </w:numPr>
        <w:bidi w:val="0"/>
        <w:spacing w:line="360" w:lineRule="auto"/>
        <w:ind w:left="0" w:firstLine="0" w:firstLineChars="0"/>
        <w:jc w:val="both"/>
        <w:outlineLvl w:val="2"/>
        <w:rPr>
          <w:rFonts w:hint="default" w:ascii="Times New Roman" w:hAnsi="Times New Roman" w:eastAsia="黑体" w:cs="Times New Roman"/>
          <w:bCs/>
          <w:kern w:val="2"/>
          <w:sz w:val="28"/>
          <w:szCs w:val="32"/>
          <w:lang w:val="en-US" w:eastAsia="zh-CN" w:bidi="ar-SA"/>
        </w:rPr>
      </w:pPr>
      <w:bookmarkStart w:id="97" w:name="_Toc4699"/>
      <w:r>
        <w:rPr>
          <w:rFonts w:hint="default" w:ascii="Times New Roman" w:hAnsi="Times New Roman" w:eastAsia="黑体" w:cs="Times New Roman"/>
          <w:bCs/>
          <w:kern w:val="2"/>
          <w:sz w:val="28"/>
          <w:szCs w:val="32"/>
          <w:lang w:val="en-US" w:eastAsia="zh-CN" w:bidi="ar-SA"/>
        </w:rPr>
        <w:t>其他服务运维费用</w:t>
      </w:r>
      <w:bookmarkEnd w:id="97"/>
    </w:p>
    <w:p>
      <w:pPr>
        <w:widowControl w:val="0"/>
        <w:spacing w:line="240" w:lineRule="auto"/>
        <w:ind w:firstLine="0" w:firstLineChars="0"/>
        <w:jc w:val="center"/>
        <w:rPr>
          <w:rFonts w:hint="default" w:ascii="Times New Roman" w:hAnsi="Times New Roman" w:eastAsia="黑体" w:cs="Times New Roman"/>
          <w:sz w:val="21"/>
          <w:szCs w:val="24"/>
          <w:lang w:val="en-US" w:eastAsia="zh-CN" w:bidi="ar-SA"/>
        </w:rPr>
      </w:pPr>
      <w:r>
        <w:rPr>
          <w:rFonts w:hint="default" w:ascii="Times New Roman" w:hAnsi="Times New Roman" w:eastAsia="黑体" w:cs="Times New Roman"/>
          <w:sz w:val="21"/>
          <w:szCs w:val="24"/>
          <w:lang w:val="en-US" w:eastAsia="zh-CN" w:bidi="ar-SA"/>
        </w:rPr>
        <w:t xml:space="preserve">表 </w:t>
      </w:r>
      <w:r>
        <w:rPr>
          <w:rFonts w:hint="default" w:ascii="Times New Roman" w:hAnsi="Times New Roman" w:eastAsia="黑体" w:cs="Times New Roman"/>
          <w:sz w:val="21"/>
          <w:szCs w:val="24"/>
          <w:lang w:val="en-US" w:eastAsia="zh-CN" w:bidi="ar-SA"/>
        </w:rPr>
        <w:fldChar w:fldCharType="begin"/>
      </w:r>
      <w:r>
        <w:rPr>
          <w:rFonts w:hint="default" w:ascii="Times New Roman" w:hAnsi="Times New Roman" w:eastAsia="黑体" w:cs="Times New Roman"/>
          <w:sz w:val="21"/>
          <w:szCs w:val="24"/>
          <w:lang w:val="en-US" w:eastAsia="zh-CN" w:bidi="ar-SA"/>
        </w:rPr>
        <w:instrText xml:space="preserve"> STYLEREF 2 \s </w:instrText>
      </w:r>
      <w:r>
        <w:rPr>
          <w:rFonts w:hint="default" w:ascii="Times New Roman" w:hAnsi="Times New Roman" w:eastAsia="黑体" w:cs="Times New Roman"/>
          <w:sz w:val="21"/>
          <w:szCs w:val="24"/>
          <w:lang w:val="en-US" w:eastAsia="zh-CN" w:bidi="ar-SA"/>
        </w:rPr>
        <w:fldChar w:fldCharType="separate"/>
      </w:r>
      <w:r>
        <w:rPr>
          <w:rFonts w:hint="default" w:ascii="Times New Roman" w:hAnsi="Times New Roman" w:eastAsia="黑体" w:cs="Times New Roman"/>
          <w:sz w:val="21"/>
          <w:szCs w:val="24"/>
          <w:lang w:val="en-US" w:eastAsia="zh-CN" w:bidi="ar-SA"/>
        </w:rPr>
        <w:t>9.3</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w:t>
      </w:r>
      <w:r>
        <w:rPr>
          <w:rFonts w:hint="default" w:ascii="Times New Roman" w:hAnsi="Times New Roman" w:eastAsia="黑体" w:cs="Times New Roman"/>
          <w:sz w:val="21"/>
          <w:szCs w:val="24"/>
          <w:lang w:val="en-US" w:eastAsia="zh-CN" w:bidi="ar-SA"/>
        </w:rPr>
        <w:fldChar w:fldCharType="begin"/>
      </w:r>
      <w:r>
        <w:rPr>
          <w:rFonts w:ascii="Times New Roman" w:hAnsi="Times New Roman" w:eastAsia="黑体" w:cs="宋体"/>
          <w:sz w:val="21"/>
          <w:szCs w:val="24"/>
          <w:lang w:val="en-US" w:eastAsia="zh-CN" w:bidi="ar-SA"/>
        </w:rPr>
        <w:instrText xml:space="preserve">SEQ 表 \* ARABIC \s 2</w:instrText>
      </w:r>
      <w:r>
        <w:rPr>
          <w:rFonts w:hint="default" w:ascii="Times New Roman" w:hAnsi="Times New Roman" w:eastAsia="黑体" w:cs="Times New Roman"/>
          <w:sz w:val="21"/>
          <w:szCs w:val="24"/>
          <w:lang w:val="en-US" w:eastAsia="zh-CN" w:bidi="ar-SA"/>
        </w:rPr>
        <w:fldChar w:fldCharType="separate"/>
      </w:r>
      <w:r>
        <w:rPr>
          <w:rFonts w:ascii="Times New Roman" w:hAnsi="Times New Roman" w:eastAsia="黑体" w:cs="宋体"/>
          <w:sz w:val="21"/>
          <w:szCs w:val="24"/>
          <w:lang w:val="en-US" w:eastAsia="zh-CN" w:bidi="ar-SA"/>
        </w:rPr>
        <w:t>7</w:t>
      </w:r>
      <w:r>
        <w:rPr>
          <w:rFonts w:hint="default" w:ascii="Times New Roman" w:hAnsi="Times New Roman" w:eastAsia="黑体" w:cs="Times New Roman"/>
          <w:sz w:val="21"/>
          <w:szCs w:val="24"/>
          <w:lang w:val="en-US" w:eastAsia="zh-CN" w:bidi="ar-SA"/>
        </w:rPr>
        <w:fldChar w:fldCharType="end"/>
      </w:r>
      <w:r>
        <w:rPr>
          <w:rFonts w:hint="default" w:ascii="Times New Roman" w:hAnsi="Times New Roman" w:eastAsia="黑体" w:cs="Times New Roman"/>
          <w:sz w:val="21"/>
          <w:szCs w:val="24"/>
          <w:lang w:val="en-US" w:eastAsia="zh-CN" w:bidi="ar-SA"/>
        </w:rPr>
        <w:t xml:space="preserve"> 其他服务运维费用表</w:t>
      </w:r>
    </w:p>
    <w:tbl>
      <w:tblPr>
        <w:tblStyle w:val="5"/>
        <w:tblW w:w="139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01"/>
        <w:gridCol w:w="1705"/>
        <w:gridCol w:w="2150"/>
        <w:gridCol w:w="1147"/>
        <w:gridCol w:w="1147"/>
        <w:gridCol w:w="1561"/>
        <w:gridCol w:w="1561"/>
        <w:gridCol w:w="1561"/>
        <w:gridCol w:w="16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blHeader/>
        </w:trPr>
        <w:tc>
          <w:tcPr>
            <w:tcW w:w="15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17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名称</w:t>
            </w:r>
          </w:p>
        </w:tc>
        <w:tc>
          <w:tcPr>
            <w:tcW w:w="21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规格参数</w:t>
            </w:r>
          </w:p>
        </w:tc>
        <w:tc>
          <w:tcPr>
            <w:tcW w:w="11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数量</w:t>
            </w:r>
          </w:p>
        </w:tc>
        <w:tc>
          <w:tcPr>
            <w:tcW w:w="11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单位</w:t>
            </w:r>
          </w:p>
        </w:tc>
        <w:tc>
          <w:tcPr>
            <w:tcW w:w="156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单价（元）</w:t>
            </w:r>
          </w:p>
        </w:tc>
        <w:tc>
          <w:tcPr>
            <w:tcW w:w="474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blHeader/>
        </w:trPr>
        <w:tc>
          <w:tcPr>
            <w:tcW w:w="150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kern w:val="0"/>
                <w:sz w:val="21"/>
                <w:szCs w:val="21"/>
                <w:u w:val="none"/>
              </w:rPr>
            </w:pPr>
          </w:p>
        </w:tc>
        <w:tc>
          <w:tcPr>
            <w:tcW w:w="17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kern w:val="0"/>
                <w:sz w:val="21"/>
                <w:szCs w:val="21"/>
                <w:u w:val="none"/>
              </w:rPr>
            </w:pPr>
          </w:p>
        </w:tc>
        <w:tc>
          <w:tcPr>
            <w:tcW w:w="21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kern w:val="0"/>
                <w:sz w:val="21"/>
                <w:szCs w:val="21"/>
                <w:u w:val="none"/>
              </w:rPr>
            </w:pPr>
          </w:p>
        </w:tc>
        <w:tc>
          <w:tcPr>
            <w:tcW w:w="11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kern w:val="0"/>
                <w:sz w:val="21"/>
                <w:szCs w:val="21"/>
                <w:u w:val="none"/>
              </w:rPr>
            </w:pPr>
          </w:p>
        </w:tc>
        <w:tc>
          <w:tcPr>
            <w:tcW w:w="156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kern w:val="0"/>
                <w:sz w:val="21"/>
                <w:szCs w:val="21"/>
                <w:u w:val="none"/>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2026年度</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2027年度</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2028年度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3958" w:type="dxa"/>
            <w:gridSpan w:val="9"/>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一、临湘市财政局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5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三级安全等保测评</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信息系统三级网络安全等级保护测评服务，含现场测评、漏洞整改咨询、出具正式测评报告</w:t>
            </w: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5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小计1</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3958" w:type="dxa"/>
            <w:gridSpan w:val="9"/>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bCs/>
                <w:i w:val="0"/>
                <w:iCs w:val="0"/>
                <w:color w:val="000000"/>
                <w:kern w:val="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二、临湘市数据局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5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山塘水库防溺水视频监控摄像头 5-8 月电费、2-8 月运维电费</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山塘水库前端视频监控设备用电代收代缴服务</w:t>
            </w: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8900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5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机房电费</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运维期间项目配套机房信息化设备年度用电代收代缴服务</w:t>
            </w: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180000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180000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180000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5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小计2</w:t>
            </w:r>
          </w:p>
        </w:tc>
        <w:tc>
          <w:tcPr>
            <w:tcW w:w="1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1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i w:val="0"/>
                <w:iCs w:val="0"/>
                <w:color w:val="000000"/>
                <w:kern w:val="0"/>
                <w:sz w:val="21"/>
                <w:szCs w:val="21"/>
                <w:u w:val="none"/>
              </w:rPr>
            </w:pP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188900</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188900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188900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15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合计6</w:t>
            </w:r>
          </w:p>
        </w:tc>
        <w:tc>
          <w:tcPr>
            <w:tcW w:w="17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kern w:val="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kern w:val="0"/>
                <w:sz w:val="21"/>
                <w:szCs w:val="21"/>
                <w:u w:val="none"/>
              </w:rPr>
            </w:pPr>
          </w:p>
        </w:tc>
        <w:tc>
          <w:tcPr>
            <w:tcW w:w="114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kern w:val="0"/>
                <w:sz w:val="21"/>
                <w:szCs w:val="21"/>
                <w:u w:val="none"/>
              </w:rPr>
            </w:pPr>
          </w:p>
        </w:tc>
        <w:tc>
          <w:tcPr>
            <w:tcW w:w="114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kern w:val="0"/>
                <w:sz w:val="21"/>
                <w:szCs w:val="21"/>
                <w:u w:val="none"/>
              </w:rPr>
            </w:pPr>
          </w:p>
        </w:tc>
        <w:tc>
          <w:tcPr>
            <w:tcW w:w="15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kern w:val="0"/>
                <w:sz w:val="21"/>
                <w:szCs w:val="21"/>
                <w:u w:val="none"/>
              </w:rPr>
            </w:pPr>
          </w:p>
        </w:tc>
        <w:tc>
          <w:tcPr>
            <w:tcW w:w="15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338900</w:t>
            </w:r>
          </w:p>
        </w:tc>
        <w:tc>
          <w:tcPr>
            <w:tcW w:w="156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338900</w:t>
            </w:r>
          </w:p>
        </w:tc>
        <w:tc>
          <w:tcPr>
            <w:tcW w:w="1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338900</w:t>
            </w:r>
          </w:p>
        </w:tc>
      </w:tr>
    </w:tbl>
    <w:p>
      <w:pPr>
        <w:bidi w:val="0"/>
        <w:rPr>
          <w:rFonts w:hint="default" w:ascii="Times New Roman" w:hAnsi="Times New Roman" w:cs="Times New Roman"/>
          <w:lang w:eastAsia="zh-CN"/>
        </w:rPr>
        <w:sectPr>
          <w:pgSz w:w="16838" w:h="11906" w:orient="landscape"/>
          <w:pgMar w:top="1797" w:right="1440" w:bottom="1797" w:left="1440" w:header="1134" w:footer="397" w:gutter="0"/>
          <w:pgNumType w:fmt="decimal"/>
          <w:cols w:space="720" w:num="1"/>
          <w:docGrid w:linePitch="326" w:charSpace="0"/>
        </w:sectPr>
      </w:pPr>
    </w:p>
    <w:p>
      <w:pPr>
        <w:jc w:val="center"/>
        <w:rPr>
          <w:rFonts w:hint="eastAsia" w:ascii="Calibri" w:hAnsi="Calibri" w:eastAsia="宋体" w:cs="Times New Roman"/>
          <w:b/>
          <w:bCs/>
          <w:sz w:val="36"/>
          <w:szCs w:val="36"/>
          <w:lang w:val="en-US" w:eastAsia="zh-CN"/>
        </w:rPr>
      </w:pPr>
      <w:r>
        <w:rPr>
          <w:rFonts w:hint="eastAsia" w:ascii="Calibri" w:hAnsi="Calibri" w:eastAsia="宋体" w:cs="Times New Roman"/>
          <w:b/>
          <w:bCs/>
          <w:sz w:val="36"/>
          <w:szCs w:val="36"/>
          <w:lang w:val="en-US" w:eastAsia="zh-CN"/>
        </w:rPr>
        <w:t>临湘市非涉密政务信息系统大运维大安全技术服务项目考核评分标准及考核办法</w:t>
      </w:r>
    </w:p>
    <w:p>
      <w:pPr>
        <w:jc w:val="center"/>
        <w:rPr>
          <w:rFonts w:hint="eastAsia" w:ascii="Calibri" w:hAnsi="Calibri" w:eastAsia="宋体" w:cs="Times New Roman"/>
          <w:b/>
          <w:bCs/>
          <w:sz w:val="32"/>
          <w:szCs w:val="32"/>
          <w:lang w:val="en-US" w:eastAsia="zh-CN"/>
        </w:rPr>
      </w:pPr>
    </w:p>
    <w:p>
      <w:pPr>
        <w:jc w:val="both"/>
        <w:rPr>
          <w:rFonts w:hint="eastAsia" w:ascii="Calibri" w:hAnsi="Calibri" w:eastAsia="宋体" w:cs="Times New Roman"/>
          <w:b/>
          <w:bCs/>
          <w:sz w:val="30"/>
          <w:szCs w:val="30"/>
          <w:lang w:val="en-US" w:eastAsia="zh-CN"/>
        </w:rPr>
      </w:pPr>
      <w:r>
        <w:rPr>
          <w:rFonts w:hint="eastAsia" w:ascii="Calibri" w:hAnsi="Calibri" w:eastAsia="宋体" w:cs="Times New Roman"/>
          <w:b/>
          <w:bCs/>
          <w:sz w:val="30"/>
          <w:szCs w:val="30"/>
          <w:lang w:val="en-US" w:eastAsia="zh-CN"/>
        </w:rPr>
        <w:t>一、考核评分标准</w:t>
      </w:r>
    </w:p>
    <w:p>
      <w:pPr>
        <w:jc w:val="center"/>
        <w:rPr>
          <w:rFonts w:hint="eastAsia" w:ascii="Calibri" w:hAnsi="Calibri" w:eastAsia="宋体" w:cs="Times New Roman"/>
          <w:b w:val="0"/>
          <w:bCs w:val="0"/>
          <w:sz w:val="30"/>
          <w:szCs w:val="30"/>
          <w:lang w:val="en-US" w:eastAsia="zh-CN"/>
        </w:rPr>
      </w:pPr>
      <w:r>
        <w:rPr>
          <w:rFonts w:hint="eastAsia" w:ascii="Calibri" w:hAnsi="Calibri" w:eastAsia="宋体" w:cs="Times New Roman"/>
          <w:b w:val="0"/>
          <w:bCs w:val="0"/>
          <w:sz w:val="30"/>
          <w:szCs w:val="30"/>
          <w:lang w:val="en-US" w:eastAsia="zh-CN"/>
        </w:rPr>
        <w:t>前端感知设备运维服务考核主要指标</w:t>
      </w:r>
    </w:p>
    <w:tbl>
      <w:tblPr>
        <w:tblStyle w:val="5"/>
        <w:tblW w:w="8727" w:type="dxa"/>
        <w:jc w:val="center"/>
        <w:tblInd w:w="0" w:type="dxa"/>
        <w:tblLayout w:type="fixed"/>
        <w:tblCellMar>
          <w:top w:w="0" w:type="dxa"/>
          <w:left w:w="108" w:type="dxa"/>
          <w:bottom w:w="0" w:type="dxa"/>
          <w:right w:w="108" w:type="dxa"/>
        </w:tblCellMar>
      </w:tblPr>
      <w:tblGrid>
        <w:gridCol w:w="791"/>
        <w:gridCol w:w="1194"/>
        <w:gridCol w:w="3837"/>
        <w:gridCol w:w="2023"/>
        <w:gridCol w:w="882"/>
      </w:tblGrid>
      <w:tr>
        <w:tblPrEx>
          <w:tblLayout w:type="fixed"/>
          <w:tblCellMar>
            <w:top w:w="0" w:type="dxa"/>
            <w:left w:w="108" w:type="dxa"/>
            <w:bottom w:w="0" w:type="dxa"/>
            <w:right w:w="108" w:type="dxa"/>
          </w:tblCellMar>
        </w:tblPrEx>
        <w:trPr>
          <w:trHeight w:val="567" w:hRule="atLeast"/>
          <w:tblHeader/>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序号</w:t>
            </w:r>
          </w:p>
        </w:tc>
        <w:tc>
          <w:tcPr>
            <w:tcW w:w="11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服务指标</w:t>
            </w:r>
          </w:p>
        </w:tc>
        <w:tc>
          <w:tcPr>
            <w:tcW w:w="383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指标定义</w:t>
            </w:r>
          </w:p>
        </w:tc>
        <w:tc>
          <w:tcPr>
            <w:tcW w:w="202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考核标准</w:t>
            </w:r>
          </w:p>
        </w:tc>
        <w:tc>
          <w:tcPr>
            <w:tcW w:w="8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总分</w:t>
            </w:r>
          </w:p>
        </w:tc>
      </w:tr>
      <w:tr>
        <w:tblPrEx>
          <w:tblLayout w:type="fixed"/>
          <w:tblCellMar>
            <w:top w:w="0" w:type="dxa"/>
            <w:left w:w="108" w:type="dxa"/>
            <w:bottom w:w="0" w:type="dxa"/>
            <w:right w:w="108" w:type="dxa"/>
          </w:tblCellMar>
        </w:tblPrEx>
        <w:trPr>
          <w:trHeight w:val="63" w:hRule="atLeast"/>
          <w:jc w:val="center"/>
        </w:trPr>
        <w:tc>
          <w:tcPr>
            <w:tcW w:w="79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119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保养和清洁服务</w:t>
            </w:r>
          </w:p>
        </w:tc>
        <w:tc>
          <w:tcPr>
            <w:tcW w:w="383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服务商应对服务范围内的设备进行除尘、清理，扫净监控设备上显露的尘土，对摄像机、防护罩等部件要进行除尘处理，确保设备正常运行。对易老化的部件进行检查，发现老化现象应及时更换维修</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并做好记录。</w:t>
            </w:r>
          </w:p>
        </w:tc>
        <w:tc>
          <w:tcPr>
            <w:tcW w:w="20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未按要求清洁、清理或不达标的。抽查出现不洁或出现遮挡的，扣</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分/次；记录缺失的，扣1分/次。</w:t>
            </w:r>
          </w:p>
        </w:tc>
        <w:tc>
          <w:tcPr>
            <w:tcW w:w="8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r>
      <w:tr>
        <w:tblPrEx>
          <w:tblLayout w:type="fixed"/>
          <w:tblCellMar>
            <w:top w:w="0" w:type="dxa"/>
            <w:left w:w="108" w:type="dxa"/>
            <w:bottom w:w="0" w:type="dxa"/>
            <w:right w:w="108" w:type="dxa"/>
          </w:tblCellMar>
        </w:tblPrEx>
        <w:trPr>
          <w:trHeight w:val="720" w:hRule="atLeast"/>
          <w:jc w:val="center"/>
        </w:trPr>
        <w:tc>
          <w:tcPr>
            <w:tcW w:w="79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1194"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运维及巡检</w:t>
            </w:r>
          </w:p>
        </w:tc>
        <w:tc>
          <w:tcPr>
            <w:tcW w:w="383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安排值守人员通过运维工具检查全部接入监控设备的运行情况，发现异常及时报前端维修人员，并记录前端设备故障原因及维修结果。</w:t>
            </w:r>
          </w:p>
        </w:tc>
        <w:tc>
          <w:tcPr>
            <w:tcW w:w="20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未按要求安排值守人员</w:t>
            </w:r>
            <w:r>
              <w:rPr>
                <w:rFonts w:hint="eastAsia" w:ascii="仿宋_GB2312" w:hAnsi="仿宋_GB2312" w:eastAsia="仿宋_GB2312" w:cs="仿宋_GB2312"/>
                <w:color w:val="auto"/>
                <w:sz w:val="24"/>
                <w:szCs w:val="24"/>
                <w:lang w:val="en-US" w:eastAsia="zh-CN"/>
              </w:rPr>
              <w:t>检查</w:t>
            </w:r>
            <w:r>
              <w:rPr>
                <w:rFonts w:hint="eastAsia" w:ascii="仿宋_GB2312" w:hAnsi="仿宋_GB2312" w:eastAsia="仿宋_GB2312" w:cs="仿宋_GB2312"/>
                <w:color w:val="auto"/>
                <w:sz w:val="24"/>
                <w:szCs w:val="24"/>
              </w:rPr>
              <w:t>监控设备的运行状况并记录，扣</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分/次。</w:t>
            </w:r>
          </w:p>
        </w:tc>
        <w:tc>
          <w:tcPr>
            <w:tcW w:w="8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r>
      <w:tr>
        <w:tblPrEx>
          <w:tblLayout w:type="fixed"/>
          <w:tblCellMar>
            <w:top w:w="0" w:type="dxa"/>
            <w:left w:w="108" w:type="dxa"/>
            <w:bottom w:w="0" w:type="dxa"/>
            <w:right w:w="108" w:type="dxa"/>
          </w:tblCellMar>
        </w:tblPrEx>
        <w:trPr>
          <w:trHeight w:val="720" w:hRule="atLeast"/>
          <w:jc w:val="center"/>
        </w:trPr>
        <w:tc>
          <w:tcPr>
            <w:tcW w:w="79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1194"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p>
        </w:tc>
        <w:tc>
          <w:tcPr>
            <w:tcW w:w="383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建立日常巡检维护台账，随时登记各类</w:t>
            </w:r>
            <w:r>
              <w:rPr>
                <w:rFonts w:hint="eastAsia" w:ascii="仿宋_GB2312" w:hAnsi="仿宋_GB2312" w:eastAsia="仿宋_GB2312" w:cs="仿宋_GB2312"/>
                <w:color w:val="auto"/>
                <w:sz w:val="24"/>
                <w:szCs w:val="24"/>
                <w:lang w:val="en-US" w:eastAsia="zh-CN"/>
              </w:rPr>
              <w:t>设备</w:t>
            </w:r>
            <w:r>
              <w:rPr>
                <w:rFonts w:hint="eastAsia" w:ascii="仿宋_GB2312" w:hAnsi="仿宋_GB2312" w:eastAsia="仿宋_GB2312" w:cs="仿宋_GB2312"/>
                <w:color w:val="auto"/>
                <w:sz w:val="24"/>
                <w:szCs w:val="24"/>
              </w:rPr>
              <w:t>运行情况。记录内容应包括检查时间、设备信息、安装地点、具体工作内容和检查结果等。</w:t>
            </w:r>
          </w:p>
        </w:tc>
        <w:tc>
          <w:tcPr>
            <w:tcW w:w="20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未按要求提供日常巡检维护台账，扣</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分/次。</w:t>
            </w:r>
          </w:p>
        </w:tc>
        <w:tc>
          <w:tcPr>
            <w:tcW w:w="8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r>
      <w:tr>
        <w:tblPrEx>
          <w:tblLayout w:type="fixed"/>
          <w:tblCellMar>
            <w:top w:w="0" w:type="dxa"/>
            <w:left w:w="108" w:type="dxa"/>
            <w:bottom w:w="0" w:type="dxa"/>
            <w:right w:w="108" w:type="dxa"/>
          </w:tblCellMar>
        </w:tblPrEx>
        <w:trPr>
          <w:trHeight w:val="720" w:hRule="atLeast"/>
          <w:jc w:val="center"/>
        </w:trPr>
        <w:tc>
          <w:tcPr>
            <w:tcW w:w="79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w:t>
            </w:r>
          </w:p>
        </w:tc>
        <w:tc>
          <w:tcPr>
            <w:tcW w:w="1194"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p>
        </w:tc>
        <w:tc>
          <w:tcPr>
            <w:tcW w:w="383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定期</w:t>
            </w:r>
            <w:r>
              <w:rPr>
                <w:rFonts w:hint="eastAsia" w:ascii="仿宋_GB2312" w:hAnsi="仿宋_GB2312" w:eastAsia="仿宋_GB2312" w:cs="仿宋_GB2312"/>
                <w:color w:val="auto"/>
                <w:sz w:val="24"/>
                <w:szCs w:val="24"/>
              </w:rPr>
              <w:t>对运维服务范围内的设备进行检查、测试，检查设备安装、固定、防护和供电等情况，发现问题和隐患及时解决，并做好记录。</w:t>
            </w:r>
          </w:p>
        </w:tc>
        <w:tc>
          <w:tcPr>
            <w:tcW w:w="20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未按要求对设备进行运维及巡检，扣</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分/次。</w:t>
            </w:r>
          </w:p>
        </w:tc>
        <w:tc>
          <w:tcPr>
            <w:tcW w:w="8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r>
      <w:tr>
        <w:tblPrEx>
          <w:tblLayout w:type="fixed"/>
          <w:tblCellMar>
            <w:top w:w="0" w:type="dxa"/>
            <w:left w:w="108" w:type="dxa"/>
            <w:bottom w:w="0" w:type="dxa"/>
            <w:right w:w="108" w:type="dxa"/>
          </w:tblCellMar>
        </w:tblPrEx>
        <w:trPr>
          <w:trHeight w:val="1440" w:hRule="atLeast"/>
          <w:jc w:val="center"/>
        </w:trPr>
        <w:tc>
          <w:tcPr>
            <w:tcW w:w="79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w:t>
            </w:r>
          </w:p>
        </w:tc>
        <w:tc>
          <w:tcPr>
            <w:tcW w:w="119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故障响应及处理</w:t>
            </w:r>
          </w:p>
        </w:tc>
        <w:tc>
          <w:tcPr>
            <w:tcW w:w="3837"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sz w:val="24"/>
                <w:szCs w:val="24"/>
                <w:highlight w:val="none"/>
              </w:rPr>
              <w:t>前端感知设备的故障响应、排查及维修服务，故障响应不得超过30分钟，排除故障时间不得超过</w:t>
            </w:r>
            <w:r>
              <w:rPr>
                <w:rFonts w:hint="eastAsia" w:ascii="仿宋_GB2312" w:hAnsi="仿宋_GB2312" w:eastAsia="仿宋_GB2312" w:cs="仿宋_GB2312"/>
                <w:sz w:val="24"/>
                <w:szCs w:val="24"/>
                <w:highlight w:val="none"/>
                <w:lang w:val="en-US" w:eastAsia="zh-CN"/>
              </w:rPr>
              <w:t>12（城区）/</w:t>
            </w:r>
            <w:r>
              <w:rPr>
                <w:rFonts w:hint="eastAsia" w:ascii="仿宋_GB2312" w:hAnsi="仿宋_GB2312" w:eastAsia="仿宋_GB2312" w:cs="仿宋_GB2312"/>
                <w:sz w:val="24"/>
                <w:szCs w:val="24"/>
                <w:highlight w:val="none"/>
              </w:rPr>
              <w:t>24</w:t>
            </w:r>
            <w:r>
              <w:rPr>
                <w:rFonts w:hint="eastAsia" w:ascii="仿宋_GB2312" w:hAnsi="仿宋_GB2312" w:eastAsia="仿宋_GB2312" w:cs="仿宋_GB2312"/>
                <w:sz w:val="24"/>
                <w:szCs w:val="24"/>
                <w:highlight w:val="none"/>
                <w:lang w:eastAsia="zh-CN"/>
              </w:rPr>
              <w:t>（乡镇）</w:t>
            </w:r>
            <w:r>
              <w:rPr>
                <w:rFonts w:hint="eastAsia" w:ascii="仿宋_GB2312" w:hAnsi="仿宋_GB2312" w:eastAsia="仿宋_GB2312" w:cs="仿宋_GB2312"/>
                <w:sz w:val="24"/>
                <w:szCs w:val="24"/>
                <w:highlight w:val="none"/>
              </w:rPr>
              <w:t>小时。</w:t>
            </w:r>
            <w:r>
              <w:rPr>
                <w:rFonts w:hint="eastAsia" w:ascii="仿宋_GB2312" w:hAnsi="仿宋_GB2312" w:eastAsia="仿宋_GB2312" w:cs="仿宋_GB2312"/>
                <w:sz w:val="24"/>
                <w:szCs w:val="24"/>
                <w:highlight w:val="none"/>
                <w:lang w:eastAsia="zh-CN"/>
              </w:rPr>
              <w:t>（长安街道、五里街道、云湖街道三个街道为临湘城区；其余均为乡镇范畴）</w:t>
            </w:r>
          </w:p>
        </w:tc>
        <w:tc>
          <w:tcPr>
            <w:tcW w:w="20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sz w:val="24"/>
                <w:szCs w:val="24"/>
                <w:highlight w:val="none"/>
              </w:rPr>
              <w:t>1.响应时间≤30分钟，排除故障时间≤</w:t>
            </w:r>
            <w:r>
              <w:rPr>
                <w:rFonts w:hint="eastAsia" w:ascii="仿宋_GB2312" w:hAnsi="仿宋_GB2312" w:eastAsia="仿宋_GB2312" w:cs="仿宋_GB2312"/>
                <w:sz w:val="24"/>
                <w:szCs w:val="24"/>
                <w:highlight w:val="none"/>
                <w:lang w:val="en-US" w:eastAsia="zh-CN"/>
              </w:rPr>
              <w:t>12（城区）</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sz w:val="24"/>
                <w:szCs w:val="24"/>
                <w:highlight w:val="none"/>
              </w:rPr>
              <w:t>24</w:t>
            </w:r>
            <w:r>
              <w:rPr>
                <w:rFonts w:hint="eastAsia" w:ascii="仿宋_GB2312" w:hAnsi="仿宋_GB2312" w:eastAsia="仿宋_GB2312" w:cs="仿宋_GB2312"/>
                <w:sz w:val="24"/>
                <w:szCs w:val="24"/>
                <w:highlight w:val="none"/>
                <w:lang w:eastAsia="zh-CN"/>
              </w:rPr>
              <w:t>（乡镇）</w:t>
            </w:r>
            <w:r>
              <w:rPr>
                <w:rFonts w:hint="eastAsia" w:ascii="仿宋_GB2312" w:hAnsi="仿宋_GB2312" w:eastAsia="仿宋_GB2312" w:cs="仿宋_GB2312"/>
                <w:sz w:val="24"/>
                <w:szCs w:val="24"/>
                <w:highlight w:val="none"/>
              </w:rPr>
              <w:t>小时，不扣分；</w:t>
            </w:r>
            <w:r>
              <w:rPr>
                <w:rFonts w:hint="eastAsia" w:ascii="仿宋_GB2312" w:hAnsi="仿宋_GB2312" w:eastAsia="仿宋_GB2312" w:cs="仿宋_GB2312"/>
                <w:sz w:val="24"/>
                <w:szCs w:val="24"/>
                <w:highlight w:val="none"/>
              </w:rPr>
              <w:br w:type="textWrapping"/>
            </w:r>
            <w:r>
              <w:rPr>
                <w:rFonts w:hint="eastAsia" w:ascii="仿宋_GB2312" w:hAnsi="仿宋_GB2312" w:eastAsia="仿宋_GB2312" w:cs="仿宋_GB2312"/>
                <w:sz w:val="24"/>
                <w:szCs w:val="24"/>
                <w:highlight w:val="none"/>
              </w:rPr>
              <w:t>2.响应时间＞30分钟，排除故障时间＞</w:t>
            </w:r>
            <w:r>
              <w:rPr>
                <w:rFonts w:hint="eastAsia" w:ascii="仿宋_GB2312" w:hAnsi="仿宋_GB2312" w:eastAsia="仿宋_GB2312" w:cs="仿宋_GB2312"/>
                <w:sz w:val="24"/>
                <w:szCs w:val="24"/>
                <w:highlight w:val="none"/>
                <w:lang w:val="en-US" w:eastAsia="zh-CN"/>
              </w:rPr>
              <w:t>12（城区）</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sz w:val="24"/>
                <w:szCs w:val="24"/>
                <w:highlight w:val="none"/>
              </w:rPr>
              <w:t>24</w:t>
            </w:r>
            <w:r>
              <w:rPr>
                <w:rFonts w:hint="eastAsia" w:ascii="仿宋_GB2312" w:hAnsi="仿宋_GB2312" w:eastAsia="仿宋_GB2312" w:cs="仿宋_GB2312"/>
                <w:sz w:val="24"/>
                <w:szCs w:val="24"/>
                <w:highlight w:val="none"/>
                <w:lang w:eastAsia="zh-CN"/>
              </w:rPr>
              <w:t>（乡镇）</w:t>
            </w:r>
            <w:r>
              <w:rPr>
                <w:rFonts w:hint="eastAsia" w:ascii="仿宋_GB2312" w:hAnsi="仿宋_GB2312" w:eastAsia="仿宋_GB2312" w:cs="仿宋_GB2312"/>
                <w:sz w:val="24"/>
                <w:szCs w:val="24"/>
                <w:highlight w:val="none"/>
              </w:rPr>
              <w:t>小时，扣2分/次。</w:t>
            </w:r>
          </w:p>
        </w:tc>
        <w:tc>
          <w:tcPr>
            <w:tcW w:w="8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20</w:t>
            </w:r>
          </w:p>
        </w:tc>
      </w:tr>
      <w:tr>
        <w:tblPrEx>
          <w:tblLayout w:type="fixed"/>
          <w:tblCellMar>
            <w:top w:w="0" w:type="dxa"/>
            <w:left w:w="108" w:type="dxa"/>
            <w:bottom w:w="0" w:type="dxa"/>
            <w:right w:w="108" w:type="dxa"/>
          </w:tblCellMar>
        </w:tblPrEx>
        <w:trPr>
          <w:trHeight w:val="1440"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w:t>
            </w:r>
          </w:p>
        </w:tc>
        <w:tc>
          <w:tcPr>
            <w:tcW w:w="11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设备更换服务</w:t>
            </w:r>
          </w:p>
        </w:tc>
        <w:tc>
          <w:tcPr>
            <w:tcW w:w="383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已达折旧年限及无法维修的设备按照各</w:t>
            </w:r>
            <w:r>
              <w:rPr>
                <w:rFonts w:hint="eastAsia" w:ascii="仿宋_GB2312" w:hAnsi="仿宋_GB2312" w:eastAsia="仿宋_GB2312" w:cs="仿宋_GB2312"/>
                <w:color w:val="auto"/>
                <w:sz w:val="24"/>
                <w:szCs w:val="24"/>
                <w:lang w:val="en-US" w:eastAsia="zh-CN"/>
              </w:rPr>
              <w:t>部门单位</w:t>
            </w:r>
            <w:r>
              <w:rPr>
                <w:rFonts w:hint="eastAsia" w:ascii="仿宋_GB2312" w:hAnsi="仿宋_GB2312" w:eastAsia="仿宋_GB2312" w:cs="仿宋_GB2312"/>
                <w:color w:val="auto"/>
                <w:sz w:val="24"/>
                <w:szCs w:val="24"/>
              </w:rPr>
              <w:t>实际需求进行采购、安装、调试及运维。</w:t>
            </w:r>
          </w:p>
        </w:tc>
        <w:tc>
          <w:tcPr>
            <w:tcW w:w="202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未按要求提供设备更换服务的，扣</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分/次。</w:t>
            </w:r>
          </w:p>
        </w:tc>
        <w:tc>
          <w:tcPr>
            <w:tcW w:w="8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20</w:t>
            </w:r>
          </w:p>
        </w:tc>
      </w:tr>
      <w:tr>
        <w:tblPrEx>
          <w:tblLayout w:type="fixed"/>
          <w:tblCellMar>
            <w:top w:w="0" w:type="dxa"/>
            <w:left w:w="108" w:type="dxa"/>
            <w:bottom w:w="0" w:type="dxa"/>
            <w:right w:w="108" w:type="dxa"/>
          </w:tblCellMar>
        </w:tblPrEx>
        <w:trPr>
          <w:trHeight w:val="1440"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119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重大活动技术保障服务</w:t>
            </w:r>
          </w:p>
        </w:tc>
        <w:tc>
          <w:tcPr>
            <w:tcW w:w="383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在重大活动和特殊时期时，应根据相关部门的要求，24小时安排工作人员值守、抢修。</w:t>
            </w:r>
          </w:p>
        </w:tc>
        <w:tc>
          <w:tcPr>
            <w:tcW w:w="202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both"/>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未按要求提供24小时值守、抢修的，每次扣12分。</w:t>
            </w:r>
          </w:p>
        </w:tc>
        <w:tc>
          <w:tcPr>
            <w:tcW w:w="8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r>
      <w:tr>
        <w:tblPrEx>
          <w:tblLayout w:type="fixed"/>
          <w:tblCellMar>
            <w:top w:w="0" w:type="dxa"/>
            <w:left w:w="108" w:type="dxa"/>
            <w:bottom w:w="0" w:type="dxa"/>
            <w:right w:w="108" w:type="dxa"/>
          </w:tblCellMar>
        </w:tblPrEx>
        <w:trPr>
          <w:trHeight w:val="509" w:hRule="atLeast"/>
          <w:jc w:val="center"/>
        </w:trPr>
        <w:tc>
          <w:tcPr>
            <w:tcW w:w="784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小计</w:t>
            </w:r>
          </w:p>
        </w:tc>
        <w:tc>
          <w:tcPr>
            <w:tcW w:w="88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100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sectPr>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Calibri" w:hAnsi="Calibri" w:eastAsia="宋体" w:cs="Times New Roman"/>
          <w:b w:val="0"/>
          <w:bCs w:val="0"/>
          <w:sz w:val="30"/>
          <w:szCs w:val="30"/>
          <w:lang w:val="en-US" w:eastAsia="zh-CN"/>
        </w:rPr>
        <w:t>网络链路服务主要指标</w:t>
      </w:r>
    </w:p>
    <w:tbl>
      <w:tblPr>
        <w:tblStyle w:val="5"/>
        <w:tblW w:w="8425" w:type="dxa"/>
        <w:jc w:val="center"/>
        <w:tblInd w:w="0" w:type="dxa"/>
        <w:tblLayout w:type="fixed"/>
        <w:tblCellMar>
          <w:top w:w="0" w:type="dxa"/>
          <w:left w:w="108" w:type="dxa"/>
          <w:bottom w:w="0" w:type="dxa"/>
          <w:right w:w="108" w:type="dxa"/>
        </w:tblCellMar>
      </w:tblPr>
      <w:tblGrid>
        <w:gridCol w:w="814"/>
        <w:gridCol w:w="1232"/>
        <w:gridCol w:w="3689"/>
        <w:gridCol w:w="1835"/>
        <w:gridCol w:w="855"/>
      </w:tblGrid>
      <w:tr>
        <w:tblPrEx>
          <w:tblLayout w:type="fixed"/>
          <w:tblCellMar>
            <w:top w:w="0" w:type="dxa"/>
            <w:left w:w="108" w:type="dxa"/>
            <w:bottom w:w="0" w:type="dxa"/>
            <w:right w:w="108" w:type="dxa"/>
          </w:tblCellMar>
        </w:tblPrEx>
        <w:trPr>
          <w:trHeight w:val="567" w:hRule="atLeast"/>
          <w:tblHeader/>
          <w:jc w:val="center"/>
        </w:trPr>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firstLine="0" w:firstLineChars="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232" w:type="dxa"/>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指标名称</w:t>
            </w:r>
          </w:p>
        </w:tc>
        <w:tc>
          <w:tcPr>
            <w:tcW w:w="3689" w:type="dxa"/>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指标定义</w:t>
            </w:r>
          </w:p>
        </w:tc>
        <w:tc>
          <w:tcPr>
            <w:tcW w:w="1835" w:type="dxa"/>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考核标准</w:t>
            </w:r>
          </w:p>
        </w:tc>
        <w:tc>
          <w:tcPr>
            <w:tcW w:w="855" w:type="dxa"/>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val="en-US" w:eastAsia="zh-CN"/>
              </w:rPr>
              <w:t>总分</w:t>
            </w:r>
          </w:p>
        </w:tc>
      </w:tr>
      <w:tr>
        <w:tblPrEx>
          <w:tblLayout w:type="fixed"/>
          <w:tblCellMar>
            <w:top w:w="0" w:type="dxa"/>
            <w:left w:w="108" w:type="dxa"/>
            <w:bottom w:w="0" w:type="dxa"/>
            <w:right w:w="108" w:type="dxa"/>
          </w:tblCellMar>
        </w:tblPrEx>
        <w:trPr>
          <w:trHeight w:val="1056"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管理制度文档</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应制定管理办法，管理办法包括但不限于机房值班制度、进出登记制度、系统设备定期检修制度、岗位责任制、设备管理制度、技术资料管理制度</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运维流程、文档管理、备份恢复策略等，并装订成册。</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未按要求提交管理制度文档扣5分</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5</w:t>
            </w:r>
          </w:p>
        </w:tc>
      </w:tr>
      <w:tr>
        <w:tblPrEx>
          <w:tblLayout w:type="fixed"/>
          <w:tblCellMar>
            <w:top w:w="0" w:type="dxa"/>
            <w:left w:w="108" w:type="dxa"/>
            <w:bottom w:w="0" w:type="dxa"/>
            <w:right w:w="108" w:type="dxa"/>
          </w:tblCellMar>
        </w:tblPrEx>
        <w:trPr>
          <w:trHeight w:val="1056"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网络线路</w:t>
            </w:r>
            <w:r>
              <w:rPr>
                <w:rFonts w:hint="eastAsia" w:ascii="仿宋_GB2312" w:hAnsi="仿宋_GB2312" w:eastAsia="仿宋_GB2312" w:cs="仿宋_GB2312"/>
                <w:color w:val="auto"/>
                <w:sz w:val="24"/>
                <w:szCs w:val="24"/>
                <w:highlight w:val="none"/>
              </w:rPr>
              <w:t>可靠性</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网络线路</w:t>
            </w:r>
            <w:r>
              <w:rPr>
                <w:rFonts w:hint="eastAsia" w:ascii="仿宋_GB2312" w:hAnsi="仿宋_GB2312" w:eastAsia="仿宋_GB2312" w:cs="仿宋_GB2312"/>
                <w:color w:val="auto"/>
                <w:sz w:val="24"/>
                <w:szCs w:val="24"/>
                <w:highlight w:val="none"/>
              </w:rPr>
              <w:t>正常运行的时间占总时间的比例</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1.可靠性≥99.9%，不扣分；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2.99.9%&gt;可靠性≥95%，扣</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3.95%&gt;可靠性,</w:t>
            </w:r>
            <w:r>
              <w:rPr>
                <w:rFonts w:hint="eastAsia" w:ascii="仿宋_GB2312" w:hAnsi="仿宋_GB2312" w:eastAsia="仿宋_GB2312" w:cs="仿宋_GB2312"/>
                <w:color w:val="auto"/>
                <w:sz w:val="24"/>
                <w:szCs w:val="24"/>
                <w:highlight w:val="none"/>
                <w:lang w:eastAsia="zh-CN"/>
              </w:rPr>
              <w:t>扣</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rPr>
              <w:t>分。</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904"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网络线路稳定</w:t>
            </w:r>
            <w:r>
              <w:rPr>
                <w:rFonts w:hint="eastAsia" w:ascii="仿宋_GB2312" w:hAnsi="仿宋_GB2312" w:eastAsia="仿宋_GB2312" w:cs="仿宋_GB2312"/>
                <w:color w:val="auto"/>
                <w:sz w:val="24"/>
                <w:szCs w:val="24"/>
                <w:highlight w:val="none"/>
              </w:rPr>
              <w:t>性</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网络线路因运营商方面导致的中断次数</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每次扣</w:t>
            </w:r>
            <w:r>
              <w:rPr>
                <w:rFonts w:hint="eastAsia" w:ascii="仿宋_GB2312" w:hAnsi="仿宋_GB2312" w:eastAsia="仿宋_GB2312" w:cs="仿宋_GB2312"/>
                <w:color w:val="auto"/>
                <w:sz w:val="24"/>
                <w:szCs w:val="24"/>
                <w:highlight w:val="none"/>
                <w:lang w:val="en-US" w:eastAsia="zh-CN"/>
              </w:rPr>
              <w:t>1分</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1056"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网络安全性</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采集、分析、存储所有网络流量，回溯分析数据包特征、异常网络行为，以多维数据分析和深度挖掘为手段，实现数据包层面的流量追踪，发现潜伏于网络中的未知攻击。</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未发现接入电子政务外网单位存在问题并断开线路后上报的，扣</w:t>
            </w:r>
            <w:r>
              <w:rPr>
                <w:rFonts w:hint="eastAsia" w:ascii="仿宋_GB2312" w:hAnsi="仿宋_GB2312" w:eastAsia="仿宋_GB2312" w:cs="仿宋_GB2312"/>
                <w:color w:val="auto"/>
                <w:sz w:val="24"/>
                <w:szCs w:val="24"/>
                <w:highlight w:val="none"/>
                <w:lang w:val="en-US" w:eastAsia="zh-CN"/>
              </w:rPr>
              <w:t>10分</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1056"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线路开通、调整平均时间</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协助完成各单位新增、迁移和开通线路的平均时间</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超过48小时，扣10分</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1056"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平均故障修复时间</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指从</w:t>
            </w:r>
            <w:r>
              <w:rPr>
                <w:rFonts w:hint="eastAsia" w:ascii="仿宋_GB2312" w:hAnsi="仿宋_GB2312" w:eastAsia="仿宋_GB2312" w:cs="仿宋_GB2312"/>
                <w:color w:val="auto"/>
                <w:sz w:val="24"/>
                <w:szCs w:val="24"/>
                <w:highlight w:val="none"/>
                <w:lang w:eastAsia="zh-CN"/>
              </w:rPr>
              <w:t>通知网络线路</w:t>
            </w:r>
            <w:r>
              <w:rPr>
                <w:rFonts w:hint="eastAsia" w:ascii="仿宋_GB2312" w:hAnsi="仿宋_GB2312" w:eastAsia="仿宋_GB2312" w:cs="仿宋_GB2312"/>
                <w:color w:val="auto"/>
                <w:sz w:val="24"/>
                <w:szCs w:val="24"/>
                <w:highlight w:val="none"/>
              </w:rPr>
              <w:t>发生故障，到故障被成功修复并恢复到正常运行状态所需的平均时间</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sz w:val="24"/>
                <w:szCs w:val="24"/>
                <w:highlight w:val="none"/>
                <w:lang w:eastAsia="zh-CN"/>
              </w:rPr>
              <w:t>（长安街道、五里街道、云湖街道三个街道为临湘城区；其余均为乡镇范畴）</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1.平均故障修复时间≤</w:t>
            </w:r>
            <w:r>
              <w:rPr>
                <w:rFonts w:hint="eastAsia" w:ascii="仿宋_GB2312" w:hAnsi="仿宋_GB2312" w:eastAsia="仿宋_GB2312" w:cs="仿宋_GB2312"/>
                <w:color w:val="auto"/>
                <w:sz w:val="24"/>
                <w:szCs w:val="24"/>
                <w:highlight w:val="none"/>
                <w:lang w:val="en-US" w:eastAsia="zh-CN"/>
              </w:rPr>
              <w:t>3（城区）/6(乡镇）</w:t>
            </w:r>
            <w:r>
              <w:rPr>
                <w:rFonts w:hint="eastAsia" w:ascii="仿宋_GB2312" w:hAnsi="仿宋_GB2312" w:eastAsia="仿宋_GB2312" w:cs="仿宋_GB2312"/>
                <w:color w:val="auto"/>
                <w:sz w:val="24"/>
                <w:szCs w:val="24"/>
                <w:highlight w:val="none"/>
              </w:rPr>
              <w:t>小时，不扣分；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2.</w:t>
            </w:r>
            <w:r>
              <w:rPr>
                <w:rFonts w:hint="eastAsia" w:ascii="仿宋_GB2312" w:hAnsi="仿宋_GB2312" w:eastAsia="仿宋_GB2312" w:cs="仿宋_GB2312"/>
                <w:color w:val="auto"/>
                <w:sz w:val="24"/>
                <w:szCs w:val="24"/>
                <w:highlight w:val="none"/>
                <w:lang w:val="en-US" w:eastAsia="zh-CN"/>
              </w:rPr>
              <w:t>3（城区）/6（乡镇）</w:t>
            </w:r>
            <w:r>
              <w:rPr>
                <w:rFonts w:hint="eastAsia" w:ascii="仿宋_GB2312" w:hAnsi="仿宋_GB2312" w:eastAsia="仿宋_GB2312" w:cs="仿宋_GB2312"/>
                <w:color w:val="auto"/>
                <w:sz w:val="24"/>
                <w:szCs w:val="24"/>
                <w:highlight w:val="none"/>
              </w:rPr>
              <w:t>小时＜平均故障修复时间≤</w:t>
            </w:r>
            <w:r>
              <w:rPr>
                <w:rFonts w:hint="eastAsia" w:ascii="仿宋_GB2312" w:hAnsi="仿宋_GB2312" w:eastAsia="仿宋_GB2312" w:cs="仿宋_GB2312"/>
                <w:color w:val="auto"/>
                <w:sz w:val="24"/>
                <w:szCs w:val="24"/>
                <w:highlight w:val="none"/>
                <w:lang w:val="en-US" w:eastAsia="zh-CN"/>
              </w:rPr>
              <w:t>6（城区）/12（乡镇）</w:t>
            </w:r>
            <w:r>
              <w:rPr>
                <w:rFonts w:hint="eastAsia" w:ascii="仿宋_GB2312" w:hAnsi="仿宋_GB2312" w:eastAsia="仿宋_GB2312" w:cs="仿宋_GB2312"/>
                <w:color w:val="auto"/>
                <w:sz w:val="24"/>
                <w:szCs w:val="24"/>
                <w:highlight w:val="none"/>
              </w:rPr>
              <w:t>小时，扣5分；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3</w:t>
            </w:r>
            <w:r>
              <w:rPr>
                <w:rFonts w:hint="eastAsia" w:ascii="仿宋_GB2312" w:hAnsi="仿宋_GB2312" w:eastAsia="仿宋_GB2312" w:cs="仿宋_GB2312"/>
                <w:color w:val="auto"/>
                <w:sz w:val="24"/>
                <w:szCs w:val="24"/>
                <w:highlight w:val="none"/>
                <w:lang w:val="en-US" w:eastAsia="zh-CN"/>
              </w:rPr>
              <w:t>.6（城区）/12（乡镇）</w:t>
            </w:r>
            <w:r>
              <w:rPr>
                <w:rFonts w:hint="eastAsia" w:ascii="仿宋_GB2312" w:hAnsi="仿宋_GB2312" w:eastAsia="仿宋_GB2312" w:cs="仿宋_GB2312"/>
                <w:color w:val="auto"/>
                <w:sz w:val="24"/>
                <w:szCs w:val="24"/>
                <w:highlight w:val="none"/>
              </w:rPr>
              <w:t>小时＜平均故障修复时间，扣10分。</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864"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7</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平均故障间隔时间</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从一个故障被修复完成并恢复正常运行开始计算，到下一个故障发生为止的时间</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1.平均故障间隔时间≥8760小时，不扣分；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2.8760小时＞平均故障间隔时间≥7000小时，扣5分/次；</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3.7000小时＞平均故障间隔时间，扣10分/次。</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864"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现场响应时间</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需技术人员到达现场，对</w:t>
            </w:r>
            <w:r>
              <w:rPr>
                <w:rFonts w:hint="eastAsia" w:ascii="仿宋_GB2312" w:hAnsi="仿宋_GB2312" w:eastAsia="仿宋_GB2312" w:cs="仿宋_GB2312"/>
                <w:color w:val="auto"/>
                <w:sz w:val="24"/>
                <w:szCs w:val="24"/>
                <w:highlight w:val="none"/>
                <w:lang w:eastAsia="zh-CN"/>
              </w:rPr>
              <w:t>网络</w:t>
            </w:r>
            <w:r>
              <w:rPr>
                <w:rFonts w:hint="eastAsia" w:ascii="仿宋_GB2312" w:hAnsi="仿宋_GB2312" w:eastAsia="仿宋_GB2312" w:cs="仿宋_GB2312"/>
                <w:color w:val="auto"/>
                <w:sz w:val="24"/>
                <w:szCs w:val="24"/>
                <w:highlight w:val="none"/>
              </w:rPr>
              <w:t>进行维护的响应时间</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1.现场响应时间≤2小时，不扣分；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2.2小时＞现场响应时间≥4小时，扣5分/次；</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3.4小时＞现场响应时间，扣10分/次。</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864" w:hRule="atLeast"/>
          <w:jc w:val="center"/>
        </w:trPr>
        <w:tc>
          <w:tcPr>
            <w:tcW w:w="81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w:t>
            </w:r>
          </w:p>
        </w:tc>
        <w:tc>
          <w:tcPr>
            <w:tcW w:w="12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电话响应时间</w:t>
            </w:r>
          </w:p>
        </w:tc>
        <w:tc>
          <w:tcPr>
            <w:tcW w:w="368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需技术人员电话远程指导进行</w:t>
            </w:r>
            <w:r>
              <w:rPr>
                <w:rFonts w:hint="eastAsia" w:ascii="仿宋_GB2312" w:hAnsi="仿宋_GB2312" w:eastAsia="仿宋_GB2312" w:cs="仿宋_GB2312"/>
                <w:color w:val="auto"/>
                <w:sz w:val="24"/>
                <w:szCs w:val="24"/>
                <w:highlight w:val="none"/>
                <w:lang w:eastAsia="zh-CN"/>
              </w:rPr>
              <w:t>网络</w:t>
            </w:r>
            <w:r>
              <w:rPr>
                <w:rFonts w:hint="eastAsia" w:ascii="仿宋_GB2312" w:hAnsi="仿宋_GB2312" w:eastAsia="仿宋_GB2312" w:cs="仿宋_GB2312"/>
                <w:color w:val="auto"/>
                <w:sz w:val="24"/>
                <w:szCs w:val="24"/>
                <w:highlight w:val="none"/>
              </w:rPr>
              <w:t>维护的响应时间</w:t>
            </w:r>
          </w:p>
        </w:tc>
        <w:tc>
          <w:tcPr>
            <w:tcW w:w="183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1.电话响应时间≤30分钟，不扣分</w:t>
            </w:r>
            <w:r>
              <w:rPr>
                <w:rFonts w:hint="eastAsia" w:ascii="仿宋_GB2312" w:hAnsi="仿宋_GB2312" w:eastAsia="仿宋_GB2312" w:cs="仿宋_GB2312"/>
                <w:color w:val="auto"/>
                <w:sz w:val="24"/>
                <w:szCs w:val="24"/>
                <w:highlight w:val="none"/>
              </w:rPr>
              <w:br w:type="textWrapping"/>
            </w:r>
            <w:r>
              <w:rPr>
                <w:rFonts w:hint="eastAsia" w:ascii="仿宋_GB2312" w:hAnsi="仿宋_GB2312" w:eastAsia="仿宋_GB2312" w:cs="仿宋_GB2312"/>
                <w:color w:val="auto"/>
                <w:sz w:val="24"/>
                <w:szCs w:val="24"/>
                <w:highlight w:val="none"/>
              </w:rPr>
              <w:t>2.1小时≥电话响应时间＞30分钟，扣5分/次；</w:t>
            </w:r>
          </w:p>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3.电话响应时间＞1小时，扣10分/次。</w:t>
            </w:r>
          </w:p>
        </w:tc>
        <w:tc>
          <w:tcPr>
            <w:tcW w:w="8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1284" w:hRule="atLeast"/>
          <w:jc w:val="center"/>
        </w:trPr>
        <w:tc>
          <w:tcPr>
            <w:tcW w:w="81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w:t>
            </w:r>
          </w:p>
        </w:tc>
        <w:tc>
          <w:tcPr>
            <w:tcW w:w="123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使用</w:t>
            </w:r>
            <w:r>
              <w:rPr>
                <w:rFonts w:hint="eastAsia" w:ascii="仿宋_GB2312" w:hAnsi="仿宋_GB2312" w:eastAsia="仿宋_GB2312" w:cs="仿宋_GB2312"/>
                <w:color w:val="auto"/>
                <w:sz w:val="24"/>
                <w:szCs w:val="24"/>
                <w:highlight w:val="none"/>
                <w:lang w:eastAsia="zh-CN"/>
              </w:rPr>
              <w:t>满意度</w:t>
            </w:r>
          </w:p>
        </w:tc>
        <w:tc>
          <w:tcPr>
            <w:tcW w:w="368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eastAsia="zh-CN"/>
              </w:rPr>
              <w:t>由每家</w:t>
            </w:r>
            <w:r>
              <w:rPr>
                <w:rFonts w:hint="eastAsia" w:ascii="仿宋_GB2312" w:hAnsi="仿宋_GB2312" w:eastAsia="仿宋_GB2312" w:cs="仿宋_GB2312"/>
                <w:color w:val="auto"/>
                <w:sz w:val="24"/>
                <w:szCs w:val="24"/>
                <w:highlight w:val="none"/>
                <w:lang w:val="en-US" w:eastAsia="zh-CN"/>
              </w:rPr>
              <w:t>使用</w:t>
            </w:r>
            <w:r>
              <w:rPr>
                <w:rFonts w:hint="eastAsia" w:ascii="仿宋_GB2312" w:hAnsi="仿宋_GB2312" w:eastAsia="仿宋_GB2312" w:cs="仿宋_GB2312"/>
                <w:color w:val="auto"/>
                <w:sz w:val="24"/>
                <w:szCs w:val="24"/>
                <w:highlight w:val="none"/>
                <w:lang w:eastAsia="zh-CN"/>
              </w:rPr>
              <w:t>单位对运营商做出满意或者不满意的评价</w:t>
            </w:r>
          </w:p>
        </w:tc>
        <w:tc>
          <w:tcPr>
            <w:tcW w:w="183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eastAsia="zh-CN"/>
              </w:rPr>
              <w:t>满意评价</w:t>
            </w:r>
            <w:r>
              <w:rPr>
                <w:rFonts w:hint="eastAsia" w:ascii="仿宋_GB2312" w:hAnsi="仿宋_GB2312" w:eastAsia="仿宋_GB2312" w:cs="仿宋_GB2312"/>
                <w:color w:val="auto"/>
                <w:sz w:val="24"/>
                <w:szCs w:val="24"/>
                <w:highlight w:val="none"/>
                <w:lang w:val="en-US" w:eastAsia="zh-CN"/>
              </w:rPr>
              <w:t>比例</w:t>
            </w:r>
            <w:r>
              <w:rPr>
                <w:rFonts w:hint="eastAsia" w:ascii="仿宋_GB2312" w:hAnsi="仿宋_GB2312" w:eastAsia="仿宋_GB2312" w:cs="仿宋_GB2312"/>
                <w:color w:val="auto"/>
                <w:sz w:val="24"/>
                <w:szCs w:val="24"/>
                <w:highlight w:val="none"/>
                <w:lang w:eastAsia="zh-CN"/>
              </w:rPr>
              <w:t>低于运营商服务</w:t>
            </w:r>
            <w:r>
              <w:rPr>
                <w:rFonts w:hint="eastAsia" w:ascii="仿宋_GB2312" w:hAnsi="仿宋_GB2312" w:eastAsia="仿宋_GB2312" w:cs="仿宋_GB2312"/>
                <w:color w:val="auto"/>
                <w:sz w:val="24"/>
                <w:szCs w:val="24"/>
                <w:highlight w:val="none"/>
                <w:lang w:val="en-US" w:eastAsia="zh-CN"/>
              </w:rPr>
              <w:t>使用</w:t>
            </w:r>
            <w:r>
              <w:rPr>
                <w:rFonts w:hint="eastAsia" w:ascii="仿宋_GB2312" w:hAnsi="仿宋_GB2312" w:eastAsia="仿宋_GB2312" w:cs="仿宋_GB2312"/>
                <w:color w:val="auto"/>
                <w:sz w:val="24"/>
                <w:szCs w:val="24"/>
                <w:highlight w:val="none"/>
                <w:lang w:eastAsia="zh-CN"/>
              </w:rPr>
              <w:t>单位</w:t>
            </w:r>
            <w:r>
              <w:rPr>
                <w:rFonts w:hint="eastAsia" w:ascii="仿宋_GB2312" w:hAnsi="仿宋_GB2312" w:eastAsia="仿宋_GB2312" w:cs="仿宋_GB2312"/>
                <w:color w:val="auto"/>
                <w:sz w:val="24"/>
                <w:szCs w:val="24"/>
                <w:highlight w:val="none"/>
                <w:lang w:val="en-US" w:eastAsia="zh-CN"/>
              </w:rPr>
              <w:t>数的80%的，扣5分。</w:t>
            </w:r>
          </w:p>
        </w:tc>
        <w:tc>
          <w:tcPr>
            <w:tcW w:w="85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5</w:t>
            </w:r>
          </w:p>
        </w:tc>
      </w:tr>
      <w:tr>
        <w:tblPrEx>
          <w:tblLayout w:type="fixed"/>
          <w:tblCellMar>
            <w:top w:w="0" w:type="dxa"/>
            <w:left w:w="108" w:type="dxa"/>
            <w:bottom w:w="0" w:type="dxa"/>
            <w:right w:w="108" w:type="dxa"/>
          </w:tblCellMar>
        </w:tblPrEx>
        <w:trPr>
          <w:trHeight w:val="1284" w:hRule="atLeast"/>
          <w:jc w:val="center"/>
        </w:trPr>
        <w:tc>
          <w:tcPr>
            <w:tcW w:w="81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11</w:t>
            </w:r>
          </w:p>
        </w:tc>
        <w:tc>
          <w:tcPr>
            <w:tcW w:w="123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lang w:val="en-US" w:eastAsia="zh-CN"/>
              </w:rPr>
              <w:t>重大活动网络保障服务</w:t>
            </w:r>
          </w:p>
        </w:tc>
        <w:tc>
          <w:tcPr>
            <w:tcW w:w="368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lang w:val="en-US" w:eastAsia="zh-CN"/>
              </w:rPr>
              <w:t>在重大活动和特殊时期时，应根据相关部门的要求，24小时安排工作人员值守、抢修。</w:t>
            </w:r>
          </w:p>
        </w:tc>
        <w:tc>
          <w:tcPr>
            <w:tcW w:w="183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lang w:val="en-US" w:eastAsia="zh-CN"/>
              </w:rPr>
              <w:t>未按要求提供24小时值守、抢修的，每次扣10分。</w:t>
            </w:r>
          </w:p>
        </w:tc>
        <w:tc>
          <w:tcPr>
            <w:tcW w:w="85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10</w:t>
            </w:r>
          </w:p>
        </w:tc>
      </w:tr>
      <w:tr>
        <w:tblPrEx>
          <w:tblLayout w:type="fixed"/>
          <w:tblCellMar>
            <w:top w:w="0" w:type="dxa"/>
            <w:left w:w="108" w:type="dxa"/>
            <w:bottom w:w="0" w:type="dxa"/>
            <w:right w:w="108" w:type="dxa"/>
          </w:tblCellMar>
        </w:tblPrEx>
        <w:trPr>
          <w:trHeight w:val="593" w:hRule="atLeast"/>
          <w:jc w:val="center"/>
        </w:trPr>
        <w:tc>
          <w:tcPr>
            <w:tcW w:w="7570"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小 计</w:t>
            </w:r>
          </w:p>
        </w:tc>
        <w:tc>
          <w:tcPr>
            <w:tcW w:w="85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100</w:t>
            </w:r>
          </w:p>
        </w:tc>
      </w:tr>
    </w:tbl>
    <w:p>
      <w:pPr>
        <w:jc w:val="center"/>
        <w:rPr>
          <w:rFonts w:hint="eastAsia" w:ascii="Calibri" w:hAnsi="Calibri" w:eastAsia="宋体" w:cs="Times New Roman"/>
          <w:b/>
          <w:bCs/>
          <w:sz w:val="30"/>
          <w:szCs w:val="30"/>
          <w:lang w:val="en-US" w:eastAsia="zh-CN"/>
        </w:rPr>
      </w:pPr>
    </w:p>
    <w:p>
      <w:pPr>
        <w:rPr>
          <w:rFonts w:hint="eastAsia" w:ascii="Calibri" w:hAnsi="Calibri" w:eastAsia="宋体" w:cs="Times New Roman"/>
          <w:b/>
          <w:bCs/>
          <w:sz w:val="28"/>
          <w:szCs w:val="28"/>
          <w:lang w:val="en-US" w:eastAsia="zh-CN"/>
        </w:rPr>
      </w:pPr>
    </w:p>
    <w:p>
      <w:pPr>
        <w:rPr>
          <w:rFonts w:hint="eastAsia" w:ascii="Calibri" w:hAnsi="Calibri" w:eastAsia="宋体" w:cs="Times New Roman"/>
          <w:b/>
          <w:bCs/>
          <w:sz w:val="28"/>
          <w:szCs w:val="28"/>
          <w:lang w:val="en-US" w:eastAsia="zh-CN"/>
        </w:rPr>
      </w:pPr>
    </w:p>
    <w:p>
      <w:pPr>
        <w:numPr>
          <w:ilvl w:val="0"/>
          <w:numId w:val="36"/>
        </w:numPr>
        <w:rPr>
          <w:rFonts w:hint="eastAsia" w:ascii="Calibri" w:hAnsi="Calibri" w:eastAsia="宋体" w:cs="Times New Roman"/>
          <w:b/>
          <w:bCs/>
          <w:sz w:val="28"/>
          <w:szCs w:val="28"/>
          <w:lang w:val="en-US" w:eastAsia="zh-CN"/>
        </w:rPr>
      </w:pPr>
      <w:r>
        <w:rPr>
          <w:rFonts w:hint="eastAsia" w:ascii="Calibri" w:hAnsi="Calibri" w:eastAsia="宋体" w:cs="Times New Roman"/>
          <w:b/>
          <w:bCs/>
          <w:sz w:val="28"/>
          <w:szCs w:val="28"/>
          <w:lang w:val="en-US" w:eastAsia="zh-CN"/>
        </w:rPr>
        <w:t>考核管理办法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1、市数据局</w:t>
      </w:r>
      <w:r>
        <w:rPr>
          <w:rFonts w:hint="eastAsia" w:ascii="宋体" w:hAnsi="宋体" w:eastAsia="宋体" w:cs="宋体"/>
          <w:color w:val="auto"/>
          <w:kern w:val="0"/>
          <w:sz w:val="28"/>
          <w:szCs w:val="28"/>
          <w:lang w:val="en-US" w:eastAsia="zh-CN"/>
        </w:rPr>
        <w:t>指导市大数据中心依据合同内容</w:t>
      </w:r>
      <w:r>
        <w:rPr>
          <w:rFonts w:hint="eastAsia" w:ascii="宋体" w:hAnsi="宋体" w:eastAsia="宋体" w:cs="宋体"/>
          <w:b w:val="0"/>
          <w:bCs w:val="0"/>
          <w:color w:val="auto"/>
          <w:kern w:val="2"/>
          <w:sz w:val="28"/>
          <w:szCs w:val="28"/>
          <w:lang w:val="en-US" w:eastAsia="zh-CN" w:bidi="ar-SA"/>
        </w:rPr>
        <w:t>对</w:t>
      </w:r>
      <w:r>
        <w:rPr>
          <w:rFonts w:hint="eastAsia" w:ascii="宋体" w:hAnsi="宋体" w:eastAsia="宋体" w:cs="宋体"/>
          <w:color w:val="auto"/>
          <w:sz w:val="28"/>
          <w:szCs w:val="28"/>
          <w:lang w:val="en-US" w:eastAsia="zh-CN"/>
        </w:rPr>
        <w:t>前端感知设备运维服务机构、</w:t>
      </w:r>
      <w:r>
        <w:rPr>
          <w:rFonts w:hint="eastAsia" w:ascii="宋体" w:hAnsi="宋体" w:eastAsia="宋体" w:cs="宋体"/>
          <w:b w:val="0"/>
          <w:bCs w:val="0"/>
          <w:color w:val="auto"/>
          <w:kern w:val="2"/>
          <w:sz w:val="28"/>
          <w:szCs w:val="28"/>
          <w:lang w:val="en-US" w:eastAsia="zh-CN"/>
        </w:rPr>
        <w:t>网络运营</w:t>
      </w:r>
      <w:r>
        <w:rPr>
          <w:rFonts w:hint="eastAsia" w:ascii="宋体" w:hAnsi="宋体" w:eastAsia="宋体" w:cs="宋体"/>
          <w:b w:val="0"/>
          <w:bCs w:val="0"/>
          <w:color w:val="auto"/>
          <w:kern w:val="2"/>
          <w:sz w:val="28"/>
          <w:szCs w:val="28"/>
          <w:lang w:val="en-US"/>
        </w:rPr>
        <w:t>商</w:t>
      </w:r>
      <w:r>
        <w:rPr>
          <w:rFonts w:hint="eastAsia" w:ascii="宋体" w:hAnsi="宋体" w:eastAsia="宋体" w:cs="宋体"/>
          <w:b w:val="0"/>
          <w:bCs w:val="0"/>
          <w:color w:val="auto"/>
          <w:kern w:val="2"/>
          <w:sz w:val="28"/>
          <w:szCs w:val="28"/>
          <w:lang w:val="en-US" w:eastAsia="zh-CN" w:bidi="ar-SA"/>
        </w:rPr>
        <w:t>进行服务质量考核。</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2、考核周期为当月的第一天至当月的最后一天。</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val="0"/>
          <w:bCs w:val="0"/>
          <w:color w:val="auto"/>
          <w:kern w:val="2"/>
          <w:sz w:val="28"/>
          <w:szCs w:val="28"/>
          <w:lang w:val="en-US" w:eastAsia="zh-CN" w:bidi="ar-SA"/>
        </w:rPr>
        <w:t>3、考核主要指标包括：</w:t>
      </w:r>
      <w:r>
        <w:rPr>
          <w:rFonts w:hint="eastAsia" w:ascii="宋体" w:hAnsi="宋体" w:eastAsia="宋体" w:cs="宋体"/>
          <w:color w:val="auto"/>
          <w:sz w:val="28"/>
          <w:szCs w:val="28"/>
          <w:lang w:val="en-US" w:eastAsia="zh-CN"/>
        </w:rPr>
        <w:t>前端感知设备运维服务考核主要</w:t>
      </w:r>
      <w:r>
        <w:rPr>
          <w:rFonts w:hint="eastAsia" w:ascii="宋体" w:hAnsi="宋体" w:eastAsia="宋体" w:cs="宋体"/>
          <w:color w:val="auto"/>
          <w:kern w:val="2"/>
          <w:sz w:val="28"/>
          <w:szCs w:val="28"/>
          <w:lang w:val="en-US" w:eastAsia="zh-CN" w:bidi="ar-SA"/>
        </w:rPr>
        <w:t>指标、网络链路服务主要指标。</w:t>
      </w:r>
      <w:r>
        <w:rPr>
          <w:rFonts w:hint="eastAsia" w:ascii="宋体" w:hAnsi="宋体" w:eastAsia="宋体" w:cs="宋体"/>
          <w:b w:val="0"/>
          <w:bCs w:val="0"/>
          <w:color w:val="auto"/>
          <w:kern w:val="2"/>
          <w:sz w:val="28"/>
          <w:szCs w:val="28"/>
          <w:lang w:val="en-US" w:eastAsia="zh-CN" w:bidi="ar-SA"/>
        </w:rPr>
        <w:t>（见</w:t>
      </w:r>
      <w:r>
        <w:rPr>
          <w:rFonts w:hint="eastAsia" w:ascii="宋体" w:hAnsi="宋体" w:eastAsia="宋体" w:cs="宋体"/>
          <w:color w:val="000000"/>
          <w:kern w:val="0"/>
          <w:sz w:val="28"/>
          <w:szCs w:val="28"/>
          <w:lang w:val="en-US" w:eastAsia="zh-CN" w:bidi="ar"/>
        </w:rPr>
        <w:t>《</w:t>
      </w:r>
      <w:r>
        <w:rPr>
          <w:rFonts w:hint="eastAsia" w:ascii="宋体" w:hAnsi="宋体" w:eastAsia="宋体" w:cs="宋体"/>
          <w:b w:val="0"/>
          <w:bCs w:val="0"/>
          <w:color w:val="auto"/>
          <w:kern w:val="2"/>
          <w:sz w:val="28"/>
          <w:szCs w:val="28"/>
          <w:lang w:val="en-US" w:eastAsia="zh-CN" w:bidi="ar-SA"/>
        </w:rPr>
        <w:t>前端感知设备运维服务考核主要指标</w:t>
      </w:r>
      <w:r>
        <w:rPr>
          <w:rFonts w:hint="eastAsia" w:ascii="宋体" w:hAnsi="宋体" w:eastAsia="宋体" w:cs="宋体"/>
          <w:color w:val="000000"/>
          <w:kern w:val="0"/>
          <w:sz w:val="28"/>
          <w:szCs w:val="28"/>
          <w:lang w:val="en-US" w:eastAsia="zh-CN" w:bidi="ar"/>
        </w:rPr>
        <w:t>》</w:t>
      </w:r>
      <w:r>
        <w:rPr>
          <w:rFonts w:hint="eastAsia" w:ascii="宋体" w:hAnsi="宋体" w:eastAsia="宋体" w:cs="宋体"/>
          <w:color w:val="auto"/>
          <w:sz w:val="28"/>
          <w:szCs w:val="28"/>
          <w:lang w:val="en-US" w:eastAsia="zh-CN"/>
        </w:rPr>
        <w:t>、</w:t>
      </w:r>
      <w:r>
        <w:rPr>
          <w:rFonts w:hint="eastAsia" w:ascii="宋体" w:hAnsi="宋体" w:eastAsia="宋体" w:cs="宋体"/>
          <w:color w:val="000000"/>
          <w:kern w:val="0"/>
          <w:sz w:val="28"/>
          <w:szCs w:val="28"/>
          <w:lang w:val="en-US" w:eastAsia="zh-CN" w:bidi="ar"/>
        </w:rPr>
        <w:t>《</w:t>
      </w:r>
      <w:r>
        <w:rPr>
          <w:rFonts w:hint="eastAsia" w:ascii="宋体" w:hAnsi="宋体" w:eastAsia="宋体" w:cs="宋体"/>
          <w:color w:val="auto"/>
          <w:sz w:val="28"/>
          <w:szCs w:val="28"/>
          <w:lang w:val="en-US" w:eastAsia="zh-CN"/>
        </w:rPr>
        <w:t>网络链路服务主要指标</w:t>
      </w:r>
      <w:r>
        <w:rPr>
          <w:rFonts w:hint="eastAsia" w:ascii="宋体" w:hAnsi="宋体" w:eastAsia="宋体" w:cs="宋体"/>
          <w:color w:val="000000"/>
          <w:kern w:val="0"/>
          <w:sz w:val="28"/>
          <w:szCs w:val="28"/>
          <w:lang w:val="en-US" w:eastAsia="zh-CN" w:bidi="ar"/>
        </w:rPr>
        <w:t>》</w:t>
      </w:r>
      <w:r>
        <w:rPr>
          <w:rFonts w:hint="eastAsia" w:ascii="宋体" w:hAnsi="宋体" w:eastAsia="宋体" w:cs="宋体"/>
          <w:color w:val="auto"/>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4、考核结果等级确定。考核采用百分制，考核标准按《临湘市数字化平台统一运维管理暂行办法》执行。根据考核评分结果，分为以下3个等次：优秀：高于90分；一般：60分至90分；较差：低于60分。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5、考核结果应用‌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5.1根据考核结果，对</w:t>
      </w:r>
      <w:r>
        <w:rPr>
          <w:rFonts w:hint="eastAsia" w:ascii="宋体" w:hAnsi="宋体" w:eastAsia="宋体" w:cs="宋体"/>
          <w:color w:val="auto"/>
          <w:sz w:val="28"/>
          <w:szCs w:val="28"/>
          <w:lang w:val="en-US" w:eastAsia="zh-CN"/>
        </w:rPr>
        <w:t>前端感知设备运维服务机构、</w:t>
      </w:r>
      <w:r>
        <w:rPr>
          <w:rFonts w:hint="eastAsia" w:ascii="宋体" w:hAnsi="宋体" w:eastAsia="宋体" w:cs="宋体"/>
          <w:b w:val="0"/>
          <w:bCs w:val="0"/>
          <w:color w:val="auto"/>
          <w:kern w:val="2"/>
          <w:sz w:val="28"/>
          <w:szCs w:val="28"/>
          <w:lang w:val="en-US" w:eastAsia="zh-CN"/>
        </w:rPr>
        <w:t>网络运营</w:t>
      </w:r>
      <w:r>
        <w:rPr>
          <w:rFonts w:hint="eastAsia" w:ascii="宋体" w:hAnsi="宋体" w:eastAsia="宋体" w:cs="宋体"/>
          <w:b w:val="0"/>
          <w:bCs w:val="0"/>
          <w:color w:val="auto"/>
          <w:kern w:val="2"/>
          <w:sz w:val="28"/>
          <w:szCs w:val="28"/>
          <w:lang w:val="en-US"/>
        </w:rPr>
        <w:t>商</w:t>
      </w:r>
      <w:r>
        <w:rPr>
          <w:rFonts w:hint="eastAsia" w:ascii="宋体" w:hAnsi="宋体" w:eastAsia="宋体" w:cs="宋体"/>
          <w:b w:val="0"/>
          <w:bCs w:val="0"/>
          <w:color w:val="auto"/>
          <w:kern w:val="2"/>
          <w:sz w:val="28"/>
          <w:szCs w:val="28"/>
          <w:lang w:val="en-US" w:eastAsia="zh-CN" w:bidi="ar-SA"/>
        </w:rPr>
        <w:t>实施相应的奖惩措施。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5.2对</w:t>
      </w:r>
      <w:r>
        <w:rPr>
          <w:rFonts w:hint="eastAsia" w:ascii="宋体" w:hAnsi="宋体" w:eastAsia="宋体" w:cs="宋体"/>
          <w:color w:val="auto"/>
          <w:sz w:val="28"/>
          <w:szCs w:val="28"/>
          <w:lang w:val="en-US" w:eastAsia="zh-CN"/>
        </w:rPr>
        <w:t>前端感知设备运维服务机构实施的奖惩措施：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优秀等次的，按合同当月应付金额的100%结算支付服务费用；一般等次的，按合同当月应付金额的分值比例结算支付服务费用；较差等次的，按合同当月应付金额的分值比例结算支付服务费用，并终止服务合同。因</w:t>
      </w:r>
      <w:r>
        <w:rPr>
          <w:rFonts w:hint="eastAsia" w:ascii="宋体" w:hAnsi="宋体" w:eastAsia="宋体" w:cs="宋体"/>
          <w:color w:val="auto"/>
          <w:sz w:val="28"/>
          <w:szCs w:val="28"/>
          <w:lang w:val="en-US" w:eastAsia="zh-CN"/>
        </w:rPr>
        <w:t>前端感知设备运维服务机构</w:t>
      </w:r>
      <w:r>
        <w:rPr>
          <w:rFonts w:hint="eastAsia" w:ascii="宋体" w:hAnsi="宋体" w:eastAsia="宋体" w:cs="宋体"/>
          <w:b w:val="0"/>
          <w:bCs w:val="0"/>
          <w:color w:val="auto"/>
          <w:kern w:val="2"/>
          <w:sz w:val="28"/>
          <w:szCs w:val="28"/>
          <w:lang w:val="en-US" w:eastAsia="zh-CN" w:bidi="ar-SA"/>
        </w:rPr>
        <w:t>操作不当造成损失的，依法依规追究运维服务机构的法律及经济责任。</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5.3对</w:t>
      </w:r>
      <w:r>
        <w:rPr>
          <w:rFonts w:hint="eastAsia" w:ascii="宋体" w:hAnsi="宋体" w:eastAsia="宋体" w:cs="宋体"/>
          <w:b w:val="0"/>
          <w:bCs w:val="0"/>
          <w:color w:val="auto"/>
          <w:kern w:val="2"/>
          <w:sz w:val="28"/>
          <w:szCs w:val="28"/>
          <w:lang w:val="en-US" w:eastAsia="zh-CN"/>
        </w:rPr>
        <w:t>网络运营</w:t>
      </w:r>
      <w:r>
        <w:rPr>
          <w:rFonts w:hint="eastAsia" w:ascii="宋体" w:hAnsi="宋体" w:eastAsia="宋体" w:cs="宋体"/>
          <w:b w:val="0"/>
          <w:bCs w:val="0"/>
          <w:color w:val="auto"/>
          <w:kern w:val="2"/>
          <w:sz w:val="28"/>
          <w:szCs w:val="28"/>
          <w:lang w:val="en-US"/>
        </w:rPr>
        <w:t>商</w:t>
      </w:r>
      <w:r>
        <w:rPr>
          <w:rFonts w:hint="eastAsia" w:ascii="宋体" w:hAnsi="宋体" w:eastAsia="宋体" w:cs="宋体"/>
          <w:b w:val="0"/>
          <w:bCs w:val="0"/>
          <w:color w:val="auto"/>
          <w:kern w:val="2"/>
          <w:sz w:val="28"/>
          <w:szCs w:val="28"/>
          <w:lang w:val="en-US" w:eastAsia="zh-CN" w:bidi="ar-SA"/>
        </w:rPr>
        <w:t>实施相应的奖惩措施：</w:t>
      </w:r>
    </w:p>
    <w:p>
      <w:pPr>
        <w:numPr>
          <w:ilvl w:val="0"/>
          <w:numId w:val="0"/>
        </w:numPr>
        <w:ind w:firstLine="560" w:firstLineChars="200"/>
        <w:rPr>
          <w:rFonts w:hint="default" w:ascii="Calibri" w:hAnsi="Calibri" w:eastAsia="宋体" w:cs="Times New Roman"/>
          <w:lang w:val="en-US" w:eastAsia="zh-CN"/>
        </w:rPr>
      </w:pPr>
      <w:r>
        <w:rPr>
          <w:rFonts w:hint="eastAsia" w:ascii="宋体" w:hAnsi="宋体" w:eastAsia="宋体" w:cs="宋体"/>
          <w:b w:val="0"/>
          <w:bCs w:val="0"/>
          <w:color w:val="auto"/>
          <w:kern w:val="2"/>
          <w:sz w:val="28"/>
          <w:szCs w:val="28"/>
          <w:lang w:val="en-US" w:eastAsia="zh-CN" w:bidi="ar-SA"/>
        </w:rPr>
        <w:t>优秀等次的，按合同当月应付金额的100%结算支付服务费用；一般等次、较差等次的，按合同当月应付金额的分值比例结算支付服务费用。因网络运营商操作不当造成损失的，依法依规追究网络运营商的法律及经济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0"/>
        <w:bottom w:val="none" w:color="auto" w:sz="0" w:space="0"/>
        <w:right w:val="none" w:color="auto" w:sz="0" w:space="0"/>
        <w:between w:val="none" w:color="auto" w:sz="0" w:space="0"/>
      </w:pBdr>
      <w:tabs>
        <w:tab w:val="center" w:pos="4153"/>
        <w:tab w:val="right" w:pos="8306"/>
      </w:tabs>
      <w:snapToGrid w:val="0"/>
      <w:spacing w:line="360" w:lineRule="auto"/>
      <w:ind w:left="480" w:firstLine="0" w:firstLineChars="0"/>
      <w:jc w:val="center"/>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w5O64BAABLAwAADgAAAGRycy9lMm9Eb2MueG1srVPNThsxEL5X4h0s&#10;34mXSFT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x/Dk7rgEAAEsD&#10;AAAOAAAAAAAAAAEAIAAAAB4BAABkcnMvZTJvRG9jLnhtbFBLBQYAAAAABgAGAFkBAAA+BQAAAAA=&#1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0"/>
        <w:bottom w:val="none" w:color="auto" w:sz="0" w:space="0"/>
        <w:right w:val="none" w:color="auto" w:sz="0" w:space="0"/>
        <w:between w:val="none" w:color="auto" w:sz="0" w:space="0"/>
      </w:pBdr>
      <w:tabs>
        <w:tab w:val="center" w:pos="4153"/>
        <w:tab w:val="right" w:pos="8306"/>
      </w:tabs>
      <w:snapToGrid w:val="0"/>
      <w:spacing w:line="360" w:lineRule="auto"/>
      <w:ind w:firstLine="0" w:firstLineChars="0"/>
      <w:jc w:val="center"/>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69</w:t>
                          </w:r>
                          <w:r>
                            <w:rPr>
                              <w:rFonts w:hint="eastAsia"/>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QdARPrgEAAEsD&#10;AAAOAAAAAAAAAAEAIAAAAB4BAABkcnMvZTJvRG9jLnhtbFBLBQYAAAAABgAGAFkBAAA+BQAAAAA=&#1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69</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0"/>
        <w:bottom w:val="none" w:color="auto" w:sz="0" w:space="0"/>
        <w:right w:val="none" w:color="auto" w:sz="0" w:space="0"/>
        <w:between w:val="none" w:color="auto" w:sz="0" w:space="0"/>
      </w:pBdr>
      <w:tabs>
        <w:tab w:val="center" w:pos="4153"/>
        <w:tab w:val="right" w:pos="8306"/>
      </w:tabs>
      <w:snapToGrid w:val="0"/>
      <w:spacing w:line="360" w:lineRule="auto"/>
      <w:ind w:firstLine="0" w:firstLineChars="0"/>
      <w:jc w:val="center"/>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79</w:t>
                          </w:r>
                          <w:r>
                            <w:rPr>
                              <w:rFonts w:hint="eastAsia"/>
                              <w:lang w:eastAsia="zh-CN"/>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gErN4rgEAAEsD&#10;AAAOAAAAAAAAAAEAIAAAAB4BAABkcnMvZTJvRG9jLnhtbFBLBQYAAAAABgAGAFkBAAA+BQAAAAA=&#1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79</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0"/>
        <w:bottom w:val="none" w:color="auto" w:sz="0" w:space="0"/>
        <w:right w:val="none" w:color="auto" w:sz="0" w:space="0"/>
        <w:between w:val="none" w:color="auto" w:sz="0" w:space="0"/>
      </w:pBdr>
      <w:tabs>
        <w:tab w:val="left" w:pos="3196"/>
        <w:tab w:val="center" w:pos="4153"/>
        <w:tab w:val="center" w:pos="4396"/>
        <w:tab w:val="right" w:pos="8306"/>
      </w:tabs>
      <w:snapToGrid w:val="0"/>
      <w:spacing w:line="360" w:lineRule="auto"/>
      <w:ind w:firstLine="360" w:firstLineChars="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120</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ql5uc8AAAAFAQAADwAA&#10;AAAAAAABACAAAAAiAAAAZHJzL2Rvd25yZXYueG1sUEsBAhQAFAAAAAgAh07iQMAwmbStAQAASwMA&#10;AA4AAAAAAAAAAQAgAAAAHgEAAGRycy9lMm9Eb2MueG1sUEsFBgAAAAAGAAYAWQEAAD0FAAAAAA==&#1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120</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spacing w:line="240" w:lineRule="auto"/>
      <w:ind w:firstLine="0" w:firstLineChars="0"/>
      <w:jc w:val="center"/>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临湘市非涉密政务信息系统大运维大安全技术服务项目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spacing w:line="240" w:lineRule="auto"/>
      <w:ind w:firstLine="0" w:firstLineChars="0"/>
      <w:jc w:val="center"/>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临湘市非涉密政务信息系统大运维大安全技术服务项目</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spacing w:line="240" w:lineRule="auto"/>
      <w:ind w:firstLine="0" w:firstLineChars="0"/>
      <w:jc w:val="center"/>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临湘市非涉密政务信息系统大运维大安全技术服务项目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spacing w:line="240" w:lineRule="auto"/>
      <w:ind w:firstLine="0" w:firstLineChars="0"/>
      <w:jc w:val="center"/>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临湘市非涉密政务信息系统大运维大安全技术服务项目</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center" w:pos="4153"/>
        <w:tab w:val="right" w:pos="8306"/>
      </w:tabs>
      <w:snapToGrid w:val="0"/>
      <w:spacing w:line="240" w:lineRule="auto"/>
      <w:ind w:firstLine="0" w:firstLineChars="0"/>
      <w:jc w:val="center"/>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临湘市非涉密政务信息系统大运维大安全技术服务项目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AC4D68"/>
    <w:multiLevelType w:val="singleLevel"/>
    <w:tmpl w:val="87AC4D68"/>
    <w:lvl w:ilvl="0" w:tentative="0">
      <w:start w:val="1"/>
      <w:numFmt w:val="decimal"/>
      <w:suff w:val="nothing"/>
      <w:lvlText w:val="%1．"/>
      <w:lvlJc w:val="left"/>
      <w:pPr>
        <w:ind w:left="0" w:firstLine="400"/>
      </w:pPr>
      <w:rPr>
        <w:rFonts w:hint="default"/>
      </w:rPr>
    </w:lvl>
  </w:abstractNum>
  <w:abstractNum w:abstractNumId="1">
    <w:nsid w:val="8DB2CFD5"/>
    <w:multiLevelType w:val="singleLevel"/>
    <w:tmpl w:val="8DB2CFD5"/>
    <w:lvl w:ilvl="0" w:tentative="0">
      <w:start w:val="1"/>
      <w:numFmt w:val="decimal"/>
      <w:suff w:val="nothing"/>
      <w:lvlText w:val="%1．"/>
      <w:lvlJc w:val="left"/>
      <w:pPr>
        <w:ind w:left="0" w:firstLine="400"/>
      </w:pPr>
      <w:rPr>
        <w:rFonts w:hint="default"/>
      </w:rPr>
    </w:lvl>
  </w:abstractNum>
  <w:abstractNum w:abstractNumId="2">
    <w:nsid w:val="8E7D120F"/>
    <w:multiLevelType w:val="singleLevel"/>
    <w:tmpl w:val="8E7D120F"/>
    <w:lvl w:ilvl="0" w:tentative="0">
      <w:start w:val="1"/>
      <w:numFmt w:val="decimalEnclosedCircleChinese"/>
      <w:suff w:val="nothing"/>
      <w:lvlText w:val="%1　"/>
      <w:lvlJc w:val="left"/>
      <w:pPr>
        <w:ind w:left="0" w:firstLine="400"/>
      </w:pPr>
      <w:rPr>
        <w:rFonts w:hint="eastAsia"/>
      </w:rPr>
    </w:lvl>
  </w:abstractNum>
  <w:abstractNum w:abstractNumId="3">
    <w:nsid w:val="922AC4B7"/>
    <w:multiLevelType w:val="singleLevel"/>
    <w:tmpl w:val="922AC4B7"/>
    <w:lvl w:ilvl="0" w:tentative="0">
      <w:start w:val="1"/>
      <w:numFmt w:val="decimalEnclosedCircleChinese"/>
      <w:suff w:val="nothing"/>
      <w:lvlText w:val="%1　"/>
      <w:lvlJc w:val="left"/>
      <w:pPr>
        <w:ind w:left="0" w:firstLine="400"/>
      </w:pPr>
      <w:rPr>
        <w:rFonts w:hint="eastAsia"/>
      </w:rPr>
    </w:lvl>
  </w:abstractNum>
  <w:abstractNum w:abstractNumId="4">
    <w:nsid w:val="A02513C3"/>
    <w:multiLevelType w:val="singleLevel"/>
    <w:tmpl w:val="A02513C3"/>
    <w:lvl w:ilvl="0" w:tentative="0">
      <w:start w:val="1"/>
      <w:numFmt w:val="decimal"/>
      <w:suff w:val="nothing"/>
      <w:lvlText w:val="%1．"/>
      <w:lvlJc w:val="left"/>
      <w:pPr>
        <w:ind w:left="0" w:firstLine="400"/>
      </w:pPr>
      <w:rPr>
        <w:rFonts w:hint="default"/>
      </w:rPr>
    </w:lvl>
  </w:abstractNum>
  <w:abstractNum w:abstractNumId="5">
    <w:nsid w:val="AF63ABAB"/>
    <w:multiLevelType w:val="singleLevel"/>
    <w:tmpl w:val="AF63ABAB"/>
    <w:lvl w:ilvl="0" w:tentative="0">
      <w:start w:val="1"/>
      <w:numFmt w:val="decimalEnclosedCircleChinese"/>
      <w:suff w:val="nothing"/>
      <w:lvlText w:val="%1　"/>
      <w:lvlJc w:val="left"/>
      <w:pPr>
        <w:ind w:left="0" w:firstLine="400"/>
      </w:pPr>
      <w:rPr>
        <w:rFonts w:hint="eastAsia"/>
      </w:rPr>
    </w:lvl>
  </w:abstractNum>
  <w:abstractNum w:abstractNumId="6">
    <w:nsid w:val="B3AFF32D"/>
    <w:multiLevelType w:val="singleLevel"/>
    <w:tmpl w:val="B3AFF32D"/>
    <w:lvl w:ilvl="0" w:tentative="0">
      <w:start w:val="1"/>
      <w:numFmt w:val="decimalEnclosedCircleChinese"/>
      <w:suff w:val="nothing"/>
      <w:lvlText w:val="%1　"/>
      <w:lvlJc w:val="left"/>
      <w:pPr>
        <w:ind w:left="0" w:firstLine="400"/>
      </w:pPr>
      <w:rPr>
        <w:rFonts w:hint="eastAsia"/>
      </w:rPr>
    </w:lvl>
  </w:abstractNum>
  <w:abstractNum w:abstractNumId="7">
    <w:nsid w:val="B6AD7C05"/>
    <w:multiLevelType w:val="singleLevel"/>
    <w:tmpl w:val="B6AD7C05"/>
    <w:lvl w:ilvl="0" w:tentative="0">
      <w:start w:val="1"/>
      <w:numFmt w:val="decimalEnclosedCircleChinese"/>
      <w:suff w:val="nothing"/>
      <w:lvlText w:val="%1　"/>
      <w:lvlJc w:val="left"/>
      <w:pPr>
        <w:ind w:left="0" w:firstLine="400"/>
      </w:pPr>
      <w:rPr>
        <w:rFonts w:hint="eastAsia"/>
      </w:rPr>
    </w:lvl>
  </w:abstractNum>
  <w:abstractNum w:abstractNumId="8">
    <w:nsid w:val="BEF13F20"/>
    <w:multiLevelType w:val="singleLevel"/>
    <w:tmpl w:val="BEF13F20"/>
    <w:lvl w:ilvl="0" w:tentative="0">
      <w:start w:val="1"/>
      <w:numFmt w:val="decimal"/>
      <w:suff w:val="nothing"/>
      <w:lvlText w:val="%1．"/>
      <w:lvlJc w:val="left"/>
      <w:pPr>
        <w:ind w:left="0" w:firstLine="400"/>
      </w:pPr>
      <w:rPr>
        <w:rFonts w:hint="default"/>
      </w:rPr>
    </w:lvl>
  </w:abstractNum>
  <w:abstractNum w:abstractNumId="9">
    <w:nsid w:val="C34CD493"/>
    <w:multiLevelType w:val="singleLevel"/>
    <w:tmpl w:val="C34CD493"/>
    <w:lvl w:ilvl="0" w:tentative="0">
      <w:start w:val="1"/>
      <w:numFmt w:val="decimalEnclosedCircleChinese"/>
      <w:suff w:val="nothing"/>
      <w:lvlText w:val="%1　"/>
      <w:lvlJc w:val="left"/>
      <w:pPr>
        <w:ind w:left="0" w:firstLine="400"/>
      </w:pPr>
      <w:rPr>
        <w:rFonts w:hint="eastAsia"/>
      </w:rPr>
    </w:lvl>
  </w:abstractNum>
  <w:abstractNum w:abstractNumId="10">
    <w:nsid w:val="CA33FC24"/>
    <w:multiLevelType w:val="singleLevel"/>
    <w:tmpl w:val="CA33FC24"/>
    <w:lvl w:ilvl="0" w:tentative="0">
      <w:start w:val="1"/>
      <w:numFmt w:val="decimal"/>
      <w:suff w:val="nothing"/>
      <w:lvlText w:val="%1．"/>
      <w:lvlJc w:val="left"/>
      <w:pPr>
        <w:ind w:left="0" w:firstLine="400"/>
      </w:pPr>
      <w:rPr>
        <w:rFonts w:hint="default"/>
      </w:rPr>
    </w:lvl>
  </w:abstractNum>
  <w:abstractNum w:abstractNumId="11">
    <w:nsid w:val="D0159684"/>
    <w:multiLevelType w:val="singleLevel"/>
    <w:tmpl w:val="D0159684"/>
    <w:lvl w:ilvl="0" w:tentative="0">
      <w:start w:val="1"/>
      <w:numFmt w:val="decimal"/>
      <w:suff w:val="nothing"/>
      <w:lvlText w:val="%1．"/>
      <w:lvlJc w:val="left"/>
      <w:pPr>
        <w:ind w:left="0" w:firstLine="400"/>
      </w:pPr>
      <w:rPr>
        <w:rFonts w:hint="default"/>
      </w:rPr>
    </w:lvl>
  </w:abstractNum>
  <w:abstractNum w:abstractNumId="12">
    <w:nsid w:val="D67F8167"/>
    <w:multiLevelType w:val="singleLevel"/>
    <w:tmpl w:val="D67F8167"/>
    <w:lvl w:ilvl="0" w:tentative="0">
      <w:start w:val="1"/>
      <w:numFmt w:val="decimal"/>
      <w:suff w:val="nothing"/>
      <w:lvlText w:val="%1、"/>
      <w:lvlJc w:val="left"/>
    </w:lvl>
  </w:abstractNum>
  <w:abstractNum w:abstractNumId="13">
    <w:nsid w:val="DAC8CA0C"/>
    <w:multiLevelType w:val="singleLevel"/>
    <w:tmpl w:val="DAC8CA0C"/>
    <w:lvl w:ilvl="0" w:tentative="0">
      <w:start w:val="1"/>
      <w:numFmt w:val="decimal"/>
      <w:suff w:val="nothing"/>
      <w:lvlText w:val="%1．"/>
      <w:lvlJc w:val="left"/>
      <w:pPr>
        <w:ind w:left="0" w:firstLine="400"/>
      </w:pPr>
      <w:rPr>
        <w:rFonts w:hint="default"/>
      </w:rPr>
    </w:lvl>
  </w:abstractNum>
  <w:abstractNum w:abstractNumId="14">
    <w:nsid w:val="DB38446B"/>
    <w:multiLevelType w:val="singleLevel"/>
    <w:tmpl w:val="DB38446B"/>
    <w:lvl w:ilvl="0" w:tentative="0">
      <w:start w:val="1"/>
      <w:numFmt w:val="decimalEnclosedCircleChinese"/>
      <w:suff w:val="nothing"/>
      <w:lvlText w:val="%1　"/>
      <w:lvlJc w:val="left"/>
      <w:pPr>
        <w:ind w:left="0" w:firstLine="400"/>
      </w:pPr>
      <w:rPr>
        <w:rFonts w:hint="eastAsia"/>
      </w:rPr>
    </w:lvl>
  </w:abstractNum>
  <w:abstractNum w:abstractNumId="15">
    <w:nsid w:val="DDC32F2B"/>
    <w:multiLevelType w:val="singleLevel"/>
    <w:tmpl w:val="DDC32F2B"/>
    <w:lvl w:ilvl="0" w:tentative="0">
      <w:start w:val="1"/>
      <w:numFmt w:val="decimalEnclosedCircleChinese"/>
      <w:suff w:val="nothing"/>
      <w:lvlText w:val="%1　"/>
      <w:lvlJc w:val="left"/>
      <w:pPr>
        <w:ind w:left="0" w:firstLine="400"/>
      </w:pPr>
      <w:rPr>
        <w:rFonts w:hint="eastAsia"/>
      </w:rPr>
    </w:lvl>
  </w:abstractNum>
  <w:abstractNum w:abstractNumId="16">
    <w:nsid w:val="E0B67708"/>
    <w:multiLevelType w:val="singleLevel"/>
    <w:tmpl w:val="E0B67708"/>
    <w:lvl w:ilvl="0" w:tentative="0">
      <w:start w:val="1"/>
      <w:numFmt w:val="decimal"/>
      <w:suff w:val="nothing"/>
      <w:lvlText w:val="%1．"/>
      <w:lvlJc w:val="left"/>
      <w:pPr>
        <w:ind w:left="0" w:firstLine="400"/>
      </w:pPr>
      <w:rPr>
        <w:rFonts w:hint="default"/>
      </w:rPr>
    </w:lvl>
  </w:abstractNum>
  <w:abstractNum w:abstractNumId="17">
    <w:nsid w:val="E458C74A"/>
    <w:multiLevelType w:val="singleLevel"/>
    <w:tmpl w:val="E458C74A"/>
    <w:lvl w:ilvl="0" w:tentative="0">
      <w:start w:val="1"/>
      <w:numFmt w:val="decimalEnclosedCircleChinese"/>
      <w:suff w:val="nothing"/>
      <w:lvlText w:val="%1　"/>
      <w:lvlJc w:val="left"/>
      <w:pPr>
        <w:ind w:left="0" w:firstLine="400"/>
      </w:pPr>
      <w:rPr>
        <w:rFonts w:hint="eastAsia"/>
      </w:rPr>
    </w:lvl>
  </w:abstractNum>
  <w:abstractNum w:abstractNumId="18">
    <w:nsid w:val="E53C4AE0"/>
    <w:multiLevelType w:val="singleLevel"/>
    <w:tmpl w:val="E53C4AE0"/>
    <w:lvl w:ilvl="0" w:tentative="0">
      <w:start w:val="1"/>
      <w:numFmt w:val="decimalEnclosedCircleChinese"/>
      <w:suff w:val="nothing"/>
      <w:lvlText w:val="%1　"/>
      <w:lvlJc w:val="left"/>
      <w:pPr>
        <w:ind w:left="0" w:firstLine="400"/>
      </w:pPr>
      <w:rPr>
        <w:rFonts w:hint="eastAsia"/>
      </w:rPr>
    </w:lvl>
  </w:abstractNum>
  <w:abstractNum w:abstractNumId="19">
    <w:nsid w:val="E7BB7F68"/>
    <w:multiLevelType w:val="multilevel"/>
    <w:tmpl w:val="E7BB7F68"/>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
      <w:lvlJc w:val="left"/>
      <w:pPr>
        <w:ind w:left="0" w:firstLine="0"/>
      </w:pPr>
      <w:rPr>
        <w:rFonts w:hint="eastAsia" w:ascii="Times New Roman" w:hAnsi="Times New Roman" w:eastAsia="宋体" w:cs="Times New Roman"/>
        <w:b w:val="0"/>
        <w:bCs w:val="0"/>
      </w:rPr>
    </w:lvl>
    <w:lvl w:ilvl="2" w:tentative="0">
      <w:start w:val="1"/>
      <w:numFmt w:val="decimal"/>
      <w:isLgl/>
      <w:lvlText w:val="%1.%2.%3 "/>
      <w:lvlJc w:val="left"/>
      <w:pPr>
        <w:ind w:left="720" w:hanging="720"/>
      </w:pPr>
      <w:rPr>
        <w:rFonts w:hint="eastAsia" w:ascii="Times New Roman" w:hAnsi="Times New Roman" w:eastAsia="宋体" w:cs="Times New Roman"/>
        <w:b w:val="0"/>
        <w:bCs w:val="0"/>
        <w:highlight w:val="none"/>
      </w:rPr>
    </w:lvl>
    <w:lvl w:ilvl="3" w:tentative="0">
      <w:start w:val="1"/>
      <w:numFmt w:val="decimal"/>
      <w:isLgl/>
      <w:suff w:val="nothing"/>
      <w:lvlText w:val="%1.%2.%3.%4 "/>
      <w:lvlJc w:val="left"/>
      <w:pPr>
        <w:ind w:left="864" w:hanging="864"/>
      </w:pPr>
      <w:rPr>
        <w:rFonts w:hint="eastAsia" w:ascii="Times New Roman" w:hAnsi="Times New Roman" w:eastAsia="宋体" w:cs="Times New Roman"/>
      </w:rPr>
    </w:lvl>
    <w:lvl w:ilvl="4" w:tentative="0">
      <w:start w:val="1"/>
      <w:numFmt w:val="decimal"/>
      <w:isLgl/>
      <w:suff w:val="nothing"/>
      <w:lvlText w:val="%1.%2.%3.%4.%5 "/>
      <w:lvlJc w:val="left"/>
      <w:pPr>
        <w:ind w:left="1008" w:hanging="1008"/>
      </w:pPr>
      <w:rPr>
        <w:rFonts w:hint="default" w:ascii="Times New Roman" w:hAnsi="Times New Roman" w:eastAsia="宋体" w:cs="Times New Roman"/>
      </w:rPr>
    </w:lvl>
    <w:lvl w:ilvl="5" w:tentative="0">
      <w:start w:val="1"/>
      <w:numFmt w:val="decimal"/>
      <w:isLgl/>
      <w:lvlText w:val="%1.%2.%3.%4.%5.%6 "/>
      <w:lvlJc w:val="left"/>
      <w:pPr>
        <w:ind w:left="1151" w:hanging="1151"/>
      </w:pPr>
      <w:rPr>
        <w:rFonts w:hint="eastAsia" w:ascii="宋体" w:hAnsi="宋体" w:eastAsia="宋体" w:cs="宋体"/>
      </w:rPr>
    </w:lvl>
    <w:lvl w:ilvl="6" w:tentative="0">
      <w:start w:val="1"/>
      <w:numFmt w:val="decimal"/>
      <w:isLgl/>
      <w:lvlText w:val="%1.%2.%3.%4.%5.%6.%7 "/>
      <w:lvlJc w:val="left"/>
      <w:pPr>
        <w:ind w:left="1296" w:hanging="1296"/>
      </w:pPr>
      <w:rPr>
        <w:rFonts w:hint="eastAsia" w:ascii="宋体" w:hAnsi="宋体" w:eastAsia="宋体" w:cs="宋体"/>
      </w:rPr>
    </w:lvl>
    <w:lvl w:ilvl="7" w:tentative="0">
      <w:start w:val="1"/>
      <w:numFmt w:val="decimal"/>
      <w:isLgl/>
      <w:lvlText w:val="%1.%2.%3.%4.%5.%6.%7.%8"/>
      <w:lvlJc w:val="left"/>
      <w:pPr>
        <w:ind w:left="1440" w:hanging="1440"/>
      </w:pPr>
      <w:rPr>
        <w:rFonts w:hint="eastAsia" w:ascii="宋体" w:hAnsi="宋体" w:eastAsia="宋体" w:cs="宋体"/>
      </w:rPr>
    </w:lvl>
    <w:lvl w:ilvl="8" w:tentative="0">
      <w:start w:val="1"/>
      <w:numFmt w:val="decimal"/>
      <w:isLgl/>
      <w:lvlText w:val="%1.%2.%3.%4.%5.%6.%7.%8.%9"/>
      <w:lvlJc w:val="left"/>
      <w:pPr>
        <w:ind w:left="1583" w:hanging="1583"/>
      </w:pPr>
      <w:rPr>
        <w:rFonts w:hint="eastAsia" w:ascii="宋体" w:hAnsi="宋体" w:eastAsia="宋体" w:cs="宋体"/>
      </w:rPr>
    </w:lvl>
  </w:abstractNum>
  <w:abstractNum w:abstractNumId="20">
    <w:nsid w:val="E9E4E843"/>
    <w:multiLevelType w:val="singleLevel"/>
    <w:tmpl w:val="E9E4E843"/>
    <w:lvl w:ilvl="0" w:tentative="0">
      <w:start w:val="1"/>
      <w:numFmt w:val="decimal"/>
      <w:suff w:val="nothing"/>
      <w:lvlText w:val="%1．"/>
      <w:lvlJc w:val="left"/>
      <w:pPr>
        <w:ind w:left="0" w:firstLine="400"/>
      </w:pPr>
      <w:rPr>
        <w:rFonts w:hint="default"/>
      </w:rPr>
    </w:lvl>
  </w:abstractNum>
  <w:abstractNum w:abstractNumId="21">
    <w:nsid w:val="EB713D9C"/>
    <w:multiLevelType w:val="singleLevel"/>
    <w:tmpl w:val="EB713D9C"/>
    <w:lvl w:ilvl="0" w:tentative="0">
      <w:start w:val="1"/>
      <w:numFmt w:val="decimal"/>
      <w:suff w:val="nothing"/>
      <w:lvlText w:val="%1．"/>
      <w:lvlJc w:val="left"/>
      <w:pPr>
        <w:ind w:left="0" w:firstLine="400"/>
      </w:pPr>
      <w:rPr>
        <w:rFonts w:hint="default"/>
      </w:rPr>
    </w:lvl>
  </w:abstractNum>
  <w:abstractNum w:abstractNumId="22">
    <w:nsid w:val="FB8FC9B7"/>
    <w:multiLevelType w:val="singleLevel"/>
    <w:tmpl w:val="FB8FC9B7"/>
    <w:lvl w:ilvl="0" w:tentative="0">
      <w:start w:val="1"/>
      <w:numFmt w:val="decimal"/>
      <w:lvlText w:val="%1."/>
      <w:lvlJc w:val="left"/>
      <w:pPr>
        <w:tabs>
          <w:tab w:val="left" w:pos="312"/>
        </w:tabs>
      </w:pPr>
    </w:lvl>
  </w:abstractNum>
  <w:abstractNum w:abstractNumId="23">
    <w:nsid w:val="079C9060"/>
    <w:multiLevelType w:val="singleLevel"/>
    <w:tmpl w:val="079C9060"/>
    <w:lvl w:ilvl="0" w:tentative="0">
      <w:start w:val="1"/>
      <w:numFmt w:val="decimalEnclosedCircleChinese"/>
      <w:suff w:val="nothing"/>
      <w:lvlText w:val="%1　"/>
      <w:lvlJc w:val="left"/>
      <w:pPr>
        <w:ind w:left="0" w:firstLine="400"/>
      </w:pPr>
      <w:rPr>
        <w:rFonts w:hint="eastAsia"/>
      </w:rPr>
    </w:lvl>
  </w:abstractNum>
  <w:abstractNum w:abstractNumId="24">
    <w:nsid w:val="084261DD"/>
    <w:multiLevelType w:val="singleLevel"/>
    <w:tmpl w:val="084261DD"/>
    <w:lvl w:ilvl="0" w:tentative="0">
      <w:start w:val="1"/>
      <w:numFmt w:val="decimalEnclosedCircleChinese"/>
      <w:suff w:val="nothing"/>
      <w:lvlText w:val="%1　"/>
      <w:lvlJc w:val="left"/>
      <w:pPr>
        <w:ind w:left="0" w:firstLine="400"/>
      </w:pPr>
      <w:rPr>
        <w:rFonts w:hint="eastAsia"/>
      </w:rPr>
    </w:lvl>
  </w:abstractNum>
  <w:abstractNum w:abstractNumId="25">
    <w:nsid w:val="0BB564EF"/>
    <w:multiLevelType w:val="singleLevel"/>
    <w:tmpl w:val="0BB564EF"/>
    <w:lvl w:ilvl="0" w:tentative="0">
      <w:start w:val="1"/>
      <w:numFmt w:val="decimal"/>
      <w:suff w:val="nothing"/>
      <w:lvlText w:val="%1．"/>
      <w:lvlJc w:val="left"/>
      <w:pPr>
        <w:ind w:left="0" w:firstLine="400"/>
      </w:pPr>
      <w:rPr>
        <w:rFonts w:hint="default"/>
      </w:rPr>
    </w:lvl>
  </w:abstractNum>
  <w:abstractNum w:abstractNumId="26">
    <w:nsid w:val="1CC27811"/>
    <w:multiLevelType w:val="singleLevel"/>
    <w:tmpl w:val="1CC27811"/>
    <w:lvl w:ilvl="0" w:tentative="0">
      <w:start w:val="1"/>
      <w:numFmt w:val="decimal"/>
      <w:suff w:val="nothing"/>
      <w:lvlText w:val="%1．"/>
      <w:lvlJc w:val="left"/>
      <w:pPr>
        <w:ind w:left="0" w:firstLine="400"/>
      </w:pPr>
      <w:rPr>
        <w:rFonts w:hint="default"/>
      </w:rPr>
    </w:lvl>
  </w:abstractNum>
  <w:abstractNum w:abstractNumId="27">
    <w:nsid w:val="1F8B7F15"/>
    <w:multiLevelType w:val="singleLevel"/>
    <w:tmpl w:val="1F8B7F15"/>
    <w:lvl w:ilvl="0" w:tentative="0">
      <w:start w:val="1"/>
      <w:numFmt w:val="decimalEnclosedCircleChinese"/>
      <w:suff w:val="nothing"/>
      <w:lvlText w:val="%1　"/>
      <w:lvlJc w:val="left"/>
      <w:pPr>
        <w:ind w:left="0" w:firstLine="400"/>
      </w:pPr>
      <w:rPr>
        <w:rFonts w:hint="eastAsia"/>
      </w:rPr>
    </w:lvl>
  </w:abstractNum>
  <w:abstractNum w:abstractNumId="28">
    <w:nsid w:val="26461629"/>
    <w:multiLevelType w:val="singleLevel"/>
    <w:tmpl w:val="26461629"/>
    <w:lvl w:ilvl="0" w:tentative="0">
      <w:start w:val="2"/>
      <w:numFmt w:val="chineseCounting"/>
      <w:suff w:val="nothing"/>
      <w:lvlText w:val="%1、"/>
      <w:lvlJc w:val="left"/>
      <w:rPr>
        <w:rFonts w:hint="eastAsia"/>
      </w:rPr>
    </w:lvl>
  </w:abstractNum>
  <w:abstractNum w:abstractNumId="29">
    <w:nsid w:val="2C11B176"/>
    <w:multiLevelType w:val="singleLevel"/>
    <w:tmpl w:val="2C11B176"/>
    <w:lvl w:ilvl="0" w:tentative="0">
      <w:start w:val="1"/>
      <w:numFmt w:val="decimal"/>
      <w:suff w:val="nothing"/>
      <w:lvlText w:val="%1．"/>
      <w:lvlJc w:val="left"/>
      <w:pPr>
        <w:ind w:left="0" w:firstLine="0"/>
      </w:pPr>
      <w:rPr>
        <w:rFonts w:hint="default"/>
      </w:rPr>
    </w:lvl>
  </w:abstractNum>
  <w:abstractNum w:abstractNumId="30">
    <w:nsid w:val="3A5544E0"/>
    <w:multiLevelType w:val="singleLevel"/>
    <w:tmpl w:val="3A5544E0"/>
    <w:lvl w:ilvl="0" w:tentative="0">
      <w:start w:val="1"/>
      <w:numFmt w:val="decimalEnclosedCircleChinese"/>
      <w:suff w:val="nothing"/>
      <w:lvlText w:val="%1　"/>
      <w:lvlJc w:val="left"/>
      <w:pPr>
        <w:ind w:left="0" w:firstLine="400"/>
      </w:pPr>
      <w:rPr>
        <w:rFonts w:hint="eastAsia"/>
      </w:rPr>
    </w:lvl>
  </w:abstractNum>
  <w:abstractNum w:abstractNumId="31">
    <w:nsid w:val="3A903C01"/>
    <w:multiLevelType w:val="singleLevel"/>
    <w:tmpl w:val="3A903C01"/>
    <w:lvl w:ilvl="0" w:tentative="0">
      <w:start w:val="1"/>
      <w:numFmt w:val="decimalEnclosedCircleChinese"/>
      <w:suff w:val="nothing"/>
      <w:lvlText w:val="%1　"/>
      <w:lvlJc w:val="left"/>
      <w:pPr>
        <w:ind w:left="0" w:firstLine="400"/>
      </w:pPr>
      <w:rPr>
        <w:rFonts w:hint="eastAsia"/>
      </w:rPr>
    </w:lvl>
  </w:abstractNum>
  <w:abstractNum w:abstractNumId="32">
    <w:nsid w:val="3F09DDBD"/>
    <w:multiLevelType w:val="singleLevel"/>
    <w:tmpl w:val="3F09DDBD"/>
    <w:lvl w:ilvl="0" w:tentative="0">
      <w:start w:val="1"/>
      <w:numFmt w:val="decimal"/>
      <w:suff w:val="nothing"/>
      <w:lvlText w:val="%1．"/>
      <w:lvlJc w:val="left"/>
      <w:pPr>
        <w:ind w:left="0" w:firstLine="400"/>
      </w:pPr>
      <w:rPr>
        <w:rFonts w:hint="default"/>
      </w:rPr>
    </w:lvl>
  </w:abstractNum>
  <w:abstractNum w:abstractNumId="33">
    <w:nsid w:val="56477A8D"/>
    <w:multiLevelType w:val="singleLevel"/>
    <w:tmpl w:val="56477A8D"/>
    <w:lvl w:ilvl="0" w:tentative="0">
      <w:start w:val="1"/>
      <w:numFmt w:val="decimal"/>
      <w:suff w:val="nothing"/>
      <w:lvlText w:val="%1．"/>
      <w:lvlJc w:val="left"/>
      <w:pPr>
        <w:ind w:left="0" w:firstLine="400"/>
      </w:pPr>
      <w:rPr>
        <w:rFonts w:hint="default"/>
      </w:rPr>
    </w:lvl>
  </w:abstractNum>
  <w:abstractNum w:abstractNumId="34">
    <w:nsid w:val="59443B05"/>
    <w:multiLevelType w:val="singleLevel"/>
    <w:tmpl w:val="59443B05"/>
    <w:lvl w:ilvl="0" w:tentative="0">
      <w:start w:val="1"/>
      <w:numFmt w:val="decimal"/>
      <w:suff w:val="nothing"/>
      <w:lvlText w:val="%1．"/>
      <w:lvlJc w:val="left"/>
      <w:pPr>
        <w:ind w:left="0" w:firstLine="400"/>
      </w:pPr>
      <w:rPr>
        <w:rFonts w:hint="default"/>
      </w:rPr>
    </w:lvl>
  </w:abstractNum>
  <w:abstractNum w:abstractNumId="35">
    <w:nsid w:val="6BECD93C"/>
    <w:multiLevelType w:val="singleLevel"/>
    <w:tmpl w:val="6BECD93C"/>
    <w:lvl w:ilvl="0" w:tentative="0">
      <w:start w:val="1"/>
      <w:numFmt w:val="decimal"/>
      <w:suff w:val="nothing"/>
      <w:lvlText w:val="%1．"/>
      <w:lvlJc w:val="left"/>
      <w:pPr>
        <w:ind w:left="0" w:firstLine="400"/>
      </w:pPr>
      <w:rPr>
        <w:rFonts w:hint="default"/>
      </w:rPr>
    </w:lvl>
  </w:abstractNum>
  <w:num w:numId="1">
    <w:abstractNumId w:val="19"/>
  </w:num>
  <w:num w:numId="2">
    <w:abstractNumId w:val="32"/>
  </w:num>
  <w:num w:numId="3">
    <w:abstractNumId w:val="1"/>
  </w:num>
  <w:num w:numId="4">
    <w:abstractNumId w:val="21"/>
  </w:num>
  <w:num w:numId="5">
    <w:abstractNumId w:val="33"/>
  </w:num>
  <w:num w:numId="6">
    <w:abstractNumId w:val="8"/>
  </w:num>
  <w:num w:numId="7">
    <w:abstractNumId w:val="14"/>
  </w:num>
  <w:num w:numId="8">
    <w:abstractNumId w:val="34"/>
  </w:num>
  <w:num w:numId="9">
    <w:abstractNumId w:val="7"/>
  </w:num>
  <w:num w:numId="10">
    <w:abstractNumId w:val="10"/>
  </w:num>
  <w:num w:numId="11">
    <w:abstractNumId w:val="11"/>
  </w:num>
  <w:num w:numId="12">
    <w:abstractNumId w:val="25"/>
  </w:num>
  <w:num w:numId="13">
    <w:abstractNumId w:val="16"/>
  </w:num>
  <w:num w:numId="14">
    <w:abstractNumId w:val="13"/>
  </w:num>
  <w:num w:numId="15">
    <w:abstractNumId w:val="17"/>
  </w:num>
  <w:num w:numId="16">
    <w:abstractNumId w:val="3"/>
  </w:num>
  <w:num w:numId="17">
    <w:abstractNumId w:val="12"/>
  </w:num>
  <w:num w:numId="18">
    <w:abstractNumId w:val="22"/>
  </w:num>
  <w:num w:numId="19">
    <w:abstractNumId w:val="29"/>
  </w:num>
  <w:num w:numId="20">
    <w:abstractNumId w:val="24"/>
  </w:num>
  <w:num w:numId="21">
    <w:abstractNumId w:val="30"/>
  </w:num>
  <w:num w:numId="22">
    <w:abstractNumId w:val="31"/>
  </w:num>
  <w:num w:numId="23">
    <w:abstractNumId w:val="15"/>
  </w:num>
  <w:num w:numId="24">
    <w:abstractNumId w:val="18"/>
  </w:num>
  <w:num w:numId="25">
    <w:abstractNumId w:val="9"/>
  </w:num>
  <w:num w:numId="26">
    <w:abstractNumId w:val="5"/>
  </w:num>
  <w:num w:numId="27">
    <w:abstractNumId w:val="6"/>
  </w:num>
  <w:num w:numId="28">
    <w:abstractNumId w:val="2"/>
  </w:num>
  <w:num w:numId="29">
    <w:abstractNumId w:val="27"/>
  </w:num>
  <w:num w:numId="30">
    <w:abstractNumId w:val="23"/>
  </w:num>
  <w:num w:numId="31">
    <w:abstractNumId w:val="0"/>
  </w:num>
  <w:num w:numId="32">
    <w:abstractNumId w:val="4"/>
  </w:num>
  <w:num w:numId="33">
    <w:abstractNumId w:val="26"/>
  </w:num>
  <w:num w:numId="34">
    <w:abstractNumId w:val="35"/>
  </w:num>
  <w:num w:numId="35">
    <w:abstractNumId w:val="20"/>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5701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rPr>
      <w:kern w:val="0"/>
      <w:sz w:val="20"/>
    </w:rPr>
  </w:style>
  <w:style w:type="paragraph" w:styleId="3">
    <w:name w:val="Body Text First Indent"/>
    <w:basedOn w:val="2"/>
    <w:qFormat/>
    <w:uiPriority w:val="0"/>
    <w:pPr>
      <w:ind w:firstLine="420" w:firstLineChars="100"/>
    </w:pPr>
  </w:style>
  <w:style w:type="paragraph" w:styleId="4">
    <w:name w:val="footer"/>
    <w:basedOn w:val="1"/>
    <w:qFormat/>
    <w:uiPriority w:val="99"/>
    <w:pPr>
      <w:tabs>
        <w:tab w:val="center" w:pos="4153"/>
        <w:tab w:val="right" w:pos="8306"/>
      </w:tabs>
      <w:snapToGrid w:val="0"/>
      <w:jc w:val="left"/>
    </w:pPr>
    <w:rPr>
      <w:kern w:val="0"/>
      <w:sz w:val="18"/>
      <w:szCs w:val="18"/>
    </w:rPr>
  </w:style>
  <w:style w:type="table" w:styleId="6">
    <w:name w:val="Table Grid"/>
    <w:basedOn w:val="5"/>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2026-10-08T02:13:12Z</dcterms:created>
  <dc:creator>Administrator</dc:creator>
  <cp:lastModifiedBy>Administrator</cp:lastModifiedBy>
  <dcterms:modified xsi:type="dcterms:W3CDTF">2026-10-08T02:14:09Z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