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color w:val="auto"/>
          <w:kern w:val="2"/>
          <w:sz w:val="21"/>
          <w:szCs w:val="24"/>
          <w:lang w:val="en-US" w:eastAsia="zh-CN" w:bidi="ar-SA"/>
        </w:rPr>
        <w:id w:val="147481199"/>
        <w15:color w:val="DBDBDB"/>
        <w:docPartObj>
          <w:docPartGallery w:val="Table of Contents"/>
          <w:docPartUnique/>
        </w:docPartObj>
      </w:sdtPr>
      <w:sdtEndPr>
        <w:rPr>
          <w:rFonts w:ascii="宋体" w:hAnsi="宋体" w:eastAsia="宋体" w:cs="宋体"/>
          <w:color w:val="auto"/>
          <w:kern w:val="2"/>
          <w:sz w:val="21"/>
          <w:szCs w:val="28"/>
          <w:highlight w:val="none"/>
          <w:lang w:val="en-US" w:eastAsia="zh-CN" w:bidi="ar-SA"/>
        </w:rPr>
      </w:sdtEndPr>
      <w:sdtContent>
        <w:p w14:paraId="16D105CE">
          <w:pPr>
            <w:widowControl w:val="0"/>
            <w:adjustRightInd w:val="0"/>
            <w:snapToGrid w:val="0"/>
            <w:spacing w:line="360" w:lineRule="auto"/>
            <w:jc w:val="center"/>
            <w:rPr>
              <w:rFonts w:hint="eastAsia" w:ascii="宋体" w:hAnsi="宋体" w:eastAsia="宋体" w:cs="Courier New"/>
              <w:color w:val="auto"/>
              <w:kern w:val="2"/>
              <w:sz w:val="21"/>
              <w:szCs w:val="21"/>
              <w:highlight w:val="none"/>
              <w:lang w:val="en-US" w:eastAsia="zh-CN" w:bidi="ar-SA"/>
            </w:rPr>
          </w:pPr>
        </w:p>
        <w:p w14:paraId="1AF8ECB1">
          <w:pPr>
            <w:widowControl w:val="0"/>
            <w:adjustRightInd w:val="0"/>
            <w:snapToGrid w:val="0"/>
            <w:spacing w:line="360" w:lineRule="auto"/>
            <w:jc w:val="center"/>
            <w:rPr>
              <w:rFonts w:hint="eastAsia" w:ascii="宋体" w:hAnsi="宋体" w:eastAsia="宋体" w:cs="Courier New"/>
              <w:color w:val="auto"/>
              <w:kern w:val="2"/>
              <w:sz w:val="21"/>
              <w:szCs w:val="21"/>
              <w:highlight w:val="none"/>
              <w:lang w:val="en-US" w:eastAsia="zh-CN" w:bidi="ar-SA"/>
            </w:rPr>
          </w:pPr>
          <w:r>
            <w:rPr>
              <w:rFonts w:hint="eastAsia" w:ascii="宋体" w:hAnsi="宋体" w:eastAsia="宋体" w:cs="Courier New"/>
              <w:color w:val="auto"/>
              <w:kern w:val="2"/>
              <w:sz w:val="21"/>
              <w:szCs w:val="21"/>
              <w:highlight w:val="none"/>
              <w:lang w:val="en-US" w:eastAsia="zh-CN" w:bidi="ar-SA"/>
            </w:rPr>
            <w:drawing>
              <wp:inline distT="0" distB="0" distL="114300" distR="114300">
                <wp:extent cx="5605780" cy="8428990"/>
                <wp:effectExtent l="0" t="0" r="13970" b="10160"/>
                <wp:docPr id="1" name="图片 1" descr="f3ab6e761b6ca561523e2183fd4f12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3ab6e761b6ca561523e2183fd4f123f"/>
                        <pic:cNvPicPr>
                          <a:picLocks noChangeAspect="1"/>
                        </pic:cNvPicPr>
                      </pic:nvPicPr>
                      <pic:blipFill>
                        <a:blip r:embed="rId8"/>
                        <a:stretch>
                          <a:fillRect/>
                        </a:stretch>
                      </pic:blipFill>
                      <pic:spPr>
                        <a:xfrm>
                          <a:off x="0" y="0"/>
                          <a:ext cx="5605780" cy="8428990"/>
                        </a:xfrm>
                        <a:prstGeom prst="rect">
                          <a:avLst/>
                        </a:prstGeom>
                      </pic:spPr>
                    </pic:pic>
                  </a:graphicData>
                </a:graphic>
              </wp:inline>
            </w:drawing>
          </w:r>
        </w:p>
        <w:p w14:paraId="4C22537D">
          <w:pPr>
            <w:widowControl w:val="0"/>
            <w:adjustRightInd w:val="0"/>
            <w:snapToGrid w:val="0"/>
            <w:spacing w:line="360" w:lineRule="auto"/>
            <w:jc w:val="center"/>
            <w:rPr>
              <w:rFonts w:hint="eastAsia" w:ascii="宋体" w:hAnsi="宋体" w:eastAsia="宋体" w:cs="Courier New"/>
              <w:color w:val="auto"/>
              <w:kern w:val="2"/>
              <w:sz w:val="21"/>
              <w:szCs w:val="21"/>
              <w:highlight w:val="none"/>
              <w:lang w:val="en-US" w:eastAsia="zh-CN" w:bidi="ar-SA"/>
            </w:rPr>
          </w:pPr>
        </w:p>
        <w:p w14:paraId="6CEEFDC4">
          <w:pPr>
            <w:widowControl w:val="0"/>
            <w:adjustRightInd w:val="0"/>
            <w:snapToGrid w:val="0"/>
            <w:spacing w:line="360" w:lineRule="auto"/>
            <w:jc w:val="center"/>
            <w:rPr>
              <w:rFonts w:ascii="黑体" w:eastAsia="黑体"/>
              <w:b/>
              <w:color w:val="auto"/>
              <w:sz w:val="24"/>
              <w:highlight w:val="none"/>
            </w:rPr>
          </w:pPr>
        </w:p>
      </w:sdtContent>
    </w:sdt>
    <w:p w14:paraId="713C6E45">
      <w:pPr>
        <w:widowControl w:val="0"/>
        <w:adjustRightInd w:val="0"/>
        <w:snapToGrid w:val="0"/>
        <w:spacing w:line="360" w:lineRule="auto"/>
        <w:jc w:val="center"/>
        <w:rPr>
          <w:rFonts w:hint="eastAsia" w:ascii="宋体" w:hAnsi="宋体" w:eastAsia="宋体" w:cs="宋体"/>
          <w:b/>
          <w:bCs/>
          <w:color w:val="auto"/>
          <w:spacing w:val="160"/>
          <w:kern w:val="2"/>
          <w:sz w:val="36"/>
          <w:szCs w:val="36"/>
          <w:lang w:val="en-US" w:eastAsia="zh-CN" w:bidi="ar-SA"/>
        </w:rPr>
      </w:pPr>
      <w:r>
        <w:rPr>
          <w:rFonts w:hint="eastAsia" w:ascii="宋体" w:hAnsi="宋体" w:eastAsia="宋体" w:cs="宋体"/>
          <w:b/>
          <w:bCs/>
          <w:color w:val="auto"/>
          <w:spacing w:val="160"/>
          <w:kern w:val="2"/>
          <w:sz w:val="36"/>
          <w:szCs w:val="36"/>
          <w:lang w:val="en-US" w:eastAsia="zh-CN" w:bidi="ar-SA"/>
        </w:rPr>
        <w:t>目录</w:t>
      </w:r>
    </w:p>
    <w:p w14:paraId="259153B4">
      <w:pPr>
        <w:widowControl w:val="0"/>
        <w:adjustRightInd w:val="0"/>
        <w:snapToGrid w:val="0"/>
        <w:spacing w:line="360" w:lineRule="auto"/>
        <w:jc w:val="both"/>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第一章  磋商邀请</w:t>
      </w:r>
    </w:p>
    <w:p w14:paraId="2D60CB6B">
      <w:pPr>
        <w:widowControl w:val="0"/>
        <w:adjustRightInd w:val="0"/>
        <w:snapToGrid w:val="0"/>
        <w:spacing w:line="360" w:lineRule="auto"/>
        <w:jc w:val="both"/>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第二章  磋商须知</w:t>
      </w:r>
    </w:p>
    <w:p w14:paraId="0CECB9B0">
      <w:pPr>
        <w:tabs>
          <w:tab w:val="left" w:pos="144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磋商须知前附表</w:t>
      </w:r>
    </w:p>
    <w:p w14:paraId="6656F38E">
      <w:pPr>
        <w:tabs>
          <w:tab w:val="left" w:pos="144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磋商须知正文</w:t>
      </w:r>
    </w:p>
    <w:p w14:paraId="798E4ADC">
      <w:pPr>
        <w:tabs>
          <w:tab w:val="left" w:pos="1440"/>
        </w:tabs>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一、说明</w:t>
      </w:r>
    </w:p>
    <w:p w14:paraId="12D309E4">
      <w:pPr>
        <w:tabs>
          <w:tab w:val="left" w:pos="1440"/>
        </w:tabs>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二、</w:t>
      </w:r>
      <w:r>
        <w:rPr>
          <w:rFonts w:hint="eastAsia" w:ascii="宋体" w:hAnsi="宋体" w:eastAsia="宋体" w:cs="宋体"/>
          <w:bCs/>
          <w:color w:val="auto"/>
          <w:szCs w:val="21"/>
        </w:rPr>
        <w:t>磋商</w:t>
      </w:r>
      <w:r>
        <w:rPr>
          <w:rFonts w:hint="eastAsia" w:ascii="宋体" w:hAnsi="宋体" w:eastAsia="宋体" w:cs="宋体"/>
          <w:color w:val="auto"/>
          <w:szCs w:val="21"/>
        </w:rPr>
        <w:t>文件</w:t>
      </w:r>
    </w:p>
    <w:p w14:paraId="10D44479">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三、响应文件</w:t>
      </w:r>
    </w:p>
    <w:p w14:paraId="317E5228">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四、响应文件的递交</w:t>
      </w:r>
    </w:p>
    <w:p w14:paraId="289FEF7A">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bCs/>
          <w:color w:val="auto"/>
          <w:szCs w:val="21"/>
        </w:rPr>
        <w:t>五、</w:t>
      </w:r>
      <w:r>
        <w:rPr>
          <w:rFonts w:hint="eastAsia" w:ascii="宋体" w:hAnsi="宋体" w:eastAsia="宋体" w:cs="宋体"/>
          <w:color w:val="auto"/>
          <w:szCs w:val="21"/>
        </w:rPr>
        <w:t>响应文件</w:t>
      </w:r>
      <w:r>
        <w:rPr>
          <w:rFonts w:hint="eastAsia" w:ascii="宋体" w:hAnsi="宋体" w:eastAsia="宋体" w:cs="宋体"/>
          <w:bCs/>
          <w:color w:val="auto"/>
          <w:szCs w:val="21"/>
        </w:rPr>
        <w:t>的</w:t>
      </w:r>
      <w:r>
        <w:rPr>
          <w:rFonts w:hint="eastAsia" w:ascii="宋体" w:hAnsi="宋体" w:eastAsia="宋体" w:cs="宋体"/>
          <w:color w:val="auto"/>
          <w:szCs w:val="21"/>
        </w:rPr>
        <w:t>磋商与评审</w:t>
      </w:r>
    </w:p>
    <w:p w14:paraId="1F07624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六、成交结果信息公布与授予合同</w:t>
      </w:r>
    </w:p>
    <w:p w14:paraId="7DBA1449">
      <w:pPr>
        <w:adjustRightInd w:val="0"/>
        <w:snapToGrid w:val="0"/>
        <w:spacing w:line="360" w:lineRule="auto"/>
        <w:ind w:firstLine="630" w:firstLineChars="300"/>
        <w:jc w:val="left"/>
        <w:rPr>
          <w:rFonts w:hint="eastAsia" w:ascii="宋体" w:hAnsi="宋体" w:eastAsia="宋体" w:cs="宋体"/>
          <w:color w:val="auto"/>
          <w:szCs w:val="21"/>
        </w:rPr>
      </w:pPr>
      <w:r>
        <w:rPr>
          <w:rFonts w:hint="eastAsia" w:ascii="宋体" w:hAnsi="宋体" w:eastAsia="宋体" w:cs="宋体"/>
          <w:color w:val="auto"/>
          <w:szCs w:val="21"/>
        </w:rPr>
        <w:t>七、其他规定</w:t>
      </w:r>
    </w:p>
    <w:p w14:paraId="11AA9220">
      <w:pPr>
        <w:adjustRightInd w:val="0"/>
        <w:snapToGrid w:val="0"/>
        <w:spacing w:line="360" w:lineRule="auto"/>
        <w:rPr>
          <w:rFonts w:hint="eastAsia" w:ascii="宋体" w:hAnsi="宋体" w:eastAsia="宋体" w:cs="宋体"/>
          <w:b/>
          <w:color w:val="auto"/>
          <w:sz w:val="24"/>
        </w:rPr>
      </w:pPr>
      <w:r>
        <w:rPr>
          <w:rFonts w:hint="eastAsia" w:ascii="宋体" w:hAnsi="宋体" w:eastAsia="宋体" w:cs="宋体"/>
          <w:b/>
          <w:color w:val="auto"/>
          <w:sz w:val="24"/>
        </w:rPr>
        <w:t>第三章  政府采购合同格式</w:t>
      </w:r>
    </w:p>
    <w:p w14:paraId="7180E22E">
      <w:pPr>
        <w:adjustRightInd w:val="0"/>
        <w:snapToGrid w:val="0"/>
        <w:spacing w:line="360" w:lineRule="auto"/>
        <w:rPr>
          <w:rFonts w:hint="eastAsia" w:ascii="宋体" w:hAnsi="宋体" w:eastAsia="宋体" w:cs="宋体"/>
          <w:b/>
          <w:color w:val="auto"/>
          <w:sz w:val="24"/>
        </w:rPr>
      </w:pPr>
      <w:r>
        <w:rPr>
          <w:rFonts w:hint="eastAsia" w:ascii="宋体" w:hAnsi="宋体" w:eastAsia="宋体" w:cs="宋体"/>
          <w:b/>
          <w:color w:val="auto"/>
          <w:sz w:val="24"/>
        </w:rPr>
        <w:t>第四章  采购需求</w:t>
      </w:r>
    </w:p>
    <w:p w14:paraId="66FDC084">
      <w:pPr>
        <w:widowControl w:val="0"/>
        <w:adjustRightInd w:val="0"/>
        <w:snapToGrid w:val="0"/>
        <w:spacing w:line="360" w:lineRule="auto"/>
        <w:jc w:val="both"/>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 xml:space="preserve">第五章  </w:t>
      </w:r>
      <w:r>
        <w:rPr>
          <w:rFonts w:hint="eastAsia" w:ascii="宋体" w:hAnsi="宋体" w:eastAsia="宋体" w:cs="宋体"/>
          <w:b/>
          <w:color w:val="auto"/>
          <w:kern w:val="2"/>
          <w:sz w:val="24"/>
          <w:szCs w:val="21"/>
          <w:lang w:val="en-US" w:eastAsia="zh-CN" w:bidi="ar-SA"/>
        </w:rPr>
        <w:t>响应文件组成</w:t>
      </w:r>
    </w:p>
    <w:p w14:paraId="1D6DC873">
      <w:pPr>
        <w:spacing w:line="360" w:lineRule="exact"/>
        <w:rPr>
          <w:rFonts w:ascii="黑体" w:eastAsia="黑体"/>
          <w:b/>
          <w:color w:val="auto"/>
          <w:sz w:val="24"/>
          <w:highlight w:val="none"/>
        </w:rPr>
      </w:pPr>
    </w:p>
    <w:p w14:paraId="47D4ABBC">
      <w:pPr>
        <w:spacing w:line="360" w:lineRule="exact"/>
        <w:rPr>
          <w:rFonts w:ascii="黑体" w:eastAsia="黑体"/>
          <w:b/>
          <w:color w:val="auto"/>
          <w:sz w:val="24"/>
          <w:highlight w:val="none"/>
        </w:rPr>
      </w:pPr>
    </w:p>
    <w:p w14:paraId="6AF151C4">
      <w:pPr>
        <w:spacing w:line="360" w:lineRule="exact"/>
        <w:rPr>
          <w:rFonts w:ascii="黑体" w:eastAsia="黑体"/>
          <w:b/>
          <w:color w:val="auto"/>
          <w:sz w:val="24"/>
          <w:highlight w:val="none"/>
        </w:rPr>
      </w:pPr>
    </w:p>
    <w:p w14:paraId="7262EC66">
      <w:pPr>
        <w:jc w:val="center"/>
        <w:rPr>
          <w:rFonts w:ascii="黑体" w:hAnsi="宋体" w:eastAsia="黑体"/>
          <w:color w:val="auto"/>
          <w:sz w:val="32"/>
          <w:szCs w:val="32"/>
          <w:highlight w:val="none"/>
        </w:rPr>
      </w:pPr>
    </w:p>
    <w:p w14:paraId="5B25C053">
      <w:pPr>
        <w:jc w:val="center"/>
        <w:rPr>
          <w:rFonts w:ascii="黑体" w:hAnsi="宋体" w:eastAsia="黑体"/>
          <w:color w:val="auto"/>
          <w:sz w:val="32"/>
          <w:szCs w:val="32"/>
          <w:highlight w:val="none"/>
        </w:rPr>
      </w:pPr>
    </w:p>
    <w:p w14:paraId="325AF05F">
      <w:pPr>
        <w:jc w:val="center"/>
        <w:rPr>
          <w:rFonts w:ascii="黑体" w:hAnsi="宋体" w:eastAsia="黑体"/>
          <w:color w:val="auto"/>
          <w:sz w:val="32"/>
          <w:szCs w:val="32"/>
          <w:highlight w:val="none"/>
        </w:rPr>
      </w:pPr>
    </w:p>
    <w:p w14:paraId="09DEBD7A">
      <w:pPr>
        <w:jc w:val="center"/>
        <w:rPr>
          <w:rFonts w:ascii="黑体" w:hAnsi="宋体" w:eastAsia="黑体"/>
          <w:color w:val="auto"/>
          <w:sz w:val="32"/>
          <w:szCs w:val="32"/>
          <w:highlight w:val="none"/>
        </w:rPr>
      </w:pPr>
    </w:p>
    <w:p w14:paraId="65BDCD62">
      <w:pPr>
        <w:jc w:val="center"/>
        <w:rPr>
          <w:rFonts w:ascii="黑体" w:hAnsi="宋体" w:eastAsia="黑体"/>
          <w:color w:val="auto"/>
          <w:sz w:val="32"/>
          <w:szCs w:val="32"/>
          <w:highlight w:val="none"/>
        </w:rPr>
      </w:pPr>
    </w:p>
    <w:p w14:paraId="2446BFC4">
      <w:pPr>
        <w:jc w:val="center"/>
        <w:rPr>
          <w:rFonts w:ascii="黑体" w:hAnsi="宋体" w:eastAsia="黑体"/>
          <w:color w:val="auto"/>
          <w:sz w:val="32"/>
          <w:szCs w:val="32"/>
          <w:highlight w:val="none"/>
        </w:rPr>
      </w:pPr>
    </w:p>
    <w:p w14:paraId="018D888B">
      <w:pPr>
        <w:rPr>
          <w:rFonts w:ascii="黑体" w:hAnsi="宋体" w:eastAsia="黑体"/>
          <w:color w:val="auto"/>
          <w:sz w:val="32"/>
          <w:szCs w:val="32"/>
          <w:highlight w:val="none"/>
        </w:rPr>
      </w:pPr>
    </w:p>
    <w:p w14:paraId="493B7822">
      <w:pPr>
        <w:pStyle w:val="3"/>
        <w:rPr>
          <w:rFonts w:ascii="黑体" w:hAnsi="宋体" w:eastAsia="黑体"/>
          <w:color w:val="auto"/>
          <w:sz w:val="32"/>
          <w:szCs w:val="32"/>
          <w:highlight w:val="none"/>
        </w:rPr>
      </w:pPr>
    </w:p>
    <w:p w14:paraId="306E3E91"/>
    <w:p w14:paraId="2BED3000">
      <w:pPr>
        <w:rPr>
          <w:rFonts w:ascii="黑体" w:hAnsi="宋体" w:eastAsia="黑体"/>
          <w:color w:val="auto"/>
          <w:sz w:val="32"/>
          <w:szCs w:val="32"/>
          <w:highlight w:val="none"/>
        </w:rPr>
      </w:pPr>
    </w:p>
    <w:p w14:paraId="3B4F07E7">
      <w:pPr>
        <w:rPr>
          <w:color w:val="auto"/>
          <w:highlight w:val="none"/>
        </w:rPr>
      </w:pPr>
    </w:p>
    <w:p w14:paraId="5BABB8A7">
      <w:pPr>
        <w:numPr>
          <w:ilvl w:val="0"/>
          <w:numId w:val="3"/>
        </w:numPr>
        <w:jc w:val="center"/>
        <w:outlineLvl w:val="0"/>
        <w:rPr>
          <w:rFonts w:ascii="黑体" w:hAnsi="宋体" w:eastAsia="黑体"/>
          <w:b/>
          <w:color w:val="auto"/>
          <w:sz w:val="32"/>
          <w:szCs w:val="32"/>
          <w:highlight w:val="none"/>
        </w:rPr>
      </w:pPr>
      <w:r>
        <w:rPr>
          <w:rFonts w:hint="eastAsia" w:ascii="黑体" w:hAnsi="宋体" w:eastAsia="黑体"/>
          <w:b/>
          <w:color w:val="auto"/>
          <w:sz w:val="32"/>
          <w:szCs w:val="32"/>
          <w:highlight w:val="none"/>
        </w:rPr>
        <w:t xml:space="preserve"> </w:t>
      </w:r>
      <w:bookmarkStart w:id="0" w:name="_Toc29819"/>
      <w:r>
        <w:rPr>
          <w:rFonts w:hint="eastAsia" w:ascii="黑体" w:hAnsi="宋体" w:eastAsia="黑体"/>
          <w:b/>
          <w:color w:val="auto"/>
          <w:sz w:val="32"/>
          <w:szCs w:val="32"/>
          <w:highlight w:val="none"/>
        </w:rPr>
        <w:t>磋商邀请</w:t>
      </w:r>
      <w:bookmarkEnd w:id="0"/>
    </w:p>
    <w:p w14:paraId="071A2C1C">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ascii="宋体" w:hAnsi="宋体" w:cs="宋体"/>
          <w:color w:val="auto"/>
          <w:kern w:val="0"/>
          <w:sz w:val="24"/>
          <w:highlight w:val="none"/>
          <w:lang w:bidi="ar"/>
        </w:rPr>
      </w:pPr>
      <w:r>
        <w:rPr>
          <w:rFonts w:hint="eastAsia" w:ascii="宋体" w:hAnsi="宋体" w:cs="宋体"/>
          <w:color w:val="auto"/>
          <w:kern w:val="0"/>
          <w:sz w:val="24"/>
          <w:highlight w:val="none"/>
          <w:lang w:eastAsia="zh-CN" w:bidi="ar"/>
        </w:rPr>
        <w:t>岳阳县教育体育局</w:t>
      </w:r>
      <w:r>
        <w:rPr>
          <w:rFonts w:hint="eastAsia" w:ascii="宋体" w:hAnsi="宋体" w:cs="宋体"/>
          <w:color w:val="auto"/>
          <w:kern w:val="0"/>
          <w:sz w:val="24"/>
          <w:highlight w:val="none"/>
          <w:lang w:bidi="ar"/>
        </w:rPr>
        <w:t>的</w:t>
      </w:r>
      <w:r>
        <w:rPr>
          <w:rFonts w:hint="eastAsia" w:ascii="宋体" w:hAnsi="宋体" w:cs="宋体"/>
          <w:color w:val="auto"/>
          <w:kern w:val="0"/>
          <w:sz w:val="24"/>
          <w:highlight w:val="none"/>
          <w:lang w:eastAsia="zh-CN" w:bidi="ar"/>
        </w:rPr>
        <w:t>岳阳县校车北斗系统性改造建设项目</w:t>
      </w:r>
      <w:r>
        <w:rPr>
          <w:rFonts w:hint="eastAsia" w:ascii="宋体" w:hAnsi="宋体" w:cs="宋体"/>
          <w:color w:val="auto"/>
          <w:kern w:val="0"/>
          <w:sz w:val="24"/>
          <w:highlight w:val="none"/>
          <w:lang w:bidi="ar"/>
        </w:rPr>
        <w:t>，现邀请合格投标人参加投标</w:t>
      </w:r>
      <w:r>
        <w:rPr>
          <w:rFonts w:ascii="宋体" w:hAnsi="宋体" w:cs="宋体"/>
          <w:color w:val="auto"/>
          <w:kern w:val="0"/>
          <w:sz w:val="24"/>
          <w:highlight w:val="none"/>
          <w:lang w:bidi="ar"/>
        </w:rPr>
        <w:t>。</w:t>
      </w:r>
    </w:p>
    <w:p w14:paraId="774812CC">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eastAsia="宋体"/>
          <w:b/>
          <w:color w:val="auto"/>
          <w:sz w:val="24"/>
          <w:szCs w:val="24"/>
          <w:lang w:eastAsia="zh-CN"/>
        </w:rPr>
      </w:pPr>
      <w:r>
        <w:rPr>
          <w:rFonts w:hint="eastAsia" w:hAnsi="宋体"/>
          <w:b/>
          <w:color w:val="auto"/>
          <w:sz w:val="24"/>
          <w:szCs w:val="24"/>
        </w:rPr>
        <w:t>一、采购项目基本信息</w:t>
      </w:r>
      <w:r>
        <w:rPr>
          <w:rFonts w:hint="eastAsia" w:hAnsi="宋体"/>
          <w:b/>
          <w:color w:val="auto"/>
          <w:sz w:val="24"/>
          <w:szCs w:val="24"/>
          <w:lang w:eastAsia="zh-CN"/>
        </w:rPr>
        <w:t>：</w:t>
      </w:r>
    </w:p>
    <w:p w14:paraId="307B6A01">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eastAsia="宋体"/>
          <w:color w:val="auto"/>
          <w:sz w:val="24"/>
          <w:szCs w:val="24"/>
          <w:lang w:eastAsia="zh-CN"/>
        </w:rPr>
      </w:pPr>
      <w:r>
        <w:rPr>
          <w:rFonts w:hint="eastAsia" w:ascii="宋体" w:hAnsi="宋体"/>
          <w:color w:val="auto"/>
          <w:sz w:val="24"/>
          <w:szCs w:val="24"/>
        </w:rPr>
        <w:t>1、采购项目名称：</w:t>
      </w:r>
      <w:r>
        <w:rPr>
          <w:rFonts w:hint="eastAsia" w:ascii="宋体" w:hAnsi="宋体" w:cs="宋体"/>
          <w:color w:val="auto"/>
          <w:kern w:val="0"/>
          <w:sz w:val="24"/>
          <w:highlight w:val="none"/>
          <w:lang w:eastAsia="zh-CN" w:bidi="ar"/>
        </w:rPr>
        <w:t>岳阳县校车北斗系统性改造建设项目</w:t>
      </w:r>
    </w:p>
    <w:p w14:paraId="5AFBCF7C">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eastAsia="宋体"/>
          <w:color w:val="auto"/>
          <w:sz w:val="24"/>
          <w:szCs w:val="24"/>
          <w:lang w:eastAsia="zh-CN"/>
        </w:rPr>
      </w:pPr>
      <w:r>
        <w:rPr>
          <w:rFonts w:hint="eastAsia" w:ascii="宋体" w:hAnsi="宋体"/>
          <w:color w:val="auto"/>
          <w:sz w:val="24"/>
          <w:szCs w:val="24"/>
        </w:rPr>
        <w:t>2、政府采购计划编号：(2026)430621000015-1</w:t>
      </w:r>
      <w:r>
        <w:rPr>
          <w:rFonts w:hint="eastAsia" w:ascii="宋体" w:hAnsi="宋体" w:cs="宋体"/>
          <w:color w:val="auto"/>
          <w:sz w:val="24"/>
          <w:szCs w:val="24"/>
          <w:lang w:eastAsia="zh-CN"/>
        </w:rPr>
        <w:t xml:space="preserve">  </w:t>
      </w:r>
      <w:r>
        <w:rPr>
          <w:rFonts w:hint="eastAsia" w:ascii="宋体" w:hAnsi="宋体"/>
          <w:color w:val="auto"/>
          <w:sz w:val="24"/>
          <w:szCs w:val="24"/>
          <w:lang w:eastAsia="zh-CN"/>
        </w:rPr>
        <w:t xml:space="preserve">  </w:t>
      </w:r>
    </w:p>
    <w:p w14:paraId="5B5C1B4F">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s="宋体"/>
          <w:color w:val="auto"/>
          <w:kern w:val="0"/>
          <w:sz w:val="24"/>
          <w:highlight w:val="none"/>
          <w:lang w:eastAsia="zh-CN" w:bidi="ar"/>
        </w:rPr>
      </w:pPr>
      <w:r>
        <w:rPr>
          <w:rFonts w:hint="eastAsia" w:ascii="宋体" w:hAnsi="宋体"/>
          <w:color w:val="auto"/>
          <w:sz w:val="24"/>
          <w:szCs w:val="24"/>
        </w:rPr>
        <w:t>3、</w:t>
      </w:r>
      <w:r>
        <w:rPr>
          <w:rFonts w:hint="eastAsia" w:ascii="宋体" w:hAnsi="宋体"/>
          <w:color w:val="auto"/>
          <w:sz w:val="24"/>
          <w:szCs w:val="24"/>
          <w:lang w:eastAsia="zh-CN"/>
        </w:rPr>
        <w:t>委托代理编</w:t>
      </w:r>
      <w:r>
        <w:rPr>
          <w:rFonts w:hint="eastAsia" w:ascii="宋体" w:hAnsi="宋体"/>
          <w:color w:val="auto"/>
          <w:sz w:val="24"/>
          <w:szCs w:val="24"/>
          <w:highlight w:val="none"/>
          <w:lang w:eastAsia="zh-CN"/>
        </w:rPr>
        <w:t>号</w:t>
      </w:r>
      <w:r>
        <w:rPr>
          <w:rFonts w:hint="eastAsia" w:ascii="宋体" w:hAnsi="宋体"/>
          <w:color w:val="auto"/>
          <w:sz w:val="24"/>
          <w:szCs w:val="24"/>
          <w:highlight w:val="none"/>
        </w:rPr>
        <w:t>：</w:t>
      </w:r>
      <w:r>
        <w:rPr>
          <w:rFonts w:hint="eastAsia" w:ascii="宋体" w:hAnsi="宋体" w:cs="宋体"/>
          <w:color w:val="auto"/>
          <w:kern w:val="0"/>
          <w:sz w:val="24"/>
          <w:highlight w:val="none"/>
          <w:lang w:eastAsia="zh-CN" w:bidi="ar"/>
        </w:rPr>
        <w:t>HNGY2026-24</w:t>
      </w:r>
    </w:p>
    <w:p w14:paraId="1785DDBC">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4、采购项目预算：</w:t>
      </w:r>
      <w:r>
        <w:rPr>
          <w:rFonts w:hint="eastAsia" w:ascii="宋体" w:hAnsi="宋体" w:cs="宋体"/>
          <w:color w:val="auto"/>
          <w:kern w:val="0"/>
          <w:sz w:val="24"/>
          <w:szCs w:val="24"/>
          <w:highlight w:val="none"/>
          <w:lang w:val="en-US" w:eastAsia="zh-CN" w:bidi="ar"/>
        </w:rPr>
        <w:t>700800.00元</w:t>
      </w:r>
    </w:p>
    <w:p w14:paraId="6CC31731">
      <w:pPr>
        <w:keepNext w:val="0"/>
        <w:keepLines w:val="0"/>
        <w:pageBreakBefore w:val="0"/>
        <w:kinsoku/>
        <w:wordWrap/>
        <w:overflowPunct/>
        <w:topLinePunct w:val="0"/>
        <w:autoSpaceDE/>
        <w:autoSpaceDN/>
        <w:bidi w:val="0"/>
        <w:snapToGrid/>
        <w:spacing w:line="480" w:lineRule="exact"/>
        <w:ind w:left="0" w:firstLine="960"/>
        <w:textAlignment w:val="auto"/>
        <w:rPr>
          <w:rFonts w:hint="eastAsia" w:ascii="宋体" w:hAnsi="宋体" w:eastAsia="宋体"/>
          <w:color w:val="auto"/>
          <w:sz w:val="24"/>
          <w:szCs w:val="24"/>
          <w:lang w:val="en-US" w:eastAsia="zh-CN"/>
        </w:rPr>
      </w:pPr>
      <w:r>
        <w:rPr>
          <w:rFonts w:ascii="宋体" w:hAnsi="宋体"/>
          <w:color w:val="auto"/>
          <w:sz w:val="24"/>
          <w:szCs w:val="24"/>
        </w:rPr>
        <w:object>
          <v:shape id="_x0000_i1025" o:spt="201" type="#_x0000_t201" style="height:15.75pt;width:20.25pt;" o:ole="t" filled="f" o:preferrelative="t" stroked="f" coordsize="21600,21600">
            <v:path/>
            <v:fill on="f" focussize="0,0"/>
            <v:stroke on="f"/>
            <v:imagedata r:id="rId10" o:title=""/>
            <o:lock v:ext="edit" aspectratio="t"/>
            <w10:wrap type="none"/>
            <w10:anchorlock/>
          </v:shape>
          <w:control r:id="rId9" w:name="DefaultOcxName" w:shapeid="_x0000_i1025"/>
        </w:object>
      </w:r>
      <w:r>
        <w:rPr>
          <w:rFonts w:hint="eastAsia" w:ascii="宋体" w:hAnsi="宋体"/>
          <w:color w:val="auto"/>
          <w:sz w:val="24"/>
          <w:szCs w:val="24"/>
        </w:rPr>
        <w:t>支持预付款，预付比例：</w:t>
      </w:r>
      <w:r>
        <w:rPr>
          <w:rFonts w:hint="eastAsia" w:ascii="宋体" w:hAnsi="宋体"/>
          <w:color w:val="auto"/>
          <w:sz w:val="24"/>
          <w:szCs w:val="24"/>
          <w:u w:val="single"/>
        </w:rPr>
        <w:t>%</w:t>
      </w:r>
      <w:r>
        <w:rPr>
          <w:rFonts w:hint="eastAsia" w:ascii="宋体" w:hAnsi="宋体"/>
          <w:color w:val="auto"/>
          <w:sz w:val="24"/>
          <w:szCs w:val="24"/>
          <w:u w:val="single"/>
          <w:lang w:val="en-US" w:eastAsia="zh-CN"/>
        </w:rPr>
        <w:t xml:space="preserve"> </w:t>
      </w:r>
    </w:p>
    <w:p w14:paraId="69F507AA">
      <w:pPr>
        <w:keepNext w:val="0"/>
        <w:keepLines w:val="0"/>
        <w:pageBreakBefore w:val="0"/>
        <w:kinsoku/>
        <w:wordWrap/>
        <w:overflowPunct/>
        <w:topLinePunct w:val="0"/>
        <w:autoSpaceDE/>
        <w:autoSpaceDN/>
        <w:bidi w:val="0"/>
        <w:snapToGrid/>
        <w:spacing w:line="480" w:lineRule="exact"/>
        <w:ind w:left="0" w:firstLine="480"/>
        <w:textAlignment w:val="auto"/>
        <w:rPr>
          <w:rFonts w:hint="default" w:ascii="宋体" w:hAnsi="宋体" w:eastAsia="宋体"/>
          <w:color w:val="auto"/>
          <w:sz w:val="24"/>
          <w:szCs w:val="24"/>
          <w:lang w:val="en-US" w:eastAsia="zh-CN"/>
        </w:rPr>
      </w:pPr>
      <w:r>
        <w:rPr>
          <w:rFonts w:hint="eastAsia" w:ascii="宋体" w:hAnsi="宋体"/>
          <w:color w:val="auto"/>
          <w:sz w:val="24"/>
          <w:szCs w:val="24"/>
        </w:rPr>
        <w:t>5、本项目对应的中小企业划分标准所属行</w:t>
      </w:r>
      <w:r>
        <w:rPr>
          <w:rFonts w:hint="eastAsia" w:ascii="宋体" w:hAnsi="宋体" w:eastAsia="宋体" w:cs="Times New Roman"/>
          <w:color w:val="auto"/>
          <w:sz w:val="24"/>
          <w:szCs w:val="24"/>
        </w:rPr>
        <w:t>业：</w:t>
      </w:r>
      <w:r>
        <w:rPr>
          <w:rFonts w:hint="eastAsia" w:ascii="宋体" w:hAnsi="宋体" w:cs="Times New Roman"/>
          <w:color w:val="auto"/>
          <w:sz w:val="24"/>
          <w:szCs w:val="24"/>
          <w:lang w:val="en-US" w:eastAsia="zh-CN"/>
        </w:rPr>
        <w:t>工业</w:t>
      </w:r>
    </w:p>
    <w:p w14:paraId="0F62ACE7">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6、评标方法： </w:t>
      </w:r>
      <w:r>
        <w:rPr>
          <w:rFonts w:ascii="宋体" w:hAnsi="宋体"/>
          <w:color w:val="auto"/>
          <w:sz w:val="24"/>
          <w:szCs w:val="24"/>
        </w:rPr>
        <w:object>
          <v:shape id="_x0000_i1026" o:spt="201" type="#_x0000_t201" style="height:15.75pt;width:20.25pt;" o:ole="t" filled="f" o:preferrelative="t" stroked="f" coordsize="21600,21600">
            <v:path/>
            <v:fill on="f" focussize="0,0"/>
            <v:stroke on="f"/>
            <v:imagedata r:id="rId10" o:title=""/>
            <o:lock v:ext="edit" aspectratio="t"/>
            <w10:wrap type="none"/>
            <w10:anchorlock/>
          </v:shape>
          <w:control r:id="rId11" w:name="DefaultOcxName1" w:shapeid="_x0000_i1026"/>
        </w:object>
      </w:r>
      <w:r>
        <w:rPr>
          <w:rFonts w:hint="eastAsia" w:ascii="宋体" w:hAnsi="宋体"/>
          <w:color w:val="auto"/>
          <w:sz w:val="24"/>
          <w:szCs w:val="24"/>
        </w:rPr>
        <w:t>最低价法 </w:t>
      </w:r>
      <w:r>
        <w:rPr>
          <w:rFonts w:ascii="宋体" w:hAnsi="宋体"/>
          <w:color w:val="auto"/>
          <w:sz w:val="24"/>
          <w:szCs w:val="24"/>
        </w:rPr>
        <w:object>
          <v:shape id="_x0000_i1027" o:spt="201" type="#_x0000_t201" style="height:15.75pt;width:20.25pt;" o:ole="t" filled="f" o:preferrelative="t" stroked="f" coordsize="21600,21600">
            <v:path/>
            <v:fill on="f" focussize="0,0"/>
            <v:stroke on="f"/>
            <v:imagedata r:id="rId13" o:title=""/>
            <o:lock v:ext="edit" aspectratio="t"/>
            <w10:wrap type="none"/>
            <w10:anchorlock/>
          </v:shape>
          <w:control r:id="rId12" w:name="DefaultOcxName2" w:shapeid="_x0000_i1027"/>
        </w:object>
      </w:r>
      <w:r>
        <w:rPr>
          <w:rFonts w:hint="eastAsia" w:ascii="宋体" w:hAnsi="宋体"/>
          <w:color w:val="auto"/>
          <w:sz w:val="24"/>
          <w:szCs w:val="24"/>
        </w:rPr>
        <w:t>综合评分法</w:t>
      </w:r>
    </w:p>
    <w:p w14:paraId="3B92A745">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7、合同定价方式： </w:t>
      </w:r>
      <w:r>
        <w:rPr>
          <w:rFonts w:ascii="宋体" w:hAnsi="宋体"/>
          <w:color w:val="auto"/>
          <w:sz w:val="24"/>
          <w:szCs w:val="24"/>
        </w:rPr>
        <w:object>
          <v:shape id="_x0000_i1028" o:spt="201" type="#_x0000_t201" style="height:15.75pt;width:20.25pt;" o:ole="t" filled="f" o:preferrelative="t" stroked="f" coordsize="21600,21600">
            <v:path/>
            <v:fill on="f" focussize="0,0"/>
            <v:stroke on="f"/>
            <v:imagedata r:id="rId10" o:title=""/>
            <o:lock v:ext="edit" aspectratio="t"/>
            <w10:wrap type="none"/>
            <w10:anchorlock/>
          </v:shape>
          <w:control r:id="rId14" w:name="DefaultOcxName5" w:shapeid="_x0000_i1028"/>
        </w:object>
      </w:r>
      <w:r>
        <w:rPr>
          <w:rFonts w:hint="eastAsia" w:ascii="宋体" w:hAnsi="宋体"/>
          <w:color w:val="auto"/>
          <w:sz w:val="24"/>
          <w:szCs w:val="24"/>
        </w:rPr>
        <w:t>固定总价 </w:t>
      </w:r>
      <w:r>
        <w:rPr>
          <w:rFonts w:ascii="宋体" w:hAnsi="宋体"/>
          <w:color w:val="auto"/>
          <w:sz w:val="24"/>
          <w:szCs w:val="24"/>
        </w:rPr>
        <w:object>
          <v:shape id="_x0000_i1029" o:spt="201" type="#_x0000_t201" style="height:15.75pt;width:20.25pt;" o:ole="t" filled="f" o:preferrelative="t" stroked="f" coordsize="21600,21600">
            <v:path/>
            <v:fill on="f" focussize="0,0"/>
            <v:stroke on="f"/>
            <v:imagedata r:id="rId13" o:title=""/>
            <o:lock v:ext="edit" aspectratio="t"/>
            <w10:wrap type="none"/>
            <w10:anchorlock/>
          </v:shape>
          <w:control r:id="rId15" w:name="DefaultOcxName3" w:shapeid="_x0000_i1029"/>
        </w:object>
      </w:r>
      <w:r>
        <w:rPr>
          <w:rFonts w:hint="eastAsia" w:ascii="宋体" w:hAnsi="宋体"/>
          <w:color w:val="auto"/>
          <w:sz w:val="24"/>
          <w:szCs w:val="24"/>
        </w:rPr>
        <w:t>固定单价 </w:t>
      </w:r>
      <w:r>
        <w:rPr>
          <w:rFonts w:ascii="宋体" w:hAnsi="宋体"/>
          <w:color w:val="auto"/>
          <w:sz w:val="24"/>
          <w:szCs w:val="24"/>
        </w:rPr>
        <w:object>
          <v:shape id="_x0000_i1030" o:spt="201" type="#_x0000_t201" style="height:15.75pt;width:20.25pt;" o:ole="t" filled="f" o:preferrelative="t" stroked="f" coordsize="21600,21600">
            <v:path/>
            <v:fill on="f" focussize="0,0"/>
            <v:stroke on="f"/>
            <v:imagedata r:id="rId10" o:title=""/>
            <o:lock v:ext="edit" aspectratio="t"/>
            <w10:wrap type="none"/>
            <w10:anchorlock/>
          </v:shape>
          <w:control r:id="rId16" w:name="DefaultOcxName5" w:shapeid="_x0000_i1030"/>
        </w:object>
      </w:r>
      <w:r>
        <w:rPr>
          <w:rFonts w:hint="eastAsia" w:ascii="宋体" w:hAnsi="宋体"/>
          <w:color w:val="auto"/>
          <w:sz w:val="24"/>
          <w:szCs w:val="24"/>
        </w:rPr>
        <w:t>成本补偿 </w:t>
      </w:r>
      <w:r>
        <w:rPr>
          <w:rFonts w:ascii="宋体" w:hAnsi="宋体"/>
          <w:color w:val="auto"/>
          <w:sz w:val="24"/>
          <w:szCs w:val="24"/>
        </w:rPr>
        <w:object>
          <v:shape id="_x0000_i1031" o:spt="201" type="#_x0000_t201" style="height:15.75pt;width:20.25pt;" o:ole="t" filled="f" o:preferrelative="t" stroked="f" coordsize="21600,21600">
            <v:path/>
            <v:fill on="f" focussize="0,0"/>
            <v:stroke on="f"/>
            <v:imagedata r:id="rId10" o:title=""/>
            <o:lock v:ext="edit" aspectratio="t"/>
            <w10:wrap type="none"/>
            <w10:anchorlock/>
          </v:shape>
          <w:control r:id="rId17" w:name="DefaultOcxName6" w:shapeid="_x0000_i1031"/>
        </w:object>
      </w:r>
      <w:r>
        <w:rPr>
          <w:rFonts w:hint="eastAsia" w:ascii="宋体" w:hAnsi="宋体"/>
          <w:color w:val="auto"/>
          <w:sz w:val="24"/>
          <w:szCs w:val="24"/>
        </w:rPr>
        <w:t>绩效激励</w:t>
      </w:r>
    </w:p>
    <w:p w14:paraId="0783E002">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rPr>
        <w:t>8、合同履行期限</w:t>
      </w:r>
      <w:r>
        <w:rPr>
          <w:rFonts w:hint="eastAsia" w:ascii="宋体" w:hAnsi="宋体" w:eastAsia="宋体" w:cs="Times New Roman"/>
          <w:color w:val="auto"/>
          <w:sz w:val="24"/>
          <w:szCs w:val="24"/>
          <w:highlight w:val="none"/>
        </w:rPr>
        <w:t>：</w:t>
      </w:r>
      <w:r>
        <w:rPr>
          <w:rFonts w:hint="eastAsia" w:ascii="宋体" w:hAnsi="宋体"/>
          <w:color w:val="auto"/>
          <w:sz w:val="24"/>
          <w:szCs w:val="24"/>
          <w:highlight w:val="none"/>
          <w:lang w:val="en-US" w:eastAsia="zh-CN"/>
        </w:rPr>
        <w:t>15日历天</w:t>
      </w:r>
    </w:p>
    <w:p w14:paraId="6DF4AF47">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9、本项目分阶段要求投标人提供以下保证：</w:t>
      </w:r>
    </w:p>
    <w:p w14:paraId="5D9300CA">
      <w:pPr>
        <w:keepNext w:val="0"/>
        <w:keepLines w:val="0"/>
        <w:pageBreakBefore w:val="0"/>
        <w:kinsoku/>
        <w:wordWrap/>
        <w:overflowPunct/>
        <w:topLinePunct w:val="0"/>
        <w:autoSpaceDE/>
        <w:autoSpaceDN/>
        <w:bidi w:val="0"/>
        <w:snapToGrid/>
        <w:spacing w:line="480" w:lineRule="exact"/>
        <w:ind w:left="0" w:firstLine="960"/>
        <w:textAlignment w:val="auto"/>
        <w:rPr>
          <w:rFonts w:hint="eastAsia" w:ascii="宋体" w:hAnsi="宋体"/>
          <w:color w:val="auto"/>
          <w:sz w:val="24"/>
          <w:szCs w:val="24"/>
        </w:rPr>
      </w:pPr>
      <w:r>
        <w:rPr>
          <w:rFonts w:ascii="宋体" w:hAnsi="宋体"/>
          <w:color w:val="auto"/>
          <w:sz w:val="24"/>
          <w:szCs w:val="24"/>
        </w:rPr>
        <w:object>
          <v:shape id="_x0000_i1032" o:spt="201" type="#_x0000_t201" style="height:15.75pt;width:20.25pt;" o:ole="t" filled="f" o:preferrelative="t" stroked="f" coordsize="21600,21600">
            <v:path/>
            <v:fill on="f" focussize="0,0"/>
            <v:stroke on="f"/>
            <v:imagedata r:id="rId10" o:title=""/>
            <o:lock v:ext="edit" aspectratio="t"/>
            <w10:wrap type="none"/>
            <w10:anchorlock/>
          </v:shape>
          <w:control r:id="rId18" w:name="DefaultOcxName7" w:shapeid="_x0000_i1032"/>
        </w:object>
      </w:r>
      <w:r>
        <w:rPr>
          <w:rFonts w:hint="eastAsia" w:ascii="宋体" w:hAnsi="宋体"/>
          <w:color w:val="auto"/>
          <w:sz w:val="24"/>
          <w:szCs w:val="24"/>
        </w:rPr>
        <w:t>投标保证金：采购项目预算的</w:t>
      </w:r>
      <w:r>
        <w:rPr>
          <w:rFonts w:hint="eastAsia" w:ascii="宋体" w:hAnsi="宋体"/>
          <w:color w:val="auto"/>
          <w:sz w:val="24"/>
          <w:szCs w:val="24"/>
          <w:u w:val="single"/>
        </w:rPr>
        <w:t>  </w:t>
      </w:r>
      <w:r>
        <w:rPr>
          <w:rFonts w:hint="eastAsia" w:ascii="宋体" w:hAnsi="宋体"/>
          <w:color w:val="auto"/>
          <w:sz w:val="24"/>
          <w:szCs w:val="24"/>
        </w:rPr>
        <w:t>%；</w:t>
      </w:r>
    </w:p>
    <w:p w14:paraId="5F79D370">
      <w:pPr>
        <w:keepNext w:val="0"/>
        <w:keepLines w:val="0"/>
        <w:pageBreakBefore w:val="0"/>
        <w:kinsoku/>
        <w:wordWrap/>
        <w:overflowPunct/>
        <w:topLinePunct w:val="0"/>
        <w:autoSpaceDE/>
        <w:autoSpaceDN/>
        <w:bidi w:val="0"/>
        <w:snapToGrid/>
        <w:spacing w:line="480" w:lineRule="exact"/>
        <w:ind w:left="0" w:firstLine="960"/>
        <w:textAlignment w:val="auto"/>
        <w:rPr>
          <w:rFonts w:hint="eastAsia" w:ascii="宋体" w:hAnsi="宋体"/>
          <w:color w:val="auto"/>
          <w:sz w:val="24"/>
          <w:szCs w:val="24"/>
        </w:rPr>
      </w:pPr>
      <w:r>
        <w:rPr>
          <w:rFonts w:ascii="宋体" w:hAnsi="宋体"/>
          <w:color w:val="auto"/>
          <w:sz w:val="24"/>
          <w:szCs w:val="24"/>
        </w:rPr>
        <w:object>
          <v:shape id="_x0000_i1033" o:spt="201" type="#_x0000_t201" style="height:15.75pt;width:20.25pt;" o:ole="t" filled="f" o:preferrelative="t" stroked="f" coordsize="21600,21600">
            <v:path/>
            <v:fill on="f" focussize="0,0"/>
            <v:stroke on="f"/>
            <v:imagedata r:id="rId10" o:title=""/>
            <o:lock v:ext="edit" aspectratio="t"/>
            <w10:wrap type="none"/>
            <w10:anchorlock/>
          </v:shape>
          <w:control r:id="rId19" w:name="DefaultOcxName8" w:shapeid="_x0000_i1033"/>
        </w:object>
      </w:r>
      <w:r>
        <w:rPr>
          <w:rFonts w:hint="eastAsia" w:ascii="宋体" w:hAnsi="宋体"/>
          <w:color w:val="auto"/>
          <w:sz w:val="24"/>
          <w:szCs w:val="24"/>
        </w:rPr>
        <w:t>履约保证金：中标金额的</w:t>
      </w:r>
      <w:r>
        <w:rPr>
          <w:rFonts w:hint="eastAsia" w:ascii="宋体" w:hAnsi="宋体"/>
          <w:color w:val="auto"/>
          <w:sz w:val="24"/>
          <w:szCs w:val="24"/>
          <w:u w:val="single"/>
        </w:rPr>
        <w:t>  </w:t>
      </w:r>
      <w:r>
        <w:rPr>
          <w:rFonts w:hint="eastAsia" w:ascii="宋体" w:hAnsi="宋体"/>
          <w:color w:val="auto"/>
          <w:sz w:val="24"/>
          <w:szCs w:val="24"/>
        </w:rPr>
        <w:t>%；</w:t>
      </w:r>
    </w:p>
    <w:p w14:paraId="3DC0DC56">
      <w:pPr>
        <w:keepNext w:val="0"/>
        <w:keepLines w:val="0"/>
        <w:pageBreakBefore w:val="0"/>
        <w:kinsoku/>
        <w:wordWrap/>
        <w:overflowPunct/>
        <w:topLinePunct w:val="0"/>
        <w:autoSpaceDE/>
        <w:autoSpaceDN/>
        <w:bidi w:val="0"/>
        <w:snapToGrid/>
        <w:spacing w:line="480" w:lineRule="exact"/>
        <w:ind w:left="0" w:firstLine="960"/>
        <w:textAlignment w:val="auto"/>
        <w:rPr>
          <w:rFonts w:hint="eastAsia" w:ascii="宋体" w:hAnsi="宋体"/>
          <w:color w:val="auto"/>
          <w:sz w:val="24"/>
          <w:szCs w:val="24"/>
        </w:rPr>
      </w:pPr>
      <w:r>
        <w:rPr>
          <w:rFonts w:ascii="宋体" w:hAnsi="宋体"/>
          <w:color w:val="auto"/>
          <w:sz w:val="24"/>
          <w:szCs w:val="24"/>
        </w:rPr>
        <w:object>
          <v:shape id="_x0000_i1034" o:spt="201" type="#_x0000_t201" style="height:15.75pt;width:20.25pt;" o:ole="t" filled="f" o:preferrelative="t" stroked="f" coordsize="21600,21600">
            <v:path/>
            <v:fill on="f" focussize="0,0"/>
            <v:stroke on="f"/>
            <v:imagedata r:id="rId10" o:title=""/>
            <o:lock v:ext="edit" aspectratio="t"/>
            <w10:wrap type="none"/>
            <w10:anchorlock/>
          </v:shape>
          <w:control r:id="rId20" w:name="DefaultOcxName9" w:shapeid="_x0000_i1034"/>
        </w:object>
      </w:r>
      <w:r>
        <w:rPr>
          <w:rFonts w:hint="eastAsia" w:ascii="宋体" w:hAnsi="宋体"/>
          <w:color w:val="auto"/>
          <w:sz w:val="24"/>
          <w:szCs w:val="24"/>
        </w:rPr>
        <w:t>预付款保证金：预付款的</w:t>
      </w:r>
      <w:r>
        <w:rPr>
          <w:rFonts w:hint="eastAsia" w:ascii="宋体" w:hAnsi="宋体"/>
          <w:color w:val="auto"/>
          <w:sz w:val="24"/>
          <w:szCs w:val="24"/>
          <w:u w:val="single"/>
        </w:rPr>
        <w:t>  </w:t>
      </w:r>
      <w:r>
        <w:rPr>
          <w:rFonts w:hint="eastAsia" w:ascii="宋体" w:hAnsi="宋体"/>
          <w:color w:val="auto"/>
          <w:sz w:val="24"/>
          <w:szCs w:val="24"/>
        </w:rPr>
        <w:t>%；</w:t>
      </w:r>
    </w:p>
    <w:p w14:paraId="1845005E">
      <w:pPr>
        <w:pStyle w:val="14"/>
        <w:keepNext w:val="0"/>
        <w:keepLines w:val="0"/>
        <w:pageBreakBefore w:val="0"/>
        <w:numPr>
          <w:ilvl w:val="0"/>
          <w:numId w:val="4"/>
        </w:numPr>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采购人的采购需求</w:t>
      </w:r>
      <w:r>
        <w:rPr>
          <w:rFonts w:hint="eastAsia" w:hAnsi="宋体"/>
          <w:b/>
          <w:color w:val="auto"/>
          <w:sz w:val="24"/>
          <w:szCs w:val="24"/>
          <w:lang w:eastAsia="zh-CN"/>
        </w:rPr>
        <w:t>：</w:t>
      </w:r>
    </w:p>
    <w:tbl>
      <w:tblPr>
        <w:tblStyle w:val="26"/>
        <w:tblW w:w="5000" w:type="pct"/>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1132"/>
        <w:gridCol w:w="1316"/>
        <w:gridCol w:w="1900"/>
        <w:gridCol w:w="650"/>
        <w:gridCol w:w="1220"/>
        <w:gridCol w:w="969"/>
        <w:gridCol w:w="969"/>
      </w:tblGrid>
      <w:tr w14:paraId="6896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399" w:type="pct"/>
            <w:noWrap/>
            <w:vAlign w:val="center"/>
          </w:tcPr>
          <w:p w14:paraId="2D1AB4AE">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包名称</w:t>
            </w:r>
          </w:p>
        </w:tc>
        <w:tc>
          <w:tcPr>
            <w:tcW w:w="638" w:type="pct"/>
            <w:noWrap/>
            <w:vAlign w:val="center"/>
          </w:tcPr>
          <w:p w14:paraId="6A7BAFB2">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最高限价（元）</w:t>
            </w:r>
          </w:p>
        </w:tc>
        <w:tc>
          <w:tcPr>
            <w:tcW w:w="742" w:type="pct"/>
            <w:noWrap/>
            <w:vAlign w:val="center"/>
          </w:tcPr>
          <w:p w14:paraId="00CB38FE">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标的名称</w:t>
            </w:r>
          </w:p>
        </w:tc>
        <w:tc>
          <w:tcPr>
            <w:tcW w:w="1071" w:type="pct"/>
            <w:noWrap/>
            <w:vAlign w:val="center"/>
          </w:tcPr>
          <w:p w14:paraId="008020BD">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简要技术要求</w:t>
            </w:r>
          </w:p>
        </w:tc>
        <w:tc>
          <w:tcPr>
            <w:tcW w:w="366" w:type="pct"/>
            <w:noWrap/>
            <w:vAlign w:val="center"/>
          </w:tcPr>
          <w:p w14:paraId="6A57A963">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数量</w:t>
            </w:r>
          </w:p>
        </w:tc>
        <w:tc>
          <w:tcPr>
            <w:tcW w:w="688" w:type="pct"/>
            <w:noWrap/>
            <w:vAlign w:val="center"/>
          </w:tcPr>
          <w:p w14:paraId="2B2CF7D0">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标的预算（元）</w:t>
            </w:r>
          </w:p>
        </w:tc>
        <w:tc>
          <w:tcPr>
            <w:tcW w:w="546" w:type="pct"/>
            <w:noWrap/>
            <w:vAlign w:val="center"/>
          </w:tcPr>
          <w:p w14:paraId="4E683F66">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节能产品</w:t>
            </w:r>
          </w:p>
        </w:tc>
        <w:tc>
          <w:tcPr>
            <w:tcW w:w="546" w:type="pct"/>
            <w:noWrap/>
            <w:vAlign w:val="center"/>
          </w:tcPr>
          <w:p w14:paraId="5FCA6F42">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b/>
                <w:bCs/>
                <w:color w:val="auto"/>
                <w:sz w:val="24"/>
                <w:szCs w:val="24"/>
              </w:rPr>
              <w:t>进口产品</w:t>
            </w:r>
          </w:p>
        </w:tc>
      </w:tr>
      <w:tr w14:paraId="49E8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399" w:type="pct"/>
            <w:noWrap w:val="0"/>
            <w:vAlign w:val="center"/>
          </w:tcPr>
          <w:p w14:paraId="740A6FCC">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highlight w:val="none"/>
              </w:rPr>
            </w:pPr>
            <w:r>
              <w:rPr>
                <w:rFonts w:ascii="宋体" w:hAnsi="宋体"/>
                <w:color w:val="auto"/>
                <w:sz w:val="24"/>
                <w:szCs w:val="24"/>
                <w:highlight w:val="none"/>
              </w:rPr>
              <w:t>包1</w:t>
            </w:r>
          </w:p>
        </w:tc>
        <w:tc>
          <w:tcPr>
            <w:tcW w:w="638" w:type="pct"/>
            <w:noWrap w:val="0"/>
            <w:vAlign w:val="center"/>
          </w:tcPr>
          <w:p w14:paraId="0EE17508">
            <w:pPr>
              <w:keepNext w:val="0"/>
              <w:keepLines w:val="0"/>
              <w:widowControl/>
              <w:suppressLineNumbers w:val="0"/>
              <w:jc w:val="center"/>
              <w:textAlignment w:val="center"/>
              <w:rPr>
                <w:rFonts w:hint="default" w:ascii="宋体" w:hAnsi="宋体" w:eastAsia="宋体" w:cs="宋体"/>
                <w:i w:val="0"/>
                <w:iCs w:val="0"/>
                <w:color w:val="auto"/>
                <w:kern w:val="2"/>
                <w:sz w:val="24"/>
                <w:szCs w:val="24"/>
                <w:highlight w:val="none"/>
                <w:u w:val="none"/>
                <w:lang w:val="en-US" w:eastAsia="zh-CN" w:bidi="ar-SA"/>
              </w:rPr>
            </w:pPr>
            <w:r>
              <w:rPr>
                <w:rFonts w:hint="eastAsia" w:ascii="宋体" w:hAnsi="宋体" w:cs="宋体"/>
                <w:i w:val="0"/>
                <w:iCs w:val="0"/>
                <w:color w:val="auto"/>
                <w:kern w:val="2"/>
                <w:sz w:val="24"/>
                <w:szCs w:val="24"/>
                <w:highlight w:val="none"/>
                <w:u w:val="none"/>
                <w:lang w:val="en-US" w:eastAsia="zh-CN" w:bidi="ar-SA"/>
              </w:rPr>
              <w:t>700800.00</w:t>
            </w:r>
          </w:p>
        </w:tc>
        <w:tc>
          <w:tcPr>
            <w:tcW w:w="742" w:type="pct"/>
            <w:noWrap w:val="0"/>
            <w:vAlign w:val="center"/>
          </w:tcPr>
          <w:p w14:paraId="088B5573">
            <w:pPr>
              <w:keepNext w:val="0"/>
              <w:keepLines w:val="0"/>
              <w:pageBreakBefore w:val="0"/>
              <w:kinsoku/>
              <w:wordWrap/>
              <w:overflowPunct/>
              <w:topLinePunct w:val="0"/>
              <w:autoSpaceDE/>
              <w:autoSpaceDN/>
              <w:bidi w:val="0"/>
              <w:snapToGrid/>
              <w:spacing w:line="480" w:lineRule="exact"/>
              <w:ind w:left="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岳阳县校车北斗系统性改造建设项目</w:t>
            </w:r>
          </w:p>
        </w:tc>
        <w:tc>
          <w:tcPr>
            <w:tcW w:w="1071" w:type="pct"/>
            <w:noWrap w:val="0"/>
            <w:vAlign w:val="center"/>
          </w:tcPr>
          <w:p w14:paraId="72FC4BED">
            <w:pPr>
              <w:keepNext w:val="0"/>
              <w:keepLines w:val="0"/>
              <w:pageBreakBefore w:val="0"/>
              <w:kinsoku/>
              <w:wordWrap/>
              <w:overflowPunct/>
              <w:topLinePunct w:val="0"/>
              <w:autoSpaceDE/>
              <w:autoSpaceDN/>
              <w:bidi w:val="0"/>
              <w:snapToGrid/>
              <w:spacing w:line="480" w:lineRule="exact"/>
              <w:textAlignment w:val="auto"/>
              <w:rPr>
                <w:rFonts w:ascii="宋体" w:hAnsi="宋体" w:cs="宋体"/>
                <w:color w:val="auto"/>
                <w:sz w:val="24"/>
                <w:szCs w:val="24"/>
              </w:rPr>
            </w:pPr>
            <w:r>
              <w:rPr>
                <w:rFonts w:hint="eastAsia" w:ascii="宋体" w:hAnsi="宋体"/>
                <w:color w:val="auto"/>
                <w:sz w:val="24"/>
                <w:szCs w:val="24"/>
              </w:rPr>
              <w:t>本系统设计包含</w:t>
            </w:r>
            <w:r>
              <w:rPr>
                <w:rFonts w:hint="eastAsia" w:ascii="宋体" w:hAnsi="宋体"/>
                <w:color w:val="auto"/>
                <w:sz w:val="24"/>
                <w:szCs w:val="24"/>
                <w:lang w:val="en-US" w:eastAsia="zh-CN"/>
              </w:rPr>
              <w:t>北斗</w:t>
            </w:r>
            <w:r>
              <w:rPr>
                <w:rFonts w:hint="eastAsia" w:ascii="宋体" w:hAnsi="宋体"/>
                <w:color w:val="auto"/>
                <w:sz w:val="24"/>
                <w:szCs w:val="24"/>
              </w:rPr>
              <w:t>前端车载视频监控系统、主动安全系统、刷卡器（人脸考勤机）等外设、网络传输系统及车载管理平台。车载终端通过运营商网络按照要求实时上传车辆位置数据、运行数据、视频数据、报警数据、考勤信息等至校车</w:t>
            </w:r>
            <w:r>
              <w:rPr>
                <w:rFonts w:hint="eastAsia" w:ascii="宋体" w:hAnsi="宋体"/>
                <w:color w:val="auto"/>
                <w:sz w:val="24"/>
                <w:szCs w:val="24"/>
                <w:lang w:val="en-US" w:eastAsia="zh-CN"/>
              </w:rPr>
              <w:t>公司</w:t>
            </w:r>
            <w:r>
              <w:rPr>
                <w:rFonts w:hint="eastAsia" w:ascii="宋体" w:hAnsi="宋体"/>
                <w:color w:val="auto"/>
                <w:sz w:val="24"/>
                <w:szCs w:val="24"/>
              </w:rPr>
              <w:t>监控中心平台，联动家长移动端，同时校车</w:t>
            </w:r>
            <w:r>
              <w:rPr>
                <w:rFonts w:hint="eastAsia" w:ascii="宋体" w:hAnsi="宋体"/>
                <w:color w:val="auto"/>
                <w:sz w:val="24"/>
                <w:szCs w:val="24"/>
                <w:lang w:val="en-US" w:eastAsia="zh-CN"/>
              </w:rPr>
              <w:t>公司</w:t>
            </w:r>
            <w:r>
              <w:rPr>
                <w:rFonts w:hint="eastAsia" w:ascii="宋体" w:hAnsi="宋体"/>
                <w:color w:val="auto"/>
                <w:sz w:val="24"/>
                <w:szCs w:val="24"/>
              </w:rPr>
              <w:t>监控平台可以再接入到</w:t>
            </w:r>
            <w:r>
              <w:rPr>
                <w:rFonts w:hint="eastAsia" w:ascii="宋体" w:hAnsi="宋体"/>
                <w:color w:val="auto"/>
                <w:sz w:val="24"/>
                <w:szCs w:val="24"/>
                <w:lang w:val="en-US" w:eastAsia="zh-CN"/>
              </w:rPr>
              <w:t>县级</w:t>
            </w:r>
            <w:r>
              <w:rPr>
                <w:rFonts w:hint="eastAsia" w:ascii="宋体" w:hAnsi="宋体"/>
                <w:color w:val="auto"/>
                <w:sz w:val="24"/>
                <w:szCs w:val="24"/>
              </w:rPr>
              <w:t>监管平台。各级监控中心通过对车载设备的控制，实现对校车安全运营的统一调度监控。</w:t>
            </w:r>
          </w:p>
        </w:tc>
        <w:tc>
          <w:tcPr>
            <w:tcW w:w="366" w:type="pct"/>
            <w:noWrap w:val="0"/>
            <w:vAlign w:val="center"/>
          </w:tcPr>
          <w:p w14:paraId="7D25ED9B">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color w:val="auto"/>
                <w:sz w:val="24"/>
                <w:szCs w:val="24"/>
              </w:rPr>
              <w:t>1</w:t>
            </w:r>
          </w:p>
        </w:tc>
        <w:tc>
          <w:tcPr>
            <w:tcW w:w="688" w:type="pct"/>
            <w:noWrap w:val="0"/>
            <w:vAlign w:val="center"/>
          </w:tcPr>
          <w:p w14:paraId="6B405F96">
            <w:pPr>
              <w:keepNext w:val="0"/>
              <w:keepLines w:val="0"/>
              <w:pageBreakBefore w:val="0"/>
              <w:kinsoku/>
              <w:wordWrap/>
              <w:overflowPunct/>
              <w:topLinePunct w:val="0"/>
              <w:autoSpaceDE/>
              <w:autoSpaceDN/>
              <w:bidi w:val="0"/>
              <w:snapToGrid/>
              <w:spacing w:line="480" w:lineRule="exact"/>
              <w:ind w:left="0"/>
              <w:jc w:val="center"/>
              <w:textAlignment w:val="auto"/>
              <w:rPr>
                <w:rFonts w:hint="eastAsia" w:ascii="宋体" w:hAnsi="宋体" w:eastAsia="宋体" w:cs="宋体"/>
                <w:color w:val="auto"/>
                <w:sz w:val="24"/>
                <w:szCs w:val="24"/>
                <w:lang w:eastAsia="zh-CN"/>
              </w:rPr>
            </w:pPr>
            <w:r>
              <w:rPr>
                <w:rFonts w:hint="eastAsia" w:ascii="宋体" w:hAnsi="宋体" w:cs="宋体"/>
                <w:color w:val="auto"/>
                <w:kern w:val="0"/>
                <w:sz w:val="24"/>
                <w:szCs w:val="24"/>
                <w:highlight w:val="none"/>
                <w:lang w:val="en-US" w:eastAsia="zh-CN" w:bidi="ar"/>
              </w:rPr>
              <w:t>700800.00</w:t>
            </w:r>
          </w:p>
        </w:tc>
        <w:tc>
          <w:tcPr>
            <w:tcW w:w="546" w:type="pct"/>
            <w:noWrap w:val="0"/>
            <w:vAlign w:val="center"/>
          </w:tcPr>
          <w:p w14:paraId="55B28F78">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color w:val="auto"/>
                <w:sz w:val="24"/>
                <w:szCs w:val="24"/>
              </w:rPr>
              <w:object>
                <v:shape id="_x0000_i1035" o:spt="201" type="#_x0000_t201" style="height:15.75pt;width:20.25pt;" o:ole="t" filled="f" o:preferrelative="t" stroked="f" coordsize="21600,21600">
                  <v:path/>
                  <v:fill on="f" focussize="0,0"/>
                  <v:stroke on="f"/>
                  <v:imagedata r:id="rId10" o:title=""/>
                  <o:lock v:ext="edit" aspectratio="t"/>
                  <w10:wrap type="none"/>
                  <w10:anchorlock/>
                </v:shape>
                <w:control r:id="rId21" w:name="DefaultOcxName22" w:shapeid="_x0000_i1035"/>
              </w:object>
            </w:r>
          </w:p>
        </w:tc>
        <w:tc>
          <w:tcPr>
            <w:tcW w:w="546" w:type="pct"/>
            <w:noWrap w:val="0"/>
            <w:vAlign w:val="center"/>
          </w:tcPr>
          <w:p w14:paraId="3A809548">
            <w:pPr>
              <w:keepNext w:val="0"/>
              <w:keepLines w:val="0"/>
              <w:pageBreakBefore w:val="0"/>
              <w:kinsoku/>
              <w:wordWrap/>
              <w:overflowPunct/>
              <w:topLinePunct w:val="0"/>
              <w:autoSpaceDE/>
              <w:autoSpaceDN/>
              <w:bidi w:val="0"/>
              <w:snapToGrid/>
              <w:spacing w:line="480" w:lineRule="exact"/>
              <w:ind w:left="0"/>
              <w:jc w:val="center"/>
              <w:textAlignment w:val="auto"/>
              <w:rPr>
                <w:rFonts w:ascii="宋体" w:hAnsi="宋体" w:cs="宋体"/>
                <w:color w:val="auto"/>
                <w:sz w:val="24"/>
                <w:szCs w:val="24"/>
              </w:rPr>
            </w:pPr>
            <w:r>
              <w:rPr>
                <w:rFonts w:ascii="宋体" w:hAnsi="宋体"/>
                <w:color w:val="auto"/>
                <w:sz w:val="24"/>
                <w:szCs w:val="24"/>
              </w:rPr>
              <w:object>
                <v:shape id="_x0000_i1036" o:spt="201" type="#_x0000_t201" style="height:15.75pt;width:20.25pt;" o:ole="t" filled="f" o:preferrelative="t" stroked="f" coordsize="21600,21600">
                  <v:path/>
                  <v:fill on="f" focussize="0,0"/>
                  <v:stroke on="f"/>
                  <v:imagedata r:id="rId10" o:title=""/>
                  <o:lock v:ext="edit" aspectratio="t"/>
                  <w10:wrap type="none"/>
                  <w10:anchorlock/>
                </v:shape>
                <w:control r:id="rId22" w:name="DefaultOcxName22" w:shapeid="_x0000_i1036"/>
              </w:object>
            </w:r>
          </w:p>
        </w:tc>
      </w:tr>
    </w:tbl>
    <w:p w14:paraId="64D330BB">
      <w:pPr>
        <w:keepNext w:val="0"/>
        <w:keepLines w:val="0"/>
        <w:pageBreakBefore w:val="0"/>
        <w:kinsoku/>
        <w:wordWrap/>
        <w:overflowPunct/>
        <w:topLinePunct w:val="0"/>
        <w:autoSpaceDE/>
        <w:autoSpaceDN/>
        <w:bidi w:val="0"/>
        <w:snapToGrid/>
        <w:spacing w:line="480" w:lineRule="exact"/>
        <w:ind w:left="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说明：</w:t>
      </w:r>
    </w:p>
    <w:p w14:paraId="4CDC6A7A">
      <w:pPr>
        <w:keepNext w:val="0"/>
        <w:keepLines w:val="0"/>
        <w:pageBreakBefore w:val="0"/>
        <w:kinsoku/>
        <w:wordWrap/>
        <w:overflowPunct/>
        <w:topLinePunct w:val="0"/>
        <w:autoSpaceDE/>
        <w:autoSpaceDN/>
        <w:bidi w:val="0"/>
        <w:snapToGrid/>
        <w:spacing w:line="480" w:lineRule="exact"/>
        <w:ind w:left="0" w:firstLine="480" w:firstLineChars="20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1.节能产品实行强制采购的，需提供国家认证机构出具的、处于有效期内的节能产品证书。</w:t>
      </w:r>
    </w:p>
    <w:p w14:paraId="740825B2">
      <w:pPr>
        <w:keepNext w:val="0"/>
        <w:keepLines w:val="0"/>
        <w:pageBreakBefore w:val="0"/>
        <w:kinsoku/>
        <w:wordWrap/>
        <w:overflowPunct/>
        <w:topLinePunct w:val="0"/>
        <w:autoSpaceDE/>
        <w:autoSpaceDN/>
        <w:bidi w:val="0"/>
        <w:snapToGrid/>
        <w:spacing w:line="480" w:lineRule="exact"/>
        <w:ind w:left="0" w:firstLine="480" w:firstLineChars="200"/>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2.同意购买进口产品的，不限制满足采购需求的国内产品参与投标。</w:t>
      </w:r>
    </w:p>
    <w:p w14:paraId="4FB22E4F">
      <w:pPr>
        <w:pStyle w:val="14"/>
        <w:keepNext w:val="0"/>
        <w:keepLines w:val="0"/>
        <w:pageBreakBefore w:val="0"/>
        <w:numPr>
          <w:ilvl w:val="0"/>
          <w:numId w:val="0"/>
        </w:numPr>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三、采购项目需落实的政府采购政策：</w:t>
      </w:r>
    </w:p>
    <w:p w14:paraId="24E157DD">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1、优先采购：节能产品、环境标志产品享受加分或价格折扣。</w:t>
      </w:r>
    </w:p>
    <w:p w14:paraId="047177AF">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2、支持中小企业：中小企业享受预留采购份额或价格折扣。</w:t>
      </w:r>
    </w:p>
    <w:p w14:paraId="231BF287">
      <w:pPr>
        <w:keepNext w:val="0"/>
        <w:keepLines w:val="0"/>
        <w:pageBreakBefore w:val="0"/>
        <w:widowControl/>
        <w:kinsoku/>
        <w:wordWrap/>
        <w:overflowPunct/>
        <w:topLinePunct w:val="0"/>
        <w:autoSpaceDE/>
        <w:autoSpaceDN/>
        <w:bidi w:val="0"/>
        <w:snapToGrid/>
        <w:spacing w:line="480" w:lineRule="exact"/>
        <w:ind w:left="0" w:firstLine="482" w:firstLineChars="200"/>
        <w:jc w:val="left"/>
        <w:textAlignment w:val="auto"/>
        <w:rPr>
          <w:rFonts w:hint="eastAsia" w:ascii="宋体" w:hAnsi="宋体" w:eastAsia="宋体" w:cs="Courier New"/>
          <w:b/>
          <w:color w:val="auto"/>
          <w:kern w:val="2"/>
          <w:sz w:val="24"/>
          <w:szCs w:val="24"/>
          <w:lang w:val="en-US" w:eastAsia="zh-CN" w:bidi="ar-SA"/>
        </w:rPr>
      </w:pPr>
      <w:r>
        <w:rPr>
          <w:rFonts w:hint="eastAsia" w:ascii="宋体" w:hAnsi="宋体" w:eastAsia="宋体" w:cs="Courier New"/>
          <w:b/>
          <w:color w:val="auto"/>
          <w:kern w:val="2"/>
          <w:sz w:val="24"/>
          <w:szCs w:val="24"/>
          <w:lang w:val="en-US" w:eastAsia="zh-CN" w:bidi="ar-SA"/>
        </w:rPr>
        <w:t>四、投标人的资格要求：</w:t>
      </w:r>
    </w:p>
    <w:p w14:paraId="561B0F7C">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olor w:val="auto"/>
          <w:sz w:val="24"/>
          <w:szCs w:val="24"/>
        </w:rPr>
      </w:pPr>
      <w:r>
        <w:rPr>
          <w:rFonts w:hint="eastAsia" w:ascii="宋体" w:hAnsi="宋体"/>
          <w:color w:val="auto"/>
          <w:sz w:val="24"/>
          <w:szCs w:val="24"/>
        </w:rPr>
        <w:t>1、投标人的基本资格条件：投标人必须是在中华人民共和国境内注册登记的法人、其他组织或者自然人，且应当符合《政府采购法》第二十二条第一款的规定。</w:t>
      </w:r>
    </w:p>
    <w:p w14:paraId="0DE57314">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olor w:val="auto"/>
          <w:sz w:val="24"/>
          <w:szCs w:val="24"/>
        </w:rPr>
      </w:pPr>
      <w:r>
        <w:rPr>
          <w:rFonts w:hint="eastAsia" w:ascii="宋体" w:hAnsi="宋体"/>
          <w:color w:val="auto"/>
          <w:sz w:val="24"/>
          <w:szCs w:val="24"/>
        </w:rPr>
        <w:t>2、落实政府采购政策需满足的资格要求：</w:t>
      </w:r>
    </w:p>
    <w:p w14:paraId="64BB3723">
      <w:pPr>
        <w:keepNext w:val="0"/>
        <w:keepLines w:val="0"/>
        <w:pageBreakBefore w:val="0"/>
        <w:kinsoku/>
        <w:wordWrap/>
        <w:overflowPunct/>
        <w:topLinePunct w:val="0"/>
        <w:autoSpaceDE/>
        <w:autoSpaceDN/>
        <w:bidi w:val="0"/>
        <w:adjustRightInd/>
        <w:snapToGrid/>
        <w:spacing w:line="480" w:lineRule="exact"/>
        <w:ind w:left="0" w:leftChars="0" w:firstLine="420" w:firstLineChars="200"/>
        <w:textAlignment w:val="auto"/>
        <w:rPr>
          <w:rFonts w:hint="eastAsia" w:ascii="宋体" w:hAnsi="宋体"/>
          <w:color w:val="auto"/>
          <w:sz w:val="24"/>
          <w:szCs w:val="24"/>
        </w:rPr>
      </w:pPr>
      <w:r>
        <w:rPr>
          <w:rFonts w:hint="eastAsia" w:ascii="宋体" w:hAnsi="宋体"/>
          <w:color w:val="auto"/>
          <w:szCs w:val="21"/>
          <w:highlight w:val="none"/>
        </w:rPr>
        <w:sym w:font="Wingdings 2" w:char="00A3"/>
      </w:r>
      <w:r>
        <w:rPr>
          <w:rFonts w:hint="eastAsia" w:ascii="宋体" w:hAnsi="宋体"/>
          <w:color w:val="auto"/>
          <w:sz w:val="24"/>
          <w:szCs w:val="24"/>
        </w:rPr>
        <w:t>专门面向： </w:t>
      </w:r>
      <w:r>
        <w:rPr>
          <w:rFonts w:hint="eastAsia" w:ascii="宋体" w:hAnsi="宋体"/>
          <w:color w:val="auto"/>
          <w:szCs w:val="21"/>
          <w:highlight w:val="none"/>
        </w:rPr>
        <w:sym w:font="Wingdings 2" w:char="00A3"/>
      </w:r>
      <w:r>
        <w:rPr>
          <w:rFonts w:hint="eastAsia" w:ascii="宋体" w:hAnsi="宋体"/>
          <w:color w:val="auto"/>
          <w:sz w:val="24"/>
          <w:szCs w:val="24"/>
        </w:rPr>
        <w:t>中小企业 </w:t>
      </w:r>
      <w:r>
        <w:rPr>
          <w:rFonts w:ascii="宋体" w:hAnsi="宋体"/>
          <w:color w:val="auto"/>
          <w:sz w:val="24"/>
          <w:szCs w:val="24"/>
        </w:rPr>
        <w:object>
          <v:shape id="_x0000_i1037" o:spt="201" type="#_x0000_t201" style="height:15.75pt;width:20.25pt;" o:ole="t" filled="f" o:preferrelative="t" stroked="f" coordsize="21600,21600">
            <v:path/>
            <v:fill on="f" focussize="0,0"/>
            <v:stroke on="f"/>
            <v:imagedata r:id="rId10" o:title=""/>
            <o:lock v:ext="edit" aspectratio="t"/>
            <w10:wrap type="none"/>
            <w10:anchorlock/>
          </v:shape>
          <w:control r:id="rId23" w:name="DefaultOcxName15" w:shapeid="_x0000_i1037"/>
        </w:object>
      </w:r>
      <w:r>
        <w:rPr>
          <w:rFonts w:hint="eastAsia" w:ascii="宋体" w:hAnsi="宋体"/>
          <w:color w:val="auto"/>
          <w:sz w:val="24"/>
          <w:szCs w:val="24"/>
        </w:rPr>
        <w:t>小微企业 </w:t>
      </w:r>
      <w:r>
        <w:rPr>
          <w:rFonts w:ascii="宋体" w:hAnsi="宋体"/>
          <w:color w:val="auto"/>
          <w:sz w:val="24"/>
          <w:szCs w:val="24"/>
        </w:rPr>
        <w:object>
          <v:shape id="_x0000_i1038" o:spt="201" type="#_x0000_t201" style="height:15.75pt;width:20.25pt;" o:ole="t" filled="f" o:preferrelative="t" stroked="f" coordsize="21600,21600">
            <v:path/>
            <v:fill on="f" focussize="0,0"/>
            <v:stroke on="f"/>
            <v:imagedata r:id="rId10" o:title=""/>
            <o:lock v:ext="edit" aspectratio="t"/>
            <w10:wrap type="none"/>
            <w10:anchorlock/>
          </v:shape>
          <w:control r:id="rId24" w:name="DefaultOcxName16" w:shapeid="_x0000_i1038"/>
        </w:object>
      </w:r>
      <w:r>
        <w:rPr>
          <w:rFonts w:hint="eastAsia" w:ascii="宋体" w:hAnsi="宋体"/>
          <w:color w:val="auto"/>
          <w:sz w:val="24"/>
          <w:szCs w:val="24"/>
        </w:rPr>
        <w:t>监狱企业 </w:t>
      </w:r>
      <w:r>
        <w:rPr>
          <w:rFonts w:ascii="宋体" w:hAnsi="宋体"/>
          <w:color w:val="auto"/>
          <w:sz w:val="24"/>
          <w:szCs w:val="24"/>
        </w:rPr>
        <w:object>
          <v:shape id="_x0000_i1039" o:spt="201" type="#_x0000_t201" style="height:15.75pt;width:20.25pt;" o:ole="t" filled="f" o:preferrelative="t" stroked="f" coordsize="21600,21600">
            <v:path/>
            <v:fill on="f" focussize="0,0"/>
            <v:stroke on="f"/>
            <v:imagedata r:id="rId10" o:title=""/>
            <o:lock v:ext="edit" aspectratio="t"/>
            <w10:wrap type="none"/>
            <w10:anchorlock/>
          </v:shape>
          <w:control r:id="rId25" w:name="DefaultOcxName17" w:shapeid="_x0000_i1039"/>
        </w:object>
      </w:r>
      <w:r>
        <w:rPr>
          <w:rFonts w:hint="eastAsia" w:ascii="宋体" w:hAnsi="宋体"/>
          <w:color w:val="auto"/>
          <w:sz w:val="24"/>
          <w:szCs w:val="24"/>
        </w:rPr>
        <w:t>福利性单位</w:t>
      </w:r>
    </w:p>
    <w:p w14:paraId="01344DCC">
      <w:pPr>
        <w:keepNext w:val="0"/>
        <w:keepLines w:val="0"/>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olor w:val="auto"/>
          <w:sz w:val="24"/>
          <w:szCs w:val="24"/>
        </w:rPr>
      </w:pPr>
      <w:r>
        <w:rPr>
          <w:rFonts w:ascii="宋体" w:hAnsi="宋体"/>
          <w:color w:val="auto"/>
          <w:sz w:val="24"/>
          <w:szCs w:val="24"/>
        </w:rPr>
        <w:object>
          <v:shape id="_x0000_i1040" o:spt="201" type="#_x0000_t201" style="height:15.75pt;width:20.25pt;" o:ole="t" filled="f" o:preferrelative="t" stroked="f" coordsize="21600,21600">
            <v:path/>
            <v:fill on="f" focussize="0,0"/>
            <v:stroke on="f"/>
            <v:imagedata r:id="rId10" o:title=""/>
            <o:lock v:ext="edit" aspectratio="t"/>
            <w10:wrap type="none"/>
            <w10:anchorlock/>
          </v:shape>
          <w:control r:id="rId26" w:name="DefaultOcxName18" w:shapeid="_x0000_i1040"/>
        </w:object>
      </w:r>
      <w:r>
        <w:rPr>
          <w:rFonts w:hint="eastAsia" w:ascii="宋体" w:hAnsi="宋体"/>
          <w:color w:val="auto"/>
          <w:sz w:val="24"/>
          <w:szCs w:val="24"/>
        </w:rPr>
        <w:t>强制分包：大型企业应将采购份额的</w:t>
      </w:r>
      <w:r>
        <w:rPr>
          <w:rFonts w:hint="eastAsia" w:ascii="宋体" w:hAnsi="宋体"/>
          <w:color w:val="auto"/>
          <w:sz w:val="24"/>
          <w:szCs w:val="24"/>
          <w:u w:val="single"/>
        </w:rPr>
        <w:t>     </w:t>
      </w:r>
      <w:r>
        <w:rPr>
          <w:rFonts w:hint="eastAsia" w:ascii="宋体" w:hAnsi="宋体"/>
          <w:color w:val="auto"/>
          <w:sz w:val="24"/>
          <w:szCs w:val="24"/>
        </w:rPr>
        <w:t>%分包给中小企业。</w:t>
      </w:r>
    </w:p>
    <w:p w14:paraId="093EE01C">
      <w:pPr>
        <w:keepNext w:val="0"/>
        <w:keepLines w:val="0"/>
        <w:pageBreakBefore w:val="0"/>
        <w:widowControl/>
        <w:numPr>
          <w:ilvl w:val="0"/>
          <w:numId w:val="5"/>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Theme="minorEastAsia" w:hAnsiTheme="minorEastAsia" w:eastAsiaTheme="minorEastAsia" w:cstheme="minorEastAsia"/>
          <w:b w:val="0"/>
          <w:color w:val="auto"/>
          <w:kern w:val="0"/>
          <w:sz w:val="24"/>
          <w:szCs w:val="24"/>
          <w:highlight w:val="none"/>
          <w:lang w:val="en-US" w:eastAsia="zh-CN" w:bidi="ar-SA"/>
        </w:rPr>
      </w:pPr>
      <w:r>
        <w:rPr>
          <w:rFonts w:hint="eastAsia" w:ascii="宋体" w:hAnsi="宋体" w:cs="宋体"/>
          <w:color w:val="auto"/>
          <w:kern w:val="0"/>
          <w:sz w:val="24"/>
          <w:highlight w:val="none"/>
          <w:lang w:bidi="ar"/>
        </w:rPr>
        <w:t>采购项目的特定资格条件：</w:t>
      </w:r>
      <w:r>
        <w:rPr>
          <w:rFonts w:hint="eastAsia" w:ascii="宋体" w:hAnsi="宋体" w:cs="宋体"/>
          <w:color w:val="auto"/>
          <w:kern w:val="0"/>
          <w:sz w:val="24"/>
          <w:highlight w:val="none"/>
          <w:lang w:val="en-US" w:eastAsia="zh-CN" w:bidi="ar"/>
        </w:rPr>
        <w:t>无</w:t>
      </w:r>
    </w:p>
    <w:p w14:paraId="3F2F4DE6">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注：</w:t>
      </w:r>
      <w:r>
        <w:rPr>
          <w:rFonts w:hint="eastAsia" w:ascii="宋体" w:hAnsi="宋体" w:eastAsia="宋体" w:cs="Times New Roman"/>
          <w:color w:val="auto"/>
          <w:sz w:val="24"/>
          <w:szCs w:val="24"/>
          <w:lang w:val="en-US" w:eastAsia="zh-CN"/>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经采购人或监管部门查实，提供虚假承诺的供应商将以虚假资料谋取中标（成交）的违法行为，被列入不良记录名单，采购人有权取消其中标资格。</w:t>
      </w:r>
    </w:p>
    <w:p w14:paraId="36E6D00D">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ascii="宋体" w:hAnsi="宋体" w:cs="宋体"/>
          <w:color w:val="auto"/>
          <w:kern w:val="0"/>
          <w:sz w:val="24"/>
          <w:highlight w:val="none"/>
          <w:lang w:bidi="ar"/>
        </w:rPr>
      </w:pPr>
      <w:r>
        <w:rPr>
          <w:rFonts w:hint="eastAsia" w:ascii="宋体" w:hAnsi="宋体" w:cs="宋体"/>
          <w:color w:val="auto"/>
          <w:kern w:val="0"/>
          <w:sz w:val="24"/>
          <w:highlight w:val="none"/>
          <w:lang w:val="en-US" w:eastAsia="zh-CN" w:bidi="ar"/>
        </w:rPr>
        <w:t>4</w:t>
      </w:r>
      <w:r>
        <w:rPr>
          <w:rFonts w:hint="eastAsia" w:ascii="宋体" w:hAnsi="宋体" w:cs="宋体"/>
          <w:color w:val="auto"/>
          <w:kern w:val="0"/>
          <w:sz w:val="24"/>
          <w:highlight w:val="none"/>
          <w:lang w:bidi="ar"/>
        </w:rPr>
        <w:t>、单位负责人为同一人或者存在直接控股、管理关系的不同供应商，不得参加同一合同项下的政府采购活动。</w:t>
      </w:r>
    </w:p>
    <w:p w14:paraId="409271F3">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ascii="宋体" w:hAnsi="宋体" w:cs="宋体"/>
          <w:color w:val="auto"/>
          <w:kern w:val="0"/>
          <w:sz w:val="24"/>
          <w:highlight w:val="none"/>
          <w:lang w:bidi="ar"/>
        </w:rPr>
      </w:pPr>
      <w:r>
        <w:rPr>
          <w:rFonts w:hint="eastAsia" w:ascii="宋体" w:hAnsi="宋体" w:cs="宋体"/>
          <w:color w:val="auto"/>
          <w:kern w:val="0"/>
          <w:sz w:val="24"/>
          <w:highlight w:val="none"/>
          <w:lang w:val="en-US" w:eastAsia="zh-CN" w:bidi="ar"/>
        </w:rPr>
        <w:t>5</w:t>
      </w:r>
      <w:r>
        <w:rPr>
          <w:rFonts w:hint="eastAsia" w:ascii="宋体" w:hAnsi="宋体" w:cs="宋体"/>
          <w:color w:val="auto"/>
          <w:kern w:val="0"/>
          <w:sz w:val="24"/>
          <w:highlight w:val="none"/>
          <w:lang w:bidi="ar"/>
        </w:rPr>
        <w:t>、为本采购项目提供整体设计、规范编制或者项目管理、监理、检测等服务的，不得再参加此项目的其他采购活动。</w:t>
      </w:r>
    </w:p>
    <w:p w14:paraId="3D1307CC">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ascii="宋体" w:hAnsi="宋体" w:cs="宋体"/>
          <w:color w:val="auto"/>
          <w:kern w:val="0"/>
          <w:sz w:val="24"/>
          <w:highlight w:val="none"/>
          <w:lang w:bidi="ar"/>
        </w:rPr>
      </w:pPr>
      <w:r>
        <w:rPr>
          <w:rFonts w:hint="eastAsia" w:ascii="宋体" w:hAnsi="宋体" w:cs="宋体"/>
          <w:color w:val="auto"/>
          <w:kern w:val="0"/>
          <w:sz w:val="24"/>
          <w:highlight w:val="none"/>
          <w:lang w:val="en-US" w:eastAsia="zh-CN" w:bidi="ar"/>
        </w:rPr>
        <w:t>6</w:t>
      </w:r>
      <w:r>
        <w:rPr>
          <w:rFonts w:hint="eastAsia" w:ascii="宋体" w:hAnsi="宋体" w:cs="宋体"/>
          <w:color w:val="auto"/>
          <w:kern w:val="0"/>
          <w:sz w:val="24"/>
          <w:highlight w:val="none"/>
          <w:lang w:bidi="ar"/>
        </w:rPr>
        <w:t>、列入失信被执行人、重大税收违法案件当事人名单，列入政府采购严重违法失信行为记录名单的，拒绝其参与政府采购活动。</w:t>
      </w:r>
    </w:p>
    <w:p w14:paraId="6755E522">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ascii="宋体" w:hAnsi="宋体" w:cs="宋体"/>
          <w:color w:val="auto"/>
          <w:kern w:val="0"/>
          <w:sz w:val="24"/>
          <w:highlight w:val="none"/>
          <w:lang w:bidi="ar"/>
        </w:rPr>
      </w:pPr>
      <w:r>
        <w:rPr>
          <w:rFonts w:hint="eastAsia" w:ascii="宋体" w:hAnsi="宋体" w:cs="宋体"/>
          <w:color w:val="auto"/>
          <w:kern w:val="0"/>
          <w:sz w:val="24"/>
          <w:highlight w:val="none"/>
          <w:lang w:val="en-US" w:eastAsia="zh-CN" w:bidi="ar"/>
        </w:rPr>
        <w:t>7</w:t>
      </w:r>
      <w:r>
        <w:rPr>
          <w:rFonts w:hint="eastAsia" w:ascii="宋体" w:hAnsi="宋体" w:cs="宋体"/>
          <w:color w:val="auto"/>
          <w:kern w:val="0"/>
          <w:sz w:val="24"/>
          <w:highlight w:val="none"/>
          <w:lang w:bidi="ar"/>
        </w:rPr>
        <w:t>、本次采购不接受供应商为联合体形式。</w:t>
      </w:r>
    </w:p>
    <w:p w14:paraId="498F2C3D">
      <w:pPr>
        <w:keepNext w:val="0"/>
        <w:keepLines w:val="0"/>
        <w:pageBreakBefore w:val="0"/>
        <w:widowControl/>
        <w:kinsoku/>
        <w:wordWrap/>
        <w:overflowPunct/>
        <w:topLinePunct w:val="0"/>
        <w:autoSpaceDE/>
        <w:autoSpaceDN/>
        <w:bidi w:val="0"/>
        <w:snapToGrid/>
        <w:spacing w:line="480" w:lineRule="exact"/>
        <w:ind w:left="0" w:firstLine="482" w:firstLineChars="200"/>
        <w:jc w:val="left"/>
        <w:textAlignment w:val="auto"/>
        <w:rPr>
          <w:rFonts w:ascii="宋体" w:hAnsi="宋体" w:cs="宋体"/>
          <w:color w:val="auto"/>
          <w:kern w:val="0"/>
          <w:sz w:val="24"/>
          <w:highlight w:val="none"/>
          <w:lang w:bidi="ar"/>
        </w:rPr>
      </w:pPr>
      <w:r>
        <w:rPr>
          <w:rFonts w:hint="eastAsia" w:ascii="宋体" w:hAnsi="宋体" w:eastAsia="宋体" w:cs="Courier New"/>
          <w:b/>
          <w:color w:val="auto"/>
          <w:kern w:val="2"/>
          <w:sz w:val="24"/>
          <w:szCs w:val="24"/>
          <w:lang w:val="en-US" w:eastAsia="zh-CN" w:bidi="ar-SA"/>
        </w:rPr>
        <w:t>五、获取招标文件的时间、期限、地点及方式</w:t>
      </w:r>
    </w:p>
    <w:p w14:paraId="617005F9">
      <w:pPr>
        <w:spacing w:line="420" w:lineRule="atLeast"/>
        <w:ind w:firstLine="480"/>
        <w:rPr>
          <w:rFonts w:hint="default" w:ascii="Helvetica" w:hAnsi="Helvetica" w:eastAsia="Helvetica" w:cs="Helvetica"/>
          <w:color w:val="auto"/>
          <w:kern w:val="0"/>
          <w:sz w:val="24"/>
          <w:szCs w:val="24"/>
          <w:highlight w:val="none"/>
          <w:lang w:val="en-US" w:eastAsia="zh-CN" w:bidi="ar"/>
        </w:rPr>
      </w:pPr>
      <w:r>
        <w:rPr>
          <w:rFonts w:hint="eastAsia" w:ascii="宋体" w:hAnsi="宋体" w:cs="宋体"/>
          <w:color w:val="auto"/>
          <w:kern w:val="0"/>
          <w:sz w:val="24"/>
          <w:highlight w:val="none"/>
          <w:lang w:bidi="ar"/>
        </w:rPr>
        <w:t>1、</w:t>
      </w:r>
      <w:r>
        <w:rPr>
          <w:rFonts w:hint="default" w:ascii="Helvetica" w:hAnsi="Helvetica" w:eastAsia="Helvetica" w:cs="Helvetica"/>
          <w:color w:val="auto"/>
          <w:kern w:val="0"/>
          <w:sz w:val="24"/>
          <w:szCs w:val="24"/>
          <w:highlight w:val="none"/>
          <w:lang w:val="en-US" w:eastAsia="zh-CN" w:bidi="ar"/>
        </w:rPr>
        <w:t>有意参加投标者， 请于</w:t>
      </w:r>
      <w:r>
        <w:rPr>
          <w:rFonts w:hint="eastAsia" w:ascii="Helvetica" w:hAnsi="Helvetica" w:eastAsia="Helvetica" w:cs="Helvetica"/>
          <w:color w:val="auto"/>
          <w:kern w:val="0"/>
          <w:sz w:val="24"/>
          <w:szCs w:val="24"/>
          <w:highlight w:val="yellow"/>
          <w:lang w:val="en-US" w:eastAsia="zh-CN" w:bidi="ar"/>
        </w:rPr>
        <w:t>2026年 7 月30 日起至2026年 8 月 5 日</w:t>
      </w:r>
      <w:r>
        <w:rPr>
          <w:rFonts w:hint="default" w:ascii="Helvetica" w:hAnsi="Helvetica" w:eastAsia="Helvetica" w:cs="Helvetica"/>
          <w:color w:val="auto"/>
          <w:kern w:val="0"/>
          <w:sz w:val="24"/>
          <w:szCs w:val="24"/>
          <w:highlight w:val="yellow"/>
          <w:lang w:val="en-US" w:eastAsia="zh-CN" w:bidi="ar"/>
        </w:rPr>
        <w:t>止</w:t>
      </w:r>
      <w:r>
        <w:rPr>
          <w:rFonts w:hint="default" w:ascii="Helvetica" w:hAnsi="Helvetica" w:eastAsia="Helvetica" w:cs="Helvetica"/>
          <w:color w:val="auto"/>
          <w:kern w:val="0"/>
          <w:sz w:val="24"/>
          <w:szCs w:val="24"/>
          <w:highlight w:val="none"/>
          <w:lang w:val="en-US" w:eastAsia="zh-CN" w:bidi="ar"/>
        </w:rPr>
        <w:t>，每日</w:t>
      </w:r>
      <w:r>
        <w:rPr>
          <w:rFonts w:hint="eastAsia" w:ascii="Helvetica" w:hAnsi="Helvetica" w:eastAsia="Helvetica" w:cs="Helvetica"/>
          <w:color w:val="auto"/>
          <w:kern w:val="0"/>
          <w:sz w:val="24"/>
          <w:szCs w:val="24"/>
          <w:highlight w:val="none"/>
          <w:lang w:val="en-US" w:eastAsia="zh-CN" w:bidi="ar"/>
        </w:rPr>
        <w:t>9：00-12：00；14：00-17：00</w:t>
      </w:r>
      <w:r>
        <w:rPr>
          <w:rFonts w:hint="default" w:ascii="Helvetica" w:hAnsi="Helvetica" w:eastAsia="Helvetica" w:cs="Helvetica"/>
          <w:color w:val="auto"/>
          <w:kern w:val="0"/>
          <w:sz w:val="24"/>
          <w:szCs w:val="24"/>
          <w:highlight w:val="none"/>
          <w:lang w:val="en-US" w:eastAsia="zh-CN" w:bidi="ar"/>
        </w:rPr>
        <w:t>（北京时间）， 双休日及节假日除外，</w:t>
      </w:r>
      <w:r>
        <w:rPr>
          <w:rFonts w:hint="eastAsia" w:ascii="Helvetica" w:hAnsi="Helvetica" w:eastAsia="Helvetica" w:cs="Helvetica"/>
          <w:color w:val="auto"/>
          <w:kern w:val="0"/>
          <w:sz w:val="24"/>
          <w:szCs w:val="24"/>
          <w:highlight w:val="none"/>
          <w:lang w:val="en-US" w:eastAsia="zh-CN" w:bidi="ar"/>
        </w:rPr>
        <w:t>凭供应商营业执照副本复印件、个人身份证原件、法定代表人身份证明原件（如果法定代表人前来报名）或者授权委托书并附法定代表人身份证明原件（如果授权委托人前来报名）、以上资料加盖公章，在湖南共宇项目管理有限公司（岳阳市经开区金达阳光小区银星座4楼）获取招标文件</w:t>
      </w:r>
    </w:p>
    <w:p w14:paraId="467FC0E8">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ascii="宋体" w:hAnsi="宋体"/>
          <w:color w:val="auto"/>
          <w:sz w:val="24"/>
          <w:szCs w:val="24"/>
        </w:rPr>
        <w:object>
          <v:shape id="_x0000_i1041" o:spt="201" type="#_x0000_t201" style="height:15.75pt;width:20.25pt;" o:ole="t" filled="f" o:preferrelative="t" stroked="f" coordsize="21600,21600">
            <v:path/>
            <v:fill on="f" focussize="0,0"/>
            <v:stroke on="f"/>
            <v:imagedata r:id="rId10" o:title=""/>
            <o:lock v:ext="edit" aspectratio="t"/>
            <w10:wrap type="none"/>
            <w10:anchorlock/>
          </v:shape>
          <w:control r:id="rId27" w:name="DefaultOcxName19" w:shapeid="_x0000_i1041"/>
        </w:object>
      </w:r>
      <w:r>
        <w:rPr>
          <w:rFonts w:hint="eastAsia" w:ascii="宋体" w:hAnsi="宋体"/>
          <w:color w:val="auto"/>
          <w:sz w:val="24"/>
          <w:szCs w:val="24"/>
        </w:rPr>
        <w:t> 本项目实行电子交易，有意参加投标者，在凭供应商营业执照副本复印件、个人身份证原件、法定代表人身份证明原件（如果法定代表人前来报名）或者授权委托书并附法定代表人身份证明原件（如果授权委托人前来报名）、以上资料加盖公章，在</w:t>
      </w:r>
      <w:r>
        <w:rPr>
          <w:rFonts w:hint="eastAsia" w:ascii="宋体" w:hAnsi="宋体"/>
          <w:color w:val="auto"/>
          <w:sz w:val="24"/>
          <w:szCs w:val="24"/>
          <w:lang w:eastAsia="zh-CN"/>
        </w:rPr>
        <w:t>湖南共宇项目管理有限公司（岳阳市经开区金达阳光小区银星座4楼）</w:t>
      </w:r>
      <w:r>
        <w:rPr>
          <w:rFonts w:hint="eastAsia" w:ascii="宋体" w:hAnsi="宋体"/>
          <w:color w:val="auto"/>
          <w:sz w:val="24"/>
          <w:szCs w:val="24"/>
        </w:rPr>
        <w:t>获取招标文件</w:t>
      </w:r>
    </w:p>
    <w:p w14:paraId="44007EBE">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ascii="宋体" w:hAnsi="宋体"/>
          <w:color w:val="auto"/>
          <w:sz w:val="24"/>
          <w:szCs w:val="24"/>
        </w:rPr>
        <w:object>
          <v:shape id="_x0000_i1042" o:spt="201" type="#_x0000_t201" style="height:15.75pt;width:20.25pt;" o:ole="t" filled="f" o:preferrelative="t" stroked="f" coordsize="21600,21600">
            <v:path/>
            <v:fill on="f" focussize="0,0"/>
            <v:stroke on="f"/>
            <v:imagedata r:id="rId10" o:title=""/>
            <o:lock v:ext="edit" aspectratio="t"/>
            <w10:wrap type="none"/>
            <w10:anchorlock/>
          </v:shape>
          <w:control r:id="rId28" w:name="DefaultOcxName20" w:shapeid="_x0000_i1042"/>
        </w:object>
      </w:r>
      <w:r>
        <w:rPr>
          <w:rFonts w:hint="eastAsia" w:ascii="宋体" w:hAnsi="宋体"/>
          <w:color w:val="auto"/>
          <w:sz w:val="24"/>
          <w:szCs w:val="24"/>
        </w:rPr>
        <w:t>本项目进行资格预审，招标文件将向所有通过资格预审的供应商提供。</w:t>
      </w:r>
    </w:p>
    <w:p w14:paraId="168201A9">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六、投标截止时间、开标时间及地点</w:t>
      </w:r>
    </w:p>
    <w:p w14:paraId="2B32C0D4">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highlight w:val="none"/>
        </w:rPr>
      </w:pPr>
      <w:r>
        <w:rPr>
          <w:rFonts w:hint="eastAsia" w:ascii="宋体" w:hAnsi="宋体"/>
          <w:color w:val="auto"/>
          <w:sz w:val="24"/>
          <w:szCs w:val="24"/>
          <w:highlight w:val="none"/>
        </w:rPr>
        <w:t>1、提交投标文件的截止时间：</w:t>
      </w:r>
      <w:r>
        <w:rPr>
          <w:rFonts w:hint="eastAsia" w:ascii="宋体" w:hAnsi="宋体"/>
          <w:color w:val="auto"/>
          <w:sz w:val="24"/>
          <w:szCs w:val="24"/>
          <w:highlight w:val="yellow"/>
          <w:lang w:eastAsia="zh-CN"/>
        </w:rPr>
        <w:t>2026年 8 月10  日9:30</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北京时间）</w:t>
      </w:r>
    </w:p>
    <w:p w14:paraId="36C8F8AD">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rPr>
        <w:t>2、提交投标文件地点：</w:t>
      </w:r>
      <w:r>
        <w:rPr>
          <w:rFonts w:hint="eastAsia" w:ascii="宋体" w:hAnsi="宋体"/>
          <w:color w:val="auto"/>
          <w:sz w:val="24"/>
          <w:szCs w:val="24"/>
          <w:highlight w:val="none"/>
          <w:lang w:eastAsia="zh-CN"/>
        </w:rPr>
        <w:t>湖南共宇项目管理有限公司（岳阳市经开区金达阳光小区银星座4楼）</w:t>
      </w:r>
    </w:p>
    <w:p w14:paraId="2D035304">
      <w:pPr>
        <w:keepNext w:val="0"/>
        <w:keepLines w:val="0"/>
        <w:pageBreakBefore w:val="0"/>
        <w:kinsoku/>
        <w:wordWrap/>
        <w:overflowPunct/>
        <w:topLinePunct w:val="0"/>
        <w:autoSpaceDE/>
        <w:autoSpaceDN/>
        <w:bidi w:val="0"/>
        <w:snapToGrid/>
        <w:spacing w:line="480" w:lineRule="exact"/>
        <w:ind w:left="0" w:firstLine="480"/>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3、开标时间：</w:t>
      </w:r>
      <w:r>
        <w:rPr>
          <w:rFonts w:hint="eastAsia" w:ascii="宋体" w:hAnsi="宋体"/>
          <w:color w:val="auto"/>
          <w:sz w:val="24"/>
          <w:szCs w:val="24"/>
          <w:highlight w:val="yellow"/>
          <w:lang w:eastAsia="zh-CN"/>
        </w:rPr>
        <w:t>2026年 8 月10  日9:30</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北京时间）</w:t>
      </w:r>
    </w:p>
    <w:p w14:paraId="2E3F5E64">
      <w:pPr>
        <w:pStyle w:val="14"/>
        <w:keepNext w:val="0"/>
        <w:keepLines w:val="0"/>
        <w:pageBreakBefore w:val="0"/>
        <w:kinsoku/>
        <w:wordWrap/>
        <w:overflowPunct/>
        <w:topLinePunct w:val="0"/>
        <w:autoSpaceDE/>
        <w:autoSpaceDN/>
        <w:bidi w:val="0"/>
        <w:adjustRightInd w:val="0"/>
        <w:snapToGrid/>
        <w:spacing w:line="480" w:lineRule="exact"/>
        <w:ind w:left="0" w:firstLine="480" w:firstLineChars="200"/>
        <w:textAlignment w:val="auto"/>
        <w:rPr>
          <w:rFonts w:hint="eastAsia" w:hAnsi="宋体"/>
          <w:b/>
          <w:color w:val="auto"/>
          <w:sz w:val="24"/>
          <w:szCs w:val="24"/>
        </w:rPr>
      </w:pPr>
      <w:r>
        <w:rPr>
          <w:rFonts w:hint="eastAsia" w:ascii="宋体" w:hAnsi="宋体"/>
          <w:color w:val="auto"/>
          <w:sz w:val="24"/>
          <w:szCs w:val="24"/>
          <w:highlight w:val="none"/>
        </w:rPr>
        <w:t>4、开标地点：</w:t>
      </w:r>
      <w:r>
        <w:rPr>
          <w:rFonts w:hint="eastAsia" w:hAnsi="宋体"/>
          <w:color w:val="auto"/>
          <w:sz w:val="24"/>
          <w:szCs w:val="24"/>
          <w:highlight w:val="none"/>
          <w:lang w:eastAsia="zh-CN"/>
        </w:rPr>
        <w:t>湖南共宇项目管理有限公司（岳阳市经开区金达阳光小区银星座4楼）</w:t>
      </w:r>
      <w:r>
        <w:rPr>
          <w:rFonts w:hint="eastAsia" w:hAnsi="宋体"/>
          <w:b/>
          <w:color w:val="auto"/>
          <w:sz w:val="24"/>
          <w:szCs w:val="24"/>
        </w:rPr>
        <w:t>七、公告期限</w:t>
      </w:r>
    </w:p>
    <w:p w14:paraId="2F551A4D">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1、本招标公告在中国湖南政府采购网（www.ccgp-hunan.gov.cn）发布。公告期限从本招标公告发布之日起5个工作日。</w:t>
      </w:r>
    </w:p>
    <w:p w14:paraId="350879E0">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2、在其他媒体发布的招标公告，公告内容以本招标公告指定媒体发布的公告为准；公告期限自本招标公告指定媒体最先发布公告之日起算。</w:t>
      </w:r>
    </w:p>
    <w:p w14:paraId="135A7ABC">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八、询问及质疑</w:t>
      </w:r>
    </w:p>
    <w:p w14:paraId="49B6541C">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1、投标人对政府采购活动事项如有疑问的，可以向采购人、采购代理机构提出询问。采购人、采购代理机构将在3个工作日内作出答复。</w:t>
      </w:r>
    </w:p>
    <w:p w14:paraId="26AA7C41">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2、投标人对电子交易平台办理CA证书、操作等如有疑问，请咨询电子交易平台服务机构。</w:t>
      </w:r>
    </w:p>
    <w:p w14:paraId="4185C96A">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w:t>
      </w:r>
    </w:p>
    <w:p w14:paraId="03891B11">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九、投标说明</w:t>
      </w:r>
    </w:p>
    <w:p w14:paraId="52739644">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1、本公告选项：</w:t>
      </w:r>
      <w:r>
        <w:rPr>
          <w:rFonts w:ascii="宋体" w:hAnsi="宋体"/>
          <w:color w:val="auto"/>
          <w:sz w:val="24"/>
          <w:szCs w:val="24"/>
        </w:rPr>
        <w:object>
          <v:shape id="_x0000_i1043" o:spt="201" type="#_x0000_t201" style="height:15.75pt;width:20.25pt;" o:ole="t" filled="f" o:preferrelative="t" stroked="f" coordsize="21600,21600">
            <v:path/>
            <v:fill on="f" focussize="0,0"/>
            <v:stroke on="f"/>
            <v:imagedata r:id="rId13" o:title=""/>
            <o:lock v:ext="edit" aspectratio="t"/>
            <w10:wrap type="none"/>
            <w10:anchorlock/>
          </v:shape>
          <w:control r:id="rId29" w:name="DefaultOcxName21" w:shapeid="_x0000_i1043"/>
        </w:object>
      </w:r>
      <w:r>
        <w:rPr>
          <w:rFonts w:hint="eastAsia" w:ascii="宋体" w:hAnsi="宋体"/>
          <w:color w:val="auto"/>
          <w:sz w:val="24"/>
          <w:szCs w:val="24"/>
        </w:rPr>
        <w:t>表示选择，</w:t>
      </w:r>
      <w:r>
        <w:rPr>
          <w:rFonts w:ascii="宋体" w:hAnsi="宋体"/>
          <w:color w:val="auto"/>
          <w:sz w:val="24"/>
          <w:szCs w:val="24"/>
        </w:rPr>
        <w:object>
          <v:shape id="_x0000_i1044" o:spt="201" type="#_x0000_t201" style="height:15.75pt;width:20.25pt;" o:ole="t" filled="f" o:preferrelative="t" stroked="f" coordsize="21600,21600">
            <v:path/>
            <v:fill on="f" focussize="0,0"/>
            <v:stroke on="f"/>
            <v:imagedata r:id="rId10" o:title=""/>
            <o:lock v:ext="edit" aspectratio="t"/>
            <w10:wrap type="none"/>
            <w10:anchorlock/>
          </v:shape>
          <w:control r:id="rId30" w:name="DefaultOcxName22" w:shapeid="_x0000_i1044"/>
        </w:object>
      </w:r>
      <w:r>
        <w:rPr>
          <w:rFonts w:hint="eastAsia" w:ascii="宋体" w:hAnsi="宋体"/>
          <w:color w:val="auto"/>
          <w:sz w:val="24"/>
          <w:szCs w:val="24"/>
        </w:rPr>
        <w:t>表示未选择。</w:t>
      </w:r>
    </w:p>
    <w:p w14:paraId="3A72D36E">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color w:val="auto"/>
          <w:sz w:val="24"/>
          <w:szCs w:val="24"/>
        </w:rPr>
      </w:pPr>
      <w:r>
        <w:rPr>
          <w:rFonts w:hint="eastAsia" w:ascii="宋体" w:hAnsi="宋体"/>
          <w:color w:val="auto"/>
          <w:sz w:val="24"/>
          <w:szCs w:val="24"/>
        </w:rPr>
        <w:t>2、投标人参与政府采购活动，无需向采购人、代理机构、交易平台缴纳任何费用。</w:t>
      </w:r>
    </w:p>
    <w:p w14:paraId="2C461132">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十、采购项目联系人姓名和电话</w:t>
      </w:r>
    </w:p>
    <w:p w14:paraId="5A2BE828">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eastAsia="宋体"/>
          <w:color w:val="auto"/>
          <w:sz w:val="24"/>
          <w:szCs w:val="24"/>
          <w:lang w:eastAsia="zh-CN"/>
        </w:rPr>
      </w:pPr>
      <w:r>
        <w:rPr>
          <w:rFonts w:hint="eastAsia" w:ascii="宋体" w:hAnsi="宋体"/>
          <w:color w:val="auto"/>
          <w:sz w:val="24"/>
          <w:szCs w:val="24"/>
        </w:rPr>
        <w:t xml:space="preserve">1、联系人姓名： </w:t>
      </w:r>
      <w:r>
        <w:rPr>
          <w:rFonts w:hint="eastAsia" w:ascii="宋体" w:hAnsi="宋体"/>
          <w:color w:val="auto"/>
          <w:sz w:val="24"/>
          <w:szCs w:val="24"/>
          <w:lang w:eastAsia="zh-CN"/>
        </w:rPr>
        <w:t>冯敏</w:t>
      </w:r>
    </w:p>
    <w:p w14:paraId="29598433">
      <w:pPr>
        <w:keepNext w:val="0"/>
        <w:keepLines w:val="0"/>
        <w:pageBreakBefore w:val="0"/>
        <w:kinsoku/>
        <w:wordWrap/>
        <w:overflowPunct/>
        <w:topLinePunct w:val="0"/>
        <w:autoSpaceDE/>
        <w:autoSpaceDN/>
        <w:bidi w:val="0"/>
        <w:snapToGrid/>
        <w:spacing w:line="480" w:lineRule="exact"/>
        <w:ind w:left="0" w:firstLine="480"/>
        <w:textAlignment w:val="auto"/>
        <w:rPr>
          <w:rFonts w:hint="eastAsia" w:ascii="宋体" w:hAnsi="宋体" w:eastAsia="宋体"/>
          <w:color w:val="auto"/>
          <w:sz w:val="24"/>
          <w:szCs w:val="24"/>
          <w:lang w:eastAsia="zh-CN"/>
        </w:rPr>
      </w:pPr>
      <w:r>
        <w:rPr>
          <w:rFonts w:hint="eastAsia" w:ascii="宋体" w:hAnsi="宋体"/>
          <w:color w:val="auto"/>
          <w:sz w:val="24"/>
          <w:szCs w:val="24"/>
        </w:rPr>
        <w:t>2、电话：</w:t>
      </w:r>
      <w:r>
        <w:rPr>
          <w:rFonts w:hint="eastAsia" w:ascii="宋体" w:hAnsi="宋体"/>
          <w:color w:val="auto"/>
          <w:sz w:val="24"/>
          <w:szCs w:val="24"/>
          <w:lang w:eastAsia="zh-CN"/>
        </w:rPr>
        <w:t>0730-8882868</w:t>
      </w:r>
    </w:p>
    <w:p w14:paraId="459CBBAC">
      <w:pPr>
        <w:pStyle w:val="14"/>
        <w:keepNext w:val="0"/>
        <w:keepLines w:val="0"/>
        <w:pageBreakBefore w:val="0"/>
        <w:kinsoku/>
        <w:wordWrap/>
        <w:overflowPunct/>
        <w:topLinePunct w:val="0"/>
        <w:autoSpaceDE/>
        <w:autoSpaceDN/>
        <w:bidi w:val="0"/>
        <w:adjustRightInd w:val="0"/>
        <w:snapToGrid/>
        <w:spacing w:line="480" w:lineRule="exact"/>
        <w:ind w:left="0" w:firstLine="482" w:firstLineChars="200"/>
        <w:textAlignment w:val="auto"/>
        <w:rPr>
          <w:rFonts w:hint="eastAsia" w:hAnsi="宋体"/>
          <w:b/>
          <w:color w:val="auto"/>
          <w:sz w:val="24"/>
          <w:szCs w:val="24"/>
        </w:rPr>
      </w:pPr>
      <w:r>
        <w:rPr>
          <w:rFonts w:hint="eastAsia" w:hAnsi="宋体"/>
          <w:b/>
          <w:color w:val="auto"/>
          <w:sz w:val="24"/>
          <w:szCs w:val="24"/>
        </w:rPr>
        <w:t>十一、采购人、采购代理机构的名称、地址和联系方法</w:t>
      </w:r>
    </w:p>
    <w:p w14:paraId="03671BFA">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bidi="ar"/>
        </w:rPr>
        <w:t>采购人：</w:t>
      </w:r>
      <w:r>
        <w:rPr>
          <w:rFonts w:hint="eastAsia" w:ascii="宋体" w:hAnsi="宋体" w:cs="宋体"/>
          <w:color w:val="auto"/>
          <w:kern w:val="0"/>
          <w:sz w:val="24"/>
          <w:highlight w:val="none"/>
          <w:lang w:val="en-US" w:eastAsia="zh-CN" w:bidi="ar"/>
        </w:rPr>
        <w:t>岳阳县教育体育局</w:t>
      </w:r>
      <w:r>
        <w:rPr>
          <w:rFonts w:hint="eastAsia" w:ascii="宋体" w:hAnsi="宋体" w:cs="宋体"/>
          <w:color w:val="auto"/>
          <w:kern w:val="0"/>
          <w:sz w:val="24"/>
          <w:highlight w:val="none"/>
          <w:lang w:eastAsia="zh-CN" w:bidi="ar"/>
        </w:rPr>
        <w:t xml:space="preserve">  </w:t>
      </w:r>
    </w:p>
    <w:p w14:paraId="5296B98E">
      <w:pPr>
        <w:keepNext w:val="0"/>
        <w:keepLines w:val="0"/>
        <w:pageBreakBefore w:val="0"/>
        <w:kinsoku/>
        <w:wordWrap/>
        <w:overflowPunct/>
        <w:topLinePunct w:val="0"/>
        <w:autoSpaceDE/>
        <w:autoSpaceDN/>
        <w:bidi w:val="0"/>
        <w:snapToGrid/>
        <w:spacing w:line="480" w:lineRule="exact"/>
        <w:ind w:left="0" w:firstLine="480"/>
        <w:textAlignment w:val="auto"/>
        <w:rPr>
          <w:rFonts w:hint="default" w:ascii="宋体" w:hAnsi="宋体" w:eastAsia="宋体"/>
          <w:color w:val="auto"/>
          <w:sz w:val="24"/>
          <w:szCs w:val="24"/>
          <w:lang w:val="en-US" w:eastAsia="zh-CN"/>
        </w:rPr>
      </w:pPr>
      <w:r>
        <w:rPr>
          <w:rFonts w:hint="eastAsia" w:ascii="宋体" w:hAnsi="宋体"/>
          <w:color w:val="auto"/>
          <w:sz w:val="24"/>
          <w:szCs w:val="24"/>
        </w:rPr>
        <w:t>地    址：</w:t>
      </w:r>
      <w:r>
        <w:rPr>
          <w:rFonts w:hint="eastAsia" w:ascii="宋体" w:hAnsi="宋体"/>
          <w:color w:val="auto"/>
          <w:sz w:val="24"/>
          <w:szCs w:val="24"/>
          <w:lang w:val="en-US" w:eastAsia="zh-CN"/>
        </w:rPr>
        <w:t>岳阳县东方路70号</w:t>
      </w:r>
    </w:p>
    <w:p w14:paraId="2CAA6667">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bidi="ar"/>
        </w:rPr>
        <w:t>联系人</w:t>
      </w:r>
      <w:r>
        <w:rPr>
          <w:rFonts w:hint="eastAsia" w:ascii="宋体" w:hAnsi="宋体" w:cs="宋体"/>
          <w:color w:val="auto"/>
          <w:kern w:val="0"/>
          <w:sz w:val="24"/>
          <w:highlight w:val="none"/>
          <w:lang w:eastAsia="zh-CN" w:bidi="ar"/>
        </w:rPr>
        <w:t>：刘露</w:t>
      </w:r>
    </w:p>
    <w:p w14:paraId="7716A20E">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eastAsia="zh-CN" w:bidi="ar"/>
        </w:rPr>
        <w:t>联系电话：</w:t>
      </w:r>
      <w:r>
        <w:rPr>
          <w:rFonts w:hint="eastAsia" w:ascii="宋体" w:hAnsi="宋体" w:cs="宋体" w:eastAsiaTheme="minorEastAsia"/>
          <w:color w:val="auto"/>
          <w:kern w:val="0"/>
          <w:sz w:val="24"/>
          <w:lang w:eastAsia="zh-CN"/>
        </w:rPr>
        <w:t>13348600748</w:t>
      </w:r>
    </w:p>
    <w:p w14:paraId="76C25BDB">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bidi="ar"/>
        </w:rPr>
        <w:t>招标代理机构：</w:t>
      </w:r>
      <w:r>
        <w:rPr>
          <w:rFonts w:hint="eastAsia" w:ascii="宋体" w:hAnsi="宋体" w:cs="宋体"/>
          <w:color w:val="auto"/>
          <w:kern w:val="0"/>
          <w:sz w:val="24"/>
          <w:highlight w:val="none"/>
          <w:lang w:eastAsia="zh-CN" w:bidi="ar"/>
        </w:rPr>
        <w:t>湖南共宇项目管理有限公司</w:t>
      </w:r>
    </w:p>
    <w:p w14:paraId="4AE23FED">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bidi="ar"/>
        </w:rPr>
        <w:t>地    址：</w:t>
      </w:r>
      <w:r>
        <w:rPr>
          <w:rFonts w:hint="eastAsia" w:ascii="宋体" w:hAnsi="宋体" w:cs="宋体"/>
          <w:color w:val="auto"/>
          <w:kern w:val="0"/>
          <w:sz w:val="24"/>
          <w:highlight w:val="none"/>
          <w:lang w:val="en-US" w:eastAsia="zh-CN" w:bidi="ar"/>
        </w:rPr>
        <w:t>岳阳市经开区金达阳光小区银星座4楼</w:t>
      </w:r>
    </w:p>
    <w:p w14:paraId="20C8A82D">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联系人：</w:t>
      </w:r>
      <w:r>
        <w:rPr>
          <w:rFonts w:hint="eastAsia" w:ascii="宋体" w:hAnsi="宋体" w:cs="宋体"/>
          <w:color w:val="auto"/>
          <w:kern w:val="0"/>
          <w:sz w:val="24"/>
          <w:highlight w:val="none"/>
          <w:lang w:eastAsia="zh-CN" w:bidi="ar"/>
        </w:rPr>
        <w:t>冯敏</w:t>
      </w:r>
      <w:r>
        <w:rPr>
          <w:rFonts w:hint="eastAsia" w:ascii="宋体" w:hAnsi="宋体" w:cs="宋体"/>
          <w:color w:val="auto"/>
          <w:kern w:val="0"/>
          <w:sz w:val="24"/>
          <w:highlight w:val="none"/>
          <w:lang w:bidi="ar"/>
        </w:rPr>
        <w:t xml:space="preserve">      </w:t>
      </w:r>
    </w:p>
    <w:p w14:paraId="1EC731DE">
      <w:pPr>
        <w:keepNext w:val="0"/>
        <w:keepLines w:val="0"/>
        <w:pageBreakBefore w:val="0"/>
        <w:widowControl/>
        <w:kinsoku/>
        <w:wordWrap/>
        <w:overflowPunct/>
        <w:topLinePunct w:val="0"/>
        <w:autoSpaceDE/>
        <w:autoSpaceDN/>
        <w:bidi w:val="0"/>
        <w:snapToGrid/>
        <w:spacing w:line="480" w:lineRule="exact"/>
        <w:ind w:left="0" w:firstLine="480" w:firstLineChars="200"/>
        <w:jc w:val="left"/>
        <w:textAlignment w:val="auto"/>
        <w:rPr>
          <w:rFonts w:hint="eastAsia" w:ascii="宋体" w:hAnsi="宋体" w:cs="宋体"/>
          <w:color w:val="auto"/>
          <w:kern w:val="0"/>
          <w:sz w:val="24"/>
          <w:highlight w:val="none"/>
          <w:lang w:eastAsia="zh-CN" w:bidi="ar"/>
        </w:rPr>
      </w:pPr>
      <w:r>
        <w:rPr>
          <w:rFonts w:hint="eastAsia" w:ascii="宋体" w:hAnsi="宋体" w:cs="宋体"/>
          <w:color w:val="auto"/>
          <w:kern w:val="0"/>
          <w:sz w:val="24"/>
          <w:highlight w:val="none"/>
          <w:lang w:bidi="ar"/>
        </w:rPr>
        <w:t>联系电话：</w:t>
      </w:r>
      <w:r>
        <w:rPr>
          <w:rFonts w:hint="eastAsia" w:ascii="宋体" w:hAnsi="宋体" w:cs="宋体"/>
          <w:color w:val="auto"/>
          <w:kern w:val="0"/>
          <w:sz w:val="24"/>
          <w:highlight w:val="none"/>
          <w:lang w:eastAsia="zh-CN" w:bidi="ar"/>
        </w:rPr>
        <w:t>0730-8882868</w:t>
      </w:r>
    </w:p>
    <w:p w14:paraId="58A3F0AB">
      <w:pPr>
        <w:rPr>
          <w:color w:val="auto"/>
          <w:highlight w:val="none"/>
        </w:rPr>
      </w:pPr>
    </w:p>
    <w:p w14:paraId="388AD984">
      <w:pPr>
        <w:rPr>
          <w:rFonts w:ascii="黑体" w:eastAsia="黑体"/>
          <w:b/>
          <w:color w:val="auto"/>
          <w:sz w:val="32"/>
          <w:szCs w:val="32"/>
          <w:highlight w:val="none"/>
        </w:rPr>
      </w:pPr>
      <w:r>
        <w:rPr>
          <w:rFonts w:hint="eastAsia" w:ascii="黑体" w:eastAsia="黑体"/>
          <w:b/>
          <w:color w:val="auto"/>
          <w:sz w:val="32"/>
          <w:szCs w:val="32"/>
          <w:highlight w:val="none"/>
        </w:rPr>
        <w:br w:type="page"/>
      </w:r>
    </w:p>
    <w:p w14:paraId="0612EA70">
      <w:pPr>
        <w:pStyle w:val="14"/>
        <w:jc w:val="center"/>
        <w:outlineLvl w:val="0"/>
        <w:rPr>
          <w:rFonts w:ascii="黑体" w:eastAsia="黑体"/>
          <w:b/>
          <w:color w:val="auto"/>
          <w:sz w:val="32"/>
          <w:szCs w:val="32"/>
          <w:highlight w:val="none"/>
        </w:rPr>
      </w:pPr>
      <w:bookmarkStart w:id="1" w:name="_Toc23640"/>
      <w:r>
        <w:rPr>
          <w:rFonts w:hint="eastAsia" w:ascii="黑体" w:eastAsia="黑体"/>
          <w:b/>
          <w:color w:val="auto"/>
          <w:sz w:val="32"/>
          <w:szCs w:val="32"/>
          <w:highlight w:val="none"/>
        </w:rPr>
        <w:t>第二章 磋商须知</w:t>
      </w:r>
      <w:bookmarkEnd w:id="1"/>
    </w:p>
    <w:p w14:paraId="0543AFCA">
      <w:pPr>
        <w:pStyle w:val="14"/>
        <w:rPr>
          <w:rFonts w:ascii="黑体" w:eastAsia="黑体"/>
          <w:b/>
          <w:color w:val="auto"/>
          <w:sz w:val="24"/>
          <w:szCs w:val="24"/>
          <w:highlight w:val="none"/>
        </w:rPr>
      </w:pPr>
      <w:r>
        <w:rPr>
          <w:rFonts w:hint="eastAsia" w:ascii="黑体" w:eastAsia="黑体"/>
          <w:b/>
          <w:color w:val="auto"/>
          <w:sz w:val="24"/>
          <w:szCs w:val="24"/>
          <w:highlight w:val="none"/>
        </w:rPr>
        <w:t>磋商须知前附表</w:t>
      </w:r>
    </w:p>
    <w:p w14:paraId="3C97E138">
      <w:pPr>
        <w:pStyle w:val="14"/>
        <w:rPr>
          <w:rFonts w:ascii="楷体_GB2312" w:hAnsi="宋体" w:eastAsia="楷体_GB2312"/>
          <w:color w:val="auto"/>
          <w:highlight w:val="none"/>
        </w:rPr>
      </w:pPr>
      <w:r>
        <w:rPr>
          <w:rFonts w:hint="eastAsia" w:ascii="楷体_GB2312" w:hAnsi="宋体" w:eastAsia="楷体_GB2312"/>
          <w:color w:val="auto"/>
          <w:highlight w:val="none"/>
        </w:rPr>
        <w:t>注： 请在方框□内划√选择，在“条款号”内限选一项。（本项目采用的条款用“■”标示）</w:t>
      </w:r>
    </w:p>
    <w:tbl>
      <w:tblPr>
        <w:tblStyle w:val="26"/>
        <w:tblW w:w="950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620"/>
        <w:gridCol w:w="6044"/>
      </w:tblGrid>
      <w:tr w14:paraId="20EC8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844" w:type="dxa"/>
            <w:vAlign w:val="center"/>
          </w:tcPr>
          <w:p w14:paraId="01C7A82F">
            <w:pPr>
              <w:adjustRightInd w:val="0"/>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620" w:type="dxa"/>
            <w:vAlign w:val="center"/>
          </w:tcPr>
          <w:p w14:paraId="402A42C9">
            <w:pPr>
              <w:adjustRightInd w:val="0"/>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条款名称</w:t>
            </w:r>
          </w:p>
        </w:tc>
        <w:tc>
          <w:tcPr>
            <w:tcW w:w="6044" w:type="dxa"/>
            <w:vAlign w:val="center"/>
          </w:tcPr>
          <w:p w14:paraId="67875F47">
            <w:pPr>
              <w:adjustRightInd w:val="0"/>
              <w:snapToGrid w:val="0"/>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编列内容规定</w:t>
            </w:r>
          </w:p>
        </w:tc>
      </w:tr>
      <w:tr w14:paraId="0320E5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75F5E788">
            <w:pPr>
              <w:adjustRightInd w:val="0"/>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一、说明</w:t>
            </w:r>
          </w:p>
        </w:tc>
      </w:tr>
      <w:tr w14:paraId="150C81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0C9C72A9">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第二章第1.1款</w:t>
            </w:r>
          </w:p>
        </w:tc>
        <w:tc>
          <w:tcPr>
            <w:tcW w:w="1620" w:type="dxa"/>
            <w:vAlign w:val="center"/>
          </w:tcPr>
          <w:p w14:paraId="6CAED57D">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采购项目</w:t>
            </w:r>
          </w:p>
        </w:tc>
        <w:tc>
          <w:tcPr>
            <w:tcW w:w="6044" w:type="dxa"/>
            <w:vAlign w:val="bottom"/>
          </w:tcPr>
          <w:p w14:paraId="62B317A0">
            <w:pPr>
              <w:adjustRightInd w:val="0"/>
              <w:snapToGrid w:val="0"/>
              <w:spacing w:line="360" w:lineRule="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lang w:eastAsia="zh-CN"/>
              </w:rPr>
              <w:t>岳阳县校车北斗系统性改造建设项目</w:t>
            </w:r>
          </w:p>
        </w:tc>
      </w:tr>
      <w:tr w14:paraId="7A6650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6BC0B6BF">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第二章第2.1款</w:t>
            </w:r>
          </w:p>
        </w:tc>
        <w:tc>
          <w:tcPr>
            <w:tcW w:w="1620" w:type="dxa"/>
            <w:vAlign w:val="center"/>
          </w:tcPr>
          <w:p w14:paraId="421C1F55">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w:t>
            </w:r>
          </w:p>
        </w:tc>
        <w:tc>
          <w:tcPr>
            <w:tcW w:w="6044" w:type="dxa"/>
            <w:vAlign w:val="center"/>
          </w:tcPr>
          <w:p w14:paraId="40109D5B">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 xml:space="preserve">岳阳县教育体育局  </w:t>
            </w:r>
            <w:r>
              <w:rPr>
                <w:rFonts w:hint="eastAsia" w:ascii="宋体" w:hAnsi="宋体" w:cs="宋体"/>
                <w:color w:val="auto"/>
                <w:szCs w:val="21"/>
                <w:highlight w:val="none"/>
              </w:rPr>
              <w:t xml:space="preserve">   </w:t>
            </w:r>
          </w:p>
          <w:p w14:paraId="363BC197">
            <w:pPr>
              <w:adjustRightInd w:val="0"/>
              <w:snapToGrid w:val="0"/>
              <w:spacing w:line="360" w:lineRule="auto"/>
              <w:rPr>
                <w:rFonts w:hint="eastAsia" w:ascii="宋体" w:hAnsi="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刘露</w:t>
            </w:r>
          </w:p>
          <w:p w14:paraId="073D878F">
            <w:pPr>
              <w:adjustRightInd w:val="0"/>
              <w:snapToGrid w:val="0"/>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13348600748</w:t>
            </w:r>
          </w:p>
        </w:tc>
      </w:tr>
      <w:tr w14:paraId="67B0F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064041A">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第二章第2.2款</w:t>
            </w:r>
          </w:p>
        </w:tc>
        <w:tc>
          <w:tcPr>
            <w:tcW w:w="1620" w:type="dxa"/>
            <w:vAlign w:val="center"/>
          </w:tcPr>
          <w:p w14:paraId="1A5A55D1">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采购代理机构</w:t>
            </w:r>
          </w:p>
        </w:tc>
        <w:tc>
          <w:tcPr>
            <w:tcW w:w="6044" w:type="dxa"/>
            <w:vAlign w:val="center"/>
          </w:tcPr>
          <w:p w14:paraId="5F030289">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招标代理机构：</w:t>
            </w:r>
            <w:r>
              <w:rPr>
                <w:rFonts w:hint="eastAsia" w:ascii="宋体" w:hAnsi="宋体" w:cs="宋体"/>
                <w:color w:val="auto"/>
                <w:szCs w:val="21"/>
                <w:highlight w:val="none"/>
                <w:lang w:eastAsia="zh-CN"/>
              </w:rPr>
              <w:t>湖南共宇项目管理有限公司</w:t>
            </w:r>
          </w:p>
          <w:p w14:paraId="398CE3E2">
            <w:pPr>
              <w:adjustRightInd w:val="0"/>
              <w:snapToGrid w:val="0"/>
              <w:spacing w:line="360" w:lineRule="auto"/>
              <w:rPr>
                <w:rFonts w:hint="eastAsia" w:ascii="宋体" w:hAnsi="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岳阳市经开区金达阳光小区银星座4楼</w:t>
            </w:r>
          </w:p>
          <w:p w14:paraId="76197969">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冯敏</w:t>
            </w:r>
          </w:p>
          <w:p w14:paraId="140EDA7A">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0730-8882868</w:t>
            </w:r>
          </w:p>
        </w:tc>
      </w:tr>
      <w:tr w14:paraId="1EF85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6F60B116">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第二章第2.3款</w:t>
            </w:r>
          </w:p>
        </w:tc>
        <w:tc>
          <w:tcPr>
            <w:tcW w:w="1620" w:type="dxa"/>
            <w:vAlign w:val="center"/>
          </w:tcPr>
          <w:p w14:paraId="5636CB3F">
            <w:pPr>
              <w:adjustRightInd w:val="0"/>
              <w:snapToGrid w:val="0"/>
              <w:spacing w:line="360" w:lineRule="auto"/>
              <w:rPr>
                <w:rFonts w:ascii="宋体" w:hAnsi="宋体" w:cs="宋体"/>
                <w:bCs/>
                <w:color w:val="auto"/>
                <w:szCs w:val="21"/>
                <w:highlight w:val="none"/>
              </w:rPr>
            </w:pPr>
            <w:r>
              <w:rPr>
                <w:rFonts w:hint="eastAsia" w:ascii="宋体" w:hAnsi="宋体" w:cs="宋体"/>
                <w:color w:val="auto"/>
                <w:kern w:val="0"/>
                <w:szCs w:val="21"/>
                <w:highlight w:val="none"/>
              </w:rPr>
              <w:t>供应商的</w:t>
            </w:r>
            <w:r>
              <w:rPr>
                <w:rFonts w:hint="eastAsia" w:ascii="宋体" w:hAnsi="宋体" w:cs="宋体"/>
                <w:color w:val="auto"/>
                <w:szCs w:val="21"/>
                <w:highlight w:val="none"/>
              </w:rPr>
              <w:t>邀请方式</w:t>
            </w:r>
          </w:p>
        </w:tc>
        <w:tc>
          <w:tcPr>
            <w:tcW w:w="6044" w:type="dxa"/>
            <w:vAlign w:val="center"/>
          </w:tcPr>
          <w:p w14:paraId="78BE959F">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发布公告</w:t>
            </w:r>
          </w:p>
          <w:p w14:paraId="439F00D8">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从省级以上财政部门建立的供应商库中随机抽取</w:t>
            </w:r>
          </w:p>
          <w:p w14:paraId="557A948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采购人和评审专家分别书面推荐的方式</w:t>
            </w:r>
          </w:p>
        </w:tc>
      </w:tr>
      <w:tr w14:paraId="5256C0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81EFF08">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第二章第3.1款</w:t>
            </w:r>
          </w:p>
          <w:p w14:paraId="0BA19F03">
            <w:pPr>
              <w:adjustRightInd w:val="0"/>
              <w:snapToGrid w:val="0"/>
              <w:spacing w:line="360" w:lineRule="auto"/>
              <w:jc w:val="center"/>
              <w:rPr>
                <w:rFonts w:ascii="宋体" w:hAnsi="宋体" w:cs="宋体"/>
                <w:color w:val="auto"/>
                <w:szCs w:val="21"/>
                <w:highlight w:val="none"/>
              </w:rPr>
            </w:pPr>
          </w:p>
        </w:tc>
        <w:tc>
          <w:tcPr>
            <w:tcW w:w="1620" w:type="dxa"/>
            <w:vAlign w:val="center"/>
          </w:tcPr>
          <w:p w14:paraId="3F22CE65">
            <w:pPr>
              <w:adjustRightInd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供应商</w:t>
            </w:r>
            <w:r>
              <w:rPr>
                <w:rFonts w:hint="eastAsia" w:ascii="宋体" w:hAnsi="宋体" w:cs="宋体"/>
                <w:color w:val="auto"/>
                <w:szCs w:val="21"/>
                <w:highlight w:val="none"/>
              </w:rPr>
              <w:t>资格条件</w:t>
            </w:r>
          </w:p>
          <w:p w14:paraId="71CE244D">
            <w:pPr>
              <w:adjustRightInd w:val="0"/>
              <w:snapToGrid w:val="0"/>
              <w:spacing w:line="360" w:lineRule="auto"/>
              <w:rPr>
                <w:rFonts w:ascii="宋体" w:hAnsi="宋体" w:cs="宋体"/>
                <w:color w:val="auto"/>
                <w:szCs w:val="21"/>
                <w:highlight w:val="none"/>
              </w:rPr>
            </w:pPr>
          </w:p>
        </w:tc>
        <w:tc>
          <w:tcPr>
            <w:tcW w:w="6044" w:type="dxa"/>
            <w:vAlign w:val="center"/>
          </w:tcPr>
          <w:p w14:paraId="2CBD8F4C">
            <w:pPr>
              <w:adjustRightInd w:val="0"/>
              <w:snapToGrid w:val="0"/>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见第一章 磋商邀请</w:t>
            </w:r>
          </w:p>
        </w:tc>
      </w:tr>
      <w:tr w14:paraId="165A7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7486644D">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第二章第6.1款</w:t>
            </w:r>
          </w:p>
        </w:tc>
        <w:tc>
          <w:tcPr>
            <w:tcW w:w="1620" w:type="dxa"/>
            <w:vAlign w:val="center"/>
          </w:tcPr>
          <w:p w14:paraId="6DD04AF8">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联合体形式</w:t>
            </w:r>
          </w:p>
        </w:tc>
        <w:tc>
          <w:tcPr>
            <w:tcW w:w="6044" w:type="dxa"/>
            <w:vAlign w:val="center"/>
          </w:tcPr>
          <w:p w14:paraId="69BCF7B2">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不接受</w:t>
            </w:r>
          </w:p>
          <w:p w14:paraId="1F9438E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接受</w:t>
            </w:r>
          </w:p>
        </w:tc>
      </w:tr>
      <w:tr w14:paraId="5C5A6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66675EA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第二章第6.2款</w:t>
            </w:r>
          </w:p>
        </w:tc>
        <w:tc>
          <w:tcPr>
            <w:tcW w:w="1620" w:type="dxa"/>
            <w:vAlign w:val="center"/>
          </w:tcPr>
          <w:p w14:paraId="63CB919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对联合体各方的要求</w:t>
            </w:r>
          </w:p>
        </w:tc>
        <w:tc>
          <w:tcPr>
            <w:tcW w:w="6044" w:type="dxa"/>
            <w:vAlign w:val="center"/>
          </w:tcPr>
          <w:p w14:paraId="413A8F23">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223A9D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31069A2">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第二章第7.1款</w:t>
            </w:r>
          </w:p>
        </w:tc>
        <w:tc>
          <w:tcPr>
            <w:tcW w:w="1620" w:type="dxa"/>
            <w:vAlign w:val="center"/>
          </w:tcPr>
          <w:p w14:paraId="3417074D">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现场勘察</w:t>
            </w:r>
          </w:p>
        </w:tc>
        <w:tc>
          <w:tcPr>
            <w:tcW w:w="6044" w:type="dxa"/>
            <w:vAlign w:val="center"/>
          </w:tcPr>
          <w:p w14:paraId="120D2F03">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采购人不组织</w:t>
            </w:r>
          </w:p>
          <w:p w14:paraId="4F5DDA33">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采购人组织，时间：地点：联系人：</w:t>
            </w:r>
          </w:p>
        </w:tc>
      </w:tr>
      <w:tr w14:paraId="56DF6F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1A587082">
            <w:pPr>
              <w:spacing w:line="360" w:lineRule="auto"/>
              <w:rPr>
                <w:rFonts w:ascii="宋体" w:hAnsi="宋体" w:cs="宋体"/>
                <w:color w:val="auto"/>
                <w:szCs w:val="21"/>
                <w:highlight w:val="none"/>
              </w:rPr>
            </w:pPr>
            <w:r>
              <w:rPr>
                <w:rFonts w:hint="eastAsia" w:ascii="宋体" w:hAnsi="宋体" w:cs="宋体"/>
                <w:color w:val="auto"/>
                <w:szCs w:val="21"/>
                <w:highlight w:val="none"/>
              </w:rPr>
              <w:t>第二章第8.1款</w:t>
            </w:r>
          </w:p>
        </w:tc>
        <w:tc>
          <w:tcPr>
            <w:tcW w:w="1620" w:type="dxa"/>
            <w:vAlign w:val="center"/>
          </w:tcPr>
          <w:p w14:paraId="32243303">
            <w:pPr>
              <w:spacing w:line="360" w:lineRule="auto"/>
              <w:rPr>
                <w:rFonts w:ascii="宋体" w:hAnsi="宋体" w:cs="宋体"/>
                <w:color w:val="auto"/>
                <w:szCs w:val="21"/>
                <w:highlight w:val="none"/>
              </w:rPr>
            </w:pPr>
            <w:r>
              <w:rPr>
                <w:rFonts w:hint="eastAsia" w:ascii="宋体" w:hAnsi="宋体" w:cs="宋体"/>
                <w:color w:val="auto"/>
                <w:szCs w:val="21"/>
                <w:highlight w:val="none"/>
              </w:rPr>
              <w:t>采购进口产品</w:t>
            </w:r>
          </w:p>
        </w:tc>
        <w:tc>
          <w:tcPr>
            <w:tcW w:w="6044" w:type="dxa"/>
            <w:vAlign w:val="center"/>
          </w:tcPr>
          <w:p w14:paraId="08B6CD21">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本项目拒绝采购进口产品</w:t>
            </w:r>
          </w:p>
          <w:p w14:paraId="03EE4A91">
            <w:pPr>
              <w:spacing w:line="360" w:lineRule="auto"/>
              <w:rPr>
                <w:rFonts w:ascii="宋体" w:hAnsi="宋体" w:cs="宋体"/>
                <w:color w:val="auto"/>
                <w:szCs w:val="21"/>
                <w:highlight w:val="none"/>
              </w:rPr>
            </w:pPr>
            <w:r>
              <w:rPr>
                <w:rFonts w:hint="eastAsia" w:ascii="宋体" w:hAnsi="宋体" w:cs="宋体"/>
                <w:color w:val="auto"/>
                <w:szCs w:val="21"/>
                <w:highlight w:val="none"/>
              </w:rPr>
              <w:t>□本项目已经财政部门审核同意购买进口产品</w:t>
            </w:r>
          </w:p>
        </w:tc>
      </w:tr>
      <w:tr w14:paraId="459D7E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89DB738">
            <w:pPr>
              <w:spacing w:line="360" w:lineRule="auto"/>
              <w:rPr>
                <w:rFonts w:ascii="宋体" w:hAnsi="宋体" w:cs="宋体"/>
                <w:color w:val="auto"/>
                <w:szCs w:val="21"/>
                <w:highlight w:val="none"/>
              </w:rPr>
            </w:pPr>
            <w:r>
              <w:rPr>
                <w:rFonts w:hint="eastAsia" w:ascii="宋体" w:hAnsi="宋体" w:cs="宋体"/>
                <w:color w:val="auto"/>
                <w:szCs w:val="21"/>
                <w:highlight w:val="none"/>
              </w:rPr>
              <w:t>第二章第9.1款</w:t>
            </w:r>
          </w:p>
        </w:tc>
        <w:tc>
          <w:tcPr>
            <w:tcW w:w="1620" w:type="dxa"/>
            <w:vAlign w:val="center"/>
          </w:tcPr>
          <w:p w14:paraId="488980F3">
            <w:pPr>
              <w:spacing w:line="360" w:lineRule="auto"/>
              <w:rPr>
                <w:rFonts w:ascii="宋体" w:hAnsi="宋体" w:cs="宋体"/>
                <w:color w:val="auto"/>
                <w:szCs w:val="21"/>
                <w:highlight w:val="none"/>
              </w:rPr>
            </w:pPr>
            <w:r>
              <w:rPr>
                <w:rFonts w:hint="eastAsia" w:ascii="宋体" w:hAnsi="宋体" w:cs="宋体"/>
                <w:color w:val="auto"/>
                <w:szCs w:val="21"/>
                <w:highlight w:val="none"/>
              </w:rPr>
              <w:t>政府采购强制采购：</w:t>
            </w:r>
          </w:p>
          <w:p w14:paraId="0BE88D6D">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1、强制采购的节能产品；</w:t>
            </w:r>
          </w:p>
          <w:p w14:paraId="5AC9B45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2、其他。</w:t>
            </w:r>
          </w:p>
        </w:tc>
        <w:tc>
          <w:tcPr>
            <w:tcW w:w="6044" w:type="dxa"/>
            <w:vAlign w:val="center"/>
          </w:tcPr>
          <w:p w14:paraId="53C6868E">
            <w:pPr>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否</w:t>
            </w:r>
          </w:p>
          <w:p w14:paraId="1E828FAC">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是，采购《节能产品政府采购清单》(第期) 内标记★符号的节能产品。</w:t>
            </w:r>
          </w:p>
        </w:tc>
      </w:tr>
      <w:tr w14:paraId="23886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5E84EB3C">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第</w:t>
            </w:r>
            <w:r>
              <w:rPr>
                <w:rFonts w:hint="eastAsia" w:ascii="宋体" w:hAnsi="宋体" w:cs="宋体"/>
                <w:color w:val="auto"/>
                <w:szCs w:val="21"/>
                <w:highlight w:val="none"/>
              </w:rPr>
              <w:t>二章第9.2款</w:t>
            </w:r>
          </w:p>
        </w:tc>
        <w:tc>
          <w:tcPr>
            <w:tcW w:w="1620" w:type="dxa"/>
            <w:vAlign w:val="center"/>
          </w:tcPr>
          <w:p w14:paraId="700AEE76">
            <w:pPr>
              <w:spacing w:line="360" w:lineRule="auto"/>
              <w:rPr>
                <w:rFonts w:ascii="宋体" w:hAnsi="宋体" w:cs="宋体"/>
                <w:color w:val="auto"/>
                <w:szCs w:val="21"/>
                <w:highlight w:val="none"/>
              </w:rPr>
            </w:pPr>
            <w:r>
              <w:rPr>
                <w:rFonts w:hint="eastAsia" w:ascii="宋体" w:hAnsi="宋体" w:cs="宋体"/>
                <w:color w:val="auto"/>
                <w:szCs w:val="21"/>
                <w:highlight w:val="none"/>
              </w:rPr>
              <w:t>政府采购优先采购：</w:t>
            </w:r>
          </w:p>
          <w:p w14:paraId="6B50D658">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1、非强制采购的节能产品；</w:t>
            </w:r>
          </w:p>
          <w:p w14:paraId="3ED775EF">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2、环境标志产品；</w:t>
            </w:r>
          </w:p>
          <w:p w14:paraId="3092EF2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bCs/>
                <w:color w:val="auto"/>
                <w:kern w:val="0"/>
                <w:szCs w:val="21"/>
                <w:highlight w:val="none"/>
              </w:rPr>
              <w:t>支持</w:t>
            </w:r>
            <w:r>
              <w:rPr>
                <w:rFonts w:hint="eastAsia" w:ascii="宋体" w:hAnsi="宋体" w:cs="宋体"/>
                <w:color w:val="auto"/>
                <w:szCs w:val="21"/>
                <w:highlight w:val="none"/>
              </w:rPr>
              <w:t>中小企业发展；</w:t>
            </w:r>
          </w:p>
          <w:p w14:paraId="0CB89B5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、其他。</w:t>
            </w:r>
          </w:p>
        </w:tc>
        <w:tc>
          <w:tcPr>
            <w:tcW w:w="6044" w:type="dxa"/>
            <w:tcBorders>
              <w:bottom w:val="single" w:color="auto" w:sz="4" w:space="0"/>
            </w:tcBorders>
            <w:vAlign w:val="center"/>
          </w:tcPr>
          <w:p w14:paraId="73039CDE">
            <w:pPr>
              <w:adjustRightInd w:val="0"/>
              <w:snapToGrid w:val="0"/>
              <w:spacing w:line="360" w:lineRule="auto"/>
              <w:rPr>
                <w:color w:val="auto"/>
              </w:rPr>
            </w:pPr>
            <w:r>
              <w:rPr>
                <w:rFonts w:hint="eastAsia"/>
                <w:color w:val="auto"/>
              </w:rPr>
              <w:t>1、采购产品为《节能产品政府采购清单》(最新一期)内非标记★符号的，分别给予技术和价格项标准总分值4%-8%的加分。本项目具体加分比例分别为 ：技术</w:t>
            </w:r>
            <w:r>
              <w:rPr>
                <w:rFonts w:hint="eastAsia"/>
                <w:color w:val="auto"/>
                <w:lang w:val="en-US" w:eastAsia="zh-CN"/>
              </w:rPr>
              <w:t>/</w:t>
            </w:r>
            <w:r>
              <w:rPr>
                <w:rFonts w:hint="eastAsia"/>
                <w:color w:val="auto"/>
              </w:rPr>
              <w:t xml:space="preserve"> %、价格</w:t>
            </w:r>
            <w:r>
              <w:rPr>
                <w:rFonts w:hint="eastAsia"/>
                <w:color w:val="auto"/>
                <w:lang w:val="en-US" w:eastAsia="zh-CN"/>
              </w:rPr>
              <w:t>/</w:t>
            </w:r>
            <w:r>
              <w:rPr>
                <w:rFonts w:hint="eastAsia"/>
                <w:color w:val="auto"/>
              </w:rPr>
              <w:t xml:space="preserve"> %。</w:t>
            </w:r>
          </w:p>
          <w:p w14:paraId="09AB8EB4">
            <w:pPr>
              <w:adjustRightInd w:val="0"/>
              <w:snapToGrid w:val="0"/>
              <w:spacing w:line="360" w:lineRule="auto"/>
              <w:rPr>
                <w:color w:val="auto"/>
              </w:rPr>
            </w:pPr>
            <w:r>
              <w:rPr>
                <w:rFonts w:hint="eastAsia"/>
                <w:color w:val="auto"/>
              </w:rPr>
              <w:t>2、采购产品为《环境标志产品政府采购清单》(最新一期)内的，分别给予技术和价格项标准总分值4%-8%的加分。本项目具体加分比例分别为 ：技术</w:t>
            </w:r>
            <w:r>
              <w:rPr>
                <w:rFonts w:hint="eastAsia"/>
                <w:color w:val="auto"/>
                <w:lang w:val="en-US" w:eastAsia="zh-CN"/>
              </w:rPr>
              <w:t>/</w:t>
            </w:r>
            <w:r>
              <w:rPr>
                <w:rFonts w:hint="eastAsia"/>
                <w:color w:val="auto"/>
              </w:rPr>
              <w:t xml:space="preserve"> %、价格</w:t>
            </w:r>
            <w:r>
              <w:rPr>
                <w:rFonts w:hint="eastAsia"/>
                <w:color w:val="auto"/>
                <w:lang w:val="en-US" w:eastAsia="zh-CN"/>
              </w:rPr>
              <w:t>/</w:t>
            </w:r>
            <w:r>
              <w:rPr>
                <w:rFonts w:hint="eastAsia"/>
                <w:color w:val="auto"/>
              </w:rPr>
              <w:t>%。</w:t>
            </w:r>
          </w:p>
          <w:p w14:paraId="42C8B724">
            <w:pPr>
              <w:adjustRightInd w:val="0"/>
              <w:snapToGrid w:val="0"/>
              <w:spacing w:line="360" w:lineRule="auto"/>
              <w:rPr>
                <w:color w:val="auto"/>
              </w:rPr>
            </w:pPr>
            <w:r>
              <w:rPr>
                <w:rFonts w:hint="eastAsia"/>
                <w:color w:val="auto"/>
                <w:lang w:val="en-US" w:eastAsia="zh-CN"/>
              </w:rPr>
              <w:t>3</w:t>
            </w:r>
            <w:r>
              <w:rPr>
                <w:rFonts w:hint="eastAsia"/>
                <w:color w:val="auto"/>
              </w:rPr>
              <w:t>、非专门面向中小企业采购，且符合政府采购促进中小企业发展相关规定的：</w:t>
            </w:r>
          </w:p>
          <w:p w14:paraId="375EB060">
            <w:pPr>
              <w:adjustRightInd w:val="0"/>
              <w:snapToGrid w:val="0"/>
              <w:spacing w:line="360" w:lineRule="auto"/>
              <w:rPr>
                <w:color w:val="auto"/>
              </w:rPr>
            </w:pPr>
            <w:r>
              <w:rPr>
                <w:rFonts w:hint="eastAsia"/>
                <w:color w:val="auto"/>
              </w:rPr>
              <w:t xml:space="preserve">（1）给予小型和微型企业的价格给予10%—20% 的扣除。（工程项目为6%-10%）的扣除，本项目具体扣除比例为 </w:t>
            </w:r>
            <w:r>
              <w:rPr>
                <w:rFonts w:hint="eastAsia"/>
                <w:color w:val="auto"/>
                <w:lang w:val="en-US" w:eastAsia="zh-CN"/>
              </w:rPr>
              <w:t>10</w:t>
            </w:r>
            <w:r>
              <w:rPr>
                <w:rFonts w:hint="eastAsia"/>
                <w:color w:val="auto"/>
              </w:rPr>
              <w:t>％。</w:t>
            </w:r>
          </w:p>
          <w:p w14:paraId="3930537B">
            <w:pPr>
              <w:adjustRightInd w:val="0"/>
              <w:snapToGrid w:val="0"/>
              <w:spacing w:line="360" w:lineRule="auto"/>
              <w:rPr>
                <w:rFonts w:hint="default" w:eastAsia="宋体"/>
                <w:color w:val="auto"/>
                <w:lang w:val="en-US" w:eastAsia="zh-CN"/>
              </w:rPr>
            </w:pPr>
            <w:r>
              <w:rPr>
                <w:rFonts w:hint="eastAsia"/>
                <w:color w:val="auto"/>
              </w:rPr>
              <w:t>（2）给予联合体2%-3%的价格扣除，用扣除后的价格参与评审，本项目具体扣除比例为</w:t>
            </w:r>
            <w:r>
              <w:rPr>
                <w:rFonts w:hint="eastAsia"/>
                <w:color w:val="auto"/>
                <w:lang w:val="en-US" w:eastAsia="zh-CN"/>
              </w:rPr>
              <w:t>/</w:t>
            </w:r>
            <w:r>
              <w:rPr>
                <w:rFonts w:hint="eastAsia"/>
                <w:color w:val="auto"/>
              </w:rPr>
              <w:t>％。</w:t>
            </w:r>
          </w:p>
        </w:tc>
      </w:tr>
      <w:tr w14:paraId="2677C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Merge w:val="restart"/>
            <w:tcBorders>
              <w:top w:val="single" w:color="auto" w:sz="4" w:space="0"/>
            </w:tcBorders>
            <w:vAlign w:val="center"/>
          </w:tcPr>
          <w:p w14:paraId="0056E17C">
            <w:pPr>
              <w:spacing w:line="360" w:lineRule="auto"/>
              <w:rPr>
                <w:rFonts w:ascii="宋体" w:hAnsi="宋体" w:cs="宋体"/>
                <w:color w:val="auto"/>
                <w:szCs w:val="21"/>
                <w:highlight w:val="none"/>
              </w:rPr>
            </w:pPr>
            <w:r>
              <w:rPr>
                <w:rFonts w:hint="eastAsia" w:ascii="宋体" w:hAnsi="宋体" w:cs="宋体"/>
                <w:color w:val="auto"/>
                <w:szCs w:val="21"/>
                <w:highlight w:val="none"/>
              </w:rPr>
              <w:t>第二章第9.6款</w:t>
            </w:r>
          </w:p>
        </w:tc>
        <w:tc>
          <w:tcPr>
            <w:tcW w:w="1620" w:type="dxa"/>
            <w:tcBorders>
              <w:top w:val="single" w:color="auto" w:sz="4" w:space="0"/>
            </w:tcBorders>
            <w:vAlign w:val="center"/>
          </w:tcPr>
          <w:p w14:paraId="7553CAEF">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政府采购支持中小企业融资</w:t>
            </w:r>
          </w:p>
        </w:tc>
        <w:tc>
          <w:tcPr>
            <w:tcW w:w="6044" w:type="dxa"/>
            <w:tcBorders>
              <w:top w:val="single" w:color="auto" w:sz="4" w:space="0"/>
            </w:tcBorders>
          </w:tcPr>
          <w:p w14:paraId="70D988AB">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有融资需求的，可向本附表附页1所列银行咨询或登陆中国湖南政府采购网查询。</w:t>
            </w:r>
          </w:p>
        </w:tc>
      </w:tr>
      <w:tr w14:paraId="5709F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Merge w:val="continue"/>
            <w:vAlign w:val="center"/>
          </w:tcPr>
          <w:p w14:paraId="394D769C">
            <w:pPr>
              <w:spacing w:line="360" w:lineRule="auto"/>
              <w:rPr>
                <w:rFonts w:ascii="宋体" w:hAnsi="宋体" w:cs="宋体"/>
                <w:color w:val="auto"/>
                <w:szCs w:val="21"/>
                <w:highlight w:val="none"/>
              </w:rPr>
            </w:pPr>
          </w:p>
        </w:tc>
        <w:tc>
          <w:tcPr>
            <w:tcW w:w="1620" w:type="dxa"/>
            <w:vAlign w:val="center"/>
          </w:tcPr>
          <w:p w14:paraId="2E82803C">
            <w:pPr>
              <w:spacing w:line="360" w:lineRule="auto"/>
              <w:rPr>
                <w:rFonts w:ascii="宋体" w:hAnsi="宋体" w:cs="宋体"/>
                <w:color w:val="auto"/>
                <w:szCs w:val="21"/>
                <w:highlight w:val="none"/>
              </w:rPr>
            </w:pPr>
            <w:r>
              <w:rPr>
                <w:rFonts w:hint="eastAsia" w:ascii="宋体" w:hAnsi="宋体" w:cs="宋体"/>
                <w:bCs/>
                <w:color w:val="auto"/>
                <w:kern w:val="0"/>
                <w:szCs w:val="21"/>
                <w:highlight w:val="none"/>
              </w:rPr>
              <w:t>政府采购信用担保</w:t>
            </w:r>
          </w:p>
        </w:tc>
        <w:tc>
          <w:tcPr>
            <w:tcW w:w="6044" w:type="dxa"/>
            <w:vAlign w:val="center"/>
          </w:tcPr>
          <w:p w14:paraId="39C8396C">
            <w:pPr>
              <w:spacing w:line="360" w:lineRule="auto"/>
              <w:rPr>
                <w:rFonts w:ascii="宋体" w:hAnsi="宋体" w:cs="宋体"/>
                <w:color w:val="auto"/>
                <w:szCs w:val="21"/>
                <w:highlight w:val="none"/>
              </w:rPr>
            </w:pPr>
            <w:r>
              <w:rPr>
                <w:rFonts w:hint="eastAsia" w:ascii="宋体" w:hAnsi="宋体" w:cs="宋体"/>
                <w:color w:val="auto"/>
                <w:szCs w:val="21"/>
                <w:highlight w:val="none"/>
              </w:rPr>
              <w:t>有履约担保或融资担保需求的，可向本附表附页2所列担保机构咨询或登陆中国湖南政府采购网查询，格式见附页3。</w:t>
            </w:r>
          </w:p>
        </w:tc>
      </w:tr>
      <w:tr w14:paraId="42D12C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03B94735">
            <w:pPr>
              <w:adjustRightInd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二、磋商文件</w:t>
            </w:r>
          </w:p>
        </w:tc>
      </w:tr>
      <w:tr w14:paraId="67706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5F5AFC0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第二章第10.2款</w:t>
            </w:r>
          </w:p>
        </w:tc>
        <w:tc>
          <w:tcPr>
            <w:tcW w:w="1620" w:type="dxa"/>
            <w:vAlign w:val="center"/>
          </w:tcPr>
          <w:p w14:paraId="4B5AC21D">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磋商文件的可能实质性变动内容</w:t>
            </w:r>
          </w:p>
        </w:tc>
        <w:tc>
          <w:tcPr>
            <w:tcW w:w="6044" w:type="dxa"/>
            <w:vAlign w:val="center"/>
          </w:tcPr>
          <w:p w14:paraId="44D6587C">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采购需求、技术、服务、合同条款</w:t>
            </w:r>
          </w:p>
          <w:p w14:paraId="63F1CF10">
            <w:pPr>
              <w:adjustRightInd w:val="0"/>
              <w:snapToGrid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磋商文件的实质性变动内容为磋商文件的组成部分，实质性变动内容</w:t>
            </w:r>
            <w:r>
              <w:rPr>
                <w:rFonts w:hint="eastAsia" w:ascii="宋体" w:hAnsi="宋体" w:cs="宋体"/>
                <w:color w:val="auto"/>
                <w:szCs w:val="21"/>
                <w:highlight w:val="none"/>
                <w:lang w:val="zh-CN"/>
              </w:rPr>
              <w:t>与</w:t>
            </w:r>
            <w:r>
              <w:rPr>
                <w:rFonts w:hint="eastAsia" w:ascii="宋体" w:hAnsi="宋体" w:cs="宋体"/>
                <w:bCs/>
                <w:color w:val="auto"/>
                <w:szCs w:val="21"/>
                <w:highlight w:val="none"/>
              </w:rPr>
              <w:t>磋商文件</w:t>
            </w:r>
            <w:r>
              <w:rPr>
                <w:rFonts w:hint="eastAsia" w:ascii="宋体" w:hAnsi="宋体" w:cs="宋体"/>
                <w:color w:val="auto"/>
                <w:szCs w:val="21"/>
                <w:highlight w:val="none"/>
                <w:lang w:val="zh-CN"/>
              </w:rPr>
              <w:t>不一致时，以</w:t>
            </w:r>
            <w:r>
              <w:rPr>
                <w:rFonts w:hint="eastAsia" w:ascii="宋体" w:hAnsi="宋体" w:cs="宋体"/>
                <w:bCs/>
                <w:color w:val="auto"/>
                <w:szCs w:val="21"/>
                <w:highlight w:val="none"/>
              </w:rPr>
              <w:t>实质性变动内容</w:t>
            </w:r>
            <w:r>
              <w:rPr>
                <w:rFonts w:hint="eastAsia" w:ascii="宋体" w:hAnsi="宋体" w:cs="宋体"/>
                <w:color w:val="auto"/>
                <w:szCs w:val="21"/>
                <w:highlight w:val="none"/>
                <w:lang w:val="zh-CN"/>
              </w:rPr>
              <w:t>为准。</w:t>
            </w:r>
          </w:p>
        </w:tc>
      </w:tr>
      <w:tr w14:paraId="5D0BB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E78D26D">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第二章第11.1款</w:t>
            </w:r>
          </w:p>
        </w:tc>
        <w:tc>
          <w:tcPr>
            <w:tcW w:w="1620" w:type="dxa"/>
            <w:vAlign w:val="center"/>
          </w:tcPr>
          <w:p w14:paraId="36AB0F88">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提供磋商文件期限</w:t>
            </w:r>
          </w:p>
        </w:tc>
        <w:tc>
          <w:tcPr>
            <w:tcW w:w="6044" w:type="dxa"/>
            <w:vAlign w:val="center"/>
          </w:tcPr>
          <w:p w14:paraId="092F5FE1">
            <w:pPr>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yellow"/>
                <w:lang w:val="en-US" w:eastAsia="zh-CN"/>
              </w:rPr>
              <w:t>2026年 7 月30 日起至2026年 8 月 5 日止</w:t>
            </w:r>
            <w:r>
              <w:rPr>
                <w:rFonts w:hint="eastAsia" w:ascii="宋体" w:hAnsi="宋体" w:cs="宋体"/>
                <w:color w:val="auto"/>
                <w:szCs w:val="21"/>
                <w:highlight w:val="none"/>
                <w:lang w:val="en-US" w:eastAsia="zh-CN"/>
              </w:rPr>
              <w:t>，每日9：00-12：00；14：00-17：00（北京时间）， 双休日及节假日除外</w:t>
            </w:r>
          </w:p>
        </w:tc>
      </w:tr>
      <w:tr w14:paraId="6E4E17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01B32FD8">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第二章第11.2款</w:t>
            </w:r>
          </w:p>
        </w:tc>
        <w:tc>
          <w:tcPr>
            <w:tcW w:w="1620" w:type="dxa"/>
            <w:vAlign w:val="center"/>
          </w:tcPr>
          <w:p w14:paraId="0D5B9B57">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领取或购买磋商文件时应提供的资料</w:t>
            </w:r>
          </w:p>
        </w:tc>
        <w:tc>
          <w:tcPr>
            <w:tcW w:w="6044" w:type="dxa"/>
            <w:vAlign w:val="center"/>
          </w:tcPr>
          <w:p w14:paraId="607A8C0C">
            <w:pPr>
              <w:adjustRightInd w:val="0"/>
              <w:snapToGrid w:val="0"/>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在</w:t>
            </w:r>
            <w:r>
              <w:rPr>
                <w:rFonts w:hint="eastAsia" w:ascii="宋体" w:hAnsi="宋体" w:cs="宋体"/>
                <w:color w:val="auto"/>
                <w:szCs w:val="21"/>
                <w:highlight w:val="none"/>
                <w:lang w:eastAsia="zh-CN"/>
              </w:rPr>
              <w:t>湖南共宇项目管理有限公司（岳阳市经开区金达阳光小区银星座4楼）</w:t>
            </w:r>
            <w:r>
              <w:rPr>
                <w:rFonts w:hint="eastAsia" w:ascii="宋体" w:hAnsi="宋体" w:cs="宋体"/>
                <w:color w:val="auto"/>
                <w:szCs w:val="21"/>
                <w:highlight w:val="none"/>
              </w:rPr>
              <w:t>携带个人身份证、法定代表人身份证明(或者授权委托书并附法定代表人身份证明)、营业执照副本复印件购买招标文件。</w:t>
            </w:r>
          </w:p>
        </w:tc>
      </w:tr>
      <w:tr w14:paraId="7C9D5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68C0540">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第二章第12.1款</w:t>
            </w:r>
          </w:p>
        </w:tc>
        <w:tc>
          <w:tcPr>
            <w:tcW w:w="1620" w:type="dxa"/>
            <w:vAlign w:val="center"/>
          </w:tcPr>
          <w:p w14:paraId="2ECF0D3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提交首次响应文件的截止时间</w:t>
            </w:r>
          </w:p>
        </w:tc>
        <w:tc>
          <w:tcPr>
            <w:tcW w:w="6044" w:type="dxa"/>
            <w:vAlign w:val="center"/>
          </w:tcPr>
          <w:p w14:paraId="434508AA">
            <w:pPr>
              <w:adjustRightInd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yellow"/>
                <w:lang w:eastAsia="zh-CN"/>
              </w:rPr>
              <w:t>2026年 8 月10  日9:30</w:t>
            </w:r>
            <w:r>
              <w:rPr>
                <w:rFonts w:hint="eastAsia" w:ascii="宋体" w:hAnsi="宋体" w:cs="宋体"/>
                <w:color w:val="auto"/>
                <w:szCs w:val="21"/>
                <w:highlight w:val="none"/>
              </w:rPr>
              <w:t>(北京时间)</w:t>
            </w:r>
          </w:p>
        </w:tc>
      </w:tr>
      <w:tr w14:paraId="6E82E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1098D8FA">
            <w:pPr>
              <w:adjustRightInd w:val="0"/>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三、响应文件的编写</w:t>
            </w:r>
          </w:p>
        </w:tc>
      </w:tr>
      <w:tr w14:paraId="7FD9CB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2A70420D">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第二章第16.4款</w:t>
            </w:r>
          </w:p>
        </w:tc>
        <w:tc>
          <w:tcPr>
            <w:tcW w:w="1620" w:type="dxa"/>
            <w:vAlign w:val="center"/>
          </w:tcPr>
          <w:p w14:paraId="1522470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采购项目预算</w:t>
            </w:r>
          </w:p>
        </w:tc>
        <w:tc>
          <w:tcPr>
            <w:tcW w:w="6044" w:type="dxa"/>
            <w:vAlign w:val="center"/>
          </w:tcPr>
          <w:p w14:paraId="05F6E94A">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采购项目预算</w:t>
            </w:r>
            <w:r>
              <w:rPr>
                <w:rFonts w:hint="eastAsia" w:ascii="宋体" w:hAnsi="宋体" w:cs="宋体"/>
                <w:b/>
                <w:color w:val="auto"/>
                <w:szCs w:val="21"/>
                <w:highlight w:val="none"/>
                <w:lang w:eastAsia="zh-CN"/>
              </w:rPr>
              <w:t>700800.00元</w:t>
            </w:r>
            <w:r>
              <w:rPr>
                <w:rFonts w:hint="eastAsia" w:ascii="宋体" w:hAnsi="宋体" w:cs="宋体"/>
                <w:color w:val="auto"/>
                <w:szCs w:val="21"/>
                <w:highlight w:val="none"/>
              </w:rPr>
              <w:t>（人民币）</w:t>
            </w:r>
          </w:p>
          <w:p w14:paraId="52694A2E">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b/>
                <w:color w:val="auto"/>
                <w:szCs w:val="21"/>
                <w:highlight w:val="none"/>
                <w:lang w:val="en-US" w:eastAsia="zh-CN"/>
              </w:rPr>
              <w:t>700800.00</w:t>
            </w:r>
            <w:r>
              <w:rPr>
                <w:rFonts w:hint="eastAsia" w:ascii="宋体" w:hAnsi="宋体" w:cs="宋体"/>
                <w:b/>
                <w:color w:val="auto"/>
                <w:szCs w:val="21"/>
                <w:highlight w:val="none"/>
                <w:lang w:eastAsia="zh-CN"/>
              </w:rPr>
              <w:t>元</w:t>
            </w:r>
            <w:r>
              <w:rPr>
                <w:rFonts w:hint="eastAsia" w:ascii="宋体" w:hAnsi="宋体" w:cs="宋体"/>
                <w:color w:val="auto"/>
                <w:szCs w:val="21"/>
                <w:highlight w:val="none"/>
              </w:rPr>
              <w:t>（人民币）</w:t>
            </w:r>
          </w:p>
        </w:tc>
      </w:tr>
      <w:tr w14:paraId="5BB7B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2296600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第二章第17.3款</w:t>
            </w:r>
          </w:p>
        </w:tc>
        <w:tc>
          <w:tcPr>
            <w:tcW w:w="1620" w:type="dxa"/>
            <w:vAlign w:val="center"/>
          </w:tcPr>
          <w:p w14:paraId="78E57B49">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非制造商的证明文件</w:t>
            </w:r>
          </w:p>
        </w:tc>
        <w:tc>
          <w:tcPr>
            <w:tcW w:w="6044" w:type="dxa"/>
            <w:vAlign w:val="center"/>
          </w:tcPr>
          <w:p w14:paraId="37D26B77">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不要求提供</w:t>
            </w:r>
          </w:p>
          <w:p w14:paraId="69DBD4FC">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 要求提供：（证明文件复印件须加盖供应商单位公章，否则视为无效响应。）</w:t>
            </w:r>
          </w:p>
          <w:p w14:paraId="6E74C97C">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经销、或代理投标货物、或为投标货物提供售后服务的证明文件。</w:t>
            </w:r>
          </w:p>
        </w:tc>
      </w:tr>
      <w:tr w14:paraId="2C4A30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08B0B6BB">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第二章第18.1款</w:t>
            </w:r>
          </w:p>
        </w:tc>
        <w:tc>
          <w:tcPr>
            <w:tcW w:w="1620" w:type="dxa"/>
            <w:vAlign w:val="center"/>
          </w:tcPr>
          <w:p w14:paraId="616EF7F7">
            <w:pPr>
              <w:adjustRightInd w:val="0"/>
              <w:snapToGrid w:val="0"/>
              <w:spacing w:line="360" w:lineRule="auto"/>
              <w:rPr>
                <w:rFonts w:ascii="宋体" w:hAnsi="宋体" w:cs="宋体"/>
                <w:color w:val="auto"/>
                <w:highlight w:val="none"/>
              </w:rPr>
            </w:pPr>
            <w:r>
              <w:rPr>
                <w:rFonts w:hint="eastAsia" w:ascii="宋体" w:hAnsi="宋体" w:cs="宋体"/>
                <w:color w:val="auto"/>
                <w:szCs w:val="21"/>
                <w:highlight w:val="none"/>
              </w:rPr>
              <w:t>样品提供及样品提交的时间、地点</w:t>
            </w:r>
          </w:p>
        </w:tc>
        <w:tc>
          <w:tcPr>
            <w:tcW w:w="6044" w:type="dxa"/>
            <w:vAlign w:val="center"/>
          </w:tcPr>
          <w:p w14:paraId="56ADE920">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不要求提供</w:t>
            </w:r>
          </w:p>
          <w:p w14:paraId="2D2AD938">
            <w:pP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 要求提供，提交的样品:,提交的时间： 、地点: 。</w:t>
            </w:r>
          </w:p>
        </w:tc>
      </w:tr>
      <w:tr w14:paraId="4F5D99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16F3BBA">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第二章第19.1款</w:t>
            </w:r>
          </w:p>
        </w:tc>
        <w:tc>
          <w:tcPr>
            <w:tcW w:w="1620" w:type="dxa"/>
            <w:vAlign w:val="center"/>
          </w:tcPr>
          <w:p w14:paraId="2192B1D5">
            <w:pPr>
              <w:adjustRightInd w:val="0"/>
              <w:snapToGrid w:val="0"/>
              <w:spacing w:line="360" w:lineRule="auto"/>
              <w:ind w:left="-533" w:leftChars="-254" w:firstLine="533" w:firstLineChars="254"/>
              <w:rPr>
                <w:rFonts w:ascii="宋体" w:hAnsi="宋体" w:cs="宋体"/>
                <w:color w:val="auto"/>
                <w:szCs w:val="21"/>
                <w:highlight w:val="none"/>
              </w:rPr>
            </w:pPr>
            <w:r>
              <w:rPr>
                <w:rFonts w:hint="eastAsia" w:ascii="宋体" w:hAnsi="宋体" w:cs="宋体"/>
                <w:color w:val="auto"/>
                <w:szCs w:val="21"/>
                <w:highlight w:val="none"/>
              </w:rPr>
              <w:t>磋商保证金</w:t>
            </w:r>
          </w:p>
        </w:tc>
        <w:tc>
          <w:tcPr>
            <w:tcW w:w="6044" w:type="dxa"/>
            <w:vAlign w:val="center"/>
          </w:tcPr>
          <w:p w14:paraId="66671817">
            <w:pPr>
              <w:spacing w:line="360" w:lineRule="auto"/>
              <w:rPr>
                <w:rFonts w:ascii="宋体" w:hAnsi="宋体" w:cs="宋体"/>
                <w:bCs/>
                <w:color w:val="auto"/>
                <w:szCs w:val="21"/>
                <w:highlight w:val="none"/>
              </w:rPr>
            </w:pPr>
            <w:r>
              <w:rPr>
                <w:rFonts w:hint="eastAsia" w:ascii="宋体" w:hAnsi="宋体" w:cs="宋体"/>
                <w:bCs/>
                <w:color w:val="auto"/>
                <w:szCs w:val="21"/>
                <w:highlight w:val="none"/>
              </w:rPr>
              <w:t>■不要求提供</w:t>
            </w:r>
          </w:p>
          <w:p w14:paraId="7EA3BCA8">
            <w:pPr>
              <w:spacing w:line="360" w:lineRule="auto"/>
              <w:rPr>
                <w:rFonts w:ascii="宋体" w:hAnsi="宋体" w:cs="宋体"/>
                <w:color w:val="auto"/>
                <w:highlight w:val="none"/>
              </w:rPr>
            </w:pPr>
            <w:r>
              <w:rPr>
                <w:rFonts w:hint="eastAsia" w:ascii="宋体" w:hAnsi="宋体" w:cs="宋体"/>
                <w:bCs/>
                <w:color w:val="auto"/>
                <w:szCs w:val="21"/>
                <w:highlight w:val="none"/>
              </w:rPr>
              <w:t>□ 要求提供</w:t>
            </w:r>
          </w:p>
        </w:tc>
      </w:tr>
      <w:tr w14:paraId="2B6BF5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6F781FC">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第二章第20.1款</w:t>
            </w:r>
          </w:p>
        </w:tc>
        <w:tc>
          <w:tcPr>
            <w:tcW w:w="1620" w:type="dxa"/>
            <w:vAlign w:val="center"/>
          </w:tcPr>
          <w:p w14:paraId="7903A3EC">
            <w:pPr>
              <w:adjustRightInd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响应文件有效期</w:t>
            </w:r>
          </w:p>
        </w:tc>
        <w:tc>
          <w:tcPr>
            <w:tcW w:w="6044" w:type="dxa"/>
            <w:vAlign w:val="center"/>
          </w:tcPr>
          <w:p w14:paraId="728AA9E7">
            <w:pPr>
              <w:adjustRightInd w:val="0"/>
              <w:snapToGrid w:val="0"/>
              <w:spacing w:line="360" w:lineRule="auto"/>
              <w:rPr>
                <w:rFonts w:ascii="宋体" w:hAnsi="宋体" w:cs="宋体"/>
                <w:bCs/>
                <w:color w:val="auto"/>
                <w:szCs w:val="21"/>
                <w:highlight w:val="none"/>
              </w:rPr>
            </w:pPr>
            <w:r>
              <w:rPr>
                <w:rFonts w:hint="eastAsia" w:ascii="宋体" w:hAnsi="宋体" w:cs="宋体"/>
                <w:color w:val="auto"/>
                <w:szCs w:val="21"/>
                <w:highlight w:val="none"/>
                <w:u w:val="single"/>
              </w:rPr>
              <w:t>90</w:t>
            </w:r>
            <w:r>
              <w:rPr>
                <w:rFonts w:hint="eastAsia" w:ascii="宋体" w:hAnsi="宋体" w:cs="宋体"/>
                <w:color w:val="auto"/>
                <w:szCs w:val="21"/>
                <w:highlight w:val="none"/>
              </w:rPr>
              <w:t>日（日历日）</w:t>
            </w:r>
          </w:p>
        </w:tc>
      </w:tr>
      <w:tr w14:paraId="5B886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65993D6">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第二章第21.1款</w:t>
            </w:r>
          </w:p>
        </w:tc>
        <w:tc>
          <w:tcPr>
            <w:tcW w:w="1620" w:type="dxa"/>
            <w:vAlign w:val="center"/>
          </w:tcPr>
          <w:p w14:paraId="2D4EAF7A">
            <w:pPr>
              <w:adjustRightInd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响应</w:t>
            </w:r>
            <w:r>
              <w:rPr>
                <w:rFonts w:hint="eastAsia" w:ascii="宋体" w:hAnsi="宋体" w:cs="宋体"/>
                <w:color w:val="auto"/>
                <w:szCs w:val="21"/>
                <w:highlight w:val="none"/>
              </w:rPr>
              <w:t>文件份数</w:t>
            </w:r>
          </w:p>
        </w:tc>
        <w:tc>
          <w:tcPr>
            <w:tcW w:w="6044" w:type="dxa"/>
            <w:vAlign w:val="center"/>
          </w:tcPr>
          <w:p w14:paraId="1A3C31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rPr>
            </w:pPr>
            <w:r>
              <w:rPr>
                <w:rFonts w:hint="eastAsia" w:ascii="宋体" w:hAnsi="宋体" w:cs="宋体"/>
                <w:color w:val="auto"/>
                <w:szCs w:val="21"/>
                <w:highlight w:val="none"/>
              </w:rPr>
              <w:t>（正本一份，副本二份，电子U盘一份）</w:t>
            </w:r>
            <w:r>
              <w:rPr>
                <w:rFonts w:hint="eastAsia" w:ascii="宋体" w:hAnsi="宋体" w:eastAsia="宋体" w:cs="宋体"/>
                <w:color w:val="auto"/>
                <w:sz w:val="21"/>
                <w:szCs w:val="21"/>
                <w:u w:val="single"/>
              </w:rPr>
              <w:t>一正</w:t>
            </w:r>
            <w:r>
              <w:rPr>
                <w:rFonts w:hint="eastAsia" w:ascii="宋体" w:hAnsi="宋体" w:eastAsia="宋体" w:cs="宋体"/>
                <w:color w:val="auto"/>
                <w:sz w:val="21"/>
                <w:szCs w:val="21"/>
                <w:u w:val="single"/>
                <w:lang w:eastAsia="zh-CN"/>
              </w:rPr>
              <w:t>二</w:t>
            </w:r>
            <w:r>
              <w:rPr>
                <w:rFonts w:hint="eastAsia" w:ascii="宋体" w:hAnsi="宋体" w:eastAsia="宋体" w:cs="宋体"/>
                <w:color w:val="auto"/>
                <w:sz w:val="21"/>
                <w:szCs w:val="21"/>
                <w:u w:val="single"/>
              </w:rPr>
              <w:t>副</w:t>
            </w:r>
            <w:r>
              <w:rPr>
                <w:rFonts w:hint="eastAsia" w:ascii="宋体" w:hAnsi="宋体" w:eastAsia="宋体" w:cs="宋体"/>
                <w:color w:val="auto"/>
                <w:sz w:val="21"/>
                <w:szCs w:val="21"/>
                <w:u w:val="single"/>
                <w:lang w:eastAsia="zh-CN"/>
              </w:rPr>
              <w:t>共三</w:t>
            </w:r>
            <w:r>
              <w:rPr>
                <w:rFonts w:hint="eastAsia" w:ascii="宋体" w:hAnsi="宋体" w:eastAsia="宋体" w:cs="宋体"/>
                <w:color w:val="auto"/>
                <w:sz w:val="21"/>
                <w:szCs w:val="21"/>
              </w:rPr>
              <w:t>份及电子</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U盘</w:t>
            </w:r>
            <w:r>
              <w:rPr>
                <w:rFonts w:hint="eastAsia" w:ascii="宋体" w:hAnsi="宋体" w:cs="宋体"/>
                <w:color w:val="auto"/>
                <w:sz w:val="21"/>
                <w:szCs w:val="21"/>
                <w:lang w:val="en-US" w:eastAsia="zh-CN"/>
              </w:rPr>
              <w:t>，</w:t>
            </w:r>
            <w:r>
              <w:rPr>
                <w:rFonts w:hint="eastAsia" w:ascii="Times New Roman" w:hAnsi="Times New Roman" w:eastAsia="宋体" w:cs="Times New Roman"/>
                <w:color w:val="auto"/>
                <w:sz w:val="21"/>
                <w:szCs w:val="21"/>
                <w:highlight w:val="none"/>
              </w:rPr>
              <w:t>内容与纸质版投标文件正本完全一致，格式为已签字盖章的响应文件正本的扫描件(PDF格式)</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文件一份</w:t>
            </w:r>
          </w:p>
          <w:p w14:paraId="74CF22A2">
            <w:pPr>
              <w:adjustRightInd w:val="0"/>
              <w:snapToGrid w:val="0"/>
              <w:spacing w:line="360" w:lineRule="auto"/>
              <w:rPr>
                <w:rFonts w:ascii="宋体" w:hAnsi="宋体" w:cs="宋体"/>
                <w:color w:val="auto"/>
                <w:szCs w:val="21"/>
                <w:highlight w:val="none"/>
                <w:u w:val="single"/>
              </w:rPr>
            </w:pPr>
            <w:r>
              <w:rPr>
                <w:rFonts w:hint="eastAsia" w:ascii="宋体" w:hAnsi="宋体" w:eastAsia="宋体" w:cs="宋体"/>
                <w:b/>
                <w:color w:val="auto"/>
                <w:sz w:val="21"/>
                <w:szCs w:val="21"/>
              </w:rPr>
              <w:t>装订要求：</w:t>
            </w:r>
            <w:r>
              <w:rPr>
                <w:rFonts w:hint="eastAsia" w:ascii="宋体" w:hAnsi="宋体" w:eastAsia="宋体" w:cs="宋体"/>
                <w:color w:val="auto"/>
                <w:sz w:val="21"/>
                <w:szCs w:val="21"/>
              </w:rPr>
              <w:t>采用</w:t>
            </w:r>
            <w:r>
              <w:rPr>
                <w:rFonts w:hint="eastAsia" w:ascii="宋体" w:hAnsi="宋体" w:eastAsia="宋体" w:cs="宋体"/>
                <w:b/>
                <w:color w:val="auto"/>
                <w:sz w:val="21"/>
                <w:szCs w:val="21"/>
                <w:u w:val="single"/>
              </w:rPr>
              <w:t>胶装</w:t>
            </w:r>
            <w:r>
              <w:rPr>
                <w:rFonts w:hint="eastAsia" w:ascii="宋体" w:hAnsi="宋体" w:eastAsia="宋体" w:cs="宋体"/>
                <w:color w:val="auto"/>
                <w:sz w:val="21"/>
                <w:szCs w:val="21"/>
              </w:rPr>
              <w:t>方式装订，编制页码及序目；装订应牢固、不易拆散和换页，不得采用活页装订；磋商文件要求每页盖公章加盖齐缝章</w:t>
            </w:r>
            <w:r>
              <w:rPr>
                <w:rFonts w:hint="eastAsia" w:ascii="宋体" w:hAnsi="宋体" w:eastAsia="宋体" w:cs="宋体"/>
                <w:color w:val="auto"/>
                <w:sz w:val="21"/>
                <w:szCs w:val="21"/>
                <w:lang w:eastAsia="zh-CN"/>
              </w:rPr>
              <w:t>。</w:t>
            </w:r>
            <w:r>
              <w:rPr>
                <w:rFonts w:hint="eastAsia" w:ascii="宋体" w:hAnsi="宋体" w:cs="宋体"/>
                <w:color w:val="auto"/>
                <w:sz w:val="21"/>
                <w:szCs w:val="21"/>
                <w:lang w:eastAsia="zh-CN"/>
              </w:rPr>
              <w:t>（注：供应商递交的响应文件所盖公章须是供应商在公安机关依法备案且带防伪码的公章。）</w:t>
            </w:r>
          </w:p>
        </w:tc>
      </w:tr>
      <w:tr w14:paraId="64A255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18F6ABCF">
            <w:pPr>
              <w:adjustRightInd w:val="0"/>
              <w:snapToGrid w:val="0"/>
              <w:spacing w:line="360" w:lineRule="auto"/>
              <w:rPr>
                <w:rFonts w:ascii="宋体" w:hAnsi="宋体" w:cs="宋体"/>
                <w:b/>
                <w:bCs/>
                <w:color w:val="auto"/>
                <w:szCs w:val="21"/>
                <w:highlight w:val="none"/>
              </w:rPr>
            </w:pPr>
            <w:r>
              <w:rPr>
                <w:rFonts w:hint="eastAsia" w:ascii="宋体" w:hAnsi="宋体" w:cs="宋体"/>
                <w:b/>
                <w:color w:val="auto"/>
                <w:szCs w:val="21"/>
                <w:highlight w:val="none"/>
              </w:rPr>
              <w:t>四、响应文件的递交</w:t>
            </w:r>
          </w:p>
        </w:tc>
      </w:tr>
      <w:tr w14:paraId="68807C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344273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第二章第22.2款</w:t>
            </w:r>
          </w:p>
        </w:tc>
        <w:tc>
          <w:tcPr>
            <w:tcW w:w="1620" w:type="dxa"/>
            <w:vAlign w:val="center"/>
          </w:tcPr>
          <w:p w14:paraId="2D05149F">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封套上应载明的信息</w:t>
            </w:r>
          </w:p>
        </w:tc>
        <w:tc>
          <w:tcPr>
            <w:tcW w:w="6044" w:type="dxa"/>
            <w:vAlign w:val="center"/>
          </w:tcPr>
          <w:p w14:paraId="2A11B0D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（项目名称）</w:t>
            </w:r>
            <w:r>
              <w:rPr>
                <w:rFonts w:hint="eastAsia" w:ascii="宋体" w:hAnsi="宋体" w:cs="宋体"/>
                <w:color w:val="auto"/>
                <w:szCs w:val="21"/>
                <w:highlight w:val="none"/>
              </w:rPr>
              <w:t>响应文件</w:t>
            </w:r>
          </w:p>
          <w:p w14:paraId="64F958D3">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政府采购编号：</w:t>
            </w:r>
          </w:p>
          <w:p w14:paraId="414FFAF4">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lang w:eastAsia="zh-CN"/>
              </w:rPr>
              <w:t>委托代理编号</w:t>
            </w:r>
            <w:r>
              <w:rPr>
                <w:rFonts w:hint="eastAsia" w:ascii="宋体" w:hAnsi="宋体" w:cs="宋体"/>
                <w:color w:val="auto"/>
                <w:szCs w:val="21"/>
                <w:highlight w:val="none"/>
              </w:rPr>
              <w:t>：</w:t>
            </w:r>
          </w:p>
          <w:p w14:paraId="33A24DBE">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供应商名称：</w:t>
            </w:r>
          </w:p>
          <w:p w14:paraId="09033672">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年  月  日   时  分</w:t>
            </w:r>
            <w:r>
              <w:rPr>
                <w:rFonts w:hint="eastAsia" w:ascii="宋体" w:hAnsi="宋体" w:cs="宋体"/>
                <w:color w:val="auto"/>
                <w:szCs w:val="21"/>
                <w:highlight w:val="none"/>
              </w:rPr>
              <w:t>之前不得启封</w:t>
            </w:r>
          </w:p>
        </w:tc>
      </w:tr>
      <w:tr w14:paraId="30D76E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7B8BBD5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第二章第24.1款</w:t>
            </w:r>
          </w:p>
        </w:tc>
        <w:tc>
          <w:tcPr>
            <w:tcW w:w="1620" w:type="dxa"/>
            <w:vAlign w:val="center"/>
          </w:tcPr>
          <w:p w14:paraId="5497D16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响应文件的递交地点</w:t>
            </w:r>
          </w:p>
        </w:tc>
        <w:tc>
          <w:tcPr>
            <w:tcW w:w="6044" w:type="dxa"/>
            <w:vAlign w:val="center"/>
          </w:tcPr>
          <w:p w14:paraId="535D475A">
            <w:pPr>
              <w:adjustRightInd w:val="0"/>
              <w:snapToGrid w:val="0"/>
              <w:spacing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湖南共宇项目管理有限公司（岳阳市经开区金达阳光小区银星座4楼）</w:t>
            </w:r>
          </w:p>
        </w:tc>
      </w:tr>
      <w:tr w14:paraId="21023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683D2337">
            <w:pPr>
              <w:adjustRightInd w:val="0"/>
              <w:snapToGrid w:val="0"/>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五、响应文件的磋商与评审</w:t>
            </w:r>
          </w:p>
        </w:tc>
      </w:tr>
      <w:tr w14:paraId="1F9303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128B9543">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第二章第31.2款</w:t>
            </w:r>
          </w:p>
        </w:tc>
        <w:tc>
          <w:tcPr>
            <w:tcW w:w="1620" w:type="dxa"/>
            <w:vAlign w:val="center"/>
          </w:tcPr>
          <w:p w14:paraId="3485B1D8">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评审因素和标准</w:t>
            </w:r>
          </w:p>
        </w:tc>
        <w:tc>
          <w:tcPr>
            <w:tcW w:w="6044" w:type="dxa"/>
            <w:vAlign w:val="center"/>
          </w:tcPr>
          <w:p w14:paraId="0B4E89A3">
            <w:pPr>
              <w:adjustRightInd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见附页4</w:t>
            </w:r>
          </w:p>
        </w:tc>
      </w:tr>
      <w:tr w14:paraId="34C133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77A8385E">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第二章第31.3款</w:t>
            </w:r>
          </w:p>
        </w:tc>
        <w:tc>
          <w:tcPr>
            <w:tcW w:w="1620" w:type="dxa"/>
            <w:vAlign w:val="center"/>
          </w:tcPr>
          <w:p w14:paraId="4E38D21A">
            <w:pPr>
              <w:adjustRightInd w:val="0"/>
              <w:snapToGrid w:val="0"/>
              <w:spacing w:before="156" w:beforeLines="50"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最后报价</w:t>
            </w:r>
            <w:r>
              <w:rPr>
                <w:rFonts w:hint="eastAsia" w:ascii="宋体" w:hAnsi="宋体" w:cs="宋体"/>
                <w:color w:val="auto"/>
                <w:szCs w:val="21"/>
                <w:highlight w:val="none"/>
              </w:rPr>
              <w:t>调整</w:t>
            </w:r>
          </w:p>
        </w:tc>
        <w:tc>
          <w:tcPr>
            <w:tcW w:w="6044" w:type="dxa"/>
            <w:vAlign w:val="center"/>
          </w:tcPr>
          <w:p w14:paraId="30F49341">
            <w:pPr>
              <w:adjustRightInd w:val="0"/>
              <w:snapToGrid w:val="0"/>
              <w:spacing w:before="156" w:beforeLines="50" w:line="360" w:lineRule="auto"/>
              <w:rPr>
                <w:rFonts w:ascii="宋体" w:hAnsi="宋体" w:cs="宋体"/>
                <w:color w:val="auto"/>
                <w:szCs w:val="21"/>
                <w:highlight w:val="none"/>
              </w:rPr>
            </w:pPr>
            <w:r>
              <w:rPr>
                <w:rFonts w:hint="eastAsia" w:ascii="宋体" w:hAnsi="宋体" w:cs="宋体"/>
                <w:bCs/>
                <w:color w:val="auto"/>
                <w:kern w:val="0"/>
                <w:szCs w:val="21"/>
                <w:highlight w:val="none"/>
              </w:rPr>
              <w:t>政府采购支持中小企业发展：</w:t>
            </w:r>
            <w:r>
              <w:rPr>
                <w:rFonts w:hint="eastAsia"/>
                <w:color w:val="auto"/>
                <w:highlight w:val="none"/>
              </w:rPr>
              <w:t>本项目</w:t>
            </w:r>
            <w:r>
              <w:rPr>
                <w:rFonts w:hint="eastAsia"/>
                <w:color w:val="auto"/>
                <w:highlight w:val="none"/>
                <w:lang w:val="en-US" w:eastAsia="zh-CN"/>
              </w:rPr>
              <w:t>非</w:t>
            </w:r>
            <w:r>
              <w:rPr>
                <w:rFonts w:hint="eastAsia"/>
                <w:color w:val="auto"/>
                <w:highlight w:val="none"/>
              </w:rPr>
              <w:t>专门面向中小企业采购。</w:t>
            </w:r>
          </w:p>
        </w:tc>
      </w:tr>
      <w:tr w14:paraId="6414B2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EB88CED">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第二章第31.5款</w:t>
            </w:r>
          </w:p>
        </w:tc>
        <w:tc>
          <w:tcPr>
            <w:tcW w:w="1620" w:type="dxa"/>
            <w:vAlign w:val="center"/>
          </w:tcPr>
          <w:p w14:paraId="2D68E258">
            <w:pPr>
              <w:adjustRightInd w:val="0"/>
              <w:snapToGrid w:val="0"/>
              <w:spacing w:before="156" w:beforeLines="50" w:line="360" w:lineRule="auto"/>
              <w:jc w:val="center"/>
              <w:rPr>
                <w:rFonts w:ascii="宋体" w:hAnsi="宋体" w:cs="宋体"/>
                <w:color w:val="auto"/>
                <w:szCs w:val="21"/>
                <w:highlight w:val="none"/>
              </w:rPr>
            </w:pPr>
            <w:r>
              <w:rPr>
                <w:rFonts w:hint="eastAsia" w:ascii="宋体" w:hAnsi="宋体" w:cs="宋体"/>
                <w:color w:val="auto"/>
                <w:szCs w:val="21"/>
                <w:highlight w:val="none"/>
              </w:rPr>
              <w:t>技术、商务、价格</w:t>
            </w:r>
            <w:r>
              <w:rPr>
                <w:rFonts w:hint="eastAsia" w:ascii="宋体" w:hAnsi="宋体" w:cs="宋体"/>
                <w:color w:val="auto"/>
                <w:kern w:val="0"/>
                <w:szCs w:val="21"/>
                <w:highlight w:val="none"/>
              </w:rPr>
              <w:t>得分或总得分</w:t>
            </w:r>
            <w:r>
              <w:rPr>
                <w:rFonts w:hint="eastAsia" w:ascii="宋体" w:hAnsi="宋体" w:cs="宋体"/>
                <w:color w:val="auto"/>
                <w:szCs w:val="21"/>
                <w:highlight w:val="none"/>
              </w:rPr>
              <w:t>调整</w:t>
            </w:r>
          </w:p>
        </w:tc>
        <w:tc>
          <w:tcPr>
            <w:tcW w:w="6044" w:type="dxa"/>
            <w:vAlign w:val="center"/>
          </w:tcPr>
          <w:p w14:paraId="248B5C4F">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符合第二章第9.1款规定，按第二章第31.6款规定及本款分值调整：</w:t>
            </w:r>
          </w:p>
          <w:p w14:paraId="5146A98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节能产品：</w:t>
            </w:r>
          </w:p>
          <w:p w14:paraId="64A0F098">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技术加分＝技术分值× 加分比例（比例见前附表第38.1项,下同）×（节能产品最后报价÷最后总报价）；</w:t>
            </w:r>
          </w:p>
          <w:p w14:paraId="5ED712E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价格加分＝价格分值×加分比例×（节能产品最后报价÷最后总报价）。</w:t>
            </w:r>
          </w:p>
          <w:p w14:paraId="5E9C11FF">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2、环境标志产品：</w:t>
            </w:r>
          </w:p>
          <w:p w14:paraId="3E17F11B">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技术加分＝技术分值× 加分比例×（环境标志产品最后报价÷最后总报价）；</w:t>
            </w:r>
          </w:p>
          <w:p w14:paraId="7FEB5AEE">
            <w:pPr>
              <w:adjustRightInd w:val="0"/>
              <w:snapToGrid w:val="0"/>
              <w:spacing w:line="360" w:lineRule="auto"/>
              <w:rPr>
                <w:rFonts w:ascii="宋体" w:hAnsi="宋体" w:cs="宋体"/>
                <w:bCs/>
                <w:color w:val="auto"/>
                <w:kern w:val="0"/>
                <w:szCs w:val="21"/>
                <w:highlight w:val="none"/>
              </w:rPr>
            </w:pPr>
            <w:r>
              <w:rPr>
                <w:rFonts w:hint="eastAsia" w:ascii="宋体" w:hAnsi="宋体" w:cs="宋体"/>
                <w:color w:val="auto"/>
                <w:szCs w:val="21"/>
                <w:highlight w:val="none"/>
              </w:rPr>
              <w:t>价格加分＝价格分值×加分比例×（环境标志产品最后报价÷最后总报价）。</w:t>
            </w:r>
          </w:p>
        </w:tc>
      </w:tr>
      <w:tr w14:paraId="3DB470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5EF1778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第二章第31.6款</w:t>
            </w:r>
          </w:p>
        </w:tc>
        <w:tc>
          <w:tcPr>
            <w:tcW w:w="1620" w:type="dxa"/>
            <w:vAlign w:val="center"/>
          </w:tcPr>
          <w:p w14:paraId="4021044C">
            <w:pPr>
              <w:adjustRightInd w:val="0"/>
              <w:snapToGrid w:val="0"/>
              <w:spacing w:before="50" w:line="360" w:lineRule="auto"/>
              <w:jc w:val="center"/>
              <w:rPr>
                <w:rFonts w:ascii="宋体" w:hAnsi="宋体" w:cs="宋体"/>
                <w:color w:val="auto"/>
                <w:szCs w:val="21"/>
                <w:highlight w:val="none"/>
              </w:rPr>
            </w:pPr>
            <w:r>
              <w:rPr>
                <w:rFonts w:hint="eastAsia" w:ascii="宋体" w:hAnsi="宋体" w:cs="宋体"/>
                <w:color w:val="auto"/>
                <w:szCs w:val="21"/>
                <w:highlight w:val="none"/>
              </w:rPr>
              <w:t>多处或部分获得政府采购政策优惠的计算方法</w:t>
            </w:r>
          </w:p>
        </w:tc>
        <w:tc>
          <w:tcPr>
            <w:tcW w:w="6044" w:type="dxa"/>
            <w:vAlign w:val="center"/>
          </w:tcPr>
          <w:p w14:paraId="66631A2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1、符合政府采购优先采购政策的，产品只能享受节能产品、环境标志产品等产品优惠中的一项(由供应商在响应文件中选择并填报政策功能编码，评审时进行加分)。</w:t>
            </w:r>
          </w:p>
          <w:p w14:paraId="053E0F94">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2、供应商享受支持中小企业发展政策优惠的，可以与同时享受节能产品、环境标志产品等产品优惠中的一项累加。</w:t>
            </w:r>
          </w:p>
          <w:p w14:paraId="5EFB188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3、同一项目中部分产品属于优先采购政策的，评审时只对该部分产品的报价实行价格扣除或加分（按该部分产品的报价占总报价的百分比调整）。</w:t>
            </w:r>
          </w:p>
        </w:tc>
      </w:tr>
      <w:tr w14:paraId="4CD83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57DF7A8F">
            <w:pPr>
              <w:adjustRightInd w:val="0"/>
              <w:snapToGrid w:val="0"/>
              <w:spacing w:line="360" w:lineRule="auto"/>
              <w:rPr>
                <w:rFonts w:ascii="宋体" w:hAnsi="宋体" w:cs="宋体"/>
                <w:color w:val="auto"/>
                <w:szCs w:val="21"/>
                <w:highlight w:val="none"/>
              </w:rPr>
            </w:pPr>
            <w:r>
              <w:rPr>
                <w:rFonts w:hint="eastAsia" w:ascii="宋体" w:hAnsi="宋体" w:cs="宋体"/>
                <w:b/>
                <w:color w:val="auto"/>
                <w:szCs w:val="21"/>
                <w:highlight w:val="none"/>
              </w:rPr>
              <w:t>六、成交结果信息公布与授予合同</w:t>
            </w:r>
          </w:p>
        </w:tc>
      </w:tr>
      <w:tr w14:paraId="169114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424A6D38">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第二章第37.1款、</w:t>
            </w:r>
          </w:p>
        </w:tc>
        <w:tc>
          <w:tcPr>
            <w:tcW w:w="1620" w:type="dxa"/>
            <w:vAlign w:val="center"/>
          </w:tcPr>
          <w:p w14:paraId="4DACE3F2">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财政部门指定的媒体</w:t>
            </w:r>
          </w:p>
        </w:tc>
        <w:tc>
          <w:tcPr>
            <w:tcW w:w="6044" w:type="dxa"/>
            <w:vAlign w:val="center"/>
          </w:tcPr>
          <w:p w14:paraId="08EAF03A">
            <w:pPr>
              <w:adjustRightInd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《湖南政府采购网》（http://www.ccgp-hunan.gov.cn/）</w:t>
            </w:r>
          </w:p>
        </w:tc>
      </w:tr>
      <w:tr w14:paraId="0174CA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6C841A5">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第二章第39.3款</w:t>
            </w:r>
          </w:p>
        </w:tc>
        <w:tc>
          <w:tcPr>
            <w:tcW w:w="1620" w:type="dxa"/>
            <w:vAlign w:val="center"/>
          </w:tcPr>
          <w:p w14:paraId="1A6C98F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履约担保</w:t>
            </w:r>
          </w:p>
        </w:tc>
        <w:tc>
          <w:tcPr>
            <w:tcW w:w="6044" w:type="dxa"/>
            <w:vAlign w:val="center"/>
          </w:tcPr>
          <w:p w14:paraId="70A498EA">
            <w:pPr>
              <w:adjustRightInd w:val="0"/>
              <w:snapToGrid w:val="0"/>
              <w:spacing w:line="360" w:lineRule="auto"/>
              <w:rPr>
                <w:rFonts w:ascii="宋体" w:hAnsi="宋体" w:cs="宋体"/>
                <w:color w:val="auto"/>
                <w:szCs w:val="21"/>
                <w:highlight w:val="none"/>
              </w:rPr>
            </w:pPr>
            <w:r>
              <w:rPr>
                <w:rFonts w:hint="eastAsia" w:ascii="宋体" w:hAnsi="宋体" w:cs="宋体"/>
                <w:color w:val="auto"/>
                <w:highlight w:val="none"/>
              </w:rPr>
              <w:t>■</w:t>
            </w:r>
            <w:r>
              <w:rPr>
                <w:rFonts w:hint="eastAsia" w:ascii="宋体" w:hAnsi="宋体" w:cs="宋体"/>
                <w:color w:val="auto"/>
                <w:szCs w:val="21"/>
                <w:highlight w:val="none"/>
              </w:rPr>
              <w:t xml:space="preserve"> 不要求提供</w:t>
            </w:r>
          </w:p>
          <w:p w14:paraId="257E345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要求提供，履约担保的金额为：</w:t>
            </w:r>
          </w:p>
        </w:tc>
      </w:tr>
      <w:tr w14:paraId="178A1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08" w:type="dxa"/>
            <w:gridSpan w:val="3"/>
            <w:vAlign w:val="center"/>
          </w:tcPr>
          <w:p w14:paraId="1AC2693D">
            <w:pPr>
              <w:adjustRightInd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七、其他规定</w:t>
            </w:r>
          </w:p>
        </w:tc>
      </w:tr>
      <w:tr w14:paraId="693B3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3A48DF99">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第二章第41.1款</w:t>
            </w:r>
          </w:p>
        </w:tc>
        <w:tc>
          <w:tcPr>
            <w:tcW w:w="1620" w:type="dxa"/>
            <w:vAlign w:val="center"/>
          </w:tcPr>
          <w:p w14:paraId="3A987CB0">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采购代理服务费</w:t>
            </w:r>
          </w:p>
        </w:tc>
        <w:tc>
          <w:tcPr>
            <w:tcW w:w="6044" w:type="dxa"/>
            <w:vAlign w:val="center"/>
          </w:tcPr>
          <w:p w14:paraId="407F6B4E">
            <w:pPr>
              <w:adjustRightInd w:val="0"/>
              <w:snapToGrid w:val="0"/>
              <w:spacing w:line="360" w:lineRule="auto"/>
              <w:rPr>
                <w:rFonts w:hint="default" w:ascii="宋体" w:hAnsi="宋体" w:cs="宋体"/>
                <w:color w:val="auto"/>
                <w:szCs w:val="21"/>
                <w:highlight w:val="none"/>
                <w:lang w:val="en-US"/>
              </w:rPr>
            </w:pPr>
            <w:r>
              <w:rPr>
                <w:rFonts w:hint="eastAsia" w:asciiTheme="minorEastAsia" w:hAnsiTheme="minorEastAsia" w:eastAsiaTheme="minorEastAsia" w:cstheme="minorEastAsia"/>
                <w:color w:val="auto"/>
                <w:szCs w:val="21"/>
                <w:highlight w:val="none"/>
              </w:rPr>
              <w:t>本项目招标代理服务费</w:t>
            </w:r>
            <w:r>
              <w:rPr>
                <w:rFonts w:hint="eastAsia" w:asciiTheme="minorEastAsia" w:hAnsiTheme="minorEastAsia" w:eastAsiaTheme="minorEastAsia" w:cstheme="minorEastAsia"/>
                <w:color w:val="auto"/>
                <w:szCs w:val="21"/>
                <w:highlight w:val="none"/>
                <w:lang w:val="en-US" w:eastAsia="zh-CN"/>
              </w:rPr>
              <w:t>向采购人收取，代理服务费10700元。以转账形式支付。</w:t>
            </w:r>
          </w:p>
        </w:tc>
      </w:tr>
      <w:tr w14:paraId="782DFD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vAlign w:val="center"/>
          </w:tcPr>
          <w:p w14:paraId="68695601">
            <w:pPr>
              <w:adjustRightInd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第二章第42.1款</w:t>
            </w:r>
          </w:p>
        </w:tc>
        <w:tc>
          <w:tcPr>
            <w:tcW w:w="1620" w:type="dxa"/>
            <w:vAlign w:val="center"/>
          </w:tcPr>
          <w:p w14:paraId="4CCC5C45">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其他规定</w:t>
            </w:r>
          </w:p>
        </w:tc>
        <w:tc>
          <w:tcPr>
            <w:tcW w:w="6044" w:type="dxa"/>
            <w:vAlign w:val="center"/>
          </w:tcPr>
          <w:p w14:paraId="72A7D87D">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5AF3991">
            <w:pPr>
              <w:numPr>
                <w:ilvl w:val="0"/>
                <w:numId w:val="6"/>
              </w:numPr>
              <w:adjustRightInd w:val="0"/>
              <w:snapToGrid w:val="0"/>
              <w:spacing w:line="360" w:lineRule="auto"/>
              <w:rPr>
                <w:rFonts w:ascii="宋体" w:hAnsi="宋体" w:cs="宋体"/>
                <w:color w:val="auto"/>
                <w:szCs w:val="21"/>
                <w:highlight w:val="none"/>
              </w:rPr>
            </w:pPr>
            <w:r>
              <w:rPr>
                <w:rFonts w:hint="eastAsia" w:ascii="宋体" w:hAnsi="宋体" w:eastAsiaTheme="minorEastAsia" w:cstheme="minorBidi"/>
                <w:color w:val="auto"/>
                <w:szCs w:val="21"/>
                <w:highlight w:val="none"/>
              </w:rPr>
              <w:t>被“信用中国”网站（www.creditchina.gov.cn）列入失信被执行人和重大税收违法失信主体的、被“中国政府采购网”（www.ccgp.gov.cn）网站列入政府采购严重违法失信行为记录名单（处罚期限尚未届满的），不得参与本项目的政府采购活动；提供投标截止日前一个月内以上网站查询记录的网上截图</w:t>
            </w:r>
          </w:p>
          <w:p w14:paraId="67657EB8">
            <w:pPr>
              <w:numPr>
                <w:ilvl w:val="0"/>
                <w:numId w:val="6"/>
              </w:num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信用信息查询的截止时点：至本项目投标截止时间止。</w:t>
            </w:r>
          </w:p>
          <w:p w14:paraId="7E54CD5A">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3、信用信息查询记录的具体方式：采购人或采购代理机构在开标后在规定的查询渠道进行查询。</w:t>
            </w:r>
          </w:p>
          <w:p w14:paraId="409BFC01">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4、信用信息查询记录证据留存的具体方式：查询记录的网上打印件。</w:t>
            </w:r>
          </w:p>
          <w:p w14:paraId="5B8F3868">
            <w:pPr>
              <w:adjustRightInd w:val="0"/>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5、信用信息的使用规则：信用信息查询后交由评标委员会评定。</w:t>
            </w:r>
          </w:p>
          <w:p w14:paraId="60B55B44">
            <w:pPr>
              <w:pStyle w:val="2"/>
              <w:numPr>
                <w:numId w:val="0"/>
              </w:numPr>
              <w:rPr>
                <w:rFonts w:hint="eastAsia" w:eastAsia="宋体"/>
                <w:lang w:val="en-US" w:eastAsia="zh-CN"/>
              </w:rPr>
            </w:pPr>
            <w:r>
              <w:rPr>
                <w:rFonts w:hint="eastAsia" w:ascii="宋体" w:hAnsi="宋体" w:cs="宋体"/>
                <w:color w:val="auto"/>
                <w:szCs w:val="21"/>
                <w:highlight w:val="none"/>
                <w:lang w:val="en-US" w:eastAsia="zh-CN"/>
              </w:rPr>
              <w:t>6、</w:t>
            </w:r>
            <w:r>
              <w:rPr>
                <w:rFonts w:hint="eastAsia"/>
                <w:b/>
                <w:bCs/>
                <w:sz w:val="21"/>
                <w:szCs w:val="24"/>
              </w:rPr>
              <w:t>本文件所指公章仅指供应商在公安机关依法备案公章，带防伪码。</w:t>
            </w:r>
          </w:p>
        </w:tc>
      </w:tr>
      <w:tr w14:paraId="441B49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844" w:type="dxa"/>
            <w:shd w:val="clear"/>
            <w:vAlign w:val="center"/>
          </w:tcPr>
          <w:p w14:paraId="0A5B7B4F">
            <w:pPr>
              <w:keepLines/>
              <w:spacing w:line="460" w:lineRule="exact"/>
              <w:jc w:val="center"/>
              <w:rPr>
                <w:rFonts w:hint="eastAsia" w:ascii="宋体" w:hAnsi="宋体" w:eastAsia="宋体" w:cs="宋体"/>
                <w:kern w:val="2"/>
                <w:sz w:val="21"/>
                <w:szCs w:val="21"/>
                <w:lang w:val="en-US" w:eastAsia="zh-CN" w:bidi="ar-SA"/>
              </w:rPr>
            </w:pPr>
            <w:r>
              <w:rPr>
                <w:rFonts w:hint="eastAsia" w:ascii="宋体" w:hAnsi="宋体"/>
                <w:szCs w:val="21"/>
              </w:rPr>
              <w:t>第二章第42.1.2款</w:t>
            </w:r>
          </w:p>
        </w:tc>
        <w:tc>
          <w:tcPr>
            <w:tcW w:w="1620" w:type="dxa"/>
            <w:shd w:val="clear"/>
            <w:vAlign w:val="center"/>
          </w:tcPr>
          <w:p w14:paraId="705F28BA">
            <w:pPr>
              <w:keepLines/>
              <w:spacing w:line="460" w:lineRule="exact"/>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其他规定</w:t>
            </w:r>
          </w:p>
        </w:tc>
        <w:tc>
          <w:tcPr>
            <w:tcW w:w="6044" w:type="dxa"/>
            <w:shd w:val="clear"/>
            <w:vAlign w:val="center"/>
          </w:tcPr>
          <w:p w14:paraId="2F2C2D9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olor w:val="auto"/>
                <w:szCs w:val="21"/>
                <w:lang w:val="en-US" w:eastAsia="zh-CN"/>
              </w:rPr>
            </w:pPr>
            <w:r>
              <w:rPr>
                <w:rFonts w:hint="eastAsia" w:ascii="宋体" w:hAnsi="宋体"/>
                <w:b/>
                <w:bCs/>
                <w:color w:val="auto"/>
                <w:szCs w:val="21"/>
                <w:lang w:val="en-US" w:eastAsia="zh-CN"/>
              </w:rPr>
              <w:t>供应商参与评审的响应报价出现下列情形之一的，磋商小组应当启动异常低价响应审查程序</w:t>
            </w:r>
            <w:r>
              <w:rPr>
                <w:rFonts w:hint="eastAsia" w:ascii="宋体" w:hAnsi="宋体"/>
                <w:color w:val="auto"/>
                <w:szCs w:val="21"/>
                <w:lang w:val="en-US" w:eastAsia="zh-CN"/>
              </w:rPr>
              <w:t>：</w:t>
            </w:r>
          </w:p>
          <w:p w14:paraId="013F13A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olor w:val="auto"/>
                <w:szCs w:val="21"/>
                <w:lang w:val="en-US" w:eastAsia="zh-CN"/>
              </w:rPr>
            </w:pPr>
            <w:r>
              <w:rPr>
                <w:rFonts w:hint="eastAsia" w:ascii="宋体" w:hAnsi="宋体"/>
                <w:color w:val="auto"/>
                <w:szCs w:val="21"/>
                <w:lang w:val="en-US" w:eastAsia="zh-CN"/>
              </w:rPr>
              <w:t>（1）响应报价低于全部通过符合性审查供应商响应报价平均值65%的，即响应报价&lt;全部通过符合性审查供应商响应报价平均值×65%；</w:t>
            </w:r>
          </w:p>
          <w:p w14:paraId="3B61E21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olor w:val="auto"/>
                <w:szCs w:val="21"/>
                <w:lang w:val="en-US" w:eastAsia="zh-CN"/>
              </w:rPr>
            </w:pPr>
            <w:r>
              <w:rPr>
                <w:rFonts w:hint="eastAsia" w:ascii="宋体" w:hAnsi="宋体"/>
                <w:color w:val="auto"/>
                <w:szCs w:val="21"/>
                <w:lang w:val="en-US" w:eastAsia="zh-CN"/>
              </w:rPr>
              <w:t>（2）.响应报价低于通过符合性审查的次低报价供应商响应报价65%的，即响应报价&lt;通过符合性审查的次低报价供应商响应报价×65%；</w:t>
            </w:r>
          </w:p>
          <w:p w14:paraId="430264D6">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olor w:val="auto"/>
                <w:szCs w:val="21"/>
                <w:lang w:val="en-US" w:eastAsia="zh-CN"/>
              </w:rPr>
            </w:pPr>
            <w:r>
              <w:rPr>
                <w:rFonts w:hint="eastAsia" w:ascii="宋体" w:hAnsi="宋体"/>
                <w:color w:val="auto"/>
                <w:szCs w:val="21"/>
                <w:lang w:val="en-US" w:eastAsia="zh-CN"/>
              </w:rPr>
              <w:t>（3）响应报价低于采购项目最高限价65%的，即响应报价&lt;采购项目最高限价×65%；</w:t>
            </w:r>
          </w:p>
          <w:p w14:paraId="31BDA7E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color w:val="auto"/>
                <w:szCs w:val="21"/>
                <w:lang w:val="en-US" w:eastAsia="zh-CN"/>
              </w:rPr>
            </w:pPr>
            <w:r>
              <w:rPr>
                <w:rFonts w:hint="eastAsia" w:ascii="宋体" w:hAnsi="宋体"/>
                <w:color w:val="auto"/>
                <w:szCs w:val="21"/>
                <w:lang w:val="en-US" w:eastAsia="zh-CN"/>
              </w:rPr>
              <w:t>（4）评审委员会基于专业判断，认为供应商报价过低，有可能影响产品质量或者不能诚信履约的其他情形。</w:t>
            </w:r>
          </w:p>
          <w:p w14:paraId="7361F98C">
            <w:pPr>
              <w:keepLines/>
              <w:spacing w:line="240" w:lineRule="auto"/>
              <w:rPr>
                <w:rFonts w:hint="eastAsia" w:ascii="Calibri" w:hAnsi="Calibri" w:eastAsia="宋体" w:cs="Times New Roman"/>
                <w:kern w:val="2"/>
                <w:sz w:val="21"/>
                <w:szCs w:val="24"/>
                <w:lang w:val="en-US" w:eastAsia="zh-CN" w:bidi="ar-SA"/>
              </w:rPr>
            </w:pPr>
            <w:r>
              <w:rPr>
                <w:rFonts w:hint="eastAsia" w:ascii="宋体" w:hAnsi="宋体"/>
                <w:color w:val="auto"/>
                <w:szCs w:val="21"/>
                <w:lang w:val="en-US" w:eastAsia="zh-CN"/>
              </w:rPr>
              <w:t>2、磋商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磋商小组将其作为响应无效处理。</w:t>
            </w:r>
          </w:p>
        </w:tc>
      </w:tr>
    </w:tbl>
    <w:p w14:paraId="6487B06E">
      <w:pPr>
        <w:spacing w:line="360" w:lineRule="auto"/>
        <w:rPr>
          <w:rFonts w:ascii="黑体" w:eastAsia="黑体"/>
          <w:color w:val="auto"/>
          <w:sz w:val="24"/>
          <w:highlight w:val="none"/>
        </w:rPr>
      </w:pPr>
    </w:p>
    <w:p w14:paraId="6E09710D">
      <w:pPr>
        <w:rPr>
          <w:rFonts w:ascii="宋体" w:hAnsi="宋体"/>
          <w:b/>
          <w:bCs/>
          <w:color w:val="auto"/>
          <w:szCs w:val="21"/>
          <w:highlight w:val="none"/>
        </w:rPr>
      </w:pPr>
      <w:r>
        <w:rPr>
          <w:rFonts w:hint="eastAsia" w:ascii="宋体" w:hAnsi="宋体"/>
          <w:b/>
          <w:bCs/>
          <w:color w:val="auto"/>
          <w:szCs w:val="21"/>
          <w:highlight w:val="none"/>
        </w:rPr>
        <w:br w:type="page"/>
      </w:r>
    </w:p>
    <w:p w14:paraId="274F2306">
      <w:pPr>
        <w:widowControl w:val="0"/>
        <w:spacing w:beforeLines="50" w:line="360" w:lineRule="auto"/>
        <w:jc w:val="center"/>
        <w:rPr>
          <w:rFonts w:hint="eastAsia" w:ascii="宋体" w:hAnsi="宋体" w:eastAsia="宋体" w:cs="宋体"/>
          <w:bCs/>
          <w:color w:val="000000"/>
          <w:kern w:val="0"/>
          <w:sz w:val="21"/>
          <w:szCs w:val="21"/>
          <w:lang w:val="en-US" w:eastAsia="zh-CN" w:bidi="ar-SA"/>
        </w:rPr>
      </w:pPr>
      <w:r>
        <w:rPr>
          <w:rFonts w:hint="eastAsia" w:ascii="仿宋" w:hAnsi="仿宋" w:eastAsia="仿宋" w:cs="仿宋"/>
          <w:color w:val="auto"/>
          <w:kern w:val="0"/>
          <w:sz w:val="21"/>
          <w:szCs w:val="21"/>
          <w:highlight w:val="none"/>
          <w:lang w:val="en-US" w:eastAsia="zh-CN" w:bidi="ar-SA"/>
        </w:rPr>
        <w:t xml:space="preserve">  </w:t>
      </w:r>
      <w:r>
        <w:rPr>
          <w:rFonts w:hint="eastAsia" w:ascii="宋体" w:hAnsi="宋体" w:eastAsia="宋体" w:cs="宋体"/>
          <w:b/>
          <w:bCs w:val="0"/>
          <w:color w:val="000000"/>
          <w:kern w:val="0"/>
          <w:sz w:val="28"/>
          <w:szCs w:val="28"/>
          <w:lang w:val="en-US" w:eastAsia="zh-CN" w:bidi="ar-SA"/>
        </w:rPr>
        <w:t>政府采购招标文件“中标贷”推广介绍</w:t>
      </w:r>
    </w:p>
    <w:p w14:paraId="38854EDE">
      <w:pPr>
        <w:widowControl w:val="0"/>
        <w:spacing w:line="360" w:lineRule="auto"/>
        <w:ind w:firstLine="420"/>
        <w:jc w:val="both"/>
        <w:rPr>
          <w:rFonts w:hint="eastAsia" w:ascii="宋体" w:hAnsi="宋体" w:eastAsia="宋体" w:cs="宋体"/>
          <w:color w:val="000000"/>
          <w:kern w:val="0"/>
          <w:sz w:val="21"/>
          <w:szCs w:val="21"/>
          <w:lang w:val="en-US" w:eastAsia="zh-CN" w:bidi="ar-SA"/>
        </w:rPr>
      </w:pPr>
    </w:p>
    <w:p w14:paraId="7F106E76">
      <w:pPr>
        <w:widowControl w:val="0"/>
        <w:spacing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color w:val="000000"/>
          <w:kern w:val="0"/>
          <w:sz w:val="21"/>
          <w:szCs w:val="21"/>
          <w:lang w:val="en-US" w:eastAsia="zh-CN" w:bidi="ar-SA"/>
        </w:rPr>
        <w:t>为进一步优化营商环境，帮助企业解决融资难、融资贵的问题，所有在岳阳市成交的政府采购类项目，中标企业都可以通过中标贷平台在线向银行提出贷款申请。</w:t>
      </w:r>
    </w:p>
    <w:p w14:paraId="1ED382C4">
      <w:pPr>
        <w:widowControl w:val="0"/>
        <w:spacing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中标贷是银行、担保公司等金融机构以工程建设、政府采购合同为载体，以财政支付为保障，以企业参与公共资源交易形成的信用为融资依据，向中标企业发放的信用贷款。</w:t>
      </w:r>
    </w:p>
    <w:p w14:paraId="68EEBDFA">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一、中标贷的特点</w:t>
      </w:r>
    </w:p>
    <w:p w14:paraId="7310A396">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在线申请，快捷方便：中标企业用CA证书即可登录中标贷平台，进行在线申请。银行贷前、贷中调查需要的企业相关资料，都可以在线提交。</w:t>
      </w:r>
    </w:p>
    <w:p w14:paraId="070BFDA5">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信用贷款，无需抵押：凭中标通知书，中标合同即可申请，无需抵押。</w:t>
      </w:r>
    </w:p>
    <w:p w14:paraId="1F2A0C9B">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平台渠道，利率优惠：相比其他渠道的同类贷款，银行针对中标贷给出的利率优惠力度更大。</w:t>
      </w:r>
    </w:p>
    <w:p w14:paraId="0326EEE8">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专用产品，放款快速：银行提供专用产品匹配中标贷，中标企业提交中标合同、约定还款账号等关键资料后，符合条件的，不超过15天即可放款。</w:t>
      </w:r>
    </w:p>
    <w:p w14:paraId="1949364E">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二、中标贷的操作</w:t>
      </w:r>
    </w:p>
    <w:p w14:paraId="5F39C8DA">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登录入口：</w:t>
      </w:r>
    </w:p>
    <w:p w14:paraId="6FF066E8">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岳阳市公共资源交易中心官网-中标贷平台，</w:t>
      </w:r>
    </w:p>
    <w:p w14:paraId="069B2B8F">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或https://hnyy.biddingloan.com</w:t>
      </w:r>
    </w:p>
    <w:p w14:paraId="5B97DB28">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登录工具：企业CA（湖南CA办理电话：0730-8181828）</w:t>
      </w:r>
    </w:p>
    <w:p w14:paraId="37084E4B">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贷款申请：详见“中标贷操作手册 ”。</w:t>
      </w:r>
    </w:p>
    <w:p w14:paraId="28D9DB48">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岳阳市公共资源交易中心官网-办事服务-政府采购-【中标贷手册V1.2.4】，或下载</w:t>
      </w:r>
    </w:p>
    <w:p w14:paraId="031A3CDE">
      <w:pPr>
        <w:widowControl w:val="0"/>
        <w:spacing w:line="360" w:lineRule="auto"/>
        <w:ind w:firstLine="420" w:firstLineChars="200"/>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HYPERLINK "http://ggzy.yueyang.gov.cn/uploadfiles/202009/20200917151230447.pdf" </w:instrText>
      </w:r>
      <w:r>
        <w:rPr>
          <w:rFonts w:hint="eastAsia" w:ascii="宋体" w:hAnsi="宋体" w:eastAsia="宋体" w:cs="宋体"/>
          <w:kern w:val="0"/>
          <w:sz w:val="21"/>
          <w:szCs w:val="21"/>
          <w:lang w:val="en-US" w:eastAsia="zh-CN" w:bidi="ar-SA"/>
        </w:rPr>
        <w:fldChar w:fldCharType="separate"/>
      </w:r>
      <w:r>
        <w:rPr>
          <w:rStyle w:val="64"/>
          <w:rFonts w:hint="eastAsia" w:ascii="宋体" w:hAnsi="宋体" w:eastAsia="宋体" w:cs="宋体"/>
          <w:kern w:val="2"/>
          <w:sz w:val="21"/>
          <w:szCs w:val="21"/>
          <w:lang w:val="en-US" w:eastAsia="zh-CN" w:bidi="ar-SA"/>
        </w:rPr>
        <w:t>http://ggzy.yueyang.gov.cn/uploadfiles/202009/20200917151230447.pdf</w:t>
      </w:r>
      <w:r>
        <w:rPr>
          <w:rStyle w:val="64"/>
          <w:rFonts w:hint="eastAsia" w:ascii="宋体" w:hAnsi="宋体" w:eastAsia="宋体" w:cs="宋体"/>
          <w:kern w:val="2"/>
          <w:sz w:val="21"/>
          <w:szCs w:val="21"/>
          <w:lang w:val="en-US" w:eastAsia="zh-CN" w:bidi="ar-SA"/>
        </w:rPr>
        <w:fldChar w:fldCharType="end"/>
      </w:r>
    </w:p>
    <w:p w14:paraId="5018B733">
      <w:pPr>
        <w:widowControl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三、业务咨询电话</w:t>
      </w:r>
    </w:p>
    <w:p w14:paraId="4E0B91A3">
      <w:pPr>
        <w:widowControl w:val="0"/>
        <w:autoSpaceDN w:val="0"/>
        <w:spacing w:line="360" w:lineRule="auto"/>
        <w:ind w:firstLine="420" w:firstLineChars="200"/>
        <w:jc w:val="both"/>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0730-2966626，张女士</w:t>
      </w:r>
    </w:p>
    <w:p w14:paraId="44D0A4B4">
      <w:pPr>
        <w:keepNext/>
        <w:widowControl w:val="0"/>
        <w:ind w:firstLine="420" w:firstLineChars="200"/>
        <w:jc w:val="left"/>
        <w:outlineLvl w:val="9"/>
        <w:rPr>
          <w:rFonts w:hint="eastAsia" w:ascii="宋体" w:hAnsi="宋体" w:eastAsia="宋体" w:cs="宋体"/>
          <w:b w:val="0"/>
          <w:bCs w:val="0"/>
          <w:color w:val="000000"/>
          <w:kern w:val="0"/>
          <w:sz w:val="24"/>
          <w:szCs w:val="21"/>
          <w:lang w:val="en-US" w:eastAsia="zh-CN" w:bidi="ar-SA"/>
        </w:rPr>
      </w:pPr>
      <w:r>
        <w:rPr>
          <w:rFonts w:hint="eastAsia" w:ascii="宋体" w:hAnsi="宋体" w:eastAsia="宋体" w:cs="宋体"/>
          <w:b w:val="0"/>
          <w:bCs w:val="0"/>
          <w:color w:val="000000"/>
          <w:kern w:val="2"/>
          <w:sz w:val="21"/>
          <w:szCs w:val="21"/>
          <w:lang w:val="en-US" w:eastAsia="zh-CN" w:bidi="ar-SA"/>
        </w:rPr>
        <w:t>1</w:t>
      </w:r>
      <w:r>
        <w:rPr>
          <w:rFonts w:hint="eastAsia" w:ascii="宋体" w:hAnsi="宋体" w:eastAsia="宋体" w:cs="宋体"/>
          <w:b w:val="0"/>
          <w:bCs w:val="0"/>
          <w:color w:val="000000"/>
          <w:kern w:val="0"/>
          <w:sz w:val="21"/>
          <w:szCs w:val="21"/>
          <w:lang w:val="en-US" w:eastAsia="zh-CN" w:bidi="ar-SA"/>
        </w:rPr>
        <w:t>6673063296，陈工</w:t>
      </w:r>
    </w:p>
    <w:p w14:paraId="3AF81611">
      <w:pPr>
        <w:adjustRightInd w:val="0"/>
        <w:snapToGrid w:val="0"/>
        <w:spacing w:line="360" w:lineRule="auto"/>
        <w:rPr>
          <w:rFonts w:hint="eastAsia" w:ascii="仿宋" w:hAnsi="仿宋" w:eastAsia="仿宋" w:cs="仿宋"/>
          <w:color w:val="auto"/>
          <w:kern w:val="0"/>
          <w:szCs w:val="21"/>
          <w:highlight w:val="none"/>
        </w:rPr>
        <w:sectPr>
          <w:pgSz w:w="11906" w:h="16838"/>
          <w:pgMar w:top="1440" w:right="1531" w:bottom="1440" w:left="1531" w:header="851" w:footer="992" w:gutter="0"/>
          <w:pgNumType w:fmt="decimal"/>
          <w:cols w:space="720" w:num="1"/>
          <w:docGrid w:type="lines" w:linePitch="312" w:charSpace="0"/>
        </w:sectPr>
      </w:pPr>
      <w:r>
        <w:rPr>
          <w:rFonts w:hint="eastAsia" w:ascii="仿宋" w:hAnsi="仿宋" w:eastAsia="仿宋" w:cs="仿宋"/>
          <w:color w:val="auto"/>
          <w:kern w:val="0"/>
          <w:szCs w:val="21"/>
          <w:highlight w:val="none"/>
        </w:rPr>
        <w:t xml:space="preserve">                                             年  月  日</w:t>
      </w:r>
    </w:p>
    <w:p w14:paraId="0C0D58B5">
      <w:pPr>
        <w:adjustRightInd w:val="0"/>
        <w:snapToGrid w:val="0"/>
        <w:spacing w:line="360" w:lineRule="auto"/>
        <w:outlineLvl w:val="1"/>
        <w:rPr>
          <w:rFonts w:ascii="宋体" w:hAnsi="宋体"/>
          <w:b/>
          <w:bCs/>
          <w:color w:val="auto"/>
          <w:szCs w:val="21"/>
          <w:highlight w:val="none"/>
        </w:rPr>
      </w:pPr>
      <w:r>
        <w:rPr>
          <w:rFonts w:hint="eastAsia" w:ascii="宋体" w:hAnsi="宋体"/>
          <w:b/>
          <w:bCs/>
          <w:color w:val="auto"/>
          <w:szCs w:val="21"/>
          <w:highlight w:val="none"/>
        </w:rPr>
        <w:t>附页1</w:t>
      </w:r>
    </w:p>
    <w:p w14:paraId="272D5C03">
      <w:pPr>
        <w:adjustRightInd w:val="0"/>
        <w:snapToGrid w:val="0"/>
        <w:spacing w:line="360" w:lineRule="auto"/>
        <w:jc w:val="center"/>
        <w:outlineLvl w:val="1"/>
        <w:rPr>
          <w:rFonts w:ascii="宋体" w:hAnsi="宋体"/>
          <w:b/>
          <w:bCs/>
          <w:color w:val="auto"/>
          <w:sz w:val="28"/>
          <w:szCs w:val="28"/>
          <w:highlight w:val="none"/>
        </w:rPr>
      </w:pPr>
      <w:r>
        <w:rPr>
          <w:rFonts w:hint="eastAsia" w:ascii="宋体" w:hAnsi="宋体" w:cs="宋体"/>
          <w:b/>
          <w:bCs/>
          <w:color w:val="auto"/>
          <w:kern w:val="0"/>
          <w:sz w:val="28"/>
          <w:szCs w:val="28"/>
          <w:highlight w:val="none"/>
        </w:rPr>
        <w:t>湖南省政府采购支持中小企业融资合作银行及联系人名单</w:t>
      </w:r>
    </w:p>
    <w:tbl>
      <w:tblPr>
        <w:tblStyle w:val="26"/>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24EA0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4A34714F">
            <w:pPr>
              <w:adjustRightInd w:val="0"/>
              <w:snapToGrid w:val="0"/>
              <w:spacing w:before="156" w:beforeLines="50" w:line="360" w:lineRule="auto"/>
              <w:jc w:val="center"/>
              <w:rPr>
                <w:rFonts w:ascii="宋体" w:hAnsi="宋体"/>
                <w:b/>
                <w:color w:val="auto"/>
                <w:szCs w:val="21"/>
                <w:highlight w:val="none"/>
              </w:rPr>
            </w:pPr>
            <w:r>
              <w:rPr>
                <w:rFonts w:hint="eastAsia" w:ascii="宋体" w:hAnsi="宋体" w:cs="宋体"/>
                <w:b/>
                <w:bCs/>
                <w:color w:val="auto"/>
                <w:kern w:val="0"/>
                <w:szCs w:val="21"/>
                <w:highlight w:val="none"/>
              </w:rPr>
              <w:t>银行名称</w:t>
            </w:r>
          </w:p>
        </w:tc>
        <w:tc>
          <w:tcPr>
            <w:tcW w:w="1080" w:type="dxa"/>
            <w:vAlign w:val="center"/>
          </w:tcPr>
          <w:p w14:paraId="2D28D966">
            <w:pPr>
              <w:adjustRightInd w:val="0"/>
              <w:snapToGrid w:val="0"/>
              <w:spacing w:before="156" w:beforeLines="50" w:line="360" w:lineRule="auto"/>
              <w:jc w:val="center"/>
              <w:rPr>
                <w:rFonts w:ascii="宋体" w:hAnsi="宋体"/>
                <w:b/>
                <w:color w:val="auto"/>
                <w:szCs w:val="21"/>
                <w:highlight w:val="none"/>
              </w:rPr>
            </w:pPr>
            <w:r>
              <w:rPr>
                <w:rFonts w:hint="eastAsia" w:ascii="宋体" w:hAnsi="宋体" w:cs="宋体"/>
                <w:b/>
                <w:bCs/>
                <w:color w:val="auto"/>
                <w:kern w:val="0"/>
                <w:szCs w:val="21"/>
                <w:highlight w:val="none"/>
              </w:rPr>
              <w:t>联系人</w:t>
            </w:r>
          </w:p>
        </w:tc>
        <w:tc>
          <w:tcPr>
            <w:tcW w:w="3060" w:type="dxa"/>
            <w:vAlign w:val="center"/>
          </w:tcPr>
          <w:p w14:paraId="16603F28">
            <w:pPr>
              <w:adjustRightInd w:val="0"/>
              <w:snapToGrid w:val="0"/>
              <w:spacing w:before="156" w:beforeLines="50" w:line="360" w:lineRule="auto"/>
              <w:jc w:val="center"/>
              <w:rPr>
                <w:rFonts w:ascii="宋体" w:hAnsi="宋体"/>
                <w:b/>
                <w:color w:val="auto"/>
                <w:szCs w:val="21"/>
                <w:highlight w:val="none"/>
              </w:rPr>
            </w:pPr>
            <w:r>
              <w:rPr>
                <w:rFonts w:hint="eastAsia" w:ascii="宋体" w:hAnsi="宋体" w:cs="宋体"/>
                <w:b/>
                <w:bCs/>
                <w:color w:val="auto"/>
                <w:kern w:val="0"/>
                <w:szCs w:val="21"/>
                <w:highlight w:val="none"/>
              </w:rPr>
              <w:t>职 务</w:t>
            </w:r>
          </w:p>
        </w:tc>
        <w:tc>
          <w:tcPr>
            <w:tcW w:w="2340" w:type="dxa"/>
            <w:vAlign w:val="center"/>
          </w:tcPr>
          <w:p w14:paraId="5A3AE50E">
            <w:pPr>
              <w:adjustRightInd w:val="0"/>
              <w:snapToGrid w:val="0"/>
              <w:spacing w:before="156" w:beforeLines="50" w:line="360" w:lineRule="auto"/>
              <w:jc w:val="center"/>
              <w:rPr>
                <w:rFonts w:ascii="宋体" w:hAnsi="宋体"/>
                <w:b/>
                <w:color w:val="auto"/>
                <w:szCs w:val="21"/>
                <w:highlight w:val="none"/>
              </w:rPr>
            </w:pPr>
            <w:r>
              <w:rPr>
                <w:rFonts w:hint="eastAsia" w:ascii="宋体" w:hAnsi="宋体" w:cs="宋体"/>
                <w:b/>
                <w:bCs/>
                <w:color w:val="auto"/>
                <w:kern w:val="0"/>
                <w:szCs w:val="21"/>
                <w:highlight w:val="none"/>
              </w:rPr>
              <w:t>联系电话</w:t>
            </w:r>
          </w:p>
        </w:tc>
      </w:tr>
      <w:tr w14:paraId="5D5EE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07B1A410">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交通银行湖南省分行</w:t>
            </w:r>
          </w:p>
        </w:tc>
        <w:tc>
          <w:tcPr>
            <w:tcW w:w="1080" w:type="dxa"/>
            <w:vAlign w:val="center"/>
          </w:tcPr>
          <w:p w14:paraId="01CB0CA1">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刘  波</w:t>
            </w:r>
          </w:p>
        </w:tc>
        <w:tc>
          <w:tcPr>
            <w:tcW w:w="3060" w:type="dxa"/>
            <w:vAlign w:val="center"/>
          </w:tcPr>
          <w:p w14:paraId="71544DB8">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名城支行客户经理</w:t>
            </w:r>
          </w:p>
        </w:tc>
        <w:tc>
          <w:tcPr>
            <w:tcW w:w="2340" w:type="dxa"/>
            <w:vAlign w:val="center"/>
          </w:tcPr>
          <w:p w14:paraId="38FF0DAB">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13874998873</w:t>
            </w:r>
          </w:p>
        </w:tc>
      </w:tr>
      <w:tr w14:paraId="3875D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455E78C3">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交通银行湖南省分行</w:t>
            </w:r>
          </w:p>
        </w:tc>
        <w:tc>
          <w:tcPr>
            <w:tcW w:w="1080" w:type="dxa"/>
            <w:vAlign w:val="center"/>
          </w:tcPr>
          <w:p w14:paraId="03D2E893">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肖勇光</w:t>
            </w:r>
          </w:p>
        </w:tc>
        <w:tc>
          <w:tcPr>
            <w:tcW w:w="3060" w:type="dxa"/>
            <w:vAlign w:val="center"/>
          </w:tcPr>
          <w:p w14:paraId="733A8F95">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分行高级经理</w:t>
            </w:r>
          </w:p>
        </w:tc>
        <w:tc>
          <w:tcPr>
            <w:tcW w:w="2340" w:type="dxa"/>
            <w:vAlign w:val="center"/>
          </w:tcPr>
          <w:p w14:paraId="455357E3">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13755192647</w:t>
            </w:r>
          </w:p>
        </w:tc>
      </w:tr>
      <w:tr w14:paraId="2BF92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2B483BEA">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中国民生银行长沙分行</w:t>
            </w:r>
          </w:p>
        </w:tc>
        <w:tc>
          <w:tcPr>
            <w:tcW w:w="1080" w:type="dxa"/>
            <w:vAlign w:val="center"/>
          </w:tcPr>
          <w:p w14:paraId="40C2DF82">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黄飞燕</w:t>
            </w:r>
          </w:p>
        </w:tc>
        <w:tc>
          <w:tcPr>
            <w:tcW w:w="3060" w:type="dxa"/>
            <w:vAlign w:val="center"/>
          </w:tcPr>
          <w:p w14:paraId="4469C1D3">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营业部总经理</w:t>
            </w:r>
          </w:p>
        </w:tc>
        <w:tc>
          <w:tcPr>
            <w:tcW w:w="2340" w:type="dxa"/>
            <w:vAlign w:val="center"/>
          </w:tcPr>
          <w:p w14:paraId="5730E0DF">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13308463468</w:t>
            </w:r>
          </w:p>
        </w:tc>
      </w:tr>
      <w:tr w14:paraId="45D2F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26505571">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中国民生银行长沙分行</w:t>
            </w:r>
          </w:p>
        </w:tc>
        <w:tc>
          <w:tcPr>
            <w:tcW w:w="1080" w:type="dxa"/>
            <w:vAlign w:val="center"/>
          </w:tcPr>
          <w:p w14:paraId="6732FBF0">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蒋寒奇</w:t>
            </w:r>
          </w:p>
        </w:tc>
        <w:tc>
          <w:tcPr>
            <w:tcW w:w="3060" w:type="dxa"/>
            <w:vAlign w:val="center"/>
          </w:tcPr>
          <w:p w14:paraId="7FBDDD23">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营业部中小企业客户经理</w:t>
            </w:r>
          </w:p>
        </w:tc>
        <w:tc>
          <w:tcPr>
            <w:tcW w:w="2340" w:type="dxa"/>
            <w:vAlign w:val="center"/>
          </w:tcPr>
          <w:p w14:paraId="4378F3BE">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13548982975</w:t>
            </w:r>
          </w:p>
        </w:tc>
      </w:tr>
      <w:tr w14:paraId="5463E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17AF268C">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兴业银行长沙分行</w:t>
            </w:r>
          </w:p>
        </w:tc>
        <w:tc>
          <w:tcPr>
            <w:tcW w:w="1080" w:type="dxa"/>
            <w:vAlign w:val="center"/>
          </w:tcPr>
          <w:p w14:paraId="762E59C4">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刘栅延</w:t>
            </w:r>
          </w:p>
        </w:tc>
        <w:tc>
          <w:tcPr>
            <w:tcW w:w="3060" w:type="dxa"/>
            <w:vAlign w:val="center"/>
          </w:tcPr>
          <w:p w14:paraId="29A61A18">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支行行长</w:t>
            </w:r>
          </w:p>
        </w:tc>
        <w:tc>
          <w:tcPr>
            <w:tcW w:w="2340" w:type="dxa"/>
            <w:vAlign w:val="center"/>
          </w:tcPr>
          <w:p w14:paraId="6A8848E4">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13337316405</w:t>
            </w:r>
          </w:p>
        </w:tc>
      </w:tr>
      <w:tr w14:paraId="43262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75962BDE">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兴业银行长沙分行</w:t>
            </w:r>
          </w:p>
        </w:tc>
        <w:tc>
          <w:tcPr>
            <w:tcW w:w="1080" w:type="dxa"/>
            <w:vAlign w:val="center"/>
          </w:tcPr>
          <w:p w14:paraId="4C6CF816">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蒋修远</w:t>
            </w:r>
          </w:p>
        </w:tc>
        <w:tc>
          <w:tcPr>
            <w:tcW w:w="3060" w:type="dxa"/>
            <w:vAlign w:val="center"/>
          </w:tcPr>
          <w:p w14:paraId="6A3E2E2A">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支行客户经理</w:t>
            </w:r>
          </w:p>
        </w:tc>
        <w:tc>
          <w:tcPr>
            <w:tcW w:w="2340" w:type="dxa"/>
            <w:vAlign w:val="center"/>
          </w:tcPr>
          <w:p w14:paraId="024D9EAF">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18607310422</w:t>
            </w:r>
          </w:p>
        </w:tc>
      </w:tr>
      <w:tr w14:paraId="3E849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DD5818A">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中国光大银行长沙分行</w:t>
            </w:r>
          </w:p>
        </w:tc>
        <w:tc>
          <w:tcPr>
            <w:tcW w:w="1080" w:type="dxa"/>
            <w:vAlign w:val="center"/>
          </w:tcPr>
          <w:p w14:paraId="51D371A2">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邓永胜</w:t>
            </w:r>
          </w:p>
        </w:tc>
        <w:tc>
          <w:tcPr>
            <w:tcW w:w="3060" w:type="dxa"/>
            <w:vAlign w:val="center"/>
          </w:tcPr>
          <w:p w14:paraId="43578F84">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岳麓支行副行长</w:t>
            </w:r>
          </w:p>
        </w:tc>
        <w:tc>
          <w:tcPr>
            <w:tcW w:w="2340" w:type="dxa"/>
            <w:vAlign w:val="center"/>
          </w:tcPr>
          <w:p w14:paraId="66696D91">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13617319650</w:t>
            </w:r>
          </w:p>
        </w:tc>
      </w:tr>
      <w:tr w14:paraId="1DCF76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5A52794">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中信银行长沙分行</w:t>
            </w:r>
          </w:p>
        </w:tc>
        <w:tc>
          <w:tcPr>
            <w:tcW w:w="1080" w:type="dxa"/>
            <w:vAlign w:val="center"/>
          </w:tcPr>
          <w:p w14:paraId="7CA40735">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蔡学军</w:t>
            </w:r>
          </w:p>
        </w:tc>
        <w:tc>
          <w:tcPr>
            <w:tcW w:w="3060" w:type="dxa"/>
            <w:vAlign w:val="center"/>
          </w:tcPr>
          <w:p w14:paraId="07CF4991">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公司银行部负责人</w:t>
            </w:r>
          </w:p>
        </w:tc>
        <w:tc>
          <w:tcPr>
            <w:tcW w:w="2340" w:type="dxa"/>
            <w:vAlign w:val="center"/>
          </w:tcPr>
          <w:p w14:paraId="2EC6F94B">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13055167195</w:t>
            </w:r>
          </w:p>
        </w:tc>
      </w:tr>
      <w:tr w14:paraId="67AC8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7F830CB0">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中信银行长沙分行</w:t>
            </w:r>
          </w:p>
        </w:tc>
        <w:tc>
          <w:tcPr>
            <w:tcW w:w="1080" w:type="dxa"/>
            <w:vAlign w:val="center"/>
          </w:tcPr>
          <w:p w14:paraId="0C5798F8">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宋学农</w:t>
            </w:r>
          </w:p>
        </w:tc>
        <w:tc>
          <w:tcPr>
            <w:tcW w:w="3060" w:type="dxa"/>
            <w:vAlign w:val="center"/>
          </w:tcPr>
          <w:p w14:paraId="1BFBF9EF">
            <w:pP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kern w:val="0"/>
                <w:szCs w:val="21"/>
                <w:highlight w:val="none"/>
              </w:rPr>
              <w:t>银行部综合管理部副总经理</w:t>
            </w:r>
          </w:p>
        </w:tc>
        <w:tc>
          <w:tcPr>
            <w:tcW w:w="2340" w:type="dxa"/>
            <w:vAlign w:val="center"/>
          </w:tcPr>
          <w:p w14:paraId="603100EC">
            <w:pPr>
              <w:adjustRightInd w:val="0"/>
              <w:snapToGrid w:val="0"/>
              <w:spacing w:before="156" w:beforeLines="50" w:line="360" w:lineRule="auto"/>
              <w:jc w:val="center"/>
              <w:rPr>
                <w:rFonts w:ascii="宋体" w:hAnsi="宋体"/>
                <w:color w:val="auto"/>
                <w:szCs w:val="21"/>
                <w:highlight w:val="none"/>
              </w:rPr>
            </w:pPr>
            <w:r>
              <w:rPr>
                <w:rFonts w:hint="eastAsia" w:ascii="宋体" w:hAnsi="宋体" w:cs="宋体"/>
                <w:color w:val="auto"/>
                <w:kern w:val="0"/>
                <w:szCs w:val="21"/>
                <w:highlight w:val="none"/>
              </w:rPr>
              <w:t>0731-845822141</w:t>
            </w:r>
          </w:p>
        </w:tc>
      </w:tr>
    </w:tbl>
    <w:p w14:paraId="6F372B7A">
      <w:pPr>
        <w:adjustRightInd w:val="0"/>
        <w:snapToGrid w:val="0"/>
        <w:spacing w:line="360" w:lineRule="auto"/>
        <w:rPr>
          <w:rFonts w:ascii="宋体" w:hAnsi="宋体"/>
          <w:b/>
          <w:bCs/>
          <w:color w:val="auto"/>
          <w:szCs w:val="21"/>
          <w:highlight w:val="none"/>
        </w:rPr>
      </w:pPr>
    </w:p>
    <w:p w14:paraId="141CBBAD">
      <w:pPr>
        <w:adjustRightInd w:val="0"/>
        <w:snapToGrid w:val="0"/>
        <w:spacing w:line="360" w:lineRule="auto"/>
        <w:rPr>
          <w:rFonts w:ascii="宋体" w:hAnsi="宋体"/>
          <w:b/>
          <w:bCs/>
          <w:color w:val="auto"/>
          <w:szCs w:val="21"/>
          <w:highlight w:val="none"/>
        </w:rPr>
      </w:pPr>
    </w:p>
    <w:p w14:paraId="574B9B5C">
      <w:pPr>
        <w:adjustRightInd w:val="0"/>
        <w:snapToGrid w:val="0"/>
        <w:spacing w:line="360" w:lineRule="auto"/>
        <w:outlineLvl w:val="1"/>
        <w:rPr>
          <w:rFonts w:ascii="宋体" w:hAnsi="宋体"/>
          <w:b/>
          <w:bCs/>
          <w:color w:val="auto"/>
          <w:szCs w:val="21"/>
          <w:highlight w:val="none"/>
        </w:rPr>
      </w:pPr>
      <w:r>
        <w:rPr>
          <w:rFonts w:hint="eastAsia" w:ascii="宋体" w:hAnsi="宋体"/>
          <w:b/>
          <w:bCs/>
          <w:color w:val="auto"/>
          <w:szCs w:val="21"/>
          <w:highlight w:val="none"/>
        </w:rPr>
        <w:t>附页2</w:t>
      </w:r>
    </w:p>
    <w:p w14:paraId="0A60762C">
      <w:pPr>
        <w:adjustRightInd w:val="0"/>
        <w:snapToGrid w:val="0"/>
        <w:spacing w:line="360" w:lineRule="auto"/>
        <w:jc w:val="center"/>
        <w:outlineLvl w:val="1"/>
        <w:rPr>
          <w:rFonts w:ascii="宋体" w:hAnsi="宋体"/>
          <w:b/>
          <w:bCs/>
          <w:color w:val="auto"/>
          <w:sz w:val="28"/>
          <w:szCs w:val="28"/>
          <w:highlight w:val="none"/>
        </w:rPr>
      </w:pPr>
      <w:r>
        <w:rPr>
          <w:rFonts w:hint="eastAsia" w:ascii="宋体" w:hAnsi="宋体" w:cs="宋体"/>
          <w:b/>
          <w:bCs/>
          <w:color w:val="auto"/>
          <w:kern w:val="0"/>
          <w:sz w:val="28"/>
          <w:szCs w:val="28"/>
          <w:highlight w:val="none"/>
        </w:rPr>
        <w:t>湖南省政府采购信用担保试点工作的</w:t>
      </w:r>
      <w:r>
        <w:rPr>
          <w:rFonts w:hint="eastAsia" w:ascii="宋体" w:hAnsi="宋体"/>
          <w:b/>
          <w:color w:val="auto"/>
          <w:sz w:val="28"/>
          <w:szCs w:val="28"/>
          <w:highlight w:val="none"/>
        </w:rPr>
        <w:t>信用担保机构名单</w:t>
      </w:r>
    </w:p>
    <w:tbl>
      <w:tblPr>
        <w:tblStyle w:val="26"/>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1CC03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5ECB3CCA">
            <w:pPr>
              <w:adjustRightInd w:val="0"/>
              <w:snapToGrid w:val="0"/>
              <w:spacing w:line="240" w:lineRule="exact"/>
              <w:jc w:val="center"/>
              <w:rPr>
                <w:rFonts w:ascii="宋体" w:hAnsi="宋体" w:cs="宋体"/>
                <w:b/>
                <w:bCs/>
                <w:color w:val="auto"/>
                <w:kern w:val="0"/>
                <w:szCs w:val="21"/>
                <w:highlight w:val="none"/>
              </w:rPr>
            </w:pPr>
            <w:r>
              <w:rPr>
                <w:rFonts w:hint="eastAsia" w:ascii="宋体" w:hAnsi="宋体"/>
                <w:b/>
                <w:color w:val="auto"/>
                <w:szCs w:val="21"/>
                <w:highlight w:val="none"/>
              </w:rPr>
              <w:t>信用担保机构</w:t>
            </w:r>
          </w:p>
        </w:tc>
        <w:tc>
          <w:tcPr>
            <w:tcW w:w="1080" w:type="dxa"/>
            <w:vAlign w:val="center"/>
          </w:tcPr>
          <w:p w14:paraId="70D2153A">
            <w:pPr>
              <w:adjustRightInd w:val="0"/>
              <w:snapToGrid w:val="0"/>
              <w:spacing w:line="240" w:lineRule="exact"/>
              <w:jc w:val="center"/>
              <w:rPr>
                <w:rFonts w:ascii="宋体" w:hAnsi="宋体" w:cs="宋体"/>
                <w:b/>
                <w:bCs/>
                <w:color w:val="auto"/>
                <w:kern w:val="0"/>
                <w:szCs w:val="21"/>
                <w:highlight w:val="none"/>
              </w:rPr>
            </w:pPr>
            <w:r>
              <w:rPr>
                <w:rFonts w:hint="eastAsia" w:ascii="宋体" w:hAnsi="宋体"/>
                <w:b/>
                <w:color w:val="auto"/>
                <w:szCs w:val="21"/>
                <w:highlight w:val="none"/>
              </w:rPr>
              <w:t>联系人</w:t>
            </w:r>
          </w:p>
        </w:tc>
        <w:tc>
          <w:tcPr>
            <w:tcW w:w="3780" w:type="dxa"/>
            <w:vAlign w:val="center"/>
          </w:tcPr>
          <w:p w14:paraId="0E2256F0">
            <w:pPr>
              <w:adjustRightInd w:val="0"/>
              <w:snapToGrid w:val="0"/>
              <w:spacing w:line="240" w:lineRule="exact"/>
              <w:jc w:val="center"/>
              <w:rPr>
                <w:rFonts w:ascii="宋体" w:hAnsi="宋体" w:cs="宋体"/>
                <w:b/>
                <w:bCs/>
                <w:color w:val="auto"/>
                <w:kern w:val="0"/>
                <w:szCs w:val="21"/>
                <w:highlight w:val="none"/>
              </w:rPr>
            </w:pPr>
            <w:r>
              <w:rPr>
                <w:rFonts w:hint="eastAsia" w:ascii="宋体" w:hAnsi="宋体"/>
                <w:b/>
                <w:color w:val="auto"/>
                <w:szCs w:val="21"/>
                <w:highlight w:val="none"/>
              </w:rPr>
              <w:t>联系电话</w:t>
            </w:r>
          </w:p>
        </w:tc>
      </w:tr>
      <w:tr w14:paraId="2DE15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54A218B3">
            <w:pPr>
              <w:adjustRightInd w:val="0"/>
              <w:snapToGrid w:val="0"/>
              <w:spacing w:line="360" w:lineRule="auto"/>
              <w:jc w:val="left"/>
              <w:rPr>
                <w:rFonts w:ascii="宋体" w:hAnsi="宋体" w:cs="宋体"/>
                <w:bCs/>
                <w:color w:val="auto"/>
                <w:kern w:val="0"/>
                <w:szCs w:val="21"/>
                <w:highlight w:val="none"/>
              </w:rPr>
            </w:pPr>
            <w:r>
              <w:rPr>
                <w:rFonts w:hint="eastAsia" w:ascii="宋体" w:hAnsi="宋体"/>
                <w:color w:val="auto"/>
                <w:szCs w:val="21"/>
                <w:highlight w:val="none"/>
              </w:rPr>
              <w:t>中国投资担保公司</w:t>
            </w:r>
          </w:p>
        </w:tc>
        <w:tc>
          <w:tcPr>
            <w:tcW w:w="1080" w:type="dxa"/>
            <w:vAlign w:val="center"/>
          </w:tcPr>
          <w:p w14:paraId="219E7E61">
            <w:pPr>
              <w:adjustRightInd w:val="0"/>
              <w:snapToGrid w:val="0"/>
              <w:spacing w:line="360" w:lineRule="auto"/>
              <w:jc w:val="center"/>
              <w:rPr>
                <w:rFonts w:ascii="宋体" w:hAnsi="宋体" w:cs="宋体"/>
                <w:bCs/>
                <w:color w:val="auto"/>
                <w:kern w:val="0"/>
                <w:szCs w:val="21"/>
                <w:highlight w:val="none"/>
              </w:rPr>
            </w:pPr>
            <w:r>
              <w:rPr>
                <w:rFonts w:hint="eastAsia" w:ascii="宋体" w:hAnsi="宋体"/>
                <w:color w:val="auto"/>
                <w:szCs w:val="21"/>
                <w:highlight w:val="none"/>
              </w:rPr>
              <w:t>何  嘉</w:t>
            </w:r>
          </w:p>
        </w:tc>
        <w:tc>
          <w:tcPr>
            <w:tcW w:w="3780" w:type="dxa"/>
            <w:vAlign w:val="center"/>
          </w:tcPr>
          <w:p w14:paraId="4C556448">
            <w:pPr>
              <w:adjustRightInd w:val="0"/>
              <w:snapToGrid w:val="0"/>
              <w:spacing w:line="360" w:lineRule="auto"/>
              <w:jc w:val="left"/>
              <w:rPr>
                <w:rFonts w:ascii="宋体" w:hAnsi="宋体" w:cs="宋体"/>
                <w:bCs/>
                <w:color w:val="auto"/>
                <w:kern w:val="0"/>
                <w:szCs w:val="21"/>
                <w:highlight w:val="none"/>
              </w:rPr>
            </w:pPr>
            <w:r>
              <w:rPr>
                <w:rFonts w:hint="eastAsia" w:ascii="宋体" w:hAnsi="宋体"/>
                <w:color w:val="auto"/>
                <w:szCs w:val="21"/>
                <w:highlight w:val="none"/>
              </w:rPr>
              <w:t>010-88822659/13718642233</w:t>
            </w:r>
          </w:p>
        </w:tc>
      </w:tr>
      <w:tr w14:paraId="01C2B5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1211A9E">
            <w:pPr>
              <w:adjustRightInd w:val="0"/>
              <w:snapToGrid w:val="0"/>
              <w:spacing w:line="360" w:lineRule="auto"/>
              <w:jc w:val="left"/>
              <w:rPr>
                <w:rFonts w:ascii="宋体" w:hAnsi="宋体" w:cs="宋体"/>
                <w:bCs/>
                <w:color w:val="auto"/>
                <w:kern w:val="0"/>
                <w:szCs w:val="21"/>
                <w:highlight w:val="none"/>
              </w:rPr>
            </w:pPr>
            <w:r>
              <w:rPr>
                <w:rFonts w:hint="eastAsia" w:ascii="宋体" w:hAnsi="宋体"/>
                <w:color w:val="auto"/>
                <w:szCs w:val="21"/>
                <w:highlight w:val="none"/>
              </w:rPr>
              <w:t>湖南省中小企业信用担保有限责任公司</w:t>
            </w:r>
          </w:p>
        </w:tc>
        <w:tc>
          <w:tcPr>
            <w:tcW w:w="1080" w:type="dxa"/>
            <w:vAlign w:val="center"/>
          </w:tcPr>
          <w:p w14:paraId="5BB8EE2B">
            <w:pPr>
              <w:adjustRightInd w:val="0"/>
              <w:snapToGrid w:val="0"/>
              <w:spacing w:line="360" w:lineRule="auto"/>
              <w:jc w:val="center"/>
              <w:rPr>
                <w:rFonts w:ascii="宋体" w:hAnsi="宋体" w:cs="宋体"/>
                <w:bCs/>
                <w:color w:val="auto"/>
                <w:kern w:val="0"/>
                <w:szCs w:val="21"/>
                <w:highlight w:val="none"/>
              </w:rPr>
            </w:pPr>
            <w:r>
              <w:rPr>
                <w:rFonts w:hint="eastAsia" w:ascii="宋体" w:hAnsi="宋体"/>
                <w:color w:val="auto"/>
                <w:szCs w:val="21"/>
                <w:highlight w:val="none"/>
              </w:rPr>
              <w:t>蔡建雄</w:t>
            </w:r>
          </w:p>
        </w:tc>
        <w:tc>
          <w:tcPr>
            <w:tcW w:w="3780" w:type="dxa"/>
            <w:vAlign w:val="center"/>
          </w:tcPr>
          <w:p w14:paraId="1438692B">
            <w:pPr>
              <w:adjustRightInd w:val="0"/>
              <w:snapToGrid w:val="0"/>
              <w:spacing w:line="360" w:lineRule="auto"/>
              <w:jc w:val="left"/>
              <w:rPr>
                <w:rFonts w:ascii="宋体" w:hAnsi="宋体" w:cs="宋体"/>
                <w:bCs/>
                <w:color w:val="auto"/>
                <w:kern w:val="0"/>
                <w:szCs w:val="21"/>
                <w:highlight w:val="none"/>
              </w:rPr>
            </w:pPr>
            <w:r>
              <w:rPr>
                <w:rFonts w:hint="eastAsia" w:ascii="宋体" w:hAnsi="宋体"/>
                <w:color w:val="auto"/>
                <w:szCs w:val="21"/>
                <w:highlight w:val="none"/>
              </w:rPr>
              <w:t>0731-84172390-201/15573193555</w:t>
            </w:r>
          </w:p>
        </w:tc>
      </w:tr>
      <w:tr w14:paraId="565A26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124F1B2E">
            <w:pPr>
              <w:adjustRightInd w:val="0"/>
              <w:snapToGrid w:val="0"/>
              <w:spacing w:line="360" w:lineRule="auto"/>
              <w:rPr>
                <w:rFonts w:ascii="宋体" w:hAnsi="宋体" w:cs="宋体"/>
                <w:color w:val="auto"/>
                <w:szCs w:val="21"/>
                <w:highlight w:val="none"/>
              </w:rPr>
            </w:pPr>
            <w:r>
              <w:rPr>
                <w:rFonts w:hint="eastAsia" w:ascii="宋体" w:hAnsi="宋体"/>
                <w:color w:val="auto"/>
                <w:szCs w:val="21"/>
                <w:highlight w:val="none"/>
              </w:rPr>
              <w:t>湖南农业信用担保有限公司</w:t>
            </w:r>
          </w:p>
        </w:tc>
        <w:tc>
          <w:tcPr>
            <w:tcW w:w="1080" w:type="dxa"/>
            <w:vAlign w:val="center"/>
          </w:tcPr>
          <w:p w14:paraId="0EA49FFD">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彭  球</w:t>
            </w:r>
          </w:p>
          <w:p w14:paraId="3711B000">
            <w:pPr>
              <w:adjustRightInd w:val="0"/>
              <w:snapToGrid w:val="0"/>
              <w:spacing w:line="360" w:lineRule="auto"/>
              <w:jc w:val="center"/>
              <w:rPr>
                <w:rFonts w:ascii="宋体" w:hAnsi="宋体" w:cs="宋体"/>
                <w:bCs/>
                <w:color w:val="auto"/>
                <w:kern w:val="0"/>
                <w:szCs w:val="21"/>
                <w:highlight w:val="none"/>
              </w:rPr>
            </w:pPr>
            <w:r>
              <w:rPr>
                <w:rFonts w:hint="eastAsia" w:ascii="宋体" w:hAnsi="宋体"/>
                <w:color w:val="auto"/>
                <w:szCs w:val="21"/>
                <w:highlight w:val="none"/>
              </w:rPr>
              <w:t>邓霞英</w:t>
            </w:r>
          </w:p>
        </w:tc>
        <w:tc>
          <w:tcPr>
            <w:tcW w:w="3780" w:type="dxa"/>
            <w:vAlign w:val="center"/>
          </w:tcPr>
          <w:p w14:paraId="1F457EC4">
            <w:pPr>
              <w:adjustRightInd w:val="0"/>
              <w:snapToGrid w:val="0"/>
              <w:spacing w:line="360" w:lineRule="auto"/>
              <w:jc w:val="left"/>
              <w:rPr>
                <w:rFonts w:ascii="宋体" w:hAnsi="宋体" w:cs="宋体"/>
                <w:bCs/>
                <w:color w:val="auto"/>
                <w:kern w:val="0"/>
                <w:szCs w:val="21"/>
                <w:highlight w:val="none"/>
              </w:rPr>
            </w:pPr>
            <w:r>
              <w:rPr>
                <w:rFonts w:hint="eastAsia" w:ascii="宋体" w:hAnsi="宋体"/>
                <w:color w:val="auto"/>
                <w:szCs w:val="21"/>
                <w:highlight w:val="none"/>
              </w:rPr>
              <w:t>0731-89761702/13875980906 0731-89761706/13574125851</w:t>
            </w:r>
          </w:p>
        </w:tc>
      </w:tr>
    </w:tbl>
    <w:p w14:paraId="2080BB68">
      <w:pPr>
        <w:adjustRightInd w:val="0"/>
        <w:snapToGrid w:val="0"/>
        <w:spacing w:line="360" w:lineRule="auto"/>
        <w:rPr>
          <w:rFonts w:ascii="宋体" w:hAnsi="宋体"/>
          <w:b/>
          <w:color w:val="auto"/>
          <w:szCs w:val="21"/>
          <w:highlight w:val="none"/>
        </w:rPr>
        <w:sectPr>
          <w:headerReference r:id="rId3" w:type="default"/>
          <w:footerReference r:id="rId4" w:type="default"/>
          <w:pgSz w:w="11906" w:h="16838"/>
          <w:pgMar w:top="1440" w:right="1531" w:bottom="1440" w:left="1531" w:header="851" w:footer="992" w:gutter="0"/>
          <w:cols w:space="720" w:num="1"/>
          <w:docGrid w:type="lines" w:linePitch="312" w:charSpace="0"/>
        </w:sectPr>
      </w:pPr>
    </w:p>
    <w:p w14:paraId="629ED1E4">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附页3</w:t>
      </w:r>
    </w:p>
    <w:p w14:paraId="54C0C5DC">
      <w:pPr>
        <w:adjustRightInd w:val="0"/>
        <w:snapToGrid w:val="0"/>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政府采购履约担保函</w:t>
      </w:r>
    </w:p>
    <w:p w14:paraId="6F79B06C">
      <w:pPr>
        <w:adjustRightInd w:val="0"/>
        <w:snapToGrid w:val="0"/>
        <w:spacing w:line="360" w:lineRule="auto"/>
        <w:ind w:firstLine="6510" w:firstLineChars="3100"/>
        <w:rPr>
          <w:rFonts w:ascii="宋体" w:hAnsi="宋体" w:cs="宋体"/>
          <w:b/>
          <w:color w:val="auto"/>
          <w:kern w:val="0"/>
          <w:szCs w:val="21"/>
          <w:highlight w:val="none"/>
        </w:rPr>
      </w:pPr>
      <w:r>
        <w:rPr>
          <w:rFonts w:hint="eastAsia" w:ascii="宋体" w:hAnsi="宋体" w:cs="宋体"/>
          <w:color w:val="auto"/>
          <w:kern w:val="0"/>
          <w:szCs w:val="21"/>
          <w:highlight w:val="none"/>
        </w:rPr>
        <w:t>编号：</w:t>
      </w:r>
    </w:p>
    <w:p w14:paraId="7A5237D8">
      <w:pPr>
        <w:adjustRightInd w:val="0"/>
        <w:snapToGrid w:val="0"/>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rPr>
        <w:t xml:space="preserve">（采购人）： </w:t>
      </w:r>
    </w:p>
    <w:p w14:paraId="2507D578">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鉴于你方与（以下简称供应商）于年月日签定编号为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6C8EC464">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一、保证责任的情形及保证金额</w:t>
      </w:r>
    </w:p>
    <w:p w14:paraId="695707FE">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（一）在供应商出现下列情形之一时，我方承担保证责任：</w:t>
      </w:r>
    </w:p>
    <w:p w14:paraId="52E67DE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1．将中标项目转让给他人，或者在投标文件中未说明，且未经采购人同意，将中标项目分包给他人的；</w:t>
      </w:r>
    </w:p>
    <w:p w14:paraId="376D50B5">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2．主合同约定的应当缴纳履约保证金的情形: </w:t>
      </w:r>
    </w:p>
    <w:p w14:paraId="3A4786AE">
      <w:pPr>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（1）未按主合同约定的质量、数量和期限供应货物/提供服务/完成工程的； </w:t>
      </w:r>
    </w:p>
    <w:p w14:paraId="2E210B35">
      <w:pPr>
        <w:adjustRightInd w:val="0"/>
        <w:snapToGrid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rPr>
        <w:t>（2）。</w:t>
      </w:r>
    </w:p>
    <w:p w14:paraId="1E208D8E">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（二）我方的保证范围是主合同约定的合同价款总额的%数额为元（大写），币种为。（即主合同履约保证金金额）</w:t>
      </w:r>
    </w:p>
    <w:p w14:paraId="68FCA556">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 xml:space="preserve">二、保证的方式及保证期间 </w:t>
      </w:r>
    </w:p>
    <w:p w14:paraId="69D5466D">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我方保证的方式为：连带责任保证。 </w:t>
      </w:r>
    </w:p>
    <w:p w14:paraId="5735224D">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我方保证的期间为：自本合同生效之日起至供应商按照主合同约定的供货/完工期限届满后日内。</w:t>
      </w:r>
    </w:p>
    <w:p w14:paraId="4B94CA52">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如果供应商未按主合同约定向贵方供应货物/提供服务/完成工程的，由我方在保证金额内向你方支付上述款项。 </w:t>
      </w:r>
    </w:p>
    <w:p w14:paraId="621DDB50">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三、承担保证责任的程序</w:t>
      </w:r>
    </w:p>
    <w:p w14:paraId="291309C7">
      <w:pPr>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 xml:space="preserve">1．你方要求我方承担保证责任的，应在本保函保证期间内向我方发出书面索赔通知。索赔通知应写明要求索赔的金额，支付款项应到达的帐号。并附有证明供应商违约事实的证明材料。 </w:t>
      </w:r>
    </w:p>
    <w:p w14:paraId="5E42F135">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2151237B">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2．我方收到你方的书面索赔通知及相应证明材料，在工作日内进行核定后按照本保函的承诺承担保证责任。</w:t>
      </w:r>
    </w:p>
    <w:p w14:paraId="5F4678BF">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四、保证责任的终止</w:t>
      </w:r>
    </w:p>
    <w:p w14:paraId="46B81E1B">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253666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2．我方按照本保函向你方履行了保证责任后，自我方向你方支付款项（支付款项从我方账户划出）之日起，保证责任即终止。</w:t>
      </w:r>
    </w:p>
    <w:p w14:paraId="7384D03F">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3．按照法律法规的规定或出现应终止我方保证责任的其它情形的，我方在本保函项下的保证责任亦终止。</w:t>
      </w:r>
    </w:p>
    <w:p w14:paraId="347272FF">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47E1ACED">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五、免责条款</w:t>
      </w:r>
    </w:p>
    <w:p w14:paraId="74E16B4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1．因你方违反主合同约定致使供应商不能履行义务的，我方不承担保证责任。</w:t>
      </w:r>
    </w:p>
    <w:p w14:paraId="18D1E056">
      <w:pPr>
        <w:adjustRightInd w:val="0"/>
        <w:snapToGri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2．依照法律法规的规定或你方与供应商的另行约定，全部或者部分免除供应商应缴纳的保证金义务的，我方亦免除相应的保证责任。</w:t>
      </w:r>
    </w:p>
    <w:p w14:paraId="344E7D4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3．因不可抗力造成供应商不能履行供货义务的，我方不承担保证责任。</w:t>
      </w:r>
    </w:p>
    <w:p w14:paraId="2ECC4448">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六、争议的解决</w:t>
      </w:r>
    </w:p>
    <w:p w14:paraId="3CD009B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因本保函发生的纠纷，由你我双方协商解决，协商不成的，通过诉讼程序解决，诉讼管辖地法院为法院。</w:t>
      </w:r>
    </w:p>
    <w:p w14:paraId="1A2CCAAE">
      <w:pPr>
        <w:adjustRightInd w:val="0"/>
        <w:snapToGrid w:val="0"/>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 xml:space="preserve">七、保函的生效 </w:t>
      </w:r>
    </w:p>
    <w:p w14:paraId="78D4B793">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本保函自我方加盖公章之日起生效。 </w:t>
      </w:r>
    </w:p>
    <w:p w14:paraId="43666604">
      <w:pPr>
        <w:tabs>
          <w:tab w:val="left" w:pos="2850"/>
        </w:tabs>
        <w:adjustRightInd w:val="0"/>
        <w:snapToGrid w:val="0"/>
        <w:spacing w:line="360" w:lineRule="auto"/>
        <w:rPr>
          <w:rFonts w:ascii="宋体" w:hAnsi="宋体" w:cs="宋体"/>
          <w:color w:val="auto"/>
          <w:kern w:val="0"/>
          <w:szCs w:val="21"/>
          <w:highlight w:val="none"/>
        </w:rPr>
      </w:pPr>
      <w:r>
        <w:rPr>
          <w:rFonts w:ascii="宋体" w:hAnsi="宋体" w:cs="宋体"/>
          <w:color w:val="auto"/>
          <w:kern w:val="0"/>
          <w:szCs w:val="21"/>
          <w:highlight w:val="none"/>
        </w:rPr>
        <w:tab/>
      </w:r>
      <w:r>
        <w:rPr>
          <w:rFonts w:hint="eastAsia" w:ascii="宋体" w:hAnsi="宋体" w:cs="宋体"/>
          <w:color w:val="auto"/>
          <w:kern w:val="0"/>
          <w:szCs w:val="21"/>
          <w:highlight w:val="none"/>
        </w:rPr>
        <w:t xml:space="preserve">          保证人：（公章） </w:t>
      </w:r>
    </w:p>
    <w:p w14:paraId="32E1BF40">
      <w:pPr>
        <w:adjustRightInd w:val="0"/>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 xml:space="preserve"> 日</w:t>
      </w:r>
    </w:p>
    <w:p w14:paraId="2982D4F5">
      <w:pPr>
        <w:adjustRightInd w:val="0"/>
        <w:snapToGrid w:val="0"/>
        <w:spacing w:line="360" w:lineRule="auto"/>
        <w:rPr>
          <w:rFonts w:hint="eastAsia" w:ascii="宋体" w:hAnsi="宋体" w:cs="宋体"/>
          <w:color w:val="auto"/>
          <w:kern w:val="0"/>
          <w:szCs w:val="21"/>
          <w:highlight w:val="none"/>
        </w:rPr>
      </w:pPr>
    </w:p>
    <w:p w14:paraId="15C62FF1">
      <w:pPr>
        <w:adjustRightInd w:val="0"/>
        <w:snapToGrid w:val="0"/>
        <w:spacing w:line="360" w:lineRule="auto"/>
        <w:rPr>
          <w:rFonts w:hint="eastAsia" w:ascii="宋体" w:hAnsi="宋体" w:cs="宋体"/>
          <w:color w:val="auto"/>
          <w:kern w:val="0"/>
          <w:szCs w:val="21"/>
          <w:highlight w:val="none"/>
        </w:rPr>
      </w:pPr>
    </w:p>
    <w:p w14:paraId="33EDDB97">
      <w:pPr>
        <w:adjustRightInd w:val="0"/>
        <w:snapToGrid w:val="0"/>
        <w:spacing w:line="360" w:lineRule="auto"/>
        <w:rPr>
          <w:rFonts w:hint="eastAsia" w:ascii="宋体" w:hAnsi="宋体" w:cs="宋体"/>
          <w:color w:val="auto"/>
          <w:kern w:val="0"/>
          <w:szCs w:val="21"/>
          <w:highlight w:val="none"/>
        </w:rPr>
      </w:pPr>
    </w:p>
    <w:p w14:paraId="3CC180CA">
      <w:pPr>
        <w:adjustRightInd w:val="0"/>
        <w:snapToGrid w:val="0"/>
        <w:spacing w:line="360" w:lineRule="auto"/>
        <w:rPr>
          <w:rFonts w:hint="eastAsia" w:ascii="宋体" w:hAnsi="宋体" w:cs="宋体"/>
          <w:color w:val="auto"/>
          <w:kern w:val="0"/>
          <w:szCs w:val="21"/>
          <w:highlight w:val="none"/>
        </w:rPr>
      </w:pPr>
    </w:p>
    <w:p w14:paraId="4116E5C2">
      <w:pPr>
        <w:adjustRightInd w:val="0"/>
        <w:snapToGrid w:val="0"/>
        <w:spacing w:line="360" w:lineRule="auto"/>
        <w:rPr>
          <w:rFonts w:hint="eastAsia" w:ascii="宋体" w:hAnsi="宋体" w:cs="宋体"/>
          <w:color w:val="auto"/>
          <w:kern w:val="0"/>
          <w:szCs w:val="21"/>
          <w:highlight w:val="none"/>
        </w:rPr>
      </w:pPr>
    </w:p>
    <w:p w14:paraId="646F0847">
      <w:pPr>
        <w:adjustRightInd w:val="0"/>
        <w:snapToGrid w:val="0"/>
        <w:spacing w:line="360" w:lineRule="auto"/>
        <w:rPr>
          <w:rFonts w:hint="eastAsia" w:ascii="宋体" w:hAnsi="宋体" w:cs="宋体"/>
          <w:color w:val="auto"/>
          <w:kern w:val="0"/>
          <w:szCs w:val="21"/>
          <w:highlight w:val="none"/>
        </w:rPr>
      </w:pPr>
    </w:p>
    <w:p w14:paraId="36F59003">
      <w:pPr>
        <w:adjustRightInd w:val="0"/>
        <w:snapToGrid w:val="0"/>
        <w:spacing w:line="360" w:lineRule="auto"/>
        <w:rPr>
          <w:rFonts w:hint="eastAsia" w:ascii="宋体" w:hAnsi="宋体" w:cs="宋体"/>
          <w:color w:val="auto"/>
          <w:kern w:val="0"/>
          <w:szCs w:val="21"/>
          <w:highlight w:val="none"/>
        </w:rPr>
      </w:pPr>
    </w:p>
    <w:p w14:paraId="732A2E53">
      <w:pPr>
        <w:adjustRightInd w:val="0"/>
        <w:snapToGrid w:val="0"/>
        <w:spacing w:line="360" w:lineRule="auto"/>
        <w:rPr>
          <w:rFonts w:hint="eastAsia" w:ascii="宋体" w:hAnsi="宋体" w:cs="宋体"/>
          <w:color w:val="auto"/>
          <w:kern w:val="0"/>
          <w:szCs w:val="21"/>
          <w:highlight w:val="none"/>
        </w:rPr>
      </w:pPr>
    </w:p>
    <w:p w14:paraId="1DB8879D">
      <w:pPr>
        <w:adjustRightInd w:val="0"/>
        <w:snapToGrid w:val="0"/>
        <w:spacing w:line="360" w:lineRule="auto"/>
        <w:rPr>
          <w:rFonts w:hint="eastAsia" w:ascii="宋体" w:hAnsi="宋体" w:cs="宋体"/>
          <w:color w:val="auto"/>
          <w:kern w:val="0"/>
          <w:szCs w:val="21"/>
          <w:highlight w:val="none"/>
        </w:rPr>
      </w:pPr>
    </w:p>
    <w:p w14:paraId="0E7580AF">
      <w:pPr>
        <w:adjustRightInd w:val="0"/>
        <w:snapToGrid w:val="0"/>
        <w:spacing w:line="360" w:lineRule="auto"/>
        <w:rPr>
          <w:rFonts w:hint="eastAsia" w:ascii="宋体" w:hAnsi="宋体" w:cs="宋体"/>
          <w:color w:val="auto"/>
          <w:kern w:val="0"/>
          <w:szCs w:val="21"/>
          <w:highlight w:val="none"/>
        </w:rPr>
      </w:pPr>
    </w:p>
    <w:p w14:paraId="48A62A18">
      <w:pPr>
        <w:adjustRightInd w:val="0"/>
        <w:snapToGrid w:val="0"/>
        <w:spacing w:line="360" w:lineRule="auto"/>
        <w:rPr>
          <w:rFonts w:hint="eastAsia" w:ascii="宋体" w:hAnsi="宋体" w:cs="宋体"/>
          <w:color w:val="auto"/>
          <w:kern w:val="0"/>
          <w:szCs w:val="21"/>
          <w:highlight w:val="none"/>
        </w:rPr>
      </w:pPr>
    </w:p>
    <w:p w14:paraId="5313E8EA">
      <w:pPr>
        <w:adjustRightInd w:val="0"/>
        <w:snapToGrid w:val="0"/>
        <w:spacing w:line="360" w:lineRule="auto"/>
        <w:rPr>
          <w:rFonts w:hint="eastAsia" w:ascii="宋体" w:hAnsi="宋体" w:cs="宋体"/>
          <w:color w:val="auto"/>
          <w:kern w:val="0"/>
          <w:szCs w:val="21"/>
          <w:highlight w:val="none"/>
        </w:rPr>
      </w:pPr>
    </w:p>
    <w:p w14:paraId="52BE25AF">
      <w:pPr>
        <w:adjustRightInd w:val="0"/>
        <w:snapToGrid w:val="0"/>
        <w:spacing w:line="360" w:lineRule="auto"/>
        <w:rPr>
          <w:rFonts w:hint="eastAsia" w:ascii="宋体" w:hAnsi="宋体" w:cs="宋体"/>
          <w:color w:val="auto"/>
          <w:kern w:val="0"/>
          <w:szCs w:val="21"/>
          <w:highlight w:val="none"/>
        </w:rPr>
      </w:pPr>
    </w:p>
    <w:p w14:paraId="055ADA7B">
      <w:pPr>
        <w:adjustRightInd w:val="0"/>
        <w:snapToGrid w:val="0"/>
        <w:spacing w:line="360" w:lineRule="auto"/>
        <w:rPr>
          <w:rFonts w:hint="eastAsia" w:ascii="宋体" w:hAnsi="宋体" w:cs="宋体"/>
          <w:color w:val="auto"/>
          <w:kern w:val="0"/>
          <w:szCs w:val="21"/>
          <w:highlight w:val="none"/>
        </w:rPr>
      </w:pPr>
    </w:p>
    <w:p w14:paraId="40280068">
      <w:pPr>
        <w:adjustRightInd w:val="0"/>
        <w:snapToGrid w:val="0"/>
        <w:spacing w:line="360" w:lineRule="auto"/>
        <w:rPr>
          <w:rFonts w:hint="eastAsia" w:ascii="宋体" w:hAnsi="宋体" w:cs="宋体"/>
          <w:color w:val="auto"/>
          <w:kern w:val="0"/>
          <w:szCs w:val="21"/>
          <w:highlight w:val="none"/>
        </w:rPr>
      </w:pPr>
    </w:p>
    <w:p w14:paraId="2A093483">
      <w:pPr>
        <w:adjustRightInd w:val="0"/>
        <w:snapToGrid w:val="0"/>
        <w:spacing w:line="48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附页</w:t>
      </w:r>
      <w:r>
        <w:rPr>
          <w:rFonts w:ascii="宋体" w:hAnsi="宋体"/>
          <w:b/>
          <w:bCs/>
          <w:color w:val="auto"/>
          <w:szCs w:val="21"/>
          <w:highlight w:val="none"/>
        </w:rPr>
        <w:t>4</w:t>
      </w:r>
    </w:p>
    <w:p w14:paraId="5482BD10">
      <w:pPr>
        <w:jc w:val="center"/>
        <w:rPr>
          <w:rFonts w:hint="eastAsia" w:ascii="宋体" w:hAnsi="宋体"/>
          <w:b/>
          <w:color w:val="auto"/>
          <w:szCs w:val="21"/>
          <w:highlight w:val="none"/>
        </w:rPr>
      </w:pPr>
      <w:r>
        <w:rPr>
          <w:rFonts w:hint="eastAsia" w:ascii="宋体" w:hAnsi="宋体"/>
          <w:b/>
          <w:color w:val="auto"/>
          <w:szCs w:val="21"/>
          <w:highlight w:val="none"/>
        </w:rPr>
        <w:t>评审方法</w:t>
      </w:r>
    </w:p>
    <w:p w14:paraId="5014683F">
      <w:pPr>
        <w:numPr>
          <w:ilvl w:val="0"/>
          <w:numId w:val="7"/>
        </w:numPr>
        <w:rPr>
          <w:rFonts w:hint="eastAsia" w:ascii="宋体" w:hAnsi="宋体"/>
          <w:b/>
          <w:color w:val="auto"/>
          <w:szCs w:val="21"/>
          <w:highlight w:val="none"/>
        </w:rPr>
      </w:pPr>
      <w:r>
        <w:rPr>
          <w:rFonts w:hint="eastAsia" w:ascii="宋体" w:hAnsi="宋体"/>
          <w:b/>
          <w:color w:val="auto"/>
          <w:szCs w:val="21"/>
          <w:highlight w:val="none"/>
        </w:rPr>
        <w:t>资格性审查表</w:t>
      </w:r>
    </w:p>
    <w:p w14:paraId="4138B253">
      <w:pPr>
        <w:pStyle w:val="3"/>
        <w:numPr>
          <w:ilvl w:val="0"/>
          <w:numId w:val="0"/>
        </w:numPr>
        <w:jc w:val="both"/>
        <w:rPr>
          <w:color w:val="auto"/>
        </w:rPr>
      </w:pPr>
    </w:p>
    <w:p w14:paraId="3ABA77F7">
      <w:pPr>
        <w:adjustRightInd w:val="0"/>
        <w:snapToGrid w:val="0"/>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资格性检查。根据法律法规和磋商文件的规定，对投标文件中的资格证明等进行审查，以确定供应商是否具备磋商资格条件</w:t>
      </w:r>
      <w:r>
        <w:rPr>
          <w:rFonts w:hint="eastAsia" w:ascii="宋体" w:hAnsi="宋体"/>
          <w:color w:val="auto"/>
          <w:szCs w:val="21"/>
          <w:highlight w:val="none"/>
          <w:lang w:eastAsia="zh-CN"/>
        </w:rPr>
        <w:t>。</w:t>
      </w:r>
    </w:p>
    <w:p w14:paraId="0D2DCE73">
      <w:pPr>
        <w:adjustRightInd w:val="0"/>
        <w:snapToGrid w:val="0"/>
        <w:ind w:firstLine="420"/>
        <w:rPr>
          <w:rFonts w:hint="eastAsia"/>
          <w:color w:val="auto"/>
          <w:sz w:val="18"/>
          <w:szCs w:val="18"/>
          <w:highlight w:val="none"/>
        </w:rPr>
      </w:pPr>
    </w:p>
    <w:tbl>
      <w:tblPr>
        <w:tblStyle w:val="26"/>
        <w:tblW w:w="92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5985"/>
        <w:gridCol w:w="1396"/>
        <w:gridCol w:w="378"/>
        <w:gridCol w:w="372"/>
        <w:gridCol w:w="383"/>
        <w:gridCol w:w="402"/>
      </w:tblGrid>
      <w:tr w14:paraId="19501C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383" w:type="dxa"/>
            <w:vMerge w:val="restart"/>
            <w:noWrap w:val="0"/>
            <w:vAlign w:val="center"/>
          </w:tcPr>
          <w:p w14:paraId="77028D41">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5985" w:type="dxa"/>
            <w:vMerge w:val="restart"/>
            <w:noWrap w:val="0"/>
            <w:vAlign w:val="center"/>
          </w:tcPr>
          <w:p w14:paraId="4DA23B7C">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检查项目</w:t>
            </w:r>
          </w:p>
        </w:tc>
        <w:tc>
          <w:tcPr>
            <w:tcW w:w="1396" w:type="dxa"/>
            <w:vMerge w:val="restart"/>
            <w:noWrap w:val="0"/>
            <w:vAlign w:val="center"/>
          </w:tcPr>
          <w:p w14:paraId="4E3BE771">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评审标准</w:t>
            </w:r>
          </w:p>
        </w:tc>
        <w:tc>
          <w:tcPr>
            <w:tcW w:w="1535" w:type="dxa"/>
            <w:gridSpan w:val="4"/>
            <w:noWrap w:val="0"/>
            <w:vAlign w:val="center"/>
          </w:tcPr>
          <w:p w14:paraId="371CE4CC">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投标人</w:t>
            </w:r>
          </w:p>
        </w:tc>
      </w:tr>
      <w:tr w14:paraId="7106CC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383" w:type="dxa"/>
            <w:vMerge w:val="continue"/>
            <w:noWrap w:val="0"/>
            <w:vAlign w:val="center"/>
          </w:tcPr>
          <w:p w14:paraId="5510F116">
            <w:pPr>
              <w:shd w:val="clear" w:color="auto" w:fill="auto"/>
              <w:rPr>
                <w:rFonts w:ascii="宋体" w:hAnsi="宋体" w:cs="宋体"/>
                <w:color w:val="auto"/>
                <w:highlight w:val="none"/>
              </w:rPr>
            </w:pPr>
          </w:p>
        </w:tc>
        <w:tc>
          <w:tcPr>
            <w:tcW w:w="5985" w:type="dxa"/>
            <w:vMerge w:val="continue"/>
            <w:noWrap w:val="0"/>
            <w:vAlign w:val="center"/>
          </w:tcPr>
          <w:p w14:paraId="0D9266AA">
            <w:pPr>
              <w:shd w:val="clear" w:color="auto" w:fill="auto"/>
              <w:rPr>
                <w:rFonts w:ascii="宋体" w:hAnsi="宋体" w:cs="宋体"/>
                <w:color w:val="auto"/>
                <w:highlight w:val="none"/>
              </w:rPr>
            </w:pPr>
          </w:p>
        </w:tc>
        <w:tc>
          <w:tcPr>
            <w:tcW w:w="1396" w:type="dxa"/>
            <w:vMerge w:val="continue"/>
            <w:noWrap w:val="0"/>
            <w:vAlign w:val="center"/>
          </w:tcPr>
          <w:p w14:paraId="4DDB810B">
            <w:pPr>
              <w:shd w:val="clear" w:color="auto" w:fill="auto"/>
              <w:rPr>
                <w:rFonts w:ascii="宋体" w:hAnsi="宋体" w:cs="宋体"/>
                <w:color w:val="auto"/>
                <w:highlight w:val="none"/>
              </w:rPr>
            </w:pPr>
          </w:p>
        </w:tc>
        <w:tc>
          <w:tcPr>
            <w:tcW w:w="378" w:type="dxa"/>
            <w:noWrap w:val="0"/>
            <w:vAlign w:val="center"/>
          </w:tcPr>
          <w:p w14:paraId="704EC501">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372" w:type="dxa"/>
            <w:noWrap w:val="0"/>
            <w:vAlign w:val="center"/>
          </w:tcPr>
          <w:p w14:paraId="2C4C90F9">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383" w:type="dxa"/>
            <w:noWrap w:val="0"/>
            <w:vAlign w:val="center"/>
          </w:tcPr>
          <w:p w14:paraId="69A08A30">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402" w:type="dxa"/>
            <w:noWrap w:val="0"/>
            <w:vAlign w:val="center"/>
          </w:tcPr>
          <w:p w14:paraId="0B3BA627">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4</w:t>
            </w:r>
          </w:p>
        </w:tc>
      </w:tr>
      <w:tr w14:paraId="2BBC9F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383" w:type="dxa"/>
            <w:noWrap w:val="0"/>
            <w:vAlign w:val="center"/>
          </w:tcPr>
          <w:p w14:paraId="7A4A484D">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5985" w:type="dxa"/>
            <w:noWrap w:val="0"/>
            <w:vAlign w:val="center"/>
          </w:tcPr>
          <w:p w14:paraId="7E5FCB48">
            <w:pPr>
              <w:shd w:val="clear" w:color="auto" w:fill="auto"/>
              <w:spacing w:line="240" w:lineRule="exact"/>
              <w:jc w:val="left"/>
              <w:rPr>
                <w:rFonts w:ascii="宋体" w:hAnsi="宋体" w:cs="宋体"/>
                <w:color w:val="auto"/>
                <w:szCs w:val="21"/>
                <w:highlight w:val="none"/>
              </w:rPr>
            </w:pPr>
            <w:r>
              <w:rPr>
                <w:rFonts w:hint="eastAsia" w:ascii="宋体" w:hAnsi="宋体" w:cs="宋体"/>
                <w:color w:val="auto"/>
                <w:szCs w:val="21"/>
                <w:highlight w:val="none"/>
              </w:rPr>
              <w:t>营业执照、税务登记证及组织机构代码证</w:t>
            </w:r>
          </w:p>
        </w:tc>
        <w:tc>
          <w:tcPr>
            <w:tcW w:w="1396" w:type="dxa"/>
            <w:noWrap w:val="0"/>
            <w:vAlign w:val="center"/>
          </w:tcPr>
          <w:p w14:paraId="057C7CEC">
            <w:pPr>
              <w:shd w:val="clear" w:color="auto" w:fill="auto"/>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真实有效</w:t>
            </w:r>
          </w:p>
        </w:tc>
        <w:tc>
          <w:tcPr>
            <w:tcW w:w="378" w:type="dxa"/>
            <w:noWrap w:val="0"/>
            <w:vAlign w:val="center"/>
          </w:tcPr>
          <w:p w14:paraId="47572DB4">
            <w:pPr>
              <w:widowControl/>
              <w:shd w:val="clear" w:color="auto" w:fill="auto"/>
              <w:spacing w:after="31" w:afterLines="10"/>
              <w:jc w:val="center"/>
              <w:rPr>
                <w:rFonts w:ascii="宋体" w:hAnsi="宋体" w:cs="宋体"/>
                <w:color w:val="auto"/>
                <w:szCs w:val="21"/>
                <w:highlight w:val="none"/>
              </w:rPr>
            </w:pPr>
          </w:p>
        </w:tc>
        <w:tc>
          <w:tcPr>
            <w:tcW w:w="372" w:type="dxa"/>
            <w:noWrap w:val="0"/>
            <w:vAlign w:val="center"/>
          </w:tcPr>
          <w:p w14:paraId="7068A879">
            <w:pPr>
              <w:widowControl/>
              <w:shd w:val="clear" w:color="auto" w:fill="auto"/>
              <w:spacing w:after="31" w:afterLines="10"/>
              <w:jc w:val="center"/>
              <w:rPr>
                <w:rFonts w:ascii="宋体" w:hAnsi="宋体" w:cs="宋体"/>
                <w:color w:val="auto"/>
                <w:szCs w:val="21"/>
                <w:highlight w:val="none"/>
              </w:rPr>
            </w:pPr>
          </w:p>
        </w:tc>
        <w:tc>
          <w:tcPr>
            <w:tcW w:w="383" w:type="dxa"/>
            <w:noWrap w:val="0"/>
            <w:vAlign w:val="center"/>
          </w:tcPr>
          <w:p w14:paraId="70FEC681">
            <w:pPr>
              <w:widowControl/>
              <w:shd w:val="clear" w:color="auto" w:fill="auto"/>
              <w:spacing w:after="31" w:afterLines="10"/>
              <w:jc w:val="center"/>
              <w:rPr>
                <w:rFonts w:ascii="宋体" w:hAnsi="宋体" w:cs="宋体"/>
                <w:color w:val="auto"/>
                <w:szCs w:val="21"/>
                <w:highlight w:val="none"/>
              </w:rPr>
            </w:pPr>
          </w:p>
        </w:tc>
        <w:tc>
          <w:tcPr>
            <w:tcW w:w="402" w:type="dxa"/>
            <w:noWrap w:val="0"/>
            <w:vAlign w:val="center"/>
          </w:tcPr>
          <w:p w14:paraId="67110862">
            <w:pPr>
              <w:widowControl/>
              <w:shd w:val="clear" w:color="auto" w:fill="auto"/>
              <w:spacing w:after="31" w:afterLines="10"/>
              <w:jc w:val="center"/>
              <w:rPr>
                <w:rFonts w:ascii="宋体" w:hAnsi="宋体" w:cs="宋体"/>
                <w:color w:val="auto"/>
                <w:szCs w:val="21"/>
                <w:highlight w:val="none"/>
              </w:rPr>
            </w:pPr>
          </w:p>
        </w:tc>
      </w:tr>
      <w:tr w14:paraId="46DE90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3" w:type="dxa"/>
            <w:noWrap w:val="0"/>
            <w:vAlign w:val="center"/>
          </w:tcPr>
          <w:p w14:paraId="135C46D7">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2</w:t>
            </w:r>
          </w:p>
        </w:tc>
        <w:tc>
          <w:tcPr>
            <w:tcW w:w="5985" w:type="dxa"/>
            <w:noWrap w:val="0"/>
            <w:vAlign w:val="center"/>
          </w:tcPr>
          <w:p w14:paraId="0D28FCE1">
            <w:pPr>
              <w:shd w:val="clear" w:color="auto" w:fill="auto"/>
              <w:spacing w:line="240" w:lineRule="exact"/>
              <w:jc w:val="left"/>
              <w:rPr>
                <w:rFonts w:ascii="宋体" w:hAnsi="宋体" w:cs="宋体"/>
                <w:color w:val="auto"/>
                <w:szCs w:val="21"/>
                <w:highlight w:val="none"/>
              </w:rPr>
            </w:pPr>
            <w:r>
              <w:rPr>
                <w:rFonts w:hint="eastAsia" w:ascii="宋体" w:hAnsi="宋体" w:cs="宋体"/>
                <w:color w:val="auto"/>
                <w:szCs w:val="21"/>
                <w:highlight w:val="none"/>
              </w:rPr>
              <w:t>法定代表人身份证或法人授权委托书、委托代理人身份证</w:t>
            </w:r>
          </w:p>
        </w:tc>
        <w:tc>
          <w:tcPr>
            <w:tcW w:w="1396" w:type="dxa"/>
            <w:noWrap w:val="0"/>
            <w:vAlign w:val="center"/>
          </w:tcPr>
          <w:p w14:paraId="63731587">
            <w:pPr>
              <w:shd w:val="clear" w:color="auto" w:fill="auto"/>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真实有效</w:t>
            </w:r>
          </w:p>
        </w:tc>
        <w:tc>
          <w:tcPr>
            <w:tcW w:w="378" w:type="dxa"/>
            <w:noWrap w:val="0"/>
            <w:vAlign w:val="center"/>
          </w:tcPr>
          <w:p w14:paraId="2AD96AAF">
            <w:pPr>
              <w:widowControl/>
              <w:shd w:val="clear" w:color="auto" w:fill="auto"/>
              <w:spacing w:after="31" w:afterLines="10"/>
              <w:jc w:val="center"/>
              <w:rPr>
                <w:rFonts w:ascii="宋体" w:hAnsi="宋体" w:cs="宋体"/>
                <w:color w:val="auto"/>
                <w:szCs w:val="21"/>
                <w:highlight w:val="none"/>
              </w:rPr>
            </w:pPr>
          </w:p>
        </w:tc>
        <w:tc>
          <w:tcPr>
            <w:tcW w:w="372" w:type="dxa"/>
            <w:noWrap w:val="0"/>
            <w:vAlign w:val="center"/>
          </w:tcPr>
          <w:p w14:paraId="2EDE999B">
            <w:pPr>
              <w:widowControl/>
              <w:shd w:val="clear" w:color="auto" w:fill="auto"/>
              <w:spacing w:after="31" w:afterLines="10"/>
              <w:jc w:val="center"/>
              <w:rPr>
                <w:rFonts w:ascii="宋体" w:hAnsi="宋体" w:cs="宋体"/>
                <w:color w:val="auto"/>
                <w:szCs w:val="21"/>
                <w:highlight w:val="none"/>
              </w:rPr>
            </w:pPr>
          </w:p>
        </w:tc>
        <w:tc>
          <w:tcPr>
            <w:tcW w:w="383" w:type="dxa"/>
            <w:noWrap w:val="0"/>
            <w:vAlign w:val="center"/>
          </w:tcPr>
          <w:p w14:paraId="5097FA95">
            <w:pPr>
              <w:widowControl/>
              <w:shd w:val="clear" w:color="auto" w:fill="auto"/>
              <w:spacing w:after="31" w:afterLines="10"/>
              <w:jc w:val="center"/>
              <w:rPr>
                <w:rFonts w:ascii="宋体" w:hAnsi="宋体" w:cs="宋体"/>
                <w:color w:val="auto"/>
                <w:szCs w:val="21"/>
                <w:highlight w:val="none"/>
              </w:rPr>
            </w:pPr>
          </w:p>
        </w:tc>
        <w:tc>
          <w:tcPr>
            <w:tcW w:w="402" w:type="dxa"/>
            <w:noWrap w:val="0"/>
            <w:vAlign w:val="center"/>
          </w:tcPr>
          <w:p w14:paraId="17846EC3">
            <w:pPr>
              <w:widowControl/>
              <w:shd w:val="clear" w:color="auto" w:fill="auto"/>
              <w:spacing w:after="31" w:afterLines="10"/>
              <w:jc w:val="center"/>
              <w:rPr>
                <w:rFonts w:ascii="宋体" w:hAnsi="宋体" w:cs="宋体"/>
                <w:color w:val="auto"/>
                <w:szCs w:val="21"/>
                <w:highlight w:val="none"/>
              </w:rPr>
            </w:pPr>
          </w:p>
        </w:tc>
      </w:tr>
      <w:tr w14:paraId="5BF492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383" w:type="dxa"/>
            <w:noWrap w:val="0"/>
            <w:vAlign w:val="center"/>
          </w:tcPr>
          <w:p w14:paraId="4F169F66">
            <w:pPr>
              <w:shd w:val="clear" w:color="auto" w:fill="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5985" w:type="dxa"/>
            <w:noWrap w:val="0"/>
            <w:vAlign w:val="center"/>
          </w:tcPr>
          <w:p w14:paraId="44CB5C91">
            <w:pPr>
              <w:widowControl/>
              <w:shd w:val="clear" w:color="auto" w:fill="auto"/>
              <w:jc w:val="left"/>
              <w:rPr>
                <w:rFonts w:hint="eastAsia" w:ascii="宋体" w:hAnsi="宋体" w:eastAsia="宋体" w:cs="宋体"/>
                <w:color w:val="auto"/>
                <w:szCs w:val="21"/>
                <w:highlight w:val="none"/>
                <w:lang w:eastAsia="zh-CN"/>
              </w:rPr>
            </w:pPr>
            <w:r>
              <w:rPr>
                <w:rFonts w:hint="eastAsia" w:ascii="宋体" w:hAnsi="宋体" w:eastAsia="宋体" w:cs="宋体"/>
                <w:color w:val="000000"/>
                <w:szCs w:val="21"/>
                <w:highlight w:val="none"/>
                <w:lang w:val="en-US" w:eastAsia="zh-CN"/>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1396" w:type="dxa"/>
            <w:noWrap w:val="0"/>
            <w:vAlign w:val="center"/>
          </w:tcPr>
          <w:p w14:paraId="4277A49B">
            <w:pPr>
              <w:shd w:val="clear" w:color="auto" w:fill="auto"/>
              <w:spacing w:line="240" w:lineRule="exact"/>
              <w:jc w:val="center"/>
              <w:rPr>
                <w:rFonts w:ascii="宋体" w:hAnsi="宋体" w:cs="宋体"/>
                <w:color w:val="auto"/>
                <w:szCs w:val="21"/>
                <w:highlight w:val="none"/>
              </w:rPr>
            </w:pPr>
            <w:r>
              <w:rPr>
                <w:rFonts w:hint="eastAsia" w:ascii="宋体" w:hAnsi="宋体" w:cs="宋体"/>
                <w:color w:val="auto"/>
                <w:szCs w:val="21"/>
                <w:highlight w:val="none"/>
                <w:lang w:val="en-US" w:eastAsia="zh-CN"/>
              </w:rPr>
              <w:t>现场查询</w:t>
            </w:r>
          </w:p>
        </w:tc>
        <w:tc>
          <w:tcPr>
            <w:tcW w:w="378" w:type="dxa"/>
            <w:noWrap w:val="0"/>
            <w:vAlign w:val="center"/>
          </w:tcPr>
          <w:p w14:paraId="78E92D25">
            <w:pPr>
              <w:widowControl/>
              <w:shd w:val="clear" w:color="auto" w:fill="auto"/>
              <w:spacing w:after="31" w:afterLines="10"/>
              <w:jc w:val="center"/>
              <w:rPr>
                <w:rFonts w:ascii="宋体" w:hAnsi="宋体" w:cs="宋体"/>
                <w:color w:val="auto"/>
                <w:szCs w:val="21"/>
                <w:highlight w:val="none"/>
              </w:rPr>
            </w:pPr>
          </w:p>
        </w:tc>
        <w:tc>
          <w:tcPr>
            <w:tcW w:w="372" w:type="dxa"/>
            <w:noWrap w:val="0"/>
            <w:vAlign w:val="center"/>
          </w:tcPr>
          <w:p w14:paraId="00ED190A">
            <w:pPr>
              <w:widowControl/>
              <w:shd w:val="clear" w:color="auto" w:fill="auto"/>
              <w:spacing w:after="31" w:afterLines="10"/>
              <w:jc w:val="center"/>
              <w:rPr>
                <w:rFonts w:ascii="宋体" w:hAnsi="宋体" w:cs="宋体"/>
                <w:color w:val="auto"/>
                <w:szCs w:val="21"/>
                <w:highlight w:val="none"/>
              </w:rPr>
            </w:pPr>
          </w:p>
        </w:tc>
        <w:tc>
          <w:tcPr>
            <w:tcW w:w="383" w:type="dxa"/>
            <w:noWrap w:val="0"/>
            <w:vAlign w:val="center"/>
          </w:tcPr>
          <w:p w14:paraId="5A05783F">
            <w:pPr>
              <w:widowControl/>
              <w:shd w:val="clear" w:color="auto" w:fill="auto"/>
              <w:spacing w:after="31" w:afterLines="10"/>
              <w:jc w:val="center"/>
              <w:rPr>
                <w:rFonts w:ascii="宋体" w:hAnsi="宋体" w:cs="宋体"/>
                <w:color w:val="auto"/>
                <w:szCs w:val="21"/>
                <w:highlight w:val="none"/>
              </w:rPr>
            </w:pPr>
          </w:p>
        </w:tc>
        <w:tc>
          <w:tcPr>
            <w:tcW w:w="402" w:type="dxa"/>
            <w:noWrap w:val="0"/>
            <w:vAlign w:val="center"/>
          </w:tcPr>
          <w:p w14:paraId="7E48444F">
            <w:pPr>
              <w:widowControl/>
              <w:shd w:val="clear" w:color="auto" w:fill="auto"/>
              <w:spacing w:after="31" w:afterLines="10"/>
              <w:jc w:val="center"/>
              <w:rPr>
                <w:rFonts w:ascii="宋体" w:hAnsi="宋体" w:cs="宋体"/>
                <w:color w:val="auto"/>
                <w:szCs w:val="21"/>
                <w:highlight w:val="none"/>
              </w:rPr>
            </w:pPr>
          </w:p>
        </w:tc>
      </w:tr>
      <w:tr w14:paraId="6DB7A1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383" w:type="dxa"/>
            <w:noWrap w:val="0"/>
            <w:vAlign w:val="center"/>
          </w:tcPr>
          <w:p w14:paraId="445C5F77">
            <w:pPr>
              <w:shd w:val="clear" w:color="auto" w:fill="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5985" w:type="dxa"/>
            <w:noWrap w:val="0"/>
            <w:vAlign w:val="center"/>
          </w:tcPr>
          <w:p w14:paraId="3C6013C5">
            <w:pPr>
              <w:widowControl/>
              <w:numPr>
                <w:ilvl w:val="0"/>
                <w:numId w:val="0"/>
              </w:numPr>
              <w:shd w:val="clear" w:color="auto" w:fill="auto"/>
              <w:spacing w:line="360" w:lineRule="auto"/>
              <w:ind w:left="0" w:leftChars="0" w:firstLine="0" w:firstLineChars="0"/>
              <w:jc w:val="left"/>
              <w:rPr>
                <w:rFonts w:hint="eastAsia" w:ascii="宋体" w:hAnsi="宋体" w:eastAsia="宋体" w:cs="宋体"/>
                <w:color w:val="auto"/>
                <w:szCs w:val="21"/>
                <w:highlight w:val="none"/>
                <w:lang w:eastAsia="zh-CN"/>
              </w:rPr>
            </w:pPr>
            <w:r>
              <w:rPr>
                <w:rFonts w:hint="eastAsia"/>
                <w:color w:val="auto"/>
                <w:highlight w:val="none"/>
              </w:rPr>
              <w:t>湖南省政府采购供应商资格承诺函</w:t>
            </w:r>
          </w:p>
        </w:tc>
        <w:tc>
          <w:tcPr>
            <w:tcW w:w="1396" w:type="dxa"/>
            <w:noWrap w:val="0"/>
            <w:vAlign w:val="center"/>
          </w:tcPr>
          <w:p w14:paraId="3E6C3579">
            <w:pPr>
              <w:shd w:val="clear" w:color="auto" w:fill="auto"/>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真实有效</w:t>
            </w:r>
          </w:p>
        </w:tc>
        <w:tc>
          <w:tcPr>
            <w:tcW w:w="378" w:type="dxa"/>
            <w:noWrap w:val="0"/>
            <w:vAlign w:val="center"/>
          </w:tcPr>
          <w:p w14:paraId="2E8ED862">
            <w:pPr>
              <w:widowControl/>
              <w:shd w:val="clear" w:color="auto" w:fill="auto"/>
              <w:spacing w:after="31" w:afterLines="10"/>
              <w:jc w:val="center"/>
              <w:rPr>
                <w:rFonts w:ascii="宋体" w:hAnsi="宋体" w:cs="宋体"/>
                <w:color w:val="auto"/>
                <w:szCs w:val="21"/>
                <w:highlight w:val="none"/>
              </w:rPr>
            </w:pPr>
          </w:p>
        </w:tc>
        <w:tc>
          <w:tcPr>
            <w:tcW w:w="372" w:type="dxa"/>
            <w:noWrap w:val="0"/>
            <w:vAlign w:val="center"/>
          </w:tcPr>
          <w:p w14:paraId="385E5171">
            <w:pPr>
              <w:widowControl/>
              <w:shd w:val="clear" w:color="auto" w:fill="auto"/>
              <w:spacing w:after="31" w:afterLines="10"/>
              <w:jc w:val="center"/>
              <w:rPr>
                <w:rFonts w:ascii="宋体" w:hAnsi="宋体" w:cs="宋体"/>
                <w:color w:val="auto"/>
                <w:szCs w:val="21"/>
                <w:highlight w:val="none"/>
              </w:rPr>
            </w:pPr>
          </w:p>
        </w:tc>
        <w:tc>
          <w:tcPr>
            <w:tcW w:w="383" w:type="dxa"/>
            <w:noWrap w:val="0"/>
            <w:vAlign w:val="center"/>
          </w:tcPr>
          <w:p w14:paraId="37175A21">
            <w:pPr>
              <w:widowControl/>
              <w:shd w:val="clear" w:color="auto" w:fill="auto"/>
              <w:spacing w:after="31" w:afterLines="10"/>
              <w:jc w:val="center"/>
              <w:rPr>
                <w:rFonts w:ascii="宋体" w:hAnsi="宋体" w:cs="宋体"/>
                <w:color w:val="auto"/>
                <w:szCs w:val="21"/>
                <w:highlight w:val="none"/>
              </w:rPr>
            </w:pPr>
          </w:p>
        </w:tc>
        <w:tc>
          <w:tcPr>
            <w:tcW w:w="402" w:type="dxa"/>
            <w:noWrap w:val="0"/>
            <w:vAlign w:val="center"/>
          </w:tcPr>
          <w:p w14:paraId="5F13AFAF">
            <w:pPr>
              <w:widowControl/>
              <w:shd w:val="clear" w:color="auto" w:fill="auto"/>
              <w:spacing w:after="31" w:afterLines="10"/>
              <w:jc w:val="center"/>
              <w:rPr>
                <w:rFonts w:ascii="宋体" w:hAnsi="宋体" w:cs="宋体"/>
                <w:color w:val="auto"/>
                <w:szCs w:val="21"/>
                <w:highlight w:val="none"/>
              </w:rPr>
            </w:pPr>
          </w:p>
        </w:tc>
      </w:tr>
      <w:tr w14:paraId="275C1F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368" w:type="dxa"/>
            <w:gridSpan w:val="2"/>
            <w:noWrap w:val="0"/>
            <w:vAlign w:val="center"/>
          </w:tcPr>
          <w:p w14:paraId="0409D1E9">
            <w:pPr>
              <w:shd w:val="clear" w:color="auto" w:fill="auto"/>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结论</w:t>
            </w:r>
          </w:p>
        </w:tc>
        <w:tc>
          <w:tcPr>
            <w:tcW w:w="1396" w:type="dxa"/>
            <w:noWrap w:val="0"/>
            <w:vAlign w:val="center"/>
          </w:tcPr>
          <w:p w14:paraId="04FB76C2">
            <w:pPr>
              <w:shd w:val="clear" w:color="auto" w:fill="auto"/>
              <w:spacing w:line="240" w:lineRule="exact"/>
              <w:jc w:val="center"/>
              <w:rPr>
                <w:rFonts w:ascii="宋体" w:hAnsi="宋体" w:cs="宋体"/>
                <w:color w:val="auto"/>
                <w:szCs w:val="21"/>
                <w:highlight w:val="none"/>
              </w:rPr>
            </w:pPr>
          </w:p>
        </w:tc>
        <w:tc>
          <w:tcPr>
            <w:tcW w:w="378" w:type="dxa"/>
            <w:noWrap w:val="0"/>
            <w:vAlign w:val="center"/>
          </w:tcPr>
          <w:p w14:paraId="6D0B2681">
            <w:pPr>
              <w:widowControl/>
              <w:shd w:val="clear" w:color="auto" w:fill="auto"/>
              <w:spacing w:after="31" w:afterLines="10"/>
              <w:jc w:val="center"/>
              <w:rPr>
                <w:rFonts w:ascii="宋体" w:hAnsi="宋体" w:cs="宋体"/>
                <w:color w:val="auto"/>
                <w:szCs w:val="21"/>
                <w:highlight w:val="none"/>
              </w:rPr>
            </w:pPr>
          </w:p>
        </w:tc>
        <w:tc>
          <w:tcPr>
            <w:tcW w:w="372" w:type="dxa"/>
            <w:noWrap w:val="0"/>
            <w:vAlign w:val="center"/>
          </w:tcPr>
          <w:p w14:paraId="4EE0D88F">
            <w:pPr>
              <w:widowControl/>
              <w:shd w:val="clear" w:color="auto" w:fill="auto"/>
              <w:spacing w:after="31" w:afterLines="10"/>
              <w:jc w:val="center"/>
              <w:rPr>
                <w:rFonts w:ascii="宋体" w:hAnsi="宋体" w:cs="宋体"/>
                <w:color w:val="auto"/>
                <w:szCs w:val="21"/>
                <w:highlight w:val="none"/>
              </w:rPr>
            </w:pPr>
          </w:p>
        </w:tc>
        <w:tc>
          <w:tcPr>
            <w:tcW w:w="383" w:type="dxa"/>
            <w:noWrap w:val="0"/>
            <w:vAlign w:val="center"/>
          </w:tcPr>
          <w:p w14:paraId="55FBC710">
            <w:pPr>
              <w:widowControl/>
              <w:shd w:val="clear" w:color="auto" w:fill="auto"/>
              <w:spacing w:after="31" w:afterLines="10"/>
              <w:jc w:val="center"/>
              <w:rPr>
                <w:rFonts w:ascii="宋体" w:hAnsi="宋体" w:cs="宋体"/>
                <w:color w:val="auto"/>
                <w:szCs w:val="21"/>
                <w:highlight w:val="none"/>
              </w:rPr>
            </w:pPr>
          </w:p>
        </w:tc>
        <w:tc>
          <w:tcPr>
            <w:tcW w:w="402" w:type="dxa"/>
            <w:noWrap w:val="0"/>
            <w:vAlign w:val="center"/>
          </w:tcPr>
          <w:p w14:paraId="31530D1C">
            <w:pPr>
              <w:widowControl/>
              <w:shd w:val="clear" w:color="auto" w:fill="auto"/>
              <w:spacing w:after="31" w:afterLines="10"/>
              <w:jc w:val="center"/>
              <w:rPr>
                <w:rFonts w:ascii="宋体" w:hAnsi="宋体" w:cs="宋体"/>
                <w:color w:val="auto"/>
                <w:szCs w:val="21"/>
                <w:highlight w:val="none"/>
              </w:rPr>
            </w:pPr>
          </w:p>
        </w:tc>
      </w:tr>
    </w:tbl>
    <w:p w14:paraId="69087345">
      <w:pPr>
        <w:spacing w:line="440" w:lineRule="exact"/>
        <w:rPr>
          <w:color w:val="auto"/>
          <w:sz w:val="18"/>
          <w:szCs w:val="18"/>
          <w:highlight w:val="none"/>
        </w:rPr>
      </w:pPr>
      <w:r>
        <w:rPr>
          <w:rFonts w:hint="eastAsia"/>
          <w:color w:val="auto"/>
          <w:sz w:val="18"/>
          <w:szCs w:val="18"/>
          <w:highlight w:val="none"/>
        </w:rPr>
        <w:t>注：竞标人提供资格证明以证实其各项条件均满足本磋商文件规定的供应商资格条件要求。不满足资格条件的视为无效响应（供应商不参加竞争性磋商）。</w:t>
      </w:r>
    </w:p>
    <w:p w14:paraId="0AAEAF1A">
      <w:pPr>
        <w:rPr>
          <w:rFonts w:hint="eastAsia" w:ascii="宋体" w:hAnsi="宋体"/>
          <w:b/>
          <w:color w:val="auto"/>
          <w:szCs w:val="21"/>
          <w:highlight w:val="none"/>
        </w:rPr>
      </w:pPr>
    </w:p>
    <w:p w14:paraId="29F53477">
      <w:pPr>
        <w:adjustRightInd w:val="0"/>
        <w:snapToGrid w:val="0"/>
        <w:spacing w:line="300" w:lineRule="auto"/>
        <w:ind w:firstLine="422" w:firstLineChars="200"/>
        <w:rPr>
          <w:rFonts w:hint="eastAsia" w:ascii="宋体" w:hAnsi="宋体"/>
          <w:b/>
          <w:color w:val="auto"/>
          <w:szCs w:val="21"/>
          <w:highlight w:val="none"/>
        </w:rPr>
      </w:pPr>
    </w:p>
    <w:p w14:paraId="77ABBD0C">
      <w:pPr>
        <w:adjustRightInd w:val="0"/>
        <w:snapToGrid w:val="0"/>
        <w:spacing w:line="300" w:lineRule="auto"/>
        <w:ind w:firstLine="422" w:firstLineChars="200"/>
        <w:rPr>
          <w:rFonts w:ascii="宋体" w:hAnsi="宋体"/>
          <w:color w:val="auto"/>
          <w:sz w:val="24"/>
          <w:highlight w:val="none"/>
        </w:rPr>
      </w:pPr>
      <w:r>
        <w:rPr>
          <w:rFonts w:hint="eastAsia" w:ascii="宋体" w:hAnsi="宋体"/>
          <w:b/>
          <w:color w:val="auto"/>
          <w:szCs w:val="21"/>
          <w:highlight w:val="none"/>
        </w:rPr>
        <w:t>（2）符合性审查表</w:t>
      </w:r>
    </w:p>
    <w:p w14:paraId="586A1B79">
      <w:pPr>
        <w:adjustRightInd w:val="0"/>
        <w:snapToGrid w:val="0"/>
        <w:spacing w:before="120" w:beforeLines="50" w:line="360" w:lineRule="auto"/>
        <w:ind w:firstLine="420"/>
        <w:rPr>
          <w:rFonts w:ascii="宋体" w:hAnsi="宋体"/>
          <w:color w:val="auto"/>
          <w:szCs w:val="21"/>
          <w:highlight w:val="none"/>
        </w:rPr>
      </w:pPr>
      <w:r>
        <w:rPr>
          <w:rFonts w:hint="eastAsia" w:ascii="宋体" w:hAnsi="宋体"/>
          <w:color w:val="auto"/>
          <w:szCs w:val="21"/>
          <w:highlight w:val="none"/>
        </w:rPr>
        <w:t>符合性检查。依据磋商文件的规定，从响应文件的有效性、完整性和对磋商文件的响应程度进行审查，以确定是否对磋商文件的实质性要求作出响应。</w:t>
      </w:r>
    </w:p>
    <w:tbl>
      <w:tblPr>
        <w:tblStyle w:val="26"/>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4636"/>
        <w:gridCol w:w="881"/>
        <w:gridCol w:w="1047"/>
        <w:gridCol w:w="1047"/>
      </w:tblGrid>
      <w:tr w14:paraId="27C5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2" w:type="dxa"/>
            <w:vMerge w:val="restart"/>
            <w:vAlign w:val="center"/>
          </w:tcPr>
          <w:p w14:paraId="545FE8A0">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4636" w:type="dxa"/>
            <w:vMerge w:val="restart"/>
            <w:vAlign w:val="center"/>
          </w:tcPr>
          <w:p w14:paraId="5FBAD570">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符合性审查内容</w:t>
            </w:r>
          </w:p>
        </w:tc>
        <w:tc>
          <w:tcPr>
            <w:tcW w:w="2975" w:type="dxa"/>
            <w:gridSpan w:val="3"/>
            <w:vAlign w:val="center"/>
          </w:tcPr>
          <w:p w14:paraId="3C4C45A4">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投标人</w:t>
            </w:r>
          </w:p>
        </w:tc>
      </w:tr>
      <w:tr w14:paraId="4569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2" w:type="dxa"/>
            <w:vMerge w:val="continue"/>
            <w:vAlign w:val="center"/>
          </w:tcPr>
          <w:p w14:paraId="755BFAB4">
            <w:pPr>
              <w:widowControl/>
              <w:jc w:val="center"/>
              <w:rPr>
                <w:rFonts w:ascii="宋体" w:hAnsi="宋体" w:cs="宋体"/>
                <w:color w:val="auto"/>
                <w:kern w:val="0"/>
                <w:szCs w:val="21"/>
                <w:highlight w:val="none"/>
              </w:rPr>
            </w:pPr>
          </w:p>
        </w:tc>
        <w:tc>
          <w:tcPr>
            <w:tcW w:w="4636" w:type="dxa"/>
            <w:vMerge w:val="continue"/>
            <w:vAlign w:val="center"/>
          </w:tcPr>
          <w:p w14:paraId="6E43AA15">
            <w:pPr>
              <w:widowControl/>
              <w:jc w:val="center"/>
              <w:rPr>
                <w:rFonts w:ascii="宋体" w:hAnsi="宋体" w:cs="宋体"/>
                <w:color w:val="auto"/>
                <w:kern w:val="0"/>
                <w:szCs w:val="21"/>
                <w:highlight w:val="none"/>
              </w:rPr>
            </w:pPr>
          </w:p>
        </w:tc>
        <w:tc>
          <w:tcPr>
            <w:tcW w:w="881" w:type="dxa"/>
            <w:vAlign w:val="center"/>
          </w:tcPr>
          <w:p w14:paraId="4313B51A">
            <w:pPr>
              <w:widowControl/>
              <w:jc w:val="center"/>
              <w:rPr>
                <w:rFonts w:ascii="宋体" w:hAnsi="宋体" w:cs="宋体"/>
                <w:color w:val="auto"/>
                <w:kern w:val="0"/>
                <w:szCs w:val="21"/>
                <w:highlight w:val="none"/>
              </w:rPr>
            </w:pPr>
          </w:p>
        </w:tc>
        <w:tc>
          <w:tcPr>
            <w:tcW w:w="1047" w:type="dxa"/>
            <w:vAlign w:val="center"/>
          </w:tcPr>
          <w:p w14:paraId="7A1D98CA">
            <w:pPr>
              <w:widowControl/>
              <w:jc w:val="center"/>
              <w:rPr>
                <w:rFonts w:ascii="宋体" w:hAnsi="宋体" w:cs="宋体"/>
                <w:color w:val="auto"/>
                <w:kern w:val="0"/>
                <w:szCs w:val="21"/>
                <w:highlight w:val="none"/>
              </w:rPr>
            </w:pPr>
          </w:p>
        </w:tc>
        <w:tc>
          <w:tcPr>
            <w:tcW w:w="1047" w:type="dxa"/>
            <w:vAlign w:val="center"/>
          </w:tcPr>
          <w:p w14:paraId="5D484E5F">
            <w:pPr>
              <w:widowControl/>
              <w:jc w:val="center"/>
              <w:rPr>
                <w:rFonts w:ascii="宋体" w:hAnsi="宋体" w:cs="宋体"/>
                <w:color w:val="auto"/>
                <w:kern w:val="0"/>
                <w:szCs w:val="21"/>
                <w:highlight w:val="none"/>
              </w:rPr>
            </w:pPr>
          </w:p>
        </w:tc>
      </w:tr>
      <w:tr w14:paraId="6C9B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92" w:type="dxa"/>
            <w:vAlign w:val="center"/>
          </w:tcPr>
          <w:p w14:paraId="2B1974F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636" w:type="dxa"/>
            <w:vAlign w:val="center"/>
          </w:tcPr>
          <w:p w14:paraId="5C40FAC3">
            <w:pPr>
              <w:rPr>
                <w:color w:val="auto"/>
                <w:szCs w:val="21"/>
                <w:highlight w:val="none"/>
              </w:rPr>
            </w:pPr>
            <w:r>
              <w:rPr>
                <w:rFonts w:hint="eastAsia"/>
                <w:color w:val="auto"/>
                <w:szCs w:val="21"/>
                <w:highlight w:val="none"/>
              </w:rPr>
              <w:t>响应文件按磋商文件规定签字、盖章，没有以他人名义投标</w:t>
            </w:r>
          </w:p>
        </w:tc>
        <w:tc>
          <w:tcPr>
            <w:tcW w:w="881" w:type="dxa"/>
            <w:vAlign w:val="center"/>
          </w:tcPr>
          <w:p w14:paraId="6CFB34CC">
            <w:pPr>
              <w:widowControl/>
              <w:jc w:val="center"/>
              <w:rPr>
                <w:rFonts w:ascii="宋体" w:hAnsi="宋体" w:cs="宋体"/>
                <w:color w:val="auto"/>
                <w:kern w:val="0"/>
                <w:szCs w:val="21"/>
                <w:highlight w:val="none"/>
              </w:rPr>
            </w:pPr>
          </w:p>
        </w:tc>
        <w:tc>
          <w:tcPr>
            <w:tcW w:w="1047" w:type="dxa"/>
            <w:vAlign w:val="center"/>
          </w:tcPr>
          <w:p w14:paraId="0BF86A13">
            <w:pPr>
              <w:widowControl/>
              <w:jc w:val="center"/>
              <w:rPr>
                <w:rFonts w:ascii="宋体" w:hAnsi="宋体" w:cs="宋体"/>
                <w:color w:val="auto"/>
                <w:kern w:val="0"/>
                <w:szCs w:val="21"/>
                <w:highlight w:val="none"/>
              </w:rPr>
            </w:pPr>
          </w:p>
        </w:tc>
        <w:tc>
          <w:tcPr>
            <w:tcW w:w="1047" w:type="dxa"/>
            <w:vAlign w:val="center"/>
          </w:tcPr>
          <w:p w14:paraId="57D0926B">
            <w:pPr>
              <w:widowControl/>
              <w:jc w:val="center"/>
              <w:rPr>
                <w:rFonts w:ascii="宋体" w:hAnsi="宋体" w:cs="宋体"/>
                <w:color w:val="auto"/>
                <w:kern w:val="0"/>
                <w:szCs w:val="21"/>
                <w:highlight w:val="none"/>
              </w:rPr>
            </w:pPr>
          </w:p>
        </w:tc>
      </w:tr>
      <w:tr w14:paraId="112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92" w:type="dxa"/>
            <w:vAlign w:val="center"/>
          </w:tcPr>
          <w:p w14:paraId="2388C8B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636" w:type="dxa"/>
            <w:vAlign w:val="center"/>
          </w:tcPr>
          <w:p w14:paraId="4BACB5BC">
            <w:pPr>
              <w:rPr>
                <w:color w:val="auto"/>
                <w:szCs w:val="21"/>
                <w:highlight w:val="none"/>
              </w:rPr>
            </w:pPr>
            <w:r>
              <w:rPr>
                <w:rFonts w:hint="eastAsia"/>
                <w:color w:val="auto"/>
                <w:szCs w:val="21"/>
                <w:highlight w:val="none"/>
              </w:rPr>
              <w:t>响应文件按规定格式填写，没有内容不全或关键字迹模糊、无法辨认</w:t>
            </w:r>
          </w:p>
        </w:tc>
        <w:tc>
          <w:tcPr>
            <w:tcW w:w="881" w:type="dxa"/>
            <w:vAlign w:val="center"/>
          </w:tcPr>
          <w:p w14:paraId="7CC29CDE">
            <w:pPr>
              <w:widowControl/>
              <w:jc w:val="center"/>
              <w:rPr>
                <w:rFonts w:ascii="宋体" w:hAnsi="宋体" w:cs="宋体"/>
                <w:color w:val="auto"/>
                <w:kern w:val="0"/>
                <w:szCs w:val="21"/>
                <w:highlight w:val="none"/>
              </w:rPr>
            </w:pPr>
          </w:p>
        </w:tc>
        <w:tc>
          <w:tcPr>
            <w:tcW w:w="1047" w:type="dxa"/>
            <w:vAlign w:val="center"/>
          </w:tcPr>
          <w:p w14:paraId="358F19DB">
            <w:pPr>
              <w:widowControl/>
              <w:jc w:val="center"/>
              <w:rPr>
                <w:rFonts w:ascii="宋体" w:hAnsi="宋体" w:cs="宋体"/>
                <w:color w:val="auto"/>
                <w:kern w:val="0"/>
                <w:szCs w:val="21"/>
                <w:highlight w:val="none"/>
              </w:rPr>
            </w:pPr>
          </w:p>
        </w:tc>
        <w:tc>
          <w:tcPr>
            <w:tcW w:w="1047" w:type="dxa"/>
            <w:vAlign w:val="center"/>
          </w:tcPr>
          <w:p w14:paraId="574DE178">
            <w:pPr>
              <w:widowControl/>
              <w:jc w:val="center"/>
              <w:rPr>
                <w:rFonts w:ascii="宋体" w:hAnsi="宋体" w:cs="宋体"/>
                <w:color w:val="auto"/>
                <w:kern w:val="0"/>
                <w:szCs w:val="21"/>
                <w:highlight w:val="none"/>
              </w:rPr>
            </w:pPr>
          </w:p>
        </w:tc>
      </w:tr>
      <w:tr w14:paraId="1EA7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92" w:type="dxa"/>
            <w:vAlign w:val="center"/>
          </w:tcPr>
          <w:p w14:paraId="340A155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4636" w:type="dxa"/>
            <w:vAlign w:val="center"/>
          </w:tcPr>
          <w:p w14:paraId="0234B7A5">
            <w:pPr>
              <w:rPr>
                <w:color w:val="auto"/>
                <w:szCs w:val="21"/>
                <w:highlight w:val="none"/>
              </w:rPr>
            </w:pPr>
            <w:r>
              <w:rPr>
                <w:rFonts w:hint="eastAsia"/>
                <w:color w:val="auto"/>
                <w:szCs w:val="21"/>
                <w:highlight w:val="none"/>
              </w:rPr>
              <w:t>报价范围</w:t>
            </w:r>
            <w:r>
              <w:rPr>
                <w:rFonts w:hint="eastAsia" w:ascii="宋体" w:hAnsi="宋体"/>
                <w:color w:val="auto"/>
                <w:highlight w:val="none"/>
              </w:rPr>
              <w:t>满足磋商文件要求</w:t>
            </w:r>
          </w:p>
        </w:tc>
        <w:tc>
          <w:tcPr>
            <w:tcW w:w="881" w:type="dxa"/>
            <w:vAlign w:val="center"/>
          </w:tcPr>
          <w:p w14:paraId="6D80F9A5">
            <w:pPr>
              <w:widowControl/>
              <w:jc w:val="center"/>
              <w:rPr>
                <w:rFonts w:ascii="宋体" w:hAnsi="宋体" w:cs="宋体"/>
                <w:color w:val="auto"/>
                <w:kern w:val="0"/>
                <w:szCs w:val="21"/>
                <w:highlight w:val="none"/>
              </w:rPr>
            </w:pPr>
          </w:p>
        </w:tc>
        <w:tc>
          <w:tcPr>
            <w:tcW w:w="1047" w:type="dxa"/>
            <w:vAlign w:val="center"/>
          </w:tcPr>
          <w:p w14:paraId="0C52DE29">
            <w:pPr>
              <w:widowControl/>
              <w:jc w:val="center"/>
              <w:rPr>
                <w:rFonts w:ascii="宋体" w:hAnsi="宋体" w:cs="宋体"/>
                <w:color w:val="auto"/>
                <w:kern w:val="0"/>
                <w:szCs w:val="21"/>
                <w:highlight w:val="none"/>
              </w:rPr>
            </w:pPr>
          </w:p>
        </w:tc>
        <w:tc>
          <w:tcPr>
            <w:tcW w:w="1047" w:type="dxa"/>
            <w:vAlign w:val="center"/>
          </w:tcPr>
          <w:p w14:paraId="5C74C338">
            <w:pPr>
              <w:widowControl/>
              <w:jc w:val="center"/>
              <w:rPr>
                <w:rFonts w:ascii="宋体" w:hAnsi="宋体" w:cs="宋体"/>
                <w:color w:val="auto"/>
                <w:kern w:val="0"/>
                <w:szCs w:val="21"/>
                <w:highlight w:val="none"/>
              </w:rPr>
            </w:pPr>
          </w:p>
        </w:tc>
      </w:tr>
      <w:tr w14:paraId="2FE1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92" w:type="dxa"/>
            <w:vAlign w:val="center"/>
          </w:tcPr>
          <w:p w14:paraId="40469E0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4636" w:type="dxa"/>
            <w:vAlign w:val="center"/>
          </w:tcPr>
          <w:p w14:paraId="45E91FC2">
            <w:pPr>
              <w:widowControl/>
              <w:rPr>
                <w:rFonts w:ascii="宋体" w:hAnsi="宋体" w:cs="宋体"/>
                <w:color w:val="auto"/>
                <w:kern w:val="0"/>
                <w:szCs w:val="21"/>
                <w:highlight w:val="none"/>
              </w:rPr>
            </w:pPr>
            <w:r>
              <w:rPr>
                <w:rFonts w:hint="eastAsia" w:ascii="宋体" w:hAnsi="宋体" w:cs="宋体"/>
                <w:color w:val="auto"/>
                <w:kern w:val="0"/>
                <w:szCs w:val="21"/>
                <w:highlight w:val="none"/>
              </w:rPr>
              <w:t>投标有效期符合磋商文件的要求</w:t>
            </w:r>
          </w:p>
        </w:tc>
        <w:tc>
          <w:tcPr>
            <w:tcW w:w="881" w:type="dxa"/>
            <w:vAlign w:val="center"/>
          </w:tcPr>
          <w:p w14:paraId="4B7D78B8">
            <w:pPr>
              <w:widowControl/>
              <w:jc w:val="center"/>
              <w:rPr>
                <w:rFonts w:ascii="宋体" w:hAnsi="宋体" w:cs="宋体"/>
                <w:color w:val="auto"/>
                <w:kern w:val="0"/>
                <w:szCs w:val="21"/>
                <w:highlight w:val="none"/>
              </w:rPr>
            </w:pPr>
          </w:p>
        </w:tc>
        <w:tc>
          <w:tcPr>
            <w:tcW w:w="1047" w:type="dxa"/>
            <w:vAlign w:val="center"/>
          </w:tcPr>
          <w:p w14:paraId="7EAE1897">
            <w:pPr>
              <w:widowControl/>
              <w:jc w:val="center"/>
              <w:rPr>
                <w:rFonts w:ascii="宋体" w:hAnsi="宋体" w:cs="宋体"/>
                <w:color w:val="auto"/>
                <w:kern w:val="0"/>
                <w:szCs w:val="21"/>
                <w:highlight w:val="none"/>
              </w:rPr>
            </w:pPr>
          </w:p>
        </w:tc>
        <w:tc>
          <w:tcPr>
            <w:tcW w:w="1047" w:type="dxa"/>
            <w:vAlign w:val="center"/>
          </w:tcPr>
          <w:p w14:paraId="4BBBA73E">
            <w:pPr>
              <w:widowControl/>
              <w:jc w:val="center"/>
              <w:rPr>
                <w:rFonts w:ascii="宋体" w:hAnsi="宋体" w:cs="宋体"/>
                <w:color w:val="auto"/>
                <w:kern w:val="0"/>
                <w:szCs w:val="21"/>
                <w:highlight w:val="none"/>
              </w:rPr>
            </w:pPr>
          </w:p>
        </w:tc>
      </w:tr>
      <w:tr w14:paraId="1EED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992" w:type="dxa"/>
            <w:vAlign w:val="center"/>
          </w:tcPr>
          <w:p w14:paraId="79CE7336">
            <w:pPr>
              <w:widowControl/>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4636" w:type="dxa"/>
            <w:vAlign w:val="center"/>
          </w:tcPr>
          <w:p w14:paraId="64390454">
            <w:pPr>
              <w:widowControl/>
              <w:rPr>
                <w:rFonts w:ascii="宋体" w:hAnsi="宋体" w:cs="宋体"/>
                <w:color w:val="auto"/>
                <w:kern w:val="0"/>
                <w:szCs w:val="21"/>
                <w:highlight w:val="none"/>
              </w:rPr>
            </w:pPr>
            <w:r>
              <w:rPr>
                <w:rFonts w:hint="eastAsia" w:ascii="宋体" w:hAnsi="宋体" w:cs="宋体"/>
                <w:color w:val="auto"/>
                <w:kern w:val="0"/>
                <w:szCs w:val="21"/>
                <w:highlight w:val="none"/>
              </w:rPr>
              <w:t>响应文件中没有附任何招标人不能接受的附加条件，没有出现磋商文件或法规明确规定废标情形</w:t>
            </w:r>
          </w:p>
        </w:tc>
        <w:tc>
          <w:tcPr>
            <w:tcW w:w="881" w:type="dxa"/>
            <w:vAlign w:val="center"/>
          </w:tcPr>
          <w:p w14:paraId="35F31DAE">
            <w:pPr>
              <w:widowControl/>
              <w:jc w:val="center"/>
              <w:rPr>
                <w:rFonts w:ascii="宋体" w:hAnsi="宋体" w:cs="宋体"/>
                <w:color w:val="auto"/>
                <w:kern w:val="0"/>
                <w:szCs w:val="21"/>
                <w:highlight w:val="none"/>
              </w:rPr>
            </w:pPr>
          </w:p>
        </w:tc>
        <w:tc>
          <w:tcPr>
            <w:tcW w:w="1047" w:type="dxa"/>
            <w:vAlign w:val="center"/>
          </w:tcPr>
          <w:p w14:paraId="33D36008">
            <w:pPr>
              <w:widowControl/>
              <w:jc w:val="center"/>
              <w:rPr>
                <w:rFonts w:ascii="宋体" w:hAnsi="宋体" w:cs="宋体"/>
                <w:color w:val="auto"/>
                <w:kern w:val="0"/>
                <w:szCs w:val="21"/>
                <w:highlight w:val="none"/>
              </w:rPr>
            </w:pPr>
          </w:p>
        </w:tc>
        <w:tc>
          <w:tcPr>
            <w:tcW w:w="1047" w:type="dxa"/>
            <w:vAlign w:val="center"/>
          </w:tcPr>
          <w:p w14:paraId="21BCD8D7">
            <w:pPr>
              <w:widowControl/>
              <w:jc w:val="center"/>
              <w:rPr>
                <w:rFonts w:ascii="宋体" w:hAnsi="宋体" w:cs="宋体"/>
                <w:color w:val="auto"/>
                <w:kern w:val="0"/>
                <w:szCs w:val="21"/>
                <w:highlight w:val="none"/>
              </w:rPr>
            </w:pPr>
          </w:p>
        </w:tc>
      </w:tr>
      <w:tr w14:paraId="5199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992" w:type="dxa"/>
            <w:vAlign w:val="center"/>
          </w:tcPr>
          <w:p w14:paraId="455BF58C">
            <w:pPr>
              <w:widowControl/>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4636" w:type="dxa"/>
            <w:vAlign w:val="center"/>
          </w:tcPr>
          <w:p w14:paraId="39AE02D2">
            <w:pPr>
              <w:widowControl/>
              <w:rPr>
                <w:rFonts w:hint="eastAsia" w:ascii="宋体" w:hAnsi="宋体" w:cs="宋体"/>
                <w:color w:val="auto"/>
                <w:kern w:val="0"/>
                <w:szCs w:val="21"/>
                <w:highlight w:val="none"/>
              </w:rPr>
            </w:pPr>
            <w:r>
              <w:rPr>
                <w:rFonts w:hint="eastAsia" w:ascii="宋体" w:hAnsi="宋体" w:cs="宋体"/>
                <w:color w:val="auto"/>
                <w:kern w:val="0"/>
                <w:szCs w:val="21"/>
                <w:highlight w:val="none"/>
              </w:rPr>
              <w:t>响应文件满足磋商文件规定的实质性要求</w:t>
            </w:r>
          </w:p>
        </w:tc>
        <w:tc>
          <w:tcPr>
            <w:tcW w:w="881" w:type="dxa"/>
            <w:vAlign w:val="center"/>
          </w:tcPr>
          <w:p w14:paraId="50DDC7B2">
            <w:pPr>
              <w:widowControl/>
              <w:jc w:val="center"/>
              <w:rPr>
                <w:rFonts w:ascii="宋体" w:hAnsi="宋体" w:cs="宋体"/>
                <w:color w:val="auto"/>
                <w:kern w:val="0"/>
                <w:szCs w:val="21"/>
                <w:highlight w:val="none"/>
              </w:rPr>
            </w:pPr>
          </w:p>
        </w:tc>
        <w:tc>
          <w:tcPr>
            <w:tcW w:w="1047" w:type="dxa"/>
            <w:vAlign w:val="center"/>
          </w:tcPr>
          <w:p w14:paraId="1619AACC">
            <w:pPr>
              <w:widowControl/>
              <w:jc w:val="center"/>
              <w:rPr>
                <w:rFonts w:ascii="宋体" w:hAnsi="宋体" w:cs="宋体"/>
                <w:color w:val="auto"/>
                <w:kern w:val="0"/>
                <w:szCs w:val="21"/>
                <w:highlight w:val="none"/>
              </w:rPr>
            </w:pPr>
          </w:p>
        </w:tc>
        <w:tc>
          <w:tcPr>
            <w:tcW w:w="1047" w:type="dxa"/>
            <w:vAlign w:val="center"/>
          </w:tcPr>
          <w:p w14:paraId="17708940">
            <w:pPr>
              <w:widowControl/>
              <w:jc w:val="center"/>
              <w:rPr>
                <w:rFonts w:ascii="宋体" w:hAnsi="宋体" w:cs="宋体"/>
                <w:color w:val="auto"/>
                <w:kern w:val="0"/>
                <w:szCs w:val="21"/>
                <w:highlight w:val="none"/>
              </w:rPr>
            </w:pPr>
          </w:p>
        </w:tc>
      </w:tr>
      <w:tr w14:paraId="7C04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5628" w:type="dxa"/>
            <w:gridSpan w:val="2"/>
            <w:vAlign w:val="center"/>
          </w:tcPr>
          <w:p w14:paraId="26C51752">
            <w:pPr>
              <w:widowControl/>
              <w:jc w:val="center"/>
              <w:rPr>
                <w:rFonts w:ascii="宋体" w:hAnsi="宋体"/>
                <w:color w:val="auto"/>
                <w:szCs w:val="21"/>
                <w:highlight w:val="none"/>
              </w:rPr>
            </w:pPr>
            <w:r>
              <w:rPr>
                <w:rFonts w:hint="eastAsia" w:ascii="宋体" w:hAnsi="宋体"/>
                <w:color w:val="auto"/>
                <w:szCs w:val="21"/>
                <w:highlight w:val="none"/>
              </w:rPr>
              <w:t>结  论</w:t>
            </w:r>
          </w:p>
        </w:tc>
        <w:tc>
          <w:tcPr>
            <w:tcW w:w="881" w:type="dxa"/>
            <w:vAlign w:val="center"/>
          </w:tcPr>
          <w:p w14:paraId="6E392388">
            <w:pPr>
              <w:widowControl/>
              <w:jc w:val="center"/>
              <w:rPr>
                <w:rFonts w:ascii="宋体" w:hAnsi="宋体" w:cs="宋体"/>
                <w:color w:val="auto"/>
                <w:kern w:val="0"/>
                <w:szCs w:val="21"/>
                <w:highlight w:val="none"/>
              </w:rPr>
            </w:pPr>
          </w:p>
        </w:tc>
        <w:tc>
          <w:tcPr>
            <w:tcW w:w="1047" w:type="dxa"/>
            <w:vAlign w:val="center"/>
          </w:tcPr>
          <w:p w14:paraId="6B81D5FF">
            <w:pPr>
              <w:widowControl/>
              <w:jc w:val="center"/>
              <w:rPr>
                <w:rFonts w:ascii="宋体" w:hAnsi="宋体" w:cs="宋体"/>
                <w:color w:val="auto"/>
                <w:kern w:val="0"/>
                <w:szCs w:val="21"/>
                <w:highlight w:val="none"/>
              </w:rPr>
            </w:pPr>
          </w:p>
        </w:tc>
        <w:tc>
          <w:tcPr>
            <w:tcW w:w="1047" w:type="dxa"/>
            <w:vAlign w:val="center"/>
          </w:tcPr>
          <w:p w14:paraId="0A0DB30B">
            <w:pPr>
              <w:widowControl/>
              <w:jc w:val="center"/>
              <w:rPr>
                <w:rFonts w:ascii="宋体" w:hAnsi="宋体" w:cs="宋体"/>
                <w:color w:val="auto"/>
                <w:kern w:val="0"/>
                <w:szCs w:val="21"/>
                <w:highlight w:val="none"/>
              </w:rPr>
            </w:pPr>
          </w:p>
        </w:tc>
      </w:tr>
    </w:tbl>
    <w:p w14:paraId="29D823ED">
      <w:pPr>
        <w:widowControl/>
        <w:jc w:val="left"/>
        <w:rPr>
          <w:rFonts w:ascii="宋体" w:hAnsi="宋体"/>
          <w:b/>
          <w:bCs/>
          <w:color w:val="auto"/>
          <w:szCs w:val="21"/>
          <w:highlight w:val="none"/>
        </w:rPr>
      </w:pPr>
    </w:p>
    <w:p w14:paraId="4B46D689">
      <w:pPr>
        <w:adjustRightInd w:val="0"/>
        <w:snapToGrid w:val="0"/>
        <w:spacing w:line="480" w:lineRule="auto"/>
        <w:ind w:firstLine="422" w:firstLineChars="200"/>
        <w:jc w:val="center"/>
        <w:rPr>
          <w:rFonts w:ascii="黑体" w:eastAsia="黑体"/>
          <w:b/>
          <w:color w:val="auto"/>
          <w:sz w:val="24"/>
          <w:highlight w:val="none"/>
        </w:rPr>
      </w:pPr>
      <w:r>
        <w:rPr>
          <w:rFonts w:hint="eastAsia" w:ascii="宋体" w:hAnsi="宋体"/>
          <w:b/>
          <w:bCs/>
          <w:color w:val="auto"/>
          <w:szCs w:val="21"/>
          <w:highlight w:val="none"/>
        </w:rPr>
        <w:t>评审标准</w:t>
      </w:r>
    </w:p>
    <w:tbl>
      <w:tblPr>
        <w:tblStyle w:val="26"/>
        <w:tblW w:w="84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7"/>
        <w:gridCol w:w="875"/>
        <w:gridCol w:w="830"/>
        <w:gridCol w:w="5846"/>
      </w:tblGrid>
      <w:tr w14:paraId="40C90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72" w:hRule="atLeast"/>
          <w:jc w:val="center"/>
        </w:trPr>
        <w:tc>
          <w:tcPr>
            <w:tcW w:w="1802" w:type="dxa"/>
            <w:gridSpan w:val="2"/>
            <w:tcBorders>
              <w:left w:val="single" w:color="auto" w:sz="4" w:space="0"/>
              <w:right w:val="single" w:color="auto" w:sz="4" w:space="0"/>
            </w:tcBorders>
            <w:noWrap w:val="0"/>
            <w:vAlign w:val="center"/>
          </w:tcPr>
          <w:p w14:paraId="34477720">
            <w:pPr>
              <w:adjustRightInd w:val="0"/>
              <w:snapToGrid w:val="0"/>
              <w:jc w:val="center"/>
              <w:rPr>
                <w:rFonts w:ascii="宋体" w:hAnsi="宋体" w:cs="宋体"/>
                <w:b/>
                <w:color w:val="auto"/>
                <w:szCs w:val="21"/>
              </w:rPr>
            </w:pPr>
          </w:p>
          <w:p w14:paraId="55561A5E">
            <w:pPr>
              <w:adjustRightInd w:val="0"/>
              <w:snapToGrid w:val="0"/>
              <w:jc w:val="center"/>
              <w:rPr>
                <w:rFonts w:hint="default" w:ascii="宋体" w:hAnsi="宋体" w:eastAsia="宋体" w:cs="宋体"/>
                <w:b/>
                <w:color w:val="auto"/>
                <w:szCs w:val="21"/>
                <w:lang w:val="en-US" w:eastAsia="zh-CN"/>
              </w:rPr>
            </w:pPr>
            <w:r>
              <w:rPr>
                <w:rFonts w:hint="eastAsia" w:ascii="宋体" w:hAnsi="宋体" w:cs="宋体"/>
                <w:b/>
                <w:color w:val="auto"/>
                <w:szCs w:val="21"/>
              </w:rPr>
              <w:t>评审因素</w:t>
            </w:r>
            <w:r>
              <w:rPr>
                <w:rFonts w:hint="eastAsia" w:ascii="宋体" w:hAnsi="宋体" w:cs="宋体"/>
                <w:b/>
                <w:color w:val="auto"/>
                <w:szCs w:val="21"/>
                <w:lang w:eastAsia="zh-CN"/>
              </w:rPr>
              <w:t>（</w:t>
            </w:r>
            <w:r>
              <w:rPr>
                <w:rFonts w:hint="eastAsia" w:ascii="宋体" w:hAnsi="宋体" w:cs="宋体"/>
                <w:b/>
                <w:color w:val="auto"/>
                <w:szCs w:val="21"/>
                <w:lang w:val="en-US" w:eastAsia="zh-CN"/>
              </w:rPr>
              <w:t>权值）</w:t>
            </w:r>
          </w:p>
          <w:p w14:paraId="1064C348">
            <w:pPr>
              <w:adjustRightInd w:val="0"/>
              <w:snapToGrid w:val="0"/>
              <w:jc w:val="center"/>
              <w:rPr>
                <w:rFonts w:hint="eastAsia" w:ascii="宋体" w:hAnsi="宋体" w:cs="宋体"/>
                <w:b/>
                <w:color w:val="auto"/>
                <w:szCs w:val="21"/>
              </w:rPr>
            </w:pPr>
          </w:p>
        </w:tc>
        <w:tc>
          <w:tcPr>
            <w:tcW w:w="830" w:type="dxa"/>
            <w:tcBorders>
              <w:left w:val="single" w:color="auto" w:sz="4" w:space="0"/>
              <w:bottom w:val="single" w:color="auto" w:sz="4" w:space="0"/>
              <w:right w:val="single" w:color="auto" w:sz="4" w:space="0"/>
            </w:tcBorders>
            <w:noWrap w:val="0"/>
            <w:vAlign w:val="center"/>
          </w:tcPr>
          <w:p w14:paraId="191271EB">
            <w:pPr>
              <w:adjustRightInd w:val="0"/>
              <w:snapToGrid w:val="0"/>
              <w:jc w:val="center"/>
              <w:rPr>
                <w:rFonts w:hint="eastAsia" w:ascii="宋体" w:hAnsi="宋体" w:cs="宋体"/>
                <w:b/>
                <w:color w:val="auto"/>
                <w:szCs w:val="21"/>
              </w:rPr>
            </w:pPr>
            <w:r>
              <w:rPr>
                <w:rFonts w:hint="eastAsia" w:ascii="宋体" w:hAnsi="宋体" w:cs="宋体"/>
                <w:b/>
                <w:color w:val="auto"/>
                <w:szCs w:val="21"/>
                <w:lang w:val="en-US" w:eastAsia="zh-CN"/>
              </w:rPr>
              <w:t>分</w:t>
            </w:r>
            <w:r>
              <w:rPr>
                <w:rFonts w:hint="eastAsia" w:ascii="宋体" w:hAnsi="宋体" w:cs="宋体"/>
                <w:b/>
                <w:color w:val="auto"/>
                <w:szCs w:val="21"/>
              </w:rPr>
              <w:t>值</w:t>
            </w:r>
          </w:p>
        </w:tc>
        <w:tc>
          <w:tcPr>
            <w:tcW w:w="5846" w:type="dxa"/>
            <w:tcBorders>
              <w:left w:val="single" w:color="auto" w:sz="4" w:space="0"/>
              <w:bottom w:val="single" w:color="auto" w:sz="4" w:space="0"/>
            </w:tcBorders>
            <w:noWrap w:val="0"/>
            <w:vAlign w:val="center"/>
          </w:tcPr>
          <w:p w14:paraId="1E4398B0">
            <w:pPr>
              <w:adjustRightInd w:val="0"/>
              <w:snapToGrid w:val="0"/>
              <w:jc w:val="center"/>
              <w:rPr>
                <w:rFonts w:hint="eastAsia" w:ascii="宋体" w:hAnsi="宋体" w:cs="宋体"/>
                <w:b/>
                <w:color w:val="auto"/>
                <w:szCs w:val="21"/>
              </w:rPr>
            </w:pPr>
            <w:r>
              <w:rPr>
                <w:rFonts w:hint="eastAsia" w:ascii="宋体" w:hAnsi="宋体" w:cs="宋体"/>
                <w:b/>
                <w:color w:val="auto"/>
                <w:szCs w:val="21"/>
              </w:rPr>
              <w:t>评分标准</w:t>
            </w:r>
          </w:p>
        </w:tc>
      </w:tr>
      <w:tr w14:paraId="06AFAA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02" w:type="dxa"/>
            <w:gridSpan w:val="2"/>
            <w:tcBorders>
              <w:top w:val="single" w:color="auto" w:sz="4" w:space="0"/>
              <w:left w:val="single" w:color="auto" w:sz="4" w:space="0"/>
              <w:bottom w:val="single" w:color="auto" w:sz="4" w:space="0"/>
              <w:right w:val="single" w:color="auto" w:sz="4" w:space="0"/>
            </w:tcBorders>
            <w:noWrap w:val="0"/>
            <w:vAlign w:val="center"/>
          </w:tcPr>
          <w:p w14:paraId="774394E7">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rPr>
              <w:t>价格</w:t>
            </w:r>
            <w:r>
              <w:rPr>
                <w:rFonts w:hint="eastAsia" w:ascii="宋体" w:hAnsi="宋体" w:cs="宋体"/>
                <w:color w:val="auto"/>
                <w:szCs w:val="21"/>
                <w:lang w:eastAsia="zh-CN"/>
              </w:rPr>
              <w:t>（</w:t>
            </w:r>
            <w:r>
              <w:rPr>
                <w:rFonts w:hint="eastAsia" w:ascii="宋体" w:hAnsi="宋体" w:cs="宋体"/>
                <w:color w:val="auto"/>
                <w:szCs w:val="21"/>
                <w:lang w:val="en-US" w:eastAsia="zh-CN"/>
              </w:rPr>
              <w:t>45%）</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000C2960">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100分</w:t>
            </w:r>
          </w:p>
        </w:tc>
        <w:tc>
          <w:tcPr>
            <w:tcW w:w="5846" w:type="dxa"/>
            <w:tcBorders>
              <w:top w:val="single" w:color="auto" w:sz="4" w:space="0"/>
              <w:left w:val="single" w:color="auto" w:sz="4" w:space="0"/>
              <w:bottom w:val="single" w:color="auto" w:sz="4" w:space="0"/>
            </w:tcBorders>
            <w:noWrap w:val="0"/>
            <w:vAlign w:val="center"/>
          </w:tcPr>
          <w:p w14:paraId="25D08C09">
            <w:pPr>
              <w:rPr>
                <w:rFonts w:hint="eastAsia" w:ascii="宋体" w:hAnsi="宋体" w:eastAsia="宋体" w:cs="宋体"/>
                <w:color w:val="auto"/>
                <w:szCs w:val="21"/>
                <w:lang w:val="en-US" w:eastAsia="zh-CN"/>
              </w:rPr>
            </w:pPr>
            <w:r>
              <w:rPr>
                <w:rFonts w:hint="eastAsia" w:ascii="宋体" w:hAnsi="宋体" w:eastAsia="宋体" w:cs="宋体"/>
                <w:color w:val="auto"/>
                <w:szCs w:val="21"/>
              </w:rPr>
              <w:t>满足磋商文件要求且最后报价最低的供应商的价格为磋商基准价，其价格分为满分。其他供应商的价格分统一按照下列公式计算：磋商报价得分=（磋商基准价/最后磋商报价）×价格权值</w:t>
            </w:r>
            <w:r>
              <w:rPr>
                <w:rFonts w:hint="eastAsia" w:ascii="宋体" w:hAnsi="宋体" w:eastAsia="宋体" w:cs="宋体"/>
                <w:color w:val="auto"/>
                <w:szCs w:val="21"/>
                <w:lang w:val="en-US" w:eastAsia="zh-CN"/>
              </w:rPr>
              <w:t>；</w:t>
            </w:r>
          </w:p>
          <w:p w14:paraId="7467D57C">
            <w:pP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说明：</w:t>
            </w:r>
          </w:p>
          <w:p w14:paraId="59CB8A77">
            <w:pP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因落实政府采购政策(价格评审优惠、优先采购)进行价格调整的，以调整后的价格计算评标基准价和投标报价。</w:t>
            </w:r>
          </w:p>
          <w:p w14:paraId="2FADA37B">
            <w:pPr>
              <w:rPr>
                <w:rFonts w:hint="eastAsia"/>
              </w:rPr>
            </w:pPr>
            <w:r>
              <w:rPr>
                <w:rFonts w:hint="eastAsia" w:ascii="宋体" w:hAnsi="宋体" w:cs="宋体"/>
                <w:color w:val="auto"/>
                <w:szCs w:val="21"/>
                <w:lang w:val="en-US" w:eastAsia="zh-CN"/>
              </w:rPr>
              <w:t>2.</w:t>
            </w:r>
            <w:r>
              <w:rPr>
                <w:rFonts w:hint="eastAsia" w:ascii="宋体" w:hAnsi="宋体" w:eastAsia="宋体" w:cs="宋体"/>
                <w:color w:val="auto"/>
                <w:szCs w:val="21"/>
                <w:lang w:val="en-US" w:eastAsia="zh-CN"/>
              </w:rPr>
              <w:t>关于</w:t>
            </w:r>
            <w:r>
              <w:rPr>
                <w:rFonts w:hint="eastAsia" w:ascii="宋体" w:hAnsi="宋体" w:eastAsia="宋体" w:cs="宋体"/>
                <w:color w:val="auto"/>
                <w:szCs w:val="21"/>
              </w:rPr>
              <w:t>评审委员会启动异常低价投标（响应）审查</w:t>
            </w:r>
            <w:r>
              <w:rPr>
                <w:rFonts w:hint="eastAsia" w:ascii="宋体" w:hAnsi="宋体" w:eastAsia="宋体" w:cs="宋体"/>
                <w:color w:val="auto"/>
                <w:szCs w:val="21"/>
                <w:lang w:val="en-US" w:eastAsia="zh-CN"/>
              </w:rPr>
              <w:t>规定（附后）。</w:t>
            </w:r>
          </w:p>
        </w:tc>
      </w:tr>
      <w:tr w14:paraId="44E04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9" w:hRule="atLeast"/>
          <w:jc w:val="center"/>
        </w:trPr>
        <w:tc>
          <w:tcPr>
            <w:tcW w:w="927" w:type="dxa"/>
            <w:vMerge w:val="restart"/>
            <w:tcBorders>
              <w:left w:val="single" w:color="auto" w:sz="4" w:space="0"/>
              <w:right w:val="single" w:color="auto" w:sz="4" w:space="0"/>
            </w:tcBorders>
            <w:noWrap w:val="0"/>
            <w:vAlign w:val="center"/>
          </w:tcPr>
          <w:p w14:paraId="62236ED2">
            <w:pPr>
              <w:jc w:val="center"/>
              <w:rPr>
                <w:rFonts w:ascii="宋体" w:hAnsi="宋体" w:cs="宋体"/>
                <w:color w:val="auto"/>
                <w:szCs w:val="21"/>
              </w:rPr>
            </w:pPr>
            <w:r>
              <w:rPr>
                <w:rFonts w:hint="eastAsia" w:ascii="宋体" w:hAnsi="宋体" w:cs="宋体"/>
                <w:color w:val="auto"/>
                <w:szCs w:val="21"/>
              </w:rPr>
              <w:t>商务</w:t>
            </w:r>
          </w:p>
          <w:p w14:paraId="3B433D30">
            <w:pPr>
              <w:jc w:val="center"/>
              <w:rPr>
                <w:rFonts w:hint="eastAsia" w:ascii="宋体" w:hAnsi="宋体" w:cs="宋体"/>
                <w:color w:val="auto"/>
                <w:szCs w:val="21"/>
                <w:highlight w:val="none"/>
              </w:rPr>
            </w:pPr>
            <w:r>
              <w:rPr>
                <w:rFonts w:hint="eastAsia" w:ascii="宋体" w:hAnsi="宋体" w:cs="宋体"/>
                <w:color w:val="auto"/>
                <w:szCs w:val="21"/>
              </w:rPr>
              <w:t>（</w:t>
            </w:r>
            <w:r>
              <w:rPr>
                <w:rFonts w:hint="eastAsia" w:ascii="宋体" w:hAnsi="宋体" w:cs="宋体"/>
                <w:color w:val="auto"/>
                <w:szCs w:val="21"/>
                <w:lang w:val="en-US" w:eastAsia="zh-CN"/>
              </w:rPr>
              <w:t>15%</w:t>
            </w:r>
            <w:r>
              <w:rPr>
                <w:rFonts w:hint="eastAsia" w:ascii="宋体" w:hAnsi="宋体" w:cs="宋体"/>
                <w:color w:val="auto"/>
                <w:szCs w:val="21"/>
              </w:rPr>
              <w:t>）</w:t>
            </w:r>
          </w:p>
        </w:tc>
        <w:tc>
          <w:tcPr>
            <w:tcW w:w="875" w:type="dxa"/>
            <w:tcBorders>
              <w:top w:val="single" w:color="auto" w:sz="4" w:space="0"/>
              <w:left w:val="single" w:color="auto" w:sz="4" w:space="0"/>
              <w:right w:val="single" w:color="auto" w:sz="4" w:space="0"/>
            </w:tcBorders>
            <w:noWrap w:val="0"/>
            <w:vAlign w:val="center"/>
          </w:tcPr>
          <w:p w14:paraId="40D13C1F">
            <w:pPr>
              <w:adjustRightInd w:val="0"/>
              <w:snapToGrid w:val="0"/>
              <w:spacing w:beforeLines="50"/>
              <w:jc w:val="center"/>
              <w:rPr>
                <w:rFonts w:hint="eastAsia" w:ascii="宋体" w:hAnsi="宋体" w:eastAsia="宋体" w:cs="宋体"/>
                <w:color w:val="auto"/>
                <w:sz w:val="21"/>
                <w:szCs w:val="21"/>
              </w:rPr>
            </w:pPr>
            <w:r>
              <w:rPr>
                <w:rFonts w:hint="eastAsia" w:ascii="宋体" w:hAnsi="宋体" w:eastAsia="宋体" w:cs="宋体"/>
                <w:bCs/>
                <w:sz w:val="21"/>
                <w:szCs w:val="21"/>
              </w:rPr>
              <w:t>类似业绩</w:t>
            </w:r>
          </w:p>
        </w:tc>
        <w:tc>
          <w:tcPr>
            <w:tcW w:w="830" w:type="dxa"/>
            <w:tcBorders>
              <w:top w:val="single" w:color="auto" w:sz="4" w:space="0"/>
              <w:left w:val="single" w:color="auto" w:sz="4" w:space="0"/>
              <w:right w:val="single" w:color="auto" w:sz="4" w:space="0"/>
            </w:tcBorders>
            <w:noWrap w:val="0"/>
            <w:vAlign w:val="center"/>
          </w:tcPr>
          <w:p w14:paraId="30D8C856">
            <w:pPr>
              <w:jc w:val="center"/>
              <w:rPr>
                <w:rFonts w:hint="eastAsia" w:ascii="宋体" w:hAnsi="宋体" w:eastAsia="宋体" w:cs="宋体"/>
                <w:bCs/>
                <w:sz w:val="21"/>
                <w:szCs w:val="21"/>
              </w:rPr>
            </w:pPr>
          </w:p>
          <w:p w14:paraId="7B968E0E">
            <w:pPr>
              <w:jc w:val="center"/>
              <w:rPr>
                <w:rFonts w:hint="eastAsia" w:ascii="宋体" w:hAnsi="宋体" w:eastAsia="宋体" w:cs="宋体"/>
                <w:color w:val="auto"/>
                <w:sz w:val="21"/>
                <w:szCs w:val="21"/>
                <w:lang w:val="en-US" w:eastAsia="zh-CN"/>
              </w:rPr>
            </w:pPr>
            <w:r>
              <w:rPr>
                <w:rFonts w:hint="eastAsia" w:ascii="宋体" w:hAnsi="宋体" w:cs="宋体"/>
                <w:bCs/>
                <w:sz w:val="21"/>
                <w:szCs w:val="21"/>
                <w:lang w:val="en-US" w:eastAsia="zh-CN"/>
              </w:rPr>
              <w:t>45</w:t>
            </w:r>
            <w:r>
              <w:rPr>
                <w:rFonts w:hint="eastAsia" w:ascii="宋体" w:hAnsi="宋体" w:eastAsia="宋体" w:cs="宋体"/>
                <w:bCs/>
                <w:sz w:val="21"/>
                <w:szCs w:val="21"/>
              </w:rPr>
              <w:t>分</w:t>
            </w:r>
          </w:p>
        </w:tc>
        <w:tc>
          <w:tcPr>
            <w:tcW w:w="5846" w:type="dxa"/>
            <w:tcBorders>
              <w:top w:val="single" w:color="auto" w:sz="4" w:space="0"/>
              <w:left w:val="single" w:color="auto" w:sz="4" w:space="0"/>
            </w:tcBorders>
            <w:noWrap w:val="0"/>
            <w:vAlign w:val="center"/>
          </w:tcPr>
          <w:p w14:paraId="53A3365C">
            <w:pPr>
              <w:rPr>
                <w:rFonts w:hint="eastAsia" w:ascii="宋体" w:hAnsi="宋体" w:eastAsia="宋体" w:cs="宋体"/>
                <w:sz w:val="21"/>
                <w:szCs w:val="21"/>
              </w:rPr>
            </w:pPr>
            <w:r>
              <w:rPr>
                <w:rFonts w:hint="eastAsia" w:ascii="宋体" w:hAnsi="宋体" w:eastAsia="宋体" w:cs="宋体"/>
                <w:sz w:val="21"/>
                <w:szCs w:val="21"/>
              </w:rPr>
              <w:t>供应商提供响应文件截止时间前</w:t>
            </w:r>
            <w:r>
              <w:rPr>
                <w:rFonts w:hint="eastAsia" w:ascii="宋体" w:hAnsi="宋体" w:eastAsia="宋体" w:cs="宋体"/>
                <w:sz w:val="21"/>
                <w:szCs w:val="21"/>
                <w:lang w:val="en-US" w:eastAsia="zh-CN"/>
              </w:rPr>
              <w:t>一天</w:t>
            </w:r>
            <w:r>
              <w:rPr>
                <w:rFonts w:hint="eastAsia" w:ascii="宋体" w:hAnsi="宋体" w:eastAsia="宋体" w:cs="宋体"/>
                <w:sz w:val="21"/>
                <w:szCs w:val="21"/>
              </w:rPr>
              <w:t>36个月内的类似项目，提供1个计</w:t>
            </w:r>
            <w:r>
              <w:rPr>
                <w:rFonts w:hint="eastAsia" w:ascii="宋体" w:hAnsi="宋体" w:cs="宋体"/>
                <w:sz w:val="21"/>
                <w:szCs w:val="21"/>
                <w:lang w:val="en-US" w:eastAsia="zh-CN"/>
              </w:rPr>
              <w:t>15</w:t>
            </w:r>
            <w:r>
              <w:rPr>
                <w:rFonts w:hint="eastAsia" w:ascii="宋体" w:hAnsi="宋体" w:eastAsia="宋体" w:cs="宋体"/>
                <w:sz w:val="21"/>
                <w:szCs w:val="21"/>
              </w:rPr>
              <w:t>分，最多计</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14:paraId="7878035E">
            <w:pPr>
              <w:rPr>
                <w:rFonts w:hint="eastAsia" w:ascii="宋体" w:hAnsi="宋体" w:eastAsia="宋体" w:cs="宋体"/>
                <w:color w:val="auto"/>
                <w:sz w:val="21"/>
                <w:szCs w:val="21"/>
                <w:lang w:eastAsia="zh-CN"/>
              </w:rPr>
            </w:pPr>
            <w:r>
              <w:rPr>
                <w:rFonts w:hint="eastAsia" w:ascii="宋体" w:hAnsi="宋体" w:eastAsia="宋体" w:cs="宋体"/>
                <w:sz w:val="21"/>
                <w:szCs w:val="21"/>
              </w:rPr>
              <w:t>注：提供合同复印件或中标/成交通知书，并加盖供应商公章，否则不计分。评分中出现无证明资料或专家无法凭所提供资料判断是否得分的情况，一律作不得分处理。</w:t>
            </w:r>
          </w:p>
        </w:tc>
      </w:tr>
      <w:tr w14:paraId="09B69D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9" w:hRule="atLeast"/>
          <w:jc w:val="center"/>
        </w:trPr>
        <w:tc>
          <w:tcPr>
            <w:tcW w:w="927" w:type="dxa"/>
            <w:vMerge w:val="continue"/>
            <w:tcBorders>
              <w:left w:val="single" w:color="auto" w:sz="4" w:space="0"/>
              <w:right w:val="single" w:color="auto" w:sz="4" w:space="0"/>
            </w:tcBorders>
            <w:noWrap w:val="0"/>
            <w:vAlign w:val="center"/>
          </w:tcPr>
          <w:p w14:paraId="3DC59342">
            <w:pPr>
              <w:jc w:val="center"/>
              <w:rPr>
                <w:rFonts w:hint="eastAsia" w:ascii="宋体" w:hAnsi="宋体" w:cs="宋体"/>
                <w:color w:val="auto"/>
                <w:szCs w:val="21"/>
              </w:rPr>
            </w:pPr>
          </w:p>
        </w:tc>
        <w:tc>
          <w:tcPr>
            <w:tcW w:w="875" w:type="dxa"/>
            <w:tcBorders>
              <w:top w:val="single" w:color="auto" w:sz="4" w:space="0"/>
              <w:left w:val="single" w:color="auto" w:sz="4" w:space="0"/>
              <w:right w:val="single" w:color="auto" w:sz="4" w:space="0"/>
            </w:tcBorders>
            <w:noWrap w:val="0"/>
            <w:vAlign w:val="center"/>
          </w:tcPr>
          <w:p w14:paraId="3D966F4F">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kern w:val="0"/>
                <w:sz w:val="21"/>
                <w:szCs w:val="21"/>
                <w:highlight w:val="none"/>
              </w:rPr>
              <w:t>团队服务能力</w:t>
            </w:r>
          </w:p>
        </w:tc>
        <w:tc>
          <w:tcPr>
            <w:tcW w:w="830" w:type="dxa"/>
            <w:tcBorders>
              <w:top w:val="single" w:color="auto" w:sz="4" w:space="0"/>
              <w:left w:val="single" w:color="auto" w:sz="4" w:space="0"/>
              <w:right w:val="single" w:color="auto" w:sz="4" w:space="0"/>
            </w:tcBorders>
            <w:noWrap w:val="0"/>
            <w:vAlign w:val="center"/>
          </w:tcPr>
          <w:p w14:paraId="4E96FE7C">
            <w:pPr>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分</w:t>
            </w:r>
          </w:p>
        </w:tc>
        <w:tc>
          <w:tcPr>
            <w:tcW w:w="5846" w:type="dxa"/>
            <w:tcBorders>
              <w:top w:val="single" w:color="auto" w:sz="4" w:space="0"/>
              <w:left w:val="single" w:color="auto" w:sz="4" w:space="0"/>
            </w:tcBorders>
            <w:noWrap w:val="0"/>
            <w:vAlign w:val="top"/>
          </w:tcPr>
          <w:p w14:paraId="030B8A22">
            <w:pPr>
              <w:rPr>
                <w:rFonts w:hint="eastAsia" w:ascii="宋体" w:hAnsi="宋体" w:eastAsia="宋体" w:cs="宋体"/>
                <w:sz w:val="21"/>
                <w:szCs w:val="21"/>
                <w:highlight w:val="none"/>
              </w:rPr>
            </w:pPr>
            <w:r>
              <w:rPr>
                <w:rFonts w:hint="eastAsia" w:ascii="宋体" w:hAnsi="宋体" w:eastAsia="宋体" w:cs="宋体"/>
                <w:sz w:val="21"/>
                <w:szCs w:val="21"/>
                <w:highlight w:val="none"/>
              </w:rPr>
              <w:t>供应商拟投入本项目的团队人员具有系统集成项目管理工程师认证证书</w:t>
            </w:r>
            <w:r>
              <w:rPr>
                <w:rFonts w:hint="eastAsia" w:ascii="宋体" w:hAnsi="宋体" w:eastAsia="宋体" w:cs="宋体"/>
                <w:sz w:val="21"/>
                <w:szCs w:val="21"/>
                <w:highlight w:val="none"/>
                <w:lang w:val="en-US" w:eastAsia="zh-CN"/>
              </w:rPr>
              <w:t>计</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w:t>
            </w:r>
          </w:p>
          <w:p w14:paraId="5F748578">
            <w:pP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highlight w:val="none"/>
              </w:rPr>
              <w:t>注：提供相关专业证书复印件并加盖公章，未提供不计分。</w:t>
            </w:r>
          </w:p>
        </w:tc>
      </w:tr>
      <w:tr w14:paraId="09C5F9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4" w:hRule="atLeast"/>
          <w:jc w:val="center"/>
        </w:trPr>
        <w:tc>
          <w:tcPr>
            <w:tcW w:w="927" w:type="dxa"/>
            <w:vMerge w:val="continue"/>
            <w:tcBorders>
              <w:left w:val="single" w:color="auto" w:sz="4" w:space="0"/>
              <w:right w:val="single" w:color="auto" w:sz="4" w:space="0"/>
            </w:tcBorders>
            <w:noWrap w:val="0"/>
            <w:vAlign w:val="center"/>
          </w:tcPr>
          <w:p w14:paraId="30C930C2">
            <w:pPr>
              <w:jc w:val="center"/>
              <w:rPr>
                <w:rFonts w:hint="eastAsia" w:ascii="宋体" w:hAnsi="宋体" w:cs="宋体"/>
                <w:color w:val="auto"/>
                <w:szCs w:val="21"/>
                <w:highlight w:val="none"/>
              </w:rPr>
            </w:pPr>
          </w:p>
        </w:tc>
        <w:tc>
          <w:tcPr>
            <w:tcW w:w="875" w:type="dxa"/>
            <w:tcBorders>
              <w:top w:val="single" w:color="auto" w:sz="4" w:space="0"/>
              <w:left w:val="single" w:color="auto" w:sz="4" w:space="0"/>
              <w:right w:val="single" w:color="auto" w:sz="4" w:space="0"/>
            </w:tcBorders>
            <w:noWrap w:val="0"/>
            <w:vAlign w:val="center"/>
          </w:tcPr>
          <w:p w14:paraId="43262B4C">
            <w:pPr>
              <w:shd w:val="clear" w:color="auto" w:fill="auto"/>
              <w:adjustRightInd w:val="0"/>
              <w:spacing w:line="288" w:lineRule="atLeas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rPr>
              <w:t>售后服务方案</w:t>
            </w:r>
          </w:p>
        </w:tc>
        <w:tc>
          <w:tcPr>
            <w:tcW w:w="830" w:type="dxa"/>
            <w:tcBorders>
              <w:top w:val="single" w:color="auto" w:sz="4" w:space="0"/>
              <w:left w:val="single" w:color="auto" w:sz="4" w:space="0"/>
              <w:right w:val="single" w:color="auto" w:sz="4" w:space="0"/>
            </w:tcBorders>
            <w:noWrap w:val="0"/>
            <w:vAlign w:val="center"/>
          </w:tcPr>
          <w:p w14:paraId="0BEC09AD">
            <w:pPr>
              <w:widowControl/>
              <w:shd w:val="clear" w:color="auto" w:fill="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40分</w:t>
            </w:r>
            <w:bookmarkStart w:id="95" w:name="_GoBack"/>
            <w:bookmarkEnd w:id="95"/>
          </w:p>
        </w:tc>
        <w:tc>
          <w:tcPr>
            <w:tcW w:w="5846" w:type="dxa"/>
            <w:tcBorders>
              <w:top w:val="single" w:color="auto" w:sz="4" w:space="0"/>
              <w:left w:val="single" w:color="auto" w:sz="4" w:space="0"/>
              <w:bottom w:val="single" w:color="auto" w:sz="4" w:space="0"/>
            </w:tcBorders>
            <w:noWrap w:val="0"/>
            <w:vAlign w:val="center"/>
          </w:tcPr>
          <w:p w14:paraId="228DF832">
            <w:pPr>
              <w:shd w:val="clear" w:color="auto" w:fill="auto"/>
              <w:adjustRightInd w:val="0"/>
              <w:spacing w:line="288" w:lineRule="atLeast"/>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提供针对本项目的售后服务方案，方案内容应包括</w:t>
            </w:r>
            <w:r>
              <w:rPr>
                <w:rFonts w:hint="eastAsia" w:ascii="宋体" w:hAnsi="宋体" w:eastAsia="宋体" w:cs="宋体"/>
                <w:color w:val="auto"/>
                <w:sz w:val="21"/>
                <w:szCs w:val="21"/>
                <w:lang w:val="en-US" w:eastAsia="zh-CN"/>
              </w:rPr>
              <w:t>但不限于：</w:t>
            </w:r>
            <w:r>
              <w:rPr>
                <w:rFonts w:hint="eastAsia" w:ascii="宋体" w:hAnsi="宋体" w:eastAsia="宋体" w:cs="宋体"/>
                <w:color w:val="auto"/>
                <w:sz w:val="21"/>
                <w:szCs w:val="21"/>
              </w:rPr>
              <w:t>①</w:t>
            </w:r>
            <w:r>
              <w:rPr>
                <w:rFonts w:hint="eastAsia" w:ascii="宋体" w:hAnsi="宋体" w:eastAsia="宋体" w:cs="宋体"/>
                <w:color w:val="auto"/>
                <w:sz w:val="21"/>
                <w:szCs w:val="21"/>
                <w:lang w:val="en-US" w:eastAsia="zh-CN"/>
              </w:rPr>
              <w:t>售后服务机构及人员配置；</w:t>
            </w:r>
            <w:r>
              <w:rPr>
                <w:rFonts w:hint="eastAsia" w:ascii="宋体" w:hAnsi="宋体" w:eastAsia="宋体" w:cs="宋体"/>
                <w:color w:val="auto"/>
                <w:sz w:val="21"/>
                <w:szCs w:val="21"/>
              </w:rPr>
              <w:t>②</w:t>
            </w:r>
            <w:r>
              <w:rPr>
                <w:rFonts w:hint="eastAsia" w:ascii="宋体" w:hAnsi="宋体" w:eastAsia="宋体" w:cs="宋体"/>
                <w:color w:val="auto"/>
                <w:sz w:val="21"/>
                <w:szCs w:val="21"/>
                <w:lang w:val="en-US" w:eastAsia="zh-CN"/>
              </w:rPr>
              <w:t>技术支持；</w:t>
            </w:r>
            <w:r>
              <w:rPr>
                <w:rFonts w:hint="eastAsia" w:ascii="宋体" w:hAnsi="宋体" w:eastAsia="宋体" w:cs="宋体"/>
                <w:color w:val="auto"/>
                <w:sz w:val="21"/>
                <w:szCs w:val="21"/>
              </w:rPr>
              <w:t>③</w:t>
            </w:r>
            <w:r>
              <w:rPr>
                <w:rFonts w:hint="eastAsia" w:ascii="宋体" w:hAnsi="宋体" w:eastAsia="宋体" w:cs="宋体"/>
                <w:color w:val="auto"/>
                <w:sz w:val="21"/>
                <w:szCs w:val="21"/>
                <w:lang w:val="en-US" w:eastAsia="zh-CN"/>
              </w:rPr>
              <w:t>故障响应时效；</w:t>
            </w:r>
            <w:r>
              <w:rPr>
                <w:rFonts w:hint="eastAsia" w:ascii="宋体" w:hAnsi="宋体" w:eastAsia="宋体" w:cs="宋体"/>
                <w:color w:val="auto"/>
                <w:sz w:val="21"/>
                <w:szCs w:val="21"/>
              </w:rPr>
              <w:t>④</w:t>
            </w:r>
            <w:r>
              <w:rPr>
                <w:rFonts w:hint="eastAsia" w:ascii="宋体" w:hAnsi="宋体" w:eastAsia="宋体" w:cs="宋体"/>
                <w:color w:val="auto"/>
                <w:sz w:val="21"/>
                <w:szCs w:val="21"/>
                <w:lang w:val="en-US" w:eastAsia="zh-CN"/>
              </w:rPr>
              <w:t>服务保障；⑤质保期</w:t>
            </w:r>
            <w:r>
              <w:rPr>
                <w:rFonts w:hint="eastAsia" w:ascii="宋体" w:hAnsi="宋体" w:eastAsia="宋体" w:cs="宋体"/>
                <w:color w:val="auto"/>
                <w:sz w:val="21"/>
                <w:szCs w:val="21"/>
              </w:rPr>
              <w:t>等；</w:t>
            </w:r>
            <w:r>
              <w:rPr>
                <w:rFonts w:hint="eastAsia" w:ascii="宋体" w:hAnsi="宋体" w:eastAsia="宋体" w:cs="宋体"/>
                <w:color w:val="auto"/>
                <w:sz w:val="21"/>
                <w:szCs w:val="21"/>
                <w:lang w:val="zh-CN" w:eastAsia="zh-CN"/>
              </w:rPr>
              <w:t>各项内容完善、措施合理，</w:t>
            </w:r>
            <w:r>
              <w:rPr>
                <w:rFonts w:hint="eastAsia" w:ascii="宋体" w:hAnsi="宋体" w:eastAsia="宋体" w:cs="宋体"/>
                <w:color w:val="auto"/>
                <w:sz w:val="21"/>
                <w:szCs w:val="21"/>
                <w:lang w:val="en-US" w:eastAsia="zh-CN"/>
              </w:rPr>
              <w:t>满足</w:t>
            </w:r>
            <w:r>
              <w:rPr>
                <w:rFonts w:hint="eastAsia" w:ascii="宋体" w:hAnsi="宋体" w:eastAsia="宋体" w:cs="宋体"/>
                <w:color w:val="auto"/>
                <w:sz w:val="21"/>
                <w:szCs w:val="21"/>
                <w:lang w:val="zh-CN" w:eastAsia="zh-CN"/>
              </w:rPr>
              <w:t>采购需求且具有可行性的计</w:t>
            </w:r>
            <w:r>
              <w:rPr>
                <w:rFonts w:hint="eastAsia" w:ascii="宋体" w:hAnsi="宋体" w:cs="宋体"/>
                <w:color w:val="auto"/>
                <w:sz w:val="21"/>
                <w:szCs w:val="21"/>
                <w:lang w:val="en-US" w:eastAsia="zh-CN"/>
              </w:rPr>
              <w:t>40</w:t>
            </w:r>
            <w:r>
              <w:rPr>
                <w:rFonts w:hint="eastAsia" w:ascii="宋体" w:hAnsi="宋体" w:eastAsia="宋体" w:cs="宋体"/>
                <w:color w:val="auto"/>
                <w:sz w:val="21"/>
                <w:szCs w:val="21"/>
                <w:lang w:val="zh-CN" w:eastAsia="zh-CN"/>
              </w:rPr>
              <w:t>分；有缺漏项的每项扣</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zh-CN" w:eastAsia="zh-CN"/>
              </w:rPr>
              <w:t>分；各项内容不完整、欠合理、套用其他项目模版或与本项目不相适应的每处扣</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zh-CN" w:eastAsia="zh-CN"/>
              </w:rPr>
              <w:t>分；有语言、文字及其他错误的每处扣</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zh-CN" w:eastAsia="zh-CN"/>
              </w:rPr>
              <w:t>分，扣完为止，未提供方案的</w:t>
            </w:r>
            <w:r>
              <w:rPr>
                <w:rFonts w:hint="eastAsia" w:ascii="宋体" w:hAnsi="宋体" w:eastAsia="宋体" w:cs="宋体"/>
                <w:color w:val="auto"/>
                <w:sz w:val="21"/>
                <w:szCs w:val="21"/>
                <w:lang w:val="en-US" w:eastAsia="zh-CN"/>
              </w:rPr>
              <w:t>不计</w:t>
            </w:r>
            <w:r>
              <w:rPr>
                <w:rFonts w:hint="eastAsia" w:ascii="宋体" w:hAnsi="宋体" w:eastAsia="宋体" w:cs="宋体"/>
                <w:color w:val="auto"/>
                <w:sz w:val="21"/>
                <w:szCs w:val="21"/>
                <w:lang w:val="zh-CN" w:eastAsia="zh-CN"/>
              </w:rPr>
              <w:t>分。</w:t>
            </w:r>
          </w:p>
          <w:p w14:paraId="6E8F941D">
            <w:pPr>
              <w:shd w:val="clear" w:color="auto" w:fill="auto"/>
              <w:adjustRightInd w:val="0"/>
              <w:spacing w:line="288" w:lineRule="atLeast"/>
              <w:rPr>
                <w:rFonts w:hint="eastAsia" w:ascii="宋体" w:hAnsi="宋体" w:eastAsia="宋体" w:cs="宋体"/>
                <w:color w:val="auto"/>
                <w:sz w:val="21"/>
                <w:szCs w:val="21"/>
                <w:lang w:val="en-US" w:eastAsia="zh-CN"/>
              </w:rPr>
            </w:pPr>
            <w:r>
              <w:rPr>
                <w:rFonts w:hint="eastAsia" w:ascii="宋体" w:hAnsi="宋体" w:eastAsia="宋体" w:cs="宋体"/>
                <w:sz w:val="21"/>
                <w:szCs w:val="21"/>
                <w:lang w:val="zh-CN"/>
              </w:rPr>
              <w:t>(缺陷是指:与实际项目需求不一致、没有关联性、工作成效无法达到预期要求、条理不清晰；方案内容与实际实施存在差异性；内容空洞、语义表述不清，前后矛盾，存在歧义、混乱，内容不充实、非专门针对本项目或不适用项目特性的情形、内容不完整或缺少关键节点、套用其他项目方案、内容前后矛盾、涉及的规范及标准错误、不利于项目实施、不可能实现的情形等任意一种情形，未提供不计分。)</w:t>
            </w:r>
          </w:p>
        </w:tc>
      </w:tr>
      <w:tr w14:paraId="5EE96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6" w:hRule="atLeast"/>
          <w:jc w:val="center"/>
        </w:trPr>
        <w:tc>
          <w:tcPr>
            <w:tcW w:w="927" w:type="dxa"/>
            <w:vMerge w:val="restart"/>
            <w:tcBorders>
              <w:top w:val="single" w:color="auto" w:sz="4" w:space="0"/>
              <w:left w:val="single" w:color="auto" w:sz="4" w:space="0"/>
              <w:right w:val="single" w:color="auto" w:sz="4" w:space="0"/>
            </w:tcBorders>
            <w:noWrap w:val="0"/>
            <w:vAlign w:val="center"/>
          </w:tcPr>
          <w:p w14:paraId="7E94E9C5">
            <w:pPr>
              <w:jc w:val="center"/>
              <w:rPr>
                <w:rFonts w:hint="eastAsia" w:ascii="宋体" w:hAnsi="宋体" w:cs="宋体"/>
                <w:color w:val="auto"/>
                <w:szCs w:val="21"/>
                <w:highlight w:val="none"/>
                <w:lang w:eastAsia="zh-CN"/>
              </w:rPr>
            </w:pPr>
          </w:p>
          <w:p w14:paraId="024B6AB2">
            <w:pPr>
              <w:jc w:val="center"/>
              <w:rPr>
                <w:rFonts w:hint="eastAsia" w:ascii="宋体" w:hAnsi="宋体" w:cs="宋体"/>
                <w:color w:val="auto"/>
                <w:szCs w:val="21"/>
                <w:highlight w:val="none"/>
                <w:lang w:eastAsia="zh-CN"/>
              </w:rPr>
            </w:pPr>
          </w:p>
          <w:p w14:paraId="35E8808B">
            <w:pPr>
              <w:jc w:val="center"/>
              <w:rPr>
                <w:rFonts w:hint="eastAsia" w:ascii="宋体" w:hAnsi="宋体" w:cs="宋体"/>
                <w:color w:val="auto"/>
                <w:szCs w:val="21"/>
                <w:highlight w:val="none"/>
                <w:lang w:eastAsia="zh-CN"/>
              </w:rPr>
            </w:pPr>
          </w:p>
          <w:p w14:paraId="0E3F7369">
            <w:pPr>
              <w:jc w:val="center"/>
              <w:rPr>
                <w:rFonts w:hint="eastAsia" w:ascii="宋体" w:hAnsi="宋体" w:cs="宋体"/>
                <w:color w:val="auto"/>
                <w:szCs w:val="21"/>
                <w:highlight w:val="none"/>
                <w:lang w:eastAsia="zh-CN"/>
              </w:rPr>
            </w:pPr>
          </w:p>
          <w:p w14:paraId="235AF709">
            <w:pPr>
              <w:jc w:val="center"/>
              <w:rPr>
                <w:rFonts w:hint="eastAsia" w:ascii="宋体" w:hAnsi="宋体" w:cs="宋体"/>
                <w:color w:val="auto"/>
                <w:szCs w:val="21"/>
                <w:highlight w:val="none"/>
                <w:lang w:eastAsia="zh-CN"/>
              </w:rPr>
            </w:pPr>
          </w:p>
          <w:p w14:paraId="3399AE38">
            <w:pPr>
              <w:jc w:val="center"/>
              <w:rPr>
                <w:rFonts w:hint="eastAsia" w:ascii="宋体" w:hAnsi="宋体" w:cs="宋体"/>
                <w:color w:val="auto"/>
                <w:szCs w:val="21"/>
                <w:highlight w:val="none"/>
                <w:lang w:eastAsia="zh-CN"/>
              </w:rPr>
            </w:pPr>
          </w:p>
          <w:p w14:paraId="302C73F3">
            <w:pPr>
              <w:jc w:val="center"/>
              <w:rPr>
                <w:rFonts w:hint="eastAsia" w:ascii="宋体" w:hAnsi="宋体" w:cs="宋体"/>
                <w:color w:val="auto"/>
                <w:szCs w:val="21"/>
                <w:highlight w:val="none"/>
                <w:lang w:eastAsia="zh-CN"/>
              </w:rPr>
            </w:pPr>
          </w:p>
          <w:p w14:paraId="10516DD6">
            <w:pPr>
              <w:jc w:val="center"/>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技术</w:t>
            </w:r>
          </w:p>
          <w:p w14:paraId="7C3C7642">
            <w:pPr>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w:t>
            </w:r>
          </w:p>
        </w:tc>
        <w:tc>
          <w:tcPr>
            <w:tcW w:w="875" w:type="dxa"/>
            <w:tcBorders>
              <w:top w:val="single" w:color="auto" w:sz="4" w:space="0"/>
              <w:left w:val="single" w:color="auto" w:sz="4" w:space="0"/>
              <w:right w:val="single" w:color="auto" w:sz="4" w:space="0"/>
            </w:tcBorders>
            <w:noWrap w:val="0"/>
            <w:vAlign w:val="center"/>
          </w:tcPr>
          <w:p w14:paraId="00D39718">
            <w:pPr>
              <w:jc w:val="center"/>
              <w:rPr>
                <w:rFonts w:hint="eastAsia" w:ascii="宋体" w:hAnsi="宋体" w:eastAsia="宋体" w:cs="宋体"/>
                <w:color w:val="FF0000"/>
                <w:sz w:val="21"/>
                <w:szCs w:val="21"/>
                <w:highlight w:val="none"/>
              </w:rPr>
            </w:pPr>
            <w:r>
              <w:rPr>
                <w:rFonts w:hint="eastAsia" w:ascii="宋体" w:hAnsi="宋体" w:eastAsia="宋体" w:cs="宋体"/>
                <w:sz w:val="21"/>
                <w:szCs w:val="21"/>
              </w:rPr>
              <w:t>项目实施方案</w:t>
            </w:r>
          </w:p>
        </w:tc>
        <w:tc>
          <w:tcPr>
            <w:tcW w:w="830" w:type="dxa"/>
            <w:tcBorders>
              <w:top w:val="single" w:color="auto" w:sz="4" w:space="0"/>
              <w:left w:val="single" w:color="auto" w:sz="4" w:space="0"/>
              <w:right w:val="single" w:color="auto" w:sz="4" w:space="0"/>
            </w:tcBorders>
            <w:noWrap w:val="0"/>
            <w:vAlign w:val="center"/>
          </w:tcPr>
          <w:p w14:paraId="1B5DCD5E">
            <w:pPr>
              <w:jc w:val="center"/>
              <w:rPr>
                <w:rFonts w:hint="eastAsia" w:ascii="宋体" w:hAnsi="宋体" w:eastAsia="宋体" w:cs="宋体"/>
                <w:color w:val="auto"/>
                <w:sz w:val="21"/>
                <w:szCs w:val="21"/>
                <w:highlight w:val="yellow"/>
                <w:lang w:val="en-US" w:eastAsia="zh-CN"/>
              </w:rPr>
            </w:pPr>
            <w:r>
              <w:rPr>
                <w:rFonts w:hint="eastAsia" w:ascii="宋体" w:hAnsi="宋体" w:cs="宋体"/>
                <w:sz w:val="21"/>
                <w:szCs w:val="21"/>
                <w:lang w:val="en-US" w:eastAsia="zh-CN"/>
              </w:rPr>
              <w:t>30</w:t>
            </w:r>
            <w:r>
              <w:rPr>
                <w:rFonts w:hint="eastAsia" w:ascii="宋体" w:hAnsi="宋体" w:eastAsia="宋体" w:cs="宋体"/>
                <w:sz w:val="21"/>
                <w:szCs w:val="21"/>
              </w:rPr>
              <w:t>分</w:t>
            </w:r>
          </w:p>
        </w:tc>
        <w:tc>
          <w:tcPr>
            <w:tcW w:w="5846" w:type="dxa"/>
            <w:tcBorders>
              <w:top w:val="single" w:color="auto" w:sz="4" w:space="0"/>
              <w:left w:val="single" w:color="auto" w:sz="4" w:space="0"/>
            </w:tcBorders>
            <w:noWrap w:val="0"/>
            <w:vAlign w:val="center"/>
          </w:tcPr>
          <w:p w14:paraId="021B315D">
            <w:pPr>
              <w:jc w:val="left"/>
              <w:rPr>
                <w:rFonts w:hint="eastAsia" w:ascii="宋体" w:hAnsi="宋体" w:eastAsia="宋体" w:cs="宋体"/>
                <w:sz w:val="21"/>
                <w:szCs w:val="21"/>
                <w:lang w:val="zh-CN"/>
              </w:rPr>
            </w:pPr>
            <w:r>
              <w:rPr>
                <w:rFonts w:hint="eastAsia" w:ascii="宋体" w:hAnsi="宋体" w:eastAsia="宋体" w:cs="宋体"/>
                <w:sz w:val="21"/>
                <w:szCs w:val="21"/>
              </w:rPr>
              <w:t>供应商需根据采购需求提供针对本项目的项目实施方案，方案应包括但不限于：①需求理解及整体架构设计；②项目实施进度；③安装、调试与验收；④安全管控措施；⑤培训计划等。</w:t>
            </w:r>
            <w:r>
              <w:rPr>
                <w:rFonts w:hint="eastAsia" w:ascii="宋体" w:hAnsi="宋体" w:eastAsia="宋体" w:cs="宋体"/>
                <w:sz w:val="21"/>
                <w:szCs w:val="21"/>
                <w:lang w:val="zh-CN"/>
              </w:rPr>
              <w:t>各项内容完善、措施合理，贴合采购需求且具有可行性的计</w:t>
            </w:r>
            <w:r>
              <w:rPr>
                <w:rFonts w:hint="eastAsia" w:ascii="宋体" w:hAnsi="宋体" w:cs="宋体"/>
                <w:sz w:val="21"/>
                <w:szCs w:val="21"/>
                <w:lang w:val="en-US" w:eastAsia="zh-CN"/>
              </w:rPr>
              <w:t>30</w:t>
            </w:r>
            <w:r>
              <w:rPr>
                <w:rFonts w:hint="eastAsia" w:ascii="宋体" w:hAnsi="宋体" w:eastAsia="宋体" w:cs="宋体"/>
                <w:sz w:val="21"/>
                <w:szCs w:val="21"/>
                <w:lang w:val="zh-CN"/>
              </w:rPr>
              <w:t>分；有缺漏项的每项扣</w:t>
            </w:r>
            <w:r>
              <w:rPr>
                <w:rFonts w:hint="eastAsia" w:ascii="宋体" w:hAnsi="宋体" w:cs="宋体"/>
                <w:sz w:val="21"/>
                <w:szCs w:val="21"/>
                <w:lang w:val="en-US" w:eastAsia="zh-CN"/>
              </w:rPr>
              <w:t>6</w:t>
            </w:r>
            <w:r>
              <w:rPr>
                <w:rFonts w:hint="eastAsia" w:ascii="宋体" w:hAnsi="宋体" w:eastAsia="宋体" w:cs="宋体"/>
                <w:sz w:val="21"/>
                <w:szCs w:val="21"/>
                <w:lang w:val="zh-CN"/>
              </w:rPr>
              <w:t>分；各项内容不完整、套用其他项目模版或与本项目不相适应的每处扣</w:t>
            </w:r>
            <w:r>
              <w:rPr>
                <w:rFonts w:hint="eastAsia" w:ascii="宋体" w:hAnsi="宋体" w:cs="宋体"/>
                <w:sz w:val="21"/>
                <w:szCs w:val="21"/>
                <w:lang w:val="en-US" w:eastAsia="zh-CN"/>
              </w:rPr>
              <w:t>3</w:t>
            </w:r>
            <w:r>
              <w:rPr>
                <w:rFonts w:hint="eastAsia" w:ascii="宋体" w:hAnsi="宋体" w:eastAsia="宋体" w:cs="宋体"/>
                <w:sz w:val="21"/>
                <w:szCs w:val="21"/>
                <w:lang w:val="zh-CN"/>
              </w:rPr>
              <w:t>分；有语言、文字及其他错误的每处扣</w:t>
            </w:r>
            <w:r>
              <w:rPr>
                <w:rFonts w:hint="eastAsia" w:ascii="宋体" w:hAnsi="宋体" w:cs="宋体"/>
                <w:sz w:val="21"/>
                <w:szCs w:val="21"/>
                <w:lang w:val="en-US" w:eastAsia="zh-CN"/>
              </w:rPr>
              <w:t>1</w:t>
            </w:r>
            <w:r>
              <w:rPr>
                <w:rFonts w:hint="eastAsia" w:ascii="宋体" w:hAnsi="宋体" w:eastAsia="宋体" w:cs="宋体"/>
                <w:sz w:val="21"/>
                <w:szCs w:val="21"/>
                <w:lang w:val="zh-CN"/>
              </w:rPr>
              <w:t>分，扣完为止。</w:t>
            </w:r>
          </w:p>
          <w:p w14:paraId="2E2192E9">
            <w:pPr>
              <w:jc w:val="left"/>
              <w:rPr>
                <w:rFonts w:hint="eastAsia" w:ascii="宋体" w:hAnsi="宋体" w:eastAsia="宋体" w:cs="宋体"/>
                <w:color w:val="000000" w:themeColor="text1"/>
                <w:sz w:val="21"/>
                <w:szCs w:val="21"/>
                <w:highlight w:val="yellow"/>
                <w:lang w:val="en-US" w:eastAsia="zh-CN"/>
                <w14:textFill>
                  <w14:solidFill>
                    <w14:schemeClr w14:val="tx1"/>
                  </w14:solidFill>
                </w14:textFill>
              </w:rPr>
            </w:pPr>
            <w:r>
              <w:rPr>
                <w:rFonts w:hint="eastAsia" w:ascii="宋体" w:hAnsi="宋体" w:eastAsia="宋体" w:cs="宋体"/>
                <w:sz w:val="21"/>
                <w:szCs w:val="21"/>
                <w:lang w:val="zh-CN"/>
              </w:rPr>
              <w:t>(缺陷是指:与实际项目需求不一致、没有关联性、工作成效无法达到预期要求、条理不清晰；方案内容与实际实施存在差异性；内容空洞、语义表述不清，前后矛盾，存在歧义、混乱，内容不充实、非专门针对本项目或不适用项目特性的情形、内容不完整或缺少关键节点、套用其他项目方案、内容前后矛盾、涉及的规范及标准错误、不利于项目实施、不可能实现的情形等任意一种情形，未提供不计分。)</w:t>
            </w:r>
          </w:p>
        </w:tc>
      </w:tr>
      <w:tr w14:paraId="5E9AB9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6" w:hRule="atLeast"/>
          <w:jc w:val="center"/>
        </w:trPr>
        <w:tc>
          <w:tcPr>
            <w:tcW w:w="927" w:type="dxa"/>
            <w:vMerge w:val="continue"/>
            <w:tcBorders>
              <w:left w:val="single" w:color="auto" w:sz="4" w:space="0"/>
              <w:right w:val="single" w:color="auto" w:sz="4" w:space="0"/>
            </w:tcBorders>
            <w:noWrap w:val="0"/>
            <w:vAlign w:val="center"/>
          </w:tcPr>
          <w:p w14:paraId="691CF583">
            <w:pPr>
              <w:jc w:val="center"/>
              <w:rPr>
                <w:rFonts w:hint="eastAsia" w:ascii="宋体" w:hAnsi="宋体" w:cs="宋体"/>
                <w:color w:val="auto"/>
                <w:szCs w:val="21"/>
                <w:highlight w:val="none"/>
              </w:rPr>
            </w:pPr>
          </w:p>
        </w:tc>
        <w:tc>
          <w:tcPr>
            <w:tcW w:w="875" w:type="dxa"/>
            <w:tcBorders>
              <w:top w:val="single" w:color="auto" w:sz="4" w:space="0"/>
              <w:left w:val="single" w:color="auto" w:sz="4" w:space="0"/>
              <w:right w:val="single" w:color="auto" w:sz="4" w:space="0"/>
            </w:tcBorders>
            <w:noWrap w:val="0"/>
            <w:vAlign w:val="center"/>
          </w:tcPr>
          <w:p w14:paraId="2D7A0529">
            <w:pPr>
              <w:rPr>
                <w:rFonts w:hint="eastAsia" w:ascii="宋体" w:hAnsi="宋体" w:eastAsia="宋体" w:cs="宋体"/>
                <w:color w:val="FF0000"/>
                <w:sz w:val="21"/>
                <w:szCs w:val="21"/>
                <w:highlight w:val="none"/>
              </w:rPr>
            </w:pPr>
            <w:r>
              <w:rPr>
                <w:rFonts w:hint="eastAsia" w:ascii="宋体" w:hAnsi="宋体" w:eastAsia="宋体" w:cs="宋体"/>
                <w:sz w:val="21"/>
                <w:szCs w:val="21"/>
              </w:rPr>
              <w:t>质量保证措施</w:t>
            </w:r>
          </w:p>
        </w:tc>
        <w:tc>
          <w:tcPr>
            <w:tcW w:w="830" w:type="dxa"/>
            <w:tcBorders>
              <w:top w:val="single" w:color="auto" w:sz="4" w:space="0"/>
              <w:left w:val="single" w:color="auto" w:sz="4" w:space="0"/>
              <w:right w:val="single" w:color="auto" w:sz="4" w:space="0"/>
            </w:tcBorders>
            <w:noWrap w:val="0"/>
            <w:vAlign w:val="center"/>
          </w:tcPr>
          <w:p w14:paraId="4491FCE0">
            <w:pPr>
              <w:jc w:val="center"/>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30</w:t>
            </w:r>
            <w:r>
              <w:rPr>
                <w:rFonts w:hint="eastAsia" w:ascii="宋体" w:hAnsi="宋体" w:eastAsia="宋体" w:cs="宋体"/>
                <w:sz w:val="21"/>
                <w:szCs w:val="21"/>
              </w:rPr>
              <w:t>分</w:t>
            </w:r>
          </w:p>
        </w:tc>
        <w:tc>
          <w:tcPr>
            <w:tcW w:w="5846" w:type="dxa"/>
            <w:tcBorders>
              <w:top w:val="single" w:color="auto" w:sz="4" w:space="0"/>
              <w:left w:val="single" w:color="auto" w:sz="4" w:space="0"/>
            </w:tcBorders>
            <w:noWrap w:val="0"/>
            <w:vAlign w:val="center"/>
          </w:tcPr>
          <w:p w14:paraId="1AD86318">
            <w:pPr>
              <w:rPr>
                <w:rFonts w:hint="eastAsia" w:ascii="宋体" w:hAnsi="宋体" w:eastAsia="宋体" w:cs="宋体"/>
                <w:sz w:val="21"/>
                <w:szCs w:val="21"/>
                <w:lang w:val="zh-CN"/>
              </w:rPr>
            </w:pPr>
            <w:r>
              <w:rPr>
                <w:rFonts w:hint="eastAsia" w:ascii="宋体" w:hAnsi="宋体" w:eastAsia="宋体" w:cs="宋体"/>
                <w:sz w:val="21"/>
                <w:szCs w:val="21"/>
                <w:lang w:val="zh-CN"/>
              </w:rPr>
              <w:t>投标人根据本项目提供详细的质量保障措施，措施详尽且合理科学，内容包含：</w:t>
            </w:r>
            <w:r>
              <w:rPr>
                <w:rFonts w:hint="eastAsia" w:ascii="宋体" w:hAnsi="宋体" w:eastAsia="宋体" w:cs="宋体"/>
                <w:sz w:val="21"/>
                <w:szCs w:val="21"/>
              </w:rPr>
              <w:t>①质量保证体系；②</w:t>
            </w:r>
            <w:r>
              <w:rPr>
                <w:rFonts w:hint="eastAsia" w:ascii="宋体" w:hAnsi="宋体" w:eastAsia="宋体" w:cs="宋体"/>
                <w:sz w:val="21"/>
                <w:szCs w:val="21"/>
                <w:lang w:val="zh-CN"/>
              </w:rPr>
              <w:t>质量管控部门配备；</w:t>
            </w:r>
            <w:r>
              <w:rPr>
                <w:rFonts w:hint="eastAsia" w:ascii="宋体" w:hAnsi="宋体" w:eastAsia="宋体" w:cs="宋体"/>
                <w:sz w:val="21"/>
                <w:szCs w:val="21"/>
              </w:rPr>
              <w:t>③</w:t>
            </w:r>
            <w:r>
              <w:rPr>
                <w:rFonts w:hint="eastAsia" w:ascii="宋体" w:hAnsi="宋体" w:eastAsia="宋体" w:cs="宋体"/>
                <w:sz w:val="21"/>
                <w:szCs w:val="21"/>
                <w:lang w:val="zh-CN"/>
              </w:rPr>
              <w:t>服务满意度；</w:t>
            </w:r>
            <w:r>
              <w:rPr>
                <w:rFonts w:hint="eastAsia" w:ascii="宋体" w:hAnsi="宋体" w:eastAsia="宋体" w:cs="宋体"/>
                <w:sz w:val="21"/>
                <w:szCs w:val="21"/>
              </w:rPr>
              <w:t>④</w:t>
            </w:r>
            <w:r>
              <w:rPr>
                <w:rFonts w:hint="eastAsia" w:ascii="宋体" w:hAnsi="宋体" w:eastAsia="宋体" w:cs="宋体"/>
                <w:sz w:val="21"/>
                <w:szCs w:val="21"/>
                <w:lang w:val="zh-CN"/>
              </w:rPr>
              <w:t>投诉反馈机制；</w:t>
            </w:r>
            <w:r>
              <w:rPr>
                <w:rFonts w:hint="eastAsia" w:ascii="宋体" w:hAnsi="宋体" w:eastAsia="宋体" w:cs="宋体"/>
                <w:sz w:val="21"/>
                <w:szCs w:val="21"/>
              </w:rPr>
              <w:t>⑤</w:t>
            </w:r>
            <w:r>
              <w:rPr>
                <w:rFonts w:hint="eastAsia" w:ascii="宋体" w:hAnsi="宋体" w:eastAsia="宋体" w:cs="宋体"/>
                <w:sz w:val="21"/>
                <w:szCs w:val="21"/>
                <w:lang w:val="zh-CN"/>
              </w:rPr>
              <w:t>质量控制方式。各项内容完善、措施合理，贴合采购需求且具有可行性的计</w:t>
            </w:r>
            <w:r>
              <w:rPr>
                <w:rFonts w:hint="eastAsia" w:ascii="宋体" w:hAnsi="宋体" w:cs="宋体"/>
                <w:sz w:val="21"/>
                <w:szCs w:val="21"/>
                <w:lang w:val="en-US" w:eastAsia="zh-CN"/>
              </w:rPr>
              <w:t>30</w:t>
            </w:r>
            <w:r>
              <w:rPr>
                <w:rFonts w:hint="eastAsia" w:ascii="宋体" w:hAnsi="宋体" w:eastAsia="宋体" w:cs="宋体"/>
                <w:sz w:val="21"/>
                <w:szCs w:val="21"/>
                <w:lang w:val="zh-CN"/>
              </w:rPr>
              <w:t>分；有缺漏项的每项扣</w:t>
            </w:r>
            <w:r>
              <w:rPr>
                <w:rFonts w:hint="eastAsia" w:ascii="宋体" w:hAnsi="宋体" w:cs="宋体"/>
                <w:sz w:val="21"/>
                <w:szCs w:val="21"/>
                <w:lang w:val="en-US" w:eastAsia="zh-CN"/>
              </w:rPr>
              <w:t>6</w:t>
            </w:r>
            <w:r>
              <w:rPr>
                <w:rFonts w:hint="eastAsia" w:ascii="宋体" w:hAnsi="宋体" w:eastAsia="宋体" w:cs="宋体"/>
                <w:sz w:val="21"/>
                <w:szCs w:val="21"/>
                <w:lang w:val="zh-CN"/>
              </w:rPr>
              <w:t>分；各项内容不完整、套用其他项目模版或与本项目不相适应的每处扣</w:t>
            </w:r>
            <w:r>
              <w:rPr>
                <w:rFonts w:hint="eastAsia" w:ascii="宋体" w:hAnsi="宋体" w:cs="宋体"/>
                <w:sz w:val="21"/>
                <w:szCs w:val="21"/>
                <w:lang w:val="en-US" w:eastAsia="zh-CN"/>
              </w:rPr>
              <w:t>3</w:t>
            </w:r>
            <w:r>
              <w:rPr>
                <w:rFonts w:hint="eastAsia" w:ascii="宋体" w:hAnsi="宋体" w:eastAsia="宋体" w:cs="宋体"/>
                <w:sz w:val="21"/>
                <w:szCs w:val="21"/>
                <w:lang w:val="zh-CN"/>
              </w:rPr>
              <w:t>分；有语言、文字及其他错误的每处扣</w:t>
            </w:r>
            <w:r>
              <w:rPr>
                <w:rFonts w:hint="eastAsia" w:ascii="宋体" w:hAnsi="宋体" w:cs="宋体"/>
                <w:sz w:val="21"/>
                <w:szCs w:val="21"/>
                <w:lang w:val="en-US" w:eastAsia="zh-CN"/>
              </w:rPr>
              <w:t>1</w:t>
            </w:r>
            <w:r>
              <w:rPr>
                <w:rFonts w:hint="eastAsia" w:ascii="宋体" w:hAnsi="宋体" w:eastAsia="宋体" w:cs="宋体"/>
                <w:sz w:val="21"/>
                <w:szCs w:val="21"/>
                <w:lang w:val="zh-CN"/>
              </w:rPr>
              <w:t>分，扣完为止。</w:t>
            </w:r>
          </w:p>
          <w:p w14:paraId="7229E1E0">
            <w:pP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zh-CN"/>
              </w:rPr>
              <w:t>(缺陷是指:与实际项目需求不一致、没有关联性、工作成效无法达到预期要求、条理不清晰；方案内容与实际实施存在差异性；内容空洞、语义表述不清，前后矛盾，存在歧义、混乱，内容不充实、非专门针对本项目或不适用项目特性的情形、内容不完整或缺少关键节点、套用其他项目方案、内容前后矛盾、涉及的规范及标准错误、不利于项目实施、不可能实现的情形等任意一种情形，未提供不计分。)</w:t>
            </w:r>
          </w:p>
        </w:tc>
      </w:tr>
      <w:tr w14:paraId="7FF7D0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27" w:type="dxa"/>
            <w:vMerge w:val="continue"/>
            <w:tcBorders>
              <w:left w:val="single" w:color="auto" w:sz="4" w:space="0"/>
              <w:right w:val="single" w:color="auto" w:sz="4" w:space="0"/>
            </w:tcBorders>
            <w:noWrap w:val="0"/>
            <w:vAlign w:val="center"/>
          </w:tcPr>
          <w:p w14:paraId="1778058B">
            <w:pPr>
              <w:jc w:val="center"/>
              <w:rPr>
                <w:rFonts w:hint="eastAsia" w:ascii="宋体" w:hAnsi="宋体" w:cs="宋体"/>
                <w:color w:val="auto"/>
                <w:szCs w:val="21"/>
                <w:highlight w:val="none"/>
              </w:rPr>
            </w:pPr>
          </w:p>
        </w:tc>
        <w:tc>
          <w:tcPr>
            <w:tcW w:w="875" w:type="dxa"/>
            <w:tcBorders>
              <w:top w:val="single" w:color="auto" w:sz="4" w:space="0"/>
              <w:left w:val="single" w:color="auto" w:sz="4" w:space="0"/>
              <w:right w:val="single" w:color="auto" w:sz="4" w:space="0"/>
            </w:tcBorders>
            <w:noWrap w:val="0"/>
            <w:vAlign w:val="center"/>
          </w:tcPr>
          <w:p w14:paraId="4D18D3E1">
            <w:pPr>
              <w:jc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sz w:val="21"/>
                <w:szCs w:val="21"/>
              </w:rPr>
              <w:t>运维服务方案</w:t>
            </w:r>
          </w:p>
        </w:tc>
        <w:tc>
          <w:tcPr>
            <w:tcW w:w="830" w:type="dxa"/>
            <w:tcBorders>
              <w:top w:val="single" w:color="auto" w:sz="4" w:space="0"/>
              <w:left w:val="single" w:color="auto" w:sz="4" w:space="0"/>
              <w:right w:val="single" w:color="auto" w:sz="4" w:space="0"/>
            </w:tcBorders>
            <w:noWrap w:val="0"/>
            <w:vAlign w:val="center"/>
          </w:tcPr>
          <w:p w14:paraId="15ADD95E">
            <w:pPr>
              <w:jc w:val="center"/>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40</w:t>
            </w:r>
            <w:r>
              <w:rPr>
                <w:rFonts w:hint="eastAsia" w:ascii="宋体" w:hAnsi="宋体" w:eastAsia="宋体" w:cs="宋体"/>
                <w:sz w:val="21"/>
                <w:szCs w:val="21"/>
              </w:rPr>
              <w:t>分</w:t>
            </w:r>
          </w:p>
        </w:tc>
        <w:tc>
          <w:tcPr>
            <w:tcW w:w="5846" w:type="dxa"/>
            <w:tcBorders>
              <w:top w:val="single" w:color="auto" w:sz="4" w:space="0"/>
              <w:left w:val="single" w:color="auto" w:sz="4" w:space="0"/>
            </w:tcBorders>
            <w:noWrap w:val="0"/>
            <w:vAlign w:val="center"/>
          </w:tcPr>
          <w:p w14:paraId="2C28B428">
            <w:pPr>
              <w:rPr>
                <w:rFonts w:hint="eastAsia" w:ascii="宋体" w:hAnsi="宋体" w:eastAsia="宋体" w:cs="宋体"/>
                <w:sz w:val="21"/>
                <w:szCs w:val="21"/>
              </w:rPr>
            </w:pPr>
            <w:r>
              <w:rPr>
                <w:rFonts w:hint="eastAsia" w:ascii="宋体" w:hAnsi="宋体" w:eastAsia="宋体" w:cs="宋体"/>
                <w:sz w:val="21"/>
                <w:szCs w:val="21"/>
              </w:rPr>
              <w:t>供应商提供针对本项目的运维服务方案，方案内容应包含但不限于：①服务体系及内容；②服务机构及人员配置；③技术支持；④资源协调等。</w:t>
            </w:r>
          </w:p>
          <w:p w14:paraId="0BD18E02">
            <w:pPr>
              <w:rPr>
                <w:rFonts w:hint="eastAsia" w:ascii="宋体" w:hAnsi="宋体" w:eastAsia="宋体" w:cs="宋体"/>
                <w:sz w:val="21"/>
                <w:szCs w:val="21"/>
                <w:lang w:val="zh-CN"/>
              </w:rPr>
            </w:pPr>
            <w:r>
              <w:rPr>
                <w:rFonts w:hint="eastAsia" w:ascii="宋体" w:hAnsi="宋体" w:eastAsia="宋体" w:cs="宋体"/>
                <w:sz w:val="21"/>
                <w:szCs w:val="21"/>
                <w:lang w:val="zh-CN"/>
              </w:rPr>
              <w:t>各项内容完善、措施合理，贴合采购需求且具有可行性的计</w:t>
            </w:r>
            <w:r>
              <w:rPr>
                <w:rFonts w:hint="eastAsia" w:ascii="宋体" w:hAnsi="宋体" w:cs="宋体"/>
                <w:sz w:val="21"/>
                <w:szCs w:val="21"/>
                <w:lang w:val="en-US" w:eastAsia="zh-CN"/>
              </w:rPr>
              <w:t>40</w:t>
            </w:r>
            <w:r>
              <w:rPr>
                <w:rFonts w:hint="eastAsia" w:ascii="宋体" w:hAnsi="宋体" w:eastAsia="宋体" w:cs="宋体"/>
                <w:sz w:val="21"/>
                <w:szCs w:val="21"/>
                <w:lang w:val="zh-CN"/>
              </w:rPr>
              <w:t>分；有缺漏项的每项扣</w:t>
            </w:r>
            <w:r>
              <w:rPr>
                <w:rFonts w:hint="eastAsia" w:ascii="宋体" w:hAnsi="宋体" w:cs="宋体"/>
                <w:sz w:val="21"/>
                <w:szCs w:val="21"/>
                <w:lang w:val="en-US" w:eastAsia="zh-CN"/>
              </w:rPr>
              <w:t>10</w:t>
            </w:r>
            <w:r>
              <w:rPr>
                <w:rFonts w:hint="eastAsia" w:ascii="宋体" w:hAnsi="宋体" w:eastAsia="宋体" w:cs="宋体"/>
                <w:sz w:val="21"/>
                <w:szCs w:val="21"/>
                <w:lang w:val="zh-CN"/>
              </w:rPr>
              <w:t>分；各项内容不完整、欠合理、套用其他项目模版或与本项目不相适应的每处扣</w:t>
            </w:r>
            <w:r>
              <w:rPr>
                <w:rFonts w:hint="eastAsia" w:ascii="宋体" w:hAnsi="宋体" w:cs="宋体"/>
                <w:sz w:val="21"/>
                <w:szCs w:val="21"/>
                <w:lang w:val="en-US" w:eastAsia="zh-CN"/>
              </w:rPr>
              <w:t>5</w:t>
            </w:r>
            <w:r>
              <w:rPr>
                <w:rFonts w:hint="eastAsia" w:ascii="宋体" w:hAnsi="宋体" w:eastAsia="宋体" w:cs="宋体"/>
                <w:sz w:val="21"/>
                <w:szCs w:val="21"/>
                <w:lang w:val="zh-CN"/>
              </w:rPr>
              <w:t>分；有语言、文字及其他错误的每处扣</w:t>
            </w:r>
            <w:r>
              <w:rPr>
                <w:rFonts w:hint="eastAsia" w:ascii="宋体" w:hAnsi="宋体" w:cs="宋体"/>
                <w:sz w:val="21"/>
                <w:szCs w:val="21"/>
                <w:lang w:val="en-US" w:eastAsia="zh-CN"/>
              </w:rPr>
              <w:t>1</w:t>
            </w:r>
            <w:r>
              <w:rPr>
                <w:rFonts w:hint="eastAsia" w:ascii="宋体" w:hAnsi="宋体" w:eastAsia="宋体" w:cs="宋体"/>
                <w:sz w:val="21"/>
                <w:szCs w:val="21"/>
                <w:lang w:val="zh-CN"/>
              </w:rPr>
              <w:t>分，扣完为止。</w:t>
            </w:r>
          </w:p>
          <w:p w14:paraId="366837E0">
            <w:pP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sz w:val="21"/>
                <w:szCs w:val="21"/>
                <w:lang w:val="zh-CN"/>
              </w:rPr>
              <w:t>(缺陷是指:与实际项目需求不一致、没有关联性、工作成效无法达到预期要求、条理不清晰；方案内容与实际实施存在差异性；内容空洞、语义表述不清，前后矛盾，存在歧义、混乱，内容不充实、非专门针对本项目或不适用项目特性的情形、内容不完整或缺少关键节点、套用其他项目方案、内容前后矛盾、涉及的规范及标准错误、不利于项目实施、不可能实现的情形等任意一种情形，未提供不计分。)</w:t>
            </w:r>
          </w:p>
        </w:tc>
      </w:tr>
      <w:tr w14:paraId="7223F1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8478" w:type="dxa"/>
            <w:gridSpan w:val="4"/>
            <w:tcBorders>
              <w:top w:val="single" w:color="auto" w:sz="4" w:space="0"/>
              <w:left w:val="single" w:color="auto" w:sz="4" w:space="0"/>
            </w:tcBorders>
            <w:noWrap w:val="0"/>
            <w:vAlign w:val="center"/>
          </w:tcPr>
          <w:p w14:paraId="0B748A40">
            <w:pPr>
              <w:rPr>
                <w:rFonts w:ascii="宋体" w:hAnsi="宋体" w:cs="宋体"/>
                <w:b/>
                <w:bCs/>
                <w:color w:val="auto"/>
                <w:szCs w:val="21"/>
              </w:rPr>
            </w:pPr>
            <w:r>
              <w:rPr>
                <w:rFonts w:hint="eastAsia" w:ascii="宋体" w:hAnsi="宋体" w:cs="宋体"/>
                <w:b/>
                <w:bCs/>
                <w:color w:val="auto"/>
                <w:szCs w:val="21"/>
              </w:rPr>
              <w:t>说明：1、供应商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590AC0F9">
            <w:pPr>
              <w:adjustRightInd w:val="0"/>
              <w:snapToGrid w:val="0"/>
              <w:rPr>
                <w:rFonts w:hint="eastAsia" w:ascii="宋体" w:hAnsi="宋体" w:cs="宋体"/>
                <w:bCs/>
                <w:color w:val="auto"/>
                <w:szCs w:val="21"/>
              </w:rPr>
            </w:pPr>
            <w:r>
              <w:rPr>
                <w:rFonts w:hint="eastAsia" w:ascii="宋体" w:hAnsi="宋体" w:cs="宋体"/>
                <w:b/>
                <w:bCs/>
                <w:color w:val="auto"/>
                <w:szCs w:val="21"/>
              </w:rPr>
              <w:t>2、如评标委员会认为供应商报价明显低于其他通过符合性审查供应商的报价，有可能影响工程质量或者不能诚信履约的，需提交相关证明材料；供应商不能证明其报价合理性的，评标委员会应当将其作为无效投标处理。</w:t>
            </w:r>
          </w:p>
        </w:tc>
      </w:tr>
    </w:tbl>
    <w:p w14:paraId="3D3CB583">
      <w:pPr>
        <w:adjustRightInd w:val="0"/>
        <w:snapToGrid w:val="0"/>
        <w:spacing w:line="360" w:lineRule="auto"/>
        <w:rPr>
          <w:rFonts w:hint="eastAsia" w:ascii="黑体" w:eastAsia="黑体"/>
          <w:b/>
          <w:color w:val="auto"/>
          <w:sz w:val="24"/>
          <w:highlight w:val="none"/>
        </w:rPr>
      </w:pPr>
    </w:p>
    <w:p w14:paraId="17747841">
      <w:pPr>
        <w:adjustRightInd w:val="0"/>
        <w:snapToGrid w:val="0"/>
        <w:spacing w:line="360" w:lineRule="auto"/>
        <w:rPr>
          <w:rFonts w:hint="eastAsia" w:ascii="黑体" w:eastAsia="黑体"/>
          <w:b/>
          <w:color w:val="auto"/>
          <w:sz w:val="24"/>
          <w:highlight w:val="none"/>
        </w:rPr>
      </w:pPr>
    </w:p>
    <w:p w14:paraId="17C4EA36">
      <w:pPr>
        <w:rPr>
          <w:rFonts w:hint="eastAsia" w:ascii="黑体" w:eastAsia="黑体"/>
          <w:b/>
          <w:color w:val="auto"/>
          <w:sz w:val="24"/>
          <w:highlight w:val="none"/>
        </w:rPr>
      </w:pPr>
      <w:r>
        <w:rPr>
          <w:rFonts w:hint="eastAsia" w:ascii="黑体" w:eastAsia="黑体"/>
          <w:b/>
          <w:color w:val="auto"/>
          <w:sz w:val="24"/>
          <w:highlight w:val="none"/>
        </w:rPr>
        <w:br w:type="page"/>
      </w:r>
    </w:p>
    <w:p w14:paraId="618575EE">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360" w:lineRule="auto"/>
        <w:ind w:left="0" w:right="0" w:firstLine="482" w:firstLineChars="200"/>
        <w:jc w:val="center"/>
        <w:rPr>
          <w:rFonts w:hint="eastAsia" w:ascii="宋体" w:hAnsi="宋体" w:eastAsia="宋体" w:cs="宋体"/>
          <w:b/>
          <w:bCs/>
          <w:i w:val="0"/>
          <w:iCs w:val="0"/>
          <w:caps w:val="0"/>
          <w:snapToGrid/>
          <w:color w:val="auto"/>
          <w:spacing w:val="7"/>
          <w:kern w:val="0"/>
          <w:sz w:val="24"/>
          <w:szCs w:val="24"/>
          <w:shd w:val="clear" w:color="auto" w:fill="FFFFFF"/>
          <w:lang w:val="en-US" w:eastAsia="zh-CN" w:bidi="ar"/>
        </w:rPr>
      </w:pPr>
      <w:r>
        <w:rPr>
          <w:rFonts w:hint="eastAsia" w:ascii="宋体" w:hAnsi="宋体" w:eastAsia="宋体" w:cs="宋体"/>
          <w:b/>
          <w:bCs/>
          <w:color w:val="auto"/>
          <w:kern w:val="0"/>
          <w:sz w:val="24"/>
          <w:szCs w:val="24"/>
          <w:highlight w:val="none"/>
          <w:lang w:val="en-US" w:eastAsia="zh-CN" w:bidi="ar-SA"/>
        </w:rPr>
        <w:t>关于评审委员会启动异常低价投标（响应）审查规定</w:t>
      </w:r>
    </w:p>
    <w:p w14:paraId="1DF07953">
      <w:pPr>
        <w:keepNext w:val="0"/>
        <w:keepLines w:val="0"/>
        <w:widowControl/>
        <w:suppressLineNumbers w:val="0"/>
        <w:pBdr>
          <w:top w:val="none" w:color="auto" w:sz="0" w:space="0"/>
          <w:left w:val="none" w:color="auto" w:sz="0" w:space="0"/>
          <w:bottom w:val="none" w:color="auto" w:sz="0" w:space="0"/>
          <w:right w:val="none" w:color="auto" w:sz="0" w:space="0"/>
        </w:pBdr>
        <w:adjustRightInd w:val="0"/>
        <w:snapToGrid w:val="0"/>
        <w:spacing w:before="0" w:beforeAutospacing="0" w:after="0" w:afterAutospacing="0" w:line="360" w:lineRule="auto"/>
        <w:ind w:left="0" w:right="0" w:firstLine="480" w:firstLineChars="200"/>
        <w:jc w:val="both"/>
        <w:rPr>
          <w:rFonts w:hint="eastAsia" w:ascii="宋体" w:hAnsi="宋体" w:eastAsia="宋体" w:cs="宋体"/>
          <w:snapToGrid/>
          <w:color w:val="auto"/>
          <w:kern w:val="0"/>
          <w:sz w:val="24"/>
          <w:szCs w:val="24"/>
          <w:lang w:val="en-US" w:eastAsia="zh-CN" w:bidi="ar"/>
        </w:rPr>
      </w:pPr>
    </w:p>
    <w:p w14:paraId="207393E2">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（一）政府采购评审中出现下列情形之一的，评审委员会应当启动异常低价投标（响应）审查程序：</w:t>
      </w:r>
    </w:p>
    <w:p w14:paraId="0B7EC5E2">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7960A6AA">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3FB985EC">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3.投标（响应）报价低于采购项目最高限价45%的，即投标（响应）报价&lt;采购项目最高限价×45%；</w:t>
      </w:r>
    </w:p>
    <w:p w14:paraId="699F2F48">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4.评审委员会基于专业判断，认为供应商报价过低，有可能影响产品质量或者不能诚信履约的其他情形。</w:t>
      </w:r>
    </w:p>
    <w:p w14:paraId="28A41B37">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相关法律法规对供应商报价有规定的，从其规定。</w:t>
      </w:r>
    </w:p>
    <w:p w14:paraId="03E66F63">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749EC1F">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921B94">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ABF6928">
      <w:pP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（三）异常低价投标（响应）审查的启动原因、审查意见和审查结果应当在评审报告中记录，并随供应商提供的相关书面说明及证明材料，以及评审委员会有关互联网浏览、查询历史一并归档。</w:t>
      </w:r>
    </w:p>
    <w:p w14:paraId="3C61322F">
      <w:pPr>
        <w:rPr>
          <w:rFonts w:hint="eastAsia" w:ascii="黑体" w:eastAsia="黑体"/>
          <w:b/>
          <w:color w:val="auto"/>
          <w:sz w:val="24"/>
          <w:highlight w:val="none"/>
        </w:rPr>
      </w:pPr>
      <w:r>
        <w:rPr>
          <w:rFonts w:hint="eastAsia" w:ascii="黑体" w:eastAsia="黑体"/>
          <w:b/>
          <w:color w:val="auto"/>
          <w:sz w:val="24"/>
          <w:highlight w:val="none"/>
        </w:rPr>
        <w:br w:type="page"/>
      </w:r>
    </w:p>
    <w:p w14:paraId="7935274E">
      <w:pPr>
        <w:adjustRightInd w:val="0"/>
        <w:snapToGrid w:val="0"/>
        <w:spacing w:line="360" w:lineRule="auto"/>
        <w:jc w:val="center"/>
        <w:rPr>
          <w:rFonts w:ascii="黑体" w:hAnsi="宋体" w:eastAsia="黑体"/>
          <w:b/>
          <w:color w:val="auto"/>
          <w:sz w:val="24"/>
          <w:highlight w:val="none"/>
        </w:rPr>
      </w:pPr>
      <w:r>
        <w:rPr>
          <w:rFonts w:hint="eastAsia" w:ascii="黑体" w:eastAsia="黑体"/>
          <w:b/>
          <w:color w:val="auto"/>
          <w:sz w:val="24"/>
          <w:highlight w:val="none"/>
        </w:rPr>
        <w:t>磋商须知</w:t>
      </w:r>
      <w:r>
        <w:rPr>
          <w:rFonts w:hint="eastAsia" w:ascii="黑体" w:hAnsi="宋体" w:eastAsia="黑体"/>
          <w:b/>
          <w:color w:val="auto"/>
          <w:sz w:val="24"/>
          <w:highlight w:val="none"/>
        </w:rPr>
        <w:t>正文</w:t>
      </w:r>
    </w:p>
    <w:p w14:paraId="666236D6">
      <w:pPr>
        <w:adjustRightInd w:val="0"/>
        <w:snapToGrid w:val="0"/>
        <w:spacing w:line="360" w:lineRule="auto"/>
        <w:rPr>
          <w:rFonts w:ascii="黑体" w:hAnsi="宋体" w:eastAsia="黑体"/>
          <w:b/>
          <w:color w:val="auto"/>
          <w:sz w:val="24"/>
          <w:highlight w:val="none"/>
        </w:rPr>
      </w:pPr>
      <w:r>
        <w:rPr>
          <w:rFonts w:hint="eastAsia" w:ascii="黑体" w:hAnsi="宋体" w:eastAsia="黑体"/>
          <w:b/>
          <w:color w:val="auto"/>
          <w:sz w:val="24"/>
          <w:highlight w:val="none"/>
        </w:rPr>
        <w:t>一、说明</w:t>
      </w:r>
    </w:p>
    <w:p w14:paraId="5766C3EF">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1.适用范围</w:t>
      </w:r>
    </w:p>
    <w:p w14:paraId="765661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 本磋商文件仅适用于磋商须知前附表(以下简称</w:t>
      </w:r>
      <w:r>
        <w:rPr>
          <w:rFonts w:hint="eastAsia" w:ascii="宋体" w:hAnsi="宋体"/>
          <w:b/>
          <w:color w:val="auto"/>
          <w:szCs w:val="21"/>
          <w:highlight w:val="none"/>
        </w:rPr>
        <w:t>磋商须知前附表)</w:t>
      </w:r>
      <w:r>
        <w:rPr>
          <w:rFonts w:hint="eastAsia" w:ascii="宋体" w:hAnsi="宋体"/>
          <w:color w:val="auto"/>
          <w:szCs w:val="21"/>
          <w:highlight w:val="none"/>
        </w:rPr>
        <w:t>中所叙述的采购项目。</w:t>
      </w:r>
    </w:p>
    <w:p w14:paraId="0FED71EA">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2.定义</w:t>
      </w:r>
    </w:p>
    <w:p w14:paraId="7C1C08A6">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2.1 “采购人”是指依法进行政府采购的国家机关、事业单位、团体组织。本次政府采购的采购人名称、地址、电话、联系人见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0FD7CFAA">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highlight w:val="none"/>
        </w:rPr>
        <w:t>磋商须知前附表。</w:t>
      </w:r>
    </w:p>
    <w:p w14:paraId="10486973">
      <w:pPr>
        <w:adjustRightInd w:val="0"/>
        <w:snapToGrid w:val="0"/>
        <w:spacing w:line="360" w:lineRule="auto"/>
        <w:ind w:firstLine="420" w:firstLineChars="200"/>
        <w:rPr>
          <w:rFonts w:ascii="宋体" w:hAnsi="宋体" w:cs="宋体"/>
          <w:bCs/>
          <w:color w:val="auto"/>
          <w:kern w:val="36"/>
          <w:szCs w:val="21"/>
          <w:highlight w:val="none"/>
        </w:rPr>
      </w:pPr>
      <w:r>
        <w:rPr>
          <w:rFonts w:hint="eastAsia" w:ascii="宋体" w:hAnsi="宋体"/>
          <w:color w:val="auto"/>
          <w:szCs w:val="21"/>
          <w:highlight w:val="none"/>
        </w:rPr>
        <w:t>2.3 “供应商”是指响应磋商文件要求、参加竞争性磋商采购的法人、其他组织或者自然人。本次政府采购项目</w:t>
      </w:r>
      <w:r>
        <w:rPr>
          <w:rFonts w:hint="eastAsia" w:ascii="宋体" w:hAnsi="宋体" w:cs="宋体"/>
          <w:color w:val="auto"/>
          <w:kern w:val="0"/>
          <w:szCs w:val="21"/>
          <w:highlight w:val="none"/>
        </w:rPr>
        <w:t>邀请</w:t>
      </w:r>
      <w:r>
        <w:rPr>
          <w:rFonts w:hint="eastAsia" w:ascii="宋体" w:hAnsi="宋体"/>
          <w:color w:val="auto"/>
          <w:szCs w:val="21"/>
          <w:highlight w:val="none"/>
        </w:rPr>
        <w:t>的</w:t>
      </w:r>
      <w:r>
        <w:rPr>
          <w:rFonts w:hint="eastAsia" w:ascii="宋体" w:hAnsi="宋体" w:cs="宋体"/>
          <w:color w:val="auto"/>
          <w:kern w:val="0"/>
          <w:szCs w:val="21"/>
          <w:highlight w:val="none"/>
        </w:rPr>
        <w:t>供应商通过</w:t>
      </w:r>
      <w:r>
        <w:rPr>
          <w:rFonts w:hint="eastAsia" w:ascii="宋体" w:hAnsi="宋体"/>
          <w:b/>
          <w:color w:val="auto"/>
          <w:szCs w:val="21"/>
          <w:highlight w:val="none"/>
        </w:rPr>
        <w:t>磋商须知前附表</w:t>
      </w:r>
      <w:r>
        <w:rPr>
          <w:rFonts w:hint="eastAsia" w:ascii="宋体" w:hAnsi="宋体"/>
          <w:color w:val="auto"/>
          <w:szCs w:val="21"/>
          <w:highlight w:val="none"/>
        </w:rPr>
        <w:t>所述方式</w:t>
      </w:r>
      <w:r>
        <w:rPr>
          <w:rFonts w:hint="eastAsia" w:ascii="宋体" w:hAnsi="宋体" w:cs="宋体"/>
          <w:color w:val="auto"/>
          <w:kern w:val="0"/>
          <w:szCs w:val="21"/>
          <w:highlight w:val="none"/>
        </w:rPr>
        <w:t>，邀请符合资格条件的供应商提交响应文件（含资格证明资料），参与竞争性磋商采购活动。</w:t>
      </w:r>
    </w:p>
    <w:p w14:paraId="0F15475A">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2.4 “磋商小组”是指</w:t>
      </w:r>
      <w:r>
        <w:rPr>
          <w:rFonts w:hint="eastAsia" w:ascii="宋体" w:hAnsi="宋体" w:cs="宋体"/>
          <w:color w:val="auto"/>
          <w:kern w:val="0"/>
          <w:szCs w:val="21"/>
          <w:highlight w:val="none"/>
        </w:rPr>
        <w:t>依据财政部</w:t>
      </w:r>
      <w:r>
        <w:rPr>
          <w:rFonts w:ascii="宋体" w:hAnsi="宋体" w:cs="宋体"/>
          <w:bCs/>
          <w:color w:val="auto"/>
          <w:kern w:val="36"/>
          <w:szCs w:val="21"/>
          <w:highlight w:val="none"/>
        </w:rPr>
        <w:t>《</w:t>
      </w:r>
      <w:r>
        <w:rPr>
          <w:rFonts w:hint="eastAsia" w:ascii="宋体" w:hAnsi="宋体" w:cs="宋体"/>
          <w:bCs/>
          <w:color w:val="auto"/>
          <w:kern w:val="36"/>
          <w:szCs w:val="21"/>
          <w:highlight w:val="none"/>
        </w:rPr>
        <w:t>政府采购竞争性磋商采购方式管理暂行办法</w:t>
      </w:r>
      <w:r>
        <w:rPr>
          <w:rFonts w:ascii="宋体" w:hAnsi="宋体" w:cs="宋体"/>
          <w:bCs/>
          <w:color w:val="auto"/>
          <w:kern w:val="36"/>
          <w:szCs w:val="21"/>
          <w:highlight w:val="none"/>
        </w:rPr>
        <w:t>》</w:t>
      </w:r>
      <w:r>
        <w:rPr>
          <w:rFonts w:hint="eastAsia" w:ascii="宋体" w:hAnsi="宋体" w:cs="宋体"/>
          <w:bCs/>
          <w:color w:val="auto"/>
          <w:kern w:val="36"/>
          <w:szCs w:val="21"/>
          <w:highlight w:val="none"/>
        </w:rPr>
        <w:t>有关规定组建，依法依规</w:t>
      </w:r>
      <w:r>
        <w:rPr>
          <w:rFonts w:hint="eastAsia" w:ascii="宋体" w:hAnsi="宋体" w:cs="宋体"/>
          <w:color w:val="auto"/>
          <w:kern w:val="0"/>
          <w:szCs w:val="21"/>
          <w:highlight w:val="none"/>
        </w:rPr>
        <w:t>履行其职责和义务的机构。</w:t>
      </w:r>
    </w:p>
    <w:p w14:paraId="683210F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 “货物”是指各种形态和种类的物品，包括原资料、燃料、设备、产品等，详见《政府采购品目分类目录》(</w:t>
      </w:r>
      <w:r>
        <w:rPr>
          <w:rStyle w:val="29"/>
          <w:rFonts w:hint="eastAsia" w:ascii="宋体" w:hAnsi="宋体"/>
          <w:b w:val="0"/>
          <w:color w:val="auto"/>
          <w:highlight w:val="none"/>
          <w:lang w:eastAsia="zh-CN"/>
        </w:rPr>
        <w:t>财库〔2022〕31号</w:t>
      </w:r>
      <w:r>
        <w:rPr>
          <w:rFonts w:hint="eastAsia" w:ascii="宋体" w:hAnsi="宋体"/>
          <w:color w:val="auto"/>
          <w:szCs w:val="21"/>
          <w:highlight w:val="none"/>
        </w:rPr>
        <w:t>)。</w:t>
      </w:r>
    </w:p>
    <w:p w14:paraId="1CC7CFC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 “工程”是指建设工程，包括建筑物和构筑物的新建、改建、扩建、装修、拆除、修缮等，详见《政府采购品目分类目录》(</w:t>
      </w:r>
      <w:r>
        <w:rPr>
          <w:rStyle w:val="29"/>
          <w:rFonts w:hint="eastAsia" w:ascii="宋体" w:hAnsi="宋体"/>
          <w:b w:val="0"/>
          <w:color w:val="auto"/>
          <w:highlight w:val="none"/>
          <w:lang w:eastAsia="zh-CN"/>
        </w:rPr>
        <w:t>财库〔2022〕31号</w:t>
      </w:r>
      <w:r>
        <w:rPr>
          <w:rFonts w:hint="eastAsia" w:ascii="宋体" w:hAnsi="宋体"/>
          <w:color w:val="auto"/>
          <w:szCs w:val="21"/>
          <w:highlight w:val="none"/>
        </w:rPr>
        <w:t>)。</w:t>
      </w:r>
    </w:p>
    <w:p w14:paraId="1752AAE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 “服务”是指除货物和工程以外的其他政府采购对象，详见《政府采购品目分类目录》(</w:t>
      </w:r>
      <w:r>
        <w:rPr>
          <w:rStyle w:val="29"/>
          <w:rFonts w:hint="eastAsia" w:ascii="宋体" w:hAnsi="宋体"/>
          <w:b w:val="0"/>
          <w:color w:val="auto"/>
          <w:highlight w:val="none"/>
          <w:lang w:eastAsia="zh-CN"/>
        </w:rPr>
        <w:t>财库〔2022〕31号</w:t>
      </w:r>
      <w:r>
        <w:rPr>
          <w:rFonts w:hint="eastAsia" w:ascii="宋体" w:hAnsi="宋体"/>
          <w:color w:val="auto"/>
          <w:szCs w:val="21"/>
          <w:highlight w:val="none"/>
        </w:rPr>
        <w:t>)。</w:t>
      </w:r>
    </w:p>
    <w:p w14:paraId="03F490DA">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2.8</w:t>
      </w:r>
      <w:r>
        <w:rPr>
          <w:rFonts w:hint="eastAsia" w:ascii="宋体" w:hAnsi="宋体"/>
          <w:color w:val="auto"/>
          <w:szCs w:val="21"/>
          <w:highlight w:val="none"/>
        </w:rPr>
        <w:t xml:space="preserve"> “节能产品”或者“环保产品”是指财政部发布的《节能产品政府采购清单》或者《环境标志产品政府采购清单》的产品。</w:t>
      </w:r>
    </w:p>
    <w:p w14:paraId="58B1909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2.9</w:t>
      </w:r>
      <w:r>
        <w:rPr>
          <w:rFonts w:hint="eastAsia" w:ascii="宋体" w:hAnsi="宋体" w:cs="宋体"/>
          <w:color w:val="auto"/>
          <w:kern w:val="0"/>
          <w:szCs w:val="21"/>
          <w:highlight w:val="none"/>
        </w:rPr>
        <w:t xml:space="preserve"> “进口产品”是指通过中国海关报关验放进入中国境内且产自关境外的产品，详见《</w:t>
      </w:r>
      <w:r>
        <w:rPr>
          <w:rFonts w:ascii="宋体" w:hAnsi="宋体" w:cs="宋体"/>
          <w:color w:val="auto"/>
          <w:kern w:val="0"/>
          <w:szCs w:val="21"/>
          <w:highlight w:val="none"/>
        </w:rPr>
        <w:t>关于政府采购进口产品管理有关问题的通知</w:t>
      </w:r>
      <w:r>
        <w:rPr>
          <w:rFonts w:hint="eastAsia" w:ascii="宋体" w:hAnsi="宋体" w:cs="宋体"/>
          <w:color w:val="auto"/>
          <w:kern w:val="0"/>
          <w:szCs w:val="21"/>
          <w:highlight w:val="none"/>
        </w:rPr>
        <w:t>》(财库[2007]119号)。</w:t>
      </w:r>
    </w:p>
    <w:p w14:paraId="675C146B">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3.供应商的资格要求</w:t>
      </w:r>
    </w:p>
    <w:p w14:paraId="58611A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 供应商应当符合</w:t>
      </w:r>
      <w:r>
        <w:rPr>
          <w:rFonts w:hint="eastAsia" w:ascii="宋体" w:hAnsi="宋体"/>
          <w:b/>
          <w:color w:val="auto"/>
          <w:szCs w:val="21"/>
          <w:highlight w:val="none"/>
        </w:rPr>
        <w:t>磋商须知前附表</w:t>
      </w:r>
      <w:r>
        <w:rPr>
          <w:rFonts w:hint="eastAsia" w:ascii="宋体" w:hAnsi="宋体"/>
          <w:color w:val="auto"/>
          <w:szCs w:val="21"/>
          <w:highlight w:val="none"/>
        </w:rPr>
        <w:t>中规定的资格条件要求。</w:t>
      </w:r>
    </w:p>
    <w:p w14:paraId="67761090">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3.2供应商</w:t>
      </w:r>
      <w:r>
        <w:rPr>
          <w:rFonts w:hint="eastAsia" w:hAnsi="宋体"/>
          <w:color w:val="auto"/>
          <w:highlight w:val="none"/>
        </w:rPr>
        <w:t>为联合体形式的</w:t>
      </w:r>
      <w:r>
        <w:rPr>
          <w:rFonts w:hint="eastAsia" w:ascii="宋体" w:hAnsi="宋体"/>
          <w:color w:val="auto"/>
          <w:szCs w:val="21"/>
          <w:highlight w:val="none"/>
        </w:rPr>
        <w:t xml:space="preserve">，除应满足本章第3.1款资格条件要求及第3.3款规定外，还应遵守以下规定： </w:t>
      </w:r>
    </w:p>
    <w:p w14:paraId="6D33717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（1）联合体各方应按磋商文件提供的格式签订联合体协议书，明确联合体牵头人和各方权利义务(含承担工作及工作量比例)；</w:t>
      </w:r>
    </w:p>
    <w:p w14:paraId="7E0831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（2）联合体中有同类资质的供应商按照联合体分工承担相同工作的，应当按照资质等级较低的供应商确定资质等级；</w:t>
      </w:r>
    </w:p>
    <w:p w14:paraId="249984B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（3）以联合体形式参加政府采购活动的，联合体各方不得再单独参加或者与其他供应商另外组成联合体参加同一合同项下的政府采购活动。</w:t>
      </w:r>
    </w:p>
    <w:p w14:paraId="09B9A2E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 供应商不得存在下列情形之一：</w:t>
      </w:r>
    </w:p>
    <w:p w14:paraId="4139B35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（l）与采购人、采购代理机构存在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570DD7B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（2）与其他供应商的法定代表人（或者负责人）为同一人，或者与其他供应商存在直接控股、管理关系。</w:t>
      </w:r>
    </w:p>
    <w:p w14:paraId="73BB458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受到刑事处罚，或者受到</w:t>
      </w:r>
      <w:r>
        <w:rPr>
          <w:rFonts w:hint="eastAsia" w:ascii="宋体" w:hAnsi="宋体"/>
          <w:bCs/>
          <w:color w:val="auto"/>
          <w:szCs w:val="21"/>
          <w:highlight w:val="none"/>
          <w:lang w:val="en-US" w:eastAsia="zh-CN"/>
        </w:rPr>
        <w:t>较大数额</w:t>
      </w:r>
      <w:r>
        <w:rPr>
          <w:rFonts w:hint="eastAsia" w:ascii="宋体" w:hAnsi="宋体"/>
          <w:bCs/>
          <w:color w:val="auto"/>
          <w:szCs w:val="21"/>
          <w:highlight w:val="none"/>
        </w:rPr>
        <w:t>以上的罚款、责令停产停业、在一至三年内禁止参加政府采购活动、暂扣或者吊销许可证、暂扣或者吊销执照等情形之一的行政处罚，或者存在</w:t>
      </w:r>
      <w:r>
        <w:rPr>
          <w:rFonts w:hint="eastAsia" w:ascii="宋体" w:hAnsi="宋体"/>
          <w:color w:val="auto"/>
          <w:szCs w:val="21"/>
          <w:highlight w:val="none"/>
        </w:rPr>
        <w:t>财政部门认定的其他重大违法记录。</w:t>
      </w:r>
    </w:p>
    <w:p w14:paraId="4925D313">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 xml:space="preserve">4.参与磋商的费用 </w:t>
      </w:r>
    </w:p>
    <w:p w14:paraId="71C5F9F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 无论磋商的结果如何，供应商应自行承担所有与竞争性磋商采购活动有关的全部费用。</w:t>
      </w:r>
    </w:p>
    <w:p w14:paraId="0C402881">
      <w:pPr>
        <w:pStyle w:val="14"/>
        <w:adjustRightInd w:val="0"/>
        <w:snapToGrid w:val="0"/>
        <w:spacing w:line="360" w:lineRule="auto"/>
        <w:rPr>
          <w:rFonts w:hAnsi="宋体"/>
          <w:b/>
          <w:bCs/>
          <w:color w:val="auto"/>
          <w:highlight w:val="none"/>
        </w:rPr>
      </w:pPr>
      <w:r>
        <w:rPr>
          <w:rFonts w:hint="eastAsia" w:hAnsi="宋体"/>
          <w:b/>
          <w:color w:val="auto"/>
          <w:highlight w:val="none"/>
        </w:rPr>
        <w:t>5．</w:t>
      </w:r>
      <w:r>
        <w:rPr>
          <w:rFonts w:hint="eastAsia" w:hAnsi="宋体"/>
          <w:b/>
          <w:bCs/>
          <w:color w:val="auto"/>
          <w:highlight w:val="none"/>
        </w:rPr>
        <w:t>授权委托</w:t>
      </w:r>
    </w:p>
    <w:p w14:paraId="2C1924E0">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5.1供应商代表为供应商法定代表人的，应具备法定代表人身份证明。供应商代表不是供应商法定代表人的，应具备法定代表人授权书，并附法定代表人身份证明。</w:t>
      </w:r>
    </w:p>
    <w:p w14:paraId="267298E3">
      <w:pPr>
        <w:pStyle w:val="14"/>
        <w:adjustRightInd w:val="0"/>
        <w:snapToGrid w:val="0"/>
        <w:spacing w:line="360" w:lineRule="auto"/>
        <w:rPr>
          <w:rFonts w:hAnsi="宋体"/>
          <w:b/>
          <w:color w:val="auto"/>
          <w:highlight w:val="none"/>
        </w:rPr>
      </w:pPr>
      <w:r>
        <w:rPr>
          <w:rFonts w:hint="eastAsia" w:hAnsi="宋体"/>
          <w:b/>
          <w:color w:val="auto"/>
          <w:highlight w:val="none"/>
        </w:rPr>
        <w:t>6．联合体形式</w:t>
      </w:r>
    </w:p>
    <w:p w14:paraId="2F44086A">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6.1除</w:t>
      </w:r>
      <w:r>
        <w:rPr>
          <w:rFonts w:hint="eastAsia" w:hAnsi="宋体"/>
          <w:b/>
          <w:color w:val="auto"/>
          <w:highlight w:val="none"/>
        </w:rPr>
        <w:t>磋商须知前附表</w:t>
      </w:r>
      <w:r>
        <w:rPr>
          <w:rFonts w:hint="eastAsia" w:hAnsi="宋体"/>
          <w:color w:val="auto"/>
          <w:highlight w:val="none"/>
        </w:rPr>
        <w:t>中另有规定，本次谈判采购不接受为联合体形式的供应商。</w:t>
      </w:r>
    </w:p>
    <w:p w14:paraId="763246A2">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6.2供应商</w:t>
      </w:r>
      <w:r>
        <w:rPr>
          <w:rFonts w:hint="eastAsia" w:hAnsi="宋体"/>
          <w:color w:val="auto"/>
          <w:highlight w:val="none"/>
        </w:rPr>
        <w:t>为联合体形式的</w:t>
      </w:r>
      <w:r>
        <w:rPr>
          <w:rFonts w:hint="eastAsia" w:ascii="宋体" w:hAnsi="宋体"/>
          <w:color w:val="auto"/>
          <w:szCs w:val="21"/>
          <w:highlight w:val="none"/>
        </w:rPr>
        <w:t>，除应符合本章第3条规定外，还应遵守以下规定：</w:t>
      </w:r>
    </w:p>
    <w:p w14:paraId="2155990E">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（l）联合体各方必须签订联合体协议书，明确联合体牵头人和各方的义务、工作、合同工作量比例；</w:t>
      </w:r>
    </w:p>
    <w:p w14:paraId="75B1C76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（2）联合体各方均应当符合本章第3.1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规定的供应商基本资格条件；</w:t>
      </w:r>
    </w:p>
    <w:p w14:paraId="26F8B2F2">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highlight w:val="none"/>
        </w:rPr>
        <w:t>除</w:t>
      </w:r>
      <w:r>
        <w:rPr>
          <w:rFonts w:hint="eastAsia" w:ascii="宋体" w:hAnsi="宋体"/>
          <w:b/>
          <w:color w:val="auto"/>
          <w:highlight w:val="none"/>
        </w:rPr>
        <w:t>磋商须知前附表</w:t>
      </w:r>
      <w:r>
        <w:rPr>
          <w:rFonts w:hint="eastAsia" w:ascii="宋体" w:hAnsi="宋体"/>
          <w:color w:val="auto"/>
          <w:highlight w:val="none"/>
        </w:rPr>
        <w:t>中另有规定，</w:t>
      </w:r>
      <w:r>
        <w:rPr>
          <w:rFonts w:hint="eastAsia" w:ascii="宋体" w:hAnsi="宋体"/>
          <w:color w:val="auto"/>
          <w:szCs w:val="21"/>
          <w:highlight w:val="none"/>
        </w:rPr>
        <w:t>联合体各方中至少有一方应当符合本章第3.1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规定的供应商特定资格条件；</w:t>
      </w:r>
    </w:p>
    <w:p w14:paraId="46DCA538">
      <w:pPr>
        <w:adjustRightInd w:val="0"/>
        <w:snapToGrid w:val="0"/>
        <w:spacing w:line="360" w:lineRule="auto"/>
        <w:ind w:firstLine="420" w:firstLineChars="200"/>
        <w:jc w:val="left"/>
        <w:rPr>
          <w:rFonts w:ascii="宋体" w:hAnsi="宋体" w:cs="宋体"/>
          <w:color w:val="auto"/>
          <w:kern w:val="0"/>
          <w:szCs w:val="21"/>
          <w:highlight w:val="none"/>
          <w:lang w:val="zh-CN"/>
        </w:rPr>
      </w:pPr>
      <w:r>
        <w:rPr>
          <w:rFonts w:hint="eastAsia" w:ascii="宋体" w:hAnsi="宋体"/>
          <w:color w:val="auto"/>
          <w:szCs w:val="21"/>
          <w:highlight w:val="none"/>
        </w:rPr>
        <w:t>（4）</w:t>
      </w:r>
      <w:r>
        <w:rPr>
          <w:rFonts w:hint="eastAsia" w:ascii="宋体" w:hAnsi="宋体" w:cs="宋体"/>
          <w:color w:val="auto"/>
          <w:kern w:val="0"/>
          <w:szCs w:val="21"/>
          <w:highlight w:val="none"/>
          <w:lang w:val="zh-CN"/>
        </w:rPr>
        <w:t>联合体各方不得再单独或与其他供应商组成新的联合体参加同一项目的采购活动。</w:t>
      </w:r>
    </w:p>
    <w:p w14:paraId="0BEA6EE2">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7.现场勘察</w:t>
      </w:r>
    </w:p>
    <w:p w14:paraId="1A89756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7.1供应商应按</w:t>
      </w:r>
      <w:r>
        <w:rPr>
          <w:rFonts w:hint="eastAsia" w:hAnsi="宋体"/>
          <w:b/>
          <w:color w:val="auto"/>
          <w:highlight w:val="none"/>
        </w:rPr>
        <w:t>磋商须知前附表</w:t>
      </w:r>
      <w:r>
        <w:rPr>
          <w:rFonts w:hint="eastAsia" w:hAnsi="宋体"/>
          <w:color w:val="auto"/>
          <w:highlight w:val="none"/>
        </w:rPr>
        <w:t>中规定</w:t>
      </w:r>
      <w:r>
        <w:rPr>
          <w:rFonts w:hint="eastAsia" w:ascii="宋体" w:hAnsi="宋体"/>
          <w:color w:val="auto"/>
          <w:szCs w:val="21"/>
          <w:highlight w:val="none"/>
        </w:rPr>
        <w:t>对采购项目现场和周围环境的现场考察。</w:t>
      </w:r>
    </w:p>
    <w:p w14:paraId="1CD28A8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7.2勘察现场的费用由供应商自己承担，勘察期间所发生的人身伤害及财产损失由供应商自己负责。</w:t>
      </w:r>
    </w:p>
    <w:p w14:paraId="1057248D">
      <w:pP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7.3采购人不对供应商据此而做出的推论、理解和结论负责。一旦成交，供应商不得以任何借口，提出额外补偿，或延长合同期限的要求。</w:t>
      </w:r>
    </w:p>
    <w:p w14:paraId="34650AFC">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8.采购进口产品</w:t>
      </w:r>
    </w:p>
    <w:p w14:paraId="5F46F64C">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8.1除</w:t>
      </w:r>
      <w:r>
        <w:rPr>
          <w:rFonts w:hint="eastAsia" w:ascii="宋体" w:hAnsi="宋体"/>
          <w:b/>
          <w:color w:val="auto"/>
          <w:szCs w:val="21"/>
          <w:highlight w:val="none"/>
        </w:rPr>
        <w:t>磋商文件前附表</w:t>
      </w:r>
      <w:r>
        <w:rPr>
          <w:rFonts w:hint="eastAsia" w:ascii="宋体" w:hAnsi="宋体"/>
          <w:color w:val="auto"/>
          <w:szCs w:val="21"/>
          <w:highlight w:val="none"/>
        </w:rPr>
        <w:t>另有规定外，本项目</w:t>
      </w:r>
      <w:r>
        <w:rPr>
          <w:rFonts w:hint="eastAsia" w:ascii="宋体" w:hAnsi="宋体" w:cs="宋体"/>
          <w:color w:val="auto"/>
          <w:kern w:val="0"/>
          <w:szCs w:val="21"/>
          <w:highlight w:val="none"/>
        </w:rPr>
        <w:t>拒绝进口产品参加</w:t>
      </w:r>
      <w:r>
        <w:rPr>
          <w:rFonts w:hint="eastAsia" w:ascii="宋体" w:hAnsi="宋体"/>
          <w:color w:val="auto"/>
          <w:szCs w:val="21"/>
          <w:highlight w:val="none"/>
        </w:rPr>
        <w:t>竞争性磋商采购活动</w:t>
      </w:r>
      <w:r>
        <w:rPr>
          <w:rFonts w:hint="eastAsia" w:ascii="宋体" w:hAnsi="宋体" w:cs="宋体"/>
          <w:color w:val="auto"/>
          <w:kern w:val="0"/>
          <w:szCs w:val="21"/>
          <w:highlight w:val="none"/>
        </w:rPr>
        <w:t>。</w:t>
      </w:r>
    </w:p>
    <w:p w14:paraId="7B65CF20">
      <w:pPr>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8.2</w:t>
      </w:r>
      <w:r>
        <w:rPr>
          <w:rFonts w:hint="eastAsia" w:ascii="宋体" w:hAnsi="宋体"/>
          <w:color w:val="auto"/>
          <w:szCs w:val="21"/>
          <w:highlight w:val="none"/>
        </w:rPr>
        <w:t>本章第7.1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ascii="宋体" w:hAnsi="宋体" w:cs="宋体"/>
          <w:color w:val="auto"/>
          <w:kern w:val="0"/>
          <w:szCs w:val="21"/>
          <w:highlight w:val="none"/>
        </w:rPr>
        <w:t>同意购买进口产品的</w:t>
      </w:r>
      <w:r>
        <w:rPr>
          <w:rFonts w:hint="eastAsia" w:ascii="宋体" w:hAnsi="宋体" w:cs="宋体"/>
          <w:color w:val="auto"/>
          <w:kern w:val="0"/>
          <w:szCs w:val="21"/>
          <w:highlight w:val="none"/>
        </w:rPr>
        <w:t>，</w:t>
      </w:r>
      <w:r>
        <w:rPr>
          <w:rFonts w:hint="eastAsia" w:ascii="宋体" w:hAnsi="宋体"/>
          <w:color w:val="auto"/>
          <w:szCs w:val="21"/>
          <w:highlight w:val="none"/>
        </w:rPr>
        <w:t>本项目</w:t>
      </w:r>
      <w:r>
        <w:rPr>
          <w:rFonts w:hint="eastAsia" w:ascii="宋体" w:hAnsi="宋体" w:cs="宋体"/>
          <w:color w:val="auto"/>
          <w:kern w:val="0"/>
          <w:szCs w:val="21"/>
          <w:highlight w:val="none"/>
          <w:lang w:val="zh-CN"/>
        </w:rPr>
        <w:t>采购活动</w:t>
      </w:r>
      <w:r>
        <w:rPr>
          <w:rFonts w:hint="eastAsia" w:ascii="宋体" w:hAnsi="宋体" w:cs="宋体"/>
          <w:color w:val="auto"/>
          <w:kern w:val="0"/>
          <w:szCs w:val="21"/>
          <w:highlight w:val="none"/>
        </w:rPr>
        <w:t>不</w:t>
      </w:r>
      <w:r>
        <w:rPr>
          <w:rFonts w:ascii="宋体" w:hAnsi="宋体" w:cs="宋体"/>
          <w:color w:val="auto"/>
          <w:kern w:val="0"/>
          <w:szCs w:val="21"/>
          <w:highlight w:val="none"/>
        </w:rPr>
        <w:t>限制满足</w:t>
      </w:r>
      <w:r>
        <w:rPr>
          <w:rFonts w:hint="eastAsia" w:ascii="宋体" w:hAnsi="宋体"/>
          <w:color w:val="auto"/>
          <w:szCs w:val="21"/>
          <w:highlight w:val="none"/>
        </w:rPr>
        <w:t>磋商文件要求</w:t>
      </w:r>
      <w:r>
        <w:rPr>
          <w:rFonts w:ascii="宋体" w:hAnsi="宋体" w:cs="宋体"/>
          <w:color w:val="auto"/>
          <w:kern w:val="0"/>
          <w:szCs w:val="21"/>
          <w:highlight w:val="none"/>
        </w:rPr>
        <w:t>的国内产品参与</w:t>
      </w:r>
      <w:r>
        <w:rPr>
          <w:rFonts w:hint="eastAsia" w:ascii="宋体" w:hAnsi="宋体"/>
          <w:color w:val="auto"/>
          <w:szCs w:val="21"/>
          <w:highlight w:val="none"/>
        </w:rPr>
        <w:t>竞争性磋商</w:t>
      </w:r>
      <w:r>
        <w:rPr>
          <w:rFonts w:ascii="宋体" w:hAnsi="宋体" w:cs="宋体"/>
          <w:color w:val="auto"/>
          <w:kern w:val="0"/>
          <w:szCs w:val="21"/>
          <w:highlight w:val="none"/>
        </w:rPr>
        <w:t>。</w:t>
      </w:r>
    </w:p>
    <w:p w14:paraId="009F78D2">
      <w:pP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9.</w:t>
      </w:r>
      <w:r>
        <w:rPr>
          <w:rFonts w:hint="eastAsia" w:ascii="宋体" w:hAnsi="宋体"/>
          <w:b/>
          <w:color w:val="auto"/>
          <w:szCs w:val="21"/>
          <w:highlight w:val="none"/>
        </w:rPr>
        <w:t xml:space="preserve"> 政府采购政策支持</w:t>
      </w:r>
    </w:p>
    <w:p w14:paraId="10E075F2">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highlight w:val="none"/>
        </w:rPr>
        <w:t>磋商文件前附表。</w:t>
      </w:r>
    </w:p>
    <w:p w14:paraId="5B379D8B">
      <w:pPr>
        <w:pStyle w:val="14"/>
        <w:adjustRightInd w:val="0"/>
        <w:snapToGrid w:val="0"/>
        <w:spacing w:line="360" w:lineRule="auto"/>
        <w:ind w:firstLine="420" w:firstLineChars="200"/>
        <w:rPr>
          <w:color w:val="auto"/>
          <w:highlight w:val="none"/>
        </w:rPr>
      </w:pPr>
      <w:r>
        <w:rPr>
          <w:rFonts w:hint="eastAsia" w:hAnsi="宋体" w:cs="宋体"/>
          <w:color w:val="auto"/>
          <w:kern w:val="0"/>
          <w:highlight w:val="none"/>
        </w:rPr>
        <w:t>9.2对列入财政部、国家发展改革委发布的《节能产品政府采购清单》的“非强制采购节能产品”，财政部、环境保护部发布的《环境标志产品政府采购清单》的“环境标志产品”</w:t>
      </w:r>
      <w:r>
        <w:rPr>
          <w:rFonts w:hint="eastAsia" w:hAnsi="宋体" w:cs="宋体"/>
          <w:color w:val="auto"/>
          <w:kern w:val="0"/>
          <w:highlight w:val="none"/>
          <w:lang w:eastAsia="zh-CN"/>
        </w:rPr>
        <w:t>，</w:t>
      </w:r>
      <w:r>
        <w:rPr>
          <w:rFonts w:hint="eastAsia" w:hAnsi="宋体" w:cs="宋体"/>
          <w:color w:val="auto"/>
          <w:kern w:val="0"/>
          <w:highlight w:val="none"/>
        </w:rPr>
        <w:t>以及中小企业，实行优先采购，按照省级以上财政部门有关政策规定，评审时进行价格扣除或加分。实行政府采购优先采购的优惠率见</w:t>
      </w:r>
      <w:r>
        <w:rPr>
          <w:rFonts w:hint="eastAsia" w:hAnsi="宋体" w:cs="宋体"/>
          <w:b/>
          <w:color w:val="auto"/>
          <w:kern w:val="0"/>
          <w:highlight w:val="none"/>
        </w:rPr>
        <w:t>磋商文件前附表。</w:t>
      </w:r>
    </w:p>
    <w:p w14:paraId="5AC5E45B">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4402F49">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9.4同一项目中部分产品属于优先采购政策的，评审时只对该部分产品的报价实行价格扣除及加分。</w:t>
      </w:r>
    </w:p>
    <w:p w14:paraId="74E47110">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9.5符合本章第9.1</w:t>
      </w:r>
      <w:r>
        <w:rPr>
          <w:rFonts w:hint="eastAsia" w:ascii="宋体" w:hAnsi="宋体" w:cs="宋体"/>
          <w:color w:val="auto"/>
          <w:kern w:val="0"/>
          <w:szCs w:val="21"/>
          <w:highlight w:val="none"/>
          <w:lang w:val="zh-CN"/>
        </w:rPr>
        <w:t>款、</w:t>
      </w:r>
      <w:r>
        <w:rPr>
          <w:rFonts w:hint="eastAsia" w:ascii="宋体" w:hAnsi="宋体"/>
          <w:color w:val="auto"/>
          <w:szCs w:val="21"/>
          <w:highlight w:val="none"/>
        </w:rPr>
        <w:t>第9.2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规定的，应提供相关证明资料。</w:t>
      </w:r>
    </w:p>
    <w:p w14:paraId="23328354">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9.6供应商有融资、担保需求的，具体办理流程可向</w:t>
      </w:r>
      <w:r>
        <w:rPr>
          <w:rFonts w:hint="eastAsia" w:ascii="宋体" w:hAnsi="宋体"/>
          <w:b/>
          <w:color w:val="auto"/>
          <w:szCs w:val="21"/>
          <w:highlight w:val="none"/>
        </w:rPr>
        <w:t>磋商须知前附表</w:t>
      </w:r>
      <w:r>
        <w:rPr>
          <w:rFonts w:hint="eastAsia" w:ascii="宋体" w:hAnsi="宋体"/>
          <w:color w:val="auto"/>
          <w:szCs w:val="21"/>
          <w:highlight w:val="none"/>
        </w:rPr>
        <w:t>所列金融机构和担保机构询问。</w:t>
      </w:r>
    </w:p>
    <w:p w14:paraId="6FC4AAB4">
      <w:pPr>
        <w:adjustRightInd w:val="0"/>
        <w:snapToGrid w:val="0"/>
        <w:spacing w:line="360" w:lineRule="auto"/>
        <w:ind w:left="902" w:hanging="902" w:hangingChars="376"/>
        <w:rPr>
          <w:rFonts w:ascii="黑体" w:hAnsi="宋体" w:eastAsia="黑体"/>
          <w:color w:val="auto"/>
          <w:sz w:val="24"/>
          <w:highlight w:val="none"/>
        </w:rPr>
      </w:pPr>
      <w:r>
        <w:rPr>
          <w:rFonts w:hint="eastAsia" w:ascii="黑体" w:hAnsi="宋体" w:eastAsia="黑体"/>
          <w:color w:val="auto"/>
          <w:sz w:val="24"/>
          <w:highlight w:val="none"/>
        </w:rPr>
        <w:t>二、磋商文件</w:t>
      </w:r>
    </w:p>
    <w:p w14:paraId="54778863">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10．磋商文件的组成</w:t>
      </w:r>
    </w:p>
    <w:p w14:paraId="7DD1AAD6">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10.1 磋商文件由下列文件组成：</w:t>
      </w:r>
    </w:p>
    <w:p w14:paraId="42BF9F1F">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第一章 磋商邀请</w:t>
      </w:r>
    </w:p>
    <w:p w14:paraId="69137D9B">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第二章 磋商须知</w:t>
      </w:r>
    </w:p>
    <w:p w14:paraId="5CDBF465">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第三章 政府采购合同格式条款</w:t>
      </w:r>
    </w:p>
    <w:p w14:paraId="0958542E">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第四章 采购需求</w:t>
      </w:r>
    </w:p>
    <w:p w14:paraId="050D5210">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第五章 响应文件组成</w:t>
      </w:r>
    </w:p>
    <w:p w14:paraId="14F94573">
      <w:pPr>
        <w:pStyle w:val="14"/>
        <w:adjustRightInd w:val="0"/>
        <w:snapToGrid w:val="0"/>
        <w:spacing w:line="360" w:lineRule="auto"/>
        <w:ind w:firstLine="420" w:firstLineChars="200"/>
        <w:rPr>
          <w:rFonts w:hAnsi="宋体" w:cs="宋体"/>
          <w:color w:val="auto"/>
          <w:kern w:val="0"/>
          <w:highlight w:val="none"/>
        </w:rPr>
      </w:pPr>
      <w:r>
        <w:rPr>
          <w:rFonts w:hint="eastAsia"/>
          <w:color w:val="auto"/>
          <w:highlight w:val="none"/>
        </w:rPr>
        <w:t>10.2</w:t>
      </w:r>
      <w:r>
        <w:rPr>
          <w:rFonts w:hint="eastAsia" w:hAnsi="宋体" w:cs="宋体"/>
          <w:color w:val="auto"/>
          <w:kern w:val="0"/>
          <w:highlight w:val="none"/>
        </w:rPr>
        <w:t>磋商小组根据与供应商磋商情况可能实质性变动的内容，包括采购需求中的技术、服务要求以及合同条款，</w:t>
      </w:r>
      <w:r>
        <w:rPr>
          <w:rFonts w:hint="eastAsia"/>
          <w:color w:val="auto"/>
          <w:highlight w:val="none"/>
        </w:rPr>
        <w:t>在</w:t>
      </w:r>
      <w:r>
        <w:rPr>
          <w:rFonts w:hint="eastAsia"/>
          <w:b/>
          <w:color w:val="auto"/>
          <w:highlight w:val="none"/>
        </w:rPr>
        <w:t>磋商须知前附表</w:t>
      </w:r>
      <w:r>
        <w:rPr>
          <w:rFonts w:hint="eastAsia"/>
          <w:color w:val="auto"/>
          <w:highlight w:val="none"/>
        </w:rPr>
        <w:t>中明确。</w:t>
      </w:r>
    </w:p>
    <w:p w14:paraId="686F087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10.3</w:t>
      </w:r>
      <w:r>
        <w:rPr>
          <w:rFonts w:hint="eastAsia" w:ascii="宋体" w:hAnsi="宋体"/>
          <w:color w:val="auto"/>
          <w:szCs w:val="21"/>
          <w:highlight w:val="none"/>
        </w:rPr>
        <w:t>供应商应仔细阅读</w:t>
      </w:r>
      <w:r>
        <w:rPr>
          <w:rFonts w:hint="eastAsia" w:ascii="宋体" w:hAnsi="宋体"/>
          <w:bCs/>
          <w:color w:val="auto"/>
          <w:szCs w:val="21"/>
          <w:highlight w:val="none"/>
        </w:rPr>
        <w:t>磋商</w:t>
      </w:r>
      <w:r>
        <w:rPr>
          <w:rFonts w:hint="eastAsia" w:ascii="宋体" w:hAnsi="宋体"/>
          <w:color w:val="auto"/>
          <w:szCs w:val="21"/>
          <w:highlight w:val="none"/>
        </w:rPr>
        <w:t>文件的全部内容，按照</w:t>
      </w:r>
      <w:r>
        <w:rPr>
          <w:rFonts w:hint="eastAsia" w:ascii="宋体" w:hAnsi="宋体"/>
          <w:bCs/>
          <w:color w:val="auto"/>
          <w:szCs w:val="21"/>
          <w:highlight w:val="none"/>
        </w:rPr>
        <w:t>磋商</w:t>
      </w:r>
      <w:r>
        <w:rPr>
          <w:rFonts w:hint="eastAsia" w:ascii="宋体" w:hAnsi="宋体"/>
          <w:color w:val="auto"/>
          <w:szCs w:val="21"/>
          <w:highlight w:val="none"/>
        </w:rPr>
        <w:t>文件要求编制</w:t>
      </w:r>
      <w:r>
        <w:rPr>
          <w:rFonts w:hint="eastAsia"/>
          <w:color w:val="auto"/>
          <w:szCs w:val="21"/>
          <w:highlight w:val="none"/>
        </w:rPr>
        <w:t>响应</w:t>
      </w:r>
      <w:r>
        <w:rPr>
          <w:rFonts w:hint="eastAsia" w:ascii="宋体" w:hAnsi="宋体"/>
          <w:color w:val="auto"/>
          <w:szCs w:val="21"/>
          <w:highlight w:val="none"/>
        </w:rPr>
        <w:t>文件。任何对</w:t>
      </w:r>
      <w:r>
        <w:rPr>
          <w:rFonts w:hint="eastAsia" w:ascii="宋体" w:hAnsi="宋体"/>
          <w:bCs/>
          <w:color w:val="auto"/>
          <w:szCs w:val="21"/>
          <w:highlight w:val="none"/>
        </w:rPr>
        <w:t>磋商</w:t>
      </w:r>
      <w:r>
        <w:rPr>
          <w:rFonts w:hint="eastAsia" w:ascii="宋体" w:hAnsi="宋体"/>
          <w:color w:val="auto"/>
          <w:szCs w:val="21"/>
          <w:highlight w:val="none"/>
        </w:rPr>
        <w:t>文件的忽略或误解不能作为</w:t>
      </w:r>
      <w:r>
        <w:rPr>
          <w:rFonts w:hint="eastAsia"/>
          <w:color w:val="auto"/>
          <w:szCs w:val="21"/>
          <w:highlight w:val="none"/>
        </w:rPr>
        <w:t>响应</w:t>
      </w:r>
      <w:r>
        <w:rPr>
          <w:rFonts w:hint="eastAsia" w:ascii="宋体" w:hAnsi="宋体"/>
          <w:color w:val="auto"/>
          <w:szCs w:val="21"/>
          <w:highlight w:val="none"/>
        </w:rPr>
        <w:t>文件存在缺陷或瑕疵的理由，其风险由供应商承担。</w:t>
      </w:r>
    </w:p>
    <w:p w14:paraId="0E5875E0">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11.磋商文件的提供期限</w:t>
      </w:r>
    </w:p>
    <w:p w14:paraId="35FBBF4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11.1磋商文件的提供期限自开始发出之日起不得少于五个工作日。具体提供期限见</w:t>
      </w:r>
      <w:r>
        <w:rPr>
          <w:rFonts w:hint="eastAsia" w:ascii="宋体" w:hAnsi="宋体"/>
          <w:b/>
          <w:color w:val="auto"/>
          <w:szCs w:val="21"/>
          <w:highlight w:val="none"/>
        </w:rPr>
        <w:t>磋商文件前附表</w:t>
      </w:r>
      <w:r>
        <w:rPr>
          <w:rFonts w:hint="eastAsia" w:ascii="宋体" w:hAnsi="宋体"/>
          <w:color w:val="auto"/>
          <w:szCs w:val="21"/>
          <w:highlight w:val="none"/>
        </w:rPr>
        <w:t>。</w:t>
      </w:r>
    </w:p>
    <w:p w14:paraId="0A6F2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11.2供应商应持</w:t>
      </w:r>
      <w:r>
        <w:rPr>
          <w:rFonts w:hint="eastAsia" w:ascii="宋体" w:hAnsi="宋体"/>
          <w:b/>
          <w:color w:val="auto"/>
          <w:szCs w:val="21"/>
          <w:highlight w:val="none"/>
        </w:rPr>
        <w:t>磋商文件前附表</w:t>
      </w:r>
      <w:r>
        <w:rPr>
          <w:rFonts w:hint="eastAsia" w:ascii="宋体" w:hAnsi="宋体"/>
          <w:color w:val="auto"/>
          <w:szCs w:val="21"/>
          <w:highlight w:val="none"/>
        </w:rPr>
        <w:t>规定的资料领取或购买磋商文件。</w:t>
      </w:r>
    </w:p>
    <w:p w14:paraId="094A8624">
      <w:pPr>
        <w:pStyle w:val="14"/>
        <w:adjustRightInd w:val="0"/>
        <w:snapToGrid w:val="0"/>
        <w:spacing w:line="360" w:lineRule="auto"/>
        <w:rPr>
          <w:rFonts w:hAnsi="宋体"/>
          <w:color w:val="auto"/>
          <w:highlight w:val="none"/>
        </w:rPr>
      </w:pPr>
      <w:r>
        <w:rPr>
          <w:rFonts w:hint="eastAsia" w:hAnsi="宋体"/>
          <w:b/>
          <w:color w:val="auto"/>
          <w:highlight w:val="none"/>
        </w:rPr>
        <w:t>12.</w:t>
      </w:r>
      <w:r>
        <w:rPr>
          <w:rFonts w:hint="eastAsia" w:hAnsi="宋体" w:cs="宋体"/>
          <w:b/>
          <w:color w:val="auto"/>
          <w:kern w:val="0"/>
          <w:highlight w:val="none"/>
        </w:rPr>
        <w:t>提交首次响应文件</w:t>
      </w:r>
      <w:r>
        <w:rPr>
          <w:rFonts w:hint="eastAsia" w:hAnsi="宋体"/>
          <w:b/>
          <w:color w:val="auto"/>
          <w:highlight w:val="none"/>
        </w:rPr>
        <w:t>的</w:t>
      </w:r>
      <w:r>
        <w:rPr>
          <w:rFonts w:hint="eastAsia" w:hAnsi="宋体" w:cs="宋体"/>
          <w:b/>
          <w:color w:val="auto"/>
          <w:kern w:val="0"/>
          <w:highlight w:val="none"/>
        </w:rPr>
        <w:t>截止</w:t>
      </w:r>
      <w:r>
        <w:rPr>
          <w:rFonts w:hint="eastAsia" w:hAnsi="宋体"/>
          <w:b/>
          <w:color w:val="auto"/>
          <w:highlight w:val="none"/>
        </w:rPr>
        <w:t>时间</w:t>
      </w:r>
    </w:p>
    <w:p w14:paraId="50F628C1">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12.1</w:t>
      </w:r>
      <w:r>
        <w:rPr>
          <w:rFonts w:hint="eastAsia" w:hAnsi="宋体" w:cs="宋体"/>
          <w:color w:val="auto"/>
          <w:kern w:val="0"/>
          <w:highlight w:val="none"/>
        </w:rPr>
        <w:t>供应商提交首次响应文件截止</w:t>
      </w:r>
      <w:r>
        <w:rPr>
          <w:rFonts w:hint="eastAsia" w:hAnsi="宋体"/>
          <w:color w:val="auto"/>
          <w:highlight w:val="none"/>
        </w:rPr>
        <w:t>时间见</w:t>
      </w:r>
      <w:r>
        <w:rPr>
          <w:rFonts w:hint="eastAsia" w:hAnsi="宋体"/>
          <w:b/>
          <w:color w:val="auto"/>
          <w:highlight w:val="none"/>
        </w:rPr>
        <w:t>磋商须知前附表</w:t>
      </w:r>
      <w:r>
        <w:rPr>
          <w:rFonts w:hint="eastAsia" w:hAnsi="宋体"/>
          <w:color w:val="auto"/>
          <w:highlight w:val="none"/>
        </w:rPr>
        <w:t>。</w:t>
      </w:r>
    </w:p>
    <w:p w14:paraId="7361614A">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13.磋商文件的澄清</w:t>
      </w:r>
      <w:r>
        <w:rPr>
          <w:rFonts w:hint="eastAsia" w:ascii="宋体" w:hAnsi="宋体"/>
          <w:b/>
          <w:color w:val="auto"/>
          <w:kern w:val="0"/>
          <w:szCs w:val="21"/>
          <w:highlight w:val="none"/>
          <w:lang w:val="zh-CN"/>
        </w:rPr>
        <w:t>或者</w:t>
      </w:r>
      <w:r>
        <w:rPr>
          <w:rFonts w:hint="eastAsia" w:ascii="宋体" w:hAnsi="宋体"/>
          <w:b/>
          <w:bCs/>
          <w:color w:val="auto"/>
          <w:szCs w:val="21"/>
          <w:highlight w:val="none"/>
        </w:rPr>
        <w:t>修改</w:t>
      </w:r>
    </w:p>
    <w:p w14:paraId="31649ED6">
      <w:pPr>
        <w:adjustRightInd w:val="0"/>
        <w:snapToGrid w:val="0"/>
        <w:spacing w:line="360" w:lineRule="auto"/>
        <w:ind w:right="-105" w:rightChars="-50" w:firstLine="420" w:firstLineChars="200"/>
        <w:rPr>
          <w:rFonts w:hint="eastAsia" w:ascii="宋体" w:hAnsi="宋体"/>
          <w:color w:val="auto"/>
          <w:szCs w:val="21"/>
          <w:highlight w:val="none"/>
        </w:rPr>
      </w:pPr>
    </w:p>
    <w:p w14:paraId="7B153B81">
      <w:pPr>
        <w:adjustRightInd w:val="0"/>
        <w:snapToGrid w:val="0"/>
        <w:spacing w:line="360" w:lineRule="auto"/>
        <w:ind w:right="-105" w:rightChars="-50" w:firstLine="420" w:firstLineChars="200"/>
        <w:rPr>
          <w:rFonts w:ascii="宋体" w:hAnsi="宋体" w:cs="宋体"/>
          <w:color w:val="auto"/>
          <w:kern w:val="0"/>
          <w:szCs w:val="21"/>
          <w:highlight w:val="none"/>
        </w:rPr>
      </w:pPr>
      <w:r>
        <w:rPr>
          <w:rFonts w:hint="eastAsia" w:ascii="宋体" w:hAnsi="宋体"/>
          <w:color w:val="auto"/>
          <w:szCs w:val="21"/>
          <w:highlight w:val="none"/>
        </w:rPr>
        <w:t>13.1在</w:t>
      </w:r>
      <w:r>
        <w:rPr>
          <w:rFonts w:hint="eastAsia" w:ascii="宋体" w:hAnsi="宋体" w:cs="宋体"/>
          <w:color w:val="auto"/>
          <w:kern w:val="0"/>
          <w:szCs w:val="21"/>
          <w:highlight w:val="none"/>
        </w:rPr>
        <w:t xml:space="preserve">提交首次响应文件截止之日前，采购人、采购代理机构可以对已发出的磋商文件进行必要的澄清或者修改。 </w:t>
      </w:r>
    </w:p>
    <w:p w14:paraId="5F378A85">
      <w:pPr>
        <w:adjustRightInd w:val="0"/>
        <w:snapToGrid w:val="0"/>
        <w:spacing w:line="360" w:lineRule="auto"/>
        <w:ind w:right="-105" w:rightChars="-50" w:firstLine="420" w:firstLineChars="200"/>
        <w:rPr>
          <w:rFonts w:ascii="宋体" w:hAnsi="宋体" w:cs="宋体"/>
          <w:color w:val="auto"/>
          <w:kern w:val="0"/>
          <w:szCs w:val="21"/>
          <w:highlight w:val="none"/>
        </w:rPr>
      </w:pPr>
      <w:r>
        <w:rPr>
          <w:rFonts w:hint="eastAsia" w:ascii="宋体" w:hAnsi="宋体"/>
          <w:color w:val="auto"/>
          <w:szCs w:val="21"/>
          <w:highlight w:val="none"/>
        </w:rPr>
        <w:t>13.2</w:t>
      </w:r>
      <w:r>
        <w:rPr>
          <w:rFonts w:hint="eastAsia" w:ascii="宋体" w:hAnsi="宋体" w:cs="宋体"/>
          <w:color w:val="auto"/>
          <w:kern w:val="0"/>
          <w:szCs w:val="21"/>
          <w:highlight w:val="none"/>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26DB9B31">
      <w:pPr>
        <w:pStyle w:val="14"/>
        <w:adjustRightInd w:val="0"/>
        <w:snapToGrid w:val="0"/>
        <w:spacing w:line="360" w:lineRule="auto"/>
        <w:ind w:firstLine="420" w:firstLineChars="200"/>
        <w:rPr>
          <w:color w:val="auto"/>
          <w:highlight w:val="none"/>
        </w:rPr>
      </w:pPr>
      <w:r>
        <w:rPr>
          <w:rFonts w:hint="eastAsia"/>
          <w:color w:val="auto"/>
          <w:highlight w:val="none"/>
        </w:rPr>
        <w:t>13.2</w:t>
      </w:r>
      <w:r>
        <w:rPr>
          <w:rFonts w:hint="eastAsia" w:hAnsi="宋体" w:cs="宋体"/>
          <w:color w:val="auto"/>
          <w:kern w:val="0"/>
          <w:highlight w:val="none"/>
        </w:rPr>
        <w:t>提交首次响应文件截止时间前对磋商文件澄清或者修改内容，为磋商文件的组成部分。</w:t>
      </w:r>
    </w:p>
    <w:p w14:paraId="34EF6231">
      <w:pPr>
        <w:adjustRightInd w:val="0"/>
        <w:snapToGrid w:val="0"/>
        <w:spacing w:line="360" w:lineRule="auto"/>
        <w:ind w:left="902" w:hanging="902" w:hangingChars="376"/>
        <w:rPr>
          <w:rFonts w:ascii="黑体" w:hAnsi="宋体" w:eastAsia="黑体"/>
          <w:color w:val="auto"/>
          <w:sz w:val="24"/>
          <w:highlight w:val="none"/>
        </w:rPr>
      </w:pPr>
      <w:r>
        <w:rPr>
          <w:rFonts w:hint="eastAsia" w:ascii="黑体" w:hAnsi="宋体" w:eastAsia="黑体"/>
          <w:color w:val="auto"/>
          <w:sz w:val="24"/>
          <w:highlight w:val="none"/>
        </w:rPr>
        <w:t>三、响应文件</w:t>
      </w:r>
    </w:p>
    <w:p w14:paraId="76009FA6">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14.一般要求</w:t>
      </w:r>
    </w:p>
    <w:p w14:paraId="3B1CC1E2">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14.1 供应商应仔细阅读磋商文件的所有内容，按磋商文件的要求编制响应文件，并保证所提供的全部资料的真实性，以使其响应文件对磋商文件做出实质性的响应。</w:t>
      </w:r>
    </w:p>
    <w:p w14:paraId="5746ECC4">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 xml:space="preserve">14.2 </w:t>
      </w:r>
      <w:r>
        <w:rPr>
          <w:rFonts w:hint="eastAsia" w:ascii="宋体" w:hAnsi="宋体"/>
          <w:color w:val="auto"/>
          <w:szCs w:val="21"/>
          <w:highlight w:val="none"/>
        </w:rPr>
        <w:t>供应商提交的响应文件及供应商与采购人或采购代理机构、磋商小组就有关磋商的所有来往函电均使用中文。供应商可以提交其它语言的资料，但应附中文注释，在有差异时以中文为准。</w:t>
      </w:r>
    </w:p>
    <w:p w14:paraId="1DB0BA85">
      <w:pPr>
        <w:pStyle w:val="14"/>
        <w:adjustRightInd w:val="0"/>
        <w:snapToGrid w:val="0"/>
        <w:spacing w:line="360" w:lineRule="auto"/>
        <w:ind w:firstLine="420" w:firstLineChars="200"/>
        <w:rPr>
          <w:rFonts w:hAnsi="宋体"/>
          <w:color w:val="auto"/>
          <w:highlight w:val="none"/>
        </w:rPr>
      </w:pPr>
      <w:r>
        <w:rPr>
          <w:rFonts w:hint="eastAsia" w:hAnsi="宋体"/>
          <w:bCs/>
          <w:color w:val="auto"/>
          <w:highlight w:val="none"/>
        </w:rPr>
        <w:t xml:space="preserve">14.3 </w:t>
      </w:r>
      <w:r>
        <w:rPr>
          <w:rFonts w:hint="eastAsia" w:hAnsi="宋体"/>
          <w:color w:val="auto"/>
          <w:highlight w:val="none"/>
        </w:rPr>
        <w:t>计量单位应使用我国法定计量单位，未列明时应默认为我国法定计量单位。</w:t>
      </w:r>
    </w:p>
    <w:p w14:paraId="08E0A16C">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14.4 响应文件应采用书面形式，电报、传真、电子邮件形式的响应文件概不接受。</w:t>
      </w:r>
    </w:p>
    <w:p w14:paraId="4F34F0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14.5 供应商应按磋商文件中提供的响应文件格式填写。</w:t>
      </w:r>
    </w:p>
    <w:p w14:paraId="296A58BE">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15.</w:t>
      </w:r>
      <w:r>
        <w:rPr>
          <w:rFonts w:hint="eastAsia" w:ascii="宋体" w:hAnsi="宋体"/>
          <w:b/>
          <w:color w:val="auto"/>
          <w:szCs w:val="21"/>
          <w:highlight w:val="none"/>
        </w:rPr>
        <w:t>响应文件</w:t>
      </w:r>
      <w:r>
        <w:rPr>
          <w:rFonts w:hint="eastAsia" w:ascii="宋体" w:hAnsi="宋体"/>
          <w:b/>
          <w:bCs/>
          <w:color w:val="auto"/>
          <w:szCs w:val="21"/>
          <w:highlight w:val="none"/>
        </w:rPr>
        <w:t>的组成</w:t>
      </w:r>
    </w:p>
    <w:p w14:paraId="008534D7">
      <w:pPr>
        <w:adjustRightInd w:val="0"/>
        <w:snapToGrid w:val="0"/>
        <w:spacing w:line="360" w:lineRule="auto"/>
        <w:ind w:firstLine="420" w:firstLineChars="200"/>
        <w:jc w:val="left"/>
        <w:outlineLvl w:val="0"/>
        <w:rPr>
          <w:rFonts w:ascii="宋体" w:hAnsi="宋体"/>
          <w:color w:val="auto"/>
          <w:szCs w:val="21"/>
          <w:highlight w:val="none"/>
        </w:rPr>
      </w:pPr>
      <w:bookmarkStart w:id="2" w:name="_Toc376"/>
      <w:r>
        <w:rPr>
          <w:rFonts w:hint="eastAsia" w:ascii="宋体" w:hAnsi="宋体"/>
          <w:color w:val="auto"/>
          <w:highlight w:val="none"/>
        </w:rPr>
        <w:t>15.1</w:t>
      </w:r>
      <w:r>
        <w:rPr>
          <w:rFonts w:hint="eastAsia" w:hAnsi="宋体"/>
          <w:color w:val="auto"/>
          <w:highlight w:val="none"/>
        </w:rPr>
        <w:t>响应文件包括下列内容：</w:t>
      </w:r>
      <w:bookmarkEnd w:id="2"/>
    </w:p>
    <w:p w14:paraId="5E84FD90">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（1）磋商响应声明</w:t>
      </w:r>
    </w:p>
    <w:p w14:paraId="344ADC8F">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（2）保证金（不需要提供）</w:t>
      </w:r>
    </w:p>
    <w:p w14:paraId="023BD303">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（3）供应商的资格证明文件</w:t>
      </w:r>
    </w:p>
    <w:p w14:paraId="76849487">
      <w:pPr>
        <w:pStyle w:val="14"/>
        <w:adjustRightInd w:val="0"/>
        <w:snapToGrid w:val="0"/>
        <w:spacing w:line="360" w:lineRule="auto"/>
        <w:ind w:firstLine="420" w:firstLineChars="200"/>
        <w:rPr>
          <w:rFonts w:hint="eastAsia" w:hAnsi="宋体" w:eastAsia="宋体"/>
          <w:color w:val="auto"/>
          <w:highlight w:val="none"/>
          <w:lang w:eastAsia="zh-CN"/>
        </w:rPr>
      </w:pPr>
      <w:r>
        <w:rPr>
          <w:rFonts w:hint="eastAsia" w:hAnsi="宋体"/>
          <w:color w:val="auto"/>
          <w:highlight w:val="none"/>
        </w:rPr>
        <w:t>（4）</w:t>
      </w:r>
      <w:r>
        <w:rPr>
          <w:rFonts w:hint="eastAsia" w:hAnsi="宋体"/>
          <w:color w:val="auto"/>
          <w:highlight w:val="none"/>
          <w:lang w:eastAsia="zh-CN"/>
        </w:rPr>
        <w:t>货物说明一览表</w:t>
      </w:r>
    </w:p>
    <w:p w14:paraId="7A5661DE">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（5）技术/商务响应与偏离表</w:t>
      </w:r>
    </w:p>
    <w:p w14:paraId="482F040B">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（6）提供享受政府采购政策的证明材料和清单表</w:t>
      </w:r>
    </w:p>
    <w:p w14:paraId="5EEB0FDD">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w:t>
      </w:r>
      <w:r>
        <w:rPr>
          <w:rFonts w:hint="eastAsia" w:hAnsi="宋体"/>
          <w:color w:val="auto"/>
          <w:highlight w:val="none"/>
          <w:lang w:val="en-US" w:eastAsia="zh-CN"/>
        </w:rPr>
        <w:t>7</w:t>
      </w:r>
      <w:r>
        <w:rPr>
          <w:rFonts w:hint="eastAsia" w:hAnsi="宋体"/>
          <w:color w:val="auto"/>
          <w:highlight w:val="none"/>
        </w:rPr>
        <w:t>）报价一览表及报价文件</w:t>
      </w:r>
    </w:p>
    <w:p w14:paraId="501EE89B">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w:t>
      </w:r>
      <w:r>
        <w:rPr>
          <w:rFonts w:hint="eastAsia" w:hAnsi="宋体"/>
          <w:color w:val="auto"/>
          <w:highlight w:val="none"/>
          <w:lang w:val="en-US" w:eastAsia="zh-CN"/>
        </w:rPr>
        <w:t>8</w:t>
      </w:r>
      <w:r>
        <w:rPr>
          <w:rFonts w:hint="eastAsia" w:hAnsi="宋体"/>
          <w:color w:val="auto"/>
          <w:highlight w:val="none"/>
        </w:rPr>
        <w:t>）供应商认为需提供的其他资料</w:t>
      </w:r>
    </w:p>
    <w:p w14:paraId="7DCAD325">
      <w:pPr>
        <w:pStyle w:val="14"/>
        <w:adjustRightInd w:val="0"/>
        <w:snapToGrid w:val="0"/>
        <w:spacing w:line="360" w:lineRule="auto"/>
        <w:ind w:firstLine="420" w:firstLineChars="200"/>
        <w:rPr>
          <w:rFonts w:hAnsi="宋体" w:cs="宋体"/>
          <w:color w:val="auto"/>
          <w:highlight w:val="none"/>
        </w:rPr>
      </w:pPr>
      <w:r>
        <w:rPr>
          <w:rFonts w:hint="eastAsia" w:hAnsi="宋体" w:cs="宋体"/>
          <w:color w:val="auto"/>
          <w:highlight w:val="none"/>
        </w:rPr>
        <w:t>（</w:t>
      </w:r>
      <w:r>
        <w:rPr>
          <w:rFonts w:hint="eastAsia" w:hAnsi="宋体" w:cs="宋体"/>
          <w:color w:val="auto"/>
          <w:highlight w:val="none"/>
          <w:lang w:val="en-US" w:eastAsia="zh-CN"/>
        </w:rPr>
        <w:t>9</w:t>
      </w:r>
      <w:r>
        <w:rPr>
          <w:rFonts w:hint="eastAsia" w:hAnsi="宋体" w:cs="宋体"/>
          <w:color w:val="auto"/>
          <w:highlight w:val="none"/>
        </w:rPr>
        <w:t>）最后报价</w:t>
      </w:r>
    </w:p>
    <w:p w14:paraId="46F12DE8">
      <w:pPr>
        <w:adjustRightInd w:val="0"/>
        <w:snapToGrid w:val="0"/>
        <w:spacing w:line="360" w:lineRule="auto"/>
        <w:ind w:firstLine="420" w:firstLineChars="200"/>
        <w:rPr>
          <w:rFonts w:hAnsi="宋体"/>
          <w:color w:val="auto"/>
          <w:highlight w:val="none"/>
        </w:rPr>
      </w:pPr>
      <w:r>
        <w:rPr>
          <w:rFonts w:hint="eastAsia" w:ascii="宋体" w:hAnsi="宋体"/>
          <w:color w:val="auto"/>
          <w:highlight w:val="none"/>
        </w:rPr>
        <w:t>15.2在磋商过程中，</w:t>
      </w:r>
      <w:r>
        <w:rPr>
          <w:rFonts w:hint="eastAsia" w:ascii="宋体" w:hAnsi="宋体"/>
          <w:color w:val="auto"/>
          <w:szCs w:val="21"/>
          <w:highlight w:val="none"/>
        </w:rPr>
        <w:t>供应商</w:t>
      </w:r>
      <w:r>
        <w:rPr>
          <w:rFonts w:hint="eastAsia" w:ascii="宋体" w:hAnsi="宋体"/>
          <w:color w:val="auto"/>
          <w:highlight w:val="none"/>
        </w:rPr>
        <w:t>根据</w:t>
      </w:r>
      <w:r>
        <w:rPr>
          <w:rFonts w:hint="eastAsia" w:ascii="宋体" w:hAnsi="宋体" w:cs="宋体"/>
          <w:color w:val="auto"/>
          <w:kern w:val="0"/>
          <w:szCs w:val="21"/>
          <w:highlight w:val="none"/>
        </w:rPr>
        <w:t>磋商小组</w:t>
      </w:r>
      <w:r>
        <w:rPr>
          <w:rFonts w:hint="eastAsia" w:ascii="宋体" w:hAnsi="宋体"/>
          <w:bCs/>
          <w:color w:val="auto"/>
          <w:szCs w:val="21"/>
          <w:highlight w:val="none"/>
        </w:rPr>
        <w:t>书面形式要求</w:t>
      </w:r>
      <w:r>
        <w:rPr>
          <w:rFonts w:hint="eastAsia" w:ascii="宋体" w:hAnsi="宋体" w:cs="宋体"/>
          <w:color w:val="auto"/>
          <w:kern w:val="0"/>
          <w:szCs w:val="21"/>
          <w:highlight w:val="none"/>
        </w:rPr>
        <w:t>提交的</w:t>
      </w:r>
      <w:r>
        <w:rPr>
          <w:rFonts w:hint="eastAsia" w:hAnsi="宋体"/>
          <w:color w:val="auto"/>
          <w:highlight w:val="none"/>
        </w:rPr>
        <w:t>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w:t>
      </w:r>
      <w:r>
        <w:rPr>
          <w:rFonts w:hint="eastAsia" w:hAnsi="宋体"/>
          <w:color w:val="auto"/>
          <w:highlight w:val="none"/>
        </w:rPr>
        <w:t>最后报价)是</w:t>
      </w:r>
      <w:r>
        <w:rPr>
          <w:rFonts w:hint="eastAsia" w:ascii="宋体" w:hAnsi="宋体"/>
          <w:color w:val="auto"/>
          <w:szCs w:val="21"/>
          <w:highlight w:val="none"/>
        </w:rPr>
        <w:t>响应文件</w:t>
      </w:r>
      <w:r>
        <w:rPr>
          <w:rFonts w:hint="eastAsia" w:hAnsi="宋体"/>
          <w:color w:val="auto"/>
          <w:highlight w:val="none"/>
        </w:rPr>
        <w:t>的有效组成部分。</w:t>
      </w:r>
    </w:p>
    <w:p w14:paraId="13E0E60C">
      <w:pPr>
        <w:adjustRightInd w:val="0"/>
        <w:snapToGrid w:val="0"/>
        <w:spacing w:line="360" w:lineRule="auto"/>
        <w:ind w:firstLine="420" w:firstLineChars="200"/>
        <w:rPr>
          <w:rFonts w:hAnsi="宋体"/>
          <w:b/>
          <w:color w:val="auto"/>
          <w:highlight w:val="none"/>
        </w:rPr>
      </w:pPr>
      <w:r>
        <w:rPr>
          <w:rFonts w:hint="eastAsia" w:ascii="宋体" w:hAnsi="宋体"/>
          <w:color w:val="auto"/>
          <w:highlight w:val="none"/>
        </w:rPr>
        <w:t>15.3</w:t>
      </w:r>
      <w:r>
        <w:rPr>
          <w:rFonts w:hint="eastAsia" w:ascii="宋体" w:hAnsi="宋体" w:cs="宋体"/>
          <w:color w:val="auto"/>
          <w:kern w:val="0"/>
          <w:szCs w:val="21"/>
          <w:highlight w:val="none"/>
        </w:rPr>
        <w:t>磋商文件规定可能发生实质性变动的，供应商应当在</w:t>
      </w:r>
      <w:r>
        <w:rPr>
          <w:rFonts w:hint="eastAsia" w:hAnsi="宋体"/>
          <w:color w:val="auto"/>
          <w:highlight w:val="none"/>
        </w:rPr>
        <w:t>《技术/商务响应与偏离表》中对应内容注明。</w:t>
      </w:r>
    </w:p>
    <w:p w14:paraId="758E056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15.4</w:t>
      </w:r>
      <w:r>
        <w:rPr>
          <w:rFonts w:hint="eastAsia" w:ascii="宋体" w:hAnsi="宋体"/>
          <w:color w:val="auto"/>
          <w:szCs w:val="21"/>
          <w:highlight w:val="none"/>
        </w:rPr>
        <w:t>根据《政府采购法》第四十二条的规定，供应商无论成交与否，其响应文件不予退还。</w:t>
      </w:r>
    </w:p>
    <w:p w14:paraId="31CC0243">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16.报价</w:t>
      </w:r>
    </w:p>
    <w:p w14:paraId="0E9FFCE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16.1供应商应当根据磋商文件要求和范围，以</w:t>
      </w:r>
      <w:r>
        <w:rPr>
          <w:rFonts w:hint="eastAsia" w:ascii="宋体" w:hAnsi="宋体"/>
          <w:bCs/>
          <w:color w:val="auto"/>
          <w:szCs w:val="21"/>
          <w:highlight w:val="none"/>
        </w:rPr>
        <w:t>人民币</w:t>
      </w:r>
      <w:r>
        <w:rPr>
          <w:rFonts w:hint="eastAsia" w:ascii="宋体" w:hAnsi="宋体"/>
          <w:color w:val="auto"/>
          <w:szCs w:val="21"/>
          <w:highlight w:val="none"/>
        </w:rPr>
        <w:t>报价，以元为单位，保留小数点后两位。</w:t>
      </w:r>
    </w:p>
    <w:p w14:paraId="271A13D2">
      <w:pPr>
        <w:pStyle w:val="39"/>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16.2供应商应按第五章 响应文件组成格式填写。</w:t>
      </w:r>
    </w:p>
    <w:p w14:paraId="13D311C8">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16.3响应文件中标明的价格在合同执行过程中是固定不变的，不得以任何理由予以变更。以可变动价格提交的报价将被认为是非实质响应而被拒绝。</w:t>
      </w:r>
    </w:p>
    <w:p w14:paraId="3605EE8B">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16.4</w:t>
      </w:r>
      <w:r>
        <w:rPr>
          <w:rFonts w:hint="eastAsia" w:hAnsi="宋体" w:cs="宋体"/>
          <w:color w:val="auto"/>
          <w:kern w:val="0"/>
          <w:highlight w:val="none"/>
          <w:lang w:val="zh-CN"/>
        </w:rPr>
        <w:t>供应商</w:t>
      </w:r>
      <w:r>
        <w:rPr>
          <w:rFonts w:hint="eastAsia" w:hAnsi="宋体"/>
          <w:color w:val="auto"/>
          <w:highlight w:val="none"/>
        </w:rPr>
        <w:t>的报价不得超过采购项目预算，采购项目预算或其计算方法见</w:t>
      </w:r>
      <w:r>
        <w:rPr>
          <w:rFonts w:hint="eastAsia" w:hAnsi="宋体"/>
          <w:b/>
          <w:color w:val="auto"/>
          <w:highlight w:val="none"/>
        </w:rPr>
        <w:t>磋商须知前附表</w:t>
      </w:r>
      <w:r>
        <w:rPr>
          <w:rFonts w:hint="eastAsia" w:hAnsi="宋体"/>
          <w:color w:val="auto"/>
          <w:highlight w:val="none"/>
        </w:rPr>
        <w:t>。</w:t>
      </w:r>
    </w:p>
    <w:p w14:paraId="36CA0FB6">
      <w:pPr>
        <w:pStyle w:val="14"/>
        <w:adjustRightInd w:val="0"/>
        <w:snapToGrid w:val="0"/>
        <w:spacing w:line="360" w:lineRule="auto"/>
        <w:rPr>
          <w:b/>
          <w:color w:val="auto"/>
          <w:highlight w:val="none"/>
        </w:rPr>
      </w:pPr>
      <w:r>
        <w:rPr>
          <w:rFonts w:hint="eastAsia"/>
          <w:b/>
          <w:color w:val="auto"/>
          <w:highlight w:val="none"/>
        </w:rPr>
        <w:t>17.供应商符合磋商文件规定的证明文件</w:t>
      </w:r>
    </w:p>
    <w:p w14:paraId="12018F64">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17.1供应商应提交满足本章第3.1款规定的资格条件要求的证明文件,该证明文件作为响应文件的一部分。</w:t>
      </w:r>
    </w:p>
    <w:p w14:paraId="632EC419">
      <w:pP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17.2如果供应商为联合体，则应提交联合体各方资格证明文件、联合体协议。否则，在评审时将其视为无效响应。</w:t>
      </w:r>
    </w:p>
    <w:p w14:paraId="3A8F6514">
      <w:pPr>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17.3 除</w:t>
      </w:r>
      <w:r>
        <w:rPr>
          <w:rFonts w:hint="eastAsia" w:ascii="宋体" w:hAnsi="宋体"/>
          <w:b/>
          <w:color w:val="auto"/>
          <w:szCs w:val="21"/>
          <w:highlight w:val="none"/>
        </w:rPr>
        <w:t>磋商须知前附表</w:t>
      </w:r>
      <w:r>
        <w:rPr>
          <w:rFonts w:hint="eastAsia" w:ascii="宋体" w:hAnsi="宋体"/>
          <w:color w:val="auto"/>
          <w:szCs w:val="21"/>
          <w:highlight w:val="none"/>
        </w:rPr>
        <w:t>另有规定外，供应商提供的货物及服务不是供应商制造或拥有的，则必须提供经销、或代理采购货物、或采购货物提供售后服务的证明文件。</w:t>
      </w:r>
    </w:p>
    <w:p w14:paraId="5B8A89FD">
      <w:pPr>
        <w:adjustRightInd w:val="0"/>
        <w:snapToGrid w:val="0"/>
        <w:spacing w:before="120" w:beforeLines="50" w:line="360" w:lineRule="auto"/>
        <w:jc w:val="left"/>
        <w:rPr>
          <w:rFonts w:ascii="宋体" w:hAnsi="宋体"/>
          <w:b/>
          <w:color w:val="auto"/>
          <w:szCs w:val="21"/>
          <w:highlight w:val="none"/>
        </w:rPr>
      </w:pPr>
      <w:r>
        <w:rPr>
          <w:rFonts w:hint="eastAsia" w:ascii="宋体" w:hAnsi="宋体"/>
          <w:b/>
          <w:color w:val="auto"/>
          <w:szCs w:val="21"/>
          <w:highlight w:val="none"/>
        </w:rPr>
        <w:t>18．样品提供</w:t>
      </w:r>
    </w:p>
    <w:p w14:paraId="499D9C29">
      <w:pPr>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18.1 </w:t>
      </w:r>
      <w:r>
        <w:rPr>
          <w:rFonts w:hint="eastAsia" w:ascii="宋体" w:hAnsi="宋体"/>
          <w:b/>
          <w:color w:val="auto"/>
          <w:highlight w:val="none"/>
        </w:rPr>
        <w:t>磋商须知前附表</w:t>
      </w:r>
      <w:r>
        <w:rPr>
          <w:rFonts w:hint="eastAsia" w:ascii="宋体" w:hAnsi="宋体"/>
          <w:color w:val="auto"/>
          <w:szCs w:val="21"/>
          <w:highlight w:val="none"/>
        </w:rPr>
        <w:t>规定</w:t>
      </w:r>
      <w:r>
        <w:rPr>
          <w:rFonts w:hint="eastAsia" w:ascii="宋体" w:hAnsi="宋体"/>
          <w:bCs/>
          <w:color w:val="auto"/>
          <w:highlight w:val="none"/>
        </w:rPr>
        <w:t>供应商</w:t>
      </w:r>
      <w:r>
        <w:rPr>
          <w:rFonts w:hint="eastAsia" w:ascii="宋体" w:hAnsi="宋体"/>
          <w:color w:val="auto"/>
          <w:szCs w:val="21"/>
          <w:highlight w:val="none"/>
        </w:rPr>
        <w:t>在</w:t>
      </w:r>
      <w:r>
        <w:rPr>
          <w:rFonts w:hint="eastAsia" w:ascii="宋体" w:hAnsi="宋体"/>
          <w:color w:val="auto"/>
          <w:highlight w:val="none"/>
        </w:rPr>
        <w:t>磋商</w:t>
      </w:r>
      <w:r>
        <w:rPr>
          <w:rFonts w:hint="eastAsia" w:ascii="宋体" w:hAnsi="宋体"/>
          <w:color w:val="auto"/>
          <w:szCs w:val="21"/>
          <w:highlight w:val="none"/>
        </w:rPr>
        <w:t>时提供样品的，</w:t>
      </w:r>
      <w:r>
        <w:rPr>
          <w:rFonts w:hint="eastAsia" w:ascii="宋体" w:hAnsi="宋体"/>
          <w:bCs/>
          <w:color w:val="auto"/>
          <w:highlight w:val="none"/>
        </w:rPr>
        <w:t>供应商</w:t>
      </w:r>
      <w:r>
        <w:rPr>
          <w:rFonts w:ascii="宋体" w:hAnsi="宋体"/>
          <w:color w:val="auto"/>
          <w:szCs w:val="21"/>
          <w:highlight w:val="none"/>
        </w:rPr>
        <w:t>有以下情形之一的</w:t>
      </w:r>
      <w:r>
        <w:rPr>
          <w:rFonts w:hint="eastAsia" w:ascii="宋体" w:hAnsi="宋体"/>
          <w:color w:val="auto"/>
          <w:szCs w:val="21"/>
          <w:highlight w:val="none"/>
        </w:rPr>
        <w:t>，在评审时将其视为无效响应。</w:t>
      </w:r>
    </w:p>
    <w:p w14:paraId="39C1DE66">
      <w:pPr>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（1）未在</w:t>
      </w:r>
      <w:r>
        <w:rPr>
          <w:rFonts w:hint="eastAsia" w:ascii="宋体" w:hAnsi="宋体"/>
          <w:b/>
          <w:color w:val="auto"/>
          <w:highlight w:val="none"/>
        </w:rPr>
        <w:t>磋商须知前附表</w:t>
      </w:r>
      <w:r>
        <w:rPr>
          <w:rFonts w:hint="eastAsia" w:ascii="宋体" w:hAnsi="宋体"/>
          <w:color w:val="auto"/>
          <w:szCs w:val="21"/>
          <w:highlight w:val="none"/>
        </w:rPr>
        <w:t>规定的提交时间、地点提交</w:t>
      </w:r>
      <w:r>
        <w:rPr>
          <w:rFonts w:ascii="宋体" w:hAnsi="宋体"/>
          <w:color w:val="auto"/>
          <w:szCs w:val="21"/>
          <w:highlight w:val="none"/>
        </w:rPr>
        <w:t>的</w:t>
      </w:r>
      <w:r>
        <w:rPr>
          <w:rFonts w:hint="eastAsia" w:ascii="宋体" w:hAnsi="宋体"/>
          <w:color w:val="auto"/>
          <w:szCs w:val="21"/>
          <w:highlight w:val="none"/>
        </w:rPr>
        <w:t>；</w:t>
      </w:r>
    </w:p>
    <w:p w14:paraId="75E8D7CF">
      <w:pPr>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highlight w:val="none"/>
        </w:rPr>
        <w:t>供应商</w:t>
      </w:r>
      <w:r>
        <w:rPr>
          <w:rFonts w:hint="eastAsia" w:ascii="宋体" w:hAnsi="宋体"/>
          <w:color w:val="auto"/>
          <w:szCs w:val="21"/>
          <w:highlight w:val="none"/>
        </w:rPr>
        <w:t>提供的样品与响应文件中提供样品的型号、规格不一致</w:t>
      </w:r>
      <w:r>
        <w:rPr>
          <w:rFonts w:ascii="宋体" w:hAnsi="宋体"/>
          <w:color w:val="auto"/>
          <w:szCs w:val="21"/>
          <w:highlight w:val="none"/>
        </w:rPr>
        <w:t>的</w:t>
      </w:r>
      <w:r>
        <w:rPr>
          <w:rFonts w:hint="eastAsia" w:ascii="宋体" w:hAnsi="宋体"/>
          <w:color w:val="auto"/>
          <w:szCs w:val="21"/>
          <w:highlight w:val="none"/>
        </w:rPr>
        <w:t>。</w:t>
      </w:r>
    </w:p>
    <w:p w14:paraId="1DE3B020">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19.磋商保证金</w:t>
      </w:r>
    </w:p>
    <w:p w14:paraId="7F864CDA">
      <w:pPr>
        <w:pStyle w:val="14"/>
        <w:adjustRightInd w:val="0"/>
        <w:snapToGrid w:val="0"/>
        <w:spacing w:line="360" w:lineRule="auto"/>
        <w:ind w:firstLine="420" w:firstLineChars="200"/>
        <w:rPr>
          <w:rFonts w:hAnsi="宋体"/>
          <w:bCs/>
          <w:color w:val="auto"/>
          <w:highlight w:val="none"/>
        </w:rPr>
      </w:pPr>
      <w:r>
        <w:rPr>
          <w:rFonts w:hint="eastAsia" w:hAnsi="宋体"/>
          <w:color w:val="auto"/>
          <w:highlight w:val="none"/>
        </w:rPr>
        <w:t>19.1</w:t>
      </w:r>
      <w:r>
        <w:rPr>
          <w:rFonts w:hint="eastAsia" w:hAnsi="宋体"/>
          <w:b/>
          <w:color w:val="auto"/>
          <w:highlight w:val="none"/>
        </w:rPr>
        <w:t>磋商须知前附表</w:t>
      </w:r>
      <w:r>
        <w:rPr>
          <w:rFonts w:hint="eastAsia" w:hAnsi="宋体"/>
          <w:color w:val="auto"/>
          <w:highlight w:val="none"/>
        </w:rPr>
        <w:t>规定交纳磋商</w:t>
      </w:r>
      <w:r>
        <w:rPr>
          <w:rFonts w:hint="eastAsia" w:hAnsi="宋体"/>
          <w:bCs/>
          <w:color w:val="auto"/>
          <w:highlight w:val="none"/>
        </w:rPr>
        <w:t>保证金的</w:t>
      </w:r>
      <w:r>
        <w:rPr>
          <w:rFonts w:hint="eastAsia" w:hAnsi="宋体"/>
          <w:color w:val="auto"/>
          <w:highlight w:val="none"/>
        </w:rPr>
        <w:t>，应按</w:t>
      </w:r>
      <w:r>
        <w:rPr>
          <w:rFonts w:hint="eastAsia" w:hAnsi="宋体"/>
          <w:b/>
          <w:color w:val="auto"/>
          <w:highlight w:val="none"/>
        </w:rPr>
        <w:t>磋商须知前附表</w:t>
      </w:r>
      <w:r>
        <w:rPr>
          <w:rFonts w:hint="eastAsia" w:hAnsi="宋体"/>
          <w:color w:val="auto"/>
          <w:highlight w:val="none"/>
        </w:rPr>
        <w:t>规定的磋商</w:t>
      </w:r>
      <w:r>
        <w:rPr>
          <w:rFonts w:hint="eastAsia" w:hAnsi="宋体"/>
          <w:bCs/>
          <w:color w:val="auto"/>
          <w:highlight w:val="none"/>
        </w:rPr>
        <w:t>保证金形式交纳，不得以现金方式交纳</w:t>
      </w:r>
      <w:r>
        <w:rPr>
          <w:rFonts w:hint="eastAsia" w:hAnsi="宋体"/>
          <w:color w:val="auto"/>
          <w:highlight w:val="none"/>
        </w:rPr>
        <w:t>，在</w:t>
      </w:r>
      <w:r>
        <w:rPr>
          <w:rFonts w:hint="eastAsia" w:hAnsi="宋体" w:cs="宋体"/>
          <w:color w:val="auto"/>
          <w:kern w:val="0"/>
          <w:highlight w:val="none"/>
        </w:rPr>
        <w:t>提交首次响应文件截止时间</w:t>
      </w:r>
      <w:r>
        <w:rPr>
          <w:rFonts w:hint="eastAsia" w:hAnsi="宋体"/>
          <w:color w:val="auto"/>
          <w:highlight w:val="none"/>
        </w:rPr>
        <w:t>前，</w:t>
      </w:r>
      <w:r>
        <w:rPr>
          <w:rFonts w:hint="eastAsia" w:hAnsi="宋体"/>
          <w:bCs/>
          <w:color w:val="auto"/>
          <w:highlight w:val="none"/>
        </w:rPr>
        <w:t>向采购代理机构交纳不超过</w:t>
      </w:r>
      <w:r>
        <w:rPr>
          <w:rFonts w:hint="eastAsia" w:hAnsi="宋体" w:cs="宋体"/>
          <w:color w:val="auto"/>
          <w:kern w:val="0"/>
          <w:highlight w:val="none"/>
          <w:lang w:val="zh-CN"/>
        </w:rPr>
        <w:t>采购项目预算2﹪</w:t>
      </w:r>
      <w:r>
        <w:rPr>
          <w:rFonts w:hint="eastAsia" w:hAnsi="宋体"/>
          <w:bCs/>
          <w:color w:val="auto"/>
          <w:highlight w:val="none"/>
        </w:rPr>
        <w:t>的磋商保证金(数额采用四舍五入，计算至元)</w:t>
      </w:r>
      <w:r>
        <w:rPr>
          <w:rFonts w:hint="eastAsia" w:hAnsi="宋体"/>
          <w:color w:val="auto"/>
          <w:highlight w:val="none"/>
        </w:rPr>
        <w:t>。磋商</w:t>
      </w:r>
      <w:r>
        <w:rPr>
          <w:rFonts w:hint="eastAsia" w:hAnsi="宋体"/>
          <w:bCs/>
          <w:color w:val="auto"/>
          <w:highlight w:val="none"/>
        </w:rPr>
        <w:t>保证金有效期应当与</w:t>
      </w:r>
      <w:r>
        <w:rPr>
          <w:rFonts w:hint="eastAsia" w:hAnsi="宋体"/>
          <w:color w:val="auto"/>
          <w:highlight w:val="none"/>
        </w:rPr>
        <w:t>本章第20.1</w:t>
      </w:r>
      <w:r>
        <w:rPr>
          <w:rFonts w:hint="eastAsia" w:hAnsi="宋体" w:cs="宋体"/>
          <w:color w:val="auto"/>
          <w:kern w:val="0"/>
          <w:highlight w:val="none"/>
          <w:lang w:val="zh-CN"/>
        </w:rPr>
        <w:t>款</w:t>
      </w:r>
      <w:r>
        <w:rPr>
          <w:rFonts w:hint="eastAsia" w:hAnsi="宋体"/>
          <w:color w:val="auto"/>
          <w:highlight w:val="none"/>
        </w:rPr>
        <w:t>规定的</w:t>
      </w:r>
      <w:r>
        <w:rPr>
          <w:rFonts w:hint="eastAsia" w:hAnsi="宋体"/>
          <w:bCs/>
          <w:color w:val="auto"/>
          <w:highlight w:val="none"/>
        </w:rPr>
        <w:t>响应文件有效期一致。</w:t>
      </w:r>
    </w:p>
    <w:p w14:paraId="2387E56D">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19.2</w:t>
      </w:r>
      <w:r>
        <w:rPr>
          <w:rFonts w:hint="eastAsia" w:ascii="宋体" w:hAnsi="宋体" w:cs="宋体"/>
          <w:color w:val="auto"/>
          <w:kern w:val="0"/>
          <w:szCs w:val="21"/>
          <w:highlight w:val="none"/>
          <w:lang w:val="zh-CN"/>
        </w:rPr>
        <w:t>供应商为联合体的，可以由联合体中的一方或者共同交纳磋商保证金，其交纳的磋商保证金，对联合体各方均具有约束力。</w:t>
      </w:r>
    </w:p>
    <w:p w14:paraId="6DB439D4">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19.3供应商未按照磋商文件要求提交磋商保证金的，响应无效。</w:t>
      </w:r>
    </w:p>
    <w:p w14:paraId="6F5BA972">
      <w:pPr>
        <w:pStyle w:val="14"/>
        <w:tabs>
          <w:tab w:val="left" w:pos="6300"/>
        </w:tabs>
        <w:adjustRightInd w:val="0"/>
        <w:snapToGrid w:val="0"/>
        <w:spacing w:line="360" w:lineRule="auto"/>
        <w:ind w:firstLine="420" w:firstLineChars="200"/>
        <w:rPr>
          <w:rFonts w:hAnsi="宋体"/>
          <w:color w:val="auto"/>
          <w:highlight w:val="none"/>
        </w:rPr>
      </w:pPr>
      <w:r>
        <w:rPr>
          <w:rFonts w:hint="eastAsia" w:hAnsi="宋体"/>
          <w:color w:val="auto"/>
          <w:highlight w:val="none"/>
        </w:rPr>
        <w:t>19.4采购代理机构在成交通知书发出后5个工作日内退还未成交供应商的磋商保证金；在采购合同签定后5个工作日内退还成交供应商的磋商保证金，但因供应商自身原因导致无法及时退还的除外。</w:t>
      </w:r>
    </w:p>
    <w:p w14:paraId="10491A31">
      <w:pPr>
        <w:pStyle w:val="14"/>
        <w:adjustRightInd w:val="0"/>
        <w:snapToGrid w:val="0"/>
        <w:spacing w:line="360" w:lineRule="auto"/>
        <w:ind w:firstLine="420" w:firstLineChars="200"/>
        <w:rPr>
          <w:color w:val="auto"/>
          <w:kern w:val="0"/>
          <w:highlight w:val="none"/>
        </w:rPr>
      </w:pPr>
      <w:r>
        <w:rPr>
          <w:rFonts w:hint="eastAsia"/>
          <w:color w:val="auto"/>
          <w:highlight w:val="none"/>
        </w:rPr>
        <w:t xml:space="preserve">19.5 </w:t>
      </w:r>
      <w:r>
        <w:rPr>
          <w:rFonts w:hint="eastAsia"/>
          <w:color w:val="auto"/>
          <w:kern w:val="0"/>
          <w:highlight w:val="none"/>
        </w:rPr>
        <w:t>有下列情形之一的，磋商保证金不予退还，并上缴本级财政国库：</w:t>
      </w:r>
    </w:p>
    <w:p w14:paraId="1D239A99">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（1）供应商在提交首次响应文件截止时间后撤回响应文件的；</w:t>
      </w:r>
    </w:p>
    <w:p w14:paraId="67DEF059">
      <w:pPr>
        <w:widowControl/>
        <w:adjustRightInd w:val="0"/>
        <w:snapToGrid w:val="0"/>
        <w:spacing w:line="360" w:lineRule="auto"/>
        <w:ind w:firstLine="420" w:firstLineChars="200"/>
        <w:jc w:val="left"/>
        <w:rPr>
          <w:color w:val="auto"/>
          <w:kern w:val="0"/>
          <w:highlight w:val="none"/>
        </w:rPr>
      </w:pPr>
      <w:r>
        <w:rPr>
          <w:rFonts w:hint="eastAsia"/>
          <w:color w:val="auto"/>
          <w:kern w:val="0"/>
          <w:highlight w:val="none"/>
        </w:rPr>
        <w:t>（2）供应商在响应文件中提供虚假资料的；</w:t>
      </w:r>
    </w:p>
    <w:p w14:paraId="537C7172">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color w:val="auto"/>
          <w:kern w:val="0"/>
          <w:highlight w:val="none"/>
        </w:rPr>
        <w:t>（3）</w:t>
      </w:r>
      <w:r>
        <w:rPr>
          <w:rFonts w:hint="eastAsia"/>
          <w:color w:val="auto"/>
          <w:highlight w:val="none"/>
        </w:rPr>
        <w:t>确定成交结果后，无正当理由放弃成交资格的；</w:t>
      </w:r>
    </w:p>
    <w:p w14:paraId="65DAB649">
      <w:pPr>
        <w:widowControl/>
        <w:adjustRightInd w:val="0"/>
        <w:snapToGrid w:val="0"/>
        <w:spacing w:line="360" w:lineRule="auto"/>
        <w:ind w:firstLine="525" w:firstLineChars="250"/>
        <w:jc w:val="left"/>
        <w:rPr>
          <w:rFonts w:ascii="宋体" w:hAnsi="宋体" w:cs="宋体"/>
          <w:color w:val="auto"/>
          <w:kern w:val="0"/>
          <w:szCs w:val="21"/>
          <w:highlight w:val="none"/>
        </w:rPr>
      </w:pPr>
      <w:r>
        <w:rPr>
          <w:rFonts w:hint="eastAsia" w:ascii="宋体" w:hAnsi="宋体" w:cs="宋体"/>
          <w:color w:val="auto"/>
          <w:kern w:val="0"/>
          <w:szCs w:val="21"/>
          <w:highlight w:val="none"/>
        </w:rPr>
        <w:t>(4) 除因不可抗力或磋商文件认可的情形以外，成交供应商不与采购人签订合同的；</w:t>
      </w:r>
    </w:p>
    <w:p w14:paraId="1FB7CB75">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（5）供应商与采购人、其他供应商或者采购代理机构恶意串通的；</w:t>
      </w:r>
    </w:p>
    <w:p w14:paraId="3E7C7B29">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（6）磋商文件规定的其他情形。</w:t>
      </w:r>
    </w:p>
    <w:p w14:paraId="498E9E9A">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20.</w:t>
      </w:r>
      <w:r>
        <w:rPr>
          <w:rFonts w:hint="eastAsia" w:hAnsi="宋体"/>
          <w:b/>
          <w:color w:val="auto"/>
          <w:highlight w:val="none"/>
        </w:rPr>
        <w:t>响应文件</w:t>
      </w:r>
      <w:r>
        <w:rPr>
          <w:rFonts w:hint="eastAsia" w:ascii="宋体" w:hAnsi="宋体"/>
          <w:b/>
          <w:color w:val="auto"/>
          <w:szCs w:val="21"/>
          <w:highlight w:val="none"/>
        </w:rPr>
        <w:t>有效期</w:t>
      </w:r>
    </w:p>
    <w:p w14:paraId="7D0C05E8">
      <w:pPr>
        <w:adjustRightInd w:val="0"/>
        <w:snapToGrid w:val="0"/>
        <w:spacing w:line="360" w:lineRule="auto"/>
        <w:ind w:firstLine="420" w:firstLineChars="200"/>
        <w:jc w:val="left"/>
        <w:rPr>
          <w:rFonts w:hAnsi="宋体"/>
          <w:color w:val="auto"/>
          <w:highlight w:val="none"/>
        </w:rPr>
      </w:pPr>
      <w:r>
        <w:rPr>
          <w:rFonts w:hint="eastAsia" w:ascii="宋体" w:hAnsi="宋体"/>
          <w:color w:val="auto"/>
          <w:highlight w:val="none"/>
        </w:rPr>
        <w:t>20.1响应文件</w:t>
      </w:r>
      <w:r>
        <w:rPr>
          <w:rFonts w:hint="eastAsia" w:ascii="宋体" w:hAnsi="宋体"/>
          <w:color w:val="auto"/>
          <w:szCs w:val="21"/>
          <w:highlight w:val="none"/>
        </w:rPr>
        <w:t>有效期见</w:t>
      </w:r>
      <w:r>
        <w:rPr>
          <w:rFonts w:hint="eastAsia" w:ascii="宋体" w:hAnsi="宋体"/>
          <w:b/>
          <w:color w:val="auto"/>
          <w:highlight w:val="none"/>
        </w:rPr>
        <w:t>磋商须知前附表</w:t>
      </w:r>
      <w:r>
        <w:rPr>
          <w:rFonts w:hint="eastAsia" w:ascii="宋体" w:hAnsi="宋体"/>
          <w:color w:val="auto"/>
          <w:szCs w:val="21"/>
          <w:highlight w:val="none"/>
        </w:rPr>
        <w:t>，在此期间</w:t>
      </w:r>
      <w:r>
        <w:rPr>
          <w:rFonts w:hint="eastAsia" w:ascii="宋体" w:hAnsi="宋体"/>
          <w:color w:val="auto"/>
          <w:highlight w:val="none"/>
        </w:rPr>
        <w:t>响应</w:t>
      </w:r>
      <w:r>
        <w:rPr>
          <w:rFonts w:hint="eastAsia" w:ascii="宋体" w:hAnsi="宋体"/>
          <w:color w:val="auto"/>
          <w:szCs w:val="21"/>
          <w:highlight w:val="none"/>
        </w:rPr>
        <w:t>文件对供应商具有法律约束力，</w:t>
      </w:r>
      <w:r>
        <w:rPr>
          <w:rFonts w:hint="eastAsia" w:ascii="宋体" w:hAnsi="宋体" w:cs="Arial"/>
          <w:color w:val="auto"/>
          <w:highlight w:val="none"/>
        </w:rPr>
        <w:t>从</w:t>
      </w:r>
      <w:r>
        <w:rPr>
          <w:rFonts w:hint="eastAsia" w:ascii="宋体" w:hAnsi="宋体" w:cs="宋体"/>
          <w:color w:val="auto"/>
          <w:kern w:val="0"/>
          <w:szCs w:val="21"/>
          <w:highlight w:val="none"/>
        </w:rPr>
        <w:t>提交首次响应文件截止时间</w:t>
      </w:r>
      <w:r>
        <w:rPr>
          <w:rFonts w:hint="eastAsia" w:hAnsi="宋体"/>
          <w:color w:val="auto"/>
          <w:highlight w:val="none"/>
        </w:rPr>
        <w:t>之日</w:t>
      </w:r>
      <w:r>
        <w:rPr>
          <w:rFonts w:hint="eastAsia" w:hAnsi="宋体" w:cs="Arial"/>
          <w:color w:val="auto"/>
          <w:highlight w:val="none"/>
        </w:rPr>
        <w:t>起计算。</w:t>
      </w:r>
      <w:r>
        <w:rPr>
          <w:rFonts w:hint="eastAsia" w:hAnsi="宋体"/>
          <w:color w:val="auto"/>
          <w:highlight w:val="none"/>
        </w:rPr>
        <w:t>响应文件有效期不足的将被视为无效响应。</w:t>
      </w:r>
    </w:p>
    <w:p w14:paraId="7FBD6F79">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21.响应文件的签署及规定</w:t>
      </w:r>
    </w:p>
    <w:p w14:paraId="215CBDF7">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21.1响应文件的正本和副本应胶装成册，正本一份，副本份数见</w:t>
      </w:r>
      <w:r>
        <w:rPr>
          <w:rFonts w:hint="eastAsia" w:hAnsi="宋体"/>
          <w:b/>
          <w:color w:val="auto"/>
          <w:highlight w:val="none"/>
        </w:rPr>
        <w:t>磋商须知前附表</w:t>
      </w:r>
      <w:r>
        <w:rPr>
          <w:rFonts w:hint="eastAsia" w:hAnsi="宋体"/>
          <w:color w:val="auto"/>
          <w:highlight w:val="none"/>
        </w:rPr>
        <w:t>。正本和副本的封面上应标记“正本”或“副本”的字样，当正本和副本有差异时，以正本为准。</w:t>
      </w:r>
    </w:p>
    <w:p w14:paraId="5A671D68">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21.2 响应文件正本和副本应按磋商文件要求签章处盖单位章和由法定代表人或其委托代理人签字；任何加行、涂改、增删，应有法定代表人或其委托代理人在旁边签字。否则，将导致响应文件无效。</w:t>
      </w:r>
    </w:p>
    <w:p w14:paraId="5CA6A5C7">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21.3 在磋商过程中，供应商按磋商文件规定和磋商小组要求</w:t>
      </w:r>
      <w:r>
        <w:rPr>
          <w:rFonts w:hint="eastAsia" w:hAnsi="宋体" w:cs="宋体"/>
          <w:color w:val="auto"/>
          <w:kern w:val="0"/>
          <w:highlight w:val="none"/>
        </w:rPr>
        <w:t>提交的</w:t>
      </w:r>
      <w:r>
        <w:rPr>
          <w:rFonts w:hint="eastAsia" w:hAnsi="宋体"/>
          <w:color w:val="auto"/>
          <w:highlight w:val="none"/>
        </w:rPr>
        <w:t>最后报价(或者</w:t>
      </w:r>
      <w:r>
        <w:rPr>
          <w:rFonts w:hint="eastAsia" w:hAnsi="宋体"/>
          <w:bCs/>
          <w:color w:val="auto"/>
          <w:highlight w:val="none"/>
        </w:rPr>
        <w:t>重</w:t>
      </w:r>
      <w:r>
        <w:rPr>
          <w:rFonts w:hint="eastAsia" w:hAnsi="宋体" w:cs="宋体"/>
          <w:color w:val="auto"/>
          <w:kern w:val="0"/>
          <w:highlight w:val="none"/>
        </w:rPr>
        <w:t>新提交的响应文件和</w:t>
      </w:r>
      <w:r>
        <w:rPr>
          <w:rFonts w:hint="eastAsia" w:hAnsi="宋体"/>
          <w:color w:val="auto"/>
          <w:highlight w:val="none"/>
        </w:rPr>
        <w:t>最后报价)，一式两份，可打印或用不退色墨水书写，但需经法定代表人或其委托代理人签字，</w:t>
      </w:r>
      <w:r>
        <w:rPr>
          <w:rFonts w:hint="eastAsia" w:hAnsi="宋体" w:cs="宋体"/>
          <w:color w:val="auto"/>
          <w:kern w:val="0"/>
          <w:highlight w:val="none"/>
        </w:rPr>
        <w:t>或者加盖供应商单位章</w:t>
      </w:r>
      <w:r>
        <w:rPr>
          <w:rFonts w:hint="eastAsia" w:hAnsi="宋体"/>
          <w:color w:val="auto"/>
          <w:highlight w:val="none"/>
        </w:rPr>
        <w:t>。否则，将导致响应文件无效。</w:t>
      </w:r>
    </w:p>
    <w:p w14:paraId="2B187281">
      <w:pPr>
        <w:adjustRightInd w:val="0"/>
        <w:snapToGrid w:val="0"/>
        <w:spacing w:line="360" w:lineRule="auto"/>
        <w:rPr>
          <w:rFonts w:ascii="黑体" w:hAnsi="宋体" w:eastAsia="黑体"/>
          <w:color w:val="auto"/>
          <w:sz w:val="24"/>
          <w:highlight w:val="none"/>
        </w:rPr>
      </w:pPr>
      <w:r>
        <w:rPr>
          <w:rFonts w:hint="eastAsia" w:ascii="黑体" w:hAnsi="宋体" w:eastAsia="黑体"/>
          <w:color w:val="auto"/>
          <w:sz w:val="24"/>
          <w:highlight w:val="none"/>
        </w:rPr>
        <w:t>四、响应文件的递交</w:t>
      </w:r>
    </w:p>
    <w:p w14:paraId="749EA6B2">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22.</w:t>
      </w:r>
      <w:r>
        <w:rPr>
          <w:rFonts w:hint="eastAsia" w:ascii="宋体" w:hAnsi="宋体"/>
          <w:b/>
          <w:color w:val="auto"/>
          <w:szCs w:val="21"/>
          <w:highlight w:val="none"/>
        </w:rPr>
        <w:t>响应文件</w:t>
      </w:r>
      <w:r>
        <w:rPr>
          <w:rFonts w:hint="eastAsia" w:ascii="宋体" w:hAnsi="宋体"/>
          <w:b/>
          <w:bCs/>
          <w:color w:val="auto"/>
          <w:szCs w:val="21"/>
          <w:highlight w:val="none"/>
        </w:rPr>
        <w:t>的密封和标记</w:t>
      </w:r>
    </w:p>
    <w:p w14:paraId="5B00522A">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22.1响应文件应密封包装，加贴封条，并在封套的封口处盖供应商单位章或者由法定代表人或其委托代理人签字。</w:t>
      </w:r>
    </w:p>
    <w:p w14:paraId="191830E7">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22.2响应文件封套上应写明的内容见</w:t>
      </w:r>
      <w:r>
        <w:rPr>
          <w:rFonts w:hint="eastAsia" w:ascii="宋体" w:hAnsi="宋体"/>
          <w:b/>
          <w:color w:val="auto"/>
          <w:szCs w:val="21"/>
          <w:highlight w:val="none"/>
        </w:rPr>
        <w:t>磋商须知前附表。</w:t>
      </w:r>
    </w:p>
    <w:p w14:paraId="6EBD7035">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22.3响应文件如果未按上述规定密封和加写标记，采购人或采购代理机构将拒绝接收。</w:t>
      </w:r>
    </w:p>
    <w:p w14:paraId="48B0FD8A">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23.响应文件的</w:t>
      </w:r>
      <w:r>
        <w:rPr>
          <w:rFonts w:hint="eastAsia" w:ascii="宋体" w:hAnsi="宋体" w:cs="宋体"/>
          <w:b/>
          <w:color w:val="auto"/>
          <w:kern w:val="0"/>
          <w:szCs w:val="21"/>
          <w:highlight w:val="none"/>
          <w:lang w:val="zh-CN"/>
        </w:rPr>
        <w:t>补充、修改或者撤回</w:t>
      </w:r>
    </w:p>
    <w:p w14:paraId="385B26D3">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23.1</w:t>
      </w:r>
      <w:r>
        <w:rPr>
          <w:rFonts w:hint="eastAsia" w:hAnsi="宋体" w:cs="宋体"/>
          <w:color w:val="auto"/>
          <w:kern w:val="0"/>
          <w:highlight w:val="none"/>
        </w:rPr>
        <w:t>供应商在提交首次响应文件截止时间前，可以对所提交的首次响应文件进行补充、修改或者撤回，并书面通知采购人、采购代理机构。</w:t>
      </w:r>
      <w:r>
        <w:rPr>
          <w:rFonts w:hint="eastAsia" w:hAnsi="宋体"/>
          <w:color w:val="auto"/>
          <w:highlight w:val="none"/>
        </w:rPr>
        <w:t>该通知应有供应商法定代表人或其委托代理人签字。</w:t>
      </w:r>
    </w:p>
    <w:p w14:paraId="72357F9D">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23.2</w:t>
      </w:r>
      <w:r>
        <w:rPr>
          <w:rFonts w:hint="eastAsia" w:hAnsi="宋体" w:cs="宋体"/>
          <w:color w:val="auto"/>
          <w:kern w:val="0"/>
          <w:highlight w:val="none"/>
          <w:lang w:val="zh-CN"/>
        </w:rPr>
        <w:t>补充、修改的内容与响应文件不一致时，以补充、修改的内容为准。</w:t>
      </w:r>
    </w:p>
    <w:p w14:paraId="756922BF">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24.响应文件的递交与接收</w:t>
      </w:r>
    </w:p>
    <w:p w14:paraId="0D64A56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 供应商应在</w:t>
      </w:r>
      <w:r>
        <w:rPr>
          <w:rFonts w:hint="eastAsia" w:ascii="宋体" w:hAnsi="宋体" w:cs="宋体"/>
          <w:color w:val="auto"/>
          <w:kern w:val="0"/>
          <w:szCs w:val="21"/>
          <w:highlight w:val="none"/>
        </w:rPr>
        <w:t>提交首次响应文件截止时间</w:t>
      </w:r>
      <w:r>
        <w:rPr>
          <w:rFonts w:hint="eastAsia" w:ascii="宋体" w:hAnsi="宋体"/>
          <w:color w:val="auto"/>
          <w:szCs w:val="21"/>
          <w:highlight w:val="none"/>
        </w:rPr>
        <w:t>前，将响应文件送</w:t>
      </w:r>
      <w:r>
        <w:rPr>
          <w:rFonts w:hint="eastAsia" w:ascii="宋体" w:hAnsi="宋体" w:cs="Arial"/>
          <w:color w:val="auto"/>
          <w:szCs w:val="21"/>
          <w:highlight w:val="none"/>
        </w:rPr>
        <w:t>达</w:t>
      </w:r>
      <w:r>
        <w:rPr>
          <w:rFonts w:hint="eastAsia" w:ascii="宋体" w:hAnsi="宋体"/>
          <w:b/>
          <w:color w:val="auto"/>
          <w:szCs w:val="21"/>
          <w:highlight w:val="none"/>
        </w:rPr>
        <w:t>磋商须知前附表</w:t>
      </w:r>
      <w:r>
        <w:rPr>
          <w:rFonts w:hint="eastAsia" w:ascii="宋体" w:hAnsi="宋体"/>
          <w:color w:val="auto"/>
          <w:szCs w:val="21"/>
          <w:highlight w:val="none"/>
        </w:rPr>
        <w:t>中指定的地点。</w:t>
      </w:r>
      <w:r>
        <w:rPr>
          <w:rFonts w:hint="eastAsia" w:hAnsi="宋体" w:cs="宋体"/>
          <w:color w:val="auto"/>
          <w:kern w:val="0"/>
          <w:highlight w:val="none"/>
        </w:rPr>
        <w:t>在截止时间后送达的响应文件，采购人、采购代理机构或者磋商小组应当拒收。</w:t>
      </w:r>
    </w:p>
    <w:p w14:paraId="1F2F4C12">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24.2</w:t>
      </w:r>
      <w:r>
        <w:rPr>
          <w:rFonts w:hint="eastAsia" w:hAnsi="宋体" w:cs="宋体"/>
          <w:color w:val="auto"/>
          <w:kern w:val="0"/>
          <w:highlight w:val="none"/>
        </w:rPr>
        <w:t>在提交首次响应文件截止时间后，</w:t>
      </w:r>
      <w:r>
        <w:rPr>
          <w:rFonts w:hint="eastAsia" w:hAnsi="宋体"/>
          <w:color w:val="auto"/>
          <w:highlight w:val="none"/>
        </w:rPr>
        <w:t>由</w:t>
      </w:r>
      <w:r>
        <w:rPr>
          <w:rFonts w:hint="eastAsia" w:hAnsi="宋体"/>
          <w:bCs/>
          <w:color w:val="auto"/>
          <w:highlight w:val="none"/>
        </w:rPr>
        <w:t>供应商代表</w:t>
      </w:r>
      <w:r>
        <w:rPr>
          <w:rFonts w:hint="eastAsia" w:hAnsi="宋体"/>
          <w:color w:val="auto"/>
          <w:highlight w:val="none"/>
        </w:rPr>
        <w:t>当场查验</w:t>
      </w:r>
      <w:r>
        <w:rPr>
          <w:rFonts w:hint="eastAsia" w:hAnsi="宋体"/>
          <w:bCs/>
          <w:color w:val="auto"/>
          <w:highlight w:val="none"/>
        </w:rPr>
        <w:t>响应文件</w:t>
      </w:r>
      <w:r>
        <w:rPr>
          <w:rFonts w:hint="eastAsia" w:hAnsi="宋体"/>
          <w:color w:val="auto"/>
          <w:highlight w:val="none"/>
        </w:rPr>
        <w:t>的密封状况，采购人或</w:t>
      </w:r>
      <w:r>
        <w:rPr>
          <w:rFonts w:hint="eastAsia" w:hAnsi="宋体"/>
          <w:bCs/>
          <w:color w:val="auto"/>
          <w:highlight w:val="none"/>
        </w:rPr>
        <w:t>采购代理机构</w:t>
      </w:r>
      <w:r>
        <w:rPr>
          <w:rFonts w:hint="eastAsia" w:hAnsi="宋体"/>
          <w:color w:val="auto"/>
          <w:highlight w:val="none"/>
        </w:rPr>
        <w:t>不当场拆封</w:t>
      </w:r>
      <w:r>
        <w:rPr>
          <w:rFonts w:hint="eastAsia" w:hAnsi="宋体"/>
          <w:bCs/>
          <w:color w:val="auto"/>
          <w:highlight w:val="none"/>
        </w:rPr>
        <w:t>响应文件</w:t>
      </w:r>
      <w:r>
        <w:rPr>
          <w:rFonts w:hint="eastAsia" w:hAnsi="宋体"/>
          <w:color w:val="auto"/>
          <w:highlight w:val="none"/>
        </w:rPr>
        <w:t>。</w:t>
      </w:r>
    </w:p>
    <w:p w14:paraId="1A2BDF3A">
      <w:pPr>
        <w:adjustRightInd w:val="0"/>
        <w:snapToGrid w:val="0"/>
        <w:spacing w:line="360" w:lineRule="auto"/>
        <w:rPr>
          <w:rFonts w:ascii="黑体" w:hAnsi="宋体" w:eastAsia="黑体"/>
          <w:color w:val="auto"/>
          <w:sz w:val="24"/>
          <w:highlight w:val="none"/>
        </w:rPr>
      </w:pPr>
      <w:r>
        <w:rPr>
          <w:rFonts w:hint="eastAsia" w:ascii="黑体" w:hAnsi="宋体" w:eastAsia="黑体"/>
          <w:color w:val="auto"/>
          <w:sz w:val="24"/>
          <w:highlight w:val="none"/>
        </w:rPr>
        <w:t>五、响应文件的磋商与评审</w:t>
      </w:r>
    </w:p>
    <w:p w14:paraId="4B99A5C3">
      <w:pPr>
        <w:tabs>
          <w:tab w:val="left" w:pos="0"/>
        </w:tabs>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25.磋商程序</w:t>
      </w:r>
    </w:p>
    <w:p w14:paraId="48107245">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cs="宋体"/>
          <w:color w:val="auto"/>
          <w:kern w:val="0"/>
          <w:szCs w:val="21"/>
          <w:highlight w:val="none"/>
        </w:rPr>
        <w:t>25.1磋商程序：响应文件审查、磋商（包括澄清）、响应文件评审、</w:t>
      </w:r>
      <w:r>
        <w:rPr>
          <w:rFonts w:hint="eastAsia" w:ascii="宋体" w:hAnsi="宋体"/>
          <w:bCs/>
          <w:color w:val="auto"/>
          <w:szCs w:val="21"/>
          <w:highlight w:val="none"/>
        </w:rPr>
        <w:t>提出成交供应商。其中，</w:t>
      </w:r>
      <w:r>
        <w:rPr>
          <w:rFonts w:hint="eastAsia" w:ascii="宋体" w:hAnsi="宋体" w:cs="宋体"/>
          <w:color w:val="auto"/>
          <w:kern w:val="0"/>
          <w:szCs w:val="21"/>
          <w:highlight w:val="none"/>
        </w:rPr>
        <w:t>磋商按</w:t>
      </w:r>
      <w:r>
        <w:rPr>
          <w:rFonts w:hint="eastAsia" w:ascii="宋体" w:hAnsi="宋体"/>
          <w:color w:val="auto"/>
          <w:szCs w:val="21"/>
          <w:highlight w:val="none"/>
        </w:rPr>
        <w:t>本章</w:t>
      </w:r>
      <w:r>
        <w:rPr>
          <w:rFonts w:hint="eastAsia" w:hAnsi="宋体"/>
          <w:color w:val="auto"/>
          <w:highlight w:val="none"/>
        </w:rPr>
        <w:t>第</w:t>
      </w:r>
      <w:r>
        <w:rPr>
          <w:rFonts w:hint="eastAsia" w:ascii="宋体" w:hAnsi="宋体"/>
          <w:color w:val="auto"/>
          <w:highlight w:val="none"/>
        </w:rPr>
        <w:t>30.1</w:t>
      </w:r>
      <w:r>
        <w:rPr>
          <w:rFonts w:hint="eastAsia" w:ascii="宋体" w:hAnsi="宋体" w:cs="宋体"/>
          <w:color w:val="auto"/>
          <w:kern w:val="0"/>
          <w:szCs w:val="21"/>
          <w:highlight w:val="none"/>
          <w:lang w:val="zh-CN"/>
        </w:rPr>
        <w:t>款或者</w:t>
      </w:r>
      <w:r>
        <w:rPr>
          <w:rFonts w:hint="eastAsia" w:ascii="宋体" w:hAnsi="宋体"/>
          <w:color w:val="auto"/>
          <w:highlight w:val="none"/>
        </w:rPr>
        <w:t>第30.2</w:t>
      </w:r>
      <w:r>
        <w:rPr>
          <w:rFonts w:hint="eastAsia" w:ascii="宋体" w:hAnsi="宋体" w:cs="宋体"/>
          <w:color w:val="auto"/>
          <w:kern w:val="0"/>
          <w:szCs w:val="21"/>
          <w:highlight w:val="none"/>
          <w:lang w:val="zh-CN"/>
        </w:rPr>
        <w:t>款</w:t>
      </w:r>
      <w:r>
        <w:rPr>
          <w:rFonts w:hint="eastAsia" w:hAnsi="宋体"/>
          <w:color w:val="auto"/>
          <w:highlight w:val="none"/>
        </w:rPr>
        <w:t>情形</w:t>
      </w:r>
      <w:r>
        <w:rPr>
          <w:rFonts w:hint="eastAsia" w:ascii="宋体" w:hAnsi="宋体"/>
          <w:bCs/>
          <w:color w:val="auto"/>
          <w:szCs w:val="21"/>
          <w:highlight w:val="none"/>
        </w:rPr>
        <w:t>进行。</w:t>
      </w:r>
    </w:p>
    <w:p w14:paraId="3BDFFE38">
      <w:pPr>
        <w:widowControl/>
        <w:adjustRightInd w:val="0"/>
        <w:snapToGrid w:val="0"/>
        <w:spacing w:line="360" w:lineRule="auto"/>
        <w:rPr>
          <w:rFonts w:ascii="宋体" w:hAnsi="宋体"/>
          <w:b/>
          <w:color w:val="auto"/>
          <w:szCs w:val="21"/>
          <w:highlight w:val="none"/>
        </w:rPr>
      </w:pPr>
      <w:r>
        <w:rPr>
          <w:rFonts w:hint="eastAsia" w:ascii="宋体" w:hAnsi="宋体" w:cs="宋体"/>
          <w:b/>
          <w:color w:val="auto"/>
          <w:kern w:val="0"/>
          <w:szCs w:val="21"/>
          <w:highlight w:val="none"/>
        </w:rPr>
        <w:t>26.响应文件审查</w:t>
      </w:r>
    </w:p>
    <w:p w14:paraId="64AEF123">
      <w:pPr>
        <w:adjustRightInd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26.1 资格性审查：根据本章第3.1项规定的供应商资格条件要求，对</w:t>
      </w:r>
      <w:r>
        <w:rPr>
          <w:rFonts w:hint="eastAsia" w:ascii="宋体" w:hAnsi="宋体"/>
          <w:color w:val="auto"/>
          <w:highlight w:val="none"/>
        </w:rPr>
        <w:t>响应</w:t>
      </w:r>
      <w:r>
        <w:rPr>
          <w:rFonts w:hint="eastAsia" w:ascii="宋体" w:hAnsi="宋体"/>
          <w:color w:val="auto"/>
          <w:szCs w:val="21"/>
          <w:highlight w:val="none"/>
        </w:rPr>
        <w:t>文件的资格证明等进行审查，以确定供应商是否具备磋商资格条件。</w:t>
      </w:r>
    </w:p>
    <w:p w14:paraId="2B1BEDF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26.2符合性审查: 对响应文件(包括首次提交的响应文件、重新提交的响应文件)的有效性、完整性和响应程度进行审查，以确定是否对磋商文件的实质性要求作出响应。</w:t>
      </w:r>
    </w:p>
    <w:p w14:paraId="7BC966A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26.3响应文件审查结束后，磋商小组所有成员集中与单一供应商分别进行磋商，并给予所有参加磋商的供应商平等的磋商机会。供应商应派其法定代表人或委托代理人参加磋商。</w:t>
      </w:r>
    </w:p>
    <w:p w14:paraId="01248206">
      <w:pPr>
        <w:pStyle w:val="14"/>
        <w:adjustRightInd w:val="0"/>
        <w:snapToGrid w:val="0"/>
        <w:spacing w:line="360" w:lineRule="auto"/>
        <w:rPr>
          <w:rFonts w:hAnsi="宋体" w:cs="宋体"/>
          <w:b/>
          <w:color w:val="auto"/>
          <w:kern w:val="0"/>
          <w:highlight w:val="none"/>
        </w:rPr>
      </w:pPr>
      <w:r>
        <w:rPr>
          <w:rFonts w:hint="eastAsia" w:hAnsi="宋体" w:cs="宋体"/>
          <w:b/>
          <w:color w:val="auto"/>
          <w:kern w:val="0"/>
          <w:highlight w:val="none"/>
        </w:rPr>
        <w:t>27.实质性响应</w:t>
      </w:r>
    </w:p>
    <w:p w14:paraId="359E080A">
      <w:pPr>
        <w:pStyle w:val="14"/>
        <w:adjustRightInd w:val="0"/>
        <w:snapToGrid w:val="0"/>
        <w:spacing w:line="360" w:lineRule="auto"/>
        <w:ind w:firstLine="420" w:firstLineChars="200"/>
        <w:rPr>
          <w:rFonts w:hAnsi="宋体" w:cs="Arial"/>
          <w:color w:val="auto"/>
          <w:kern w:val="0"/>
          <w:highlight w:val="none"/>
          <w:u w:val="single"/>
        </w:rPr>
      </w:pPr>
      <w:r>
        <w:rPr>
          <w:rFonts w:hint="eastAsia" w:hAnsi="宋体" w:cs="宋体"/>
          <w:color w:val="auto"/>
          <w:kern w:val="0"/>
          <w:highlight w:val="none"/>
        </w:rPr>
        <w:t>27.1</w:t>
      </w:r>
      <w:r>
        <w:rPr>
          <w:rFonts w:hint="eastAsia" w:hAnsi="宋体"/>
          <w:color w:val="auto"/>
          <w:highlight w:val="none"/>
        </w:rPr>
        <w:t>实质性响应是指响应文件(包括首次响应文件、重新提交的响应文件)与磋商文件要求的所有条款、条件和规格相符，没有偏离。偏离</w:t>
      </w:r>
      <w:r>
        <w:rPr>
          <w:rFonts w:hint="eastAsia"/>
          <w:color w:val="auto"/>
          <w:highlight w:val="none"/>
        </w:rPr>
        <w:t>指不满足、或不响应</w:t>
      </w:r>
      <w:r>
        <w:rPr>
          <w:rFonts w:hint="eastAsia" w:hAnsi="宋体"/>
          <w:color w:val="auto"/>
          <w:highlight w:val="none"/>
        </w:rPr>
        <w:t>磋商文件</w:t>
      </w:r>
      <w:r>
        <w:rPr>
          <w:rFonts w:hint="eastAsia"/>
          <w:color w:val="auto"/>
          <w:highlight w:val="none"/>
        </w:rPr>
        <w:t>的要求。</w:t>
      </w:r>
    </w:p>
    <w:p w14:paraId="45ADA7E1">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olor w:val="auto"/>
          <w:szCs w:val="21"/>
          <w:highlight w:val="none"/>
        </w:rPr>
      </w:pPr>
      <w:r>
        <w:rPr>
          <w:rFonts w:hint="eastAsia" w:ascii="宋体" w:hAnsi="宋体"/>
          <w:color w:val="auto"/>
          <w:szCs w:val="21"/>
          <w:highlight w:val="none"/>
        </w:rPr>
        <w:t>27.2</w:t>
      </w:r>
      <w:r>
        <w:rPr>
          <w:rFonts w:hint="eastAsia" w:ascii="宋体" w:hAnsi="宋体"/>
          <w:color w:val="auto"/>
          <w:highlight w:val="none"/>
        </w:rPr>
        <w:t>响应文件是否实质性响应磋商文件要求由磋商小组依据磋商文件规定认定。</w:t>
      </w:r>
      <w:r>
        <w:rPr>
          <w:rFonts w:hint="eastAsia" w:ascii="宋体" w:hAnsi="宋体" w:cs="宋体"/>
          <w:color w:val="auto"/>
          <w:kern w:val="0"/>
          <w:szCs w:val="21"/>
          <w:highlight w:val="none"/>
        </w:rPr>
        <w:t>磋商小组</w:t>
      </w:r>
      <w:r>
        <w:rPr>
          <w:rFonts w:hint="eastAsia" w:ascii="宋体" w:hAnsi="宋体"/>
          <w:color w:val="auto"/>
          <w:szCs w:val="21"/>
          <w:highlight w:val="none"/>
        </w:rPr>
        <w:t>决定</w:t>
      </w:r>
      <w:r>
        <w:rPr>
          <w:rFonts w:hint="eastAsia" w:ascii="宋体" w:hAnsi="宋体"/>
          <w:color w:val="auto"/>
          <w:highlight w:val="none"/>
        </w:rPr>
        <w:t>响应文件</w:t>
      </w:r>
      <w:r>
        <w:rPr>
          <w:rFonts w:hint="eastAsia" w:ascii="宋体" w:hAnsi="宋体"/>
          <w:color w:val="auto"/>
          <w:szCs w:val="21"/>
          <w:highlight w:val="none"/>
        </w:rPr>
        <w:t>的响应性只根据</w:t>
      </w:r>
      <w:r>
        <w:rPr>
          <w:rFonts w:hint="eastAsia" w:ascii="宋体" w:hAnsi="宋体"/>
          <w:color w:val="auto"/>
          <w:highlight w:val="none"/>
        </w:rPr>
        <w:t>响应文件</w:t>
      </w:r>
      <w:r>
        <w:rPr>
          <w:rFonts w:hint="eastAsia" w:ascii="宋体" w:hAnsi="宋体"/>
          <w:color w:val="auto"/>
          <w:szCs w:val="21"/>
          <w:highlight w:val="none"/>
        </w:rPr>
        <w:t>本身的真实无误的内容，而不依据外部的证据。</w:t>
      </w:r>
    </w:p>
    <w:p w14:paraId="43FE7F91">
      <w:pPr>
        <w:pStyle w:val="14"/>
        <w:adjustRightInd w:val="0"/>
        <w:snapToGrid w:val="0"/>
        <w:spacing w:line="360" w:lineRule="auto"/>
        <w:rPr>
          <w:rFonts w:cs="宋体"/>
          <w:b/>
          <w:color w:val="auto"/>
          <w:kern w:val="0"/>
          <w:highlight w:val="none"/>
        </w:rPr>
      </w:pPr>
      <w:r>
        <w:rPr>
          <w:rFonts w:hint="eastAsia" w:cs="宋体"/>
          <w:b/>
          <w:color w:val="auto"/>
          <w:kern w:val="0"/>
          <w:highlight w:val="none"/>
        </w:rPr>
        <w:t xml:space="preserve">28.无效响应 </w:t>
      </w:r>
    </w:p>
    <w:p w14:paraId="1DD7523A">
      <w:pPr>
        <w:pStyle w:val="14"/>
        <w:adjustRightInd w:val="0"/>
        <w:snapToGrid w:val="0"/>
        <w:spacing w:line="360" w:lineRule="auto"/>
        <w:ind w:firstLine="411" w:firstLineChars="196"/>
        <w:rPr>
          <w:rFonts w:hAnsi="宋体" w:cs="宋体"/>
          <w:b/>
          <w:color w:val="auto"/>
          <w:kern w:val="0"/>
          <w:highlight w:val="none"/>
        </w:rPr>
      </w:pPr>
      <w:r>
        <w:rPr>
          <w:rFonts w:hint="eastAsia" w:cs="宋体"/>
          <w:color w:val="auto"/>
          <w:kern w:val="0"/>
          <w:highlight w:val="none"/>
        </w:rPr>
        <w:t>28.1</w:t>
      </w:r>
      <w:r>
        <w:rPr>
          <w:rFonts w:hint="eastAsia"/>
          <w:color w:val="auto"/>
          <w:highlight w:val="none"/>
        </w:rPr>
        <w:t>磋商小组在对资格性和符合性进行审查时，有下列情况之一的，属无效响应，</w:t>
      </w:r>
      <w:r>
        <w:rPr>
          <w:rFonts w:hint="eastAsia" w:cs="宋体"/>
          <w:color w:val="auto"/>
          <w:kern w:val="0"/>
          <w:highlight w:val="none"/>
        </w:rPr>
        <w:t>磋商小组应当告知有关供应商</w:t>
      </w:r>
      <w:r>
        <w:rPr>
          <w:rFonts w:hint="eastAsia"/>
          <w:color w:val="auto"/>
          <w:highlight w:val="none"/>
        </w:rPr>
        <w:t>：</w:t>
      </w:r>
    </w:p>
    <w:p w14:paraId="53567ED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（1）供应商不具备本章第3.1款规定的供应商资格条件要求，或存在本章第3.3款情形的；</w:t>
      </w:r>
    </w:p>
    <w:p w14:paraId="2D2643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（2）联合体不符合本章第3.2款规定的；</w:t>
      </w:r>
    </w:p>
    <w:p w14:paraId="349F104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（3）应交未交磋商保证金或金额不足、磋商保证金缴纳形式不符合磋商文件要求的；</w:t>
      </w:r>
    </w:p>
    <w:p w14:paraId="52DECB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（4）响应文件未按照磋商文件要求签署、盖章的；</w:t>
      </w:r>
    </w:p>
    <w:p w14:paraId="79499C7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（4）响应文件不满足本章第27.1款规定的实质性要求的；</w:t>
      </w:r>
    </w:p>
    <w:p w14:paraId="757C6EE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（5）报价超过采购项目预算的；</w:t>
      </w:r>
    </w:p>
    <w:p w14:paraId="1C4D295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（6）响应文件有效期不足的；</w:t>
      </w:r>
    </w:p>
    <w:p w14:paraId="420670E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（7）响应文件不符合法律、规章、规范性文件和磋商文件规定及要求的。</w:t>
      </w:r>
    </w:p>
    <w:p w14:paraId="54A23087">
      <w:pPr>
        <w:widowControl/>
        <w:adjustRightInd w:val="0"/>
        <w:snapToGrid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29.澄清</w:t>
      </w:r>
    </w:p>
    <w:p w14:paraId="5C3CD9A9">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5F9A5006">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29.2 最后报价计算错误修正的原则：最后报价</w:t>
      </w:r>
      <w:r>
        <w:rPr>
          <w:rFonts w:hint="eastAsia" w:ascii="宋体" w:hAnsi="宋体" w:cs="Arial"/>
          <w:color w:val="auto"/>
          <w:kern w:val="0"/>
          <w:szCs w:val="21"/>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57CF4453">
      <w:pPr>
        <w:widowControl/>
        <w:adjustRightInd w:val="0"/>
        <w:snapToGrid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30.磋商</w:t>
      </w:r>
    </w:p>
    <w:p w14:paraId="1ED0D282">
      <w:pPr>
        <w:widowControl/>
        <w:adjustRightInd w:val="0"/>
        <w:snapToGrid w:val="0"/>
        <w:spacing w:line="360" w:lineRule="auto"/>
        <w:ind w:firstLine="420"/>
        <w:jc w:val="left"/>
        <w:rPr>
          <w:rFonts w:ascii="宋体" w:hAnsi="宋体" w:cs="宋体"/>
          <w:color w:val="auto"/>
          <w:kern w:val="0"/>
          <w:szCs w:val="21"/>
          <w:highlight w:val="none"/>
          <w:lang w:val="zh-CN"/>
        </w:rPr>
      </w:pPr>
      <w:r>
        <w:rPr>
          <w:rFonts w:hint="eastAsia" w:ascii="宋体" w:hAnsi="宋体" w:cs="宋体"/>
          <w:color w:val="auto"/>
          <w:kern w:val="0"/>
          <w:szCs w:val="21"/>
          <w:highlight w:val="none"/>
        </w:rPr>
        <w:t>30.1</w:t>
      </w:r>
      <w:r>
        <w:rPr>
          <w:rFonts w:hint="eastAsia" w:ascii="宋体" w:hAnsi="宋体"/>
          <w:color w:val="auto"/>
          <w:highlight w:val="none"/>
        </w:rPr>
        <w:t>本章第10.2项</w:t>
      </w:r>
      <w:r>
        <w:rPr>
          <w:rFonts w:hint="eastAsia" w:ascii="宋体" w:hAnsi="宋体" w:cs="宋体"/>
          <w:color w:val="auto"/>
          <w:kern w:val="0"/>
          <w:szCs w:val="21"/>
          <w:highlight w:val="none"/>
        </w:rPr>
        <w:t>未明确磋商文件实质性变动内容的，或者磋商文件明确了可能发生实质性变动内容，但在磋商过程中，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磋商文件无需发生实质性变动的，磋商小组应当直接与响应文件审查合格的供应商就价格组织多轮磋商。</w:t>
      </w:r>
    </w:p>
    <w:p w14:paraId="64DF7670">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（1）磋商结束后，磋商小组应当要求所有继续参加磋商的供应商在磋商小组规定时间内提交最后报价。</w:t>
      </w:r>
    </w:p>
    <w:p w14:paraId="4A343774">
      <w:pPr>
        <w:widowControl/>
        <w:tabs>
          <w:tab w:val="left" w:pos="1080"/>
          <w:tab w:val="left" w:pos="1260"/>
        </w:tabs>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（2）磋商文件明确可能发生实质性变动，但在磋商过程中</w:t>
      </w:r>
      <w:r>
        <w:rPr>
          <w:rFonts w:hint="eastAsia" w:ascii="宋体" w:hAnsi="宋体"/>
          <w:bCs/>
          <w:color w:val="auto"/>
          <w:szCs w:val="21"/>
          <w:highlight w:val="none"/>
        </w:rPr>
        <w:t>磋商小组</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磋商情况</w:t>
      </w:r>
      <w:r>
        <w:rPr>
          <w:rFonts w:hint="eastAsia" w:ascii="宋体" w:hAnsi="宋体"/>
          <w:bCs/>
          <w:color w:val="auto"/>
          <w:szCs w:val="21"/>
          <w:highlight w:val="none"/>
        </w:rPr>
        <w:t>认为</w:t>
      </w:r>
      <w:r>
        <w:rPr>
          <w:rFonts w:hint="eastAsia" w:ascii="宋体" w:hAnsi="宋体" w:cs="宋体"/>
          <w:color w:val="auto"/>
          <w:kern w:val="0"/>
          <w:szCs w:val="21"/>
          <w:highlight w:val="none"/>
        </w:rPr>
        <w:t>磋商文件无需发生实质性变动的，磋商小组不另行通知。</w:t>
      </w:r>
    </w:p>
    <w:p w14:paraId="20A3DC95">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30.2</w:t>
      </w:r>
      <w:r>
        <w:rPr>
          <w:rFonts w:hint="eastAsia" w:ascii="宋体" w:hAnsi="宋体"/>
          <w:color w:val="auto"/>
          <w:highlight w:val="none"/>
        </w:rPr>
        <w:t>本章第10.2</w:t>
      </w:r>
      <w:r>
        <w:rPr>
          <w:rFonts w:hint="eastAsia" w:ascii="宋体" w:hAnsi="宋体" w:cs="宋体"/>
          <w:color w:val="auto"/>
          <w:kern w:val="0"/>
          <w:szCs w:val="21"/>
          <w:highlight w:val="none"/>
          <w:lang w:val="zh-CN"/>
        </w:rPr>
        <w:t>款</w:t>
      </w:r>
      <w:r>
        <w:rPr>
          <w:rFonts w:hint="eastAsia" w:ascii="宋体" w:hAnsi="宋体" w:cs="宋体"/>
          <w:color w:val="auto"/>
          <w:kern w:val="0"/>
          <w:szCs w:val="21"/>
          <w:highlight w:val="none"/>
        </w:rPr>
        <w:t>明确磋商文件实质性变动内容的，</w:t>
      </w:r>
      <w:r>
        <w:rPr>
          <w:rFonts w:hint="eastAsia" w:ascii="宋体" w:hAnsi="宋体"/>
          <w:bCs/>
          <w:color w:val="auto"/>
          <w:szCs w:val="21"/>
          <w:highlight w:val="none"/>
        </w:rPr>
        <w:t>磋商小组</w:t>
      </w:r>
      <w:r>
        <w:rPr>
          <w:rFonts w:hint="eastAsia" w:ascii="宋体" w:hAnsi="宋体" w:cs="宋体"/>
          <w:color w:val="auto"/>
          <w:kern w:val="0"/>
          <w:szCs w:val="21"/>
          <w:highlight w:val="none"/>
        </w:rPr>
        <w:t>可以组织多轮磋商。</w:t>
      </w:r>
      <w:r>
        <w:rPr>
          <w:rFonts w:hint="eastAsia" w:ascii="宋体" w:hAnsi="宋体"/>
          <w:bCs/>
          <w:color w:val="auto"/>
          <w:szCs w:val="21"/>
          <w:highlight w:val="none"/>
        </w:rPr>
        <w:t>在每一轮磋商中，磋商小组</w:t>
      </w:r>
      <w:r>
        <w:rPr>
          <w:rFonts w:hint="eastAsia" w:ascii="宋体" w:hAnsi="宋体" w:cs="宋体"/>
          <w:color w:val="auto"/>
          <w:kern w:val="0"/>
          <w:szCs w:val="21"/>
          <w:highlight w:val="none"/>
        </w:rPr>
        <w:t>可以</w:t>
      </w:r>
      <w:r>
        <w:rPr>
          <w:rFonts w:hint="eastAsia" w:ascii="宋体" w:hAnsi="宋体" w:cs="Arial"/>
          <w:color w:val="auto"/>
          <w:kern w:val="0"/>
          <w:szCs w:val="21"/>
          <w:highlight w:val="none"/>
        </w:rPr>
        <w:t>根据</w:t>
      </w:r>
      <w:r>
        <w:rPr>
          <w:rFonts w:hint="eastAsia" w:ascii="宋体" w:hAnsi="宋体" w:cs="宋体"/>
          <w:color w:val="auto"/>
          <w:kern w:val="0"/>
          <w:szCs w:val="21"/>
          <w:highlight w:val="none"/>
        </w:rPr>
        <w:t>磋商文件规定和磋商情况，</w:t>
      </w:r>
      <w:r>
        <w:rPr>
          <w:rFonts w:hint="eastAsia" w:ascii="宋体" w:hAnsi="宋体"/>
          <w:bCs/>
          <w:color w:val="auto"/>
          <w:szCs w:val="21"/>
          <w:highlight w:val="none"/>
        </w:rPr>
        <w:t>对磋商文件的</w:t>
      </w:r>
      <w:r>
        <w:rPr>
          <w:rFonts w:hint="eastAsia" w:ascii="宋体" w:hAnsi="宋体" w:cs="宋体"/>
          <w:color w:val="auto"/>
          <w:kern w:val="0"/>
          <w:szCs w:val="21"/>
          <w:highlight w:val="none"/>
        </w:rPr>
        <w:t>采购需求中的技术、服务要求以及合同草案条款</w:t>
      </w:r>
      <w:r>
        <w:rPr>
          <w:rFonts w:hint="eastAsia" w:ascii="宋体" w:hAnsi="宋体"/>
          <w:bCs/>
          <w:color w:val="auto"/>
          <w:szCs w:val="21"/>
          <w:highlight w:val="none"/>
        </w:rPr>
        <w:t>作实质性变动(磋商文件的实质性变动内容为磋商文件的组成部分)，并以书面形式要求</w:t>
      </w:r>
      <w:r>
        <w:rPr>
          <w:rFonts w:hint="eastAsia" w:ascii="宋体" w:hAnsi="宋体" w:cs="宋体"/>
          <w:color w:val="auto"/>
          <w:kern w:val="0"/>
          <w:szCs w:val="21"/>
          <w:highlight w:val="none"/>
        </w:rPr>
        <w:t>响应文件审查合格</w:t>
      </w:r>
      <w:r>
        <w:rPr>
          <w:rFonts w:hint="eastAsia" w:ascii="宋体" w:hAnsi="宋体"/>
          <w:bCs/>
          <w:color w:val="auto"/>
          <w:szCs w:val="21"/>
          <w:highlight w:val="none"/>
        </w:rPr>
        <w:t>的供应商，在规定的</w:t>
      </w:r>
      <w:r>
        <w:rPr>
          <w:rFonts w:hint="eastAsia" w:ascii="宋体" w:hAnsi="宋体" w:cs="宋体"/>
          <w:color w:val="auto"/>
          <w:kern w:val="0"/>
          <w:szCs w:val="21"/>
          <w:highlight w:val="none"/>
        </w:rPr>
        <w:t>截止时间前</w:t>
      </w:r>
      <w:r>
        <w:rPr>
          <w:rFonts w:hint="eastAsia" w:ascii="宋体" w:hAnsi="宋体"/>
          <w:bCs/>
          <w:color w:val="auto"/>
          <w:szCs w:val="21"/>
          <w:highlight w:val="none"/>
        </w:rPr>
        <w:t>重</w:t>
      </w:r>
      <w:r>
        <w:rPr>
          <w:rFonts w:hint="eastAsia" w:ascii="宋体" w:hAnsi="宋体" w:cs="宋体"/>
          <w:color w:val="auto"/>
          <w:kern w:val="0"/>
          <w:szCs w:val="21"/>
          <w:highlight w:val="none"/>
        </w:rPr>
        <w:t>新提交响应文件</w:t>
      </w:r>
      <w:r>
        <w:rPr>
          <w:rFonts w:hint="eastAsia" w:ascii="宋体" w:hAnsi="宋体"/>
          <w:bCs/>
          <w:color w:val="auto"/>
          <w:szCs w:val="21"/>
          <w:highlight w:val="none"/>
        </w:rPr>
        <w:t>。</w:t>
      </w:r>
      <w:r>
        <w:rPr>
          <w:rFonts w:hint="eastAsia" w:ascii="宋体" w:hAnsi="宋体" w:cs="宋体"/>
          <w:color w:val="auto"/>
          <w:kern w:val="0"/>
          <w:szCs w:val="21"/>
          <w:highlight w:val="none"/>
        </w:rPr>
        <w:t>磋商小组应当</w:t>
      </w:r>
      <w:r>
        <w:rPr>
          <w:rFonts w:hint="eastAsia" w:ascii="宋体" w:hAnsi="宋体"/>
          <w:color w:val="auto"/>
          <w:szCs w:val="21"/>
          <w:highlight w:val="none"/>
        </w:rPr>
        <w:t>根据本章第26.2</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w:t>
      </w:r>
      <w:r>
        <w:rPr>
          <w:rFonts w:hint="eastAsia" w:ascii="宋体" w:hAnsi="宋体" w:cs="宋体"/>
          <w:color w:val="auto"/>
          <w:kern w:val="0"/>
          <w:szCs w:val="21"/>
          <w:highlight w:val="none"/>
        </w:rPr>
        <w:t>对供应商重新提交的响应文件进行审查。供应商重新提交的响应文件审查不合格的，不得进入下一轮磋商，也不得要求提交最后报价。</w:t>
      </w:r>
    </w:p>
    <w:p w14:paraId="52EFC1B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（1）磋商文件能够详细列明采购需求的技术、服务要求的，磋商结束后，磋商小组应当要求所有继续参加磋商的供应商在规定时间内提交最后报价。</w:t>
      </w:r>
    </w:p>
    <w:p w14:paraId="1BC06557">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1525A">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bCs/>
          <w:color w:val="auto"/>
          <w:szCs w:val="21"/>
          <w:highlight w:val="none"/>
        </w:rPr>
        <w:t>30.3</w:t>
      </w:r>
      <w:r>
        <w:rPr>
          <w:rFonts w:hint="eastAsia" w:ascii="宋体" w:hAnsi="宋体"/>
          <w:bCs/>
          <w:color w:val="auto"/>
          <w:highlight w:val="none"/>
        </w:rPr>
        <w:t>重</w:t>
      </w:r>
      <w:r>
        <w:rPr>
          <w:rFonts w:hint="eastAsia" w:ascii="宋体" w:hAnsi="宋体" w:cs="宋体"/>
          <w:color w:val="auto"/>
          <w:kern w:val="0"/>
          <w:highlight w:val="none"/>
        </w:rPr>
        <w:t>新提交的响应文件</w:t>
      </w:r>
      <w:r>
        <w:rPr>
          <w:rFonts w:hint="eastAsia" w:ascii="宋体" w:hAnsi="宋体"/>
          <w:color w:val="auto"/>
          <w:highlight w:val="none"/>
        </w:rPr>
        <w:t>或者最后报价应按</w:t>
      </w:r>
      <w:r>
        <w:rPr>
          <w:rFonts w:hint="eastAsia" w:ascii="宋体" w:hAnsi="宋体" w:cs="宋体"/>
          <w:color w:val="auto"/>
          <w:kern w:val="0"/>
          <w:szCs w:val="21"/>
          <w:highlight w:val="none"/>
        </w:rPr>
        <w:t>本章第</w:t>
      </w:r>
      <w:r>
        <w:rPr>
          <w:rFonts w:hint="eastAsia" w:ascii="宋体" w:hAnsi="宋体"/>
          <w:color w:val="auto"/>
          <w:highlight w:val="none"/>
        </w:rPr>
        <w:t>21.3</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由其法定代表人或其委托代理人签字或者加盖</w:t>
      </w:r>
      <w:r>
        <w:rPr>
          <w:rFonts w:hint="eastAsia" w:ascii="宋体" w:hAnsi="宋体" w:cs="宋体"/>
          <w:color w:val="auto"/>
          <w:kern w:val="0"/>
          <w:highlight w:val="none"/>
        </w:rPr>
        <w:t>供应商单位</w:t>
      </w:r>
      <w:r>
        <w:rPr>
          <w:rFonts w:hint="eastAsia" w:ascii="宋体" w:hAnsi="宋体" w:cs="宋体"/>
          <w:color w:val="auto"/>
          <w:kern w:val="0"/>
          <w:szCs w:val="21"/>
          <w:highlight w:val="none"/>
        </w:rPr>
        <w:t>章，在规定时间内密封递交给磋商小组</w:t>
      </w:r>
      <w:r>
        <w:rPr>
          <w:rFonts w:hint="eastAsia" w:ascii="宋体" w:hAnsi="宋体"/>
          <w:bCs/>
          <w:color w:val="auto"/>
          <w:szCs w:val="21"/>
          <w:highlight w:val="none"/>
        </w:rPr>
        <w:t>。</w:t>
      </w:r>
    </w:p>
    <w:p w14:paraId="735B1457">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30.4</w:t>
      </w:r>
      <w:r>
        <w:rPr>
          <w:rFonts w:hint="eastAsia" w:ascii="宋体" w:hAnsi="宋体" w:cs="宋体"/>
          <w:color w:val="auto"/>
          <w:kern w:val="0"/>
          <w:szCs w:val="21"/>
          <w:highlight w:val="none"/>
          <w:lang w:val="zh-CN"/>
        </w:rPr>
        <w:t>供应商的</w:t>
      </w:r>
      <w:r>
        <w:rPr>
          <w:rFonts w:hint="eastAsia" w:ascii="宋体" w:hAnsi="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bCs/>
          <w:color w:val="auto"/>
          <w:szCs w:val="21"/>
          <w:highlight w:val="none"/>
        </w:rPr>
        <w:t>报价及</w:t>
      </w:r>
      <w:r>
        <w:rPr>
          <w:rFonts w:hint="eastAsia" w:ascii="宋体" w:hAnsi="宋体" w:cs="宋体"/>
          <w:color w:val="auto"/>
          <w:kern w:val="0"/>
          <w:szCs w:val="21"/>
          <w:highlight w:val="none"/>
        </w:rPr>
        <w:t>政府采购政策规定的价格扣除情况，磋商小组应召集所有参加最后报价的供应商当场开封</w:t>
      </w:r>
      <w:r>
        <w:rPr>
          <w:rFonts w:hint="eastAsia" w:ascii="宋体" w:hAnsi="宋体"/>
          <w:bCs/>
          <w:color w:val="auto"/>
          <w:szCs w:val="21"/>
          <w:highlight w:val="none"/>
        </w:rPr>
        <w:t>公布，并由供应商代表签字确认。</w:t>
      </w:r>
    </w:p>
    <w:p w14:paraId="7591131E">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30.5提交首次响应文件的供应商，在提交最后报价之前，可以根据磋商情况退出磋商，</w:t>
      </w:r>
      <w:r>
        <w:rPr>
          <w:rFonts w:hint="eastAsia" w:ascii="宋体" w:hAnsi="宋体" w:cs="宋体"/>
          <w:color w:val="auto"/>
          <w:kern w:val="0"/>
          <w:highlight w:val="none"/>
        </w:rPr>
        <w:t>并书面通知采购代理机构或者磋商小组。</w:t>
      </w:r>
      <w:r>
        <w:rPr>
          <w:rFonts w:hint="eastAsia" w:ascii="宋体" w:hAnsi="宋体"/>
          <w:color w:val="auto"/>
          <w:highlight w:val="none"/>
        </w:rPr>
        <w:t>该通知由供应商法定代表人或其委托代理人签字。</w:t>
      </w:r>
      <w:r>
        <w:rPr>
          <w:rFonts w:hint="eastAsia" w:ascii="宋体" w:hAnsi="宋体" w:cs="宋体"/>
          <w:color w:val="auto"/>
          <w:kern w:val="0"/>
          <w:szCs w:val="21"/>
          <w:highlight w:val="none"/>
        </w:rPr>
        <w:t>采购代理机构</w:t>
      </w:r>
      <w:r>
        <w:rPr>
          <w:rFonts w:hint="eastAsia" w:ascii="宋体" w:hAnsi="宋体" w:cs="宋体"/>
          <w:color w:val="auto"/>
          <w:kern w:val="0"/>
          <w:highlight w:val="none"/>
        </w:rPr>
        <w:t>按</w:t>
      </w:r>
      <w:r>
        <w:rPr>
          <w:rFonts w:hint="eastAsia" w:ascii="宋体" w:hAnsi="宋体" w:cs="宋体"/>
          <w:color w:val="auto"/>
          <w:kern w:val="0"/>
          <w:szCs w:val="21"/>
          <w:highlight w:val="none"/>
        </w:rPr>
        <w:t>本章第</w:t>
      </w:r>
      <w:r>
        <w:rPr>
          <w:rFonts w:hint="eastAsia" w:ascii="宋体" w:hAnsi="宋体"/>
          <w:color w:val="auto"/>
          <w:highlight w:val="none"/>
        </w:rPr>
        <w:t>19.4</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退还退出磋商的供应商的磋商保证金。</w:t>
      </w:r>
    </w:p>
    <w:p w14:paraId="73E1BC65">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bCs/>
          <w:color w:val="auto"/>
          <w:szCs w:val="21"/>
          <w:highlight w:val="none"/>
        </w:rPr>
        <w:t>30.6</w:t>
      </w:r>
      <w:r>
        <w:rPr>
          <w:rFonts w:hint="eastAsia" w:ascii="宋体" w:hAnsi="宋体" w:cs="宋体"/>
          <w:color w:val="auto"/>
          <w:kern w:val="0"/>
          <w:szCs w:val="21"/>
          <w:highlight w:val="none"/>
        </w:rPr>
        <w:t>提交首次响应文件的供应商，未按磋商文件规定及磋商小组要求提交最后报价(或者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新提交的响应文件和最后报价)，且又</w:t>
      </w:r>
      <w:r>
        <w:rPr>
          <w:rFonts w:hint="eastAsia" w:ascii="宋体" w:hAnsi="宋体" w:cs="宋体"/>
          <w:color w:val="auto"/>
          <w:kern w:val="0"/>
          <w:highlight w:val="none"/>
        </w:rPr>
        <w:t>未按</w:t>
      </w:r>
      <w:r>
        <w:rPr>
          <w:rFonts w:hint="eastAsia" w:ascii="宋体" w:hAnsi="宋体" w:cs="宋体"/>
          <w:color w:val="auto"/>
          <w:kern w:val="0"/>
          <w:szCs w:val="21"/>
          <w:highlight w:val="none"/>
        </w:rPr>
        <w:t>本章第</w:t>
      </w:r>
      <w:r>
        <w:rPr>
          <w:rFonts w:hint="eastAsia" w:ascii="宋体" w:hAnsi="宋体"/>
          <w:color w:val="auto"/>
          <w:highlight w:val="none"/>
        </w:rPr>
        <w:t>30.5</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退出磋商的，供应商的磋商保证金不予退还。</w:t>
      </w:r>
    </w:p>
    <w:p w14:paraId="736D1F84">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30.7磋商文件在磋商过程中未发生实质性变动的，参加磋商供应商的次轮报价不得高于上轮报价，否则视为无效响应。</w:t>
      </w:r>
    </w:p>
    <w:p w14:paraId="11CBD2B5">
      <w:pPr>
        <w:widowControl/>
        <w:adjustRightInd w:val="0"/>
        <w:snapToGrid w:val="0"/>
        <w:spacing w:line="360" w:lineRule="auto"/>
        <w:jc w:val="left"/>
        <w:rPr>
          <w:rFonts w:ascii="宋体" w:hAnsi="宋体"/>
          <w:b/>
          <w:bCs/>
          <w:color w:val="auto"/>
          <w:szCs w:val="21"/>
          <w:highlight w:val="none"/>
        </w:rPr>
      </w:pPr>
      <w:r>
        <w:rPr>
          <w:rFonts w:hint="eastAsia" w:ascii="宋体" w:hAnsi="宋体" w:cs="宋体"/>
          <w:b/>
          <w:color w:val="auto"/>
          <w:kern w:val="0"/>
          <w:szCs w:val="21"/>
          <w:highlight w:val="none"/>
        </w:rPr>
        <w:t>31.响应文件评审</w:t>
      </w:r>
    </w:p>
    <w:p w14:paraId="39238A23">
      <w:pPr>
        <w:widowControl/>
        <w:adjustRightInd w:val="0"/>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31.1经磋商确定最终采购需求和提交最后报价的供应商后，由磋商小组采用综合评分法对提交最后报价的供应商的响应文件和最后报价进行综合评价。</w:t>
      </w:r>
    </w:p>
    <w:p w14:paraId="7E52B381">
      <w:pPr>
        <w:widowControl/>
        <w:adjustRightInd w:val="0"/>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highlight w:val="none"/>
        </w:rPr>
        <w:t>磋商须知前附表。</w:t>
      </w:r>
    </w:p>
    <w:p w14:paraId="72DEDB36">
      <w:pPr>
        <w:widowControl/>
        <w:adjustRightInd w:val="0"/>
        <w:snapToGrid w:val="0"/>
        <w:spacing w:before="120" w:beforeLines="50" w:line="360" w:lineRule="auto"/>
        <w:ind w:firstLine="420" w:firstLineChars="200"/>
        <w:jc w:val="left"/>
        <w:rPr>
          <w:rFonts w:ascii="宋体" w:hAnsi="宋体"/>
          <w:bCs/>
          <w:color w:val="auto"/>
          <w:szCs w:val="21"/>
          <w:highlight w:val="none"/>
        </w:rPr>
      </w:pPr>
      <w:r>
        <w:rPr>
          <w:rFonts w:hint="eastAsia" w:ascii="宋体" w:hAnsi="宋体" w:cs="宋体"/>
          <w:color w:val="auto"/>
          <w:kern w:val="0"/>
          <w:szCs w:val="21"/>
          <w:highlight w:val="none"/>
        </w:rPr>
        <w:t>31.3</w:t>
      </w:r>
      <w:r>
        <w:rPr>
          <w:rFonts w:hint="eastAsia" w:ascii="宋体" w:hAnsi="宋体"/>
          <w:color w:val="auto"/>
          <w:szCs w:val="21"/>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5B120A86">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31.4综合评分法中的价格分采用低价优先法计算，即满足磋商文件要求且经调整后的最后报价最低的供应商的价格为磋商基准价，其价格分为满分。其他供应商的价格分按照下列公式计算：</w:t>
      </w:r>
    </w:p>
    <w:p w14:paraId="5CDCC3CF">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磋商报价得分=（磋商基准价/最后磋商报价）×价格权值×100</w:t>
      </w:r>
    </w:p>
    <w:p w14:paraId="5DB06706">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项目评审过程中，不得去掉最后报价中的最高报价和最低报价。</w:t>
      </w:r>
    </w:p>
    <w:p w14:paraId="4213AE0A">
      <w:pPr>
        <w:widowControl/>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31.5</w:t>
      </w:r>
      <w:r>
        <w:rPr>
          <w:rFonts w:hint="eastAsia" w:ascii="宋体" w:hAnsi="宋体"/>
          <w:color w:val="auto"/>
          <w:szCs w:val="21"/>
          <w:highlight w:val="none"/>
        </w:rPr>
        <w:t>涉及政府采购政策优惠对供应商分值进行调整的，</w:t>
      </w:r>
      <w:r>
        <w:rPr>
          <w:rFonts w:hint="eastAsia" w:ascii="宋体" w:hAnsi="宋体"/>
          <w:bCs/>
          <w:color w:val="auto"/>
          <w:szCs w:val="21"/>
          <w:highlight w:val="none"/>
        </w:rPr>
        <w:t>按</w:t>
      </w:r>
      <w:r>
        <w:rPr>
          <w:rFonts w:hint="eastAsia" w:ascii="宋体" w:hAnsi="宋体"/>
          <w:b/>
          <w:color w:val="auto"/>
          <w:szCs w:val="21"/>
          <w:highlight w:val="none"/>
        </w:rPr>
        <w:t>磋商须知前附表</w:t>
      </w:r>
      <w:r>
        <w:rPr>
          <w:rFonts w:hint="eastAsia" w:ascii="宋体" w:hAnsi="宋体"/>
          <w:bCs/>
          <w:color w:val="auto"/>
          <w:szCs w:val="21"/>
          <w:highlight w:val="none"/>
        </w:rPr>
        <w:t>规定</w:t>
      </w:r>
      <w:r>
        <w:rPr>
          <w:rFonts w:hint="eastAsia" w:ascii="宋体" w:hAnsi="宋体"/>
          <w:color w:val="auto"/>
          <w:szCs w:val="21"/>
          <w:highlight w:val="none"/>
        </w:rPr>
        <w:t>调整供应商的技术、商务、价格</w:t>
      </w:r>
      <w:r>
        <w:rPr>
          <w:rFonts w:hint="eastAsia" w:ascii="宋体" w:hAnsi="宋体" w:cs="宋体"/>
          <w:color w:val="auto"/>
          <w:kern w:val="0"/>
          <w:szCs w:val="21"/>
          <w:highlight w:val="none"/>
        </w:rPr>
        <w:t>得分或总得分</w:t>
      </w:r>
      <w:r>
        <w:rPr>
          <w:rFonts w:hint="eastAsia" w:ascii="宋体" w:hAnsi="宋体"/>
          <w:color w:val="auto"/>
          <w:szCs w:val="21"/>
          <w:highlight w:val="none"/>
        </w:rPr>
        <w:t>。</w:t>
      </w:r>
    </w:p>
    <w:p w14:paraId="44152BE8">
      <w:pPr>
        <w:adjustRightInd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31.6涉及多处或部分获得政府采购政策优惠的，其多处或部分享受政府采购优惠政策的计算方法见</w:t>
      </w:r>
      <w:r>
        <w:rPr>
          <w:rFonts w:hint="eastAsia" w:ascii="宋体" w:hAnsi="宋体"/>
          <w:b/>
          <w:color w:val="auto"/>
          <w:szCs w:val="21"/>
          <w:highlight w:val="none"/>
        </w:rPr>
        <w:t>磋商须知前附表</w:t>
      </w:r>
      <w:r>
        <w:rPr>
          <w:rFonts w:hint="eastAsia" w:ascii="宋体" w:hAnsi="宋体"/>
          <w:color w:val="auto"/>
          <w:szCs w:val="21"/>
          <w:highlight w:val="none"/>
        </w:rPr>
        <w:t>相关规定。</w:t>
      </w:r>
    </w:p>
    <w:p w14:paraId="789BCFFD">
      <w:pPr>
        <w:widowControl/>
        <w:adjustRightInd w:val="0"/>
        <w:snapToGrid w:val="0"/>
        <w:spacing w:before="120" w:beforeLines="50"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31.7</w:t>
      </w:r>
      <w:r>
        <w:rPr>
          <w:rFonts w:hint="eastAsia" w:ascii="宋体" w:hAnsi="宋体"/>
          <w:color w:val="auto"/>
          <w:szCs w:val="21"/>
          <w:highlight w:val="none"/>
        </w:rPr>
        <w:t>评审时，磋商小组各成员应当独立对每个供应商的</w:t>
      </w:r>
      <w:r>
        <w:rPr>
          <w:rFonts w:hint="eastAsia" w:ascii="宋体" w:hAnsi="宋体"/>
          <w:bCs/>
          <w:color w:val="auto"/>
          <w:szCs w:val="21"/>
          <w:highlight w:val="none"/>
        </w:rPr>
        <w:t>响应文件</w:t>
      </w:r>
      <w:r>
        <w:rPr>
          <w:rFonts w:hint="eastAsia" w:ascii="宋体" w:hAnsi="宋体"/>
          <w:color w:val="auto"/>
          <w:szCs w:val="21"/>
          <w:highlight w:val="none"/>
        </w:rPr>
        <w:t>进行评价、评分，并按照政府采购优惠政策对最后报价进行价格扣除和技术、商务、价格加分后，汇总各供应商的总得分。</w:t>
      </w:r>
    </w:p>
    <w:p w14:paraId="0EBB5E4C">
      <w:pPr>
        <w:widowControl/>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32</w:t>
      </w:r>
      <w:r>
        <w:rPr>
          <w:rFonts w:hint="eastAsia" w:ascii="宋体" w:hAnsi="宋体" w:cs="宋体"/>
          <w:b/>
          <w:color w:val="auto"/>
          <w:kern w:val="0"/>
          <w:szCs w:val="21"/>
          <w:highlight w:val="none"/>
        </w:rPr>
        <w:t>.</w:t>
      </w:r>
      <w:r>
        <w:rPr>
          <w:rFonts w:hint="eastAsia" w:ascii="宋体" w:hAnsi="宋体"/>
          <w:b/>
          <w:bCs/>
          <w:color w:val="auto"/>
          <w:szCs w:val="21"/>
          <w:highlight w:val="none"/>
        </w:rPr>
        <w:t>提出成交供应商</w:t>
      </w:r>
    </w:p>
    <w:p w14:paraId="3802215A">
      <w:pPr>
        <w:widowControl/>
        <w:spacing w:line="420" w:lineRule="atLeast"/>
        <w:jc w:val="center"/>
        <w:rPr>
          <w:rFonts w:ascii="宋体" w:hAnsi="宋体"/>
          <w:bCs/>
          <w:color w:val="auto"/>
          <w:szCs w:val="21"/>
          <w:highlight w:val="none"/>
        </w:rPr>
      </w:pPr>
      <w:r>
        <w:rPr>
          <w:rFonts w:hint="eastAsia" w:ascii="宋体" w:hAnsi="宋体" w:cs="宋体"/>
          <w:color w:val="auto"/>
          <w:kern w:val="0"/>
          <w:szCs w:val="21"/>
          <w:highlight w:val="none"/>
        </w:rPr>
        <w:t xml:space="preserve">    32.1</w:t>
      </w:r>
      <w:r>
        <w:rPr>
          <w:rFonts w:hint="eastAsia" w:ascii="宋体" w:hAnsi="宋体"/>
          <w:bCs/>
          <w:color w:val="auto"/>
          <w:szCs w:val="21"/>
          <w:highlight w:val="none"/>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18234992">
      <w:pPr>
        <w:widowControl/>
        <w:spacing w:line="420" w:lineRule="atLeast"/>
        <w:rPr>
          <w:rFonts w:ascii="宋体" w:hAnsi="宋体"/>
          <w:bCs/>
          <w:color w:val="auto"/>
          <w:szCs w:val="21"/>
          <w:highlight w:val="none"/>
        </w:rPr>
      </w:pPr>
      <w:r>
        <w:rPr>
          <w:rFonts w:hint="eastAsia" w:ascii="宋体" w:hAnsi="宋体"/>
          <w:bCs/>
          <w:color w:val="auto"/>
          <w:szCs w:val="21"/>
          <w:highlight w:val="none"/>
        </w:rPr>
        <w:t>库〔2014〕214号)</w:t>
      </w:r>
      <w:r>
        <w:rPr>
          <w:rFonts w:hint="eastAsia" w:ascii="宋体" w:hAnsi="宋体" w:cs="宋体"/>
          <w:color w:val="auto"/>
          <w:kern w:val="0"/>
          <w:szCs w:val="21"/>
          <w:highlight w:val="none"/>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highlight w:val="none"/>
        </w:rPr>
        <w:t>可以推荐2家成交候选供应商。</w:t>
      </w:r>
    </w:p>
    <w:p w14:paraId="317053F9">
      <w:pPr>
        <w:widowControl/>
        <w:spacing w:line="420" w:lineRule="atLeast"/>
        <w:rPr>
          <w:rFonts w:ascii="宋体" w:hAnsi="宋体" w:cs="宋体"/>
          <w:color w:val="auto"/>
          <w:kern w:val="0"/>
          <w:szCs w:val="21"/>
          <w:highlight w:val="none"/>
        </w:rPr>
      </w:pPr>
    </w:p>
    <w:p w14:paraId="04D2398F">
      <w:pPr>
        <w:tabs>
          <w:tab w:val="left" w:pos="0"/>
        </w:tabs>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33.确定成交供应商</w:t>
      </w:r>
    </w:p>
    <w:p w14:paraId="05F01A12">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33.1采购代理机构应当在评审结束后2个工作日内将评审报告送采购人确认。</w:t>
      </w:r>
    </w:p>
    <w:p w14:paraId="77E77252">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33.2采购人应当在收到评审报告后5个工作日内，从评审报告提出的成交候选供应商中，按照排序由高到低的原则确定成交供应商，也可以书面授权磋商小组直接确定成交供应商。</w:t>
      </w:r>
    </w:p>
    <w:p w14:paraId="3718E7DA">
      <w:pPr>
        <w:pStyle w:val="14"/>
        <w:adjustRightInd w:val="0"/>
        <w:snapToGrid w:val="0"/>
        <w:spacing w:line="360" w:lineRule="auto"/>
        <w:ind w:left="632" w:hanging="632" w:hangingChars="300"/>
        <w:rPr>
          <w:rFonts w:hAnsi="宋体"/>
          <w:b/>
          <w:color w:val="auto"/>
          <w:highlight w:val="none"/>
        </w:rPr>
      </w:pPr>
      <w:r>
        <w:rPr>
          <w:rFonts w:hint="eastAsia" w:hAnsi="宋体"/>
          <w:b/>
          <w:color w:val="auto"/>
          <w:highlight w:val="none"/>
        </w:rPr>
        <w:t>34.磋商终止</w:t>
      </w:r>
    </w:p>
    <w:p w14:paraId="690EB521">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bCs/>
          <w:color w:val="auto"/>
          <w:szCs w:val="21"/>
          <w:highlight w:val="none"/>
        </w:rPr>
        <w:t>34.1</w:t>
      </w:r>
      <w:r>
        <w:rPr>
          <w:rFonts w:hint="eastAsia" w:ascii="宋体" w:hAnsi="宋体" w:cs="宋体"/>
          <w:color w:val="auto"/>
          <w:kern w:val="0"/>
          <w:szCs w:val="21"/>
          <w:highlight w:val="none"/>
        </w:rPr>
        <w:t>出现下列情形之一的，采购人或者采购代理机构应当终止竞争性磋商采购活动，</w:t>
      </w:r>
      <w:r>
        <w:rPr>
          <w:rFonts w:hint="eastAsia" w:ascii="宋体" w:hAnsi="宋体"/>
          <w:color w:val="auto"/>
          <w:highlight w:val="none"/>
        </w:rPr>
        <w:t>在本章第37.1款指定的媒体上</w:t>
      </w:r>
      <w:r>
        <w:rPr>
          <w:rFonts w:hint="eastAsia" w:ascii="宋体" w:hAnsi="宋体" w:cs="宋体"/>
          <w:color w:val="auto"/>
          <w:kern w:val="0"/>
          <w:szCs w:val="21"/>
          <w:highlight w:val="none"/>
        </w:rPr>
        <w:t xml:space="preserve">发布项目终止公告并说明原因，重新开展采购活动： </w:t>
      </w:r>
    </w:p>
    <w:p w14:paraId="6218CE58">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（1）因情况变化，不再符合规定的竞争性磋商采购方式适用情形的；</w:t>
      </w:r>
    </w:p>
    <w:p w14:paraId="1EF899D3">
      <w:pPr>
        <w:widowControl/>
        <w:adjustRightInd w:val="0"/>
        <w:snapToGri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（2）出现影响采购公正的违法、违规行为的；</w:t>
      </w:r>
    </w:p>
    <w:p w14:paraId="0712532E">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cs="宋体"/>
          <w:color w:val="auto"/>
          <w:kern w:val="0"/>
          <w:szCs w:val="21"/>
          <w:highlight w:val="none"/>
        </w:rPr>
        <w:t>（3）</w:t>
      </w:r>
      <w:r>
        <w:rPr>
          <w:rFonts w:hint="eastAsia" w:ascii="宋体" w:hAnsi="宋体"/>
          <w:bCs/>
          <w:color w:val="auto"/>
          <w:szCs w:val="21"/>
          <w:highlight w:val="none"/>
        </w:rPr>
        <w:t>除《政府采购竞争性磋商采购方式管理暂行办法》(财库〔2014〕214号)</w:t>
      </w:r>
      <w:r>
        <w:rPr>
          <w:rFonts w:hint="eastAsia" w:ascii="宋体" w:hAnsi="宋体" w:cs="宋体"/>
          <w:color w:val="auto"/>
          <w:kern w:val="0"/>
          <w:szCs w:val="21"/>
          <w:highlight w:val="none"/>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highlight w:val="none"/>
        </w:rPr>
        <w:t>情形外，在采购过程中符合要求的供应商或者报价未超过采购预算的供应商不足3家的；</w:t>
      </w:r>
    </w:p>
    <w:p w14:paraId="6B5073B9">
      <w:pPr>
        <w:widowControl/>
        <w:adjustRightInd w:val="0"/>
        <w:snapToGrid w:val="0"/>
        <w:spacing w:line="360" w:lineRule="auto"/>
        <w:ind w:firstLine="420"/>
        <w:jc w:val="left"/>
        <w:rPr>
          <w:rFonts w:ascii="宋体" w:hAnsi="宋体"/>
          <w:bCs/>
          <w:color w:val="auto"/>
          <w:szCs w:val="21"/>
          <w:highlight w:val="none"/>
        </w:rPr>
      </w:pPr>
      <w:r>
        <w:rPr>
          <w:rFonts w:hint="eastAsia" w:ascii="宋体" w:hAnsi="宋体" w:cs="宋体"/>
          <w:color w:val="auto"/>
          <w:kern w:val="0"/>
          <w:szCs w:val="21"/>
          <w:highlight w:val="none"/>
        </w:rPr>
        <w:t>（4）因重大变故，采购任务取消的。</w:t>
      </w:r>
    </w:p>
    <w:p w14:paraId="24EFFF3C">
      <w:pPr>
        <w:widowControl/>
        <w:adjustRightInd w:val="0"/>
        <w:snapToGrid w:val="0"/>
        <w:spacing w:line="360" w:lineRule="auto"/>
        <w:jc w:val="left"/>
        <w:rPr>
          <w:rFonts w:ascii="宋体" w:hAnsi="宋体" w:cs="宋体"/>
          <w:b/>
          <w:color w:val="auto"/>
          <w:kern w:val="0"/>
          <w:szCs w:val="21"/>
          <w:highlight w:val="none"/>
        </w:rPr>
      </w:pPr>
      <w:r>
        <w:rPr>
          <w:rFonts w:hint="eastAsia" w:ascii="宋体" w:hAnsi="宋体" w:cs="宋体"/>
          <w:b/>
          <w:color w:val="auto"/>
          <w:kern w:val="0"/>
          <w:szCs w:val="21"/>
          <w:highlight w:val="none"/>
        </w:rPr>
        <w:t>35．重新评审</w:t>
      </w:r>
    </w:p>
    <w:p w14:paraId="521DB30F">
      <w:pPr>
        <w:widowControl/>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1BB1CFE3">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36.保密及串通行为</w:t>
      </w:r>
    </w:p>
    <w:p w14:paraId="6E63639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36.1磋商小组成员以及与评审工作有关的人员不得泄露评审情况以及评审过程中获悉的国家秘密、商业秘密。</w:t>
      </w:r>
    </w:p>
    <w:p w14:paraId="456C915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36.2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或者磋商小组成员行贿或者提供其他不正当利益；不得提供虚假资料谋取成交；不得以任何方式干扰、影响采购工作。</w:t>
      </w:r>
    </w:p>
    <w:p w14:paraId="086ED211">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s="Arial"/>
          <w:color w:val="auto"/>
          <w:sz w:val="21"/>
          <w:szCs w:val="21"/>
          <w:highlight w:val="none"/>
        </w:rPr>
        <w:t>36.3</w:t>
      </w:r>
      <w:r>
        <w:rPr>
          <w:rFonts w:hint="eastAsia"/>
          <w:color w:val="auto"/>
          <w:sz w:val="21"/>
          <w:szCs w:val="21"/>
          <w:highlight w:val="none"/>
          <w:lang w:val="zh-CN"/>
        </w:rPr>
        <w:t>有下列情形之一的，属于恶意串通，对供应商依照政府采购法第七十七条第一款的规定追究法律责任：</w:t>
      </w:r>
    </w:p>
    <w:p w14:paraId="4A38C778">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（一）供应商直接或者间接从采购人或者采购代理机构处获得其他供应商的相关情况并修改其投标文件或者响应文件；</w:t>
      </w:r>
    </w:p>
    <w:p w14:paraId="4BED269F">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（二）供应商按照采购人或者采购代理机构的授意撤换、修改投标文件或者响应文件；</w:t>
      </w:r>
    </w:p>
    <w:p w14:paraId="63370D23">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（三）供应商之间协商报价、技术方案等投标文件或者响应文件的实质性内容；</w:t>
      </w:r>
    </w:p>
    <w:p w14:paraId="44AF177B">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（四）属于同一集团、协会、商会等组织成员的供应商按照该组织要求协同参加政府采购活动；</w:t>
      </w:r>
    </w:p>
    <w:p w14:paraId="30A46569">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（五）供应商之间事先约定由某一特定供应商中标、成交；</w:t>
      </w:r>
    </w:p>
    <w:p w14:paraId="4C26F04C">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（六）供应商之间商定部分供应商放弃参加政府采购活动或者放弃中标、成交；</w:t>
      </w:r>
    </w:p>
    <w:p w14:paraId="1AA34EF2">
      <w:pPr>
        <w:pStyle w:val="22"/>
        <w:adjustRightInd w:val="0"/>
        <w:snapToGrid w:val="0"/>
        <w:spacing w:before="0" w:beforeAutospacing="0" w:after="0" w:afterAutospacing="0" w:line="360" w:lineRule="auto"/>
        <w:ind w:firstLine="420" w:firstLineChars="200"/>
        <w:rPr>
          <w:color w:val="auto"/>
          <w:sz w:val="21"/>
          <w:szCs w:val="21"/>
          <w:highlight w:val="none"/>
          <w:lang w:val="zh-CN"/>
        </w:rPr>
      </w:pPr>
      <w:r>
        <w:rPr>
          <w:rFonts w:hint="eastAsia"/>
          <w:color w:val="auto"/>
          <w:sz w:val="21"/>
          <w:szCs w:val="21"/>
          <w:highlight w:val="none"/>
          <w:lang w:val="zh-CN"/>
        </w:rPr>
        <w:t>（七）供应商与采购人或者采购代理机构之间、供应商相互之间，为谋求特定供应商中标、成交或者排斥其他供应商的其他串通行为。</w:t>
      </w:r>
    </w:p>
    <w:p w14:paraId="0F013C7A">
      <w:pPr>
        <w:adjustRightInd w:val="0"/>
        <w:snapToGrid w:val="0"/>
        <w:spacing w:line="360" w:lineRule="auto"/>
        <w:rPr>
          <w:rFonts w:ascii="黑体" w:hAnsi="宋体" w:eastAsia="黑体"/>
          <w:color w:val="auto"/>
          <w:sz w:val="24"/>
          <w:highlight w:val="none"/>
        </w:rPr>
      </w:pPr>
      <w:r>
        <w:rPr>
          <w:rFonts w:hint="eastAsia" w:ascii="黑体" w:hAnsi="宋体" w:eastAsia="黑体"/>
          <w:color w:val="auto"/>
          <w:sz w:val="24"/>
          <w:highlight w:val="none"/>
        </w:rPr>
        <w:t>六、成交结果信息公布与授予合同</w:t>
      </w:r>
    </w:p>
    <w:p w14:paraId="5C2A2235">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37.成交信息的公布</w:t>
      </w:r>
    </w:p>
    <w:p w14:paraId="57975288">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37.1成交供应商确定后2个工作日内，成交结果信息将在</w:t>
      </w:r>
      <w:r>
        <w:rPr>
          <w:rFonts w:hint="eastAsia" w:hAnsi="宋体"/>
          <w:b/>
          <w:color w:val="auto"/>
          <w:highlight w:val="none"/>
        </w:rPr>
        <w:t>磋商须知前附表</w:t>
      </w:r>
      <w:r>
        <w:rPr>
          <w:rFonts w:hint="eastAsia" w:hAnsi="宋体"/>
          <w:color w:val="auto"/>
          <w:highlight w:val="none"/>
        </w:rPr>
        <w:t>指定的媒体上公布。</w:t>
      </w:r>
    </w:p>
    <w:p w14:paraId="2974F461">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38.询问及质疑</w:t>
      </w:r>
    </w:p>
    <w:p w14:paraId="31BDE604">
      <w:pPr>
        <w:adjustRightInd w:val="0"/>
        <w:snapToGrid w:val="0"/>
        <w:spacing w:line="360" w:lineRule="auto"/>
        <w:ind w:firstLine="420" w:firstLineChars="200"/>
        <w:jc w:val="left"/>
        <w:rPr>
          <w:rFonts w:hAnsi="宋体"/>
          <w:color w:val="auto"/>
          <w:highlight w:val="none"/>
        </w:rPr>
      </w:pPr>
      <w:r>
        <w:rPr>
          <w:rFonts w:hint="eastAsia" w:ascii="宋体" w:hAnsi="宋体"/>
          <w:color w:val="auto"/>
          <w:szCs w:val="21"/>
          <w:highlight w:val="none"/>
        </w:rPr>
        <w:t>38.1供应商对政府采购活动事项有疑问的，可以向采购人或采购代理机构提出询问。</w:t>
      </w:r>
    </w:p>
    <w:p w14:paraId="145A43F5">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38.2供应商若认为磋商文件、采购过程和成交结果使自己的权益受到损害，可以按法律、行政法规及湖南省财政厅规范性文件规定向采购人或采购代理机构提出质疑。</w:t>
      </w:r>
    </w:p>
    <w:p w14:paraId="7838EA2F">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39.成交通知</w:t>
      </w:r>
    </w:p>
    <w:p w14:paraId="7F123FAD">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39.1成交供应商确定后，采购人或采购代理机构将以书面形式向成交供应商发出成交通知书。成交通知书对采购人和成交供应商具有同等法律效力。</w:t>
      </w:r>
    </w:p>
    <w:p w14:paraId="5355F3CE">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39.2 成交通知书是合同文件的组成部分。</w:t>
      </w:r>
    </w:p>
    <w:p w14:paraId="01AC30F2">
      <w:pPr>
        <w:tabs>
          <w:tab w:val="left" w:pos="7560"/>
          <w:tab w:val="left" w:pos="7740"/>
          <w:tab w:val="left" w:pos="7920"/>
        </w:tabs>
        <w:autoSpaceDN w:val="0"/>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 xml:space="preserve">39.3 </w:t>
      </w:r>
      <w:r>
        <w:rPr>
          <w:rFonts w:hint="eastAsia" w:ascii="宋体" w:hAnsi="宋体"/>
          <w:color w:val="auto"/>
          <w:szCs w:val="21"/>
          <w:highlight w:val="none"/>
        </w:rPr>
        <w:t>成交供应商在收到采购代理机构的成交通知书后10日内，应按照</w:t>
      </w:r>
      <w:r>
        <w:rPr>
          <w:rFonts w:hint="eastAsia" w:ascii="宋体" w:hAnsi="宋体"/>
          <w:b/>
          <w:color w:val="auto"/>
          <w:szCs w:val="21"/>
          <w:highlight w:val="none"/>
        </w:rPr>
        <w:t>磋商须知前附表</w:t>
      </w:r>
      <w:r>
        <w:rPr>
          <w:rFonts w:hint="eastAsia" w:ascii="宋体" w:hAnsi="宋体"/>
          <w:color w:val="auto"/>
          <w:szCs w:val="21"/>
          <w:highlight w:val="none"/>
        </w:rPr>
        <w:t>的规定，向采购人提交履约担保。联合体成交的，履约担保由联合体各方或联合体中牵头人的名义提交。</w:t>
      </w:r>
    </w:p>
    <w:p w14:paraId="764C3329">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39.4 成交供应商</w:t>
      </w:r>
      <w:r>
        <w:rPr>
          <w:rFonts w:hint="eastAsia" w:hAnsi="宋体"/>
          <w:color w:val="auto"/>
          <w:spacing w:val="4"/>
          <w:highlight w:val="none"/>
        </w:rPr>
        <w:t>没有按照本章第39.3</w:t>
      </w:r>
      <w:r>
        <w:rPr>
          <w:rFonts w:hint="eastAsia" w:hAnsi="宋体" w:cs="宋体"/>
          <w:color w:val="auto"/>
          <w:kern w:val="0"/>
          <w:highlight w:val="none"/>
          <w:lang w:val="zh-CN"/>
        </w:rPr>
        <w:t>款</w:t>
      </w:r>
      <w:r>
        <w:rPr>
          <w:rFonts w:hint="eastAsia" w:hAnsi="宋体"/>
          <w:color w:val="auto"/>
          <w:spacing w:val="4"/>
          <w:highlight w:val="none"/>
        </w:rPr>
        <w:t>规定</w:t>
      </w:r>
      <w:r>
        <w:rPr>
          <w:rFonts w:hint="eastAsia" w:hAnsi="宋体"/>
          <w:color w:val="auto"/>
          <w:highlight w:val="none"/>
        </w:rPr>
        <w:t>提交履约担保的</w:t>
      </w:r>
      <w:r>
        <w:rPr>
          <w:rFonts w:hint="eastAsia" w:hAnsi="宋体"/>
          <w:color w:val="auto"/>
          <w:spacing w:val="4"/>
          <w:highlight w:val="none"/>
        </w:rPr>
        <w:t>，视为放弃</w:t>
      </w:r>
      <w:r>
        <w:rPr>
          <w:rFonts w:hint="eastAsia" w:hAnsi="宋体"/>
          <w:color w:val="auto"/>
          <w:highlight w:val="none"/>
        </w:rPr>
        <w:t>成交资格</w:t>
      </w:r>
      <w:r>
        <w:rPr>
          <w:rFonts w:hint="eastAsia" w:hAnsi="宋体"/>
          <w:color w:val="auto"/>
          <w:spacing w:val="4"/>
          <w:highlight w:val="none"/>
        </w:rPr>
        <w:t>，</w:t>
      </w:r>
      <w:r>
        <w:rPr>
          <w:rFonts w:hint="eastAsia" w:hAnsi="宋体"/>
          <w:color w:val="auto"/>
          <w:spacing w:val="2"/>
          <w:highlight w:val="none"/>
        </w:rPr>
        <w:t>其保证金不予退还。</w:t>
      </w:r>
    </w:p>
    <w:p w14:paraId="51A99EAB">
      <w:pPr>
        <w:adjustRightInd w:val="0"/>
        <w:snapToGrid w:val="0"/>
        <w:spacing w:line="360" w:lineRule="auto"/>
        <w:rPr>
          <w:rFonts w:ascii="宋体" w:hAnsi="宋体"/>
          <w:b/>
          <w:bCs/>
          <w:color w:val="auto"/>
          <w:szCs w:val="21"/>
          <w:highlight w:val="none"/>
        </w:rPr>
      </w:pPr>
      <w:r>
        <w:rPr>
          <w:rFonts w:hint="eastAsia" w:ascii="宋体" w:hAnsi="宋体"/>
          <w:b/>
          <w:bCs/>
          <w:color w:val="auto"/>
          <w:szCs w:val="21"/>
          <w:highlight w:val="none"/>
        </w:rPr>
        <w:t>40.签订合同</w:t>
      </w:r>
    </w:p>
    <w:p w14:paraId="4E6F3E28">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40.1成交供应商应当在成交通知书发出之日起30日内与采购人签订政府采购合同。</w:t>
      </w:r>
    </w:p>
    <w:p w14:paraId="358EF238">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40.2磋商文件、成交供应商的响应文件等均为签订政府采购合同的依据。</w:t>
      </w:r>
    </w:p>
    <w:p w14:paraId="424431A3">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40.3 成交供应商应当按照合同约定履行义务。成交供应商不得向他人转让成交项目，也不得将成交项目分包后分别向他人转让。</w:t>
      </w:r>
    </w:p>
    <w:p w14:paraId="71727F80">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40.4 成交供应商有下列情形之一的，责令限期改正，情节严重的，列入不良行为记录名单，在1至3年内禁止参加政府采购活动，并予以通报：</w:t>
      </w:r>
    </w:p>
    <w:p w14:paraId="4935E5AB">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（一）成交后无正当理由不与采购人签订合同的；</w:t>
      </w:r>
    </w:p>
    <w:p w14:paraId="60B0963D">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（二）未按照采购文件确定的事项签订政府采购合同，或者与采购人另行订立背离合同实质性内容的协议的；</w:t>
      </w:r>
    </w:p>
    <w:p w14:paraId="5B0023FF">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（三）拒绝履行合同义务的；</w:t>
      </w:r>
    </w:p>
    <w:p w14:paraId="17458535">
      <w:pPr>
        <w:pStyle w:val="14"/>
        <w:adjustRightInd w:val="0"/>
        <w:snapToGrid w:val="0"/>
        <w:spacing w:line="360" w:lineRule="auto"/>
        <w:ind w:firstLine="420" w:firstLineChars="200"/>
        <w:rPr>
          <w:rFonts w:hAnsi="宋体" w:cs="宋体"/>
          <w:color w:val="auto"/>
          <w:kern w:val="0"/>
          <w:highlight w:val="none"/>
        </w:rPr>
      </w:pPr>
      <w:r>
        <w:rPr>
          <w:rFonts w:hint="eastAsia" w:hAnsi="宋体"/>
          <w:color w:val="auto"/>
          <w:highlight w:val="none"/>
        </w:rPr>
        <w:t>（四）</w:t>
      </w:r>
      <w:r>
        <w:rPr>
          <w:rFonts w:hint="eastAsia" w:hAnsi="宋体" w:cs="宋体"/>
          <w:color w:val="auto"/>
          <w:kern w:val="0"/>
          <w:highlight w:val="none"/>
        </w:rPr>
        <w:t>违反法律、规章、规范性文件规定的。</w:t>
      </w:r>
    </w:p>
    <w:p w14:paraId="7B9F55AC">
      <w:pPr>
        <w:adjustRightInd w:val="0"/>
        <w:snapToGrid w:val="0"/>
        <w:spacing w:line="360" w:lineRule="auto"/>
        <w:rPr>
          <w:rFonts w:ascii="黑体" w:hAnsi="宋体" w:eastAsia="黑体"/>
          <w:color w:val="auto"/>
          <w:sz w:val="24"/>
          <w:highlight w:val="none"/>
        </w:rPr>
      </w:pPr>
      <w:r>
        <w:rPr>
          <w:rFonts w:hint="eastAsia" w:ascii="黑体" w:hAnsi="宋体" w:eastAsia="黑体"/>
          <w:color w:val="auto"/>
          <w:sz w:val="24"/>
          <w:highlight w:val="none"/>
        </w:rPr>
        <w:t>七、其他规定</w:t>
      </w:r>
    </w:p>
    <w:p w14:paraId="5C1AEDC9">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41.1采购代理服务费</w:t>
      </w:r>
    </w:p>
    <w:p w14:paraId="3479B5A0">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41.1采购代理机构应按</w:t>
      </w:r>
      <w:r>
        <w:rPr>
          <w:rFonts w:hint="eastAsia" w:ascii="宋体" w:hAnsi="宋体"/>
          <w:b/>
          <w:color w:val="auto"/>
          <w:szCs w:val="21"/>
          <w:highlight w:val="none"/>
        </w:rPr>
        <w:t>磋商须知前附表</w:t>
      </w:r>
      <w:r>
        <w:rPr>
          <w:rFonts w:hint="eastAsia" w:ascii="宋体" w:hAnsi="宋体"/>
          <w:color w:val="auto"/>
          <w:szCs w:val="21"/>
          <w:highlight w:val="none"/>
        </w:rPr>
        <w:t>规定收取采购代理服务费。</w:t>
      </w:r>
    </w:p>
    <w:p w14:paraId="1A18BCD5">
      <w:pPr>
        <w:tabs>
          <w:tab w:val="left" w:pos="420"/>
          <w:tab w:val="left" w:pos="7560"/>
          <w:tab w:val="left" w:pos="7740"/>
          <w:tab w:val="left" w:pos="7920"/>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41.2集中采购机构不得收取采购代理服务费。</w:t>
      </w:r>
    </w:p>
    <w:p w14:paraId="184C5DB4">
      <w:pPr>
        <w:tabs>
          <w:tab w:val="left" w:pos="420"/>
          <w:tab w:val="left" w:pos="7560"/>
          <w:tab w:val="left" w:pos="7740"/>
          <w:tab w:val="left" w:pos="7920"/>
        </w:tabs>
        <w:adjustRightInd w:val="0"/>
        <w:snapToGrid w:val="0"/>
        <w:spacing w:line="360" w:lineRule="auto"/>
        <w:rPr>
          <w:rFonts w:hAnsi="宋体"/>
          <w:b/>
          <w:color w:val="auto"/>
          <w:highlight w:val="none"/>
        </w:rPr>
      </w:pPr>
      <w:r>
        <w:rPr>
          <w:rFonts w:hint="eastAsia" w:ascii="宋体" w:hAnsi="宋体"/>
          <w:b/>
          <w:color w:val="auto"/>
          <w:szCs w:val="21"/>
          <w:highlight w:val="none"/>
        </w:rPr>
        <w:t>42.</w:t>
      </w:r>
      <w:r>
        <w:rPr>
          <w:rFonts w:hint="eastAsia" w:hAnsi="宋体"/>
          <w:b/>
          <w:color w:val="auto"/>
          <w:highlight w:val="none"/>
        </w:rPr>
        <w:t>其他规定</w:t>
      </w:r>
    </w:p>
    <w:p w14:paraId="1349C483">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42.1</w:t>
      </w:r>
      <w:r>
        <w:rPr>
          <w:rFonts w:hint="eastAsia" w:ascii="宋体" w:hAnsi="宋体"/>
          <w:color w:val="auto"/>
          <w:szCs w:val="21"/>
          <w:highlight w:val="none"/>
        </w:rPr>
        <w:t>磋商文件</w:t>
      </w:r>
      <w:r>
        <w:rPr>
          <w:rFonts w:hint="eastAsia" w:hAnsi="宋体"/>
          <w:color w:val="auto"/>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磋商须知前附表</w:t>
      </w:r>
      <w:r>
        <w:rPr>
          <w:rFonts w:hint="eastAsia" w:ascii="宋体" w:hAnsi="宋体"/>
          <w:color w:val="auto"/>
          <w:szCs w:val="21"/>
          <w:highlight w:val="none"/>
        </w:rPr>
        <w:t>。</w:t>
      </w:r>
    </w:p>
    <w:p w14:paraId="145D94B1">
      <w:pPr>
        <w:spacing w:line="360" w:lineRule="auto"/>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 xml:space="preserve">42.1.2款  </w:t>
      </w:r>
      <w:r>
        <w:rPr>
          <w:rFonts w:hint="eastAsia" w:ascii="Times New Roman" w:hAnsi="宋体" w:eastAsia="宋体" w:cs="Times New Roman"/>
          <w:b/>
          <w:szCs w:val="21"/>
        </w:rPr>
        <w:t>其他规定</w:t>
      </w:r>
    </w:p>
    <w:p w14:paraId="2ED8BBB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Cs w:val="21"/>
          <w:lang w:eastAsia="zh-CN"/>
        </w:rPr>
      </w:pPr>
      <w:r>
        <w:rPr>
          <w:rFonts w:hint="eastAsia" w:ascii="宋体" w:hAnsi="宋体" w:eastAsia="宋体" w:cs="Times New Roman"/>
          <w:color w:val="auto"/>
          <w:szCs w:val="21"/>
          <w:lang w:val="en-US" w:eastAsia="zh-CN"/>
        </w:rPr>
        <w:t>供应商参与评审的响应报价出现下列情形之一的，</w:t>
      </w:r>
      <w:r>
        <w:rPr>
          <w:rFonts w:hint="eastAsia" w:ascii="宋体" w:hAnsi="宋体" w:eastAsia="宋体" w:cs="宋体"/>
          <w:color w:val="auto"/>
          <w:kern w:val="2"/>
          <w:sz w:val="21"/>
          <w:szCs w:val="21"/>
          <w:lang w:val="en-US" w:eastAsia="zh-CN" w:bidi="ar-SA"/>
        </w:rPr>
        <w:t>磋商</w:t>
      </w:r>
      <w:r>
        <w:rPr>
          <w:rFonts w:hint="eastAsia" w:ascii="宋体" w:hAnsi="宋体" w:eastAsia="宋体" w:cs="Times New Roman"/>
          <w:color w:val="auto"/>
          <w:szCs w:val="21"/>
          <w:lang w:val="en-US" w:eastAsia="zh-CN"/>
        </w:rPr>
        <w:t>小组应当启动异常低价响应审查程序：</w:t>
      </w:r>
    </w:p>
    <w:p w14:paraId="0DCA871F">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投标(响应)报价低于全部通过符合性审查供应商投示(响应)报价平均值65%的，即投标(响应)报价&lt;全部通过符合性审查供应商投标(响应)报价平均值</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5%；</w:t>
      </w:r>
    </w:p>
    <w:p w14:paraId="49A8945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2.投标(响应)报价低于通过符合性审查的次低报价供应商投标(响应)报价</w:t>
      </w:r>
      <w:r>
        <w:rPr>
          <w:rFonts w:hint="eastAsia" w:ascii="宋体" w:hAnsi="宋体" w:eastAsia="宋体" w:cs="宋体"/>
          <w:color w:val="auto"/>
          <w:szCs w:val="21"/>
          <w:lang w:val="en-US" w:eastAsia="zh-CN"/>
        </w:rPr>
        <w:t>65%的</w:t>
      </w:r>
      <w:r>
        <w:rPr>
          <w:rFonts w:hint="eastAsia" w:ascii="宋体" w:hAnsi="宋体" w:eastAsia="宋体" w:cs="宋体"/>
          <w:color w:val="auto"/>
          <w:szCs w:val="21"/>
          <w:lang w:eastAsia="zh-CN"/>
        </w:rPr>
        <w:t>，即投标(响应)报价&lt;通过符合性审查的次低报价供应商投标(响应)报价</w:t>
      </w:r>
      <w:r>
        <w:rPr>
          <w:rFonts w:hint="eastAsia" w:ascii="宋体" w:hAnsi="宋体" w:eastAsia="宋体" w:cs="宋体"/>
          <w:color w:val="auto"/>
          <w:szCs w:val="21"/>
          <w:lang w:val="en-US" w:eastAsia="zh-CN"/>
        </w:rPr>
        <w:t>*6</w:t>
      </w:r>
      <w:r>
        <w:rPr>
          <w:rFonts w:hint="eastAsia" w:ascii="宋体" w:hAnsi="宋体" w:eastAsia="宋体" w:cs="宋体"/>
          <w:color w:val="auto"/>
          <w:szCs w:val="21"/>
          <w:lang w:eastAsia="zh-CN"/>
        </w:rPr>
        <w:t>5%；</w:t>
      </w:r>
    </w:p>
    <w:p w14:paraId="07486284">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3.投标(响应)报价低于采购项目最高限价65%的即投标(响应)报价&lt;采购项目最高限价</w:t>
      </w:r>
      <w:r>
        <w:rPr>
          <w:rFonts w:hint="eastAsia" w:ascii="宋体" w:hAnsi="宋体" w:eastAsia="宋体" w:cs="宋体"/>
          <w:color w:val="auto"/>
          <w:szCs w:val="21"/>
          <w:lang w:val="en-US" w:eastAsia="zh-CN"/>
        </w:rPr>
        <w:t>*</w:t>
      </w:r>
      <w:r>
        <w:rPr>
          <w:rFonts w:hint="eastAsia" w:ascii="宋体" w:hAnsi="宋体" w:eastAsia="宋体" w:cs="宋体"/>
          <w:color w:val="auto"/>
          <w:szCs w:val="21"/>
          <w:lang w:eastAsia="zh-CN"/>
        </w:rPr>
        <w:t>65%；</w:t>
      </w:r>
    </w:p>
    <w:p w14:paraId="0DB5429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4.评宙委员会基于专业判断，认为供应商报价过低，有可能影响产品质量或者不能诚信履约的其他情形。</w:t>
      </w:r>
    </w:p>
    <w:p w14:paraId="6B905F0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kern w:val="2"/>
          <w:sz w:val="21"/>
          <w:szCs w:val="21"/>
          <w:lang w:val="en-US" w:eastAsia="zh-CN" w:bidi="ar-SA"/>
        </w:rPr>
        <w:t>磋商</w:t>
      </w:r>
      <w:r>
        <w:rPr>
          <w:rFonts w:hint="eastAsia" w:ascii="宋体" w:hAnsi="宋体" w:eastAsia="宋体" w:cs="宋体"/>
          <w:color w:val="auto"/>
          <w:szCs w:val="21"/>
          <w:lang w:val="en-US" w:eastAsia="zh-CN"/>
        </w:rPr>
        <w:t>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eastAsia="宋体" w:cs="宋体"/>
          <w:color w:val="auto"/>
          <w:kern w:val="2"/>
          <w:sz w:val="21"/>
          <w:szCs w:val="21"/>
          <w:lang w:val="en-US" w:eastAsia="zh-CN" w:bidi="ar-SA"/>
        </w:rPr>
        <w:t>磋商</w:t>
      </w:r>
      <w:r>
        <w:rPr>
          <w:rFonts w:hint="eastAsia" w:ascii="宋体" w:hAnsi="宋体" w:eastAsia="宋体" w:cs="宋体"/>
          <w:color w:val="auto"/>
          <w:szCs w:val="21"/>
          <w:lang w:val="en-US" w:eastAsia="zh-CN"/>
        </w:rPr>
        <w:t>小组将其作为响应无效处理。</w:t>
      </w:r>
    </w:p>
    <w:p w14:paraId="27DBC504">
      <w:pPr>
        <w:pStyle w:val="2"/>
        <w:numPr>
          <w:numId w:val="0"/>
        </w:numPr>
        <w:ind w:left="210" w:leftChars="0"/>
      </w:pPr>
    </w:p>
    <w:p w14:paraId="1FCB302D">
      <w:pPr>
        <w:adjustRightInd w:val="0"/>
        <w:snapToGrid w:val="0"/>
        <w:spacing w:before="120" w:beforeLines="50" w:line="360" w:lineRule="auto"/>
        <w:jc w:val="center"/>
        <w:rPr>
          <w:rFonts w:ascii="黑体" w:eastAsia="黑体"/>
          <w:b/>
          <w:color w:val="auto"/>
          <w:sz w:val="32"/>
          <w:szCs w:val="32"/>
          <w:highlight w:val="none"/>
        </w:rPr>
      </w:pPr>
    </w:p>
    <w:p w14:paraId="48E07661">
      <w:pPr>
        <w:adjustRightInd w:val="0"/>
        <w:snapToGrid w:val="0"/>
        <w:spacing w:before="120" w:beforeLines="50" w:line="360" w:lineRule="auto"/>
        <w:jc w:val="center"/>
        <w:rPr>
          <w:rFonts w:ascii="黑体" w:eastAsia="黑体"/>
          <w:b/>
          <w:color w:val="auto"/>
          <w:sz w:val="32"/>
          <w:szCs w:val="32"/>
          <w:highlight w:val="none"/>
        </w:rPr>
      </w:pPr>
    </w:p>
    <w:p w14:paraId="07FD91E3">
      <w:pPr>
        <w:adjustRightInd w:val="0"/>
        <w:snapToGrid w:val="0"/>
        <w:spacing w:before="120" w:beforeLines="50" w:line="360" w:lineRule="auto"/>
        <w:jc w:val="center"/>
        <w:rPr>
          <w:rFonts w:ascii="黑体" w:eastAsia="黑体"/>
          <w:b/>
          <w:color w:val="auto"/>
          <w:sz w:val="32"/>
          <w:szCs w:val="32"/>
          <w:highlight w:val="none"/>
        </w:rPr>
      </w:pPr>
    </w:p>
    <w:p w14:paraId="1F00BA24">
      <w:pPr>
        <w:rPr>
          <w:rFonts w:hint="eastAsia" w:ascii="宋体" w:hAnsi="宋体" w:cs="宋体"/>
          <w:b/>
          <w:color w:val="auto"/>
          <w:sz w:val="32"/>
          <w:szCs w:val="32"/>
          <w:highlight w:val="none"/>
        </w:rPr>
      </w:pPr>
      <w:bookmarkStart w:id="3" w:name="_Toc431364758"/>
      <w:bookmarkStart w:id="4" w:name="_Toc12052"/>
      <w:bookmarkStart w:id="5" w:name="_Toc24216"/>
      <w:bookmarkStart w:id="6" w:name="_Toc4828"/>
      <w:bookmarkStart w:id="7" w:name="_Toc21050"/>
      <w:bookmarkStart w:id="8" w:name="_Toc7146"/>
      <w:bookmarkStart w:id="9" w:name="_Toc5797"/>
      <w:bookmarkStart w:id="10" w:name="_Toc21930"/>
      <w:r>
        <w:rPr>
          <w:rFonts w:hint="eastAsia" w:ascii="宋体" w:hAnsi="宋体" w:cs="宋体"/>
          <w:b/>
          <w:color w:val="auto"/>
          <w:sz w:val="32"/>
          <w:szCs w:val="32"/>
          <w:highlight w:val="none"/>
        </w:rPr>
        <w:br w:type="page"/>
      </w:r>
    </w:p>
    <w:p w14:paraId="44161DF8">
      <w:pPr>
        <w:adjustRightInd w:val="0"/>
        <w:snapToGrid w:val="0"/>
        <w:spacing w:before="120" w:beforeLines="50" w:line="360" w:lineRule="auto"/>
        <w:jc w:val="center"/>
        <w:outlineLvl w:val="0"/>
        <w:rPr>
          <w:rFonts w:ascii="宋体" w:hAnsi="宋体" w:cs="宋体"/>
          <w:b/>
          <w:color w:val="auto"/>
          <w:sz w:val="32"/>
          <w:szCs w:val="32"/>
          <w:highlight w:val="none"/>
        </w:rPr>
      </w:pPr>
      <w:r>
        <w:rPr>
          <w:rFonts w:hint="eastAsia" w:ascii="宋体" w:hAnsi="宋体" w:cs="宋体"/>
          <w:b/>
          <w:color w:val="auto"/>
          <w:sz w:val="32"/>
          <w:szCs w:val="32"/>
          <w:highlight w:val="none"/>
        </w:rPr>
        <w:t>第三章 政府采购合同格式</w:t>
      </w:r>
      <w:bookmarkEnd w:id="3"/>
      <w:bookmarkEnd w:id="4"/>
      <w:bookmarkEnd w:id="5"/>
      <w:bookmarkEnd w:id="6"/>
      <w:bookmarkEnd w:id="7"/>
      <w:bookmarkEnd w:id="8"/>
      <w:bookmarkEnd w:id="9"/>
      <w:bookmarkEnd w:id="10"/>
    </w:p>
    <w:p w14:paraId="7B906511">
      <w:pPr>
        <w:spacing w:line="360" w:lineRule="auto"/>
        <w:jc w:val="center"/>
        <w:rPr>
          <w:rFonts w:hint="eastAsia" w:ascii="黑体" w:hAnsi="宋体" w:eastAsia="黑体"/>
          <w:color w:val="auto"/>
          <w:sz w:val="30"/>
          <w:szCs w:val="30"/>
        </w:rPr>
      </w:pPr>
      <w:r>
        <w:rPr>
          <w:rFonts w:hint="eastAsia" w:ascii="黑体" w:eastAsia="黑体"/>
          <w:color w:val="auto"/>
          <w:sz w:val="30"/>
          <w:szCs w:val="30"/>
        </w:rPr>
        <w:t>政府采购合同协议书</w:t>
      </w:r>
    </w:p>
    <w:p w14:paraId="5354E260">
      <w:pPr>
        <w:spacing w:line="360" w:lineRule="auto"/>
        <w:ind w:firstLine="4200" w:firstLineChars="2000"/>
        <w:rPr>
          <w:rFonts w:hint="eastAsia" w:ascii="黑体" w:eastAsia="黑体"/>
          <w:b/>
          <w:color w:val="auto"/>
          <w:szCs w:val="21"/>
        </w:rPr>
      </w:pPr>
      <w:r>
        <w:rPr>
          <w:rFonts w:hint="eastAsia" w:ascii="宋体" w:hAnsi="宋体"/>
          <w:color w:val="auto"/>
          <w:szCs w:val="21"/>
        </w:rPr>
        <w:t xml:space="preserve">               采购合同编号：</w:t>
      </w:r>
      <w:r>
        <w:rPr>
          <w:rFonts w:ascii="宋体" w:hAnsi="宋体"/>
          <w:color w:val="auto"/>
          <w:szCs w:val="21"/>
          <w:u w:val="single"/>
        </w:rPr>
        <w:t xml:space="preserve">                 </w:t>
      </w:r>
    </w:p>
    <w:p w14:paraId="6009EEA6">
      <w:pPr>
        <w:adjustRightInd w:val="0"/>
        <w:snapToGrid w:val="0"/>
        <w:spacing w:before="156" w:beforeLines="50" w:line="360" w:lineRule="auto"/>
        <w:jc w:val="center"/>
        <w:rPr>
          <w:rFonts w:hint="eastAsia" w:ascii="黑体" w:eastAsia="黑体"/>
          <w:b/>
          <w:color w:val="auto"/>
          <w:szCs w:val="21"/>
        </w:rPr>
      </w:pPr>
    </w:p>
    <w:p w14:paraId="6464994B">
      <w:pPr>
        <w:adjustRightInd w:val="0"/>
        <w:snapToGrid w:val="0"/>
        <w:spacing w:line="360" w:lineRule="auto"/>
        <w:rPr>
          <w:rFonts w:hint="eastAsia" w:ascii="宋体" w:hAnsi="宋体"/>
          <w:color w:val="auto"/>
          <w:szCs w:val="21"/>
        </w:rPr>
      </w:pPr>
      <w:r>
        <w:rPr>
          <w:rFonts w:hint="eastAsia" w:ascii="宋体" w:hAnsi="宋体"/>
          <w:color w:val="auto"/>
          <w:szCs w:val="21"/>
        </w:rPr>
        <w:t>采购人（全称）：</w:t>
      </w:r>
      <w:r>
        <w:rPr>
          <w:rFonts w:hint="eastAsia" w:ascii="宋体" w:hAnsi="宋体"/>
          <w:color w:val="auto"/>
          <w:szCs w:val="21"/>
          <w:u w:val="single"/>
        </w:rPr>
        <w:t xml:space="preserve">                             </w:t>
      </w:r>
      <w:r>
        <w:rPr>
          <w:rFonts w:hint="eastAsia" w:ascii="宋体" w:hAnsi="宋体"/>
          <w:color w:val="auto"/>
          <w:szCs w:val="21"/>
        </w:rPr>
        <w:t>（甲方）</w:t>
      </w:r>
    </w:p>
    <w:p w14:paraId="038605AB">
      <w:pPr>
        <w:adjustRightInd w:val="0"/>
        <w:snapToGrid w:val="0"/>
        <w:spacing w:line="360" w:lineRule="auto"/>
        <w:rPr>
          <w:rFonts w:hint="eastAsia" w:ascii="宋体" w:hAnsi="宋体"/>
          <w:color w:val="auto"/>
          <w:szCs w:val="21"/>
        </w:rPr>
      </w:pPr>
      <w:r>
        <w:rPr>
          <w:rFonts w:hint="eastAsia" w:ascii="宋体" w:hAnsi="宋体"/>
          <w:color w:val="auto"/>
          <w:szCs w:val="21"/>
        </w:rPr>
        <w:t>供应商（全称）：</w:t>
      </w:r>
      <w:r>
        <w:rPr>
          <w:rFonts w:hint="eastAsia" w:ascii="宋体" w:hAnsi="宋体"/>
          <w:color w:val="auto"/>
          <w:szCs w:val="21"/>
          <w:u w:val="single"/>
        </w:rPr>
        <w:t xml:space="preserve">                             </w:t>
      </w:r>
      <w:r>
        <w:rPr>
          <w:rFonts w:hint="eastAsia" w:ascii="宋体" w:hAnsi="宋体"/>
          <w:color w:val="auto"/>
          <w:szCs w:val="21"/>
        </w:rPr>
        <w:t>（乙方）</w:t>
      </w:r>
    </w:p>
    <w:p w14:paraId="692D47FE">
      <w:pPr>
        <w:pStyle w:val="12"/>
        <w:adjustRightInd w:val="0"/>
        <w:snapToGrid w:val="0"/>
        <w:spacing w:after="0" w:line="360" w:lineRule="auto"/>
        <w:rPr>
          <w:rFonts w:hint="eastAsia" w:ascii="宋体" w:hAnsi="宋体"/>
          <w:color w:val="auto"/>
          <w:szCs w:val="21"/>
        </w:rPr>
      </w:pPr>
    </w:p>
    <w:p w14:paraId="53B8E87A">
      <w:pPr>
        <w:pStyle w:val="12"/>
        <w:adjustRightInd w:val="0"/>
        <w:snapToGrid w:val="0"/>
        <w:spacing w:after="0" w:line="360" w:lineRule="auto"/>
        <w:ind w:left="0" w:leftChars="0" w:firstLine="420" w:firstLineChars="200"/>
        <w:rPr>
          <w:rFonts w:hint="eastAsia" w:ascii="宋体" w:hAnsi="宋体"/>
          <w:color w:val="auto"/>
          <w:szCs w:val="21"/>
        </w:rPr>
      </w:pPr>
      <w:r>
        <w:rPr>
          <w:rFonts w:hint="eastAsia" w:ascii="宋体" w:hAnsi="宋体"/>
          <w:color w:val="auto"/>
          <w:szCs w:val="21"/>
        </w:rPr>
        <w:t>为了保护甲、乙双方合法权益，根据《中华人民共和国民法典》、《中华人民共和国政府采购法》及其他有关法律、法规、规章，双方签订本合同协议书。</w:t>
      </w:r>
    </w:p>
    <w:p w14:paraId="6CBE4BDE">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1.项目信息</w:t>
      </w:r>
    </w:p>
    <w:p w14:paraId="2B89BC5F">
      <w:pPr>
        <w:pStyle w:val="12"/>
        <w:adjustRightInd w:val="0"/>
        <w:snapToGrid w:val="0"/>
        <w:spacing w:after="0" w:line="360" w:lineRule="auto"/>
        <w:rPr>
          <w:rFonts w:hint="eastAsia" w:ascii="宋体" w:hAnsi="宋体"/>
          <w:color w:val="auto"/>
          <w:szCs w:val="21"/>
        </w:rPr>
      </w:pPr>
      <w:r>
        <w:rPr>
          <w:rFonts w:hint="eastAsia" w:ascii="宋体" w:hAnsi="宋体"/>
          <w:color w:val="auto"/>
          <w:szCs w:val="21"/>
        </w:rPr>
        <w:t>（1）采购项目名称：</w:t>
      </w:r>
      <w:r>
        <w:rPr>
          <w:rFonts w:ascii="宋体" w:hAnsi="宋体"/>
          <w:color w:val="auto"/>
          <w:szCs w:val="21"/>
          <w:u w:val="single"/>
        </w:rPr>
        <w:t xml:space="preserve">                                          </w:t>
      </w:r>
    </w:p>
    <w:p w14:paraId="7B8F0C08">
      <w:pPr>
        <w:pStyle w:val="12"/>
        <w:adjustRightInd w:val="0"/>
        <w:snapToGrid w:val="0"/>
        <w:spacing w:after="0" w:line="360" w:lineRule="auto"/>
        <w:rPr>
          <w:rFonts w:hint="eastAsia"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ascii="宋体" w:hAnsi="宋体"/>
          <w:color w:val="auto"/>
          <w:szCs w:val="21"/>
        </w:rPr>
        <w:t xml:space="preserve"> </w:t>
      </w:r>
    </w:p>
    <w:p w14:paraId="05DD216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（3）项目内容：</w:t>
      </w:r>
      <w:r>
        <w:rPr>
          <w:rFonts w:hint="eastAsia" w:ascii="宋体" w:hAnsi="宋体"/>
          <w:color w:val="auto"/>
          <w:szCs w:val="21"/>
          <w:u w:val="single"/>
        </w:rPr>
        <w:t xml:space="preserve">                             </w:t>
      </w:r>
    </w:p>
    <w:p w14:paraId="48BC16C1">
      <w:pPr>
        <w:adjustRightInd w:val="0"/>
        <w:snapToGrid w:val="0"/>
        <w:spacing w:line="360" w:lineRule="auto"/>
        <w:ind w:firstLine="840" w:firstLineChars="400"/>
        <w:rPr>
          <w:rFonts w:hint="eastAsia" w:ascii="宋体" w:hAnsi="宋体"/>
          <w:color w:val="auto"/>
          <w:szCs w:val="21"/>
        </w:rPr>
      </w:pPr>
      <w:r>
        <w:rPr>
          <w:rFonts w:hint="eastAsia" w:ascii="宋体" w:hAnsi="宋体"/>
          <w:color w:val="auto"/>
          <w:szCs w:val="21"/>
        </w:rPr>
        <w:t>（工程项目）承包范围：</w:t>
      </w:r>
      <w:r>
        <w:rPr>
          <w:rFonts w:hint="eastAsia" w:ascii="宋体" w:hAnsi="宋体"/>
          <w:color w:val="auto"/>
          <w:szCs w:val="21"/>
          <w:u w:val="single"/>
        </w:rPr>
        <w:t xml:space="preserve">                 </w:t>
      </w:r>
      <w:r>
        <w:rPr>
          <w:rFonts w:hint="eastAsia" w:ascii="宋体" w:hAnsi="宋体"/>
          <w:color w:val="auto"/>
          <w:szCs w:val="21"/>
        </w:rPr>
        <w:t>项目经理：</w:t>
      </w:r>
      <w:r>
        <w:rPr>
          <w:rFonts w:hint="eastAsia" w:ascii="宋体" w:hAnsi="宋体"/>
          <w:color w:val="auto"/>
          <w:szCs w:val="21"/>
          <w:u w:val="single"/>
        </w:rPr>
        <w:t xml:space="preserve">              </w:t>
      </w:r>
      <w:r>
        <w:rPr>
          <w:rFonts w:hint="eastAsia" w:ascii="宋体" w:hAnsi="宋体"/>
          <w:color w:val="auto"/>
          <w:szCs w:val="21"/>
        </w:rPr>
        <w:t xml:space="preserve"> 。</w:t>
      </w:r>
    </w:p>
    <w:p w14:paraId="4D35D30C">
      <w:pPr>
        <w:adjustRightInd w:val="0"/>
        <w:snapToGrid w:val="0"/>
        <w:spacing w:line="360" w:lineRule="auto"/>
        <w:ind w:firstLine="413" w:firstLineChars="196"/>
        <w:rPr>
          <w:rFonts w:hint="eastAsia" w:ascii="宋体" w:hAnsi="宋体"/>
          <w:b/>
          <w:color w:val="auto"/>
          <w:szCs w:val="21"/>
        </w:rPr>
      </w:pPr>
      <w:r>
        <w:rPr>
          <w:rFonts w:hint="eastAsia" w:ascii="宋体" w:hAnsi="宋体"/>
          <w:b/>
          <w:color w:val="auto"/>
          <w:szCs w:val="21"/>
        </w:rPr>
        <w:t>2.合同金额</w:t>
      </w:r>
    </w:p>
    <w:p w14:paraId="591F9DC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5E4593DA">
      <w:pPr>
        <w:adjustRightInd w:val="0"/>
        <w:snapToGrid w:val="0"/>
        <w:spacing w:line="360" w:lineRule="auto"/>
        <w:ind w:firstLine="1260" w:firstLineChars="600"/>
        <w:rPr>
          <w:rFonts w:hint="eastAsia" w:ascii="宋体" w:hAnsi="宋体"/>
          <w:b/>
          <w:color w:val="auto"/>
          <w:szCs w:val="21"/>
        </w:rPr>
      </w:pPr>
      <w:r>
        <w:rPr>
          <w:rFonts w:hint="eastAsia" w:ascii="宋体" w:hAnsi="宋体"/>
          <w:color w:val="auto"/>
          <w:szCs w:val="21"/>
        </w:rPr>
        <w:t>大写：</w:t>
      </w:r>
      <w:r>
        <w:rPr>
          <w:rFonts w:hint="eastAsia" w:ascii="宋体" w:hAnsi="宋体"/>
          <w:color w:val="auto"/>
          <w:szCs w:val="21"/>
          <w:u w:val="single"/>
        </w:rPr>
        <w:t xml:space="preserve">                      </w:t>
      </w:r>
    </w:p>
    <w:p w14:paraId="704B045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（2）具体标的见附件。</w:t>
      </w:r>
    </w:p>
    <w:p w14:paraId="182DBDE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（3）合同价格形式：</w:t>
      </w:r>
      <w:r>
        <w:rPr>
          <w:rFonts w:hint="eastAsia" w:ascii="宋体" w:hAnsi="宋体"/>
          <w:color w:val="auto"/>
          <w:szCs w:val="21"/>
          <w:u w:val="single"/>
        </w:rPr>
        <w:t xml:space="preserve"> 固定总价合同     </w:t>
      </w:r>
      <w:r>
        <w:rPr>
          <w:rFonts w:hint="eastAsia" w:ascii="宋体" w:hAnsi="宋体"/>
          <w:color w:val="auto"/>
          <w:szCs w:val="21"/>
        </w:rPr>
        <w:t xml:space="preserve"> 。</w:t>
      </w:r>
    </w:p>
    <w:p w14:paraId="273708B5">
      <w:pPr>
        <w:adjustRightInd w:val="0"/>
        <w:snapToGrid w:val="0"/>
        <w:spacing w:line="360" w:lineRule="auto"/>
        <w:ind w:firstLine="422" w:firstLineChars="200"/>
        <w:rPr>
          <w:rFonts w:hint="eastAsia" w:ascii="宋体" w:hAnsi="宋体"/>
          <w:color w:val="auto"/>
          <w:szCs w:val="21"/>
          <w:u w:val="single"/>
        </w:rPr>
      </w:pPr>
      <w:r>
        <w:rPr>
          <w:rFonts w:hint="eastAsia" w:ascii="宋体" w:hAnsi="宋体"/>
          <w:b/>
          <w:color w:val="auto"/>
          <w:szCs w:val="21"/>
        </w:rPr>
        <w:t>3.履行合同的时间、地点及方式</w:t>
      </w:r>
      <w:r>
        <w:rPr>
          <w:rFonts w:hint="eastAsia" w:ascii="宋体" w:hAnsi="宋体"/>
          <w:color w:val="auto"/>
          <w:szCs w:val="21"/>
          <w:u w:val="single"/>
        </w:rPr>
        <w:t xml:space="preserve"> </w:t>
      </w:r>
    </w:p>
    <w:p w14:paraId="61766511">
      <w:pPr>
        <w:adjustRightInd w:val="0"/>
        <w:snapToGrid w:val="0"/>
        <w:spacing w:line="360" w:lineRule="auto"/>
        <w:ind w:firstLine="630" w:firstLineChars="300"/>
        <w:rPr>
          <w:rFonts w:hint="eastAsia" w:ascii="宋体" w:hAnsi="宋体"/>
          <w:color w:val="auto"/>
          <w:szCs w:val="21"/>
        </w:rPr>
      </w:pPr>
      <w:r>
        <w:rPr>
          <w:rFonts w:hint="eastAsia" w:ascii="宋体" w:hAnsi="宋体"/>
          <w:color w:val="auto"/>
          <w:szCs w:val="21"/>
        </w:rPr>
        <w:t>起始日期：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日，完成日期：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日。总日历天数：</w:t>
      </w:r>
      <w:r>
        <w:rPr>
          <w:rFonts w:hint="eastAsia" w:ascii="宋体" w:hAnsi="宋体"/>
          <w:color w:val="auto"/>
          <w:szCs w:val="21"/>
          <w:u w:val="single"/>
        </w:rPr>
        <w:t xml:space="preserve">     </w:t>
      </w:r>
      <w:r>
        <w:rPr>
          <w:rFonts w:hint="eastAsia" w:ascii="宋体" w:hAnsi="宋体"/>
          <w:color w:val="auto"/>
          <w:szCs w:val="21"/>
        </w:rPr>
        <w:t>天。</w:t>
      </w:r>
    </w:p>
    <w:p w14:paraId="2C9F4DBA">
      <w:pPr>
        <w:adjustRightInd w:val="0"/>
        <w:snapToGrid w:val="0"/>
        <w:spacing w:line="360" w:lineRule="auto"/>
        <w:ind w:firstLine="630" w:firstLineChars="300"/>
        <w:rPr>
          <w:rFonts w:hint="eastAsia" w:ascii="宋体" w:hAnsi="宋体"/>
          <w:color w:val="auto"/>
          <w:szCs w:val="21"/>
          <w:u w:val="single"/>
        </w:rPr>
      </w:pPr>
      <w:r>
        <w:rPr>
          <w:rFonts w:hint="eastAsia" w:ascii="宋体" w:hAnsi="宋体"/>
          <w:color w:val="auto"/>
          <w:szCs w:val="21"/>
        </w:rPr>
        <w:t>地点</w:t>
      </w:r>
      <w:r>
        <w:rPr>
          <w:rFonts w:hint="eastAsia" w:ascii="宋体" w:hAnsi="宋体"/>
          <w:b/>
          <w:color w:val="auto"/>
          <w:szCs w:val="21"/>
        </w:rPr>
        <w:t>：</w:t>
      </w:r>
      <w:r>
        <w:rPr>
          <w:rFonts w:hint="eastAsia" w:ascii="宋体" w:hAnsi="宋体"/>
          <w:color w:val="auto"/>
          <w:szCs w:val="21"/>
          <w:u w:val="single"/>
        </w:rPr>
        <w:t xml:space="preserve">                             </w:t>
      </w:r>
    </w:p>
    <w:p w14:paraId="26791DB3">
      <w:pPr>
        <w:adjustRightInd w:val="0"/>
        <w:snapToGrid w:val="0"/>
        <w:spacing w:line="360" w:lineRule="auto"/>
        <w:ind w:firstLine="630" w:firstLineChars="300"/>
        <w:rPr>
          <w:rFonts w:hint="eastAsia" w:ascii="宋体" w:hAnsi="宋体"/>
          <w:color w:val="auto"/>
          <w:szCs w:val="21"/>
        </w:rPr>
      </w:pPr>
      <w:r>
        <w:rPr>
          <w:rFonts w:hint="eastAsia" w:ascii="宋体" w:hAnsi="宋体"/>
          <w:color w:val="auto"/>
          <w:szCs w:val="21"/>
        </w:rPr>
        <w:t>方式：</w:t>
      </w:r>
      <w:r>
        <w:rPr>
          <w:rFonts w:hint="eastAsia" w:ascii="宋体" w:hAnsi="宋体"/>
          <w:color w:val="auto"/>
          <w:szCs w:val="21"/>
          <w:u w:val="single"/>
        </w:rPr>
        <w:t xml:space="preserve">                             </w:t>
      </w:r>
    </w:p>
    <w:p w14:paraId="1669C7D2">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4.付款：</w:t>
      </w:r>
    </w:p>
    <w:p w14:paraId="5AFBC72B">
      <w:pPr>
        <w:adjustRightInd w:val="0"/>
        <w:snapToGrid w:val="0"/>
        <w:spacing w:line="360" w:lineRule="auto"/>
        <w:ind w:firstLine="630" w:firstLineChars="300"/>
        <w:rPr>
          <w:rFonts w:hint="eastAsia" w:ascii="宋体" w:hAnsi="宋体"/>
          <w:bCs/>
          <w:color w:val="auto"/>
          <w:szCs w:val="21"/>
        </w:rPr>
      </w:pPr>
      <w:r>
        <w:rPr>
          <w:rFonts w:hint="eastAsia" w:ascii="宋体" w:hAnsi="宋体"/>
          <w:color w:val="auto"/>
          <w:szCs w:val="21"/>
        </w:rPr>
        <w:t>1、</w:t>
      </w:r>
      <w:r>
        <w:rPr>
          <w:rFonts w:hint="eastAsia" w:ascii="宋体" w:hAnsi="宋体"/>
          <w:color w:val="auto"/>
          <w:szCs w:val="21"/>
          <w:u w:val="single"/>
        </w:rPr>
        <w:t xml:space="preserve">                                             </w:t>
      </w:r>
      <w:r>
        <w:rPr>
          <w:rFonts w:hint="eastAsia" w:ascii="宋体" w:hAnsi="宋体"/>
          <w:color w:val="auto"/>
          <w:szCs w:val="21"/>
        </w:rPr>
        <w:t xml:space="preserve">。  </w:t>
      </w:r>
    </w:p>
    <w:p w14:paraId="27FB7392">
      <w:pPr>
        <w:adjustRightInd w:val="0"/>
        <w:snapToGrid w:val="0"/>
        <w:spacing w:line="360" w:lineRule="auto"/>
        <w:ind w:firstLine="630" w:firstLineChars="300"/>
        <w:rPr>
          <w:rFonts w:hint="eastAsia" w:ascii="宋体" w:hAnsi="宋体"/>
          <w:color w:val="auto"/>
          <w:szCs w:val="21"/>
        </w:rPr>
      </w:pPr>
      <w:r>
        <w:rPr>
          <w:rFonts w:hint="eastAsia" w:ascii="宋体" w:hAnsi="宋体"/>
          <w:bCs/>
          <w:color w:val="auto"/>
          <w:szCs w:val="21"/>
        </w:rPr>
        <w:t>2、预付款根据采购文件的约定，在合同签订前提交不超过合同金额</w:t>
      </w:r>
      <w:r>
        <w:rPr>
          <w:rFonts w:hint="eastAsia" w:ascii="宋体" w:hAnsi="宋体"/>
          <w:bCs/>
          <w:color w:val="auto"/>
          <w:szCs w:val="21"/>
          <w:u w:val="single"/>
        </w:rPr>
        <w:t xml:space="preserve">   </w:t>
      </w:r>
      <w:r>
        <w:rPr>
          <w:rFonts w:hint="eastAsia" w:ascii="宋体" w:hAnsi="宋体"/>
          <w:bCs/>
          <w:color w:val="auto"/>
          <w:szCs w:val="21"/>
        </w:rPr>
        <w:t>的履约担保。</w:t>
      </w:r>
    </w:p>
    <w:p w14:paraId="431FD96B">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5.解决合同纠纷方式</w:t>
      </w:r>
    </w:p>
    <w:p w14:paraId="387294C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首先通过双方协商解决，协商解决不成，则通过以下途径之一解决纠纷：</w:t>
      </w:r>
    </w:p>
    <w:p w14:paraId="31CF4F3A">
      <w:pPr>
        <w:adjustRightInd w:val="0"/>
        <w:snapToGrid w:val="0"/>
        <w:spacing w:line="360" w:lineRule="auto"/>
        <w:ind w:firstLine="840" w:firstLineChars="400"/>
        <w:rPr>
          <w:rFonts w:hint="eastAsia" w:ascii="宋体" w:hAnsi="宋体"/>
          <w:color w:val="auto"/>
          <w:szCs w:val="21"/>
        </w:rPr>
      </w:pPr>
      <w:r>
        <w:rPr>
          <w:rFonts w:hint="eastAsia" w:ascii="宋体" w:hAnsi="宋体"/>
          <w:color w:val="auto"/>
          <w:szCs w:val="21"/>
        </w:rPr>
        <w:t>□ 提请仲裁       □ 向人民法院提起诉讼</w:t>
      </w:r>
    </w:p>
    <w:p w14:paraId="6602797F">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6.组成合同的文件</w:t>
      </w:r>
    </w:p>
    <w:p w14:paraId="376A4F0A">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072096A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（1）在采购或合同履行过程中乙方作出的承诺以及双方协商达成的变更或补充协议</w:t>
      </w:r>
    </w:p>
    <w:p w14:paraId="07413F7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（2）成交通知书</w:t>
      </w:r>
    </w:p>
    <w:p w14:paraId="36B0D01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（3）响应文件</w:t>
      </w:r>
    </w:p>
    <w:p w14:paraId="2873514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（4）政府采购合同格式条款及其附件</w:t>
      </w:r>
    </w:p>
    <w:p w14:paraId="573AF2C7">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（5）专用合同条款</w:t>
      </w:r>
    </w:p>
    <w:p w14:paraId="6AE7EFD4">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（6）通用合同条款（如果有）</w:t>
      </w:r>
    </w:p>
    <w:p w14:paraId="2574285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（7）标准、规范及有关技术文件，图纸，已标价工程量清单或预算书（如果有）</w:t>
      </w:r>
    </w:p>
    <w:p w14:paraId="4ACA5F3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（8）其他合同文件。</w:t>
      </w:r>
    </w:p>
    <w:p w14:paraId="12E95B36">
      <w:pPr>
        <w:adjustRightInd w:val="0"/>
        <w:snapToGrid w:val="0"/>
        <w:spacing w:line="360" w:lineRule="auto"/>
        <w:ind w:firstLine="310" w:firstLineChars="147"/>
        <w:rPr>
          <w:rFonts w:hint="eastAsia" w:ascii="宋体" w:hAnsi="宋体"/>
          <w:b/>
          <w:color w:val="auto"/>
          <w:szCs w:val="21"/>
        </w:rPr>
      </w:pPr>
      <w:r>
        <w:rPr>
          <w:rFonts w:hint="eastAsia" w:ascii="宋体" w:hAnsi="宋体"/>
          <w:b/>
          <w:color w:val="auto"/>
          <w:szCs w:val="21"/>
        </w:rPr>
        <w:t>7.合同生效</w:t>
      </w:r>
    </w:p>
    <w:p w14:paraId="4C7ECD1D">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24843605">
      <w:pPr>
        <w:adjustRightInd w:val="0"/>
        <w:snapToGrid w:val="0"/>
        <w:spacing w:line="360" w:lineRule="auto"/>
        <w:ind w:firstLine="310" w:firstLineChars="147"/>
        <w:rPr>
          <w:rFonts w:hint="eastAsia" w:ascii="宋体" w:hAnsi="宋体"/>
          <w:b/>
          <w:color w:val="auto"/>
          <w:szCs w:val="21"/>
        </w:rPr>
      </w:pPr>
      <w:r>
        <w:rPr>
          <w:rFonts w:hint="eastAsia" w:ascii="宋体" w:hAnsi="宋体"/>
          <w:b/>
          <w:color w:val="auto"/>
          <w:szCs w:val="21"/>
        </w:rPr>
        <w:t>8.合同份数</w:t>
      </w:r>
    </w:p>
    <w:p w14:paraId="75DA78D7">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份，采购人执</w:t>
      </w:r>
      <w:r>
        <w:rPr>
          <w:rFonts w:hint="eastAsia" w:ascii="宋体" w:hAnsi="宋体"/>
          <w:color w:val="auto"/>
          <w:szCs w:val="21"/>
          <w:u w:val="single"/>
        </w:rPr>
        <w:t xml:space="preserve">   </w:t>
      </w:r>
      <w:r>
        <w:rPr>
          <w:rFonts w:hint="eastAsia" w:ascii="宋体" w:hAnsi="宋体"/>
          <w:color w:val="auto"/>
          <w:szCs w:val="21"/>
        </w:rPr>
        <w:t>份，供应商执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2B436ADC">
      <w:pPr>
        <w:adjustRightInd w:val="0"/>
        <w:snapToGrid w:val="0"/>
        <w:spacing w:line="360" w:lineRule="auto"/>
        <w:rPr>
          <w:rFonts w:hint="eastAsia" w:ascii="宋体" w:hAnsi="宋体"/>
          <w:color w:val="auto"/>
          <w:szCs w:val="21"/>
        </w:rPr>
      </w:pPr>
    </w:p>
    <w:p w14:paraId="42C3439C">
      <w:pPr>
        <w:adjustRightInd w:val="0"/>
        <w:snapToGrid w:val="0"/>
        <w:spacing w:line="360" w:lineRule="auto"/>
        <w:rPr>
          <w:rFonts w:hint="eastAsia"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8A46699">
      <w:pPr>
        <w:adjustRightInd w:val="0"/>
        <w:snapToGrid w:val="0"/>
        <w:spacing w:line="360" w:lineRule="auto"/>
        <w:rPr>
          <w:rFonts w:hint="eastAsia"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453A64D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 xml:space="preserve">    </w:t>
      </w:r>
    </w:p>
    <w:p w14:paraId="4D8A435E">
      <w:pPr>
        <w:adjustRightInd w:val="0"/>
        <w:snapToGrid w:val="0"/>
        <w:spacing w:line="360" w:lineRule="auto"/>
        <w:rPr>
          <w:rFonts w:hint="eastAsia" w:ascii="宋体" w:hAnsi="宋体"/>
          <w:color w:val="auto"/>
          <w:szCs w:val="21"/>
        </w:rPr>
      </w:pPr>
      <w:r>
        <w:rPr>
          <w:rFonts w:hint="eastAsia" w:ascii="宋体" w:hAnsi="宋体"/>
          <w:color w:val="auto"/>
          <w:szCs w:val="21"/>
        </w:rPr>
        <w:t>甲      方：（公章）                     乙      方：（公章）</w:t>
      </w:r>
    </w:p>
    <w:p w14:paraId="2A9DABEC">
      <w:pPr>
        <w:adjustRightInd w:val="0"/>
        <w:snapToGrid w:val="0"/>
        <w:spacing w:line="360" w:lineRule="auto"/>
        <w:rPr>
          <w:rFonts w:hint="eastAsia"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hint="eastAsia" w:ascii="宋体" w:hAnsi="宋体"/>
          <w:color w:val="auto"/>
          <w:szCs w:val="21"/>
        </w:rPr>
        <w:t xml:space="preserve">         法定代表人：</w:t>
      </w:r>
      <w:r>
        <w:rPr>
          <w:rFonts w:hint="eastAsia" w:ascii="宋体" w:hAnsi="宋体"/>
          <w:color w:val="auto"/>
          <w:szCs w:val="21"/>
          <w:u w:val="single"/>
        </w:rPr>
        <w:t xml:space="preserve">                   </w:t>
      </w:r>
    </w:p>
    <w:p w14:paraId="74578D58">
      <w:pPr>
        <w:adjustRightInd w:val="0"/>
        <w:snapToGrid w:val="0"/>
        <w:spacing w:line="360" w:lineRule="auto"/>
        <w:rPr>
          <w:rFonts w:hint="eastAsia"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 xml:space="preserve">         委托代理人：</w:t>
      </w:r>
      <w:r>
        <w:rPr>
          <w:rFonts w:hint="eastAsia" w:ascii="宋体" w:hAnsi="宋体"/>
          <w:color w:val="auto"/>
          <w:szCs w:val="21"/>
          <w:u w:val="single"/>
        </w:rPr>
        <w:t xml:space="preserve">                   </w:t>
      </w:r>
    </w:p>
    <w:p w14:paraId="01BB7C1B">
      <w:pPr>
        <w:adjustRightInd w:val="0"/>
        <w:snapToGrid w:val="0"/>
        <w:spacing w:line="360" w:lineRule="auto"/>
        <w:rPr>
          <w:rFonts w:hint="eastAsia" w:ascii="宋体" w:hAnsi="宋体"/>
          <w:color w:val="auto"/>
          <w:szCs w:val="21"/>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电      话：</w:t>
      </w:r>
      <w:r>
        <w:rPr>
          <w:rFonts w:hint="eastAsia" w:ascii="宋体" w:hAnsi="宋体"/>
          <w:color w:val="auto"/>
          <w:szCs w:val="21"/>
          <w:u w:val="single"/>
        </w:rPr>
        <w:t xml:space="preserve">                   </w:t>
      </w:r>
    </w:p>
    <w:p w14:paraId="45519386">
      <w:pPr>
        <w:adjustRightInd w:val="0"/>
        <w:snapToGrid w:val="0"/>
        <w:spacing w:line="360" w:lineRule="auto"/>
        <w:rPr>
          <w:rFonts w:hint="eastAsia"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rPr>
        <w:t xml:space="preserve">         传      真：</w:t>
      </w:r>
      <w:r>
        <w:rPr>
          <w:rFonts w:hint="eastAsia" w:ascii="宋体" w:hAnsi="宋体"/>
          <w:color w:val="auto"/>
          <w:szCs w:val="21"/>
          <w:u w:val="single"/>
        </w:rPr>
        <w:t xml:space="preserve">                   </w:t>
      </w:r>
    </w:p>
    <w:p w14:paraId="6FFBE471">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 xml:space="preserve">                                    开 户 银 行：</w:t>
      </w:r>
      <w:r>
        <w:rPr>
          <w:rFonts w:hint="eastAsia" w:ascii="宋体" w:hAnsi="宋体"/>
          <w:color w:val="auto"/>
          <w:szCs w:val="21"/>
          <w:u w:val="single"/>
        </w:rPr>
        <w:t xml:space="preserve">                   </w:t>
      </w:r>
    </w:p>
    <w:p w14:paraId="083672E4">
      <w:pPr>
        <w:adjustRightInd w:val="0"/>
        <w:snapToGrid w:val="0"/>
        <w:spacing w:line="360" w:lineRule="auto"/>
        <w:jc w:val="center"/>
        <w:rPr>
          <w:rFonts w:hint="eastAsia" w:ascii="宋体" w:hAnsi="宋体"/>
          <w:b/>
          <w:color w:val="auto"/>
          <w:szCs w:val="21"/>
        </w:rPr>
      </w:pP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账       号：</w:t>
      </w:r>
      <w:r>
        <w:rPr>
          <w:rFonts w:hint="eastAsia" w:ascii="宋体" w:hAnsi="宋体"/>
          <w:color w:val="auto"/>
          <w:szCs w:val="21"/>
          <w:u w:val="single"/>
        </w:rPr>
        <w:t xml:space="preserve">                 </w:t>
      </w:r>
    </w:p>
    <w:p w14:paraId="6DD12F02">
      <w:pPr>
        <w:adjustRightInd w:val="0"/>
        <w:snapToGrid w:val="0"/>
        <w:spacing w:line="360" w:lineRule="auto"/>
        <w:jc w:val="center"/>
        <w:rPr>
          <w:rFonts w:ascii="宋体" w:hAnsi="宋体"/>
          <w:b/>
          <w:color w:val="auto"/>
          <w:szCs w:val="21"/>
        </w:rPr>
      </w:pPr>
    </w:p>
    <w:p w14:paraId="2201161D">
      <w:pPr>
        <w:pStyle w:val="8"/>
        <w:rPr>
          <w:rFonts w:ascii="Times New Roman" w:eastAsia="宋体"/>
          <w:color w:val="auto"/>
        </w:rPr>
      </w:pPr>
    </w:p>
    <w:p w14:paraId="716DF9E3">
      <w:pPr>
        <w:pStyle w:val="11"/>
        <w:snapToGrid w:val="0"/>
        <w:ind w:left="105" w:leftChars="50"/>
        <w:rPr>
          <w:rFonts w:ascii="宋体" w:hAnsi="宋体"/>
          <w:bCs/>
          <w:color w:val="auto"/>
          <w:szCs w:val="21"/>
          <w:highlight w:val="none"/>
        </w:rPr>
      </w:pPr>
    </w:p>
    <w:p w14:paraId="0900EFEA">
      <w:pPr>
        <w:pStyle w:val="11"/>
        <w:snapToGrid w:val="0"/>
        <w:ind w:left="105" w:leftChars="50"/>
        <w:rPr>
          <w:rFonts w:ascii="宋体" w:hAnsi="宋体"/>
          <w:bCs/>
          <w:color w:val="auto"/>
          <w:szCs w:val="21"/>
          <w:highlight w:val="none"/>
        </w:rPr>
      </w:pPr>
    </w:p>
    <w:p w14:paraId="4208E721">
      <w:pPr>
        <w:pStyle w:val="11"/>
        <w:snapToGrid w:val="0"/>
        <w:ind w:left="105" w:leftChars="50"/>
        <w:rPr>
          <w:rFonts w:ascii="宋体" w:hAnsi="宋体"/>
          <w:bCs/>
          <w:color w:val="auto"/>
          <w:szCs w:val="21"/>
          <w:highlight w:val="none"/>
        </w:rPr>
      </w:pPr>
    </w:p>
    <w:p w14:paraId="17B988B9">
      <w:pPr>
        <w:pStyle w:val="11"/>
        <w:snapToGrid w:val="0"/>
        <w:ind w:left="105" w:leftChars="50"/>
        <w:rPr>
          <w:rFonts w:ascii="宋体" w:hAnsi="宋体"/>
          <w:bCs/>
          <w:color w:val="auto"/>
          <w:szCs w:val="21"/>
          <w:highlight w:val="none"/>
        </w:rPr>
      </w:pPr>
    </w:p>
    <w:p w14:paraId="2C62DE09">
      <w:pPr>
        <w:rPr>
          <w:rFonts w:ascii="宋体" w:hAnsi="宋体"/>
          <w:bCs/>
          <w:color w:val="auto"/>
          <w:szCs w:val="21"/>
          <w:highlight w:val="none"/>
        </w:rPr>
      </w:pPr>
    </w:p>
    <w:p w14:paraId="6C2F7F0B">
      <w:pPr>
        <w:rPr>
          <w:rFonts w:ascii="宋体" w:hAnsi="宋体"/>
          <w:bCs/>
          <w:color w:val="auto"/>
          <w:szCs w:val="21"/>
          <w:highlight w:val="none"/>
        </w:rPr>
      </w:pPr>
    </w:p>
    <w:p w14:paraId="34B064F3">
      <w:pPr>
        <w:rPr>
          <w:rFonts w:ascii="宋体" w:hAnsi="宋体"/>
          <w:bCs/>
          <w:color w:val="auto"/>
          <w:szCs w:val="21"/>
          <w:highlight w:val="none"/>
        </w:rPr>
      </w:pPr>
    </w:p>
    <w:p w14:paraId="787F4F67">
      <w:pPr>
        <w:rPr>
          <w:rFonts w:ascii="宋体" w:hAnsi="宋体"/>
          <w:bCs/>
          <w:color w:val="auto"/>
          <w:szCs w:val="21"/>
          <w:highlight w:val="none"/>
        </w:rPr>
      </w:pPr>
    </w:p>
    <w:p w14:paraId="5BC6A92A">
      <w:pPr>
        <w:pStyle w:val="11"/>
        <w:snapToGrid w:val="0"/>
        <w:ind w:left="105" w:leftChars="50"/>
        <w:rPr>
          <w:rFonts w:ascii="宋体" w:hAnsi="宋体"/>
          <w:bCs/>
          <w:color w:val="auto"/>
          <w:szCs w:val="21"/>
          <w:highlight w:val="none"/>
        </w:rPr>
      </w:pPr>
    </w:p>
    <w:p w14:paraId="3CD56ADB">
      <w:pPr>
        <w:adjustRightInd w:val="0"/>
        <w:snapToGrid w:val="0"/>
        <w:spacing w:before="120" w:beforeLines="50" w:line="360" w:lineRule="auto"/>
        <w:jc w:val="center"/>
        <w:outlineLvl w:val="0"/>
        <w:rPr>
          <w:rFonts w:hint="eastAsia" w:ascii="宋体" w:hAnsi="宋体" w:eastAsia="宋体" w:cs="宋体"/>
          <w:b/>
          <w:color w:val="auto"/>
          <w:sz w:val="32"/>
          <w:szCs w:val="32"/>
          <w:highlight w:val="none"/>
          <w:lang w:val="en-US" w:eastAsia="zh-CN"/>
        </w:rPr>
      </w:pPr>
    </w:p>
    <w:p w14:paraId="56F4C23E">
      <w:pPr>
        <w:keepNext w:val="0"/>
        <w:keepLines w:val="0"/>
        <w:pageBreakBefore w:val="0"/>
        <w:widowControl w:val="0"/>
        <w:kinsoku w:val="0"/>
        <w:wordWrap/>
        <w:overflowPunct w:val="0"/>
        <w:topLinePunct w:val="0"/>
        <w:autoSpaceDE w:val="0"/>
        <w:autoSpaceDN w:val="0"/>
        <w:bidi w:val="0"/>
        <w:adjustRightInd w:val="0"/>
        <w:snapToGrid w:val="0"/>
        <w:spacing w:before="120" w:beforeLines="50" w:line="360" w:lineRule="auto"/>
        <w:jc w:val="center"/>
        <w:textAlignment w:val="auto"/>
        <w:outlineLvl w:val="0"/>
        <w:rPr>
          <w:rFonts w:hint="eastAsia" w:ascii="宋体" w:hAnsi="宋体" w:eastAsia="宋体" w:cs="宋体"/>
          <w:b/>
          <w:color w:val="auto"/>
          <w:sz w:val="32"/>
          <w:szCs w:val="32"/>
          <w:highlight w:val="none"/>
          <w:lang w:val="en-US" w:eastAsia="zh-CN"/>
        </w:rPr>
      </w:pPr>
    </w:p>
    <w:p w14:paraId="328371FE">
      <w:pPr>
        <w:keepNext w:val="0"/>
        <w:keepLines w:val="0"/>
        <w:pageBreakBefore w:val="0"/>
        <w:widowControl w:val="0"/>
        <w:kinsoku w:val="0"/>
        <w:wordWrap/>
        <w:overflowPunct w:val="0"/>
        <w:topLinePunct w:val="0"/>
        <w:autoSpaceDE w:val="0"/>
        <w:autoSpaceDN w:val="0"/>
        <w:bidi w:val="0"/>
        <w:adjustRightInd w:val="0"/>
        <w:snapToGrid w:val="0"/>
        <w:spacing w:before="120" w:beforeLines="50" w:line="360" w:lineRule="auto"/>
        <w:jc w:val="center"/>
        <w:textAlignment w:val="auto"/>
        <w:outlineLvl w:val="0"/>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第四章 采购需求</w:t>
      </w:r>
    </w:p>
    <w:p w14:paraId="2A5900ED">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11" w:name="_Toc31147"/>
      <w:bookmarkStart w:id="12" w:name="_Toc184285900"/>
      <w:bookmarkStart w:id="13" w:name="_Toc31820"/>
      <w:bookmarkStart w:id="14" w:name="_Toc256000044"/>
      <w:bookmarkStart w:id="15" w:name="_Toc256000046"/>
      <w:bookmarkStart w:id="16" w:name="_Toc27966"/>
      <w:r>
        <w:rPr>
          <w:rFonts w:hint="eastAsia" w:ascii="Arial" w:hAnsi="Arial" w:eastAsia="黑体" w:cs="宋体"/>
          <w:bCs/>
          <w:color w:val="auto"/>
          <w:kern w:val="0"/>
          <w:sz w:val="21"/>
          <w:szCs w:val="21"/>
          <w:lang w:val="en-US" w:eastAsia="zh-CN" w:bidi="ar-SA"/>
        </w:rPr>
        <w:t>背景概述</w:t>
      </w:r>
      <w:bookmarkEnd w:id="11"/>
      <w:bookmarkEnd w:id="12"/>
    </w:p>
    <w:p w14:paraId="6DD4DAA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Segoe UI" w:hAnsi="Segoe UI" w:eastAsia="Segoe UI" w:cs="Segoe UI"/>
          <w:color w:val="auto"/>
          <w:kern w:val="0"/>
          <w:sz w:val="21"/>
          <w:szCs w:val="21"/>
          <w:lang w:val="en-US" w:eastAsia="zh-CN" w:bidi="ar-SA"/>
        </w:rPr>
      </w:pPr>
      <w:bookmarkStart w:id="17" w:name="_Toc184285901"/>
      <w:bookmarkStart w:id="18" w:name="_Toc454264468"/>
      <w:r>
        <w:rPr>
          <w:rFonts w:ascii="Segoe UI" w:hAnsi="Segoe UI" w:eastAsia="Segoe UI" w:cs="Segoe UI"/>
          <w:color w:val="auto"/>
          <w:kern w:val="0"/>
          <w:sz w:val="21"/>
          <w:szCs w:val="21"/>
          <w:shd w:val="clear" w:color="auto" w:fill="FFFFFF"/>
          <w:lang w:val="en-US" w:eastAsia="zh-CN" w:bidi="ar-SA"/>
        </w:rPr>
        <w:t>为积极响应国家关于推进自主卫星导航系统规模应用的战略部署，并全面落实重点营运车辆（含校车）监管设备的技术合规性与数据安全性要求，特制定本专项升级</w:t>
      </w:r>
      <w:r>
        <w:rPr>
          <w:rFonts w:hint="eastAsia" w:ascii="Segoe UI" w:hAnsi="Segoe UI" w:eastAsia="宋体" w:cs="Segoe UI"/>
          <w:color w:val="auto"/>
          <w:kern w:val="0"/>
          <w:sz w:val="21"/>
          <w:szCs w:val="21"/>
          <w:shd w:val="clear" w:color="auto" w:fill="FFFFFF"/>
          <w:lang w:val="en-US" w:eastAsia="zh-CN" w:bidi="ar-SA"/>
        </w:rPr>
        <w:t>改造</w:t>
      </w:r>
      <w:r>
        <w:rPr>
          <w:rFonts w:ascii="Segoe UI" w:hAnsi="Segoe UI" w:eastAsia="Segoe UI" w:cs="Segoe UI"/>
          <w:color w:val="auto"/>
          <w:kern w:val="0"/>
          <w:sz w:val="21"/>
          <w:szCs w:val="21"/>
          <w:shd w:val="clear" w:color="auto" w:fill="FFFFFF"/>
          <w:lang w:val="en-US" w:eastAsia="zh-CN" w:bidi="ar-SA"/>
        </w:rPr>
        <w:t>方案。当前，</w:t>
      </w:r>
      <w:r>
        <w:rPr>
          <w:rFonts w:hint="eastAsia" w:ascii="Segoe UI" w:hAnsi="Segoe UI" w:eastAsia="宋体" w:cs="Segoe UI"/>
          <w:color w:val="auto"/>
          <w:kern w:val="0"/>
          <w:sz w:val="21"/>
          <w:szCs w:val="21"/>
          <w:shd w:val="clear" w:color="auto" w:fill="FFFFFF"/>
          <w:lang w:val="en-US" w:eastAsia="zh-CN" w:bidi="ar-SA"/>
        </w:rPr>
        <w:t>岳阳县所辖范围</w:t>
      </w:r>
      <w:r>
        <w:rPr>
          <w:rFonts w:ascii="Times New Roman" w:hAnsi="Times New Roman" w:eastAsia="宋体" w:cs="Times New Roman"/>
          <w:color w:val="auto"/>
          <w:kern w:val="0"/>
          <w:sz w:val="21"/>
          <w:szCs w:val="21"/>
          <w:lang w:val="en-US" w:eastAsia="zh-CN" w:bidi="ar-SA"/>
        </w:rPr>
        <w:t>校车</w:t>
      </w:r>
      <w:r>
        <w:rPr>
          <w:rFonts w:ascii="Segoe UI" w:hAnsi="Segoe UI" w:eastAsia="Segoe UI" w:cs="Segoe UI"/>
          <w:color w:val="auto"/>
          <w:kern w:val="0"/>
          <w:sz w:val="21"/>
          <w:szCs w:val="21"/>
          <w:shd w:val="clear" w:color="auto" w:fill="FFFFFF"/>
          <w:lang w:val="en-US" w:eastAsia="zh-CN" w:bidi="ar-SA"/>
        </w:rPr>
        <w:t>车队所配备的车载监管设备，其定位模块可能依赖或兼容国外卫星导航系统，已难以完全满足国家在数据主权、技术自主及最新行业标准方面的强制性规定。</w:t>
      </w:r>
    </w:p>
    <w:p w14:paraId="70D5618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Segoe UI" w:hAnsi="Segoe UI" w:eastAsia="宋体" w:cs="Segoe UI"/>
          <w:color w:val="auto"/>
          <w:kern w:val="0"/>
          <w:sz w:val="21"/>
          <w:szCs w:val="21"/>
          <w:lang w:val="en-US" w:eastAsia="zh-CN" w:bidi="ar-SA"/>
        </w:rPr>
      </w:pPr>
      <w:r>
        <w:rPr>
          <w:rFonts w:ascii="Segoe UI" w:hAnsi="Segoe UI" w:eastAsia="Segoe UI" w:cs="Segoe UI"/>
          <w:color w:val="auto"/>
          <w:kern w:val="0"/>
          <w:sz w:val="21"/>
          <w:szCs w:val="21"/>
          <w:shd w:val="clear" w:color="auto" w:fill="FFFFFF"/>
          <w:lang w:val="en-US" w:eastAsia="zh-CN" w:bidi="ar-SA"/>
        </w:rPr>
        <w:t>本次设备更换的核心目标，是将现有车载终端</w:t>
      </w:r>
      <w:r>
        <w:rPr>
          <w:rFonts w:ascii="Segoe UI" w:hAnsi="Segoe UI" w:eastAsia="Segoe UI" w:cs="Segoe UI"/>
          <w:b/>
          <w:bCs/>
          <w:color w:val="auto"/>
          <w:kern w:val="2"/>
          <w:sz w:val="21"/>
          <w:szCs w:val="21"/>
          <w:shd w:val="clear" w:color="auto" w:fill="FFFFFF"/>
          <w:lang w:val="en-US" w:eastAsia="zh-CN" w:bidi="ar-SA"/>
        </w:rPr>
        <w:t>统一更换为以我国自主可控的“北斗卫星导航系统”为单一定位源的新一代智能监管设备</w:t>
      </w:r>
      <w:r>
        <w:rPr>
          <w:rFonts w:ascii="Segoe UI" w:hAnsi="Segoe UI" w:eastAsia="Segoe UI" w:cs="Segoe UI"/>
          <w:color w:val="auto"/>
          <w:kern w:val="0"/>
          <w:sz w:val="21"/>
          <w:szCs w:val="21"/>
          <w:shd w:val="clear" w:color="auto" w:fill="FFFFFF"/>
          <w:lang w:val="en-US" w:eastAsia="zh-CN" w:bidi="ar-SA"/>
        </w:rPr>
        <w:t>，从而彻底消除对境外系统的依赖风险，确保校车运行过程中产生的所有位置、轨迹、状态等核心数据的安全、可靠与合规，为校车安全运营构筑坚实的技术基石。</w:t>
      </w:r>
      <w:r>
        <w:rPr>
          <w:rFonts w:hint="eastAsia" w:ascii="Segoe UI" w:hAnsi="Segoe UI" w:eastAsia="宋体" w:cs="Segoe UI"/>
          <w:color w:val="auto"/>
          <w:kern w:val="0"/>
          <w:sz w:val="21"/>
          <w:szCs w:val="21"/>
          <w:shd w:val="clear" w:color="auto" w:fill="FFFFFF"/>
          <w:lang w:val="en-US" w:eastAsia="zh-CN" w:bidi="ar-SA"/>
        </w:rPr>
        <w:t>同时</w:t>
      </w:r>
      <w:r>
        <w:rPr>
          <w:rFonts w:hint="eastAsia" w:ascii="Segoe UI" w:hAnsi="Segoe UI" w:eastAsia="Segoe UI" w:cs="Segoe UI"/>
          <w:color w:val="auto"/>
          <w:kern w:val="0"/>
          <w:sz w:val="21"/>
          <w:szCs w:val="21"/>
          <w:shd w:val="clear" w:color="auto" w:fill="FFFFFF"/>
          <w:lang w:val="en-US" w:eastAsia="zh-CN" w:bidi="ar-SA"/>
        </w:rPr>
        <w:t>按照湖南省教育厅《全省校车接入“三客一危”监管平台工作指南》要求，对校车进行存储更换，更换为 512GB工业级高速存储、宽温SATA SSD，并</w:t>
      </w:r>
      <w:r>
        <w:rPr>
          <w:rFonts w:hint="eastAsia" w:ascii="Segoe UI" w:hAnsi="Segoe UI" w:eastAsia="宋体" w:cs="Segoe UI"/>
          <w:color w:val="auto"/>
          <w:kern w:val="0"/>
          <w:sz w:val="21"/>
          <w:szCs w:val="21"/>
          <w:shd w:val="clear" w:color="auto" w:fill="FFFFFF"/>
          <w:lang w:val="en-US" w:eastAsia="zh-CN" w:bidi="ar-SA"/>
        </w:rPr>
        <w:t>格式化文件系统为适用于车载环境的</w:t>
      </w:r>
      <w:r>
        <w:rPr>
          <w:rFonts w:hint="eastAsia" w:ascii="Segoe UI" w:hAnsi="Segoe UI" w:eastAsia="Segoe UI" w:cs="Segoe UI"/>
          <w:color w:val="auto"/>
          <w:kern w:val="0"/>
          <w:sz w:val="21"/>
          <w:szCs w:val="21"/>
          <w:shd w:val="clear" w:color="auto" w:fill="FFFFFF"/>
          <w:lang w:val="en-US" w:eastAsia="zh-CN" w:bidi="ar-SA"/>
        </w:rPr>
        <w:t>ext4格式，启</w:t>
      </w:r>
      <w:r>
        <w:rPr>
          <w:rFonts w:hint="eastAsia" w:ascii="Segoe UI" w:hAnsi="Segoe UI" w:eastAsia="宋体" w:cs="Segoe UI"/>
          <w:color w:val="auto"/>
          <w:kern w:val="0"/>
          <w:sz w:val="21"/>
          <w:szCs w:val="21"/>
          <w:shd w:val="clear" w:color="auto" w:fill="FFFFFF"/>
          <w:lang w:val="en-US" w:eastAsia="zh-CN" w:bidi="ar-SA"/>
        </w:rPr>
        <w:t>用写保护机制。对</w:t>
      </w:r>
      <w:r>
        <w:rPr>
          <w:rFonts w:ascii="Segoe UI" w:hAnsi="Segoe UI" w:eastAsia="Segoe UI" w:cs="Segoe UI"/>
          <w:color w:val="auto"/>
          <w:kern w:val="0"/>
          <w:sz w:val="21"/>
          <w:szCs w:val="21"/>
          <w:shd w:val="clear" w:color="auto" w:fill="FFFFFF"/>
          <w:lang w:val="en-US" w:eastAsia="zh-CN" w:bidi="ar-SA"/>
        </w:rPr>
        <w:t>车载终端</w:t>
      </w:r>
      <w:r>
        <w:rPr>
          <w:rFonts w:hint="eastAsia" w:ascii="Segoe UI" w:hAnsi="Segoe UI" w:eastAsia="宋体" w:cs="Segoe UI"/>
          <w:color w:val="auto"/>
          <w:kern w:val="0"/>
          <w:sz w:val="21"/>
          <w:szCs w:val="21"/>
          <w:shd w:val="clear" w:color="auto" w:fill="FFFFFF"/>
          <w:lang w:val="en-US" w:eastAsia="zh-CN" w:bidi="ar-SA"/>
        </w:rPr>
        <w:t>和智慧校车监管平台进行多种通信协议的对接服务，同步测试车辆终端，配合平台完成功能联调、压力测试、稳定性测试。</w:t>
      </w:r>
    </w:p>
    <w:p w14:paraId="2404E5EA">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19" w:name="_Toc21769"/>
      <w:r>
        <w:rPr>
          <w:rFonts w:hint="eastAsia" w:ascii="Arial" w:hAnsi="Arial" w:eastAsia="黑体" w:cs="宋体"/>
          <w:bCs/>
          <w:color w:val="auto"/>
          <w:kern w:val="0"/>
          <w:sz w:val="21"/>
          <w:szCs w:val="21"/>
          <w:lang w:val="en-US" w:eastAsia="zh-CN" w:bidi="ar-SA"/>
        </w:rPr>
        <w:t>设计原则</w:t>
      </w:r>
      <w:bookmarkEnd w:id="17"/>
      <w:bookmarkEnd w:id="19"/>
    </w:p>
    <w:p w14:paraId="161991EB">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20" w:name="_Toc184285902"/>
      <w:bookmarkStart w:id="21" w:name="_Toc493251715"/>
      <w:r>
        <w:rPr>
          <w:rFonts w:hint="eastAsia" w:ascii="Arial" w:hAnsi="Arial" w:eastAsia="黑体" w:cs="宋体"/>
          <w:bCs/>
          <w:color w:val="auto"/>
          <w:kern w:val="2"/>
          <w:sz w:val="21"/>
          <w:szCs w:val="21"/>
          <w:lang w:val="en-US" w:eastAsia="zh-CN" w:bidi="ar-SA"/>
        </w:rPr>
        <w:t>设计</w:t>
      </w:r>
      <w:r>
        <w:rPr>
          <w:rFonts w:hint="eastAsia" w:ascii="Arial" w:hAnsi="Arial" w:eastAsia="黑体" w:cs="宋体"/>
          <w:bCs/>
          <w:color w:val="auto"/>
          <w:kern w:val="2"/>
          <w:sz w:val="21"/>
          <w:szCs w:val="21"/>
          <w:lang w:val="zh-CN" w:eastAsia="zh-CN" w:bidi="ar-SA"/>
        </w:rPr>
        <w:t>原则</w:t>
      </w:r>
      <w:bookmarkEnd w:id="20"/>
      <w:bookmarkEnd w:id="21"/>
    </w:p>
    <w:p w14:paraId="3480C22F">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先进性</w:t>
      </w:r>
    </w:p>
    <w:p w14:paraId="294B6C5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系统建设遵循先进的设计理念，从系统性能、功能、产品稳定性、经济性能等方面考虑系统的先进性。完全采用目前业界主流的</w:t>
      </w:r>
      <w:r>
        <w:rPr>
          <w:rFonts w:ascii="Arial" w:hAnsi="Arial" w:eastAsia="宋体" w:cs="Times New Roman"/>
          <w:color w:val="auto"/>
          <w:kern w:val="0"/>
          <w:sz w:val="21"/>
          <w:szCs w:val="21"/>
          <w:lang w:val="en-US" w:eastAsia="zh-CN" w:bidi="ar-SA"/>
        </w:rPr>
        <w:t>、最新的</w:t>
      </w:r>
      <w:r>
        <w:rPr>
          <w:rFonts w:hint="eastAsia" w:ascii="Arial" w:hAnsi="Arial" w:eastAsia="宋体" w:cs="Times New Roman"/>
          <w:color w:val="auto"/>
          <w:kern w:val="0"/>
          <w:sz w:val="21"/>
          <w:szCs w:val="21"/>
          <w:lang w:val="en-US" w:eastAsia="zh-CN" w:bidi="ar-SA"/>
        </w:rPr>
        <w:t>技术和系统产品，保证前期所选型的系统与今后系统性能提升在技术先进性方面的可延续性。比如</w:t>
      </w:r>
      <w:r>
        <w:rPr>
          <w:rFonts w:ascii="Arial" w:hAnsi="Arial" w:eastAsia="宋体" w:cs="Times New Roman"/>
          <w:color w:val="auto"/>
          <w:kern w:val="0"/>
          <w:sz w:val="21"/>
          <w:szCs w:val="21"/>
          <w:lang w:val="en-US" w:eastAsia="zh-CN" w:bidi="ar-SA"/>
        </w:rPr>
        <w:t>H.265、</w:t>
      </w:r>
      <w:r>
        <w:rPr>
          <w:rFonts w:hint="eastAsia" w:ascii="Arial" w:hAnsi="Arial" w:eastAsia="宋体" w:cs="Times New Roman"/>
          <w:color w:val="auto"/>
          <w:kern w:val="0"/>
          <w:sz w:val="21"/>
          <w:szCs w:val="21"/>
          <w:lang w:val="en-US" w:eastAsia="zh-CN" w:bidi="ar-SA"/>
        </w:rPr>
        <w:t>刷卡联动、</w:t>
      </w:r>
      <w:r>
        <w:rPr>
          <w:rFonts w:ascii="Arial" w:hAnsi="Arial" w:eastAsia="宋体" w:cs="Times New Roman"/>
          <w:color w:val="auto"/>
          <w:kern w:val="0"/>
          <w:sz w:val="21"/>
          <w:szCs w:val="21"/>
          <w:lang w:val="en-US" w:eastAsia="zh-CN" w:bidi="ar-SA"/>
        </w:rPr>
        <w:t>人脸识别、主动</w:t>
      </w:r>
      <w:r>
        <w:rPr>
          <w:rFonts w:hint="eastAsia" w:ascii="Arial" w:hAnsi="Arial" w:eastAsia="宋体" w:cs="Times New Roman"/>
          <w:color w:val="auto"/>
          <w:kern w:val="0"/>
          <w:sz w:val="21"/>
          <w:szCs w:val="21"/>
          <w:lang w:val="en-US" w:eastAsia="zh-CN" w:bidi="ar-SA"/>
        </w:rPr>
        <w:t>驾驶</w:t>
      </w:r>
      <w:r>
        <w:rPr>
          <w:rFonts w:ascii="Arial" w:hAnsi="Arial" w:eastAsia="宋体" w:cs="Times New Roman"/>
          <w:color w:val="auto"/>
          <w:kern w:val="0"/>
          <w:sz w:val="21"/>
          <w:szCs w:val="21"/>
          <w:lang w:val="en-US" w:eastAsia="zh-CN" w:bidi="ar-SA"/>
        </w:rPr>
        <w:t>安全预警等。</w:t>
      </w:r>
    </w:p>
    <w:p w14:paraId="330ABFE1">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开放性</w:t>
      </w:r>
    </w:p>
    <w:p w14:paraId="3C78067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系统设计遵循开放性原则，能够支持多种设备终端和网络系统，并支持二次开发。</w:t>
      </w:r>
    </w:p>
    <w:p w14:paraId="1E0A3E13">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可扩展性</w:t>
      </w:r>
    </w:p>
    <w:p w14:paraId="0ADCD25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对系统的终期容量和网络发展设想进行方案设计，实现平滑扩容。采用智能接口和容器技术，能够满足将来系统终端设备功能扩展和中心管理功能的扩展。同时设计考虑兼容以后网络、存储等技术更新。</w:t>
      </w:r>
    </w:p>
    <w:p w14:paraId="122DBBFD">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系统安全性</w:t>
      </w:r>
    </w:p>
    <w:p w14:paraId="354F73EF">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在互联网中，防止非法用户接入服务，防止计算机病毒的入侵，在系统的运维管理中，实现对网络的实时监控，在车辆终端接入中采用设备和用户接入的双重认证，保证接入用户的合法性。</w:t>
      </w:r>
    </w:p>
    <w:p w14:paraId="792EB40D">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经济性</w:t>
      </w:r>
    </w:p>
    <w:p w14:paraId="31620FCA">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主机</w:t>
      </w:r>
      <w:r>
        <w:rPr>
          <w:rFonts w:ascii="Arial" w:hAnsi="Arial" w:eastAsia="宋体" w:cs="Times New Roman"/>
          <w:color w:val="auto"/>
          <w:kern w:val="0"/>
          <w:sz w:val="21"/>
          <w:szCs w:val="21"/>
          <w:lang w:val="en-US" w:eastAsia="zh-CN" w:bidi="ar-SA"/>
        </w:rPr>
        <w:t>支持H.265编码，比市场上的H.264</w:t>
      </w:r>
      <w:r>
        <w:rPr>
          <w:rFonts w:hint="eastAsia" w:ascii="Arial" w:hAnsi="Arial" w:eastAsia="宋体" w:cs="Times New Roman"/>
          <w:color w:val="auto"/>
          <w:kern w:val="0"/>
          <w:sz w:val="21"/>
          <w:szCs w:val="21"/>
          <w:lang w:val="en-US" w:eastAsia="zh-CN" w:bidi="ar-SA"/>
        </w:rPr>
        <w:t>编码</w:t>
      </w:r>
      <w:r>
        <w:rPr>
          <w:rFonts w:ascii="Arial" w:hAnsi="Arial" w:eastAsia="宋体" w:cs="Times New Roman"/>
          <w:color w:val="auto"/>
          <w:kern w:val="0"/>
          <w:sz w:val="21"/>
          <w:szCs w:val="21"/>
          <w:lang w:val="en-US" w:eastAsia="zh-CN" w:bidi="ar-SA"/>
        </w:rPr>
        <w:t>的设备，对存储介质成本降低一半、对</w:t>
      </w:r>
      <w:r>
        <w:rPr>
          <w:rFonts w:hint="eastAsia" w:ascii="Arial" w:hAnsi="Arial" w:eastAsia="宋体" w:cs="Times New Roman"/>
          <w:color w:val="auto"/>
          <w:kern w:val="0"/>
          <w:sz w:val="21"/>
          <w:szCs w:val="21"/>
          <w:lang w:val="en-US" w:eastAsia="zh-CN" w:bidi="ar-SA"/>
        </w:rPr>
        <w:t>远程</w:t>
      </w:r>
      <w:r>
        <w:rPr>
          <w:rFonts w:ascii="Arial" w:hAnsi="Arial" w:eastAsia="宋体" w:cs="Times New Roman"/>
          <w:color w:val="auto"/>
          <w:kern w:val="0"/>
          <w:sz w:val="21"/>
          <w:szCs w:val="21"/>
          <w:lang w:val="en-US" w:eastAsia="zh-CN" w:bidi="ar-SA"/>
        </w:rPr>
        <w:t>监控</w:t>
      </w:r>
      <w:r>
        <w:rPr>
          <w:rFonts w:hint="eastAsia" w:ascii="Arial" w:hAnsi="Arial" w:eastAsia="宋体" w:cs="Times New Roman"/>
          <w:color w:val="auto"/>
          <w:kern w:val="0"/>
          <w:sz w:val="21"/>
          <w:szCs w:val="21"/>
          <w:lang w:val="en-US" w:eastAsia="zh-CN" w:bidi="ar-SA"/>
        </w:rPr>
        <w:t>的</w:t>
      </w:r>
      <w:r>
        <w:rPr>
          <w:rFonts w:ascii="Arial" w:hAnsi="Arial" w:eastAsia="宋体" w:cs="Times New Roman"/>
          <w:color w:val="auto"/>
          <w:kern w:val="0"/>
          <w:sz w:val="21"/>
          <w:szCs w:val="21"/>
          <w:lang w:val="en-US" w:eastAsia="zh-CN" w:bidi="ar-SA"/>
        </w:rPr>
        <w:t>流量也降低一半。</w:t>
      </w:r>
    </w:p>
    <w:p w14:paraId="79943AB9">
      <w:pPr>
        <w:keepLines w:val="0"/>
        <w:pageBreakBefore w:val="0"/>
        <w:widowControl w:val="0"/>
        <w:numPr>
          <w:ilvl w:val="0"/>
          <w:numId w:val="9"/>
        </w:numPr>
        <w:kinsoku/>
        <w:wordWrap/>
        <w:overflowPunct/>
        <w:topLinePunct w:val="0"/>
        <w:autoSpaceDE/>
        <w:autoSpaceDN/>
        <w:bidi w:val="0"/>
        <w:adjustRightInd/>
        <w:snapToGrid/>
        <w:spacing w:line="360" w:lineRule="auto"/>
        <w:ind w:left="425" w:hanging="425" w:firstLineChars="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易用性原则</w:t>
      </w:r>
    </w:p>
    <w:p w14:paraId="2E51DB26">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系统功能强大、界面友好</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软件设计人性化，易于被普通用户掌握、操作和使用。</w:t>
      </w:r>
    </w:p>
    <w:p w14:paraId="1FBC4711">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22" w:name="_Toc184285903"/>
      <w:r>
        <w:rPr>
          <w:rFonts w:hint="eastAsia" w:ascii="Arial" w:hAnsi="Arial" w:eastAsia="黑体" w:cs="宋体"/>
          <w:bCs/>
          <w:color w:val="auto"/>
          <w:kern w:val="2"/>
          <w:sz w:val="21"/>
          <w:szCs w:val="21"/>
          <w:lang w:val="zh-CN" w:eastAsia="zh-CN" w:bidi="ar-SA"/>
        </w:rPr>
        <w:t>设计依据</w:t>
      </w:r>
      <w:bookmarkEnd w:id="22"/>
    </w:p>
    <w:p w14:paraId="651E56EA">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Times New Roman" w:hAnsi="Times New Roman" w:eastAsia="宋体" w:cs="Times New Roman"/>
          <w:color w:val="auto"/>
          <w:kern w:val="0"/>
          <w:sz w:val="21"/>
          <w:szCs w:val="21"/>
          <w:lang w:val="en-US" w:eastAsia="zh-CN" w:bidi="ar-SA"/>
        </w:rPr>
      </w:pPr>
      <w:r>
        <w:rPr>
          <w:rFonts w:ascii="Segoe UI" w:hAnsi="Segoe UI" w:eastAsia="Segoe UI" w:cs="Segoe UI"/>
          <w:color w:val="auto"/>
          <w:kern w:val="0"/>
          <w:sz w:val="21"/>
          <w:szCs w:val="21"/>
          <w:shd w:val="clear" w:color="auto" w:fill="FFFFFF"/>
          <w:lang w:val="en-US" w:eastAsia="zh-CN" w:bidi="ar-SA"/>
        </w:rPr>
        <w:t>依据《国家北斗规模应用三年行动计划》等政策，重点营运车辆（含校车）需限期完成车载终端向“单北斗模式”的切换。更换为单北斗设备是确保校车持续符合运营资质年审与</w:t>
      </w:r>
      <w:r>
        <w:rPr>
          <w:rFonts w:hint="eastAsia" w:ascii="Segoe UI" w:hAnsi="Segoe UI" w:eastAsia="宋体" w:cs="Segoe UI"/>
          <w:color w:val="auto"/>
          <w:kern w:val="0"/>
          <w:sz w:val="21"/>
          <w:szCs w:val="21"/>
          <w:shd w:val="clear" w:color="auto" w:fill="FFFFFF"/>
          <w:lang w:val="en-US" w:eastAsia="zh-CN" w:bidi="ar-SA"/>
        </w:rPr>
        <w:t>国家对交通安全</w:t>
      </w:r>
      <w:r>
        <w:rPr>
          <w:rFonts w:ascii="Segoe UI" w:hAnsi="Segoe UI" w:eastAsia="Segoe UI" w:cs="Segoe UI"/>
          <w:color w:val="auto"/>
          <w:kern w:val="0"/>
          <w:sz w:val="21"/>
          <w:szCs w:val="21"/>
          <w:shd w:val="clear" w:color="auto" w:fill="FFFFFF"/>
          <w:lang w:val="en-US" w:eastAsia="zh-CN" w:bidi="ar-SA"/>
        </w:rPr>
        <w:t>要求的前提</w:t>
      </w:r>
      <w:r>
        <w:rPr>
          <w:rFonts w:hint="eastAsia" w:ascii="Times New Roman" w:hAnsi="Times New Roman" w:eastAsia="宋体" w:cs="Times New Roman"/>
          <w:color w:val="auto"/>
          <w:kern w:val="0"/>
          <w:sz w:val="21"/>
          <w:szCs w:val="21"/>
          <w:lang w:val="en-US" w:eastAsia="zh-CN" w:bidi="ar-SA"/>
        </w:rPr>
        <w:t>。</w:t>
      </w:r>
    </w:p>
    <w:p w14:paraId="1DC53C67">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遵循《网络安全法》《数据安全法》对关键信息基础设施和重要数据的安全保护要求。使用单北斗设备，可从根本上杜绝因使用境外定位系统导致的敏感地理信息数据出境风险，以及境外定位系统信号断网造成的交通安全事故风险。保障校车运行数据的主权安全和学生交通安全。</w:t>
      </w:r>
    </w:p>
    <w:p w14:paraId="3B25A9C6">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依据工业和信息化部等四部门联合印发的《北斗产业化重大工程实施方案》，方案旨在 “推动北斗规模应用市场化、产业化、国际化发展” ，并重点拓展在交通运输等关键领域的应用。本项目规模化部署单北斗终端，是推动北斗在公共服务领域深度应用、融入国家产业化发展大局的实践。</w:t>
      </w:r>
    </w:p>
    <w:bookmarkEnd w:id="18"/>
    <w:p w14:paraId="25C5B32C">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23" w:name="_Toc6382"/>
      <w:bookmarkStart w:id="24" w:name="_Toc184285904"/>
      <w:r>
        <w:rPr>
          <w:rFonts w:hint="eastAsia" w:ascii="Arial" w:hAnsi="Arial" w:eastAsia="黑体" w:cs="宋体"/>
          <w:bCs/>
          <w:color w:val="auto"/>
          <w:kern w:val="0"/>
          <w:sz w:val="21"/>
          <w:szCs w:val="21"/>
          <w:lang w:val="en-US" w:eastAsia="zh-CN" w:bidi="ar-SA"/>
        </w:rPr>
        <w:t>系统需求分析</w:t>
      </w:r>
      <w:bookmarkEnd w:id="23"/>
      <w:bookmarkEnd w:id="24"/>
    </w:p>
    <w:p w14:paraId="67B62ACF">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25" w:name="_Toc184285905"/>
      <w:r>
        <w:rPr>
          <w:rFonts w:hint="eastAsia" w:ascii="Arial" w:hAnsi="Arial" w:eastAsia="黑体" w:cs="宋体"/>
          <w:bCs/>
          <w:color w:val="auto"/>
          <w:kern w:val="2"/>
          <w:sz w:val="21"/>
          <w:szCs w:val="21"/>
          <w:lang w:val="zh-CN" w:eastAsia="zh-CN" w:bidi="ar-SA"/>
        </w:rPr>
        <w:t>业务现状</w:t>
      </w:r>
      <w:bookmarkEnd w:id="25"/>
    </w:p>
    <w:p w14:paraId="72C6AB07">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岳阳县教育体育局始终将校车安全置于学生安全工作的首位，通过持续投入和机制创新，构建了较为完善的校车安全管理体系，并取得了显著成效。然而，随着设备服役周期增长与国家技术标准升级，现有监管系统的核心硬件已暴露出系列亟待解决的突出问题。</w:t>
      </w:r>
    </w:p>
    <w:p w14:paraId="30674611">
      <w:pPr>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1、</w:t>
      </w:r>
      <w:r>
        <w:rPr>
          <w:rFonts w:hint="eastAsia" w:ascii="Arial" w:hAnsi="Arial" w:eastAsia="宋体" w:cs="宋体"/>
          <w:b/>
          <w:bCs/>
          <w:color w:val="auto"/>
          <w:kern w:val="0"/>
          <w:sz w:val="21"/>
          <w:szCs w:val="21"/>
          <w:lang w:val="en-US" w:eastAsia="zh-CN" w:bidi="ar-SA"/>
        </w:rPr>
        <w:t>管理体系健全，但技术载体严重拖累</w:t>
      </w:r>
      <w:r>
        <w:rPr>
          <w:rFonts w:hint="eastAsia" w:ascii="Arial" w:hAnsi="Arial" w:eastAsia="宋体" w:cs="宋体"/>
          <w:color w:val="auto"/>
          <w:kern w:val="0"/>
          <w:sz w:val="21"/>
          <w:szCs w:val="21"/>
          <w:lang w:val="en-US" w:eastAsia="zh-CN" w:bidi="ar-SA"/>
        </w:rPr>
        <w:t>：我县虽已构建“党政主导、部门联动、家校协同”的校车安全管理工作机制，并连续多年实现“零事故、零伤亡”，但这一成绩的取得更多依赖于严格的管理制度和人员的超负荷投入。作为技术载体的车载终端与后台系统，其基础性能已难以匹配当前高标准的管理要求。</w:t>
      </w:r>
    </w:p>
    <w:p w14:paraId="4D21FFE5">
      <w:pPr>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2、</w:t>
      </w:r>
      <w:r>
        <w:rPr>
          <w:rFonts w:hint="eastAsia" w:ascii="Arial" w:hAnsi="Arial" w:eastAsia="宋体" w:cs="宋体"/>
          <w:b/>
          <w:bCs/>
          <w:color w:val="auto"/>
          <w:kern w:val="0"/>
          <w:sz w:val="21"/>
          <w:szCs w:val="21"/>
          <w:lang w:val="en-US" w:eastAsia="zh-CN" w:bidi="ar-SA"/>
        </w:rPr>
        <w:t>智慧监管先行，但现有设备故障频发、效能低</w:t>
      </w:r>
      <w:r>
        <w:rPr>
          <w:rFonts w:hint="eastAsia" w:ascii="Arial" w:hAnsi="Arial" w:eastAsia="宋体" w:cs="宋体"/>
          <w:color w:val="auto"/>
          <w:kern w:val="0"/>
          <w:sz w:val="21"/>
          <w:szCs w:val="21"/>
          <w:lang w:val="en-US" w:eastAsia="zh-CN" w:bidi="ar-SA"/>
        </w:rPr>
        <w:t>下：我县在校车智能化管理方面起步较早，但早期部署的设备已进入故障高发期，具体表现如下：</w:t>
      </w:r>
    </w:p>
    <w:p w14:paraId="5EEB72E8">
      <w:pPr>
        <w:keepLines w:val="0"/>
        <w:pageBreakBefore w:val="0"/>
        <w:widowControl w:val="0"/>
        <w:numPr>
          <w:ilvl w:val="0"/>
          <w:numId w:val="10"/>
        </w:numPr>
        <w:kinsoku/>
        <w:wordWrap/>
        <w:overflowPunct/>
        <w:topLinePunct w:val="0"/>
        <w:autoSpaceDE/>
        <w:autoSpaceDN/>
        <w:bidi w:val="0"/>
        <w:adjustRightInd/>
        <w:snapToGrid/>
        <w:spacing w:line="360" w:lineRule="auto"/>
        <w:ind w:left="425" w:hanging="425"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设备严重老化，性能不稳定：</w:t>
      </w:r>
      <w:r>
        <w:rPr>
          <w:rFonts w:hint="eastAsia" w:ascii="Arial" w:hAnsi="Arial" w:eastAsia="宋体" w:cs="宋体"/>
          <w:color w:val="auto"/>
          <w:kern w:val="0"/>
          <w:sz w:val="21"/>
          <w:szCs w:val="21"/>
          <w:lang w:val="en-US" w:eastAsia="zh-CN" w:bidi="ar-SA"/>
        </w:rPr>
        <w:t>大量车载终端（如记录仪、摄像头）已使用过久，硬件老化导致运行极不稳定。关键监控画面经常性卡顿、加载失败，在需调阅视频核实超速、违规或纠纷时，常因设备故障导致关键数据缺失，使监管与追溯陷入被动。</w:t>
      </w:r>
    </w:p>
    <w:p w14:paraId="1687C13F">
      <w:pPr>
        <w:keepLines w:val="0"/>
        <w:pageBreakBefore w:val="0"/>
        <w:widowControl w:val="0"/>
        <w:numPr>
          <w:ilvl w:val="0"/>
          <w:numId w:val="10"/>
        </w:numPr>
        <w:kinsoku/>
        <w:wordWrap/>
        <w:overflowPunct/>
        <w:topLinePunct w:val="0"/>
        <w:autoSpaceDE/>
        <w:autoSpaceDN/>
        <w:bidi w:val="0"/>
        <w:adjustRightInd/>
        <w:snapToGrid/>
        <w:spacing w:line="360" w:lineRule="auto"/>
        <w:ind w:left="425" w:hanging="425"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定位模块陈旧，合规与精度双失</w:t>
      </w:r>
      <w:r>
        <w:rPr>
          <w:rFonts w:hint="eastAsia" w:ascii="Arial" w:hAnsi="Arial" w:eastAsia="宋体" w:cs="宋体"/>
          <w:color w:val="auto"/>
          <w:kern w:val="0"/>
          <w:sz w:val="21"/>
          <w:szCs w:val="21"/>
          <w:lang w:val="en-US" w:eastAsia="zh-CN" w:bidi="ar-SA"/>
        </w:rPr>
        <w:t>：现有终端定位模块多采用陈旧技术，不仅无法满足国家“单北斗”的强制合规要求，其本身定位漂移、信号丢失等问题在山区、湖区路段频繁发生，无法实现真正的“全程实时精准监控”。</w:t>
      </w:r>
    </w:p>
    <w:p w14:paraId="7E64E328">
      <w:pPr>
        <w:keepLines w:val="0"/>
        <w:pageBreakBefore w:val="0"/>
        <w:widowControl w:val="0"/>
        <w:numPr>
          <w:ilvl w:val="0"/>
          <w:numId w:val="10"/>
        </w:numPr>
        <w:kinsoku/>
        <w:wordWrap/>
        <w:overflowPunct/>
        <w:topLinePunct w:val="0"/>
        <w:autoSpaceDE/>
        <w:autoSpaceDN/>
        <w:bidi w:val="0"/>
        <w:adjustRightInd/>
        <w:snapToGrid/>
        <w:spacing w:line="360" w:lineRule="auto"/>
        <w:ind w:left="425" w:hanging="425"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维修频次过高，运维成本不堪重负</w:t>
      </w:r>
      <w:r>
        <w:rPr>
          <w:rFonts w:hint="eastAsia" w:ascii="Arial" w:hAnsi="Arial" w:eastAsia="宋体" w:cs="宋体"/>
          <w:color w:val="auto"/>
          <w:kern w:val="0"/>
          <w:sz w:val="21"/>
          <w:szCs w:val="21"/>
          <w:lang w:val="en-US" w:eastAsia="zh-CN" w:bidi="ar-SA"/>
        </w:rPr>
        <w:t>：由于设备批量老化，故障率与维修频次居高不下。运维团队疲于奔命进行“点对点”抢修，仍无法从根本上解决问题，导致设备完好率难以保障，同时产生了高昂且持续的维护费用，日常运维压力与财政负担沉重。</w:t>
      </w:r>
    </w:p>
    <w:p w14:paraId="73BDDBF2">
      <w:pPr>
        <w:keepLines w:val="0"/>
        <w:pageBreakBefore w:val="0"/>
        <w:widowControl w:val="0"/>
        <w:numPr>
          <w:ilvl w:val="0"/>
          <w:numId w:val="10"/>
        </w:numPr>
        <w:kinsoku/>
        <w:wordWrap/>
        <w:overflowPunct/>
        <w:topLinePunct w:val="0"/>
        <w:autoSpaceDE/>
        <w:autoSpaceDN/>
        <w:bidi w:val="0"/>
        <w:adjustRightInd/>
        <w:snapToGrid/>
        <w:spacing w:line="360" w:lineRule="auto"/>
        <w:ind w:left="425" w:hanging="425" w:firstLineChars="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存储配置不够</w:t>
      </w:r>
      <w:r>
        <w:rPr>
          <w:rFonts w:hint="eastAsia" w:ascii="Arial" w:hAnsi="Arial" w:eastAsia="宋体" w:cs="宋体"/>
          <w:color w:val="auto"/>
          <w:kern w:val="0"/>
          <w:sz w:val="21"/>
          <w:szCs w:val="21"/>
          <w:lang w:val="en-US" w:eastAsia="zh-CN" w:bidi="ar-SA"/>
        </w:rPr>
        <w:t>： 现配存储容量为 64GB CF卡，故障率较高，且受限于编码格式与循环覆盖策略，重点视频留存周期约为15-20天。依据《校车安全管理条例》及省教育厅下发的《关于进一步加强校车动态监控工作的通知》，关键视频数据留存周期需逐步延长至90天，现有存储容量存在较大缺口。</w:t>
      </w:r>
    </w:p>
    <w:p w14:paraId="6E60C720">
      <w:pPr>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ascii="Arial" w:hAnsi="Arial" w:eastAsia="宋体" w:cs="宋体"/>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3、监管挑战空前，系统升级迫在眉睫</w:t>
      </w:r>
      <w:r>
        <w:rPr>
          <w:rFonts w:hint="eastAsia" w:ascii="Arial" w:hAnsi="Arial" w:eastAsia="宋体" w:cs="宋体"/>
          <w:color w:val="auto"/>
          <w:kern w:val="0"/>
          <w:sz w:val="21"/>
          <w:szCs w:val="21"/>
          <w:lang w:val="en-US" w:eastAsia="zh-CN" w:bidi="ar-SA"/>
        </w:rPr>
        <w:t>：当前，我县校车安全管理面临双重挤压。一方面，政府对校车监管的实时性、精准性提出新标准；另一方面，国家强制政策已至窗口期。现有系统在技术底层（定位不自主）、核心功能（监控时有时无）、运营状态（维修不断）三个维度上，均已无法支撑新时期的安全保障需求。本次升级已非简单的功能优化，而是对一套可靠性严重滑坡、合规性存在风险、运维难以为继的旧系统进行彻底更换，是确保我县校车安全监管体系不留死角、不断链条的紧急且必要的工程。</w:t>
      </w:r>
    </w:p>
    <w:p w14:paraId="119C41B2">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26" w:name="_Toc184285912"/>
      <w:r>
        <w:rPr>
          <w:rFonts w:hint="eastAsia" w:ascii="Arial" w:hAnsi="Arial" w:eastAsia="黑体" w:cs="宋体"/>
          <w:bCs/>
          <w:color w:val="auto"/>
          <w:kern w:val="2"/>
          <w:sz w:val="21"/>
          <w:szCs w:val="21"/>
          <w:lang w:val="en-US" w:eastAsia="zh-CN" w:bidi="ar-SA"/>
        </w:rPr>
        <w:t>需求</w:t>
      </w:r>
      <w:r>
        <w:rPr>
          <w:rFonts w:hint="eastAsia" w:ascii="Arial" w:hAnsi="Arial" w:eastAsia="黑体" w:cs="宋体"/>
          <w:bCs/>
          <w:color w:val="auto"/>
          <w:kern w:val="2"/>
          <w:sz w:val="21"/>
          <w:szCs w:val="21"/>
          <w:lang w:val="zh-CN" w:eastAsia="zh-CN" w:bidi="ar-SA"/>
        </w:rPr>
        <w:t>目标</w:t>
      </w:r>
      <w:bookmarkEnd w:id="26"/>
    </w:p>
    <w:p w14:paraId="50067E60">
      <w:pPr>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ascii="宋体" w:hAnsi="宋体" w:eastAsia="宋体" w:cs="宋体"/>
          <w:color w:val="auto"/>
          <w:sz w:val="21"/>
          <w:szCs w:val="21"/>
        </w:rPr>
        <w:t>基于以上业务现状，为</w:t>
      </w:r>
      <w:r>
        <w:rPr>
          <w:rFonts w:hint="eastAsia" w:ascii="宋体" w:hAnsi="宋体" w:eastAsia="宋体" w:cs="宋体"/>
          <w:color w:val="auto"/>
          <w:sz w:val="21"/>
          <w:szCs w:val="21"/>
        </w:rPr>
        <w:t>保证</w:t>
      </w:r>
      <w:r>
        <w:rPr>
          <w:rFonts w:ascii="宋体" w:hAnsi="宋体" w:eastAsia="宋体" w:cs="宋体"/>
          <w:color w:val="auto"/>
          <w:sz w:val="21"/>
          <w:szCs w:val="21"/>
        </w:rPr>
        <w:t>我县校车安全“零事故”成果，并前瞻性地应对技术发展与政策合规要求，对现有校车监管系统进行北斗化、智能化升级已成为当前核心需求。具体分析如下：</w:t>
      </w:r>
    </w:p>
    <w:p w14:paraId="61E8B136">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宋体" w:hAnsi="宋体" w:eastAsia="宋体" w:cs="Times New Roman"/>
          <w:color w:val="auto"/>
          <w:kern w:val="0"/>
          <w:sz w:val="21"/>
          <w:szCs w:val="21"/>
          <w:lang w:val="en-US" w:eastAsia="zh-CN" w:bidi="ar-SA"/>
        </w:rPr>
      </w:pPr>
      <w:r>
        <w:rPr>
          <w:rFonts w:hint="eastAsia" w:ascii="Segoe UI" w:hAnsi="Segoe UI" w:eastAsia="宋体" w:cs="Segoe UI"/>
          <w:b/>
          <w:bCs/>
          <w:color w:val="auto"/>
          <w:kern w:val="2"/>
          <w:sz w:val="21"/>
          <w:szCs w:val="21"/>
          <w:shd w:val="clear" w:color="auto" w:fill="FFFFFF"/>
          <w:lang w:val="en-US" w:eastAsia="zh-CN" w:bidi="ar-SA"/>
        </w:rPr>
        <w:t>1、</w:t>
      </w:r>
      <w:r>
        <w:rPr>
          <w:rFonts w:ascii="Segoe UI" w:hAnsi="Segoe UI" w:eastAsia="Segoe UI" w:cs="Segoe UI"/>
          <w:b/>
          <w:bCs/>
          <w:color w:val="auto"/>
          <w:kern w:val="2"/>
          <w:sz w:val="21"/>
          <w:szCs w:val="21"/>
          <w:shd w:val="clear" w:color="auto" w:fill="FFFFFF"/>
          <w:lang w:val="en-US" w:eastAsia="zh-CN" w:bidi="ar-SA"/>
        </w:rPr>
        <w:t>响应国家战略，满足刚性合规的监管需求</w:t>
      </w:r>
      <w:r>
        <w:rPr>
          <w:rFonts w:ascii="Segoe UI" w:hAnsi="Segoe UI" w:eastAsia="Segoe UI" w:cs="Segoe UI"/>
          <w:color w:val="auto"/>
          <w:kern w:val="0"/>
          <w:sz w:val="21"/>
          <w:szCs w:val="21"/>
          <w:shd w:val="clear" w:color="auto" w:fill="FFFFFF"/>
          <w:lang w:val="en-US" w:eastAsia="zh-CN" w:bidi="ar-SA"/>
        </w:rPr>
        <w:t>：</w:t>
      </w:r>
      <w:r>
        <w:rPr>
          <w:rFonts w:ascii="宋体" w:hAnsi="宋体" w:eastAsia="宋体" w:cs="宋体"/>
          <w:color w:val="auto"/>
          <w:kern w:val="2"/>
          <w:sz w:val="21"/>
          <w:szCs w:val="21"/>
          <w:lang w:val="en-US" w:eastAsia="zh-CN" w:bidi="ar-SA"/>
        </w:rPr>
        <w:t>根据《国家北斗规模应用三年行动计划》等国家政策，重点营运车辆（含校车）需限期完成车载终端向“单北斗”模式的切换</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"https://www.yueyang.gov.cn/jytyj/22464/65598/content_2269826.html"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现有终端可能无法满足国家对定位数据自主可控的强制性要求，存在未来无法通过车辆年审或平台接入审查的风险。本项目需求的核心驱动，即是通过更换为纯北斗终端，确保我县校车持续符合国家法规与行业准入标准，将安全监管建立在自主可控的技术基石之上。</w:t>
      </w:r>
    </w:p>
    <w:p w14:paraId="200707A8">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宋体" w:hAnsi="宋体" w:eastAsia="宋体" w:cs="Times New Roman"/>
          <w:color w:val="auto"/>
          <w:kern w:val="0"/>
          <w:sz w:val="21"/>
          <w:szCs w:val="21"/>
          <w:lang w:val="en-US" w:eastAsia="zh-CN" w:bidi="ar-SA"/>
        </w:rPr>
      </w:pPr>
      <w:r>
        <w:rPr>
          <w:rFonts w:hint="eastAsia" w:ascii="Segoe UI" w:hAnsi="Segoe UI" w:eastAsia="宋体" w:cs="Segoe UI"/>
          <w:b/>
          <w:bCs/>
          <w:color w:val="auto"/>
          <w:kern w:val="2"/>
          <w:sz w:val="21"/>
          <w:szCs w:val="21"/>
          <w:shd w:val="clear" w:color="auto" w:fill="FFFFFF"/>
          <w:lang w:val="en-US" w:eastAsia="zh-CN" w:bidi="ar-SA"/>
        </w:rPr>
        <w:t>2、</w:t>
      </w:r>
      <w:r>
        <w:rPr>
          <w:rFonts w:ascii="Segoe UI" w:hAnsi="Segoe UI" w:eastAsia="Segoe UI" w:cs="Segoe UI"/>
          <w:b/>
          <w:bCs/>
          <w:color w:val="auto"/>
          <w:kern w:val="2"/>
          <w:sz w:val="21"/>
          <w:szCs w:val="21"/>
          <w:shd w:val="clear" w:color="auto" w:fill="FFFFFF"/>
          <w:lang w:val="en-US" w:eastAsia="zh-CN" w:bidi="ar-SA"/>
        </w:rPr>
        <w:t>应对复杂局面，实现全时全域精准监管的需求</w:t>
      </w:r>
      <w:r>
        <w:rPr>
          <w:rFonts w:ascii="Segoe UI" w:hAnsi="Segoe UI" w:eastAsia="Segoe UI" w:cs="Segoe UI"/>
          <w:color w:val="auto"/>
          <w:kern w:val="0"/>
          <w:sz w:val="21"/>
          <w:szCs w:val="21"/>
          <w:shd w:val="clear" w:color="auto" w:fill="FFFFFF"/>
          <w:lang w:val="en-US" w:eastAsia="zh-CN" w:bidi="ar-SA"/>
        </w:rPr>
        <w:t>：</w:t>
      </w:r>
      <w:r>
        <w:rPr>
          <w:rFonts w:ascii="宋体" w:hAnsi="宋体" w:eastAsia="宋体" w:cs="宋体"/>
          <w:color w:val="auto"/>
          <w:kern w:val="2"/>
          <w:sz w:val="21"/>
          <w:szCs w:val="21"/>
          <w:lang w:val="en-US" w:eastAsia="zh-CN" w:bidi="ar-SA"/>
        </w:rPr>
        <w:t>我县地形多样，校车运行路线覆盖丘陵、湖区等复杂路况</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"https://wap-cnki-net-443.webvpn.imac.edu.cn/touch/web/Journal/Article/HNJY202305024.html"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现有系统在信号弱、环境复杂的区域，定位稳定性与精度可能存在不足。北斗系统独有的高精度定位与短报文通信功能，能确保在任何环境下实现车辆连续、精准定位，并在无公网区域提供应急通信能力。这是应对极端情况、实现“全覆盖、无死角”监管</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"https://www.hunantoday.cn/news/xhn/202511/30956229.html"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，筑牢学生出行安全防线的关键技术保障。</w:t>
      </w:r>
    </w:p>
    <w:p w14:paraId="348AD2B6">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宋体" w:hAnsi="宋体" w:eastAsia="宋体" w:cs="Times New Roman"/>
          <w:color w:val="auto"/>
          <w:kern w:val="0"/>
          <w:sz w:val="21"/>
          <w:szCs w:val="21"/>
          <w:lang w:val="en-US" w:eastAsia="zh-CN" w:bidi="ar-SA"/>
        </w:rPr>
      </w:pPr>
      <w:r>
        <w:rPr>
          <w:rFonts w:hint="eastAsia" w:ascii="Segoe UI" w:hAnsi="Segoe UI" w:eastAsia="宋体" w:cs="Segoe UI"/>
          <w:b/>
          <w:bCs/>
          <w:color w:val="auto"/>
          <w:kern w:val="2"/>
          <w:sz w:val="21"/>
          <w:szCs w:val="21"/>
          <w:shd w:val="clear" w:color="auto" w:fill="FFFFFF"/>
          <w:lang w:val="en-US" w:eastAsia="zh-CN" w:bidi="ar-SA"/>
        </w:rPr>
        <w:t>3、</w:t>
      </w:r>
      <w:r>
        <w:rPr>
          <w:rFonts w:ascii="Segoe UI" w:hAnsi="Segoe UI" w:eastAsia="Segoe UI" w:cs="Segoe UI"/>
          <w:b/>
          <w:bCs/>
          <w:color w:val="auto"/>
          <w:kern w:val="2"/>
          <w:sz w:val="21"/>
          <w:szCs w:val="21"/>
          <w:shd w:val="clear" w:color="auto" w:fill="FFFFFF"/>
          <w:lang w:val="en-US" w:eastAsia="zh-CN" w:bidi="ar-SA"/>
        </w:rPr>
        <w:t>压实各级责任，推动安全管理精细化的需求</w:t>
      </w:r>
      <w:r>
        <w:rPr>
          <w:rFonts w:ascii="Segoe UI" w:hAnsi="Segoe UI" w:eastAsia="Segoe UI" w:cs="Segoe UI"/>
          <w:color w:val="auto"/>
          <w:kern w:val="0"/>
          <w:sz w:val="21"/>
          <w:szCs w:val="21"/>
          <w:shd w:val="clear" w:color="auto" w:fill="FFFFFF"/>
          <w:lang w:val="en-US" w:eastAsia="zh-CN" w:bidi="ar-SA"/>
        </w:rPr>
        <w:t>：</w:t>
      </w:r>
      <w:r>
        <w:rPr>
          <w:rFonts w:hint="eastAsia" w:ascii="Segoe UI" w:hAnsi="Segoe UI" w:eastAsia="宋体" w:cs="Segoe UI"/>
          <w:color w:val="auto"/>
          <w:kern w:val="0"/>
          <w:sz w:val="21"/>
          <w:szCs w:val="21"/>
          <w:shd w:val="clear" w:color="auto" w:fill="FFFFFF"/>
          <w:lang w:val="en-US" w:eastAsia="zh-CN" w:bidi="ar-SA"/>
        </w:rPr>
        <w:t>县委政府</w:t>
      </w:r>
      <w:r>
        <w:rPr>
          <w:rFonts w:ascii="宋体" w:hAnsi="宋体" w:eastAsia="宋体" w:cs="宋体"/>
          <w:color w:val="auto"/>
          <w:kern w:val="2"/>
          <w:sz w:val="21"/>
          <w:szCs w:val="21"/>
          <w:lang w:val="en-US" w:eastAsia="zh-CN" w:bidi="ar-SA"/>
        </w:rPr>
        <w:t>多次强调要“以时时放心不下的责任感”和“事事落实到位的执行力”抓好安全</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"https://www.yueyang.gov.cn/jytyj/22464/65598/content_2269826.html"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，并需“压紧压实各方责任”</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"https://www.hunantoday.cn/news/xhn/202511/30956229.html"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。现有系统在司机驾驶</w:t>
      </w:r>
      <w:r>
        <w:rPr>
          <w:rFonts w:ascii="Arial" w:hAnsi="Arial" w:eastAsia="宋体" w:cs="宋体"/>
          <w:color w:val="auto"/>
          <w:kern w:val="0"/>
          <w:sz w:val="21"/>
          <w:szCs w:val="21"/>
          <w:lang w:val="en-US" w:eastAsia="zh-CN" w:bidi="ar-SA"/>
        </w:rPr>
        <w:t>行为</w:t>
      </w:r>
      <w:r>
        <w:rPr>
          <w:rFonts w:ascii="宋体" w:hAnsi="宋体" w:eastAsia="宋体" w:cs="宋体"/>
          <w:color w:val="auto"/>
          <w:kern w:val="2"/>
          <w:sz w:val="21"/>
          <w:szCs w:val="21"/>
          <w:lang w:val="en-US" w:eastAsia="zh-CN" w:bidi="ar-SA"/>
        </w:rPr>
        <w:t>实时分析、风险主动预警、违规数据自动归集与责任追溯等方面的功能已显不足。新一代智能终端通过对超速、疲劳驾驶、分心驾驶等行为的实时监测与报警，将安全管理从“事后追溯”转变为“事中干预、事前预防”，为落实驾驶员、照管员、</w:t>
      </w:r>
      <w:r>
        <w:rPr>
          <w:rFonts w:hint="eastAsia" w:ascii="宋体" w:hAnsi="宋体" w:eastAsia="宋体" w:cs="宋体"/>
          <w:color w:val="auto"/>
          <w:kern w:val="2"/>
          <w:sz w:val="21"/>
          <w:szCs w:val="21"/>
          <w:lang w:val="en-US" w:eastAsia="zh-CN" w:bidi="ar-SA"/>
        </w:rPr>
        <w:t>校车</w:t>
      </w:r>
      <w:r>
        <w:rPr>
          <w:rFonts w:ascii="宋体" w:hAnsi="宋体" w:eastAsia="宋体" w:cs="宋体"/>
          <w:color w:val="auto"/>
          <w:kern w:val="2"/>
          <w:sz w:val="21"/>
          <w:szCs w:val="21"/>
          <w:lang w:val="en-US" w:eastAsia="zh-CN" w:bidi="ar-SA"/>
        </w:rPr>
        <w:t>公司及监管部门的多层级责任提供精准数据支撑。</w:t>
      </w:r>
    </w:p>
    <w:p w14:paraId="33ED0F33">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宋体" w:hAnsi="宋体" w:eastAsia="宋体" w:cs="宋体"/>
          <w:color w:val="auto"/>
          <w:kern w:val="2"/>
          <w:sz w:val="21"/>
          <w:szCs w:val="21"/>
          <w:lang w:val="en-US" w:eastAsia="zh-CN" w:bidi="ar-SA"/>
        </w:rPr>
      </w:pPr>
      <w:r>
        <w:rPr>
          <w:rFonts w:hint="eastAsia" w:ascii="Segoe UI" w:hAnsi="Segoe UI" w:eastAsia="宋体" w:cs="Segoe UI"/>
          <w:b/>
          <w:bCs/>
          <w:color w:val="auto"/>
          <w:kern w:val="2"/>
          <w:sz w:val="21"/>
          <w:szCs w:val="21"/>
          <w:shd w:val="clear" w:color="auto" w:fill="FFFFFF"/>
          <w:lang w:val="en-US" w:eastAsia="zh-CN" w:bidi="ar-SA"/>
        </w:rPr>
        <w:t>4、</w:t>
      </w:r>
      <w:r>
        <w:rPr>
          <w:rFonts w:ascii="Segoe UI" w:hAnsi="Segoe UI" w:eastAsia="Segoe UI" w:cs="Segoe UI"/>
          <w:b/>
          <w:bCs/>
          <w:color w:val="auto"/>
          <w:kern w:val="2"/>
          <w:sz w:val="21"/>
          <w:szCs w:val="21"/>
          <w:shd w:val="clear" w:color="auto" w:fill="FFFFFF"/>
          <w:lang w:val="en-US" w:eastAsia="zh-CN" w:bidi="ar-SA"/>
        </w:rPr>
        <w:t>筑牢数据防线，保障核心信息安全的需求</w:t>
      </w:r>
      <w:r>
        <w:rPr>
          <w:rFonts w:ascii="Segoe UI" w:hAnsi="Segoe UI" w:eastAsia="Segoe UI" w:cs="Segoe UI"/>
          <w:color w:val="auto"/>
          <w:kern w:val="0"/>
          <w:sz w:val="21"/>
          <w:szCs w:val="21"/>
          <w:shd w:val="clear" w:color="auto" w:fill="FFFFFF"/>
          <w:lang w:val="en-US" w:eastAsia="zh-CN" w:bidi="ar-SA"/>
        </w:rPr>
        <w:t>：</w:t>
      </w:r>
      <w:r>
        <w:rPr>
          <w:rFonts w:ascii="宋体" w:hAnsi="宋体" w:eastAsia="宋体" w:cs="宋体"/>
          <w:color w:val="auto"/>
          <w:kern w:val="2"/>
          <w:sz w:val="21"/>
          <w:szCs w:val="21"/>
          <w:lang w:val="en-US" w:eastAsia="zh-CN" w:bidi="ar-SA"/>
        </w:rPr>
        <w:t>校车运行轨迹、实时视频等数据属于重要的敏感地理信息与个人信息。遵循《网络安全法》《数据安全法》，必须确保其全链路安全</w:t>
      </w:r>
      <w:r>
        <w:rPr>
          <w:rFonts w:ascii="宋体" w:hAnsi="宋体" w:eastAsia="宋体" w:cs="宋体"/>
          <w:color w:val="auto"/>
          <w:kern w:val="2"/>
          <w:sz w:val="21"/>
          <w:szCs w:val="21"/>
          <w:lang w:val="en-US" w:eastAsia="zh-CN" w:bidi="ar-SA"/>
        </w:rPr>
        <w:fldChar w:fldCharType="begin"/>
      </w:r>
      <w:r>
        <w:rPr>
          <w:rFonts w:ascii="宋体" w:hAnsi="宋体" w:eastAsia="宋体" w:cs="宋体"/>
          <w:color w:val="auto"/>
          <w:kern w:val="2"/>
          <w:sz w:val="21"/>
          <w:szCs w:val="21"/>
          <w:lang w:val="en-US" w:eastAsia="zh-CN" w:bidi="ar-SA"/>
        </w:rPr>
        <w:instrText xml:space="preserve"> HYPERLINK "https://yyx.gov.cn/37586/38026/38497/content_2302828.html" \t "https://chat.deepseek.com/a/chat/s/_blank" </w:instrText>
      </w:r>
      <w:r>
        <w:rPr>
          <w:rFonts w:ascii="宋体" w:hAnsi="宋体" w:eastAsia="宋体" w:cs="宋体"/>
          <w:color w:val="auto"/>
          <w:kern w:val="2"/>
          <w:sz w:val="21"/>
          <w:szCs w:val="21"/>
          <w:lang w:val="en-US" w:eastAsia="zh-CN" w:bidi="ar-SA"/>
        </w:rPr>
        <w:fldChar w:fldCharType="separate"/>
      </w:r>
      <w:r>
        <w:rPr>
          <w:rFonts w:ascii="宋体" w:hAnsi="宋体" w:eastAsia="宋体" w:cs="宋体"/>
          <w:color w:val="auto"/>
          <w:kern w:val="2"/>
          <w:sz w:val="21"/>
          <w:szCs w:val="21"/>
          <w:lang w:val="en-US" w:eastAsia="zh-CN" w:bidi="ar-SA"/>
        </w:rPr>
        <w:fldChar w:fldCharType="end"/>
      </w:r>
      <w:r>
        <w:rPr>
          <w:rFonts w:ascii="宋体" w:hAnsi="宋体" w:eastAsia="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更换</w:t>
      </w:r>
      <w:r>
        <w:rPr>
          <w:rFonts w:ascii="宋体" w:hAnsi="宋体" w:eastAsia="宋体" w:cs="宋体"/>
          <w:color w:val="auto"/>
          <w:kern w:val="2"/>
          <w:sz w:val="21"/>
          <w:szCs w:val="21"/>
          <w:lang w:val="en-US" w:eastAsia="zh-CN" w:bidi="ar-SA"/>
        </w:rPr>
        <w:t>使用</w:t>
      </w:r>
      <w:r>
        <w:rPr>
          <w:rFonts w:hint="eastAsia" w:ascii="宋体" w:hAnsi="宋体" w:eastAsia="宋体" w:cs="宋体"/>
          <w:color w:val="auto"/>
          <w:kern w:val="2"/>
          <w:sz w:val="21"/>
          <w:szCs w:val="21"/>
          <w:lang w:val="en-US" w:eastAsia="zh-CN" w:bidi="ar-SA"/>
        </w:rPr>
        <w:t>国家工信部认证入围的</w:t>
      </w:r>
      <w:r>
        <w:rPr>
          <w:rFonts w:ascii="宋体" w:hAnsi="宋体" w:eastAsia="宋体" w:cs="宋体"/>
          <w:color w:val="auto"/>
          <w:kern w:val="2"/>
          <w:sz w:val="21"/>
          <w:szCs w:val="21"/>
          <w:lang w:val="en-US" w:eastAsia="zh-CN" w:bidi="ar-SA"/>
        </w:rPr>
        <w:t>单北斗终端</w:t>
      </w:r>
      <w:r>
        <w:rPr>
          <w:rFonts w:hint="eastAsia" w:ascii="宋体" w:hAnsi="宋体" w:eastAsia="宋体" w:cs="宋体"/>
          <w:color w:val="auto"/>
          <w:kern w:val="2"/>
          <w:sz w:val="21"/>
          <w:szCs w:val="21"/>
          <w:lang w:val="en-US" w:eastAsia="zh-CN" w:bidi="ar-SA"/>
        </w:rPr>
        <w:t>产品</w:t>
      </w:r>
      <w:r>
        <w:rPr>
          <w:rFonts w:ascii="宋体" w:hAnsi="宋体" w:eastAsia="宋体" w:cs="宋体"/>
          <w:color w:val="auto"/>
          <w:kern w:val="2"/>
          <w:sz w:val="21"/>
          <w:szCs w:val="21"/>
          <w:lang w:val="en-US" w:eastAsia="zh-CN" w:bidi="ar-SA"/>
        </w:rPr>
        <w:t>，可以从信号源头上</w:t>
      </w:r>
      <w:r>
        <w:rPr>
          <w:rFonts w:ascii="Arial" w:hAnsi="Arial" w:eastAsia="宋体" w:cs="宋体"/>
          <w:color w:val="auto"/>
          <w:kern w:val="0"/>
          <w:sz w:val="21"/>
          <w:szCs w:val="21"/>
          <w:lang w:val="en-US" w:eastAsia="zh-CN" w:bidi="ar-SA"/>
        </w:rPr>
        <w:t>杜绝</w:t>
      </w:r>
      <w:r>
        <w:rPr>
          <w:rFonts w:ascii="宋体" w:hAnsi="宋体" w:eastAsia="宋体" w:cs="宋体"/>
          <w:color w:val="auto"/>
          <w:kern w:val="2"/>
          <w:sz w:val="21"/>
          <w:szCs w:val="21"/>
          <w:lang w:val="en-US" w:eastAsia="zh-CN" w:bidi="ar-SA"/>
        </w:rPr>
        <w:t>依赖境外系统带来的数据出境与泄露风险，保障我县校车监管数据的主权安全与闭环管理，符合国家对于关键信息基础设施的安全保护要求。</w:t>
      </w:r>
    </w:p>
    <w:p w14:paraId="6685068A">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hAnsi="宋体" w:eastAsia="宋体" w:cs="宋体"/>
          <w:color w:val="auto"/>
          <w:kern w:val="2"/>
          <w:sz w:val="21"/>
          <w:szCs w:val="21"/>
          <w:lang w:val="en-US" w:eastAsia="zh-CN" w:bidi="ar-SA"/>
        </w:rPr>
      </w:pPr>
      <w:r>
        <w:rPr>
          <w:rFonts w:hint="eastAsia" w:ascii="Segoe UI" w:hAnsi="Segoe UI" w:eastAsia="宋体" w:cs="Segoe UI"/>
          <w:color w:val="auto"/>
          <w:kern w:val="0"/>
          <w:sz w:val="21"/>
          <w:szCs w:val="21"/>
          <w:shd w:val="clear" w:color="auto" w:fill="FFFFFF"/>
          <w:lang w:val="en-US" w:eastAsia="zh-CN" w:bidi="ar-SA"/>
        </w:rPr>
        <w:t>总之，</w:t>
      </w:r>
      <w:r>
        <w:rPr>
          <w:rFonts w:ascii="Segoe UI" w:hAnsi="Segoe UI" w:eastAsia="Segoe UI" w:cs="Segoe UI"/>
          <w:color w:val="auto"/>
          <w:kern w:val="0"/>
          <w:sz w:val="21"/>
          <w:szCs w:val="21"/>
          <w:shd w:val="clear" w:color="auto" w:fill="FFFFFF"/>
          <w:lang w:val="en-US" w:eastAsia="zh-CN" w:bidi="ar-SA"/>
        </w:rPr>
        <w:t>本次升级项目并非对原有系统的简单替换，而是我县校车安全管理体系一次战略性、合规性的代际跃升。旨在通过应用北斗导航、人工智能、大数据等新一代信息技术，构建一个</w:t>
      </w:r>
      <w:r>
        <w:rPr>
          <w:rFonts w:ascii="Segoe UI" w:hAnsi="Segoe UI" w:eastAsia="Segoe UI" w:cs="Segoe UI"/>
          <w:b/>
          <w:bCs/>
          <w:color w:val="auto"/>
          <w:kern w:val="2"/>
          <w:sz w:val="21"/>
          <w:szCs w:val="21"/>
          <w:shd w:val="clear" w:color="auto" w:fill="FFFFFF"/>
          <w:lang w:val="en-US" w:eastAsia="zh-CN" w:bidi="ar-SA"/>
        </w:rPr>
        <w:t>技术自主可控、监管精准智能、数据安全可靠</w:t>
      </w:r>
      <w:r>
        <w:rPr>
          <w:rFonts w:ascii="Segoe UI" w:hAnsi="Segoe UI" w:eastAsia="Segoe UI" w:cs="Segoe UI"/>
          <w:color w:val="auto"/>
          <w:kern w:val="0"/>
          <w:sz w:val="21"/>
          <w:szCs w:val="21"/>
          <w:shd w:val="clear" w:color="auto" w:fill="FFFFFF"/>
          <w:lang w:val="en-US" w:eastAsia="zh-CN" w:bidi="ar-SA"/>
        </w:rPr>
        <w:t>的新型校车智慧安全监管体系，从而持续守护好全县学生的平安上学路。</w:t>
      </w:r>
    </w:p>
    <w:p w14:paraId="3D6AB6DD">
      <w:pPr>
        <w:keepLines w:val="0"/>
        <w:pageBreakBefore w:val="0"/>
        <w:widowControl/>
        <w:kinsoku/>
        <w:wordWrap/>
        <w:overflowPunct/>
        <w:topLinePunct w:val="0"/>
        <w:autoSpaceDE/>
        <w:autoSpaceDN/>
        <w:bidi w:val="0"/>
        <w:adjustRightInd/>
        <w:snapToGrid/>
        <w:spacing w:before="90" w:after="100" w:afterAutospacing="1"/>
        <w:ind w:left="-360"/>
        <w:textAlignment w:val="auto"/>
        <w:rPr>
          <w:rFonts w:eastAsia="宋体" w:cs="宋体"/>
          <w:color w:val="auto"/>
          <w:sz w:val="21"/>
          <w:szCs w:val="21"/>
        </w:rPr>
      </w:pPr>
    </w:p>
    <w:p w14:paraId="52AD7AFA">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27" w:name="_Toc14576"/>
      <w:bookmarkStart w:id="28" w:name="_Toc454264473"/>
      <w:r>
        <w:rPr>
          <w:rFonts w:hint="eastAsia" w:ascii="Arial" w:hAnsi="Arial" w:eastAsia="黑体" w:cs="宋体"/>
          <w:bCs/>
          <w:color w:val="auto"/>
          <w:kern w:val="0"/>
          <w:sz w:val="21"/>
          <w:szCs w:val="21"/>
          <w:lang w:val="en-US" w:eastAsia="zh-CN" w:bidi="ar-SA"/>
        </w:rPr>
        <w:t>单北斗智能终端主机与智慧校车管理系统的整合设计</w:t>
      </w:r>
      <w:bookmarkEnd w:id="27"/>
    </w:p>
    <w:p w14:paraId="30C02223">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29" w:name="_Toc184285914"/>
      <w:bookmarkStart w:id="30" w:name="_Toc454264482"/>
      <w:r>
        <w:rPr>
          <w:rFonts w:hint="eastAsia" w:ascii="Arial" w:hAnsi="Arial" w:eastAsia="黑体" w:cs="宋体"/>
          <w:bCs/>
          <w:color w:val="auto"/>
          <w:kern w:val="2"/>
          <w:sz w:val="21"/>
          <w:szCs w:val="21"/>
          <w:lang w:val="en-US" w:eastAsia="zh-CN" w:bidi="ar-SA"/>
        </w:rPr>
        <w:t>工作</w:t>
      </w:r>
      <w:r>
        <w:rPr>
          <w:rFonts w:ascii="Arial" w:hAnsi="Arial" w:eastAsia="黑体" w:cs="宋体"/>
          <w:bCs/>
          <w:color w:val="auto"/>
          <w:kern w:val="2"/>
          <w:sz w:val="21"/>
          <w:szCs w:val="21"/>
          <w:lang w:val="zh-CN" w:eastAsia="zh-CN" w:bidi="ar-SA"/>
        </w:rPr>
        <w:t>思路</w:t>
      </w:r>
      <w:bookmarkEnd w:id="29"/>
    </w:p>
    <w:p w14:paraId="4F71424F">
      <w:pPr>
        <w:keepLines w:val="0"/>
        <w:pageBreakBefore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color w:val="auto"/>
          <w:sz w:val="21"/>
          <w:szCs w:val="21"/>
        </w:rPr>
      </w:pPr>
      <w:r>
        <w:rPr>
          <w:rFonts w:hint="eastAsia" w:ascii="宋体" w:hAnsi="宋体" w:eastAsia="宋体" w:cs="宋体"/>
          <w:color w:val="auto"/>
          <w:sz w:val="21"/>
          <w:szCs w:val="21"/>
        </w:rPr>
        <w:t>通过“人、车、路线”三个要素，利用远程通信技术、网络技术、计算机信息系统、卫星</w:t>
      </w:r>
      <w:r>
        <w:rPr>
          <w:rFonts w:ascii="宋体" w:hAnsi="宋体" w:eastAsia="宋体" w:cs="宋体"/>
          <w:color w:val="auto"/>
          <w:sz w:val="21"/>
          <w:szCs w:val="21"/>
        </w:rPr>
        <w:t>定位</w:t>
      </w:r>
      <w:r>
        <w:rPr>
          <w:rFonts w:hint="eastAsia" w:ascii="宋体" w:hAnsi="宋体" w:eastAsia="宋体" w:cs="宋体"/>
          <w:color w:val="auto"/>
          <w:sz w:val="21"/>
          <w:szCs w:val="21"/>
        </w:rPr>
        <w:t>系统、电子地图系统、智能视频监控等技术手段，</w:t>
      </w:r>
      <w:r>
        <w:rPr>
          <w:rFonts w:ascii="宋体" w:hAnsi="宋体" w:eastAsia="宋体" w:cs="宋体"/>
          <w:color w:val="auto"/>
          <w:sz w:val="21"/>
          <w:szCs w:val="21"/>
        </w:rPr>
        <w:t>实现对校车的全程跟踪、监控、预警和提醒，为家长、学校、教育部门和校车管理部门提供一体化、多通道、全方位的数字校车服务平台</w:t>
      </w:r>
      <w:r>
        <w:rPr>
          <w:rFonts w:hint="eastAsia" w:ascii="宋体" w:hAnsi="宋体" w:eastAsia="宋体" w:cs="宋体"/>
          <w:color w:val="auto"/>
          <w:sz w:val="21"/>
          <w:szCs w:val="21"/>
        </w:rPr>
        <w:t>。</w:t>
      </w:r>
    </w:p>
    <w:p w14:paraId="1F26E0CB">
      <w:pPr>
        <w:keepLines w:val="0"/>
        <w:pageBreakBefore w:val="0"/>
        <w:kinsoku/>
        <w:wordWrap/>
        <w:overflowPunct/>
        <w:topLinePunct w:val="0"/>
        <w:autoSpaceDE/>
        <w:autoSpaceDN/>
        <w:bidi w:val="0"/>
        <w:adjustRightInd/>
        <w:snapToGrid/>
        <w:spacing w:line="360" w:lineRule="auto"/>
        <w:jc w:val="center"/>
        <w:textAlignment w:val="auto"/>
        <w:rPr>
          <w:rFonts w:ascii="宋体" w:hAnsi="宋体" w:eastAsia="宋体" w:cs="宋体"/>
          <w:color w:val="auto"/>
          <w:sz w:val="21"/>
          <w:szCs w:val="21"/>
        </w:rPr>
      </w:pPr>
      <w:r>
        <w:rPr>
          <w:rFonts w:ascii="宋体" w:hAnsi="宋体" w:eastAsia="宋体" w:cs="宋体"/>
          <w:color w:val="auto"/>
          <w:sz w:val="21"/>
          <w:szCs w:val="21"/>
        </w:rPr>
        <w:drawing>
          <wp:inline distT="0" distB="0" distL="114300" distR="114300">
            <wp:extent cx="5463540" cy="3188970"/>
            <wp:effectExtent l="0" t="0" r="3810" b="11430"/>
            <wp:docPr id="11" name="图片 2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8" descr="12"/>
                    <pic:cNvPicPr preferRelativeResize="0">
                      <a:picLocks noChangeAspect="1"/>
                    </pic:cNvPicPr>
                  </pic:nvPicPr>
                  <pic:blipFill>
                    <a:blip r:embed="rId31"/>
                    <a:stretch>
                      <a:fillRect/>
                    </a:stretch>
                  </pic:blipFill>
                  <pic:spPr>
                    <a:xfrm>
                      <a:off x="0" y="0"/>
                      <a:ext cx="5463540" cy="3188970"/>
                    </a:xfrm>
                    <a:prstGeom prst="rect">
                      <a:avLst/>
                    </a:prstGeom>
                    <a:noFill/>
                    <a:ln>
                      <a:noFill/>
                    </a:ln>
                  </pic:spPr>
                </pic:pic>
              </a:graphicData>
            </a:graphic>
          </wp:inline>
        </w:drawing>
      </w:r>
    </w:p>
    <w:p w14:paraId="7608C33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整个校车安全监管系统以国际国内领先的安防技术为手段，充分考虑监管部门事先预防、事中应急、事后取证的应用需求，实现对突发事件的快速响应和处置，有效降低校车意外事故发生的风险。</w:t>
      </w:r>
    </w:p>
    <w:bookmarkEnd w:id="30"/>
    <w:p w14:paraId="3A1C9B42">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31" w:name="_Toc184285915"/>
      <w:r>
        <w:rPr>
          <w:rFonts w:hint="eastAsia" w:ascii="Arial" w:hAnsi="Arial" w:eastAsia="黑体" w:cs="宋体"/>
          <w:bCs/>
          <w:color w:val="auto"/>
          <w:kern w:val="2"/>
          <w:sz w:val="21"/>
          <w:szCs w:val="21"/>
          <w:lang w:val="zh-CN" w:eastAsia="zh-CN" w:bidi="ar-SA"/>
        </w:rPr>
        <w:t>总体架构</w:t>
      </w:r>
      <w:bookmarkEnd w:id="31"/>
    </w:p>
    <w:p w14:paraId="18C38814">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32" w:name="_Toc184285916"/>
      <w:r>
        <w:rPr>
          <w:rFonts w:ascii="Arial" w:hAnsi="Arial" w:eastAsia="黑体" w:cs="宋体"/>
          <w:bCs/>
          <w:color w:val="auto"/>
          <w:kern w:val="2"/>
          <w:sz w:val="21"/>
          <w:szCs w:val="21"/>
          <w:lang w:val="zh-CN" w:eastAsia="zh-CN" w:bidi="ar-SA"/>
        </w:rPr>
        <w:t>业务流程</w:t>
      </w:r>
      <w:bookmarkEnd w:id="32"/>
    </w:p>
    <w:p w14:paraId="69C2DD9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201</w:t>
      </w:r>
      <w:r>
        <w:rPr>
          <w:rFonts w:ascii="Arial" w:hAnsi="Arial" w:eastAsia="宋体" w:cs="Times New Roman"/>
          <w:color w:val="auto"/>
          <w:kern w:val="0"/>
          <w:sz w:val="21"/>
          <w:szCs w:val="21"/>
          <w:lang w:val="en-US" w:eastAsia="zh-CN" w:bidi="ar-SA"/>
        </w:rPr>
        <w:t>2</w:t>
      </w:r>
      <w:r>
        <w:rPr>
          <w:rFonts w:hint="eastAsia" w:ascii="Arial" w:hAnsi="Arial" w:eastAsia="宋体" w:cs="Times New Roman"/>
          <w:color w:val="auto"/>
          <w:kern w:val="0"/>
          <w:sz w:val="21"/>
          <w:szCs w:val="21"/>
          <w:lang w:val="en-US" w:eastAsia="zh-CN" w:bidi="ar-SA"/>
        </w:rPr>
        <w:t>年4月5日，国务院发布《校车安全管理条例》并正式执行，校车安全正式收到国家法律的制约与保护，管理条例针对校车外观、行驶路线、超速驾驶、超载驾驶、路段限速等方面做出了明确的要求。本方案针对校车运营全业务流程统一管理调度，支持司机考勤、学生上车刷卡、行车过程实时监控、下车刷卡、清车管理等行为实时监管，并与监管平台客户端、学生家长移动端实时交互，最终汇聚到政府/教育局监管平台，进行全面监管，多方位保障学生人身安全。其详细业务流程如下：</w:t>
      </w:r>
    </w:p>
    <w:p w14:paraId="3D528CCF">
      <w:pPr>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Arial" w:hAnsi="Arial" w:eastAsia="宋体" w:cs="Times New Roman"/>
          <w:color w:val="auto"/>
          <w:kern w:val="0"/>
          <w:sz w:val="21"/>
          <w:szCs w:val="21"/>
          <w:lang w:val="en-US" w:eastAsia="zh-CN" w:bidi="ar-SA"/>
        </w:rPr>
      </w:pPr>
    </w:p>
    <w:p w14:paraId="0E694129">
      <w:pPr>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drawing>
          <wp:inline distT="0" distB="0" distL="114300" distR="114300">
            <wp:extent cx="5269865" cy="2936240"/>
            <wp:effectExtent l="0" t="0" r="6985" b="16510"/>
            <wp:docPr id="1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9"/>
                    <pic:cNvPicPr>
                      <a:picLocks noChangeAspect="1"/>
                    </pic:cNvPicPr>
                  </pic:nvPicPr>
                  <pic:blipFill>
                    <a:blip r:embed="rId32"/>
                    <a:stretch>
                      <a:fillRect/>
                    </a:stretch>
                  </pic:blipFill>
                  <pic:spPr>
                    <a:xfrm>
                      <a:off x="0" y="0"/>
                      <a:ext cx="5269865" cy="2936240"/>
                    </a:xfrm>
                    <a:prstGeom prst="rect">
                      <a:avLst/>
                    </a:prstGeom>
                    <a:noFill/>
                    <a:ln>
                      <a:noFill/>
                    </a:ln>
                  </pic:spPr>
                </pic:pic>
              </a:graphicData>
            </a:graphic>
          </wp:inline>
        </w:drawing>
      </w:r>
    </w:p>
    <w:p w14:paraId="12D6188C">
      <w:pPr>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Arial Unicode MS" w:hAnsi="Arial Unicode MS" w:eastAsia="宋体" w:cs="Times New Roman"/>
          <w:b/>
          <w:color w:val="auto"/>
          <w:kern w:val="0"/>
          <w:sz w:val="21"/>
          <w:szCs w:val="21"/>
          <w:lang w:val="en-US" w:eastAsia="zh-CN" w:bidi="ar-SA"/>
        </w:rPr>
      </w:pPr>
      <w:r>
        <w:rPr>
          <w:rFonts w:hint="eastAsia" w:ascii="Arial Unicode MS" w:hAnsi="Arial Unicode MS" w:eastAsia="宋体" w:cs="Times New Roman"/>
          <w:b/>
          <w:color w:val="auto"/>
          <w:kern w:val="0"/>
          <w:sz w:val="21"/>
          <w:szCs w:val="21"/>
          <w:lang w:val="en-US" w:eastAsia="zh-CN" w:bidi="ar-SA"/>
        </w:rPr>
        <w:t>业务流程图</w:t>
      </w:r>
    </w:p>
    <w:p w14:paraId="088B4876">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33" w:name="_Toc184285917"/>
      <w:r>
        <w:rPr>
          <w:rFonts w:ascii="Arial" w:hAnsi="Arial" w:eastAsia="黑体" w:cs="宋体"/>
          <w:bCs/>
          <w:color w:val="auto"/>
          <w:kern w:val="2"/>
          <w:sz w:val="21"/>
          <w:szCs w:val="21"/>
          <w:lang w:val="zh-CN" w:eastAsia="zh-CN" w:bidi="ar-SA"/>
        </w:rPr>
        <w:t>系统架构</w:t>
      </w:r>
      <w:bookmarkEnd w:id="33"/>
      <w:r>
        <w:rPr>
          <w:rFonts w:hint="eastAsia" w:ascii="Arial" w:hAnsi="Arial" w:eastAsia="黑体" w:cs="宋体"/>
          <w:bCs/>
          <w:color w:val="auto"/>
          <w:kern w:val="2"/>
          <w:sz w:val="21"/>
          <w:szCs w:val="21"/>
          <w:lang w:val="en-US" w:eastAsia="zh-CN" w:bidi="ar-SA"/>
        </w:rPr>
        <w:t>的重构</w:t>
      </w:r>
    </w:p>
    <w:p w14:paraId="093EBF9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本系统设计包含北斗前端车载视频监控系统、主动安全系统、刷卡器（人脸考勤机）等外设、网络传输系统及车载管理平台。车载终端通过运营商网络按照要求实时上传车辆位置数据、运行数据、视频数据、报警数据、考勤信息等至校车公司监控中心平台，联动家长移动端，同时校车公司监控平台可以再接入到县级监管平台。各级监控中心通过对车载设备的控制，实现对校车安全运营的统一调度监控。智慧校车车载监管系统架构图如下：</w:t>
      </w:r>
    </w:p>
    <w:p w14:paraId="1FE56F45">
      <w:pPr>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drawing>
          <wp:inline distT="0" distB="0" distL="114300" distR="114300">
            <wp:extent cx="5316220" cy="2504440"/>
            <wp:effectExtent l="0" t="0" r="17780" b="10160"/>
            <wp:docPr id="16" name="图片 30" descr="架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0" descr="架构"/>
                    <pic:cNvPicPr>
                      <a:picLocks noChangeAspect="1"/>
                    </pic:cNvPicPr>
                  </pic:nvPicPr>
                  <pic:blipFill>
                    <a:blip r:embed="rId33"/>
                    <a:stretch>
                      <a:fillRect/>
                    </a:stretch>
                  </pic:blipFill>
                  <pic:spPr>
                    <a:xfrm>
                      <a:off x="0" y="0"/>
                      <a:ext cx="5316220" cy="2504440"/>
                    </a:xfrm>
                    <a:prstGeom prst="rect">
                      <a:avLst/>
                    </a:prstGeom>
                    <a:noFill/>
                    <a:ln>
                      <a:noFill/>
                    </a:ln>
                  </pic:spPr>
                </pic:pic>
              </a:graphicData>
            </a:graphic>
          </wp:inline>
        </w:drawing>
      </w:r>
    </w:p>
    <w:p w14:paraId="5D7B6672">
      <w:pPr>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Arial" w:hAnsi="Arial" w:eastAsia="宋体" w:cs="Times New Roman"/>
          <w:b/>
          <w:color w:val="auto"/>
          <w:kern w:val="0"/>
          <w:sz w:val="21"/>
          <w:szCs w:val="21"/>
          <w:lang w:val="en-US" w:eastAsia="zh-CN" w:bidi="ar-SA"/>
        </w:rPr>
      </w:pPr>
      <w:bookmarkStart w:id="34" w:name="_Toc530468008"/>
      <w:r>
        <w:rPr>
          <w:rFonts w:hint="eastAsia" w:ascii="Arial" w:hAnsi="Arial" w:eastAsia="宋体" w:cs="Times New Roman"/>
          <w:b/>
          <w:color w:val="auto"/>
          <w:kern w:val="0"/>
          <w:sz w:val="21"/>
          <w:szCs w:val="21"/>
          <w:lang w:val="en-US" w:eastAsia="zh-CN" w:bidi="ar-SA"/>
        </w:rPr>
        <w:t>系统架构图</w:t>
      </w:r>
      <w:bookmarkEnd w:id="34"/>
    </w:p>
    <w:p w14:paraId="2B141F08">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35" w:name="_Toc184285918"/>
      <w:r>
        <w:rPr>
          <w:rFonts w:hint="eastAsia" w:ascii="Arial" w:hAnsi="Arial" w:eastAsia="黑体" w:cs="宋体"/>
          <w:bCs/>
          <w:color w:val="auto"/>
          <w:kern w:val="2"/>
          <w:sz w:val="21"/>
          <w:szCs w:val="21"/>
          <w:lang w:val="zh-CN" w:eastAsia="zh-CN" w:bidi="ar-SA"/>
        </w:rPr>
        <w:t>系统组成</w:t>
      </w:r>
      <w:bookmarkEnd w:id="35"/>
    </w:p>
    <w:p w14:paraId="3B68D8C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本系统包括单北斗车载终端子系统、网络传输系统以及校车可视化监管平台。</w:t>
      </w:r>
    </w:p>
    <w:p w14:paraId="3EF63F86">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en-US" w:eastAsia="zh-CN" w:bidi="ar-SA"/>
        </w:rPr>
      </w:pPr>
      <w:bookmarkStart w:id="36" w:name="_Toc454264472"/>
      <w:bookmarkStart w:id="37" w:name="_Toc184285919"/>
      <w:r>
        <w:rPr>
          <w:rFonts w:hint="eastAsia" w:ascii="Arial" w:hAnsi="Arial" w:eastAsia="黑体" w:cs="宋体"/>
          <w:bCs/>
          <w:color w:val="auto"/>
          <w:kern w:val="2"/>
          <w:sz w:val="21"/>
          <w:szCs w:val="21"/>
          <w:lang w:val="zh-CN" w:eastAsia="zh-CN" w:bidi="ar-SA"/>
        </w:rPr>
        <w:t>车载终端系统</w:t>
      </w:r>
      <w:bookmarkEnd w:id="36"/>
      <w:bookmarkEnd w:id="37"/>
    </w:p>
    <w:p w14:paraId="5AA13145">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bookmarkStart w:id="38" w:name="_Toc530468015"/>
      <w:bookmarkStart w:id="39" w:name="_Toc430853633"/>
      <w:r>
        <w:rPr>
          <w:rFonts w:hint="eastAsia" w:ascii="Arial" w:hAnsi="Arial" w:eastAsia="宋体" w:cs="Times New Roman"/>
          <w:color w:val="auto"/>
          <w:kern w:val="0"/>
          <w:sz w:val="21"/>
          <w:szCs w:val="21"/>
          <w:lang w:val="en-US" w:eastAsia="zh-CN" w:bidi="ar-SA"/>
        </w:rPr>
        <w:t>车载终端系统由单北斗车载智能终端主机（</w:t>
      </w:r>
      <w:r>
        <w:rPr>
          <w:rFonts w:hint="eastAsia" w:ascii="Arial" w:hAnsi="Arial" w:eastAsia="宋体" w:cs="Times New Roman"/>
          <w:b/>
          <w:bCs/>
          <w:color w:val="auto"/>
          <w:kern w:val="0"/>
          <w:sz w:val="21"/>
          <w:szCs w:val="21"/>
          <w:lang w:val="en-US" w:eastAsia="zh-CN" w:bidi="ar-SA"/>
        </w:rPr>
        <w:t>本次单北斗设备终端须入围财政部办公厅、工信部办公厅相关北斗产品政府采购目录</w:t>
      </w:r>
      <w:r>
        <w:rPr>
          <w:rFonts w:hint="eastAsia" w:ascii="Arial" w:hAnsi="Arial" w:eastAsia="宋体" w:cs="Times New Roman"/>
          <w:color w:val="auto"/>
          <w:kern w:val="0"/>
          <w:sz w:val="21"/>
          <w:szCs w:val="21"/>
          <w:lang w:val="en-US" w:eastAsia="zh-CN" w:bidi="ar-SA"/>
        </w:rPr>
        <w:t>）、驾驶员行为分析摄像机、前视路况</w:t>
      </w:r>
      <w:r>
        <w:rPr>
          <w:rFonts w:ascii="Arial" w:hAnsi="Arial" w:eastAsia="宋体" w:cs="Times New Roman"/>
          <w:color w:val="auto"/>
          <w:kern w:val="0"/>
          <w:sz w:val="21"/>
          <w:szCs w:val="21"/>
          <w:lang w:val="en-US" w:eastAsia="zh-CN" w:bidi="ar-SA"/>
        </w:rPr>
        <w:t>检测摄像机</w:t>
      </w:r>
      <w:r>
        <w:rPr>
          <w:rFonts w:hint="eastAsia" w:ascii="Arial" w:hAnsi="Arial" w:eastAsia="宋体" w:cs="Times New Roman"/>
          <w:color w:val="auto"/>
          <w:kern w:val="0"/>
          <w:sz w:val="21"/>
          <w:szCs w:val="21"/>
          <w:lang w:val="en-US" w:eastAsia="zh-CN" w:bidi="ar-SA"/>
        </w:rPr>
        <w:t>、车载刷卡器（人脸一体机）、常规</w:t>
      </w:r>
      <w:r>
        <w:rPr>
          <w:rFonts w:ascii="Arial" w:hAnsi="Arial" w:eastAsia="宋体" w:cs="Times New Roman"/>
          <w:color w:val="auto"/>
          <w:kern w:val="0"/>
          <w:sz w:val="21"/>
          <w:szCs w:val="21"/>
          <w:lang w:val="en-US" w:eastAsia="zh-CN" w:bidi="ar-SA"/>
        </w:rPr>
        <w:t>车内外监控摄像头</w:t>
      </w:r>
      <w:r>
        <w:rPr>
          <w:rFonts w:hint="eastAsia" w:ascii="Arial" w:hAnsi="Arial" w:eastAsia="宋体" w:cs="Times New Roman"/>
          <w:color w:val="auto"/>
          <w:kern w:val="0"/>
          <w:sz w:val="21"/>
          <w:szCs w:val="21"/>
          <w:lang w:val="en-US" w:eastAsia="zh-CN" w:bidi="ar-SA"/>
        </w:rPr>
        <w:t>等组成。</w:t>
      </w:r>
    </w:p>
    <w:p w14:paraId="6695694B">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其中车载</w:t>
      </w:r>
      <w:r>
        <w:rPr>
          <w:rFonts w:ascii="Arial" w:hAnsi="Arial" w:eastAsia="宋体" w:cs="Times New Roman"/>
          <w:color w:val="auto"/>
          <w:kern w:val="0"/>
          <w:sz w:val="21"/>
          <w:szCs w:val="21"/>
          <w:lang w:val="en-US" w:eastAsia="zh-CN" w:bidi="ar-SA"/>
        </w:rPr>
        <w:t>智能</w:t>
      </w:r>
      <w:r>
        <w:rPr>
          <w:rFonts w:hint="eastAsia" w:ascii="Arial" w:hAnsi="Arial" w:eastAsia="宋体" w:cs="Times New Roman"/>
          <w:color w:val="auto"/>
          <w:kern w:val="0"/>
          <w:sz w:val="21"/>
          <w:szCs w:val="21"/>
          <w:lang w:val="en-US" w:eastAsia="zh-CN" w:bidi="ar-SA"/>
        </w:rPr>
        <w:t>主机具备单北斗定位、4G传输、驾驶员行为分析（</w:t>
      </w:r>
      <w:r>
        <w:rPr>
          <w:rFonts w:ascii="Arial" w:hAnsi="Arial" w:eastAsia="宋体" w:cs="Times New Roman"/>
          <w:color w:val="auto"/>
          <w:kern w:val="0"/>
          <w:sz w:val="21"/>
          <w:szCs w:val="21"/>
          <w:lang w:val="en-US" w:eastAsia="zh-CN" w:bidi="ar-SA"/>
        </w:rPr>
        <w:t>司机抽烟、瞌睡、接</w:t>
      </w:r>
      <w:r>
        <w:rPr>
          <w:rFonts w:hint="eastAsia" w:ascii="Arial" w:hAnsi="Arial" w:eastAsia="宋体" w:cs="Times New Roman"/>
          <w:color w:val="auto"/>
          <w:kern w:val="0"/>
          <w:sz w:val="21"/>
          <w:szCs w:val="21"/>
          <w:lang w:val="en-US" w:eastAsia="zh-CN" w:bidi="ar-SA"/>
        </w:rPr>
        <w:t>打电话</w:t>
      </w:r>
      <w:r>
        <w:rPr>
          <w:rFonts w:ascii="Arial" w:hAnsi="Arial" w:eastAsia="宋体" w:cs="Times New Roman"/>
          <w:color w:val="auto"/>
          <w:kern w:val="0"/>
          <w:sz w:val="21"/>
          <w:szCs w:val="21"/>
          <w:lang w:val="en-US" w:eastAsia="zh-CN" w:bidi="ar-SA"/>
        </w:rPr>
        <w:t>等</w:t>
      </w:r>
      <w:r>
        <w:rPr>
          <w:rFonts w:hint="eastAsia" w:ascii="Arial" w:hAnsi="Arial" w:eastAsia="宋体" w:cs="Times New Roman"/>
          <w:color w:val="auto"/>
          <w:kern w:val="0"/>
          <w:sz w:val="21"/>
          <w:szCs w:val="21"/>
          <w:lang w:val="en-US" w:eastAsia="zh-CN" w:bidi="ar-SA"/>
        </w:rPr>
        <w:t>状态</w:t>
      </w:r>
      <w:r>
        <w:rPr>
          <w:rFonts w:ascii="Arial" w:hAnsi="Arial" w:eastAsia="宋体" w:cs="Times New Roman"/>
          <w:color w:val="auto"/>
          <w:kern w:val="0"/>
          <w:sz w:val="21"/>
          <w:szCs w:val="21"/>
          <w:lang w:val="en-US" w:eastAsia="zh-CN" w:bidi="ar-SA"/>
        </w:rPr>
        <w:t>报警</w:t>
      </w:r>
      <w:r>
        <w:rPr>
          <w:rFonts w:hint="eastAsia" w:ascii="Arial" w:hAnsi="Arial" w:eastAsia="宋体" w:cs="Times New Roman"/>
          <w:color w:val="auto"/>
          <w:kern w:val="0"/>
          <w:sz w:val="21"/>
          <w:szCs w:val="21"/>
          <w:lang w:val="en-US" w:eastAsia="zh-CN" w:bidi="ar-SA"/>
        </w:rPr>
        <w:t>）</w:t>
      </w:r>
      <w:r>
        <w:rPr>
          <w:rFonts w:ascii="Arial" w:hAnsi="Arial" w:eastAsia="宋体" w:cs="Times New Roman"/>
          <w:color w:val="auto"/>
          <w:kern w:val="0"/>
          <w:sz w:val="21"/>
          <w:szCs w:val="21"/>
          <w:lang w:val="en-US" w:eastAsia="zh-CN" w:bidi="ar-SA"/>
        </w:rPr>
        <w:t>、司机人脸比对</w:t>
      </w:r>
      <w:r>
        <w:rPr>
          <w:rFonts w:hint="eastAsia" w:ascii="Arial" w:hAnsi="Arial" w:eastAsia="宋体" w:cs="Times New Roman"/>
          <w:color w:val="auto"/>
          <w:kern w:val="0"/>
          <w:sz w:val="21"/>
          <w:szCs w:val="21"/>
          <w:lang w:val="en-US" w:eastAsia="zh-CN" w:bidi="ar-SA"/>
        </w:rPr>
        <w:t>等功能模块，同时可扩展连接应急报警设备、车载信息显示屏、语音对讲器等外设。音视频录像数据、行车数据支持监控中心远程预览回放，同时也在主机上进行存储。</w:t>
      </w:r>
    </w:p>
    <w:bookmarkEnd w:id="38"/>
    <w:bookmarkEnd w:id="39"/>
    <w:p w14:paraId="2DED9518">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0" w:name="_Toc184285920"/>
      <w:r>
        <w:rPr>
          <w:rFonts w:hint="eastAsia" w:ascii="Arial" w:hAnsi="Arial" w:eastAsia="黑体" w:cs="宋体"/>
          <w:bCs/>
          <w:color w:val="auto"/>
          <w:kern w:val="2"/>
          <w:sz w:val="21"/>
          <w:szCs w:val="21"/>
          <w:lang w:val="zh-CN" w:eastAsia="zh-CN" w:bidi="ar-SA"/>
        </w:rPr>
        <w:t>校车可视化监管平台</w:t>
      </w:r>
      <w:bookmarkEnd w:id="40"/>
    </w:p>
    <w:p w14:paraId="230144A6">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可视化监管平台包括平台软件及支持平台运行的硬件服务器，包括服务器、客户端、移动端等。</w:t>
      </w:r>
    </w:p>
    <w:p w14:paraId="5FF69ADB">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41" w:name="_Toc454264481"/>
      <w:bookmarkStart w:id="42" w:name="_Toc454264483"/>
      <w:r>
        <w:rPr>
          <w:rFonts w:hint="eastAsia" w:ascii="Arial" w:hAnsi="Arial" w:eastAsia="黑体" w:cs="宋体"/>
          <w:bCs/>
          <w:color w:val="auto"/>
          <w:kern w:val="2"/>
          <w:sz w:val="21"/>
          <w:szCs w:val="21"/>
          <w:lang w:val="en-US" w:eastAsia="zh-CN" w:bidi="ar-SA"/>
        </w:rPr>
        <w:t>北斗智能车载终端与智慧校车管理系统整合特点</w:t>
      </w:r>
    </w:p>
    <w:p w14:paraId="6E284A5C">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3" w:name="_Toc184285922"/>
      <w:r>
        <w:rPr>
          <w:rFonts w:hint="eastAsia" w:ascii="Arial" w:hAnsi="Arial" w:eastAsia="黑体" w:cs="宋体"/>
          <w:bCs/>
          <w:color w:val="auto"/>
          <w:kern w:val="2"/>
          <w:sz w:val="21"/>
          <w:szCs w:val="21"/>
          <w:lang w:val="zh-CN" w:eastAsia="zh-CN" w:bidi="ar-SA"/>
        </w:rPr>
        <w:t>校车监控可视化</w:t>
      </w:r>
      <w:bookmarkEnd w:id="43"/>
    </w:p>
    <w:p w14:paraId="3F433AF7">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通过在车内安装摄像头，能够让系统管理人员实时了解校车情况及路况信息;通过单北斗定位技术，实时了解车辆所在的位置，并在电子地图上显示。</w:t>
      </w:r>
    </w:p>
    <w:p w14:paraId="2C69F5EE">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4" w:name="_Toc184285923"/>
      <w:r>
        <w:rPr>
          <w:rFonts w:hint="eastAsia" w:ascii="Arial" w:hAnsi="Arial" w:eastAsia="黑体" w:cs="宋体"/>
          <w:bCs/>
          <w:color w:val="auto"/>
          <w:kern w:val="2"/>
          <w:sz w:val="21"/>
          <w:szCs w:val="21"/>
          <w:lang w:val="zh-CN" w:eastAsia="zh-CN" w:bidi="ar-SA"/>
        </w:rPr>
        <w:t>历史记录可查化</w:t>
      </w:r>
      <w:bookmarkEnd w:id="44"/>
    </w:p>
    <w:p w14:paraId="591F7706">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通过全时录像和轨迹回放技术，所有历史事件都有录像可查；所有行车路线都有记录，可在电子地图上进行行车轨迹回放。</w:t>
      </w:r>
    </w:p>
    <w:p w14:paraId="25C6A784">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5" w:name="_Toc184285924"/>
      <w:r>
        <w:rPr>
          <w:rFonts w:hint="eastAsia" w:ascii="Arial" w:hAnsi="Arial" w:eastAsia="黑体" w:cs="宋体"/>
          <w:bCs/>
          <w:color w:val="auto"/>
          <w:kern w:val="2"/>
          <w:sz w:val="21"/>
          <w:szCs w:val="21"/>
          <w:lang w:val="zh-CN" w:eastAsia="zh-CN" w:bidi="ar-SA"/>
        </w:rPr>
        <w:t>报警方式多样化</w:t>
      </w:r>
      <w:bookmarkEnd w:id="45"/>
    </w:p>
    <w:p w14:paraId="272F065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color w:val="auto"/>
          <w:kern w:val="0"/>
          <w:sz w:val="21"/>
          <w:szCs w:val="21"/>
          <w:lang w:val="en-US" w:eastAsia="zh-CN" w:bidi="ar-SA"/>
        </w:rPr>
        <w:t>校车在运营过程中不可避免会遇到突发事件，系统可通过手动报警方式进行上报。手动报警只需按下报警按钮；报警信息通过4G网络上传至中心进行报警接收和后续处理。</w:t>
      </w:r>
    </w:p>
    <w:p w14:paraId="7983E495">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6" w:name="_Toc184285925"/>
      <w:r>
        <w:rPr>
          <w:rFonts w:hint="eastAsia" w:ascii="Arial" w:hAnsi="Arial" w:eastAsia="黑体" w:cs="宋体"/>
          <w:bCs/>
          <w:color w:val="auto"/>
          <w:kern w:val="2"/>
          <w:sz w:val="21"/>
          <w:szCs w:val="21"/>
          <w:lang w:val="zh-CN" w:eastAsia="zh-CN" w:bidi="ar-SA"/>
        </w:rPr>
        <w:t>行车提醒自动化</w:t>
      </w:r>
      <w:bookmarkEnd w:id="46"/>
    </w:p>
    <w:p w14:paraId="728F9BBF">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color w:val="auto"/>
          <w:kern w:val="0"/>
          <w:sz w:val="21"/>
          <w:szCs w:val="21"/>
          <w:lang w:val="en-US" w:eastAsia="zh-CN" w:bidi="ar-SA"/>
        </w:rPr>
        <w:t>当校车在行驶过程中出现偏离行驶区域、超速等违规现象，系统会自动报警至监控中心。</w:t>
      </w:r>
    </w:p>
    <w:p w14:paraId="464F636C">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7" w:name="_Toc184285926"/>
      <w:r>
        <w:rPr>
          <w:rFonts w:hint="eastAsia" w:ascii="Arial" w:hAnsi="Arial" w:eastAsia="黑体" w:cs="宋体"/>
          <w:bCs/>
          <w:color w:val="auto"/>
          <w:kern w:val="2"/>
          <w:sz w:val="21"/>
          <w:szCs w:val="21"/>
          <w:lang w:val="zh-CN" w:eastAsia="zh-CN" w:bidi="ar-SA"/>
        </w:rPr>
        <w:t>统计报表定制化</w:t>
      </w:r>
      <w:bookmarkEnd w:id="47"/>
    </w:p>
    <w:p w14:paraId="3B6815A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color w:val="auto"/>
          <w:kern w:val="0"/>
          <w:sz w:val="21"/>
          <w:szCs w:val="21"/>
          <w:lang w:val="en-US" w:eastAsia="zh-CN" w:bidi="ar-SA"/>
        </w:rPr>
        <w:t>系统能够根据监管责任主体的不同，有针对性的对校车运营情况进行分析并生成定制化的统计报表。</w:t>
      </w:r>
    </w:p>
    <w:p w14:paraId="049C6492">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48" w:name="_Toc184285927"/>
      <w:r>
        <w:rPr>
          <w:rFonts w:hint="eastAsia" w:ascii="Arial" w:hAnsi="Arial" w:eastAsia="黑体" w:cs="宋体"/>
          <w:bCs/>
          <w:color w:val="auto"/>
          <w:kern w:val="2"/>
          <w:sz w:val="21"/>
          <w:szCs w:val="21"/>
          <w:lang w:val="zh-CN" w:eastAsia="zh-CN" w:bidi="ar-SA"/>
        </w:rPr>
        <w:t>多应用扩展化</w:t>
      </w:r>
      <w:bookmarkEnd w:id="48"/>
    </w:p>
    <w:p w14:paraId="12BFE3B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color w:val="auto"/>
          <w:kern w:val="0"/>
          <w:sz w:val="21"/>
          <w:szCs w:val="21"/>
          <w:lang w:val="en-US" w:eastAsia="zh-CN" w:bidi="ar-SA"/>
        </w:rPr>
        <w:t>家长可实现手机端查询校车的实时位置情况，学生安全上下车的信息及时反馈至家长手机端</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充分保证学生出行便利与安全，让老师、家长、社会放心。</w:t>
      </w:r>
    </w:p>
    <w:bookmarkEnd w:id="41"/>
    <w:p w14:paraId="38FDB4D0">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49" w:name="_Toc184285928"/>
      <w:r>
        <w:rPr>
          <w:rFonts w:hint="eastAsia" w:ascii="Arial" w:hAnsi="Arial" w:eastAsia="黑体" w:cs="宋体"/>
          <w:bCs/>
          <w:color w:val="auto"/>
          <w:kern w:val="2"/>
          <w:sz w:val="21"/>
          <w:szCs w:val="21"/>
          <w:lang w:val="en-US" w:eastAsia="zh-CN" w:bidi="ar-SA"/>
        </w:rPr>
        <w:t>北斗智能车载终端与智慧校车管理系统整合</w:t>
      </w:r>
      <w:r>
        <w:rPr>
          <w:rFonts w:hint="eastAsia" w:ascii="Arial" w:hAnsi="Arial" w:eastAsia="黑体" w:cs="宋体"/>
          <w:bCs/>
          <w:color w:val="auto"/>
          <w:kern w:val="2"/>
          <w:sz w:val="21"/>
          <w:szCs w:val="21"/>
          <w:lang w:val="zh-CN" w:eastAsia="zh-CN" w:bidi="ar-SA"/>
        </w:rPr>
        <w:t>价值</w:t>
      </w:r>
      <w:bookmarkEnd w:id="49"/>
    </w:p>
    <w:p w14:paraId="14C720D1">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50" w:name="_Toc184285929"/>
      <w:r>
        <w:rPr>
          <w:rFonts w:hint="eastAsia" w:ascii="Arial" w:hAnsi="Arial" w:eastAsia="黑体" w:cs="宋体"/>
          <w:bCs/>
          <w:color w:val="auto"/>
          <w:kern w:val="2"/>
          <w:sz w:val="21"/>
          <w:szCs w:val="21"/>
          <w:lang w:val="zh-CN" w:eastAsia="zh-CN" w:bidi="ar-SA"/>
        </w:rPr>
        <w:t>保障学生人身安全</w:t>
      </w:r>
      <w:bookmarkEnd w:id="50"/>
    </w:p>
    <w:p w14:paraId="6CDF0989">
      <w:pPr>
        <w:keepLines w:val="0"/>
        <w:pageBreakBefore w:val="0"/>
        <w:kinsoku/>
        <w:wordWrap/>
        <w:overflowPunct/>
        <w:topLinePunct w:val="0"/>
        <w:autoSpaceDE/>
        <w:autoSpaceDN/>
        <w:bidi w:val="0"/>
        <w:adjustRightInd/>
        <w:snapToGrid/>
        <w:spacing w:line="360" w:lineRule="auto"/>
        <w:ind w:firstLine="371" w:firstLineChars="177"/>
        <w:textAlignment w:val="auto"/>
        <w:rPr>
          <w:rFonts w:ascii="Times New Roman" w:hAnsi="Times New Roman" w:eastAsia="宋体" w:cs="宋体"/>
          <w:color w:val="auto"/>
          <w:sz w:val="21"/>
          <w:szCs w:val="21"/>
        </w:rPr>
      </w:pPr>
      <w:r>
        <w:rPr>
          <w:rFonts w:hint="eastAsia" w:ascii="Times New Roman" w:hAnsi="Times New Roman" w:eastAsia="宋体" w:cs="宋体"/>
          <w:color w:val="auto"/>
          <w:sz w:val="21"/>
          <w:szCs w:val="21"/>
        </w:rPr>
        <w:t>完善校车基础信息化设施，满足学校日常监控校车搭载学生的需求；通过北斗校车系统建设，实现校车管理数字信息现代化管理，提高校车安全管理工作效率，提高学生的生命安全，降低学校管理成本，服务广大学生与家长。</w:t>
      </w:r>
    </w:p>
    <w:p w14:paraId="4767D5B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升级改造单北斗校车管理系统是一项意义深远的工程，它直接关系到校车安全管理的进展与成效，通过改造计划可以提高教育局对校车高效管理水平，提供广大学生一个更安全的上学、放学交通工具。</w:t>
      </w:r>
    </w:p>
    <w:p w14:paraId="14EA5FED">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51" w:name="_Toc184285930"/>
      <w:r>
        <w:rPr>
          <w:rFonts w:hint="eastAsia" w:ascii="Arial" w:hAnsi="Arial" w:eastAsia="黑体" w:cs="宋体"/>
          <w:bCs/>
          <w:color w:val="auto"/>
          <w:kern w:val="2"/>
          <w:sz w:val="21"/>
          <w:szCs w:val="21"/>
          <w:lang w:val="zh-CN" w:eastAsia="zh-CN" w:bidi="ar-SA"/>
        </w:rPr>
        <w:t>实现校车数字化管理</w:t>
      </w:r>
      <w:bookmarkEnd w:id="51"/>
    </w:p>
    <w:p w14:paraId="5FD99F6C">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支持事前预防、事后取证，实现车辆管控的安全化、实时化、智能化、效率化要求，助力学校建设车载智能管控，促进平台智能建设。</w:t>
      </w:r>
    </w:p>
    <w:p w14:paraId="0B59C3E9">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实时监控路线、学生刷脸情况，实时监控清车情况，</w:t>
      </w:r>
      <w:r>
        <w:rPr>
          <w:rFonts w:hint="eastAsia" w:ascii="等线" w:hAnsi="等线" w:eastAsia="等线" w:cs="宋体"/>
          <w:color w:val="auto"/>
          <w:kern w:val="0"/>
          <w:sz w:val="21"/>
          <w:szCs w:val="21"/>
          <w:lang w:val="en-US" w:eastAsia="zh-CN" w:bidi="ar-SA"/>
        </w:rPr>
        <w:t>驾驶员在收车前要求通过上传照片确认清车工作完成，</w:t>
      </w:r>
      <w:r>
        <w:rPr>
          <w:rFonts w:hint="eastAsia" w:ascii="Arial" w:hAnsi="Arial" w:eastAsia="宋体" w:cs="Times New Roman"/>
          <w:color w:val="auto"/>
          <w:kern w:val="0"/>
          <w:sz w:val="21"/>
          <w:szCs w:val="21"/>
          <w:lang w:val="en-US" w:eastAsia="zh-CN" w:bidi="ar-SA"/>
        </w:rPr>
        <w:t>车辆熄火后，若车内还有学生滞留，设备立即启动语音报警，可发送信息到平台。提升校方管理效率，保障学生安全。</w:t>
      </w:r>
    </w:p>
    <w:p w14:paraId="18F5AE9D">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52" w:name="_Toc184285931"/>
      <w:r>
        <w:rPr>
          <w:rFonts w:hint="eastAsia" w:ascii="Arial" w:hAnsi="Arial" w:eastAsia="黑体" w:cs="宋体"/>
          <w:bCs/>
          <w:color w:val="auto"/>
          <w:kern w:val="2"/>
          <w:sz w:val="21"/>
          <w:szCs w:val="21"/>
          <w:lang w:val="zh-CN" w:eastAsia="zh-CN" w:bidi="ar-SA"/>
        </w:rPr>
        <w:t>多渠道监管校车运营情况</w:t>
      </w:r>
      <w:bookmarkEnd w:id="52"/>
    </w:p>
    <w:p w14:paraId="343A8A0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通过校车路线、学生上下车信息的实时推送至家长端，有效助力家长监管孩子上下学情况，满足社会及家长需求。随时随地查看校车定位、上下车信息提醒，确保能够按时接送孩子。多渠道监控校车和司机，确保学生乘车安全。</w:t>
      </w:r>
    </w:p>
    <w:p w14:paraId="051943DB">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53" w:name="_Toc184285932"/>
      <w:r>
        <w:rPr>
          <w:rFonts w:hint="eastAsia" w:ascii="Arial" w:hAnsi="Arial" w:eastAsia="黑体" w:cs="宋体"/>
          <w:bCs/>
          <w:color w:val="auto"/>
          <w:kern w:val="2"/>
          <w:sz w:val="21"/>
          <w:szCs w:val="21"/>
          <w:lang w:val="zh-CN" w:eastAsia="zh-CN" w:bidi="ar-SA"/>
        </w:rPr>
        <w:t>提升校车运营管理</w:t>
      </w:r>
      <w:bookmarkEnd w:id="53"/>
    </w:p>
    <w:p w14:paraId="2E3AE04A">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车辆管控：实现监管车辆运行。</w:t>
      </w:r>
    </w:p>
    <w:p w14:paraId="7B75808C">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人员管控：监管驾驶员/保管员信息。</w:t>
      </w:r>
    </w:p>
    <w:p w14:paraId="583F5E9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事件管控：紧急事件及时救援。</w:t>
      </w:r>
    </w:p>
    <w:p w14:paraId="1BC2B58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调度管理：让管理人员直观了解校车在线路中的位置信息，能够合理地采取调度手段，同时系统可自动记录发车情况，使得管理人员能够更加合理调配校车。</w:t>
      </w:r>
    </w:p>
    <w:p w14:paraId="5122C5F2">
      <w:pPr>
        <w:keepNext/>
        <w:keepLines w:val="0"/>
        <w:pageBreakBefore w:val="0"/>
        <w:widowControl w:val="0"/>
        <w:numPr>
          <w:ilvl w:val="2"/>
          <w:numId w:val="8"/>
        </w:numPr>
        <w:kinsoku/>
        <w:wordWrap/>
        <w:overflowPunct/>
        <w:topLinePunct w:val="0"/>
        <w:autoSpaceDE/>
        <w:autoSpaceDN/>
        <w:bidi w:val="0"/>
        <w:adjustRightInd/>
        <w:snapToGrid/>
        <w:spacing w:before="326" w:beforeLines="100" w:after="163" w:afterLines="50" w:line="360" w:lineRule="auto"/>
        <w:jc w:val="left"/>
        <w:textAlignment w:val="auto"/>
        <w:outlineLvl w:val="2"/>
        <w:rPr>
          <w:rFonts w:ascii="Arial" w:hAnsi="Arial" w:eastAsia="黑体" w:cs="宋体"/>
          <w:bCs/>
          <w:color w:val="auto"/>
          <w:kern w:val="2"/>
          <w:sz w:val="21"/>
          <w:szCs w:val="21"/>
          <w:lang w:val="zh-CN" w:eastAsia="zh-CN" w:bidi="ar-SA"/>
        </w:rPr>
      </w:pPr>
      <w:bookmarkStart w:id="54" w:name="_Toc184285933"/>
      <w:r>
        <w:rPr>
          <w:rFonts w:hint="eastAsia" w:ascii="Arial" w:hAnsi="Arial" w:eastAsia="黑体" w:cs="宋体"/>
          <w:bCs/>
          <w:color w:val="auto"/>
          <w:kern w:val="2"/>
          <w:sz w:val="21"/>
          <w:szCs w:val="21"/>
          <w:lang w:val="zh-CN" w:eastAsia="zh-CN" w:bidi="ar-SA"/>
        </w:rPr>
        <w:t>辅助管理</w:t>
      </w:r>
      <w:bookmarkEnd w:id="54"/>
    </w:p>
    <w:p w14:paraId="1C2EAA6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辅助教育部门对监管区域内校车的使用情况进行监管，保障广大学生安全出行。</w:t>
      </w:r>
    </w:p>
    <w:p w14:paraId="7DA903A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校车管理，车辆信息与驾驶员、路线实时更新绑定、无证驾驶或违规驾驶等现象。</w:t>
      </w:r>
    </w:p>
    <w:p w14:paraId="00A67DD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辅助校车安全应急处理，支撑车辆运行数据决策等。</w:t>
      </w:r>
    </w:p>
    <w:p w14:paraId="6552D40C">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55" w:name="_Toc184285934"/>
      <w:bookmarkStart w:id="56" w:name="_Toc3270"/>
      <w:r>
        <w:rPr>
          <w:rFonts w:hint="eastAsia" w:ascii="Arial" w:hAnsi="Arial" w:eastAsia="黑体" w:cs="宋体"/>
          <w:bCs/>
          <w:color w:val="auto"/>
          <w:kern w:val="0"/>
          <w:sz w:val="21"/>
          <w:szCs w:val="21"/>
          <w:lang w:val="en-US" w:eastAsia="zh-CN" w:bidi="ar-SA"/>
        </w:rPr>
        <w:t>车载终端方案</w:t>
      </w:r>
      <w:bookmarkEnd w:id="55"/>
      <w:bookmarkEnd w:id="56"/>
    </w:p>
    <w:p w14:paraId="7C116726">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57" w:name="_Toc184285935"/>
      <w:r>
        <w:rPr>
          <w:rFonts w:hint="eastAsia" w:ascii="Arial" w:hAnsi="Arial" w:eastAsia="黑体" w:cs="宋体"/>
          <w:bCs/>
          <w:color w:val="auto"/>
          <w:kern w:val="2"/>
          <w:sz w:val="21"/>
          <w:szCs w:val="21"/>
          <w:lang w:val="zh-CN" w:eastAsia="zh-CN" w:bidi="ar-SA"/>
        </w:rPr>
        <w:t>前端架构</w:t>
      </w:r>
      <w:bookmarkEnd w:id="57"/>
    </w:p>
    <w:p w14:paraId="5E7CE1B7">
      <w:pPr>
        <w:keepLines w:val="0"/>
        <w:pageBreakBefore w:val="0"/>
        <w:kinsoku/>
        <w:wordWrap/>
        <w:overflowPunct/>
        <w:topLinePunct w:val="0"/>
        <w:autoSpaceDE/>
        <w:autoSpaceDN/>
        <w:bidi w:val="0"/>
        <w:adjustRightInd/>
        <w:snapToGrid/>
        <w:jc w:val="center"/>
        <w:textAlignment w:val="auto"/>
        <w:rPr>
          <w:rFonts w:hint="eastAsia" w:eastAsia="黑体" w:cs="宋体"/>
          <w:color w:val="auto"/>
          <w:sz w:val="21"/>
          <w:szCs w:val="21"/>
        </w:rPr>
      </w:pPr>
      <w:r>
        <w:rPr>
          <w:rFonts w:eastAsia="宋体" w:cs="宋体"/>
          <w:color w:val="auto"/>
          <w:sz w:val="21"/>
          <w:szCs w:val="21"/>
        </w:rPr>
        <w:drawing>
          <wp:inline distT="0" distB="0" distL="114300" distR="114300">
            <wp:extent cx="5270500" cy="2995295"/>
            <wp:effectExtent l="0" t="0" r="6350" b="14605"/>
            <wp:docPr id="1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1"/>
                    <pic:cNvPicPr>
                      <a:picLocks noChangeAspect="1"/>
                    </pic:cNvPicPr>
                  </pic:nvPicPr>
                  <pic:blipFill>
                    <a:blip r:embed="rId34"/>
                    <a:stretch>
                      <a:fillRect/>
                    </a:stretch>
                  </pic:blipFill>
                  <pic:spPr>
                    <a:xfrm>
                      <a:off x="0" y="0"/>
                      <a:ext cx="5270500" cy="2995295"/>
                    </a:xfrm>
                    <a:prstGeom prst="rect">
                      <a:avLst/>
                    </a:prstGeom>
                    <a:noFill/>
                    <a:ln>
                      <a:noFill/>
                    </a:ln>
                  </pic:spPr>
                </pic:pic>
              </a:graphicData>
            </a:graphic>
          </wp:inline>
        </w:drawing>
      </w:r>
    </w:p>
    <w:p w14:paraId="3C37C7BC">
      <w:pPr>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车内系统组成图</w:t>
      </w:r>
    </w:p>
    <w:p w14:paraId="658993F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此系统由北斗车载终端主机、车载摄像机、主动安全预警系统（驾驶员行为分析摄像机、驾驶辅助摄像机）、人脸识别一体机、报警按钮、语音对讲设备等组成。其中主机具备单北斗定位、4G传输、视频智能分析等功能模块，同时可扩展车载信息显示屏、对接人脸一体机等外设。</w:t>
      </w:r>
    </w:p>
    <w:p w14:paraId="7FB4D138">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58" w:name="_Toc184285936"/>
      <w:r>
        <w:rPr>
          <w:rFonts w:hint="eastAsia" w:ascii="Arial" w:hAnsi="Arial" w:eastAsia="黑体" w:cs="宋体"/>
          <w:bCs/>
          <w:color w:val="auto"/>
          <w:kern w:val="2"/>
          <w:sz w:val="21"/>
          <w:szCs w:val="21"/>
          <w:lang w:val="en-US" w:eastAsia="zh-CN" w:bidi="ar-SA"/>
        </w:rPr>
        <w:t>北斗车载终端的重新</w:t>
      </w:r>
      <w:r>
        <w:rPr>
          <w:rFonts w:hint="eastAsia" w:ascii="Arial" w:hAnsi="Arial" w:eastAsia="黑体" w:cs="宋体"/>
          <w:bCs/>
          <w:color w:val="auto"/>
          <w:kern w:val="2"/>
          <w:sz w:val="21"/>
          <w:szCs w:val="21"/>
          <w:lang w:val="zh-CN" w:eastAsia="zh-CN" w:bidi="ar-SA"/>
        </w:rPr>
        <w:t>部署</w:t>
      </w:r>
      <w:bookmarkEnd w:id="58"/>
    </w:p>
    <w:p w14:paraId="168E56DA">
      <w:pPr>
        <w:keepLines w:val="0"/>
        <w:pageBreakBefore w:val="0"/>
        <w:kinsoku/>
        <w:wordWrap/>
        <w:overflowPunct/>
        <w:topLinePunct w:val="0"/>
        <w:autoSpaceDE/>
        <w:autoSpaceDN/>
        <w:bidi w:val="0"/>
        <w:adjustRightInd/>
        <w:snapToGrid/>
        <w:textAlignment w:val="auto"/>
        <w:rPr>
          <w:rFonts w:hint="eastAsia" w:eastAsia="宋体" w:cs="宋体"/>
          <w:color w:val="auto"/>
          <w:sz w:val="21"/>
          <w:szCs w:val="21"/>
          <w:lang w:val="zh-CN"/>
        </w:rPr>
      </w:pPr>
      <w:r>
        <w:rPr>
          <w:rFonts w:hint="eastAsia" w:eastAsia="宋体" w:cs="宋体"/>
          <w:color w:val="auto"/>
          <w:sz w:val="21"/>
          <w:szCs w:val="21"/>
          <w:lang w:val="zh-CN"/>
        </w:rPr>
        <w:drawing>
          <wp:inline distT="0" distB="0" distL="114300" distR="114300">
            <wp:extent cx="5579745" cy="3103245"/>
            <wp:effectExtent l="0" t="0" r="1905" b="1905"/>
            <wp:docPr id="12" name="图片 32" descr="架构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2" descr="架构图3"/>
                    <pic:cNvPicPr>
                      <a:picLocks noChangeAspect="1"/>
                    </pic:cNvPicPr>
                  </pic:nvPicPr>
                  <pic:blipFill>
                    <a:blip r:embed="rId35"/>
                    <a:stretch>
                      <a:fillRect/>
                    </a:stretch>
                  </pic:blipFill>
                  <pic:spPr>
                    <a:xfrm>
                      <a:off x="0" y="0"/>
                      <a:ext cx="5579745" cy="3103245"/>
                    </a:xfrm>
                    <a:prstGeom prst="rect">
                      <a:avLst/>
                    </a:prstGeom>
                    <a:noFill/>
                    <a:ln>
                      <a:noFill/>
                    </a:ln>
                  </pic:spPr>
                </pic:pic>
              </a:graphicData>
            </a:graphic>
          </wp:inline>
        </w:drawing>
      </w:r>
    </w:p>
    <w:bookmarkEnd w:id="28"/>
    <w:bookmarkEnd w:id="42"/>
    <w:p w14:paraId="1E378840">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59" w:name="_Toc430793219"/>
      <w:bookmarkStart w:id="60" w:name="_Toc454264491"/>
      <w:bookmarkStart w:id="61" w:name="_Toc184285937"/>
      <w:bookmarkStart w:id="62" w:name="_Toc20701"/>
      <w:r>
        <w:rPr>
          <w:rFonts w:hint="eastAsia" w:ascii="Arial" w:hAnsi="Arial" w:eastAsia="黑体" w:cs="宋体"/>
          <w:bCs/>
          <w:color w:val="auto"/>
          <w:kern w:val="0"/>
          <w:sz w:val="21"/>
          <w:szCs w:val="21"/>
          <w:lang w:val="en-US" w:eastAsia="zh-CN" w:bidi="ar-SA"/>
        </w:rPr>
        <w:t>智慧校车监管平台</w:t>
      </w:r>
      <w:bookmarkEnd w:id="59"/>
      <w:bookmarkEnd w:id="60"/>
      <w:bookmarkEnd w:id="61"/>
      <w:r>
        <w:rPr>
          <w:rFonts w:hint="eastAsia" w:ascii="Arial" w:hAnsi="Arial" w:eastAsia="黑体" w:cs="宋体"/>
          <w:bCs/>
          <w:color w:val="auto"/>
          <w:kern w:val="0"/>
          <w:sz w:val="21"/>
          <w:szCs w:val="21"/>
          <w:lang w:val="en-US" w:eastAsia="zh-CN" w:bidi="ar-SA"/>
        </w:rPr>
        <w:t>的介绍与接入</w:t>
      </w:r>
      <w:bookmarkEnd w:id="62"/>
    </w:p>
    <w:p w14:paraId="151AC9D0">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3" w:name="_Toc184285938"/>
      <w:r>
        <w:rPr>
          <w:rFonts w:hint="eastAsia" w:ascii="Arial" w:hAnsi="Arial" w:eastAsia="黑体" w:cs="宋体"/>
          <w:bCs/>
          <w:color w:val="auto"/>
          <w:kern w:val="2"/>
          <w:sz w:val="21"/>
          <w:szCs w:val="21"/>
          <w:lang w:val="zh-CN" w:eastAsia="zh-CN" w:bidi="ar-SA"/>
        </w:rPr>
        <w:t>首页展示</w:t>
      </w:r>
      <w:bookmarkEnd w:id="63"/>
    </w:p>
    <w:p w14:paraId="267B40C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t>支持首页展示里程、设备数量、平台通道数量，以及通过图表化方式对设备报警、主动安全报警、设备状态与多样化报警数量进行统计分析</w:t>
      </w:r>
      <w:r>
        <w:rPr>
          <w:rFonts w:hint="eastAsia" w:ascii="Arial" w:hAnsi="Arial" w:eastAsia="宋体" w:cs="Times New Roman"/>
          <w:color w:val="auto"/>
          <w:kern w:val="0"/>
          <w:sz w:val="21"/>
          <w:szCs w:val="21"/>
          <w:lang w:val="en-US" w:eastAsia="zh-CN" w:bidi="ar-SA"/>
        </w:rPr>
        <w:t>。</w:t>
      </w:r>
    </w:p>
    <w:p w14:paraId="16148D15">
      <w:pPr>
        <w:keepLines w:val="0"/>
        <w:pageBreakBefore w:val="0"/>
        <w:widowControl w:val="0"/>
        <w:kinsoku/>
        <w:wordWrap/>
        <w:overflowPunct/>
        <w:topLinePunct w:val="0"/>
        <w:autoSpaceDE/>
        <w:autoSpaceDN/>
        <w:bidi w:val="0"/>
        <w:adjustRightInd/>
        <w:snapToGrid/>
        <w:spacing w:line="240" w:lineRule="auto"/>
        <w:ind w:firstLine="210" w:firstLineChars="100"/>
        <w:jc w:val="both"/>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drawing>
          <wp:inline distT="0" distB="0" distL="114300" distR="114300">
            <wp:extent cx="5347970" cy="2618105"/>
            <wp:effectExtent l="0" t="0" r="5080" b="10795"/>
            <wp:docPr id="1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3"/>
                    <pic:cNvPicPr>
                      <a:picLocks noChangeAspect="1"/>
                    </pic:cNvPicPr>
                  </pic:nvPicPr>
                  <pic:blipFill>
                    <a:blip r:embed="rId36"/>
                    <a:stretch>
                      <a:fillRect/>
                    </a:stretch>
                  </pic:blipFill>
                  <pic:spPr>
                    <a:xfrm>
                      <a:off x="0" y="0"/>
                      <a:ext cx="5347970" cy="2618105"/>
                    </a:xfrm>
                    <a:prstGeom prst="rect">
                      <a:avLst/>
                    </a:prstGeom>
                    <a:noFill/>
                    <a:ln>
                      <a:noFill/>
                    </a:ln>
                  </pic:spPr>
                </pic:pic>
              </a:graphicData>
            </a:graphic>
          </wp:inline>
        </w:drawing>
      </w:r>
    </w:p>
    <w:p w14:paraId="16479B1C">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4" w:name="_Toc184285939"/>
      <w:r>
        <w:rPr>
          <w:rFonts w:hint="eastAsia" w:ascii="Arial" w:hAnsi="Arial" w:eastAsia="黑体" w:cs="宋体"/>
          <w:bCs/>
          <w:color w:val="auto"/>
          <w:kern w:val="2"/>
          <w:sz w:val="21"/>
          <w:szCs w:val="21"/>
          <w:lang w:val="zh-CN" w:eastAsia="zh-CN" w:bidi="ar-SA"/>
        </w:rPr>
        <w:t>实时监控</w:t>
      </w:r>
      <w:bookmarkEnd w:id="64"/>
    </w:p>
    <w:p w14:paraId="32058F38">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车辆定位：</w:t>
      </w:r>
      <w:r>
        <w:rPr>
          <w:rFonts w:ascii="Arial" w:hAnsi="Arial" w:eastAsia="宋体" w:cs="Times New Roman"/>
          <w:color w:val="auto"/>
          <w:kern w:val="0"/>
          <w:sz w:val="21"/>
          <w:szCs w:val="21"/>
          <w:lang w:val="en-US" w:eastAsia="zh-CN" w:bidi="ar-SA"/>
        </w:rPr>
        <w:t>支持地图上展示车辆点位，地图中最大支持5000台设备同时展示经纬度点位</w:t>
      </w:r>
      <w:r>
        <w:rPr>
          <w:rFonts w:hint="eastAsia" w:ascii="Arial" w:hAnsi="Arial" w:eastAsia="宋体" w:cs="Times New Roman"/>
          <w:color w:val="auto"/>
          <w:kern w:val="0"/>
          <w:sz w:val="21"/>
          <w:szCs w:val="21"/>
          <w:lang w:val="en-US" w:eastAsia="zh-CN" w:bidi="ar-SA"/>
        </w:rPr>
        <w:t>；</w:t>
      </w:r>
    </w:p>
    <w:p w14:paraId="256302E7">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实时报警展示：</w:t>
      </w:r>
      <w:r>
        <w:rPr>
          <w:rFonts w:ascii="Arial" w:hAnsi="Arial" w:eastAsia="宋体" w:cs="Times New Roman"/>
          <w:color w:val="auto"/>
          <w:kern w:val="0"/>
          <w:sz w:val="21"/>
          <w:szCs w:val="21"/>
          <w:lang w:val="en-US" w:eastAsia="zh-CN" w:bidi="ar-SA"/>
        </w:rPr>
        <w:t>支持实时展示车辆报警信息，并展示车牌号、设备名称、报警类型、报警时间</w:t>
      </w:r>
      <w:r>
        <w:rPr>
          <w:rFonts w:hint="eastAsia" w:ascii="Arial" w:hAnsi="Arial" w:eastAsia="宋体" w:cs="Times New Roman"/>
          <w:color w:val="auto"/>
          <w:kern w:val="0"/>
          <w:sz w:val="21"/>
          <w:szCs w:val="21"/>
          <w:lang w:val="en-US" w:eastAsia="zh-CN" w:bidi="ar-SA"/>
        </w:rPr>
        <w:t>与地图数据；</w:t>
      </w:r>
    </w:p>
    <w:p w14:paraId="739751A2">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b/>
          <w:color w:val="auto"/>
          <w:kern w:val="0"/>
          <w:sz w:val="21"/>
          <w:szCs w:val="21"/>
          <w:lang w:val="en-US" w:eastAsia="zh-CN" w:bidi="ar-SA"/>
        </w:rPr>
        <w:t>组织数展示：</w:t>
      </w:r>
      <w:r>
        <w:rPr>
          <w:rFonts w:ascii="Arial" w:hAnsi="Arial" w:eastAsia="宋体" w:cs="Times New Roman"/>
          <w:color w:val="auto"/>
          <w:kern w:val="0"/>
          <w:sz w:val="21"/>
          <w:szCs w:val="21"/>
          <w:lang w:val="en-US" w:eastAsia="zh-CN" w:bidi="ar-SA"/>
        </w:rPr>
        <w:t>支持通过全部、在线、离线、收藏、报警模式进行设备筛选展示</w:t>
      </w:r>
      <w:r>
        <w:rPr>
          <w:rFonts w:hint="eastAsia" w:ascii="Arial" w:hAnsi="Arial" w:eastAsia="宋体" w:cs="Times New Roman"/>
          <w:color w:val="auto"/>
          <w:kern w:val="0"/>
          <w:sz w:val="21"/>
          <w:szCs w:val="21"/>
          <w:lang w:val="en-US" w:eastAsia="zh-CN" w:bidi="ar-SA"/>
        </w:rPr>
        <w:t>。</w:t>
      </w:r>
    </w:p>
    <w:p w14:paraId="25D697FD">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车辆状态查看：</w:t>
      </w:r>
      <w:r>
        <w:rPr>
          <w:rFonts w:hint="eastAsia" w:ascii="Arial" w:hAnsi="Arial" w:eastAsia="宋体" w:cs="Times New Roman"/>
          <w:color w:val="auto"/>
          <w:kern w:val="0"/>
          <w:sz w:val="21"/>
          <w:szCs w:val="21"/>
          <w:lang w:val="en-US" w:eastAsia="zh-CN" w:bidi="ar-SA"/>
        </w:rPr>
        <w:t>车辆实时</w:t>
      </w:r>
      <w:r>
        <w:rPr>
          <w:rFonts w:ascii="Arial" w:hAnsi="Arial" w:eastAsia="宋体" w:cs="Times New Roman"/>
          <w:color w:val="auto"/>
          <w:kern w:val="0"/>
          <w:sz w:val="21"/>
          <w:szCs w:val="21"/>
          <w:lang w:val="en-US" w:eastAsia="zh-CN" w:bidi="ar-SA"/>
        </w:rPr>
        <w:t>状</w:t>
      </w:r>
      <w:r>
        <w:rPr>
          <w:rFonts w:hint="eastAsia" w:ascii="Arial" w:hAnsi="Arial" w:eastAsia="宋体" w:cs="Times New Roman"/>
          <w:color w:val="auto"/>
          <w:kern w:val="0"/>
          <w:sz w:val="21"/>
          <w:szCs w:val="21"/>
          <w:lang w:val="en-US" w:eastAsia="zh-CN" w:bidi="ar-SA"/>
        </w:rPr>
        <w:t>查看</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包括车牌</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车辆速度</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车辆</w:t>
      </w:r>
      <w:r>
        <w:rPr>
          <w:rFonts w:ascii="Arial" w:hAnsi="Arial" w:eastAsia="宋体" w:cs="Times New Roman"/>
          <w:color w:val="auto"/>
          <w:kern w:val="0"/>
          <w:sz w:val="21"/>
          <w:szCs w:val="21"/>
          <w:lang w:val="en-US" w:eastAsia="zh-CN" w:bidi="ar-SA"/>
        </w:rPr>
        <w:t>位置</w:t>
      </w:r>
      <w:r>
        <w:rPr>
          <w:rFonts w:hint="eastAsia" w:ascii="Arial" w:hAnsi="Arial" w:eastAsia="宋体" w:cs="Times New Roman"/>
          <w:color w:val="auto"/>
          <w:kern w:val="0"/>
          <w:sz w:val="21"/>
          <w:szCs w:val="21"/>
          <w:lang w:val="en-US" w:eastAsia="zh-CN" w:bidi="ar-SA"/>
        </w:rPr>
        <w:t>经纬度，同时可使用快捷按钮，实现视频实时预览、语音对讲、轨迹回放、重点监控等功能。</w:t>
      </w:r>
    </w:p>
    <w:p w14:paraId="6B3BF0A4">
      <w:pPr>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Arial" w:hAnsi="Arial" w:eastAsia="宋体" w:cs="Times New Roman"/>
          <w:color w:val="auto"/>
          <w:kern w:val="0"/>
          <w:sz w:val="21"/>
          <w:szCs w:val="21"/>
          <w:lang w:val="zh-CN" w:eastAsia="zh-CN" w:bidi="ar-SA"/>
        </w:rPr>
      </w:pPr>
      <w:r>
        <w:rPr>
          <w:rFonts w:ascii="Arial" w:hAnsi="Arial" w:eastAsia="宋体" w:cs="Times New Roman"/>
          <w:color w:val="auto"/>
          <w:kern w:val="0"/>
          <w:sz w:val="21"/>
          <w:szCs w:val="21"/>
          <w:lang w:val="en-US" w:eastAsia="zh-CN" w:bidi="ar-SA"/>
        </w:rPr>
        <w:drawing>
          <wp:inline distT="0" distB="0" distL="114300" distR="114300">
            <wp:extent cx="5272405" cy="2543175"/>
            <wp:effectExtent l="0" t="0" r="4445" b="9525"/>
            <wp:docPr id="1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4"/>
                    <pic:cNvPicPr>
                      <a:picLocks noChangeAspect="1"/>
                    </pic:cNvPicPr>
                  </pic:nvPicPr>
                  <pic:blipFill>
                    <a:blip r:embed="rId37"/>
                    <a:stretch>
                      <a:fillRect/>
                    </a:stretch>
                  </pic:blipFill>
                  <pic:spPr>
                    <a:xfrm>
                      <a:off x="0" y="0"/>
                      <a:ext cx="5272405" cy="2543175"/>
                    </a:xfrm>
                    <a:prstGeom prst="rect">
                      <a:avLst/>
                    </a:prstGeom>
                    <a:noFill/>
                    <a:ln>
                      <a:noFill/>
                    </a:ln>
                  </pic:spPr>
                </pic:pic>
              </a:graphicData>
            </a:graphic>
          </wp:inline>
        </w:drawing>
      </w:r>
    </w:p>
    <w:p w14:paraId="2112459D">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5" w:name="_Toc184285940"/>
      <w:r>
        <w:rPr>
          <w:rFonts w:hint="eastAsia" w:ascii="Arial" w:hAnsi="Arial" w:eastAsia="黑体" w:cs="宋体"/>
          <w:bCs/>
          <w:color w:val="auto"/>
          <w:kern w:val="2"/>
          <w:sz w:val="21"/>
          <w:szCs w:val="21"/>
          <w:lang w:val="zh-CN" w:eastAsia="zh-CN" w:bidi="ar-SA"/>
        </w:rPr>
        <w:t>视频监控</w:t>
      </w:r>
      <w:bookmarkEnd w:id="65"/>
    </w:p>
    <w:p w14:paraId="670542E3">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实时视频：</w:t>
      </w:r>
      <w:r>
        <w:rPr>
          <w:rFonts w:ascii="Arial" w:hAnsi="Arial" w:eastAsia="宋体" w:cs="Times New Roman"/>
          <w:color w:val="auto"/>
          <w:kern w:val="0"/>
          <w:sz w:val="21"/>
          <w:szCs w:val="21"/>
          <w:lang w:val="en-US" w:eastAsia="zh-CN" w:bidi="ar-SA"/>
        </w:rPr>
        <w:t>支持1</w:t>
      </w:r>
      <w:r>
        <w:rPr>
          <w:rFonts w:hint="eastAsia" w:ascii="Arial" w:hAnsi="Arial" w:eastAsia="宋体" w:cs="Times New Roman"/>
          <w:color w:val="auto"/>
          <w:kern w:val="0"/>
          <w:sz w:val="21"/>
          <w:szCs w:val="21"/>
          <w:lang w:val="en-US" w:eastAsia="zh-CN" w:bidi="ar-SA"/>
        </w:rPr>
        <w:t>/</w:t>
      </w:r>
      <w:r>
        <w:rPr>
          <w:rFonts w:ascii="Arial" w:hAnsi="Arial" w:eastAsia="宋体" w:cs="Times New Roman"/>
          <w:color w:val="auto"/>
          <w:kern w:val="0"/>
          <w:sz w:val="21"/>
          <w:szCs w:val="21"/>
          <w:lang w:val="en-US" w:eastAsia="zh-CN" w:bidi="ar-SA"/>
        </w:rPr>
        <w:t>4/9/16画面分隔，支持通过原始比例与铺满设置播放画面</w:t>
      </w:r>
      <w:r>
        <w:rPr>
          <w:rFonts w:hint="eastAsia" w:ascii="Arial" w:hAnsi="Arial" w:eastAsia="宋体" w:cs="Times New Roman"/>
          <w:color w:val="auto"/>
          <w:kern w:val="0"/>
          <w:sz w:val="21"/>
          <w:szCs w:val="21"/>
          <w:lang w:val="en-US" w:eastAsia="zh-CN" w:bidi="ar-SA"/>
        </w:rPr>
        <w:t>；</w:t>
      </w:r>
    </w:p>
    <w:p w14:paraId="6A179AB5">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zh-CN" w:eastAsia="zh-CN" w:bidi="ar-SA"/>
        </w:rPr>
      </w:pPr>
      <w:r>
        <w:rPr>
          <w:rFonts w:hint="eastAsia" w:ascii="Arial" w:hAnsi="Arial" w:eastAsia="宋体" w:cs="Times New Roman"/>
          <w:b/>
          <w:color w:val="auto"/>
          <w:kern w:val="0"/>
          <w:sz w:val="21"/>
          <w:szCs w:val="21"/>
          <w:lang w:val="en-US" w:eastAsia="zh-CN" w:bidi="ar-SA"/>
        </w:rPr>
        <w:t>录像回放：</w:t>
      </w:r>
      <w:r>
        <w:rPr>
          <w:rFonts w:ascii="Arial" w:hAnsi="Arial" w:eastAsia="宋体" w:cs="Times New Roman"/>
          <w:color w:val="auto"/>
          <w:kern w:val="0"/>
          <w:sz w:val="21"/>
          <w:szCs w:val="21"/>
          <w:lang w:val="en-US" w:eastAsia="zh-CN" w:bidi="ar-SA"/>
        </w:rPr>
        <w:t>支持通过</w:t>
      </w:r>
      <w:r>
        <w:rPr>
          <w:rFonts w:hint="eastAsia" w:ascii="Arial" w:hAnsi="Arial" w:eastAsia="宋体" w:cs="Times New Roman"/>
          <w:color w:val="auto"/>
          <w:kern w:val="0"/>
          <w:sz w:val="21"/>
          <w:szCs w:val="21"/>
          <w:lang w:val="en-US" w:eastAsia="zh-CN" w:bidi="ar-SA"/>
        </w:rPr>
        <w:t>选择开始</w:t>
      </w:r>
      <w:r>
        <w:rPr>
          <w:rFonts w:ascii="Arial" w:hAnsi="Arial" w:eastAsia="宋体" w:cs="Times New Roman"/>
          <w:color w:val="auto"/>
          <w:kern w:val="0"/>
          <w:sz w:val="21"/>
          <w:szCs w:val="21"/>
          <w:lang w:val="en-US" w:eastAsia="zh-CN" w:bidi="ar-SA"/>
        </w:rPr>
        <w:t>与结束</w:t>
      </w:r>
      <w:r>
        <w:rPr>
          <w:rFonts w:hint="eastAsia" w:ascii="Arial" w:hAnsi="Arial" w:eastAsia="宋体" w:cs="Times New Roman"/>
          <w:color w:val="auto"/>
          <w:kern w:val="0"/>
          <w:sz w:val="21"/>
          <w:szCs w:val="21"/>
          <w:lang w:val="en-US" w:eastAsia="zh-CN" w:bidi="ar-SA"/>
        </w:rPr>
        <w:t>时间</w:t>
      </w:r>
      <w:r>
        <w:rPr>
          <w:rFonts w:ascii="Arial" w:hAnsi="Arial" w:eastAsia="宋体" w:cs="Times New Roman"/>
          <w:color w:val="auto"/>
          <w:kern w:val="0"/>
          <w:sz w:val="21"/>
          <w:szCs w:val="21"/>
          <w:lang w:val="en-US" w:eastAsia="zh-CN" w:bidi="ar-SA"/>
        </w:rPr>
        <w:t>以及录像存储</w:t>
      </w:r>
      <w:r>
        <w:rPr>
          <w:rFonts w:hint="eastAsia" w:ascii="Arial" w:hAnsi="Arial" w:eastAsia="宋体" w:cs="Times New Roman"/>
          <w:color w:val="auto"/>
          <w:kern w:val="0"/>
          <w:sz w:val="21"/>
          <w:szCs w:val="21"/>
          <w:lang w:val="en-US" w:eastAsia="zh-CN" w:bidi="ar-SA"/>
        </w:rPr>
        <w:t>位置</w:t>
      </w:r>
      <w:r>
        <w:rPr>
          <w:rFonts w:ascii="Arial" w:hAnsi="Arial" w:eastAsia="宋体" w:cs="Times New Roman"/>
          <w:color w:val="auto"/>
          <w:kern w:val="0"/>
          <w:sz w:val="21"/>
          <w:szCs w:val="21"/>
          <w:lang w:val="en-US" w:eastAsia="zh-CN" w:bidi="ar-SA"/>
        </w:rPr>
        <w:t>进行筛选录像</w:t>
      </w:r>
      <w:r>
        <w:rPr>
          <w:rFonts w:hint="eastAsia" w:ascii="Arial" w:hAnsi="Arial" w:eastAsia="宋体" w:cs="Times New Roman"/>
          <w:color w:val="auto"/>
          <w:kern w:val="0"/>
          <w:sz w:val="21"/>
          <w:szCs w:val="21"/>
          <w:lang w:val="en-US" w:eastAsia="zh-CN" w:bidi="ar-SA"/>
        </w:rPr>
        <w:t>。</w:t>
      </w:r>
    </w:p>
    <w:p w14:paraId="05D95236">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6" w:name="_Toc184285941"/>
      <w:r>
        <w:rPr>
          <w:rFonts w:hint="eastAsia" w:ascii="Arial" w:hAnsi="Arial" w:eastAsia="黑体" w:cs="宋体"/>
          <w:bCs/>
          <w:color w:val="auto"/>
          <w:kern w:val="2"/>
          <w:sz w:val="21"/>
          <w:szCs w:val="21"/>
          <w:lang w:val="zh-CN" w:eastAsia="zh-CN" w:bidi="ar-SA"/>
        </w:rPr>
        <w:t>定位轨迹</w:t>
      </w:r>
      <w:bookmarkEnd w:id="66"/>
    </w:p>
    <w:p w14:paraId="1F72507E">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历史轨迹回放：</w:t>
      </w:r>
      <w:r>
        <w:rPr>
          <w:rFonts w:ascii="Arial" w:hAnsi="Arial" w:eastAsia="宋体" w:cs="Times New Roman"/>
          <w:color w:val="auto"/>
          <w:kern w:val="0"/>
          <w:sz w:val="21"/>
          <w:szCs w:val="21"/>
          <w:lang w:val="en-US" w:eastAsia="zh-CN" w:bidi="ar-SA"/>
        </w:rPr>
        <w:t>支持地图中展示设备行驶的轨迹，最多同时展示10辆车的轨迹</w:t>
      </w:r>
      <w:r>
        <w:rPr>
          <w:rFonts w:hint="eastAsia" w:ascii="Arial" w:hAnsi="Arial" w:eastAsia="宋体" w:cs="Times New Roman"/>
          <w:color w:val="auto"/>
          <w:kern w:val="0"/>
          <w:sz w:val="21"/>
          <w:szCs w:val="21"/>
          <w:lang w:val="en-US" w:eastAsia="zh-CN" w:bidi="ar-SA"/>
        </w:rPr>
        <w:t>；</w:t>
      </w:r>
    </w:p>
    <w:p w14:paraId="4F4C131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t>支持1X/2X/4X/8X/16X/32X/64X对轨迹进行播放</w:t>
      </w:r>
      <w:r>
        <w:rPr>
          <w:rFonts w:hint="eastAsia" w:ascii="Arial" w:hAnsi="Arial" w:eastAsia="宋体" w:cs="Times New Roman"/>
          <w:color w:val="auto"/>
          <w:kern w:val="0"/>
          <w:sz w:val="21"/>
          <w:szCs w:val="21"/>
          <w:lang w:val="en-US" w:eastAsia="zh-CN" w:bidi="ar-SA"/>
        </w:rPr>
        <w:t>。</w:t>
      </w:r>
    </w:p>
    <w:p w14:paraId="4BF14E0A">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电子围栏设置：</w:t>
      </w:r>
      <w:r>
        <w:rPr>
          <w:rFonts w:ascii="Arial" w:hAnsi="Arial" w:eastAsia="宋体" w:cs="Times New Roman"/>
          <w:color w:val="auto"/>
          <w:kern w:val="0"/>
          <w:sz w:val="21"/>
          <w:szCs w:val="21"/>
          <w:lang w:val="en-US" w:eastAsia="zh-CN" w:bidi="ar-SA"/>
        </w:rPr>
        <w:t>支持通过电子围栏与围栏类型进行筛选围栏</w:t>
      </w:r>
    </w:p>
    <w:p w14:paraId="24DD25DF">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zh-CN" w:eastAsia="zh-CN" w:bidi="ar-SA"/>
        </w:rPr>
      </w:pPr>
      <w:r>
        <w:rPr>
          <w:rFonts w:ascii="Arial" w:hAnsi="Arial" w:eastAsia="宋体" w:cs="Times New Roman"/>
          <w:color w:val="auto"/>
          <w:kern w:val="0"/>
          <w:sz w:val="21"/>
          <w:szCs w:val="21"/>
          <w:lang w:val="en-US" w:eastAsia="zh-CN" w:bidi="ar-SA"/>
        </w:rPr>
        <w:t>支持添加电子围栏（出发区、到</w:t>
      </w:r>
      <w:r>
        <w:rPr>
          <w:rFonts w:hint="eastAsia" w:ascii="Arial" w:hAnsi="Arial" w:eastAsia="宋体" w:cs="Times New Roman"/>
          <w:color w:val="auto"/>
          <w:kern w:val="0"/>
          <w:sz w:val="21"/>
          <w:szCs w:val="21"/>
          <w:lang w:val="en-US" w:eastAsia="zh-CN" w:bidi="ar-SA"/>
        </w:rPr>
        <w:t>达</w:t>
      </w:r>
      <w:r>
        <w:rPr>
          <w:rFonts w:ascii="Arial" w:hAnsi="Arial" w:eastAsia="宋体" w:cs="Times New Roman"/>
          <w:color w:val="auto"/>
          <w:kern w:val="0"/>
          <w:sz w:val="21"/>
          <w:szCs w:val="21"/>
          <w:lang w:val="en-US" w:eastAsia="zh-CN" w:bidi="ar-SA"/>
        </w:rPr>
        <w:t>区、限速区、禁止区、行驶区）</w:t>
      </w:r>
      <w:r>
        <w:rPr>
          <w:rFonts w:hint="eastAsia" w:ascii="Arial" w:hAnsi="Arial" w:eastAsia="宋体" w:cs="Times New Roman"/>
          <w:color w:val="auto"/>
          <w:kern w:val="0"/>
          <w:sz w:val="21"/>
          <w:szCs w:val="21"/>
          <w:lang w:val="en-US" w:eastAsia="zh-CN" w:bidi="ar-SA"/>
        </w:rPr>
        <w:t>。</w:t>
      </w:r>
    </w:p>
    <w:p w14:paraId="3194FFE1">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7" w:name="_Toc184285942"/>
      <w:r>
        <w:rPr>
          <w:rFonts w:hint="eastAsia" w:ascii="Arial" w:hAnsi="Arial" w:eastAsia="黑体" w:cs="宋体"/>
          <w:bCs/>
          <w:color w:val="auto"/>
          <w:kern w:val="2"/>
          <w:sz w:val="21"/>
          <w:szCs w:val="21"/>
          <w:lang w:val="zh-CN" w:eastAsia="zh-CN" w:bidi="ar-SA"/>
        </w:rPr>
        <w:t>主动安全</w:t>
      </w:r>
      <w:bookmarkEnd w:id="67"/>
    </w:p>
    <w:p w14:paraId="1B58ACB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平台支持主动安全报警展示和回放，支持DSM、A</w:t>
      </w:r>
      <w:r>
        <w:rPr>
          <w:rFonts w:ascii="Arial" w:hAnsi="Arial" w:eastAsia="宋体" w:cs="Times New Roman"/>
          <w:color w:val="auto"/>
          <w:kern w:val="0"/>
          <w:sz w:val="21"/>
          <w:szCs w:val="21"/>
          <w:lang w:val="en-US" w:eastAsia="zh-CN" w:bidi="ar-SA"/>
        </w:rPr>
        <w:t>DAS</w:t>
      </w:r>
      <w:r>
        <w:rPr>
          <w:rFonts w:hint="eastAsia" w:ascii="Arial" w:hAnsi="Arial" w:eastAsia="宋体" w:cs="Times New Roman"/>
          <w:color w:val="auto"/>
          <w:kern w:val="0"/>
          <w:sz w:val="21"/>
          <w:szCs w:val="21"/>
          <w:lang w:val="en-US" w:eastAsia="zh-CN" w:bidi="ar-SA"/>
        </w:rPr>
        <w:t>等主动安全类报警数据上传，包含报警事件和报警附件。</w:t>
      </w:r>
    </w:p>
    <w:p w14:paraId="746A1DB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t>支持通过时间、设备名称、报警类型、处理状态进行报警筛选，支持报警类型与设备名称多选查询</w:t>
      </w:r>
      <w:r>
        <w:rPr>
          <w:rFonts w:hint="eastAsia" w:ascii="Arial" w:hAnsi="Arial" w:eastAsia="宋体" w:cs="Times New Roman"/>
          <w:color w:val="auto"/>
          <w:kern w:val="0"/>
          <w:sz w:val="21"/>
          <w:szCs w:val="21"/>
          <w:lang w:val="en-US" w:eastAsia="zh-CN" w:bidi="ar-SA"/>
        </w:rPr>
        <w:t>；</w:t>
      </w:r>
    </w:p>
    <w:p w14:paraId="104106B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报警事件：车牌、定位信息、车辆速度、报警等级等；</w:t>
      </w:r>
    </w:p>
    <w:p w14:paraId="351BA90C">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报警附件：抓拍的图片和视频。</w:t>
      </w:r>
    </w:p>
    <w:p w14:paraId="69A11DD0">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8" w:name="_Toc184285943"/>
      <w:r>
        <w:rPr>
          <w:rFonts w:hint="eastAsia" w:ascii="Arial" w:hAnsi="Arial" w:eastAsia="黑体" w:cs="宋体"/>
          <w:bCs/>
          <w:color w:val="auto"/>
          <w:kern w:val="2"/>
          <w:sz w:val="21"/>
          <w:szCs w:val="21"/>
          <w:lang w:val="zh-CN" w:eastAsia="zh-CN" w:bidi="ar-SA"/>
        </w:rPr>
        <w:t>数据统计</w:t>
      </w:r>
      <w:bookmarkEnd w:id="68"/>
    </w:p>
    <w:p w14:paraId="3D03062C">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定位</w:t>
      </w:r>
      <w:r>
        <w:rPr>
          <w:rFonts w:ascii="Arial" w:hAnsi="Arial" w:eastAsia="宋体" w:cs="Times New Roman"/>
          <w:b/>
          <w:color w:val="auto"/>
          <w:kern w:val="0"/>
          <w:sz w:val="21"/>
          <w:szCs w:val="21"/>
          <w:lang w:val="en-US" w:eastAsia="zh-CN" w:bidi="ar-SA"/>
        </w:rPr>
        <w:t>异常统计</w:t>
      </w:r>
      <w:r>
        <w:rPr>
          <w:rFonts w:hint="eastAsia" w:ascii="Arial" w:hAnsi="Arial" w:eastAsia="宋体" w:cs="Times New Roman"/>
          <w:b/>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支持对</w:t>
      </w:r>
      <w:r>
        <w:rPr>
          <w:rFonts w:hint="eastAsia" w:ascii="Arial" w:hAnsi="Arial" w:eastAsia="宋体" w:cs="Times New Roman"/>
          <w:color w:val="auto"/>
          <w:kern w:val="0"/>
          <w:sz w:val="21"/>
          <w:szCs w:val="21"/>
          <w:lang w:val="en-US" w:eastAsia="zh-CN" w:bidi="ar-SA"/>
        </w:rPr>
        <w:t>定位</w:t>
      </w:r>
      <w:r>
        <w:rPr>
          <w:rFonts w:ascii="Arial" w:hAnsi="Arial" w:eastAsia="宋体" w:cs="Times New Roman"/>
          <w:color w:val="auto"/>
          <w:kern w:val="0"/>
          <w:sz w:val="21"/>
          <w:szCs w:val="21"/>
          <w:lang w:val="en-US" w:eastAsia="zh-CN" w:bidi="ar-SA"/>
        </w:rPr>
        <w:t>异常设备进行统计，支持通过设备名称、状态信息、无</w:t>
      </w:r>
      <w:r>
        <w:rPr>
          <w:rFonts w:hint="eastAsia" w:ascii="Arial" w:hAnsi="Arial" w:eastAsia="宋体" w:cs="Times New Roman"/>
          <w:color w:val="auto"/>
          <w:kern w:val="0"/>
          <w:sz w:val="21"/>
          <w:szCs w:val="21"/>
          <w:lang w:val="en-US" w:eastAsia="zh-CN" w:bidi="ar-SA"/>
        </w:rPr>
        <w:t>定位</w:t>
      </w:r>
      <w:r>
        <w:rPr>
          <w:rFonts w:ascii="Arial" w:hAnsi="Arial" w:eastAsia="宋体" w:cs="Times New Roman"/>
          <w:color w:val="auto"/>
          <w:kern w:val="0"/>
          <w:sz w:val="21"/>
          <w:szCs w:val="21"/>
          <w:lang w:val="en-US" w:eastAsia="zh-CN" w:bidi="ar-SA"/>
        </w:rPr>
        <w:t>时长进行查询展示</w:t>
      </w:r>
      <w:r>
        <w:rPr>
          <w:rFonts w:hint="eastAsia" w:ascii="Arial" w:hAnsi="Arial" w:eastAsia="宋体" w:cs="Times New Roman"/>
          <w:color w:val="auto"/>
          <w:kern w:val="0"/>
          <w:sz w:val="21"/>
          <w:szCs w:val="21"/>
          <w:lang w:val="en-US" w:eastAsia="zh-CN" w:bidi="ar-SA"/>
        </w:rPr>
        <w:t>；</w:t>
      </w:r>
    </w:p>
    <w:p w14:paraId="6E299D14">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color w:val="auto"/>
          <w:kern w:val="0"/>
          <w:sz w:val="21"/>
          <w:szCs w:val="21"/>
          <w:lang w:val="en-US" w:eastAsia="zh-CN" w:bidi="ar-SA"/>
        </w:rPr>
        <w:t>离线车辆统计</w:t>
      </w:r>
      <w:r>
        <w:rPr>
          <w:rFonts w:hint="eastAsia" w:ascii="Arial" w:hAnsi="Arial" w:eastAsia="宋体" w:cs="Times New Roman"/>
          <w:b/>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支持展示离线设备的最后位置、最后离线时间与离线</w:t>
      </w:r>
      <w:r>
        <w:rPr>
          <w:rFonts w:hint="eastAsia" w:ascii="Arial" w:hAnsi="Arial" w:eastAsia="宋体" w:cs="Times New Roman"/>
          <w:color w:val="auto"/>
          <w:kern w:val="0"/>
          <w:sz w:val="21"/>
          <w:szCs w:val="21"/>
          <w:lang w:val="en-US" w:eastAsia="zh-CN" w:bidi="ar-SA"/>
        </w:rPr>
        <w:t>时长</w:t>
      </w:r>
      <w:r>
        <w:rPr>
          <w:rFonts w:ascii="Arial" w:hAnsi="Arial" w:eastAsia="宋体" w:cs="Times New Roman"/>
          <w:color w:val="auto"/>
          <w:kern w:val="0"/>
          <w:sz w:val="21"/>
          <w:szCs w:val="21"/>
          <w:lang w:val="en-US" w:eastAsia="zh-CN" w:bidi="ar-SA"/>
        </w:rPr>
        <w:t>的统计</w:t>
      </w:r>
      <w:r>
        <w:rPr>
          <w:rFonts w:hint="eastAsia" w:ascii="Arial" w:hAnsi="Arial" w:eastAsia="宋体" w:cs="Times New Roman"/>
          <w:color w:val="auto"/>
          <w:kern w:val="0"/>
          <w:sz w:val="21"/>
          <w:szCs w:val="21"/>
          <w:lang w:val="en-US" w:eastAsia="zh-CN" w:bidi="ar-SA"/>
        </w:rPr>
        <w:t>；</w:t>
      </w:r>
    </w:p>
    <w:p w14:paraId="5505340F">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zh-CN" w:eastAsia="zh-CN" w:bidi="ar-SA"/>
        </w:rPr>
      </w:pPr>
      <w:r>
        <w:rPr>
          <w:rFonts w:ascii="Arial" w:hAnsi="Arial" w:eastAsia="宋体" w:cs="Times New Roman"/>
          <w:b/>
          <w:color w:val="auto"/>
          <w:kern w:val="0"/>
          <w:sz w:val="21"/>
          <w:szCs w:val="21"/>
          <w:lang w:val="en-US" w:eastAsia="zh-CN" w:bidi="ar-SA"/>
        </w:rPr>
        <w:t>报警车辆统计</w:t>
      </w:r>
      <w:r>
        <w:rPr>
          <w:rFonts w:hint="eastAsia" w:ascii="Arial" w:hAnsi="Arial" w:eastAsia="宋体" w:cs="Times New Roman"/>
          <w:b/>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支持统计设备报警数量、主动安全报警数量与围栏报警数量</w:t>
      </w:r>
      <w:r>
        <w:rPr>
          <w:rFonts w:hint="eastAsia" w:ascii="Arial" w:hAnsi="Arial" w:eastAsia="宋体" w:cs="Times New Roman"/>
          <w:color w:val="auto"/>
          <w:kern w:val="0"/>
          <w:sz w:val="21"/>
          <w:szCs w:val="21"/>
          <w:lang w:val="en-US" w:eastAsia="zh-CN" w:bidi="ar-SA"/>
        </w:rPr>
        <w:t>。</w:t>
      </w:r>
    </w:p>
    <w:p w14:paraId="36FBEDFE">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69" w:name="_Toc184285944"/>
      <w:r>
        <w:rPr>
          <w:rFonts w:hint="eastAsia" w:ascii="Arial" w:hAnsi="Arial" w:eastAsia="黑体" w:cs="宋体"/>
          <w:bCs/>
          <w:color w:val="auto"/>
          <w:kern w:val="2"/>
          <w:sz w:val="21"/>
          <w:szCs w:val="21"/>
          <w:lang w:val="zh-CN" w:eastAsia="zh-CN" w:bidi="ar-SA"/>
        </w:rPr>
        <w:t>基础数据管理</w:t>
      </w:r>
      <w:bookmarkEnd w:id="69"/>
    </w:p>
    <w:p w14:paraId="33325564">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color w:val="auto"/>
          <w:kern w:val="0"/>
          <w:sz w:val="21"/>
          <w:szCs w:val="21"/>
          <w:lang w:val="en-US" w:eastAsia="zh-CN" w:bidi="ar-SA"/>
        </w:rPr>
        <w:t>人员管理</w:t>
      </w:r>
      <w:r>
        <w:rPr>
          <w:rFonts w:hint="eastAsia" w:ascii="Arial" w:hAnsi="Arial" w:eastAsia="宋体" w:cs="Times New Roman"/>
          <w:b/>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支持人员信息添加，包括姓名、工号、组织、状态、性别支持自定义字段来应对不同客户对人</w:t>
      </w:r>
      <w:r>
        <w:rPr>
          <w:rFonts w:hint="eastAsia" w:ascii="Arial" w:hAnsi="Arial" w:eastAsia="宋体" w:cs="Times New Roman"/>
          <w:color w:val="auto"/>
          <w:kern w:val="0"/>
          <w:sz w:val="21"/>
          <w:szCs w:val="21"/>
          <w:lang w:val="en-US" w:eastAsia="zh-CN" w:bidi="ar-SA"/>
        </w:rPr>
        <w:t>员</w:t>
      </w:r>
      <w:r>
        <w:rPr>
          <w:rFonts w:ascii="Arial" w:hAnsi="Arial" w:eastAsia="宋体" w:cs="Times New Roman"/>
          <w:color w:val="auto"/>
          <w:kern w:val="0"/>
          <w:sz w:val="21"/>
          <w:szCs w:val="21"/>
          <w:lang w:val="en-US" w:eastAsia="zh-CN" w:bidi="ar-SA"/>
        </w:rPr>
        <w:t>管理的字段调整</w:t>
      </w:r>
      <w:r>
        <w:rPr>
          <w:rFonts w:hint="eastAsia" w:ascii="Arial" w:hAnsi="Arial" w:eastAsia="宋体" w:cs="Times New Roman"/>
          <w:color w:val="auto"/>
          <w:kern w:val="0"/>
          <w:sz w:val="21"/>
          <w:szCs w:val="21"/>
          <w:lang w:val="en-US" w:eastAsia="zh-CN" w:bidi="ar-SA"/>
        </w:rPr>
        <w:t>。</w:t>
      </w:r>
    </w:p>
    <w:p w14:paraId="1C16D4FA">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color w:val="auto"/>
          <w:kern w:val="0"/>
          <w:sz w:val="21"/>
          <w:szCs w:val="21"/>
          <w:lang w:val="en-US" w:eastAsia="zh-CN" w:bidi="ar-SA"/>
        </w:rPr>
        <w:t>车辆管理</w:t>
      </w:r>
      <w:r>
        <w:rPr>
          <w:rFonts w:hint="eastAsia" w:ascii="Arial" w:hAnsi="Arial" w:eastAsia="宋体" w:cs="Times New Roman"/>
          <w:b/>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支持对车辆信息进行添加，支持司机与车辆进行绑定</w:t>
      </w:r>
    </w:p>
    <w:p w14:paraId="0AB433DA">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70" w:name="_Toc184285945"/>
      <w:r>
        <w:rPr>
          <w:rFonts w:hint="eastAsia" w:ascii="Arial" w:hAnsi="Arial" w:eastAsia="黑体" w:cs="宋体"/>
          <w:bCs/>
          <w:color w:val="auto"/>
          <w:kern w:val="2"/>
          <w:sz w:val="21"/>
          <w:szCs w:val="21"/>
          <w:lang w:val="zh-CN" w:eastAsia="zh-CN" w:bidi="ar-SA"/>
        </w:rPr>
        <w:t>角色权限管理</w:t>
      </w:r>
      <w:bookmarkEnd w:id="70"/>
    </w:p>
    <w:p w14:paraId="5577EF52">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用户权限配置：</w:t>
      </w:r>
      <w:r>
        <w:rPr>
          <w:rFonts w:ascii="Arial" w:hAnsi="Arial" w:eastAsia="宋体" w:cs="Times New Roman"/>
          <w:color w:val="auto"/>
          <w:kern w:val="0"/>
          <w:sz w:val="21"/>
          <w:szCs w:val="21"/>
          <w:lang w:val="en-US" w:eastAsia="zh-CN" w:bidi="ar-SA"/>
        </w:rPr>
        <w:t>通过角色（设备权限、控制权限）管理用户的权限，可以分配用户不同的角色，获取相应的权限</w:t>
      </w:r>
      <w:r>
        <w:rPr>
          <w:rFonts w:hint="eastAsia" w:ascii="Arial" w:hAnsi="Arial" w:eastAsia="宋体" w:cs="Times New Roman"/>
          <w:color w:val="auto"/>
          <w:kern w:val="0"/>
          <w:sz w:val="21"/>
          <w:szCs w:val="21"/>
          <w:lang w:val="en-US" w:eastAsia="zh-CN" w:bidi="ar-SA"/>
        </w:rPr>
        <w:t>。</w:t>
      </w:r>
    </w:p>
    <w:p w14:paraId="726D7996">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用户权限：</w:t>
      </w:r>
      <w:r>
        <w:rPr>
          <w:rFonts w:ascii="Arial" w:hAnsi="Arial" w:eastAsia="宋体" w:cs="Times New Roman"/>
          <w:color w:val="auto"/>
          <w:kern w:val="0"/>
          <w:sz w:val="21"/>
          <w:szCs w:val="21"/>
          <w:lang w:val="en-US" w:eastAsia="zh-CN" w:bidi="ar-SA"/>
        </w:rPr>
        <w:t>用户可以受MAC和时间的限制，为用户设置PTZ权限，支持远程锁定用户，也可以通过导入域用户将角色分配给用户</w:t>
      </w:r>
      <w:r>
        <w:rPr>
          <w:rFonts w:hint="eastAsia" w:ascii="Arial" w:hAnsi="Arial" w:eastAsia="宋体" w:cs="Times New Roman"/>
          <w:color w:val="auto"/>
          <w:kern w:val="0"/>
          <w:sz w:val="21"/>
          <w:szCs w:val="21"/>
          <w:lang w:val="en-US" w:eastAsia="zh-CN" w:bidi="ar-SA"/>
        </w:rPr>
        <w:t>。</w:t>
      </w:r>
    </w:p>
    <w:p w14:paraId="0CD692FC">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color w:val="auto"/>
          <w:kern w:val="0"/>
          <w:sz w:val="21"/>
          <w:szCs w:val="21"/>
          <w:lang w:val="en-US" w:eastAsia="zh-CN" w:bidi="ar-SA"/>
        </w:rPr>
        <w:t>组织管理：</w:t>
      </w:r>
      <w:r>
        <w:rPr>
          <w:rFonts w:ascii="Arial" w:hAnsi="Arial" w:eastAsia="宋体" w:cs="Times New Roman"/>
          <w:color w:val="auto"/>
          <w:kern w:val="0"/>
          <w:sz w:val="21"/>
          <w:szCs w:val="21"/>
          <w:lang w:val="en-US" w:eastAsia="zh-CN" w:bidi="ar-SA"/>
        </w:rPr>
        <w:t>支持部门组织树维护，支持设备按组织树管理</w:t>
      </w:r>
      <w:r>
        <w:rPr>
          <w:rFonts w:hint="eastAsia" w:ascii="Arial" w:hAnsi="Arial" w:eastAsia="宋体" w:cs="Times New Roman"/>
          <w:color w:val="auto"/>
          <w:kern w:val="0"/>
          <w:sz w:val="21"/>
          <w:szCs w:val="21"/>
          <w:lang w:val="en-US" w:eastAsia="zh-CN" w:bidi="ar-SA"/>
        </w:rPr>
        <w:t>。</w:t>
      </w:r>
    </w:p>
    <w:p w14:paraId="4053F974">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bookmarkStart w:id="71" w:name="_Toc184285946"/>
      <w:r>
        <w:rPr>
          <w:rFonts w:hint="eastAsia" w:ascii="Arial" w:hAnsi="Arial" w:eastAsia="黑体" w:cs="宋体"/>
          <w:bCs/>
          <w:color w:val="auto"/>
          <w:kern w:val="2"/>
          <w:sz w:val="21"/>
          <w:szCs w:val="21"/>
          <w:lang w:val="zh-CN" w:eastAsia="zh-CN" w:bidi="ar-SA"/>
        </w:rPr>
        <w:t>大屏展示</w:t>
      </w:r>
      <w:bookmarkEnd w:id="71"/>
    </w:p>
    <w:p w14:paraId="11B9610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color w:val="auto"/>
          <w:kern w:val="0"/>
          <w:sz w:val="21"/>
          <w:szCs w:val="21"/>
          <w:lang w:val="en-US" w:eastAsia="zh-CN" w:bidi="ar-SA"/>
        </w:rPr>
        <w:t>支持通过大屏展示车辆相关数据，支持展示车辆统计信息、里程统计TOP分析、车流趋势分析、报警统计分析</w:t>
      </w:r>
      <w:r>
        <w:rPr>
          <w:rFonts w:hint="eastAsia" w:ascii="Arial" w:hAnsi="Arial" w:eastAsia="宋体" w:cs="Times New Roman"/>
          <w:color w:val="auto"/>
          <w:kern w:val="0"/>
          <w:sz w:val="21"/>
          <w:szCs w:val="21"/>
          <w:lang w:val="en-US" w:eastAsia="zh-CN" w:bidi="ar-SA"/>
        </w:rPr>
        <w:t>。</w:t>
      </w:r>
    </w:p>
    <w:p w14:paraId="207B54E1">
      <w:pPr>
        <w:keepLines w:val="0"/>
        <w:pageBreakBefore w:val="0"/>
        <w:kinsoku/>
        <w:wordWrap/>
        <w:overflowPunct/>
        <w:topLinePunct w:val="0"/>
        <w:autoSpaceDE/>
        <w:autoSpaceDN/>
        <w:bidi w:val="0"/>
        <w:adjustRightInd/>
        <w:snapToGrid/>
        <w:textAlignment w:val="auto"/>
        <w:rPr>
          <w:rFonts w:hint="eastAsia"/>
          <w:color w:val="auto"/>
          <w:sz w:val="21"/>
          <w:szCs w:val="21"/>
        </w:rPr>
      </w:pPr>
    </w:p>
    <w:p w14:paraId="3A24C641">
      <w:pPr>
        <w:keepNext/>
        <w:keepLines w:val="0"/>
        <w:pageBreakBefore w:val="0"/>
        <w:widowControl w:val="0"/>
        <w:numPr>
          <w:ilvl w:val="0"/>
          <w:numId w:val="8"/>
        </w:numPr>
        <w:kinsoku/>
        <w:wordWrap/>
        <w:overflowPunct/>
        <w:topLinePunct w:val="0"/>
        <w:autoSpaceDE/>
        <w:autoSpaceDN/>
        <w:bidi w:val="0"/>
        <w:adjustRightInd/>
        <w:snapToGrid/>
        <w:spacing w:line="360" w:lineRule="auto"/>
        <w:ind w:left="431" w:hanging="431"/>
        <w:jc w:val="left"/>
        <w:textAlignment w:val="auto"/>
        <w:outlineLvl w:val="0"/>
        <w:rPr>
          <w:rFonts w:ascii="Arial" w:hAnsi="Arial" w:eastAsia="黑体" w:cs="宋体"/>
          <w:bCs/>
          <w:color w:val="auto"/>
          <w:kern w:val="0"/>
          <w:sz w:val="21"/>
          <w:szCs w:val="21"/>
          <w:lang w:val="en-US" w:eastAsia="zh-CN" w:bidi="ar-SA"/>
        </w:rPr>
      </w:pPr>
      <w:bookmarkStart w:id="72" w:name="_Toc29758"/>
      <w:r>
        <w:rPr>
          <w:rFonts w:hint="eastAsia" w:ascii="Arial" w:hAnsi="Arial" w:eastAsia="黑体" w:cs="宋体"/>
          <w:bCs/>
          <w:color w:val="auto"/>
          <w:kern w:val="0"/>
          <w:sz w:val="21"/>
          <w:szCs w:val="21"/>
          <w:lang w:val="en-US" w:eastAsia="zh-CN" w:bidi="ar-SA"/>
        </w:rPr>
        <w:t>智慧校车管理平台对接方案</w:t>
      </w:r>
      <w:bookmarkEnd w:id="72"/>
    </w:p>
    <w:p w14:paraId="281A6894">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r>
        <w:rPr>
          <w:rFonts w:hint="eastAsia" w:ascii="Arial" w:hAnsi="Arial" w:eastAsia="黑体" w:cs="宋体"/>
          <w:bCs/>
          <w:color w:val="auto"/>
          <w:kern w:val="2"/>
          <w:sz w:val="21"/>
          <w:szCs w:val="21"/>
          <w:lang w:val="zh-CN" w:eastAsia="zh-CN" w:bidi="ar-SA"/>
        </w:rPr>
        <w:t>概述</w:t>
      </w:r>
    </w:p>
    <w:p w14:paraId="1C1D380C">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宋体"/>
          <w:b/>
          <w:bCs/>
          <w:color w:val="auto"/>
          <w:kern w:val="0"/>
          <w:sz w:val="21"/>
          <w:szCs w:val="21"/>
          <w:lang w:val="en-US" w:eastAsia="zh-CN" w:bidi="ar-SA"/>
        </w:rPr>
      </w:pPr>
      <w:r>
        <w:rPr>
          <w:rFonts w:hint="eastAsia" w:ascii="Arial" w:hAnsi="Arial" w:eastAsia="宋体" w:cs="宋体"/>
          <w:b/>
          <w:bCs/>
          <w:color w:val="auto"/>
          <w:kern w:val="0"/>
          <w:sz w:val="21"/>
          <w:szCs w:val="21"/>
          <w:lang w:val="en-US" w:eastAsia="zh-CN" w:bidi="ar-SA"/>
        </w:rPr>
        <w:t>总体对接要求</w:t>
      </w:r>
    </w:p>
    <w:p w14:paraId="74D38DD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1.投标人所提供车载视频终端，必须完全基于平台现有标准协议体系进行对接集成，不得要求平台进行大规模底层改造。</w:t>
      </w:r>
    </w:p>
    <w:p w14:paraId="0558206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2.终端必须原生支持以下标准协议：</w:t>
      </w:r>
    </w:p>
    <w:p w14:paraId="7D6B0F25">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￮JT/T 794-2019《道路运输车辆卫星定位系统 车载终端技术要求》</w:t>
      </w:r>
    </w:p>
    <w:p w14:paraId="5B1B5A6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￮JT/T 1078-2016《道路运输车辆卫星定位系统 视频通信协议》</w:t>
      </w:r>
    </w:p>
    <w:p w14:paraId="19BFEC5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￮GB/T 19056-2021《汽车行驶记录仪》</w:t>
      </w:r>
    </w:p>
    <w:p w14:paraId="46AF8B9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￮JT/T 808-2019 定位通信协议</w:t>
      </w:r>
    </w:p>
    <w:p w14:paraId="249A32A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3.所有对接工作由车载终端供应商承担全部工作量，包括但不限于：协议适配、接口开发、联调、测试、验收、文档交付。</w:t>
      </w:r>
    </w:p>
    <w:p w14:paraId="7452DF8B">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4.对接完成后，终端数据必须100%无缝接入湖南省“三客一危”平台和岳阳县智慧校车管理平台，实现统一监控、统一管理、统一报警、统一统计。</w:t>
      </w:r>
    </w:p>
    <w:p w14:paraId="5B683D8A">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hint="eastAsia" w:ascii="Arial" w:hAnsi="Arial" w:eastAsia="黑体" w:cs="宋体"/>
          <w:bCs/>
          <w:color w:val="auto"/>
          <w:kern w:val="2"/>
          <w:sz w:val="21"/>
          <w:szCs w:val="21"/>
          <w:lang w:val="zh-CN" w:eastAsia="zh-CN" w:bidi="ar-SA"/>
        </w:rPr>
      </w:pPr>
      <w:r>
        <w:rPr>
          <w:rFonts w:hint="eastAsia" w:ascii="Arial" w:hAnsi="Arial" w:eastAsia="黑体" w:cs="宋体"/>
          <w:bCs/>
          <w:color w:val="auto"/>
          <w:kern w:val="2"/>
          <w:sz w:val="21"/>
          <w:szCs w:val="21"/>
          <w:lang w:val="zh-CN" w:eastAsia="zh-CN" w:bidi="ar-SA"/>
        </w:rPr>
        <w:t>平台对接内容与工作量</w:t>
      </w:r>
    </w:p>
    <w:p w14:paraId="5B0E78B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1. 基础协议对接工作量</w:t>
      </w:r>
    </w:p>
    <w:p w14:paraId="6EC14ABF">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•完成 JT/T 808-2019 全流程适配：注册、鉴权、心跳、位置上报、参数配置、远程升级、故障上报。</w:t>
      </w:r>
    </w:p>
    <w:p w14:paraId="5A77916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•完成 JT/T 1078-2016 视频全功能对接：实时视频、历史视频回放、音视频对讲、云台控制、抓图、录像策略下发、报警联动视频。</w:t>
      </w:r>
    </w:p>
    <w:p w14:paraId="3156E9C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•完成 GB/T 19056-2021 行驶记录仪数据对接：速度、里程、状态、开关量、事故疑点数据上传。</w:t>
      </w:r>
    </w:p>
    <w:p w14:paraId="69AC30C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•提供协议对接说明文档、报文示例、字段对照表、数据字典。</w:t>
      </w:r>
    </w:p>
    <w:p w14:paraId="0728CD7B">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2. 实时监控对接工作量</w:t>
      </w:r>
    </w:p>
    <w:p w14:paraId="2BAEBBA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•车辆在线状态、定位信息、视频状态、报警信息实时上传平台。</w:t>
      </w:r>
    </w:p>
    <w:p w14:paraId="048547F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•平台可实时查看：位置、速度、方向、ACC、车门、油路、电压、信号强度等。</w:t>
      </w:r>
    </w:p>
    <w:p w14:paraId="671F8B7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•多路视频画面在平台实时预览、多窗口轮询、自动重连。</w:t>
      </w:r>
    </w:p>
    <w:p w14:paraId="7E6FCE5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3. 报警对接工作量（必须全覆盖）</w:t>
      </w:r>
    </w:p>
    <w:p w14:paraId="14D55EF5">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•紧急报警</w:t>
      </w:r>
    </w:p>
    <w:p w14:paraId="3DA49089">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•超速报警</w:t>
      </w:r>
    </w:p>
    <w:p w14:paraId="65290F5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•疲劳驾驶报警</w:t>
      </w:r>
    </w:p>
    <w:p w14:paraId="0D1F29D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•路线偏离报警</w:t>
      </w:r>
    </w:p>
    <w:p w14:paraId="77763CE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•进出区域报警</w:t>
      </w:r>
    </w:p>
    <w:p w14:paraId="6CF47E7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•异常开门报警</w:t>
      </w:r>
    </w:p>
    <w:p w14:paraId="08EEDB05">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•视频丢失/遮挡报警</w:t>
      </w:r>
    </w:p>
    <w:p w14:paraId="1A1893F7">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•终端主电断电报警</w:t>
      </w:r>
    </w:p>
    <w:p w14:paraId="6C41A1ED">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•低电压报警</w:t>
      </w:r>
    </w:p>
    <w:p w14:paraId="02B0147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•故障报警</w:t>
      </w:r>
    </w:p>
    <w:p w14:paraId="312CEDF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要求：所有报警带时间、位置、图片/视频片段上传平台，并支持报警联动策略配置。</w:t>
      </w:r>
    </w:p>
    <w:p w14:paraId="60E1F77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4. 视频与录像对接工作量</w:t>
      </w:r>
    </w:p>
    <w:p w14:paraId="5016190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•实时视频：支持 720P/1080P，码率自适应。</w:t>
      </w:r>
    </w:p>
    <w:p w14:paraId="16C2D7A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•历史视频：平台可按时间、通道、报警类型远程检索、回放、下载。</w:t>
      </w:r>
    </w:p>
    <w:p w14:paraId="4D8408CC">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•支持报警触发录像、定时录像、手动录像策略下发与执行。</w:t>
      </w:r>
    </w:p>
    <w:p w14:paraId="48BEAFE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•支持远程抓拍、录像分段上传、断点续传。</w:t>
      </w:r>
    </w:p>
    <w:p w14:paraId="3949FED6">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5. 远程管理对接工作量</w:t>
      </w:r>
    </w:p>
    <w:p w14:paraId="60844733">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•平台远程参数配置：定位间隔、视频参数、报警阈值、录像模式。</w:t>
      </w:r>
    </w:p>
    <w:p w14:paraId="1298F754">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•远程重启、远程关机、远程恢复出厂设置。</w:t>
      </w:r>
    </w:p>
    <w:p w14:paraId="748A5791">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•远程日志提取、状态查询、版本查询、OTA 远程升级。</w:t>
      </w:r>
    </w:p>
    <w:p w14:paraId="2DA13D57">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•校车上车打卡、照管信息、盲区监测、ADAS/DSM 数据扩展对接。</w:t>
      </w:r>
    </w:p>
    <w:p w14:paraId="044EFA1E">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6. 数据统计与台账对接工作量</w:t>
      </w:r>
    </w:p>
    <w:p w14:paraId="22AE2E20">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•行驶里程、时长、车速统计数据按标准格式上传。</w:t>
      </w:r>
    </w:p>
    <w:p w14:paraId="3838482B">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•报警统计、违章统计、视频在线率统计。</w:t>
      </w:r>
    </w:p>
    <w:p w14:paraId="6AF4229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•支持平台自动生成校车安全管理台账、报表。</w:t>
      </w:r>
    </w:p>
    <w:p w14:paraId="74B15A75">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hint="eastAsia" w:ascii="Arial" w:hAnsi="Arial" w:eastAsia="黑体" w:cs="宋体"/>
          <w:bCs/>
          <w:color w:val="auto"/>
          <w:kern w:val="2"/>
          <w:sz w:val="21"/>
          <w:szCs w:val="21"/>
          <w:lang w:val="zh-CN" w:eastAsia="zh-CN" w:bidi="ar-SA"/>
        </w:rPr>
      </w:pPr>
      <w:r>
        <w:rPr>
          <w:rFonts w:hint="eastAsia" w:ascii="Arial" w:hAnsi="Arial" w:eastAsia="黑体" w:cs="宋体"/>
          <w:bCs/>
          <w:color w:val="auto"/>
          <w:kern w:val="2"/>
          <w:sz w:val="21"/>
          <w:szCs w:val="21"/>
          <w:lang w:val="zh-CN" w:eastAsia="zh-CN" w:bidi="ar-SA"/>
        </w:rPr>
        <w:t>平台集成实施与联调工作量要求</w:t>
      </w:r>
    </w:p>
    <w:p w14:paraId="7C14A6AC">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1.供应商负责全部对接开发、调试、测试、问题整改。</w:t>
      </w:r>
    </w:p>
    <w:p w14:paraId="3F4198D8">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2.提供测试车辆、测试终端，配合平台完成功能联调、压力测试、稳定性测试。</w:t>
      </w:r>
    </w:p>
    <w:p w14:paraId="06EB51E2">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3.对接周期内提供专职工程师驻场或实时响应。</w:t>
      </w:r>
    </w:p>
    <w:p w14:paraId="67CA5E45">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4.提供对接测试报告、用例、问题闭环记录。</w:t>
      </w:r>
    </w:p>
    <w:p w14:paraId="262C9209">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宋体"/>
          <w:color w:val="auto"/>
          <w:kern w:val="0"/>
          <w:sz w:val="21"/>
          <w:szCs w:val="21"/>
          <w:lang w:val="en-US" w:eastAsia="zh-CN" w:bidi="ar-SA"/>
        </w:rPr>
      </w:pPr>
      <w:r>
        <w:rPr>
          <w:rFonts w:hint="eastAsia" w:ascii="Arial" w:hAnsi="Arial" w:eastAsia="宋体" w:cs="宋体"/>
          <w:color w:val="auto"/>
          <w:kern w:val="0"/>
          <w:sz w:val="21"/>
          <w:szCs w:val="21"/>
          <w:lang w:val="en-US" w:eastAsia="zh-CN" w:bidi="ar-SA"/>
        </w:rPr>
        <w:t>5.确保接入后平台整体稳定，不出现掉线、数据延迟、视频卡顿、协议不兼容等问题。</w:t>
      </w:r>
    </w:p>
    <w:p w14:paraId="222AF743">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73" w:name="_Toc28636"/>
      <w:r>
        <w:rPr>
          <w:rFonts w:ascii="Arial" w:hAnsi="Arial" w:eastAsia="黑体" w:cs="宋体"/>
          <w:bCs/>
          <w:color w:val="auto"/>
          <w:kern w:val="0"/>
          <w:sz w:val="21"/>
          <w:szCs w:val="21"/>
          <w:lang w:val="en-US" w:eastAsia="zh-CN" w:bidi="ar-SA"/>
        </w:rPr>
        <w:t>实施计划与保障措施</w:t>
      </w:r>
      <w:bookmarkEnd w:id="73"/>
    </w:p>
    <w:p w14:paraId="23217CE8">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r>
        <w:rPr>
          <w:rFonts w:ascii="Arial" w:hAnsi="Arial" w:eastAsia="黑体" w:cs="宋体"/>
          <w:bCs/>
          <w:color w:val="auto"/>
          <w:kern w:val="2"/>
          <w:sz w:val="21"/>
          <w:szCs w:val="21"/>
          <w:lang w:val="zh-CN" w:eastAsia="zh-CN" w:bidi="ar-SA"/>
        </w:rPr>
        <w:t>精细化实施流程</w:t>
      </w:r>
    </w:p>
    <w:p w14:paraId="31ED81EF">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针对校车“周一至周五必须保障运行”的特殊性，制定“零干扰、分批次、错峰施工”实施策略，确保教学秩序不受影响、安全监管不中断。实施过程遵循ISO/IEC 12207（软件生命周期过程标准）和ITIL服务管理框架，建立从入场准备到交付验收的全流程管控机制。</w:t>
      </w:r>
    </w:p>
    <w:p w14:paraId="20C36C6D">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准备期（3天）</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选取县城、丘陵、山区典型线路各1台校车进行全要素测试；采用路测仪表+专业测试工具，对单北斗终端接收灵敏度、星历捕获时间（TTFF）、弱信号环境下的重捕率进行量化分析，重点验证公田镇山区、新开镇林区等复杂地形下的信号稳定性；同步测试4G/5G网络切换时延、视频流媒体传输QoS指标。</w:t>
      </w:r>
    </w:p>
    <w:p w14:paraId="57706F03">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实施期（10天）</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组建5个标准化施工小组，每组配备工程车辆、便携式检测终端、标准化作业工具包；采用网格化排期系统，按乡镇划分作业单元，利用周六、周日及每日17:00后（校车入库时段）进行集中施工；单台终端更换作业严格执行SOP标准化流程，时间控制在30分钟内；施工过程通过移动端工单系统实时上传作业记录、设备序列号、安装照片，实现全流程可追溯。</w:t>
      </w:r>
    </w:p>
    <w:p w14:paraId="47A040EF">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联调期（2天）</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所有车辆上路实测，平台侧建立实时监控大屏，监控指标包括：北斗卫星捕获数量（要求≥8颗）、定位误差（CEP≤5米，95%置信度）、视频流首帧加载时间（≤2秒）、卡顿率（≤3%）、数据上传成功率（≥99.5%）；同步进行并发压力测试，模拟240台车辆同时在线、视频并发上传场景，验证平台承载能力</w:t>
      </w:r>
      <w:r>
        <w:rPr>
          <w:rFonts w:ascii="Arial" w:hAnsi="Arial" w:eastAsia="宋体" w:cs="Times New Roman"/>
          <w:color w:val="auto"/>
          <w:kern w:val="0"/>
          <w:sz w:val="21"/>
          <w:szCs w:val="21"/>
          <w:lang w:val="en-US" w:eastAsia="zh-CN" w:bidi="ar-SA"/>
        </w:rPr>
        <w:t>。</w:t>
      </w:r>
    </w:p>
    <w:p w14:paraId="2F50A11C">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r>
        <w:rPr>
          <w:rFonts w:ascii="Arial" w:hAnsi="Arial" w:eastAsia="黑体" w:cs="宋体"/>
          <w:bCs/>
          <w:color w:val="auto"/>
          <w:kern w:val="2"/>
          <w:sz w:val="21"/>
          <w:szCs w:val="21"/>
          <w:lang w:val="zh-CN" w:eastAsia="zh-CN" w:bidi="ar-SA"/>
        </w:rPr>
        <w:t>质保与应急服务</w:t>
      </w:r>
    </w:p>
    <w:p w14:paraId="02ACB628">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原厂质保</w:t>
      </w:r>
      <w:r>
        <w:rPr>
          <w:rFonts w:ascii="Arial" w:hAnsi="Arial" w:eastAsia="宋体" w:cs="Times New Roman"/>
          <w:color w:val="auto"/>
          <w:kern w:val="0"/>
          <w:sz w:val="21"/>
          <w:szCs w:val="21"/>
          <w:lang w:val="en-US" w:eastAsia="zh-CN" w:bidi="ar-SA"/>
        </w:rPr>
        <w:t>：提供</w:t>
      </w:r>
      <w:r>
        <w:rPr>
          <w:rFonts w:hint="eastAsia" w:ascii="Arial" w:hAnsi="Arial" w:eastAsia="宋体" w:cs="Times New Roman"/>
          <w:color w:val="auto"/>
          <w:kern w:val="0"/>
          <w:sz w:val="21"/>
          <w:szCs w:val="21"/>
          <w:lang w:val="en-US" w:eastAsia="zh-CN" w:bidi="ar-SA"/>
        </w:rPr>
        <w:t>3</w:t>
      </w:r>
      <w:r>
        <w:rPr>
          <w:rFonts w:ascii="Arial" w:hAnsi="Arial" w:eastAsia="宋体" w:cs="Times New Roman"/>
          <w:color w:val="auto"/>
          <w:kern w:val="0"/>
          <w:sz w:val="21"/>
          <w:szCs w:val="21"/>
          <w:lang w:val="en-US" w:eastAsia="zh-CN" w:bidi="ar-SA"/>
        </w:rPr>
        <w:t>年原厂质保，备品备件库设在县教育局，备件率≥5%（</w:t>
      </w:r>
      <w:r>
        <w:rPr>
          <w:rFonts w:hint="eastAsia" w:ascii="Arial" w:hAnsi="Arial" w:eastAsia="宋体" w:cs="Times New Roman"/>
          <w:color w:val="auto"/>
          <w:kern w:val="0"/>
          <w:sz w:val="21"/>
          <w:szCs w:val="21"/>
          <w:lang w:val="en-US" w:eastAsia="zh-CN" w:bidi="ar-SA"/>
        </w:rPr>
        <w:t>根据校车</w:t>
      </w:r>
      <w:r>
        <w:rPr>
          <w:rFonts w:ascii="Arial" w:hAnsi="Arial" w:eastAsia="宋体" w:cs="Times New Roman"/>
          <w:color w:val="auto"/>
          <w:kern w:val="0"/>
          <w:sz w:val="21"/>
          <w:szCs w:val="21"/>
          <w:lang w:val="en-US" w:eastAsia="zh-CN" w:bidi="ar-SA"/>
        </w:rPr>
        <w:t>逐年减少的情况，本次不做备件以节省成本）。</w:t>
      </w:r>
    </w:p>
    <w:p w14:paraId="058707F3">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应急响应：</w:t>
      </w:r>
      <w:r>
        <w:rPr>
          <w:rFonts w:ascii="Arial" w:hAnsi="Arial" w:eastAsia="宋体" w:cs="Times New Roman"/>
          <w:color w:val="auto"/>
          <w:kern w:val="0"/>
          <w:sz w:val="21"/>
          <w:szCs w:val="21"/>
          <w:lang w:val="en-US" w:eastAsia="zh-CN" w:bidi="ar-SA"/>
        </w:rPr>
        <w:t>承诺7×24小时响应。一般故障4小时内修复，重大故障（如平台无法接收某车数据）2小时内出动应急小组。</w:t>
      </w:r>
    </w:p>
    <w:p w14:paraId="73A01B85">
      <w:pPr>
        <w:keepLines w:val="0"/>
        <w:pageBreakBefore w:val="0"/>
        <w:widowControl/>
        <w:kinsoku/>
        <w:wordWrap/>
        <w:overflowPunct/>
        <w:topLinePunct w:val="0"/>
        <w:autoSpaceDE/>
        <w:autoSpaceDN/>
        <w:bidi w:val="0"/>
        <w:adjustRightInd/>
        <w:snapToGrid/>
        <w:spacing w:after="120"/>
        <w:ind w:firstLine="420"/>
        <w:jc w:val="left"/>
        <w:textAlignment w:val="auto"/>
        <w:rPr>
          <w:rFonts w:ascii="宋体" w:hAnsi="宋体" w:eastAsia="宋体" w:cs="宋体"/>
          <w:color w:val="auto"/>
          <w:kern w:val="0"/>
          <w:sz w:val="21"/>
          <w:szCs w:val="21"/>
          <w:lang w:val="en-US" w:eastAsia="zh-CN" w:bidi="ar-SA"/>
        </w:rPr>
      </w:pPr>
      <w:r>
        <w:rPr>
          <w:rFonts w:ascii="Segoe UI" w:hAnsi="Segoe UI" w:eastAsia="Segoe UI" w:cs="Segoe UI"/>
          <w:b/>
          <w:bCs/>
          <w:color w:val="auto"/>
          <w:kern w:val="2"/>
          <w:sz w:val="21"/>
          <w:szCs w:val="21"/>
          <w:shd w:val="clear" w:color="auto" w:fill="FFFFFF"/>
          <w:lang w:val="en-US" w:eastAsia="zh-CN" w:bidi="ar-SA"/>
        </w:rPr>
        <w:t>质量报告</w:t>
      </w:r>
      <w:r>
        <w:rPr>
          <w:rFonts w:ascii="Segoe UI" w:hAnsi="Segoe UI" w:eastAsia="Segoe UI" w:cs="Segoe UI"/>
          <w:color w:val="auto"/>
          <w:kern w:val="0"/>
          <w:sz w:val="21"/>
          <w:szCs w:val="21"/>
          <w:shd w:val="clear" w:color="auto" w:fill="FFFFFF"/>
          <w:lang w:val="en-US" w:eastAsia="zh-CN" w:bidi="ar-SA"/>
        </w:rPr>
        <w:t>：每季度提交《北斗终端运行质量分析报告》，包含：</w:t>
      </w:r>
    </w:p>
    <w:p w14:paraId="2960A5A5">
      <w:pPr>
        <w:keepLines w:val="0"/>
        <w:pageBreakBefore w:val="0"/>
        <w:widowControl/>
        <w:numPr>
          <w:ilvl w:val="0"/>
          <w:numId w:val="11"/>
        </w:numPr>
        <w:kinsoku/>
        <w:wordWrap/>
        <w:overflowPunct/>
        <w:topLinePunct w:val="0"/>
        <w:autoSpaceDE/>
        <w:autoSpaceDN/>
        <w:bidi w:val="0"/>
        <w:adjustRightInd/>
        <w:snapToGrid/>
        <w:ind w:left="425" w:hanging="425"/>
        <w:jc w:val="left"/>
        <w:textAlignment w:val="auto"/>
        <w:rPr>
          <w:rFonts w:ascii="宋体" w:hAnsi="宋体" w:eastAsia="宋体" w:cs="宋体"/>
          <w:color w:val="auto"/>
          <w:kern w:val="0"/>
          <w:sz w:val="21"/>
          <w:szCs w:val="21"/>
          <w:lang w:val="en-US" w:eastAsia="zh-CN" w:bidi="ar-SA"/>
        </w:rPr>
      </w:pPr>
      <w:r>
        <w:rPr>
          <w:rFonts w:ascii="Segoe UI" w:hAnsi="Segoe UI" w:eastAsia="Segoe UI" w:cs="Segoe UI"/>
          <w:b w:val="0"/>
          <w:color w:val="auto"/>
          <w:kern w:val="2"/>
          <w:sz w:val="21"/>
          <w:szCs w:val="21"/>
          <w:shd w:val="clear" w:color="auto" w:fill="FFFFFF"/>
          <w:lang w:val="en-US" w:eastAsia="zh-CN" w:bidi="ar-SA"/>
        </w:rPr>
        <w:t>卫星信号质量分析</w:t>
      </w:r>
      <w:r>
        <w:rPr>
          <w:rFonts w:ascii="Segoe UI" w:hAnsi="Segoe UI" w:eastAsia="Segoe UI" w:cs="Segoe UI"/>
          <w:color w:val="auto"/>
          <w:kern w:val="0"/>
          <w:sz w:val="21"/>
          <w:szCs w:val="21"/>
          <w:shd w:val="clear" w:color="auto" w:fill="FFFFFF"/>
          <w:lang w:val="en-US" w:eastAsia="zh-CN" w:bidi="ar-SA"/>
        </w:rPr>
        <w:t>（平均卫星颗数、信噪比分布、弱信号占比）</w:t>
      </w:r>
    </w:p>
    <w:p w14:paraId="10CC06A9">
      <w:pPr>
        <w:keepLines w:val="0"/>
        <w:pageBreakBefore w:val="0"/>
        <w:widowControl/>
        <w:numPr>
          <w:ilvl w:val="0"/>
          <w:numId w:val="11"/>
        </w:numPr>
        <w:kinsoku/>
        <w:wordWrap/>
        <w:overflowPunct/>
        <w:topLinePunct w:val="0"/>
        <w:autoSpaceDE/>
        <w:autoSpaceDN/>
        <w:bidi w:val="0"/>
        <w:adjustRightInd/>
        <w:snapToGrid/>
        <w:ind w:left="425" w:hanging="425"/>
        <w:jc w:val="left"/>
        <w:textAlignment w:val="auto"/>
        <w:rPr>
          <w:rFonts w:ascii="宋体" w:hAnsi="宋体" w:eastAsia="宋体" w:cs="宋体"/>
          <w:color w:val="auto"/>
          <w:kern w:val="0"/>
          <w:sz w:val="21"/>
          <w:szCs w:val="21"/>
          <w:lang w:val="en-US" w:eastAsia="zh-CN" w:bidi="ar-SA"/>
        </w:rPr>
      </w:pPr>
      <w:r>
        <w:rPr>
          <w:rFonts w:ascii="Segoe UI" w:hAnsi="Segoe UI" w:eastAsia="Segoe UI" w:cs="Segoe UI"/>
          <w:b w:val="0"/>
          <w:color w:val="auto"/>
          <w:kern w:val="2"/>
          <w:sz w:val="21"/>
          <w:szCs w:val="21"/>
          <w:shd w:val="clear" w:color="auto" w:fill="FFFFFF"/>
          <w:lang w:val="en-US" w:eastAsia="zh-CN" w:bidi="ar-SA"/>
        </w:rPr>
        <w:t>设备在线率统计</w:t>
      </w:r>
      <w:r>
        <w:rPr>
          <w:rFonts w:ascii="Segoe UI" w:hAnsi="Segoe UI" w:eastAsia="Segoe UI" w:cs="Segoe UI"/>
          <w:color w:val="auto"/>
          <w:kern w:val="0"/>
          <w:sz w:val="21"/>
          <w:szCs w:val="21"/>
          <w:shd w:val="clear" w:color="auto" w:fill="FFFFFF"/>
          <w:lang w:val="en-US" w:eastAsia="zh-CN" w:bidi="ar-SA"/>
        </w:rPr>
        <w:t>（MTBF、MTTR、离线原因分析）</w:t>
      </w:r>
    </w:p>
    <w:p w14:paraId="5C1E9C99">
      <w:pPr>
        <w:keepLines w:val="0"/>
        <w:pageBreakBefore w:val="0"/>
        <w:widowControl/>
        <w:numPr>
          <w:ilvl w:val="0"/>
          <w:numId w:val="11"/>
        </w:numPr>
        <w:kinsoku/>
        <w:wordWrap/>
        <w:overflowPunct/>
        <w:topLinePunct w:val="0"/>
        <w:autoSpaceDE/>
        <w:autoSpaceDN/>
        <w:bidi w:val="0"/>
        <w:adjustRightInd/>
        <w:snapToGrid/>
        <w:ind w:left="425" w:hanging="425"/>
        <w:jc w:val="left"/>
        <w:textAlignment w:val="auto"/>
        <w:rPr>
          <w:rFonts w:ascii="宋体" w:hAnsi="宋体" w:eastAsia="宋体" w:cs="宋体"/>
          <w:color w:val="auto"/>
          <w:kern w:val="0"/>
          <w:sz w:val="21"/>
          <w:szCs w:val="21"/>
          <w:lang w:val="en-US" w:eastAsia="zh-CN" w:bidi="ar-SA"/>
        </w:rPr>
      </w:pPr>
      <w:r>
        <w:rPr>
          <w:rFonts w:ascii="Segoe UI" w:hAnsi="Segoe UI" w:eastAsia="Segoe UI" w:cs="Segoe UI"/>
          <w:b w:val="0"/>
          <w:color w:val="auto"/>
          <w:kern w:val="2"/>
          <w:sz w:val="21"/>
          <w:szCs w:val="21"/>
          <w:shd w:val="clear" w:color="auto" w:fill="FFFFFF"/>
          <w:lang w:val="en-US" w:eastAsia="zh-CN" w:bidi="ar-SA"/>
        </w:rPr>
        <w:t>故障分类与根因分析</w:t>
      </w:r>
      <w:r>
        <w:rPr>
          <w:rFonts w:ascii="Segoe UI" w:hAnsi="Segoe UI" w:eastAsia="Segoe UI" w:cs="Segoe UI"/>
          <w:color w:val="auto"/>
          <w:kern w:val="0"/>
          <w:sz w:val="21"/>
          <w:szCs w:val="21"/>
          <w:shd w:val="clear" w:color="auto" w:fill="FFFFFF"/>
          <w:lang w:val="en-US" w:eastAsia="zh-CN" w:bidi="ar-SA"/>
        </w:rPr>
        <w:t>（硬件故障、通信故障、安装问题等）</w:t>
      </w:r>
    </w:p>
    <w:p w14:paraId="330F403D">
      <w:pPr>
        <w:keepLines w:val="0"/>
        <w:pageBreakBefore w:val="0"/>
        <w:widowControl/>
        <w:numPr>
          <w:ilvl w:val="0"/>
          <w:numId w:val="11"/>
        </w:numPr>
        <w:kinsoku/>
        <w:wordWrap/>
        <w:overflowPunct/>
        <w:topLinePunct w:val="0"/>
        <w:autoSpaceDE/>
        <w:autoSpaceDN/>
        <w:bidi w:val="0"/>
        <w:adjustRightInd/>
        <w:snapToGrid/>
        <w:ind w:left="425" w:hanging="425"/>
        <w:jc w:val="left"/>
        <w:textAlignment w:val="auto"/>
        <w:rPr>
          <w:rFonts w:ascii="宋体" w:hAnsi="宋体" w:eastAsia="宋体" w:cs="宋体"/>
          <w:color w:val="auto"/>
          <w:kern w:val="0"/>
          <w:sz w:val="21"/>
          <w:szCs w:val="21"/>
          <w:lang w:val="en-US" w:eastAsia="zh-CN" w:bidi="ar-SA"/>
        </w:rPr>
      </w:pPr>
      <w:r>
        <w:rPr>
          <w:rFonts w:ascii="Segoe UI" w:hAnsi="Segoe UI" w:eastAsia="Segoe UI" w:cs="Segoe UI"/>
          <w:b w:val="0"/>
          <w:color w:val="auto"/>
          <w:kern w:val="2"/>
          <w:sz w:val="21"/>
          <w:szCs w:val="21"/>
          <w:shd w:val="clear" w:color="auto" w:fill="FFFFFF"/>
          <w:lang w:val="en-US" w:eastAsia="zh-CN" w:bidi="ar-SA"/>
        </w:rPr>
        <w:t>优化建议</w:t>
      </w:r>
      <w:r>
        <w:rPr>
          <w:rFonts w:ascii="Segoe UI" w:hAnsi="Segoe UI" w:eastAsia="Segoe UI" w:cs="Segoe UI"/>
          <w:color w:val="auto"/>
          <w:kern w:val="0"/>
          <w:sz w:val="21"/>
          <w:szCs w:val="21"/>
          <w:shd w:val="clear" w:color="auto" w:fill="FFFFFF"/>
          <w:lang w:val="en-US" w:eastAsia="zh-CN" w:bidi="ar-SA"/>
        </w:rPr>
        <w:t>（信号盲区补点建议、天线安装位置优化等）</w:t>
      </w:r>
    </w:p>
    <w:p w14:paraId="380342B1">
      <w:pPr>
        <w:keepLines w:val="0"/>
        <w:pageBreakBefore w:val="0"/>
        <w:widowControl/>
        <w:kinsoku/>
        <w:wordWrap/>
        <w:overflowPunct/>
        <w:topLinePunct w:val="0"/>
        <w:autoSpaceDE/>
        <w:autoSpaceDN/>
        <w:bidi w:val="0"/>
        <w:adjustRightInd/>
        <w:snapToGrid/>
        <w:spacing w:before="90" w:after="100" w:afterAutospacing="1"/>
        <w:textAlignment w:val="auto"/>
        <w:rPr>
          <w:rFonts w:eastAsia="宋体" w:cs="宋体"/>
          <w:color w:val="auto"/>
          <w:sz w:val="21"/>
          <w:szCs w:val="21"/>
        </w:rPr>
      </w:pPr>
    </w:p>
    <w:p w14:paraId="2728D0E5">
      <w:pPr>
        <w:keepNext/>
        <w:keepLines w:val="0"/>
        <w:pageBreakBefore w:val="0"/>
        <w:widowControl w:val="0"/>
        <w:numPr>
          <w:ilvl w:val="0"/>
          <w:numId w:val="8"/>
        </w:numPr>
        <w:kinsoku/>
        <w:wordWrap/>
        <w:overflowPunct/>
        <w:topLinePunct w:val="0"/>
        <w:autoSpaceDE/>
        <w:autoSpaceDN/>
        <w:bidi w:val="0"/>
        <w:adjustRightInd/>
        <w:snapToGrid/>
        <w:spacing w:line="360" w:lineRule="auto"/>
        <w:jc w:val="left"/>
        <w:textAlignment w:val="auto"/>
        <w:outlineLvl w:val="0"/>
        <w:rPr>
          <w:rFonts w:ascii="Arial" w:hAnsi="Arial" w:eastAsia="黑体" w:cs="宋体"/>
          <w:bCs/>
          <w:color w:val="auto"/>
          <w:kern w:val="0"/>
          <w:sz w:val="21"/>
          <w:szCs w:val="21"/>
          <w:lang w:val="en-US" w:eastAsia="zh-CN" w:bidi="ar-SA"/>
        </w:rPr>
      </w:pPr>
      <w:bookmarkStart w:id="74" w:name="_Toc28083"/>
      <w:r>
        <w:rPr>
          <w:rFonts w:ascii="Arial" w:hAnsi="Arial" w:eastAsia="黑体" w:cs="宋体"/>
          <w:bCs/>
          <w:color w:val="auto"/>
          <w:kern w:val="0"/>
          <w:sz w:val="21"/>
          <w:szCs w:val="21"/>
          <w:lang w:val="en-US" w:eastAsia="zh-CN" w:bidi="ar-SA"/>
        </w:rPr>
        <w:t>预期成效与</w:t>
      </w:r>
      <w:r>
        <w:rPr>
          <w:rFonts w:hint="eastAsia" w:ascii="Arial" w:hAnsi="Arial" w:eastAsia="黑体" w:cs="宋体"/>
          <w:bCs/>
          <w:color w:val="auto"/>
          <w:kern w:val="0"/>
          <w:sz w:val="21"/>
          <w:szCs w:val="21"/>
          <w:lang w:val="en-US" w:eastAsia="zh-CN" w:bidi="ar-SA"/>
        </w:rPr>
        <w:t>数据</w:t>
      </w:r>
      <w:r>
        <w:rPr>
          <w:rFonts w:ascii="Arial" w:hAnsi="Arial" w:eastAsia="黑体" w:cs="宋体"/>
          <w:bCs/>
          <w:color w:val="auto"/>
          <w:kern w:val="0"/>
          <w:sz w:val="21"/>
          <w:szCs w:val="21"/>
          <w:lang w:val="en-US" w:eastAsia="zh-CN" w:bidi="ar-SA"/>
        </w:rPr>
        <w:t>安全</w:t>
      </w:r>
      <w:bookmarkEnd w:id="74"/>
    </w:p>
    <w:p w14:paraId="1F40553F">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r>
        <w:rPr>
          <w:rFonts w:ascii="Arial" w:hAnsi="Arial" w:eastAsia="黑体" w:cs="宋体"/>
          <w:bCs/>
          <w:color w:val="auto"/>
          <w:kern w:val="2"/>
          <w:sz w:val="21"/>
          <w:szCs w:val="21"/>
          <w:lang w:val="zh-CN" w:eastAsia="zh-CN" w:bidi="ar-SA"/>
        </w:rPr>
        <w:t xml:space="preserve"> 预期成效</w:t>
      </w:r>
    </w:p>
    <w:p w14:paraId="23279C71">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信创替代率</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核心部件国产化率100%：全县240台校车车载终端实现从定位模组到通信射频单元的全产业链国产化替代，彻底消除基于传统定位的潜在供应链风险与定位服务不可控隐患。</w:t>
      </w:r>
    </w:p>
    <w:p w14:paraId="1515F5A9">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自主标准全面适配</w:t>
      </w:r>
      <w:r>
        <w:rPr>
          <w:rFonts w:hint="eastAsia" w:ascii="Arial" w:hAnsi="Arial" w:eastAsia="宋体" w:cs="Times New Roman"/>
          <w:color w:val="auto"/>
          <w:kern w:val="0"/>
          <w:sz w:val="21"/>
          <w:szCs w:val="21"/>
          <w:lang w:val="en-US" w:eastAsia="zh-CN" w:bidi="ar-SA"/>
        </w:rPr>
        <w:t>：终端核心算法全面支持北斗三号系统B1C/B2a新信号，同时向下兼容北斗二号，确保在极端条件下仍可接入北斗三代卫星，实现定位主权回归。</w:t>
      </w:r>
    </w:p>
    <w:p w14:paraId="16CFB6F2">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产业链带动</w:t>
      </w:r>
      <w:r>
        <w:rPr>
          <w:rFonts w:hint="eastAsia" w:ascii="Arial" w:hAnsi="Arial" w:eastAsia="宋体" w:cs="Times New Roman"/>
          <w:color w:val="auto"/>
          <w:kern w:val="0"/>
          <w:sz w:val="21"/>
          <w:szCs w:val="21"/>
          <w:lang w:val="en-US" w:eastAsia="zh-CN" w:bidi="ar-SA"/>
        </w:rPr>
        <w:t>：本项目成为县域首个规模化信创交通示范案例，为后续公务车、公交、三客一危车辆国产化替代提供可复制的技术路径与实施经验。</w:t>
      </w:r>
      <w:r>
        <w:rPr>
          <w:rFonts w:ascii="Arial" w:hAnsi="Arial" w:eastAsia="宋体" w:cs="Times New Roman"/>
          <w:b/>
          <w:bCs/>
          <w:color w:val="auto"/>
          <w:kern w:val="0"/>
          <w:sz w:val="21"/>
          <w:szCs w:val="21"/>
          <w:lang w:val="en-US" w:eastAsia="zh-CN" w:bidi="ar-SA"/>
        </w:rPr>
        <w:t>数据存储达标</w:t>
      </w:r>
      <w:r>
        <w:rPr>
          <w:rFonts w:ascii="Arial" w:hAnsi="Arial" w:eastAsia="宋体" w:cs="Times New Roman"/>
          <w:color w:val="auto"/>
          <w:kern w:val="0"/>
          <w:sz w:val="21"/>
          <w:szCs w:val="21"/>
          <w:lang w:val="en-US" w:eastAsia="zh-CN" w:bidi="ar-SA"/>
        </w:rPr>
        <w:t>：</w:t>
      </w:r>
      <w:r>
        <w:rPr>
          <w:rFonts w:hint="eastAsia" w:ascii="Arial" w:hAnsi="Arial" w:eastAsia="宋体" w:cs="Times New Roman"/>
          <w:color w:val="auto"/>
          <w:kern w:val="0"/>
          <w:sz w:val="21"/>
          <w:szCs w:val="21"/>
          <w:lang w:val="en-US" w:eastAsia="zh-CN" w:bidi="ar-SA"/>
        </w:rPr>
        <w:t>512</w:t>
      </w:r>
      <w:r>
        <w:rPr>
          <w:rFonts w:ascii="Arial" w:hAnsi="Arial" w:eastAsia="宋体" w:cs="Times New Roman"/>
          <w:color w:val="auto"/>
          <w:kern w:val="0"/>
          <w:sz w:val="21"/>
          <w:szCs w:val="21"/>
          <w:lang w:val="en-US" w:eastAsia="zh-CN" w:bidi="ar-SA"/>
        </w:rPr>
        <w:t>GB SSD可支持6路1080P视频连续存储≥35天，若启用H.265编码+混合存储策略，可满足未来拓展至60-90天的监管需求。</w:t>
      </w:r>
    </w:p>
    <w:p w14:paraId="20C5560F">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系统稳定性</w:t>
      </w:r>
      <w:r>
        <w:rPr>
          <w:rFonts w:ascii="Arial" w:hAnsi="Arial" w:eastAsia="宋体" w:cs="Times New Roman"/>
          <w:color w:val="auto"/>
          <w:kern w:val="0"/>
          <w:sz w:val="21"/>
          <w:szCs w:val="21"/>
          <w:lang w:val="en-US" w:eastAsia="zh-CN" w:bidi="ar-SA"/>
        </w:rPr>
        <w:t>：北斗信号在县域范围内的覆盖率不低于原</w:t>
      </w:r>
      <w:r>
        <w:rPr>
          <w:rFonts w:hint="eastAsia" w:ascii="Arial" w:hAnsi="Arial" w:eastAsia="宋体" w:cs="Times New Roman"/>
          <w:color w:val="auto"/>
          <w:kern w:val="0"/>
          <w:sz w:val="21"/>
          <w:szCs w:val="21"/>
          <w:lang w:val="en-US" w:eastAsia="zh-CN" w:bidi="ar-SA"/>
        </w:rPr>
        <w:t>来的定位</w:t>
      </w:r>
      <w:r>
        <w:rPr>
          <w:rFonts w:ascii="Arial" w:hAnsi="Arial" w:eastAsia="宋体" w:cs="Times New Roman"/>
          <w:color w:val="auto"/>
          <w:kern w:val="0"/>
          <w:sz w:val="21"/>
          <w:szCs w:val="21"/>
          <w:lang w:val="en-US" w:eastAsia="zh-CN" w:bidi="ar-SA"/>
        </w:rPr>
        <w:t>系统，定位数据上传成功率保持在99.9%以上。</w:t>
      </w:r>
    </w:p>
    <w:p w14:paraId="107C6FE4">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超长时循环存储能力</w:t>
      </w:r>
      <w:r>
        <w:rPr>
          <w:rFonts w:hint="eastAsia" w:ascii="Arial" w:hAnsi="Arial" w:eastAsia="宋体" w:cs="Times New Roman"/>
          <w:color w:val="auto"/>
          <w:kern w:val="0"/>
          <w:sz w:val="21"/>
          <w:szCs w:val="21"/>
          <w:lang w:val="en-US" w:eastAsia="zh-CN" w:bidi="ar-SA"/>
        </w:rPr>
        <w:t>：配置512GB SSD，支持6路1080P高清视频全天候连续存储≥35天；若启用H.265+智能编码（ROI编码+场景自适应码率），在同等画质下可进一步降低30%码率，满足未来监管需求扩展至60-90天的弹性空间。</w:t>
      </w:r>
    </w:p>
    <w:p w14:paraId="4D3C7218">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存储冗余</w:t>
      </w:r>
      <w:r>
        <w:rPr>
          <w:rFonts w:hint="eastAsia" w:ascii="Arial" w:hAnsi="Arial" w:eastAsia="宋体" w:cs="Times New Roman"/>
          <w:color w:val="auto"/>
          <w:kern w:val="0"/>
          <w:sz w:val="21"/>
          <w:szCs w:val="21"/>
          <w:lang w:val="en-US" w:eastAsia="zh-CN" w:bidi="ar-SA"/>
        </w:rPr>
        <w:t>：单盘坏道自动隔离，关键视频片段（如碰撞事件前后各30秒）采用双备份存储，确保证据链完整性。</w:t>
      </w:r>
    </w:p>
    <w:p w14:paraId="556A7AE0">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视频加密与防篡改</w:t>
      </w:r>
      <w:r>
        <w:rPr>
          <w:rFonts w:hint="eastAsia" w:ascii="Arial" w:hAnsi="Arial" w:eastAsia="宋体" w:cs="Times New Roman"/>
          <w:color w:val="auto"/>
          <w:kern w:val="0"/>
          <w:sz w:val="21"/>
          <w:szCs w:val="21"/>
          <w:lang w:val="en-US" w:eastAsia="zh-CN" w:bidi="ar-SA"/>
        </w:rPr>
        <w:t>：存储视频采用国密算法加密，视频流嵌入哈希校验值，剪辑篡改均可被平台自动识别，满足取证要求。</w:t>
      </w:r>
    </w:p>
    <w:p w14:paraId="03C6814D">
      <w:pPr>
        <w:keepNext/>
        <w:keepLines w:val="0"/>
        <w:pageBreakBefore w:val="0"/>
        <w:widowControl w:val="0"/>
        <w:numPr>
          <w:ilvl w:val="1"/>
          <w:numId w:val="8"/>
        </w:numPr>
        <w:kinsoku/>
        <w:wordWrap/>
        <w:overflowPunct/>
        <w:topLinePunct w:val="0"/>
        <w:autoSpaceDE/>
        <w:autoSpaceDN/>
        <w:bidi w:val="0"/>
        <w:adjustRightInd/>
        <w:snapToGrid/>
        <w:spacing w:before="240" w:after="120" w:line="360" w:lineRule="auto"/>
        <w:jc w:val="left"/>
        <w:textAlignment w:val="auto"/>
        <w:outlineLvl w:val="1"/>
        <w:rPr>
          <w:rFonts w:ascii="Arial" w:hAnsi="Arial" w:eastAsia="黑体" w:cs="宋体"/>
          <w:bCs/>
          <w:color w:val="auto"/>
          <w:kern w:val="2"/>
          <w:sz w:val="21"/>
          <w:szCs w:val="21"/>
          <w:lang w:val="zh-CN" w:eastAsia="zh-CN" w:bidi="ar-SA"/>
        </w:rPr>
      </w:pPr>
      <w:r>
        <w:rPr>
          <w:rFonts w:hint="eastAsia" w:ascii="Arial" w:hAnsi="Arial" w:eastAsia="黑体" w:cs="宋体"/>
          <w:bCs/>
          <w:color w:val="auto"/>
          <w:kern w:val="2"/>
          <w:sz w:val="21"/>
          <w:szCs w:val="21"/>
          <w:lang w:val="zh-CN" w:eastAsia="zh-CN" w:bidi="ar-SA"/>
        </w:rPr>
        <w:t>数据</w:t>
      </w:r>
      <w:r>
        <w:rPr>
          <w:rFonts w:ascii="Arial" w:hAnsi="Arial" w:eastAsia="黑体" w:cs="宋体"/>
          <w:bCs/>
          <w:color w:val="auto"/>
          <w:kern w:val="2"/>
          <w:sz w:val="21"/>
          <w:szCs w:val="21"/>
          <w:lang w:val="zh-CN" w:eastAsia="zh-CN" w:bidi="ar-SA"/>
        </w:rPr>
        <w:t>安全</w:t>
      </w:r>
    </w:p>
    <w:p w14:paraId="1DD43ECA">
      <w:pPr>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color w:val="auto"/>
          <w:kern w:val="0"/>
          <w:sz w:val="21"/>
          <w:szCs w:val="21"/>
          <w:lang w:val="en-US" w:eastAsia="zh-CN" w:bidi="ar-SA"/>
        </w:rPr>
        <w:t>为保障校车北斗定位数据、视频及运行状态信息的安全性，本项目严格遵循《中华人民共和国数据安全法》《中华人民共和国个人信息保护法》及交通运输行业相关安全规范。在明确数据主权归属、接口开放合规、廉洁节约管理的基础上，充分利旧客户机房已部署的安全网关产品，从网络、终端、数据、运维四个层面构建“云边端联动”的立体安全防护体系。</w:t>
      </w:r>
    </w:p>
    <w:p w14:paraId="6B14956A">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数据</w:t>
      </w:r>
      <w:r>
        <w:rPr>
          <w:rFonts w:hint="eastAsia" w:ascii="Arial" w:hAnsi="Arial" w:eastAsia="宋体" w:cs="Times New Roman"/>
          <w:b/>
          <w:bCs/>
          <w:color w:val="auto"/>
          <w:kern w:val="0"/>
          <w:sz w:val="21"/>
          <w:szCs w:val="21"/>
          <w:lang w:val="en-US" w:eastAsia="zh-CN" w:bidi="ar-SA"/>
        </w:rPr>
        <w:t>保护</w:t>
      </w:r>
      <w:r>
        <w:rPr>
          <w:rFonts w:ascii="Arial" w:hAnsi="Arial" w:eastAsia="宋体" w:cs="Times New Roman"/>
          <w:b/>
          <w:bCs/>
          <w:color w:val="auto"/>
          <w:kern w:val="0"/>
          <w:sz w:val="21"/>
          <w:szCs w:val="21"/>
          <w:lang w:val="en-US" w:eastAsia="zh-CN" w:bidi="ar-SA"/>
        </w:rPr>
        <w:t>：</w:t>
      </w:r>
      <w:r>
        <w:rPr>
          <w:rFonts w:ascii="Arial" w:hAnsi="Arial" w:eastAsia="宋体" w:cs="Times New Roman"/>
          <w:color w:val="auto"/>
          <w:kern w:val="0"/>
          <w:sz w:val="21"/>
          <w:szCs w:val="21"/>
          <w:lang w:val="en-US" w:eastAsia="zh-CN" w:bidi="ar-SA"/>
        </w:rPr>
        <w:t>改造后所有校车定位数据归属国家所有，仅用于校车安全监管及政府公共管理，不以任何形式向境外机构或个人提供。</w:t>
      </w:r>
      <w:r>
        <w:rPr>
          <w:rFonts w:hint="eastAsia" w:ascii="Arial" w:hAnsi="Arial" w:eastAsia="宋体" w:cs="Times New Roman"/>
          <w:color w:val="auto"/>
          <w:kern w:val="0"/>
          <w:sz w:val="21"/>
          <w:szCs w:val="21"/>
          <w:lang w:val="en-US" w:eastAsia="zh-CN" w:bidi="ar-SA"/>
        </w:rPr>
        <w:t>在校车终端与平台之间的通信链路中，依托安全网关的访问控制与行为管理功能，配置白名单策略，仅允许校车数据发往指定的县/市监管平台IP地址段，禁止向境外IP地址或未授权的第三方服务器发送任何数据包。</w:t>
      </w:r>
    </w:p>
    <w:p w14:paraId="0B4E5F4A">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接口开放：</w:t>
      </w:r>
      <w:r>
        <w:rPr>
          <w:rFonts w:ascii="Arial" w:hAnsi="Arial" w:eastAsia="宋体" w:cs="Times New Roman"/>
          <w:color w:val="auto"/>
          <w:kern w:val="0"/>
          <w:sz w:val="21"/>
          <w:szCs w:val="21"/>
          <w:lang w:val="en-US" w:eastAsia="zh-CN" w:bidi="ar-SA"/>
        </w:rPr>
        <w:t>县平台将按照市大数据局制定的《政务数据共享交换标准》，实时、全量推送校车北斗轨迹数据，支持市级层面的数据汇聚与挖掘。</w:t>
      </w:r>
    </w:p>
    <w:p w14:paraId="38BF98CA">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ascii="Arial" w:hAnsi="Arial" w:eastAsia="宋体" w:cs="Times New Roman"/>
          <w:b/>
          <w:bCs/>
          <w:color w:val="auto"/>
          <w:kern w:val="0"/>
          <w:sz w:val="21"/>
          <w:szCs w:val="21"/>
          <w:lang w:val="en-US" w:eastAsia="zh-CN" w:bidi="ar-SA"/>
        </w:rPr>
        <w:t>廉洁节约：</w:t>
      </w:r>
      <w:r>
        <w:rPr>
          <w:rFonts w:ascii="Arial" w:hAnsi="Arial" w:eastAsia="宋体" w:cs="Times New Roman"/>
          <w:color w:val="auto"/>
          <w:kern w:val="0"/>
          <w:sz w:val="21"/>
          <w:szCs w:val="21"/>
          <w:lang w:val="en-US" w:eastAsia="zh-CN" w:bidi="ar-SA"/>
        </w:rPr>
        <w:t>本项目严格遵循政府采购流程，坚决杜绝“豪华采购”、“搭车采购”。所有利旧资产登记造册，接受</w:t>
      </w:r>
      <w:r>
        <w:rPr>
          <w:rFonts w:hint="eastAsia" w:ascii="Arial" w:hAnsi="Arial" w:eastAsia="宋体" w:cs="Times New Roman"/>
          <w:color w:val="auto"/>
          <w:kern w:val="0"/>
          <w:sz w:val="21"/>
          <w:szCs w:val="21"/>
          <w:lang w:val="en-US" w:eastAsia="zh-CN" w:bidi="ar-SA"/>
        </w:rPr>
        <w:t>政府相关</w:t>
      </w:r>
      <w:r>
        <w:rPr>
          <w:rFonts w:ascii="Arial" w:hAnsi="Arial" w:eastAsia="宋体" w:cs="Times New Roman"/>
          <w:color w:val="auto"/>
          <w:kern w:val="0"/>
          <w:sz w:val="21"/>
          <w:szCs w:val="21"/>
          <w:lang w:val="en-US" w:eastAsia="zh-CN" w:bidi="ar-SA"/>
        </w:rPr>
        <w:t>部门全程</w:t>
      </w:r>
      <w:r>
        <w:rPr>
          <w:rFonts w:hint="eastAsia" w:ascii="Arial" w:hAnsi="Arial" w:eastAsia="宋体" w:cs="Times New Roman"/>
          <w:color w:val="auto"/>
          <w:kern w:val="0"/>
          <w:sz w:val="21"/>
          <w:szCs w:val="21"/>
          <w:lang w:val="en-US" w:eastAsia="zh-CN" w:bidi="ar-SA"/>
        </w:rPr>
        <w:t>监管。</w:t>
      </w:r>
    </w:p>
    <w:p w14:paraId="54BE7CBE">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Arial" w:hAnsi="Arial" w:eastAsia="宋体" w:cs="Times New Roman"/>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行为管理与审计</w:t>
      </w:r>
      <w:r>
        <w:rPr>
          <w:rFonts w:hint="eastAsia" w:ascii="Arial" w:hAnsi="Arial" w:eastAsia="宋体" w:cs="Times New Roman"/>
          <w:color w:val="auto"/>
          <w:kern w:val="0"/>
          <w:sz w:val="21"/>
          <w:szCs w:val="21"/>
          <w:lang w:val="en-US" w:eastAsia="zh-CN" w:bidi="ar-SA"/>
        </w:rPr>
        <w:t>：所有校车数据推送操作均纳入安全网关的行为管理，记录每次推送的数据量、时间、结果。审计日志同步至平台，满足数据交换全流程可追溯。</w:t>
      </w:r>
    </w:p>
    <w:p w14:paraId="397F785F">
      <w:pPr>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Arial" w:hAnsi="Arial" w:eastAsia="宋体" w:cs="Times New Roman"/>
          <w:b/>
          <w:bCs/>
          <w:color w:val="auto"/>
          <w:kern w:val="0"/>
          <w:sz w:val="21"/>
          <w:szCs w:val="21"/>
          <w:lang w:val="en-US" w:eastAsia="zh-CN" w:bidi="ar-SA"/>
        </w:rPr>
      </w:pPr>
      <w:r>
        <w:rPr>
          <w:rFonts w:hint="eastAsia" w:ascii="Arial" w:hAnsi="Arial" w:eastAsia="宋体" w:cs="Times New Roman"/>
          <w:b/>
          <w:bCs/>
          <w:color w:val="auto"/>
          <w:kern w:val="0"/>
          <w:sz w:val="21"/>
          <w:szCs w:val="21"/>
          <w:lang w:val="en-US" w:eastAsia="zh-CN" w:bidi="ar-SA"/>
        </w:rPr>
        <w:t>单北斗终端合规</w:t>
      </w:r>
      <w:r>
        <w:rPr>
          <w:rFonts w:hint="eastAsia" w:ascii="Arial" w:hAnsi="Arial" w:eastAsia="宋体" w:cs="Times New Roman"/>
          <w:color w:val="auto"/>
          <w:kern w:val="0"/>
          <w:sz w:val="21"/>
          <w:szCs w:val="21"/>
          <w:lang w:val="en-US" w:eastAsia="zh-CN" w:bidi="ar-SA"/>
        </w:rPr>
        <w:t>：要求终端设备入围财政部办公厅、工信部办公厅相关北斗产品政府采购目录</w:t>
      </w:r>
      <w:r>
        <w:rPr>
          <w:rFonts w:hint="eastAsia" w:ascii="Arial" w:hAnsi="Arial" w:eastAsia="宋体" w:cs="Times New Roman"/>
          <w:b/>
          <w:bCs/>
          <w:color w:val="auto"/>
          <w:kern w:val="0"/>
          <w:sz w:val="21"/>
          <w:szCs w:val="21"/>
          <w:lang w:val="en-US" w:eastAsia="zh-CN" w:bidi="ar-SA"/>
        </w:rPr>
        <w:t>。</w:t>
      </w:r>
    </w:p>
    <w:p w14:paraId="636E4DC3">
      <w:pPr>
        <w:keepNext w:val="0"/>
        <w:keepLines/>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0"/>
        <w:rPr>
          <w:rFonts w:hint="eastAsia" w:ascii="宋体" w:hAnsi="宋体" w:eastAsia="宋体" w:cs="宋体"/>
          <w:b/>
          <w:bCs w:val="0"/>
          <w:kern w:val="0"/>
          <w:sz w:val="21"/>
          <w:szCs w:val="21"/>
          <w:lang w:val="en-US" w:eastAsia="zh-CN" w:bidi="ar-SA"/>
        </w:rPr>
      </w:pPr>
      <w:r>
        <w:rPr>
          <w:rFonts w:hint="eastAsia" w:ascii="宋体" w:hAnsi="宋体" w:eastAsia="宋体" w:cs="宋体"/>
          <w:b/>
          <w:bCs w:val="0"/>
          <w:kern w:val="0"/>
          <w:sz w:val="21"/>
          <w:szCs w:val="21"/>
          <w:lang w:val="en-US" w:eastAsia="zh-CN" w:bidi="ar-SA"/>
        </w:rPr>
        <w:t>10产品清单与预算</w:t>
      </w:r>
      <w:bookmarkEnd w:id="13"/>
      <w:r>
        <w:rPr>
          <w:rFonts w:hint="eastAsia" w:ascii="宋体" w:hAnsi="宋体" w:eastAsia="宋体" w:cs="宋体"/>
          <w:b/>
          <w:bCs w:val="0"/>
          <w:kern w:val="0"/>
          <w:sz w:val="21"/>
          <w:szCs w:val="21"/>
          <w:lang w:val="en-US" w:eastAsia="zh-CN" w:bidi="ar-SA"/>
        </w:rPr>
        <w:t>：</w:t>
      </w:r>
    </w:p>
    <w:tbl>
      <w:tblPr>
        <w:tblStyle w:val="26"/>
        <w:tblW w:w="5321" w:type="pct"/>
        <w:tblInd w:w="0" w:type="dxa"/>
        <w:tblLayout w:type="fixed"/>
        <w:tblCellMar>
          <w:top w:w="0" w:type="dxa"/>
          <w:left w:w="108" w:type="dxa"/>
          <w:bottom w:w="0" w:type="dxa"/>
          <w:right w:w="108" w:type="dxa"/>
        </w:tblCellMar>
      </w:tblPr>
      <w:tblGrid>
        <w:gridCol w:w="460"/>
        <w:gridCol w:w="811"/>
        <w:gridCol w:w="5123"/>
        <w:gridCol w:w="943"/>
        <w:gridCol w:w="690"/>
        <w:gridCol w:w="702"/>
        <w:gridCol w:w="913"/>
      </w:tblGrid>
      <w:tr w14:paraId="7C84628E">
        <w:tblPrEx>
          <w:tblCellMar>
            <w:top w:w="0" w:type="dxa"/>
            <w:left w:w="108" w:type="dxa"/>
            <w:bottom w:w="0" w:type="dxa"/>
            <w:right w:w="108" w:type="dxa"/>
          </w:tblCellMar>
        </w:tblPrEx>
        <w:trPr>
          <w:trHeight w:val="473" w:hRule="atLeast"/>
        </w:trPr>
        <w:tc>
          <w:tcPr>
            <w:tcW w:w="460" w:type="dxa"/>
            <w:tcBorders>
              <w:top w:val="single" w:color="000000" w:sz="4" w:space="0"/>
              <w:left w:val="single" w:color="000000" w:sz="4" w:space="0"/>
              <w:bottom w:val="single" w:color="000000" w:sz="4" w:space="0"/>
              <w:right w:val="single" w:color="000000" w:sz="4" w:space="0"/>
            </w:tcBorders>
            <w:noWrap w:val="0"/>
            <w:vAlign w:val="center"/>
          </w:tcPr>
          <w:p w14:paraId="43E3456A">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6B63A8F3">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设备名称</w:t>
            </w:r>
          </w:p>
        </w:tc>
        <w:tc>
          <w:tcPr>
            <w:tcW w:w="5123" w:type="dxa"/>
            <w:tcBorders>
              <w:top w:val="single" w:color="000000" w:sz="4" w:space="0"/>
              <w:left w:val="single" w:color="000000" w:sz="4" w:space="0"/>
              <w:bottom w:val="single" w:color="000000" w:sz="4" w:space="0"/>
              <w:right w:val="single" w:color="000000" w:sz="4" w:space="0"/>
            </w:tcBorders>
            <w:noWrap w:val="0"/>
            <w:vAlign w:val="center"/>
          </w:tcPr>
          <w:p w14:paraId="6859460A">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参数描述</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53E4E6E9">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数量</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187E8C00">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单位</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197E9968">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单价（含税）</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65CA78A">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总价</w:t>
            </w:r>
          </w:p>
        </w:tc>
      </w:tr>
      <w:tr w14:paraId="79AB77F8">
        <w:tblPrEx>
          <w:tblCellMar>
            <w:top w:w="0" w:type="dxa"/>
            <w:left w:w="108" w:type="dxa"/>
            <w:bottom w:w="0" w:type="dxa"/>
            <w:right w:w="108" w:type="dxa"/>
          </w:tblCellMar>
        </w:tblPrEx>
        <w:trPr>
          <w:trHeight w:val="2089" w:hRule="atLeast"/>
        </w:trPr>
        <w:tc>
          <w:tcPr>
            <w:tcW w:w="460" w:type="dxa"/>
            <w:tcBorders>
              <w:top w:val="single" w:color="000000" w:sz="4" w:space="0"/>
              <w:left w:val="single" w:color="000000" w:sz="4" w:space="0"/>
              <w:bottom w:val="single" w:color="000000" w:sz="4" w:space="0"/>
              <w:right w:val="single" w:color="000000" w:sz="4" w:space="0"/>
            </w:tcBorders>
            <w:noWrap w:val="0"/>
            <w:vAlign w:val="center"/>
          </w:tcPr>
          <w:p w14:paraId="6FAC7653">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1</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03B2063C">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国产单北斗校车终端</w:t>
            </w:r>
          </w:p>
        </w:tc>
        <w:tc>
          <w:tcPr>
            <w:tcW w:w="5123" w:type="dxa"/>
            <w:tcBorders>
              <w:top w:val="single" w:color="000000" w:sz="4" w:space="0"/>
              <w:left w:val="single" w:color="000000" w:sz="4" w:space="0"/>
              <w:bottom w:val="single" w:color="000000" w:sz="4" w:space="0"/>
              <w:right w:val="single" w:color="000000" w:sz="4" w:space="0"/>
            </w:tcBorders>
            <w:noWrap w:val="0"/>
            <w:vAlign w:val="center"/>
          </w:tcPr>
          <w:p w14:paraId="41339D15">
            <w:pPr>
              <w:widowControl/>
              <w:jc w:val="left"/>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模拟视频输入：6路复合视频（NTSC/PAL），航空头接口，支持配置HDCVI、AHD、TVI、CVBS自适应接入；</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网络视频输入：1路 M12 6芯航接口；</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编码分辨率：720P、960H、D1、CIF；</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双码流：支持（辅码流最高支持D1编码）；</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视频输出：1路AV输出分辨率支持800×600；</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手机接入：iOS;Android；</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WiFi：可外置USB WiFi调试盒，安卓APP运维调试；</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设备升级：web升级、U盘升级、远程平台升级、升级工具升级；</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硬盘接口：1个2.5英寸硬盘（SATA接口）,最大支持2T（不标配）；</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SD卡：支持2张  最大256G（不标配）；</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语音对讲输入：支持；</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RS-232接口：3个：1个前置标准DB9接口，2个背板4芯黑插接口；</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RS-485接口：1个：1个背板4芯黑插；</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USB接口：1个USB2.0接口（前面板）；</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CAN：2路；</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网络接口：1路M12 6芯航接口，可支持IPC接入。；</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供电方式：内置电源8~36V DC；</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功耗：裸机≤10W，带外设总功耗≤40W 。待机功耗≤1.5W；</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认证：JT/T 794-2019、JT/T 808-2019、JT/T 1076-2016、JT/T 1078-2016；</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3DB5FA64">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240</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D99BCF3">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台</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42B3D1C1">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olor w:val="000000"/>
                <w:kern w:val="0"/>
                <w:sz w:val="18"/>
                <w:szCs w:val="18"/>
                <w:lang w:bidi="ar"/>
              </w:rPr>
              <w:t>1490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1D81C45">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olor w:val="000000"/>
                <w:kern w:val="0"/>
                <w:sz w:val="18"/>
                <w:szCs w:val="18"/>
                <w:lang w:bidi="ar"/>
              </w:rPr>
              <w:t>357600</w:t>
            </w:r>
          </w:p>
        </w:tc>
      </w:tr>
      <w:tr w14:paraId="50010AA0">
        <w:tblPrEx>
          <w:tblCellMar>
            <w:top w:w="0" w:type="dxa"/>
            <w:left w:w="108" w:type="dxa"/>
            <w:bottom w:w="0" w:type="dxa"/>
            <w:right w:w="108" w:type="dxa"/>
          </w:tblCellMar>
        </w:tblPrEx>
        <w:trPr>
          <w:trHeight w:val="90" w:hRule="atLeast"/>
        </w:trPr>
        <w:tc>
          <w:tcPr>
            <w:tcW w:w="460" w:type="dxa"/>
            <w:tcBorders>
              <w:top w:val="single" w:color="000000" w:sz="4" w:space="0"/>
              <w:left w:val="single" w:color="000000" w:sz="4" w:space="0"/>
              <w:bottom w:val="single" w:color="000000" w:sz="4" w:space="0"/>
              <w:right w:val="single" w:color="000000" w:sz="4" w:space="0"/>
            </w:tcBorders>
            <w:noWrap w:val="0"/>
            <w:vAlign w:val="center"/>
          </w:tcPr>
          <w:p w14:paraId="789BD987">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2</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34080EF1">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监控硬盘</w:t>
            </w:r>
          </w:p>
        </w:tc>
        <w:tc>
          <w:tcPr>
            <w:tcW w:w="5123" w:type="dxa"/>
            <w:tcBorders>
              <w:top w:val="single" w:color="000000" w:sz="4" w:space="0"/>
              <w:left w:val="single" w:color="000000" w:sz="4" w:space="0"/>
              <w:bottom w:val="single" w:color="000000" w:sz="4" w:space="0"/>
              <w:right w:val="single" w:color="000000" w:sz="4" w:space="0"/>
            </w:tcBorders>
            <w:noWrap w:val="0"/>
            <w:vAlign w:val="center"/>
          </w:tcPr>
          <w:p w14:paraId="3A9F6AE4">
            <w:pPr>
              <w:widowControl/>
              <w:jc w:val="left"/>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 xml:space="preserve">存储容量&gt;= 512GB  SATA </w:t>
            </w:r>
            <w:r>
              <w:rPr>
                <w:rFonts w:ascii="宋体" w:hAnsi="宋体"/>
                <w:color w:val="000000"/>
                <w:kern w:val="0"/>
                <w:sz w:val="18"/>
                <w:szCs w:val="18"/>
                <w:lang w:bidi="ar"/>
              </w:rPr>
              <w:t>SSD</w:t>
            </w:r>
            <w:r>
              <w:rPr>
                <w:rFonts w:hint="eastAsia" w:ascii="宋体" w:hAnsi="宋体"/>
                <w:color w:val="000000"/>
                <w:kern w:val="0"/>
                <w:sz w:val="18"/>
                <w:szCs w:val="18"/>
                <w:lang w:bidi="ar"/>
              </w:rPr>
              <w:t>工业级，宽温</w:t>
            </w:r>
            <w:r>
              <w:rPr>
                <w:rFonts w:hint="eastAsia" w:ascii="MS Mincho" w:hAnsi="MS Mincho" w:eastAsia="MS Mincho" w:cs="MS Mincho"/>
                <w:color w:val="000000"/>
                <w:kern w:val="0"/>
                <w:sz w:val="18"/>
                <w:szCs w:val="18"/>
                <w:lang w:bidi="ar"/>
              </w:rPr>
              <w:t>−</w:t>
            </w:r>
            <w:r>
              <w:rPr>
                <w:rFonts w:hint="eastAsia" w:ascii="宋体" w:hAnsi="宋体"/>
                <w:color w:val="000000"/>
                <w:kern w:val="0"/>
                <w:sz w:val="18"/>
                <w:szCs w:val="18"/>
                <w:lang w:bidi="ar"/>
              </w:rPr>
              <w:t>40~85℃（至少-20~70℃车载级），支持7×24持续写入。</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接口类型 SATA3（6Gbps）</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硬盘尺寸 2.5英寸</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闪存架构 TLC三层单元</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读取速度 500MB/s</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写入速度 430MB/s</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平均寻道时间 0.5ms</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平均无故障时间 100万小时</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491C55CA">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240</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3C66FA5">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台</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6E7D26AE">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olor w:val="000000"/>
                <w:kern w:val="0"/>
                <w:sz w:val="18"/>
                <w:szCs w:val="18"/>
                <w:lang w:bidi="ar"/>
              </w:rPr>
              <w:t>950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5856C0">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olor w:val="000000"/>
                <w:kern w:val="0"/>
                <w:sz w:val="18"/>
                <w:szCs w:val="18"/>
                <w:lang w:bidi="ar"/>
              </w:rPr>
              <w:t>228000</w:t>
            </w:r>
          </w:p>
        </w:tc>
      </w:tr>
      <w:tr w14:paraId="69B6C148">
        <w:tblPrEx>
          <w:tblCellMar>
            <w:top w:w="0" w:type="dxa"/>
            <w:left w:w="108" w:type="dxa"/>
            <w:bottom w:w="0" w:type="dxa"/>
            <w:right w:w="108" w:type="dxa"/>
          </w:tblCellMar>
        </w:tblPrEx>
        <w:trPr>
          <w:trHeight w:val="1396" w:hRule="atLeast"/>
        </w:trPr>
        <w:tc>
          <w:tcPr>
            <w:tcW w:w="460" w:type="dxa"/>
            <w:tcBorders>
              <w:top w:val="single" w:color="000000" w:sz="4" w:space="0"/>
              <w:left w:val="single" w:color="000000" w:sz="4" w:space="0"/>
              <w:bottom w:val="single" w:color="000000" w:sz="4" w:space="0"/>
              <w:right w:val="single" w:color="000000" w:sz="4" w:space="0"/>
            </w:tcBorders>
            <w:noWrap w:val="0"/>
            <w:vAlign w:val="center"/>
          </w:tcPr>
          <w:p w14:paraId="47FDC8E2">
            <w:pPr>
              <w:widowControl/>
              <w:jc w:val="center"/>
              <w:textAlignment w:val="center"/>
              <w:rPr>
                <w:rFonts w:hint="eastAsia" w:ascii="宋体" w:hAnsi="宋体" w:eastAsia="宋体" w:cs="宋体"/>
                <w:color w:val="auto"/>
                <w:sz w:val="21"/>
                <w:szCs w:val="21"/>
              </w:rPr>
            </w:pPr>
            <w:r>
              <w:rPr>
                <w:rFonts w:hint="eastAsia" w:ascii="宋体" w:hAnsi="宋体"/>
                <w:color w:val="000000"/>
                <w:kern w:val="0"/>
                <w:sz w:val="18"/>
                <w:szCs w:val="18"/>
                <w:lang w:bidi="ar"/>
              </w:rPr>
              <w:t>3</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3C0F2841">
            <w:pPr>
              <w:widowControl/>
              <w:jc w:val="center"/>
              <w:textAlignment w:val="center"/>
              <w:rPr>
                <w:rFonts w:hint="eastAsia" w:ascii="宋体" w:hAnsi="宋体" w:eastAsia="宋体" w:cs="宋体"/>
                <w:color w:val="auto"/>
                <w:sz w:val="21"/>
                <w:szCs w:val="21"/>
              </w:rPr>
            </w:pPr>
            <w:r>
              <w:rPr>
                <w:rFonts w:hint="eastAsia" w:ascii="宋体" w:hAnsi="宋体"/>
                <w:color w:val="000000"/>
                <w:kern w:val="0"/>
                <w:sz w:val="18"/>
                <w:szCs w:val="18"/>
                <w:lang w:bidi="ar"/>
              </w:rPr>
              <w:t>智慧校车监管平台对接整合、部署、集成、调测技术服务、以及配备交付的相关辅材</w:t>
            </w:r>
          </w:p>
        </w:tc>
        <w:tc>
          <w:tcPr>
            <w:tcW w:w="5123" w:type="dxa"/>
            <w:tcBorders>
              <w:top w:val="single" w:color="000000" w:sz="4" w:space="0"/>
              <w:left w:val="single" w:color="000000" w:sz="4" w:space="0"/>
              <w:bottom w:val="single" w:color="000000" w:sz="4" w:space="0"/>
              <w:right w:val="single" w:color="000000" w:sz="4" w:space="0"/>
            </w:tcBorders>
            <w:noWrap w:val="0"/>
            <w:vAlign w:val="center"/>
          </w:tcPr>
          <w:p w14:paraId="3A622B83">
            <w:pPr>
              <w:widowControl/>
              <w:jc w:val="left"/>
              <w:textAlignment w:val="center"/>
              <w:rPr>
                <w:rFonts w:hint="eastAsia" w:ascii="宋体" w:hAnsi="宋体"/>
                <w:color w:val="000000"/>
                <w:kern w:val="0"/>
                <w:sz w:val="18"/>
                <w:szCs w:val="18"/>
                <w:lang w:bidi="ar"/>
              </w:rPr>
            </w:pPr>
            <w:r>
              <w:rPr>
                <w:rFonts w:hint="eastAsia" w:ascii="宋体" w:hAnsi="宋体"/>
                <w:color w:val="000000"/>
                <w:kern w:val="0"/>
                <w:sz w:val="18"/>
                <w:szCs w:val="18"/>
                <w:lang w:bidi="ar"/>
              </w:rPr>
              <w:t>对接240个国产单北斗校车终端、以及相应硬盘进行部署、调测、接线等服务，配备转接线、扎带、标签纸等施工必备材料。</w:t>
            </w:r>
          </w:p>
          <w:p w14:paraId="309E092C">
            <w:pPr>
              <w:widowControl/>
              <w:jc w:val="left"/>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1、完成 JT/T 808-2019 全流程适配：注册、鉴权、心跳、位置上报、参数配置、远程升级、故障上报。</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2、完成 JT/T 1078-2016 视频全功能对接：实时视频、历史视频回放、音视频对讲、云台控制、抓图、录像策略下发、报警联动视频。</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3、完成 GB/T 19056-2021  行驶记录仪数据对接：速度、里程、状态、开关量、事故疑点数据上传。对采集的终端数据进行实时清洗、结构化存储与标签化管理，支撑后续大数据分析。</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4、数据传输采用TLS 1.3加密通道，配合设备级数字证书认证，保障数据传输安全。</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5、支持与平台侧联动处置机制，如自动触发语音提醒、调度指令下发、应急响应流程启动等</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6、实现实时可视化监控，包括：车辆实时定位与轨迹追踪、驾驶行为分析（急刹、急转弯、疲劳驾驶等）、视频流媒体实时回传与回放、异常事件（超速、偏离路线、碰撞等）智能识别与分级报警。</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7、全面接入湖南省“三客一危”平台，兼容地方校车监管平台扩展协议，支持动态协议适配与版本兼容，确保多源异构设备数据无缝接入。通过智能终端采集视频、图片、单北斗定位数据、车辆CAN总线数据、驾驶行为数据等多维信息。</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8、负责全部对接开发、调试、测试、问题整改</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9、测试车辆、测试终端，配合平台完成功能联调、压力测试、稳定性测试。</w:t>
            </w:r>
            <w:r>
              <w:rPr>
                <w:rFonts w:hint="eastAsia" w:ascii="宋体" w:hAnsi="宋体"/>
                <w:color w:val="000000"/>
                <w:kern w:val="0"/>
                <w:sz w:val="18"/>
                <w:szCs w:val="18"/>
                <w:lang w:bidi="ar"/>
              </w:rPr>
              <w:br w:type="textWrapping"/>
            </w:r>
            <w:r>
              <w:rPr>
                <w:rFonts w:hint="eastAsia" w:ascii="宋体" w:hAnsi="宋体"/>
                <w:color w:val="000000"/>
                <w:kern w:val="0"/>
                <w:sz w:val="18"/>
                <w:szCs w:val="18"/>
                <w:lang w:bidi="ar"/>
              </w:rPr>
              <w:t>对接周期内提供专职工程师驻场或实时响应。</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4801E915">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240</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0F0BCA95">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个</w:t>
            </w:r>
          </w:p>
        </w:tc>
        <w:tc>
          <w:tcPr>
            <w:tcW w:w="702" w:type="dxa"/>
            <w:tcBorders>
              <w:top w:val="single" w:color="000000" w:sz="4" w:space="0"/>
              <w:left w:val="single" w:color="000000" w:sz="4" w:space="0"/>
              <w:bottom w:val="single" w:color="000000" w:sz="4" w:space="0"/>
              <w:right w:val="single" w:color="000000" w:sz="4" w:space="0"/>
            </w:tcBorders>
            <w:noWrap w:val="0"/>
            <w:vAlign w:val="center"/>
          </w:tcPr>
          <w:p w14:paraId="5AF23528">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olor w:val="000000"/>
                <w:kern w:val="0"/>
                <w:sz w:val="18"/>
                <w:szCs w:val="18"/>
                <w:lang w:bidi="ar"/>
              </w:rPr>
              <w:t>450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28A7F3FB">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olor w:val="000000"/>
                <w:kern w:val="0"/>
                <w:sz w:val="18"/>
                <w:szCs w:val="18"/>
                <w:lang w:bidi="ar"/>
              </w:rPr>
              <w:t>108000</w:t>
            </w:r>
          </w:p>
        </w:tc>
      </w:tr>
      <w:tr w14:paraId="74F569D4">
        <w:tblPrEx>
          <w:tblCellMar>
            <w:top w:w="0" w:type="dxa"/>
            <w:left w:w="108" w:type="dxa"/>
            <w:bottom w:w="0" w:type="dxa"/>
            <w:right w:w="108" w:type="dxa"/>
          </w:tblCellMar>
        </w:tblPrEx>
        <w:trPr>
          <w:trHeight w:val="703" w:hRule="atLeast"/>
        </w:trPr>
        <w:tc>
          <w:tcPr>
            <w:tcW w:w="460" w:type="dxa"/>
            <w:tcBorders>
              <w:top w:val="single" w:color="000000" w:sz="4" w:space="0"/>
              <w:left w:val="single" w:color="000000" w:sz="4" w:space="0"/>
              <w:bottom w:val="single" w:color="000000" w:sz="4" w:space="0"/>
              <w:right w:val="single" w:color="000000" w:sz="4" w:space="0"/>
            </w:tcBorders>
            <w:noWrap/>
            <w:vAlign w:val="center"/>
          </w:tcPr>
          <w:p w14:paraId="159897AF">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4</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61B425B5">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color w:val="000000"/>
                <w:kern w:val="0"/>
                <w:sz w:val="18"/>
                <w:szCs w:val="18"/>
                <w:lang w:bidi="ar"/>
              </w:rPr>
              <w:t>项目管理服务</w:t>
            </w:r>
          </w:p>
        </w:tc>
        <w:tc>
          <w:tcPr>
            <w:tcW w:w="5123" w:type="dxa"/>
            <w:tcBorders>
              <w:top w:val="single" w:color="000000" w:sz="4" w:space="0"/>
              <w:left w:val="single" w:color="000000" w:sz="4" w:space="0"/>
              <w:bottom w:val="single" w:color="000000" w:sz="4" w:space="0"/>
              <w:right w:val="single" w:color="000000" w:sz="4" w:space="0"/>
            </w:tcBorders>
            <w:noWrap/>
            <w:vAlign w:val="center"/>
          </w:tcPr>
          <w:p w14:paraId="0524C98F">
            <w:pPr>
              <w:widowControl/>
              <w:jc w:val="left"/>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包含项目全周期管理：前期需求沟通、进度跟踪（每周 1 次进度汇报）、质量管控（设备验收 / 服务验收）、问题协调（设备 / 服务异常响应≤2 小时）；服务周期：从设备发货至联调完成的全阶段。</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0B32B9CF">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7F9F2583">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项</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6E32CEBB">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olor w:val="000000"/>
                <w:kern w:val="0"/>
                <w:sz w:val="18"/>
                <w:szCs w:val="18"/>
                <w:lang w:bidi="ar"/>
              </w:rPr>
              <w:t>1700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6F9F21BB">
            <w:pPr>
              <w:widowControl/>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olor w:val="000000"/>
                <w:kern w:val="0"/>
                <w:sz w:val="18"/>
                <w:szCs w:val="18"/>
                <w:lang w:bidi="ar"/>
              </w:rPr>
              <w:t>1700</w:t>
            </w:r>
          </w:p>
        </w:tc>
      </w:tr>
      <w:tr w14:paraId="7563541B">
        <w:tblPrEx>
          <w:tblCellMar>
            <w:top w:w="0" w:type="dxa"/>
            <w:left w:w="108" w:type="dxa"/>
            <w:bottom w:w="0" w:type="dxa"/>
            <w:right w:w="108" w:type="dxa"/>
          </w:tblCellMar>
        </w:tblPrEx>
        <w:trPr>
          <w:trHeight w:val="703" w:hRule="atLeast"/>
        </w:trPr>
        <w:tc>
          <w:tcPr>
            <w:tcW w:w="460" w:type="dxa"/>
            <w:tcBorders>
              <w:top w:val="single" w:color="000000" w:sz="4" w:space="0"/>
              <w:left w:val="single" w:color="000000" w:sz="4" w:space="0"/>
              <w:bottom w:val="single" w:color="000000" w:sz="4" w:space="0"/>
              <w:right w:val="single" w:color="000000" w:sz="4" w:space="0"/>
            </w:tcBorders>
            <w:noWrap/>
            <w:vAlign w:val="center"/>
          </w:tcPr>
          <w:p w14:paraId="382CFD9A">
            <w:pPr>
              <w:widowControl/>
              <w:jc w:val="center"/>
              <w:textAlignment w:val="center"/>
              <w:rPr>
                <w:rFonts w:hint="eastAsia" w:ascii="宋体" w:hAnsi="宋体" w:eastAsia="宋体" w:cs="宋体"/>
                <w:color w:val="000000"/>
                <w:sz w:val="21"/>
                <w:szCs w:val="21"/>
                <w:highlight w:val="none"/>
              </w:rPr>
            </w:pPr>
            <w:r>
              <w:rPr>
                <w:rFonts w:hint="eastAsia" w:ascii="宋体" w:hAnsi="宋体"/>
                <w:color w:val="000000"/>
                <w:kern w:val="0"/>
                <w:sz w:val="18"/>
                <w:szCs w:val="18"/>
                <w:lang w:bidi="ar"/>
              </w:rPr>
              <w:t>5</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3E71C72E">
            <w:pPr>
              <w:widowControl/>
              <w:jc w:val="center"/>
              <w:textAlignment w:val="center"/>
              <w:rPr>
                <w:rFonts w:hint="eastAsia" w:ascii="宋体" w:hAnsi="宋体" w:eastAsia="宋体" w:cs="宋体"/>
                <w:color w:val="000000"/>
                <w:kern w:val="0"/>
                <w:sz w:val="21"/>
                <w:szCs w:val="21"/>
                <w:highlight w:val="none"/>
                <w:lang w:bidi="ar"/>
              </w:rPr>
            </w:pPr>
            <w:r>
              <w:rPr>
                <w:rFonts w:hint="eastAsia" w:ascii="宋体" w:hAnsi="宋体"/>
                <w:color w:val="000000"/>
                <w:kern w:val="0"/>
                <w:sz w:val="18"/>
                <w:szCs w:val="18"/>
                <w:lang w:bidi="ar"/>
              </w:rPr>
              <w:t>运动相机</w:t>
            </w:r>
          </w:p>
        </w:tc>
        <w:tc>
          <w:tcPr>
            <w:tcW w:w="5123" w:type="dxa"/>
            <w:tcBorders>
              <w:top w:val="single" w:color="000000" w:sz="4" w:space="0"/>
              <w:left w:val="single" w:color="000000" w:sz="4" w:space="0"/>
              <w:bottom w:val="single" w:color="000000" w:sz="4" w:space="0"/>
              <w:right w:val="single" w:color="000000" w:sz="4" w:space="0"/>
            </w:tcBorders>
            <w:noWrap/>
            <w:vAlign w:val="center"/>
          </w:tcPr>
          <w:p w14:paraId="09010148">
            <w:pPr>
              <w:widowControl/>
              <w:spacing w:line="288" w:lineRule="atLeast"/>
              <w:jc w:val="left"/>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配置2台用于记录路面现场检查的运动相机，支持高速记录、运动捕捉。</w:t>
            </w:r>
            <w:r>
              <w:rPr>
                <w:rFonts w:ascii="宋体" w:hAnsi="宋体"/>
                <w:color w:val="000000"/>
                <w:kern w:val="0"/>
                <w:sz w:val="18"/>
                <w:szCs w:val="18"/>
                <w:lang w:bidi="ar"/>
              </w:rPr>
              <w:t>1/1.1 英寸 CMOS，3800 万像素</w:t>
            </w:r>
            <w:r>
              <w:rPr>
                <w:rFonts w:hint="eastAsia" w:ascii="宋体" w:hAnsi="宋体"/>
                <w:color w:val="000000"/>
                <w:kern w:val="0"/>
                <w:sz w:val="18"/>
                <w:szCs w:val="18"/>
                <w:lang w:bidi="ar"/>
              </w:rPr>
              <w:t>；</w:t>
            </w:r>
            <w:r>
              <w:rPr>
                <w:rFonts w:ascii="宋体" w:hAnsi="宋体"/>
                <w:color w:val="000000"/>
                <w:kern w:val="0"/>
                <w:sz w:val="18"/>
                <w:szCs w:val="18"/>
                <w:lang w:bidi="ar"/>
              </w:rPr>
              <w:t>镜头：f/2.0–f/4.0 可变光圈，12mm 超广角</w:t>
            </w:r>
            <w:r>
              <w:rPr>
                <w:rFonts w:hint="eastAsia" w:ascii="宋体" w:hAnsi="宋体"/>
                <w:color w:val="000000"/>
                <w:kern w:val="0"/>
                <w:sz w:val="18"/>
                <w:szCs w:val="18"/>
                <w:lang w:bidi="ar"/>
              </w:rPr>
              <w:t>；</w:t>
            </w:r>
            <w:r>
              <w:rPr>
                <w:rFonts w:ascii="宋体" w:hAnsi="宋体"/>
                <w:color w:val="000000"/>
                <w:kern w:val="0"/>
                <w:sz w:val="18"/>
                <w:szCs w:val="18"/>
                <w:lang w:bidi="ar"/>
              </w:rPr>
              <w:t>视频：8K24fps、4K120fps、1080P240fps，10bit D-LogM</w:t>
            </w:r>
            <w:r>
              <w:rPr>
                <w:rFonts w:hint="eastAsia" w:ascii="宋体" w:hAnsi="宋体"/>
                <w:color w:val="000000"/>
                <w:kern w:val="0"/>
                <w:sz w:val="18"/>
                <w:szCs w:val="18"/>
                <w:lang w:bidi="ar"/>
              </w:rPr>
              <w:t>；</w:t>
            </w:r>
            <w:r>
              <w:rPr>
                <w:rFonts w:ascii="宋体" w:hAnsi="宋体"/>
                <w:color w:val="000000"/>
                <w:kern w:val="0"/>
                <w:sz w:val="18"/>
                <w:szCs w:val="18"/>
                <w:lang w:bidi="ar"/>
              </w:rPr>
              <w:t>防抖：RockSteady 3.0</w:t>
            </w:r>
            <w:r>
              <w:rPr>
                <w:rFonts w:hint="eastAsia" w:ascii="宋体" w:hAnsi="宋体"/>
                <w:color w:val="000000"/>
                <w:kern w:val="0"/>
                <w:sz w:val="18"/>
                <w:szCs w:val="18"/>
                <w:lang w:bidi="ar"/>
              </w:rPr>
              <w:t>；</w:t>
            </w:r>
            <w:r>
              <w:rPr>
                <w:rFonts w:ascii="宋体" w:hAnsi="宋体"/>
                <w:color w:val="000000"/>
                <w:kern w:val="0"/>
                <w:sz w:val="18"/>
                <w:szCs w:val="18"/>
                <w:lang w:bidi="ar"/>
              </w:rPr>
              <w:t>机身内置 50GB，最大支持 1TB TF 卡</w:t>
            </w:r>
            <w:r>
              <w:rPr>
                <w:rFonts w:hint="eastAsia" w:ascii="宋体" w:hAnsi="宋体"/>
                <w:color w:val="000000"/>
                <w:kern w:val="0"/>
                <w:sz w:val="18"/>
                <w:szCs w:val="18"/>
                <w:lang w:bidi="ar"/>
              </w:rPr>
              <w:t>；</w:t>
            </w:r>
            <w:r>
              <w:rPr>
                <w:rFonts w:ascii="宋体" w:hAnsi="宋体"/>
                <w:color w:val="000000"/>
                <w:kern w:val="0"/>
                <w:sz w:val="18"/>
                <w:szCs w:val="18"/>
                <w:lang w:bidi="ar"/>
              </w:rPr>
              <w:t>20 米防水；1950mAh 电池，1080P 录制4 小时</w:t>
            </w:r>
            <w:r>
              <w:rPr>
                <w:rFonts w:hint="eastAsia" w:ascii="宋体" w:hAnsi="宋体"/>
                <w:color w:val="000000"/>
                <w:kern w:val="0"/>
                <w:sz w:val="18"/>
                <w:szCs w:val="18"/>
                <w:lang w:bidi="ar"/>
              </w:rPr>
              <w:t>；</w:t>
            </w:r>
            <w:r>
              <w:rPr>
                <w:rFonts w:ascii="宋体" w:hAnsi="宋体"/>
                <w:color w:val="000000"/>
                <w:kern w:val="0"/>
                <w:sz w:val="18"/>
                <w:szCs w:val="18"/>
                <w:lang w:bidi="ar"/>
              </w:rPr>
              <w:t>三麦克风，支持外接麦克风直连</w:t>
            </w:r>
            <w:r>
              <w:rPr>
                <w:rFonts w:hint="eastAsia" w:ascii="宋体" w:hAnsi="宋体"/>
                <w:color w:val="000000"/>
                <w:kern w:val="0"/>
                <w:sz w:val="18"/>
                <w:szCs w:val="18"/>
                <w:lang w:bidi="ar"/>
              </w:rPr>
              <w:t>；</w:t>
            </w:r>
            <w:r>
              <w:rPr>
                <w:rFonts w:ascii="宋体" w:hAnsi="宋体"/>
                <w:color w:val="000000"/>
                <w:kern w:val="0"/>
                <w:sz w:val="18"/>
                <w:szCs w:val="18"/>
                <w:lang w:bidi="ar"/>
              </w:rPr>
              <w:t>Wi-Fi6、蓝牙 5.3、Type-C 接口</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417FF018">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2</w:t>
            </w: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7C57AA11">
            <w:pPr>
              <w:widowControl/>
              <w:jc w:val="center"/>
              <w:textAlignment w:val="center"/>
              <w:rPr>
                <w:rFonts w:hint="eastAsia" w:ascii="宋体" w:hAnsi="宋体" w:eastAsia="宋体" w:cs="宋体"/>
                <w:color w:val="auto"/>
                <w:sz w:val="21"/>
                <w:szCs w:val="21"/>
                <w:highlight w:val="none"/>
              </w:rPr>
            </w:pPr>
            <w:r>
              <w:rPr>
                <w:rFonts w:hint="eastAsia" w:ascii="宋体" w:hAnsi="宋体"/>
                <w:color w:val="000000"/>
                <w:kern w:val="0"/>
                <w:sz w:val="18"/>
                <w:szCs w:val="18"/>
                <w:lang w:bidi="ar"/>
              </w:rPr>
              <w:t>台</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2E82E7D1">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olor w:val="000000"/>
                <w:kern w:val="0"/>
                <w:sz w:val="18"/>
                <w:szCs w:val="18"/>
                <w:lang w:bidi="ar"/>
              </w:rPr>
              <w:t>2900</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3CE5798D">
            <w:pPr>
              <w:widowControl/>
              <w:jc w:val="center"/>
              <w:textAlignment w:val="center"/>
              <w:rPr>
                <w:rFonts w:hint="default" w:ascii="宋体" w:hAnsi="宋体" w:eastAsia="宋体" w:cs="宋体"/>
                <w:color w:val="000000"/>
                <w:kern w:val="0"/>
                <w:sz w:val="21"/>
                <w:szCs w:val="21"/>
                <w:highlight w:val="none"/>
                <w:lang w:val="en-US" w:eastAsia="zh-CN" w:bidi="ar"/>
              </w:rPr>
            </w:pPr>
            <w:r>
              <w:rPr>
                <w:rFonts w:hint="eastAsia" w:ascii="宋体" w:hAnsi="宋体" w:eastAsia="宋体"/>
                <w:color w:val="000000"/>
                <w:kern w:val="0"/>
                <w:sz w:val="18"/>
                <w:szCs w:val="18"/>
                <w:lang w:bidi="ar"/>
              </w:rPr>
              <w:t>5800</w:t>
            </w:r>
          </w:p>
        </w:tc>
      </w:tr>
      <w:tr w14:paraId="49A0BD9C">
        <w:tblPrEx>
          <w:tblCellMar>
            <w:top w:w="0" w:type="dxa"/>
            <w:left w:w="108" w:type="dxa"/>
            <w:bottom w:w="0" w:type="dxa"/>
            <w:right w:w="108" w:type="dxa"/>
          </w:tblCellMar>
        </w:tblPrEx>
        <w:trPr>
          <w:trHeight w:val="617" w:hRule="atLeast"/>
        </w:trPr>
        <w:tc>
          <w:tcPr>
            <w:tcW w:w="460" w:type="dxa"/>
            <w:tcBorders>
              <w:top w:val="single" w:color="000000" w:sz="4" w:space="0"/>
              <w:left w:val="single" w:color="000000" w:sz="4" w:space="0"/>
              <w:bottom w:val="single" w:color="000000" w:sz="4" w:space="0"/>
              <w:right w:val="single" w:color="000000" w:sz="4" w:space="0"/>
            </w:tcBorders>
            <w:noWrap/>
            <w:vAlign w:val="center"/>
          </w:tcPr>
          <w:p w14:paraId="5FC5D964">
            <w:pPr>
              <w:widowControl/>
              <w:jc w:val="center"/>
              <w:textAlignment w:val="center"/>
              <w:rPr>
                <w:rFonts w:hint="eastAsia" w:ascii="宋体" w:hAnsi="宋体" w:eastAsia="宋体" w:cs="宋体"/>
                <w:color w:val="000000"/>
                <w:sz w:val="21"/>
                <w:szCs w:val="21"/>
              </w:rPr>
            </w:pPr>
            <w:r>
              <w:rPr>
                <w:rFonts w:hint="eastAsia" w:ascii="宋体" w:hAnsi="宋体"/>
                <w:color w:val="000000"/>
                <w:kern w:val="0"/>
                <w:sz w:val="18"/>
                <w:szCs w:val="18"/>
                <w:lang w:bidi="ar"/>
              </w:rPr>
              <w:t>6</w:t>
            </w:r>
          </w:p>
        </w:tc>
        <w:tc>
          <w:tcPr>
            <w:tcW w:w="811" w:type="dxa"/>
            <w:tcBorders>
              <w:top w:val="single" w:color="000000" w:sz="4" w:space="0"/>
              <w:left w:val="single" w:color="000000" w:sz="4" w:space="0"/>
              <w:bottom w:val="single" w:color="000000" w:sz="4" w:space="0"/>
              <w:right w:val="single" w:color="000000" w:sz="4" w:space="0"/>
            </w:tcBorders>
            <w:noWrap w:val="0"/>
            <w:vAlign w:val="center"/>
          </w:tcPr>
          <w:p w14:paraId="0F7AD05D">
            <w:pPr>
              <w:widowControl/>
              <w:jc w:val="center"/>
              <w:textAlignment w:val="center"/>
              <w:rPr>
                <w:rFonts w:hint="eastAsia" w:ascii="宋体" w:hAnsi="宋体" w:eastAsia="宋体" w:cs="宋体"/>
                <w:color w:val="000000"/>
                <w:kern w:val="0"/>
                <w:sz w:val="21"/>
                <w:szCs w:val="21"/>
                <w:lang w:bidi="ar"/>
              </w:rPr>
            </w:pPr>
            <w:r>
              <w:rPr>
                <w:rFonts w:hint="eastAsia" w:ascii="宋体" w:hAnsi="宋体"/>
                <w:color w:val="000000"/>
                <w:kern w:val="0"/>
                <w:sz w:val="18"/>
                <w:szCs w:val="18"/>
                <w:lang w:bidi="ar"/>
              </w:rPr>
              <w:t>招标代理费</w:t>
            </w:r>
          </w:p>
        </w:tc>
        <w:tc>
          <w:tcPr>
            <w:tcW w:w="5123" w:type="dxa"/>
            <w:tcBorders>
              <w:top w:val="single" w:color="000000" w:sz="4" w:space="0"/>
              <w:left w:val="single" w:color="000000" w:sz="4" w:space="0"/>
              <w:bottom w:val="single" w:color="000000" w:sz="4" w:space="0"/>
              <w:right w:val="single" w:color="000000" w:sz="4" w:space="0"/>
            </w:tcBorders>
            <w:noWrap w:val="0"/>
            <w:vAlign w:val="center"/>
          </w:tcPr>
          <w:p w14:paraId="319122AE">
            <w:pPr>
              <w:jc w:val="left"/>
            </w:pPr>
            <w:r>
              <w:rPr>
                <w:rFonts w:hint="eastAsia" w:ascii="宋体" w:hAnsi="宋体"/>
                <w:color w:val="000000"/>
                <w:sz w:val="18"/>
                <w:szCs w:val="18"/>
              </w:rPr>
              <w:t>本项目的招标代理服务费</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1A018CF1">
            <w:pPr>
              <w:jc w:val="center"/>
              <w:rPr>
                <w:rFonts w:hint="eastAsia" w:ascii="宋体" w:hAnsi="宋体" w:eastAsia="宋体" w:cs="宋体"/>
                <w:color w:val="000000"/>
                <w:sz w:val="21"/>
                <w:szCs w:val="21"/>
              </w:rPr>
            </w:pPr>
            <w:r>
              <w:rPr>
                <w:rFonts w:hint="eastAsia" w:ascii="宋体" w:hAnsi="宋体"/>
                <w:color w:val="000000"/>
                <w:sz w:val="18"/>
                <w:szCs w:val="18"/>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51D07D61">
            <w:pPr>
              <w:jc w:val="center"/>
              <w:rPr>
                <w:rFonts w:hint="eastAsia" w:ascii="宋体" w:hAnsi="宋体" w:eastAsia="宋体" w:cs="宋体"/>
                <w:color w:val="000000"/>
                <w:sz w:val="21"/>
                <w:szCs w:val="21"/>
              </w:rPr>
            </w:pPr>
            <w:r>
              <w:rPr>
                <w:rFonts w:hint="eastAsia" w:ascii="宋体" w:hAnsi="宋体"/>
                <w:color w:val="000000"/>
                <w:sz w:val="18"/>
                <w:szCs w:val="18"/>
              </w:rPr>
              <w:t>项</w:t>
            </w: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52BF5A72">
            <w:pPr>
              <w:jc w:val="center"/>
              <w:rPr>
                <w:rFonts w:hint="eastAsia" w:ascii="宋体" w:hAnsi="宋体" w:eastAsia="宋体" w:cs="宋体"/>
                <w:color w:val="000000"/>
                <w:kern w:val="0"/>
                <w:sz w:val="21"/>
                <w:szCs w:val="21"/>
                <w:lang w:bidi="ar"/>
              </w:rPr>
            </w:pPr>
            <w:r>
              <w:rPr>
                <w:rFonts w:hint="eastAsia" w:ascii="宋体" w:hAnsi="宋体"/>
                <w:color w:val="000000"/>
                <w:kern w:val="0"/>
                <w:sz w:val="18"/>
                <w:szCs w:val="18"/>
                <w:lang w:bidi="ar"/>
              </w:rPr>
              <w:t>10495</w:t>
            </w: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0E92FC69">
            <w:pPr>
              <w:widowControl/>
              <w:jc w:val="center"/>
              <w:textAlignment w:val="center"/>
              <w:rPr>
                <w:rFonts w:hint="eastAsia" w:ascii="宋体" w:hAnsi="宋体" w:eastAsia="宋体" w:cs="宋体"/>
                <w:color w:val="000000"/>
                <w:kern w:val="0"/>
                <w:sz w:val="21"/>
                <w:szCs w:val="21"/>
                <w:lang w:bidi="ar"/>
              </w:rPr>
            </w:pPr>
            <w:r>
              <w:rPr>
                <w:rFonts w:hint="eastAsia" w:ascii="宋体" w:hAnsi="宋体"/>
                <w:color w:val="000000"/>
                <w:kern w:val="0"/>
                <w:sz w:val="18"/>
                <w:szCs w:val="18"/>
                <w:lang w:bidi="ar"/>
              </w:rPr>
              <w:t>10495</w:t>
            </w:r>
          </w:p>
        </w:tc>
      </w:tr>
      <w:tr w14:paraId="7E97EE80">
        <w:tblPrEx>
          <w:tblCellMar>
            <w:top w:w="0" w:type="dxa"/>
            <w:left w:w="108" w:type="dxa"/>
            <w:bottom w:w="0" w:type="dxa"/>
            <w:right w:w="108" w:type="dxa"/>
          </w:tblCellMar>
        </w:tblPrEx>
        <w:trPr>
          <w:trHeight w:val="617" w:hRule="atLeast"/>
        </w:trPr>
        <w:tc>
          <w:tcPr>
            <w:tcW w:w="460" w:type="dxa"/>
            <w:tcBorders>
              <w:top w:val="single" w:color="000000" w:sz="4" w:space="0"/>
              <w:left w:val="single" w:color="000000" w:sz="4" w:space="0"/>
              <w:bottom w:val="single" w:color="000000" w:sz="4" w:space="0"/>
              <w:right w:val="single" w:color="000000" w:sz="4" w:space="0"/>
            </w:tcBorders>
            <w:noWrap/>
            <w:vAlign w:val="center"/>
          </w:tcPr>
          <w:p w14:paraId="76976D10">
            <w:pPr>
              <w:jc w:val="center"/>
              <w:rPr>
                <w:rFonts w:hint="eastAsia" w:ascii="宋体" w:hAnsi="宋体" w:eastAsia="宋体" w:cs="宋体"/>
                <w:color w:val="000000"/>
                <w:sz w:val="21"/>
                <w:szCs w:val="21"/>
              </w:rPr>
            </w:pPr>
          </w:p>
        </w:tc>
        <w:tc>
          <w:tcPr>
            <w:tcW w:w="5934" w:type="dxa"/>
            <w:gridSpan w:val="2"/>
            <w:tcBorders>
              <w:top w:val="single" w:color="000000" w:sz="4" w:space="0"/>
              <w:left w:val="single" w:color="000000" w:sz="4" w:space="0"/>
              <w:bottom w:val="single" w:color="000000" w:sz="4" w:space="0"/>
              <w:right w:val="single" w:color="000000" w:sz="4" w:space="0"/>
            </w:tcBorders>
            <w:noWrap w:val="0"/>
            <w:vAlign w:val="center"/>
          </w:tcPr>
          <w:p w14:paraId="476A745B">
            <w:pPr>
              <w:jc w:val="left"/>
              <w:rPr>
                <w:rFonts w:hint="default" w:ascii="宋体" w:hAnsi="宋体" w:eastAsia="宋体" w:cs="宋体"/>
                <w:color w:val="000000"/>
                <w:sz w:val="21"/>
                <w:szCs w:val="21"/>
                <w:lang w:val="en-US" w:eastAsia="zh-CN"/>
              </w:rPr>
            </w:pPr>
            <w:r>
              <w:rPr>
                <w:rFonts w:hint="eastAsia" w:ascii="宋体" w:hAnsi="宋体" w:eastAsia="宋体" w:cs="宋体"/>
                <w:color w:val="000000"/>
                <w:kern w:val="0"/>
                <w:sz w:val="21"/>
                <w:szCs w:val="21"/>
                <w:lang w:bidi="ar"/>
              </w:rPr>
              <w:t>合计</w:t>
            </w:r>
            <w:r>
              <w:rPr>
                <w:rFonts w:hint="eastAsia" w:ascii="宋体" w:hAnsi="宋体" w:cs="宋体"/>
                <w:color w:val="000000"/>
                <w:kern w:val="0"/>
                <w:sz w:val="21"/>
                <w:szCs w:val="21"/>
                <w:lang w:eastAsia="zh-CN" w:bidi="ar"/>
              </w:rPr>
              <w:t>：（</w:t>
            </w:r>
            <w:r>
              <w:rPr>
                <w:rFonts w:hint="eastAsia" w:ascii="宋体" w:hAnsi="宋体" w:cs="宋体"/>
                <w:color w:val="000000"/>
                <w:kern w:val="0"/>
                <w:sz w:val="21"/>
                <w:szCs w:val="21"/>
                <w:lang w:val="en-US" w:eastAsia="zh-CN" w:bidi="ar"/>
              </w:rPr>
              <w:t>含税元）</w:t>
            </w:r>
          </w:p>
        </w:tc>
        <w:tc>
          <w:tcPr>
            <w:tcW w:w="943" w:type="dxa"/>
            <w:tcBorders>
              <w:top w:val="single" w:color="000000" w:sz="4" w:space="0"/>
              <w:left w:val="single" w:color="000000" w:sz="4" w:space="0"/>
              <w:bottom w:val="single" w:color="000000" w:sz="4" w:space="0"/>
              <w:right w:val="single" w:color="000000" w:sz="4" w:space="0"/>
            </w:tcBorders>
            <w:noWrap/>
            <w:vAlign w:val="center"/>
          </w:tcPr>
          <w:p w14:paraId="2B38974A">
            <w:pPr>
              <w:jc w:val="center"/>
              <w:rPr>
                <w:rFonts w:hint="eastAsia" w:ascii="宋体" w:hAnsi="宋体" w:eastAsia="宋体" w:cs="宋体"/>
                <w:color w:val="000000"/>
                <w:sz w:val="21"/>
                <w:szCs w:val="21"/>
              </w:rPr>
            </w:pP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53F82C68">
            <w:pPr>
              <w:jc w:val="center"/>
              <w:rPr>
                <w:rFonts w:hint="eastAsia" w:ascii="宋体" w:hAnsi="宋体" w:eastAsia="宋体" w:cs="宋体"/>
                <w:color w:val="000000"/>
                <w:sz w:val="21"/>
                <w:szCs w:val="21"/>
              </w:rPr>
            </w:pPr>
          </w:p>
        </w:tc>
        <w:tc>
          <w:tcPr>
            <w:tcW w:w="702" w:type="dxa"/>
            <w:tcBorders>
              <w:top w:val="single" w:color="000000" w:sz="4" w:space="0"/>
              <w:left w:val="single" w:color="000000" w:sz="4" w:space="0"/>
              <w:bottom w:val="single" w:color="000000" w:sz="4" w:space="0"/>
              <w:right w:val="single" w:color="000000" w:sz="4" w:space="0"/>
            </w:tcBorders>
            <w:noWrap/>
            <w:vAlign w:val="center"/>
          </w:tcPr>
          <w:p w14:paraId="75513011">
            <w:pPr>
              <w:jc w:val="center"/>
              <w:rPr>
                <w:rFonts w:hint="eastAsia" w:ascii="宋体" w:hAnsi="宋体" w:eastAsia="宋体" w:cs="宋体"/>
                <w:color w:val="000000"/>
                <w:kern w:val="0"/>
                <w:sz w:val="21"/>
                <w:szCs w:val="21"/>
                <w:lang w:bidi="ar"/>
              </w:rPr>
            </w:pPr>
          </w:p>
        </w:tc>
        <w:tc>
          <w:tcPr>
            <w:tcW w:w="913" w:type="dxa"/>
            <w:tcBorders>
              <w:top w:val="single" w:color="000000" w:sz="4" w:space="0"/>
              <w:left w:val="single" w:color="000000" w:sz="4" w:space="0"/>
              <w:bottom w:val="single" w:color="000000" w:sz="4" w:space="0"/>
              <w:right w:val="single" w:color="000000" w:sz="4" w:space="0"/>
            </w:tcBorders>
            <w:noWrap w:val="0"/>
            <w:vAlign w:val="center"/>
          </w:tcPr>
          <w:p w14:paraId="5AAD39BE">
            <w:pPr>
              <w:widowControl/>
              <w:jc w:val="center"/>
              <w:textAlignment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711595</w:t>
            </w:r>
          </w:p>
        </w:tc>
      </w:tr>
    </w:tbl>
    <w:p w14:paraId="0EA03C15">
      <w:pPr>
        <w:rPr>
          <w:rFonts w:eastAsia="宋体" w:cs="宋体"/>
          <w:szCs w:val="22"/>
        </w:rPr>
      </w:pPr>
    </w:p>
    <w:p w14:paraId="2390BF75">
      <w:pPr>
        <w:rPr>
          <w:rFonts w:eastAsia="宋体" w:cs="宋体"/>
          <w:szCs w:val="22"/>
          <w:highlight w:val="none"/>
        </w:rPr>
      </w:pPr>
    </w:p>
    <w:p w14:paraId="3671E0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8"/>
          <w:rFonts w:hint="eastAsia" w:ascii="宋体" w:hAnsi="宋体" w:cs="宋体"/>
          <w:b w:val="0"/>
          <w:bCs w:val="0"/>
          <w:color w:val="auto"/>
          <w:sz w:val="21"/>
          <w:szCs w:val="21"/>
          <w:highlight w:val="none"/>
          <w:lang w:eastAsia="zh-CN"/>
        </w:rPr>
      </w:pPr>
      <w:r>
        <w:rPr>
          <w:rStyle w:val="28"/>
          <w:rFonts w:hint="eastAsia" w:ascii="宋体" w:hAnsi="宋体" w:eastAsia="宋体" w:cs="宋体"/>
          <w:b/>
          <w:bCs/>
          <w:color w:val="auto"/>
          <w:sz w:val="21"/>
          <w:szCs w:val="21"/>
          <w:highlight w:val="none"/>
          <w:lang w:eastAsia="zh-CN"/>
        </w:rPr>
        <w:t>付款方式</w:t>
      </w:r>
      <w:bookmarkEnd w:id="14"/>
      <w:r>
        <w:rPr>
          <w:rStyle w:val="28"/>
          <w:rFonts w:hint="eastAsia" w:ascii="宋体" w:hAnsi="宋体" w:cs="宋体"/>
          <w:b/>
          <w:bCs/>
          <w:color w:val="auto"/>
          <w:sz w:val="21"/>
          <w:szCs w:val="21"/>
          <w:highlight w:val="none"/>
          <w:lang w:eastAsia="zh-CN"/>
        </w:rPr>
        <w:t>：</w:t>
      </w:r>
      <w:r>
        <w:rPr>
          <w:rStyle w:val="28"/>
          <w:rFonts w:hint="eastAsia" w:ascii="宋体" w:hAnsi="宋体" w:cs="宋体"/>
          <w:b w:val="0"/>
          <w:bCs w:val="0"/>
          <w:color w:val="auto"/>
          <w:sz w:val="21"/>
          <w:szCs w:val="21"/>
          <w:highlight w:val="none"/>
          <w:lang w:eastAsia="zh-CN"/>
        </w:rPr>
        <w:t>供货安装调试完成且经采购人验收合格并出具审计结论后付至审计金额的 97%，预留 3%作为尾款，货物整体三年内无质量问题付清。</w:t>
      </w:r>
    </w:p>
    <w:p w14:paraId="158540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Style w:val="28"/>
          <w:rFonts w:hint="eastAsia" w:ascii="宋体" w:hAnsi="宋体" w:cs="宋体"/>
          <w:b w:val="0"/>
          <w:bCs w:val="0"/>
          <w:color w:val="auto"/>
          <w:sz w:val="21"/>
          <w:szCs w:val="21"/>
          <w:highlight w:val="none"/>
          <w:lang w:eastAsia="zh-CN"/>
        </w:rPr>
      </w:pPr>
    </w:p>
    <w:bookmarkEnd w:id="15"/>
    <w:p w14:paraId="7641F71A">
      <w:pPr>
        <w:pStyle w:val="14"/>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0"/>
        <w:rPr>
          <w:rFonts w:hint="eastAsia" w:ascii="Calibri" w:hAnsi="Calibri"/>
          <w:color w:val="auto"/>
          <w:kern w:val="2"/>
          <w:sz w:val="21"/>
          <w:szCs w:val="24"/>
          <w:highlight w:val="none"/>
        </w:rPr>
      </w:pPr>
      <w:bookmarkStart w:id="75" w:name="_Toc10128"/>
      <w:r>
        <w:rPr>
          <w:rFonts w:hint="eastAsia" w:ascii="宋体" w:hAnsi="宋体" w:eastAsia="宋体" w:cs="宋体"/>
          <w:b/>
          <w:bCs/>
          <w:color w:val="auto"/>
          <w:sz w:val="21"/>
          <w:szCs w:val="21"/>
          <w:highlight w:val="none"/>
          <w:lang w:val="en-US" w:eastAsia="zh-CN"/>
        </w:rPr>
        <w:t>对于上述项目要求，供应商应在响应文件中进行回应，作出承诺及说明。其他未尽事宜由采购人和成交人双方在采购合同中详细约定。</w:t>
      </w:r>
      <w:bookmarkEnd w:id="75"/>
    </w:p>
    <w:p w14:paraId="128B7BA8">
      <w:pPr>
        <w:spacing w:line="360" w:lineRule="auto"/>
        <w:jc w:val="center"/>
        <w:outlineLvl w:val="0"/>
        <w:rPr>
          <w:rFonts w:ascii="黑体" w:eastAsia="黑体"/>
          <w:b/>
          <w:color w:val="auto"/>
          <w:sz w:val="32"/>
          <w:szCs w:val="32"/>
          <w:highlight w:val="none"/>
        </w:rPr>
      </w:pPr>
      <w:r>
        <w:rPr>
          <w:rFonts w:hint="eastAsia" w:ascii="黑体" w:eastAsia="黑体"/>
          <w:b/>
          <w:color w:val="auto"/>
          <w:sz w:val="32"/>
          <w:szCs w:val="32"/>
          <w:highlight w:val="none"/>
        </w:rPr>
        <w:t>第五章 响应文件组成</w:t>
      </w:r>
      <w:bookmarkEnd w:id="16"/>
    </w:p>
    <w:p w14:paraId="1F67B869">
      <w:pPr>
        <w:spacing w:line="360" w:lineRule="auto"/>
        <w:rPr>
          <w:rFonts w:ascii="宋体"/>
          <w:color w:val="auto"/>
          <w:highlight w:val="none"/>
        </w:rPr>
      </w:pPr>
      <w:r>
        <w:rPr>
          <w:rFonts w:hint="eastAsia" w:ascii="宋体"/>
          <w:color w:val="auto"/>
          <w:highlight w:val="none"/>
        </w:rPr>
        <w:t>供应商的响应文件应包含以下部分：</w:t>
      </w:r>
    </w:p>
    <w:p w14:paraId="5E587C73">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一、磋商响应声明</w:t>
      </w:r>
    </w:p>
    <w:p w14:paraId="663EC933">
      <w:pPr>
        <w:pStyle w:val="14"/>
        <w:adjustRightInd w:val="0"/>
        <w:snapToGrid w:val="0"/>
        <w:spacing w:line="360" w:lineRule="auto"/>
        <w:ind w:firstLine="435"/>
        <w:rPr>
          <w:rFonts w:hAnsi="宋体"/>
          <w:color w:val="auto"/>
          <w:highlight w:val="none"/>
        </w:rPr>
      </w:pPr>
      <w:r>
        <w:rPr>
          <w:rFonts w:hint="eastAsia" w:hAnsi="宋体"/>
          <w:color w:val="auto"/>
          <w:highlight w:val="none"/>
        </w:rPr>
        <w:t>附件1：法定代表人身份证明</w:t>
      </w:r>
    </w:p>
    <w:p w14:paraId="275CBBC3">
      <w:pPr>
        <w:pStyle w:val="14"/>
        <w:adjustRightInd w:val="0"/>
        <w:snapToGrid w:val="0"/>
        <w:spacing w:line="360" w:lineRule="auto"/>
        <w:ind w:firstLine="435"/>
        <w:rPr>
          <w:rFonts w:hAnsi="宋体"/>
          <w:color w:val="auto"/>
          <w:highlight w:val="none"/>
        </w:rPr>
      </w:pPr>
      <w:r>
        <w:rPr>
          <w:rFonts w:hint="eastAsia" w:hAnsi="宋体"/>
          <w:color w:val="auto"/>
          <w:highlight w:val="none"/>
        </w:rPr>
        <w:t>附件2：法定代表人授权委托书</w:t>
      </w:r>
    </w:p>
    <w:p w14:paraId="34D48684">
      <w:pPr>
        <w:pStyle w:val="38"/>
        <w:numPr>
          <w:ilvl w:val="0"/>
          <w:numId w:val="12"/>
        </w:numPr>
        <w:adjustRightInd w:val="0"/>
        <w:snapToGrid w:val="0"/>
        <w:spacing w:line="360" w:lineRule="auto"/>
        <w:ind w:firstLineChars="0"/>
        <w:jc w:val="left"/>
        <w:rPr>
          <w:rFonts w:ascii="宋体" w:hAnsi="宋体"/>
          <w:b/>
          <w:color w:val="auto"/>
          <w:szCs w:val="21"/>
          <w:highlight w:val="none"/>
        </w:rPr>
      </w:pPr>
      <w:r>
        <w:rPr>
          <w:rFonts w:hint="eastAsia" w:ascii="宋体" w:hAnsi="宋体"/>
          <w:b/>
          <w:color w:val="auto"/>
          <w:szCs w:val="21"/>
          <w:highlight w:val="none"/>
        </w:rPr>
        <w:t>磋商保证金缴纳证明材料</w:t>
      </w:r>
    </w:p>
    <w:p w14:paraId="74D7457F">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三、供应商的资格证明资料</w:t>
      </w:r>
    </w:p>
    <w:p w14:paraId="7D123B88">
      <w:pPr>
        <w:pStyle w:val="14"/>
        <w:adjustRightInd w:val="0"/>
        <w:snapToGrid w:val="0"/>
        <w:spacing w:line="360" w:lineRule="auto"/>
        <w:ind w:firstLine="435"/>
        <w:rPr>
          <w:rFonts w:hAnsi="宋体"/>
          <w:color w:val="auto"/>
          <w:highlight w:val="none"/>
        </w:rPr>
      </w:pPr>
      <w:r>
        <w:rPr>
          <w:rFonts w:hint="eastAsia" w:hAnsi="宋体"/>
          <w:color w:val="auto"/>
          <w:highlight w:val="none"/>
        </w:rPr>
        <w:t>附件3：供应商基本情况表</w:t>
      </w:r>
    </w:p>
    <w:p w14:paraId="7D14EEA4">
      <w:pPr>
        <w:pStyle w:val="14"/>
        <w:adjustRightInd w:val="0"/>
        <w:snapToGrid w:val="0"/>
        <w:spacing w:line="360" w:lineRule="auto"/>
        <w:ind w:firstLine="435"/>
        <w:rPr>
          <w:rFonts w:hAnsi="宋体"/>
          <w:color w:val="auto"/>
          <w:highlight w:val="none"/>
        </w:rPr>
      </w:pPr>
      <w:r>
        <w:rPr>
          <w:rFonts w:hint="eastAsia" w:hAnsi="宋体"/>
          <w:color w:val="auto"/>
          <w:highlight w:val="none"/>
        </w:rPr>
        <w:t>附件4：磋商文件规定的基本资格条件证明资料</w:t>
      </w:r>
    </w:p>
    <w:p w14:paraId="3CD86EF1">
      <w:pPr>
        <w:pStyle w:val="14"/>
        <w:adjustRightInd w:val="0"/>
        <w:snapToGrid w:val="0"/>
        <w:spacing w:line="360" w:lineRule="auto"/>
        <w:ind w:firstLine="435"/>
        <w:rPr>
          <w:rFonts w:hAnsi="宋体"/>
          <w:color w:val="auto"/>
          <w:highlight w:val="none"/>
        </w:rPr>
      </w:pPr>
      <w:r>
        <w:rPr>
          <w:rFonts w:hint="eastAsia" w:hAnsi="宋体"/>
          <w:color w:val="auto"/>
          <w:highlight w:val="none"/>
        </w:rPr>
        <w:t>附件5：磋商文件规定的特定资格条件证明资料</w:t>
      </w:r>
    </w:p>
    <w:p w14:paraId="39B5B0D3">
      <w:pPr>
        <w:pStyle w:val="14"/>
        <w:adjustRightInd w:val="0"/>
        <w:snapToGrid w:val="0"/>
        <w:spacing w:line="360" w:lineRule="auto"/>
        <w:ind w:firstLine="435"/>
        <w:rPr>
          <w:rFonts w:hAnsi="宋体"/>
          <w:color w:val="auto"/>
          <w:highlight w:val="none"/>
        </w:rPr>
      </w:pPr>
      <w:r>
        <w:rPr>
          <w:rFonts w:hint="eastAsia" w:hAnsi="宋体"/>
          <w:color w:val="auto"/>
          <w:highlight w:val="none"/>
        </w:rPr>
        <w:t>附件6：其他说明</w:t>
      </w:r>
    </w:p>
    <w:p w14:paraId="1CF325DA">
      <w:pPr>
        <w:pStyle w:val="14"/>
        <w:adjustRightInd w:val="0"/>
        <w:snapToGrid w:val="0"/>
        <w:spacing w:line="360" w:lineRule="auto"/>
        <w:rPr>
          <w:rFonts w:hint="eastAsia" w:hAnsi="宋体" w:eastAsia="宋体"/>
          <w:b/>
          <w:color w:val="auto"/>
          <w:highlight w:val="none"/>
          <w:lang w:eastAsia="zh-CN"/>
        </w:rPr>
      </w:pPr>
      <w:r>
        <w:rPr>
          <w:rFonts w:hint="eastAsia" w:hAnsi="宋体"/>
          <w:b/>
          <w:color w:val="auto"/>
          <w:highlight w:val="none"/>
        </w:rPr>
        <w:t>四、货物说明一览表</w:t>
      </w:r>
    </w:p>
    <w:p w14:paraId="52D24B63">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五、技术/商务响应与偏离表</w:t>
      </w:r>
    </w:p>
    <w:p w14:paraId="14A5E6CD">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六、提供享受政府采购政策的证明资料和清单表</w:t>
      </w:r>
    </w:p>
    <w:p w14:paraId="7029C0F3">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附件8：中小企业声明函</w:t>
      </w:r>
    </w:p>
    <w:p w14:paraId="02FB2733">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七、报价一览表及分项价格表</w:t>
      </w:r>
    </w:p>
    <w:p w14:paraId="58F16502">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附件9：报价一览表</w:t>
      </w:r>
    </w:p>
    <w:p w14:paraId="1E708FC0">
      <w:pPr>
        <w:pStyle w:val="14"/>
        <w:adjustRightInd w:val="0"/>
        <w:snapToGrid w:val="0"/>
        <w:spacing w:line="360" w:lineRule="auto"/>
        <w:ind w:firstLine="420" w:firstLineChars="200"/>
        <w:rPr>
          <w:rFonts w:hAnsi="宋体"/>
          <w:color w:val="auto"/>
          <w:highlight w:val="none"/>
        </w:rPr>
      </w:pPr>
      <w:r>
        <w:rPr>
          <w:rFonts w:hint="eastAsia" w:hAnsi="宋体"/>
          <w:color w:val="auto"/>
          <w:highlight w:val="none"/>
        </w:rPr>
        <w:t>附件9-1：分项价格表</w:t>
      </w:r>
    </w:p>
    <w:p w14:paraId="6B8A3585">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八、供应商认为需提供的其它资料</w:t>
      </w:r>
    </w:p>
    <w:p w14:paraId="746BF157">
      <w:pPr>
        <w:adjustRightInd w:val="0"/>
        <w:snapToGrid w:val="0"/>
        <w:spacing w:line="360" w:lineRule="auto"/>
        <w:jc w:val="left"/>
        <w:rPr>
          <w:rFonts w:ascii="宋体" w:hAnsi="宋体"/>
          <w:b/>
          <w:color w:val="auto"/>
          <w:szCs w:val="21"/>
          <w:highlight w:val="none"/>
        </w:rPr>
      </w:pPr>
      <w:r>
        <w:rPr>
          <w:rFonts w:hint="eastAsia" w:ascii="宋体" w:hAnsi="宋体"/>
          <w:b/>
          <w:color w:val="auto"/>
          <w:szCs w:val="21"/>
          <w:highlight w:val="none"/>
        </w:rPr>
        <w:t>九、最后报价</w:t>
      </w:r>
    </w:p>
    <w:p w14:paraId="16AE969A">
      <w:pPr>
        <w:pStyle w:val="14"/>
        <w:adjustRightInd w:val="0"/>
        <w:snapToGrid w:val="0"/>
        <w:spacing w:line="360" w:lineRule="auto"/>
        <w:rPr>
          <w:rFonts w:hAnsi="宋体"/>
          <w:b/>
          <w:color w:val="auto"/>
          <w:highlight w:val="none"/>
        </w:rPr>
      </w:pPr>
    </w:p>
    <w:p w14:paraId="57682375">
      <w:pPr>
        <w:adjustRightInd w:val="0"/>
        <w:snapToGrid w:val="0"/>
        <w:spacing w:line="360" w:lineRule="auto"/>
        <w:ind w:firstLine="643" w:firstLineChars="200"/>
        <w:jc w:val="center"/>
        <w:rPr>
          <w:rFonts w:ascii="黑体" w:eastAsia="黑体"/>
          <w:b/>
          <w:color w:val="auto"/>
          <w:sz w:val="32"/>
          <w:szCs w:val="32"/>
          <w:highlight w:val="none"/>
        </w:rPr>
      </w:pPr>
    </w:p>
    <w:p w14:paraId="08E7EF8D">
      <w:pPr>
        <w:adjustRightInd w:val="0"/>
        <w:snapToGrid w:val="0"/>
        <w:spacing w:line="360" w:lineRule="auto"/>
        <w:ind w:firstLine="643" w:firstLineChars="200"/>
        <w:jc w:val="center"/>
        <w:rPr>
          <w:rFonts w:ascii="黑体" w:eastAsia="黑体"/>
          <w:b/>
          <w:color w:val="auto"/>
          <w:sz w:val="32"/>
          <w:szCs w:val="32"/>
          <w:highlight w:val="none"/>
        </w:rPr>
      </w:pPr>
    </w:p>
    <w:p w14:paraId="5DE75A3C">
      <w:pPr>
        <w:widowControl/>
        <w:jc w:val="left"/>
        <w:rPr>
          <w:rFonts w:ascii="黑体" w:eastAsia="黑体"/>
          <w:b/>
          <w:color w:val="auto"/>
          <w:sz w:val="32"/>
          <w:szCs w:val="32"/>
          <w:highlight w:val="none"/>
        </w:rPr>
      </w:pPr>
      <w:r>
        <w:rPr>
          <w:rFonts w:ascii="黑体" w:eastAsia="黑体"/>
          <w:b/>
          <w:color w:val="auto"/>
          <w:sz w:val="32"/>
          <w:szCs w:val="32"/>
          <w:highlight w:val="none"/>
        </w:rPr>
        <w:br w:type="page"/>
      </w:r>
    </w:p>
    <w:p w14:paraId="032F69B9">
      <w:pPr>
        <w:spacing w:line="360" w:lineRule="exact"/>
        <w:ind w:firstLine="3240" w:firstLineChars="450"/>
        <w:outlineLvl w:val="1"/>
        <w:rPr>
          <w:rFonts w:ascii="黑体" w:eastAsia="黑体"/>
          <w:b/>
          <w:color w:val="auto"/>
          <w:sz w:val="32"/>
          <w:szCs w:val="32"/>
          <w:highlight w:val="none"/>
        </w:rPr>
      </w:pPr>
      <w:r>
        <w:rPr>
          <w:color w:val="auto"/>
          <w:sz w:val="72"/>
          <w:highlight w:val="none"/>
        </w:rPr>
        <mc:AlternateContent>
          <mc:Choice Requires="wps">
            <w:drawing>
              <wp:anchor distT="0" distB="0" distL="114300" distR="114300" simplePos="0" relativeHeight="251659264" behindDoc="0" locked="0" layoutInCell="1" allowOverlap="1">
                <wp:simplePos x="0" y="0"/>
                <wp:positionH relativeFrom="column">
                  <wp:posOffset>7105650</wp:posOffset>
                </wp:positionH>
                <wp:positionV relativeFrom="paragraph">
                  <wp:posOffset>15240</wp:posOffset>
                </wp:positionV>
                <wp:extent cx="770255" cy="407670"/>
                <wp:effectExtent l="4445" t="4445" r="6350" b="6985"/>
                <wp:wrapNone/>
                <wp:docPr id="2" name="矩形 2"/>
                <wp:cNvGraphicFramePr/>
                <a:graphic xmlns:a="http://schemas.openxmlformats.org/drawingml/2006/main">
                  <a:graphicData uri="http://schemas.microsoft.com/office/word/2010/wordprocessingShape">
                    <wps:wsp>
                      <wps:cNvSpPr/>
                      <wps:spPr>
                        <a:xfrm>
                          <a:off x="0" y="0"/>
                          <a:ext cx="770255" cy="4076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16BCF6"/>
                        </w:txbxContent>
                      </wps:txbx>
                      <wps:bodyPr vert="horz" wrap="square" anchor="t" upright="1"/>
                    </wps:wsp>
                  </a:graphicData>
                </a:graphic>
              </wp:anchor>
            </w:drawing>
          </mc:Choice>
          <mc:Fallback>
            <w:pict>
              <v:rect id="_x0000_s1026" o:spid="_x0000_s1026" o:spt="1" style="position:absolute;left:0pt;margin-left:559.5pt;margin-top:1.2pt;height:32.1pt;width:60.65pt;z-index:251659264;mso-width-relative:page;mso-height-relative:page;" fillcolor="#FFFFFF" filled="t" stroked="t" coordsize="21600,21600" o:gfxdata="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Vdp881wAA&#10;AAoBAAAPAAAAAAAAAAEAIAAAACIAAABkcnMvZG93bnJldi54bWxQSwECFAAUAAAACACHTuJA4ClB&#10;px8CAABbBAAADgAAAAAAAAABACAAAAAmAQAAZHJzL2Uyb0RvYy54bWxQSwUGAAAAAAYABgBZAQAA&#10;twUAAAAA&#10;">
                <v:fill on="t" focussize="0,0"/>
                <v:stroke color="#000000" joinstyle="miter"/>
                <v:imagedata o:title=""/>
                <o:lock v:ext="edit" aspectratio="f"/>
                <v:textbox>
                  <w:txbxContent>
                    <w:p w14:paraId="1216BCF6"/>
                  </w:txbxContent>
                </v:textbox>
              </v:rect>
            </w:pict>
          </mc:Fallback>
        </mc:AlternateContent>
      </w:r>
      <w:r>
        <w:rPr>
          <w:rFonts w:hint="eastAsia" w:ascii="黑体" w:eastAsia="黑体"/>
          <w:b/>
          <w:color w:val="auto"/>
          <w:sz w:val="32"/>
          <w:szCs w:val="32"/>
          <w:highlight w:val="none"/>
        </w:rPr>
        <w:t>一、</w:t>
      </w:r>
      <w:r>
        <w:rPr>
          <w:rFonts w:hint="eastAsia" w:ascii="黑体" w:hAnsi="宋体" w:eastAsia="黑体"/>
          <w:b/>
          <w:color w:val="auto"/>
          <w:sz w:val="32"/>
          <w:szCs w:val="32"/>
          <w:highlight w:val="none"/>
        </w:rPr>
        <w:t>磋商响应声明</w:t>
      </w:r>
    </w:p>
    <w:p w14:paraId="0614CB84">
      <w:pPr>
        <w:adjustRightInd w:val="0"/>
        <w:snapToGrid w:val="0"/>
        <w:spacing w:line="360" w:lineRule="auto"/>
        <w:rPr>
          <w:rFonts w:ascii="仿宋_GB2312" w:hAnsi="宋体" w:eastAsia="仿宋_GB2312"/>
          <w:color w:val="auto"/>
          <w:sz w:val="24"/>
          <w:highlight w:val="none"/>
        </w:rPr>
      </w:pPr>
    </w:p>
    <w:p w14:paraId="28485AB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 (采购人或采购代理机构)：</w:t>
      </w:r>
    </w:p>
    <w:p w14:paraId="45E78C90">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我方已仔细研究了</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项目名称)的竞争性磋商文件（政府采购编号：</w:t>
      </w:r>
      <w:r>
        <w:rPr>
          <w:rFonts w:hint="eastAsia" w:ascii="宋体" w:hAnsi="宋体"/>
          <w:color w:val="auto"/>
          <w:szCs w:val="21"/>
          <w:highlight w:val="none"/>
          <w:lang w:val="en-US"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 xml:space="preserve"> ；采购代理编号：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）的全部内容，</w:t>
      </w:r>
      <w:r>
        <w:rPr>
          <w:rFonts w:hint="eastAsia" w:hAnsi="宋体"/>
          <w:color w:val="auto"/>
          <w:highlight w:val="none"/>
        </w:rPr>
        <w:t>知悉参加竞争性磋商的风险，我方承诺接受磋商文件的全部条款且无任何异议。</w:t>
      </w:r>
    </w:p>
    <w:p w14:paraId="1CBD6343">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一、我方同意在磋商文件中规定的提交首次响应文件截止时间起</w:t>
      </w:r>
      <w:r>
        <w:rPr>
          <w:rFonts w:hint="eastAsia" w:hAnsi="宋体"/>
          <w:color w:val="auto"/>
          <w:highlight w:val="none"/>
          <w:u w:val="single"/>
          <w:lang w:val="en-US" w:eastAsia="zh-CN"/>
        </w:rPr>
        <w:t xml:space="preserve">    </w:t>
      </w:r>
      <w:r>
        <w:rPr>
          <w:rFonts w:hint="eastAsia" w:hAnsi="宋体"/>
          <w:color w:val="auto"/>
          <w:highlight w:val="none"/>
        </w:rPr>
        <w:t>日内(响应文件有效期)遵守本响应文件中的承诺且在此期限期满之前均具有法律约束力。</w:t>
      </w:r>
    </w:p>
    <w:p w14:paraId="77B235DD">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二、我方提交响应文件正本一份和副本</w:t>
      </w:r>
      <w:r>
        <w:rPr>
          <w:rFonts w:hint="eastAsia" w:hAnsi="宋体"/>
          <w:color w:val="auto"/>
          <w:highlight w:val="none"/>
          <w:u w:val="single"/>
        </w:rPr>
        <w:t xml:space="preserve">    </w:t>
      </w:r>
      <w:r>
        <w:rPr>
          <w:rFonts w:hint="eastAsia" w:hAnsi="宋体"/>
          <w:color w:val="auto"/>
          <w:highlight w:val="none"/>
        </w:rPr>
        <w:t>式份，并保证响应文件提供的数据和资料全部内容真实、合法、准确和完整，我们对此负责，并愿承担由此引起的法律责任。</w:t>
      </w:r>
    </w:p>
    <w:p w14:paraId="31B9DCA4">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三、我方愿意向贵方提供任何与本项采购有关的数据、情况和技术资料。若贵方需要，我方愿意提供我方作出的一切承诺的证明资料。</w:t>
      </w:r>
    </w:p>
    <w:p w14:paraId="31A18A19">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四、我方愿意按磋商文件规定和磋商小组要求重新提交响应文件和最后报价。</w:t>
      </w:r>
    </w:p>
    <w:p w14:paraId="5320D9FA">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五、我方承诺遵守《中华人民共和国政府采购法》的有关规定，保证在获得成交资格后，按照磋商文件确定的事项签订政府采购合同，履行双方所签订的合同，并承担合同规定的责任和义务。</w:t>
      </w:r>
    </w:p>
    <w:p w14:paraId="08C485C1">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 xml:space="preserve">六、我方在此声明： </w:t>
      </w:r>
    </w:p>
    <w:p w14:paraId="28389E13">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（一）我方与采购人或采购代理机构不存在隶属关系或者其他利害关系。</w:t>
      </w:r>
    </w:p>
    <w:p w14:paraId="5DA2F33B">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（二）我方与参加本项目的其他供应商不存在直接控股、管理关系，或者与其他供应商法定代表人（或者负责人）为同一人。</w:t>
      </w:r>
    </w:p>
    <w:p w14:paraId="6378EC38">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（三）我方未为本项目前期准备提供设计或咨询服务。</w:t>
      </w:r>
    </w:p>
    <w:p w14:paraId="3949650C">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（四）我方承诺（承诺期：成立三年以上的，为提交首次响应文件截止时间前三年内；成立不足三年的，为实际时间）：</w:t>
      </w:r>
    </w:p>
    <w:p w14:paraId="41B78DED">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1、我方依法缴纳了各项税费及各项社会保障资金，没有偷税、漏税及欠缴行为。</w:t>
      </w:r>
    </w:p>
    <w:p w14:paraId="14AA79A9">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Ansi="宋体"/>
          <w:color w:val="auto"/>
          <w:highlight w:val="none"/>
        </w:rPr>
      </w:pPr>
      <w:r>
        <w:rPr>
          <w:rFonts w:hint="eastAsia" w:hAnsi="宋体"/>
          <w:color w:val="auto"/>
          <w:highlight w:val="none"/>
        </w:rPr>
        <w:t>2、我方在经营活动中没有存在下列重大违法记录：</w:t>
      </w:r>
    </w:p>
    <w:p w14:paraId="1F289B28">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1</w:t>
      </w:r>
      <w:r>
        <w:rPr>
          <w:rFonts w:hint="eastAsia" w:hAnsi="宋体"/>
          <w:color w:val="auto"/>
          <w:highlight w:val="none"/>
          <w:lang w:eastAsia="zh-CN"/>
        </w:rPr>
        <w:t>）</w:t>
      </w:r>
      <w:r>
        <w:rPr>
          <w:rFonts w:hint="eastAsia" w:hAnsi="宋体"/>
          <w:color w:val="auto"/>
          <w:highlight w:val="none"/>
        </w:rPr>
        <w:t>受到刑事处罚或者责令停产停业、吊销许可证</w:t>
      </w:r>
      <w:r>
        <w:rPr>
          <w:rFonts w:hint="eastAsia" w:hAnsi="宋体"/>
          <w:color w:val="auto"/>
          <w:highlight w:val="none"/>
          <w:lang w:val="en-US" w:eastAsia="zh-CN"/>
        </w:rPr>
        <w:t>或</w:t>
      </w:r>
      <w:r>
        <w:rPr>
          <w:rFonts w:hint="eastAsia" w:hAnsi="宋体"/>
          <w:color w:val="auto"/>
          <w:highlight w:val="none"/>
        </w:rPr>
        <w:t>者执照、较大数额罚款等行政处罚。供应商在参加政府采购活动前3年内因违法经营被禁止在一定期限内参加政府采购活动,期限届满的,可以参加政府采购活动。</w:t>
      </w:r>
    </w:p>
    <w:p w14:paraId="23DC80D5">
      <w:pPr>
        <w:pStyle w:val="14"/>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hAnsi="宋体"/>
          <w:color w:val="auto"/>
          <w:highlight w:val="none"/>
        </w:rPr>
      </w:pPr>
      <w:r>
        <w:rPr>
          <w:rFonts w:hint="eastAsia" w:hAnsi="宋体"/>
          <w:color w:val="auto"/>
          <w:highlight w:val="none"/>
          <w:lang w:eastAsia="zh-CN"/>
        </w:rPr>
        <w:t>（</w:t>
      </w:r>
      <w:r>
        <w:rPr>
          <w:rFonts w:hint="eastAsia" w:hAnsi="宋体"/>
          <w:color w:val="auto"/>
          <w:highlight w:val="none"/>
          <w:lang w:val="en-US" w:eastAsia="zh-CN"/>
        </w:rPr>
        <w:t>2</w:t>
      </w:r>
      <w:r>
        <w:rPr>
          <w:rFonts w:hint="eastAsia" w:hAnsi="宋体"/>
          <w:color w:val="auto"/>
          <w:highlight w:val="none"/>
          <w:lang w:eastAsia="zh-CN"/>
        </w:rPr>
        <w:t>）</w:t>
      </w:r>
      <w:r>
        <w:rPr>
          <w:rFonts w:hint="eastAsia" w:hAnsi="宋体"/>
          <w:color w:val="auto"/>
          <w:highlight w:val="none"/>
        </w:rPr>
        <w:t>重大违法记录中的较大数额罚款的具体金额标准是:“较大数额罚款”认定为200万元以上的罚款，法律、行政法规以及国务院有关部门明确规定相关领域“较大数额罚款”标准高于200万元的，从其规定。</w:t>
      </w:r>
    </w:p>
    <w:p w14:paraId="4C9BDDE0">
      <w:pPr>
        <w:adjustRightInd w:val="0"/>
        <w:snapToGrid w:val="0"/>
        <w:spacing w:line="360" w:lineRule="auto"/>
        <w:ind w:right="24"/>
        <w:rPr>
          <w:rFonts w:ascii="宋体" w:hAnsi="宋体"/>
          <w:color w:val="auto"/>
          <w:szCs w:val="21"/>
          <w:highlight w:val="none"/>
        </w:rPr>
      </w:pPr>
      <w:bookmarkStart w:id="76" w:name="_Toc20965_WPSOffice_Level1"/>
      <w:r>
        <w:rPr>
          <w:rFonts w:hint="eastAsia" w:ascii="宋体" w:hAnsi="宋体"/>
          <w:bCs/>
          <w:color w:val="auto"/>
          <w:szCs w:val="21"/>
          <w:highlight w:val="none"/>
        </w:rPr>
        <w:t>附件1：</w:t>
      </w:r>
      <w:r>
        <w:rPr>
          <w:rFonts w:hint="eastAsia" w:ascii="宋体" w:hAnsi="宋体"/>
          <w:color w:val="auto"/>
          <w:szCs w:val="21"/>
          <w:highlight w:val="none"/>
        </w:rPr>
        <w:t>法定代表人身份证明</w:t>
      </w:r>
      <w:bookmarkEnd w:id="76"/>
    </w:p>
    <w:p w14:paraId="008D36FB">
      <w:pPr>
        <w:adjustRightInd w:val="0"/>
        <w:snapToGrid w:val="0"/>
        <w:spacing w:line="360" w:lineRule="auto"/>
        <w:ind w:right="24"/>
        <w:rPr>
          <w:rFonts w:ascii="宋体" w:hAnsi="宋体"/>
          <w:color w:val="auto"/>
          <w:szCs w:val="21"/>
          <w:highlight w:val="none"/>
        </w:rPr>
      </w:pPr>
      <w:bookmarkStart w:id="77" w:name="_Toc31857_WPSOffice_Level1"/>
      <w:r>
        <w:rPr>
          <w:rFonts w:hint="eastAsia" w:ascii="宋体" w:hAnsi="宋体"/>
          <w:bCs/>
          <w:color w:val="auto"/>
          <w:szCs w:val="21"/>
          <w:highlight w:val="none"/>
        </w:rPr>
        <w:t>附件2</w:t>
      </w:r>
      <w:r>
        <w:rPr>
          <w:rFonts w:hint="eastAsia" w:ascii="宋体" w:hAnsi="宋体"/>
          <w:color w:val="auto"/>
          <w:szCs w:val="21"/>
          <w:highlight w:val="none"/>
        </w:rPr>
        <w:t>：法定代表人授权书</w:t>
      </w:r>
      <w:bookmarkEnd w:id="77"/>
    </w:p>
    <w:p w14:paraId="3931C7A6">
      <w:pPr>
        <w:pStyle w:val="14"/>
        <w:adjustRightInd w:val="0"/>
        <w:snapToGrid w:val="0"/>
        <w:spacing w:line="360" w:lineRule="auto"/>
        <w:rPr>
          <w:rFonts w:hAnsi="宋体"/>
          <w:color w:val="auto"/>
          <w:highlight w:val="none"/>
        </w:rPr>
      </w:pPr>
    </w:p>
    <w:p w14:paraId="04FEF12B">
      <w:pPr>
        <w:pStyle w:val="14"/>
        <w:adjustRightInd w:val="0"/>
        <w:snapToGrid w:val="0"/>
        <w:spacing w:line="360" w:lineRule="auto"/>
        <w:rPr>
          <w:rFonts w:hAnsi="宋体"/>
          <w:color w:val="auto"/>
          <w:highlight w:val="none"/>
        </w:rPr>
      </w:pPr>
      <w:r>
        <w:rPr>
          <w:rFonts w:hint="eastAsia" w:hAnsi="宋体"/>
          <w:color w:val="auto"/>
          <w:highlight w:val="none"/>
        </w:rPr>
        <w:t>供应商名称(盖单位章)：</w:t>
      </w:r>
    </w:p>
    <w:p w14:paraId="36443CE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法定代表人或其委托代理人 (签字)：</w:t>
      </w:r>
    </w:p>
    <w:p w14:paraId="71C4BA64">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期：年月日</w:t>
      </w:r>
    </w:p>
    <w:p w14:paraId="4BB4CC61">
      <w:pPr>
        <w:pStyle w:val="3"/>
        <w:rPr>
          <w:rFonts w:hint="eastAsia" w:ascii="宋体" w:hAnsi="宋体"/>
          <w:color w:val="auto"/>
          <w:szCs w:val="21"/>
          <w:highlight w:val="none"/>
        </w:rPr>
      </w:pPr>
    </w:p>
    <w:p w14:paraId="70EC8889">
      <w:pPr>
        <w:rPr>
          <w:rFonts w:hint="eastAsia" w:ascii="宋体" w:hAnsi="宋体"/>
          <w:color w:val="auto"/>
          <w:szCs w:val="21"/>
          <w:highlight w:val="none"/>
        </w:rPr>
      </w:pPr>
    </w:p>
    <w:p w14:paraId="24A1EA9D">
      <w:pPr>
        <w:rPr>
          <w:rFonts w:hint="eastAsia" w:ascii="宋体" w:hAnsi="宋体"/>
          <w:color w:val="auto"/>
          <w:szCs w:val="21"/>
          <w:highlight w:val="none"/>
        </w:rPr>
      </w:pPr>
    </w:p>
    <w:p w14:paraId="5EE89464">
      <w:pPr>
        <w:pStyle w:val="3"/>
        <w:rPr>
          <w:color w:val="auto"/>
        </w:rPr>
      </w:pPr>
    </w:p>
    <w:p w14:paraId="18CFAADA">
      <w:pPr>
        <w:adjustRightInd w:val="0"/>
        <w:snapToGrid w:val="0"/>
        <w:spacing w:line="360" w:lineRule="auto"/>
        <w:ind w:right="24"/>
        <w:rPr>
          <w:rFonts w:ascii="黑体" w:hAnsi="黑体" w:eastAsia="黑体"/>
          <w:bCs/>
          <w:color w:val="auto"/>
          <w:sz w:val="30"/>
          <w:szCs w:val="30"/>
          <w:highlight w:val="none"/>
        </w:rPr>
      </w:pPr>
      <w:r>
        <w:rPr>
          <w:rFonts w:hint="eastAsia" w:ascii="黑体" w:hAnsi="黑体" w:eastAsia="黑体"/>
          <w:bCs/>
          <w:color w:val="auto"/>
          <w:sz w:val="30"/>
          <w:szCs w:val="30"/>
          <w:highlight w:val="none"/>
        </w:rPr>
        <w:t>附件1</w:t>
      </w:r>
    </w:p>
    <w:p w14:paraId="625E5682">
      <w:pPr>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法定代表人身份证明</w:t>
      </w:r>
    </w:p>
    <w:p w14:paraId="1CD7007D">
      <w:pPr>
        <w:snapToGrid w:val="0"/>
        <w:spacing w:line="480" w:lineRule="auto"/>
        <w:rPr>
          <w:rFonts w:ascii="宋体" w:hAnsi="宋体"/>
          <w:color w:val="auto"/>
          <w:szCs w:val="21"/>
          <w:highlight w:val="none"/>
        </w:rPr>
      </w:pPr>
    </w:p>
    <w:p w14:paraId="4321F019">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olor w:val="auto"/>
          <w:szCs w:val="21"/>
          <w:highlight w:val="none"/>
        </w:rPr>
        <w:t>供应商</w:t>
      </w:r>
      <w:r>
        <w:rPr>
          <w:rFonts w:hint="eastAsia" w:ascii="宋体" w:hAnsi="宋体" w:cs="宋体"/>
          <w:color w:val="auto"/>
          <w:kern w:val="0"/>
          <w:szCs w:val="21"/>
          <w:highlight w:val="none"/>
        </w:rPr>
        <w:t>名称：</w:t>
      </w:r>
    </w:p>
    <w:p w14:paraId="4E7960A8">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注册号：</w:t>
      </w:r>
    </w:p>
    <w:p w14:paraId="300C1767">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注册地址：</w:t>
      </w:r>
    </w:p>
    <w:p w14:paraId="50494C96">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成立时间： 年 月 日</w:t>
      </w:r>
    </w:p>
    <w:p w14:paraId="46A7F07A">
      <w:pPr>
        <w:autoSpaceDE w:val="0"/>
        <w:autoSpaceDN w:val="0"/>
        <w:adjustRightInd w:val="0"/>
        <w:snapToGrid w:val="0"/>
        <w:spacing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经营期限：</w:t>
      </w:r>
    </w:p>
    <w:p w14:paraId="285B12F7">
      <w:pPr>
        <w:autoSpaceDE w:val="0"/>
        <w:autoSpaceDN w:val="0"/>
        <w:adjustRightInd w:val="0"/>
        <w:snapToGrid w:val="0"/>
        <w:spacing w:line="360" w:lineRule="auto"/>
        <w:jc w:val="left"/>
        <w:rPr>
          <w:rFonts w:ascii="宋体" w:hAnsi="宋体" w:cs="宋体"/>
          <w:color w:val="auto"/>
          <w:kern w:val="0"/>
          <w:szCs w:val="21"/>
          <w:highlight w:val="none"/>
          <w:u w:val="single"/>
        </w:rPr>
      </w:pPr>
      <w:r>
        <w:rPr>
          <w:rFonts w:hint="eastAsia" w:ascii="宋体" w:hAnsi="宋体" w:cs="宋体"/>
          <w:color w:val="auto"/>
          <w:kern w:val="0"/>
          <w:szCs w:val="21"/>
          <w:highlight w:val="none"/>
        </w:rPr>
        <w:t>经营范围：主营： ；兼营：</w:t>
      </w:r>
    </w:p>
    <w:p w14:paraId="5226B706">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姓名： 性别： 年龄： 系（</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w:t>
      </w:r>
    </w:p>
    <w:p w14:paraId="7545A10B">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特此证明。</w:t>
      </w:r>
    </w:p>
    <w:p w14:paraId="4F12C52B">
      <w:pPr>
        <w:autoSpaceDE w:val="0"/>
        <w:autoSpaceDN w:val="0"/>
        <w:adjustRightInd w:val="0"/>
        <w:snapToGrid w:val="0"/>
        <w:spacing w:line="360" w:lineRule="auto"/>
        <w:jc w:val="left"/>
        <w:rPr>
          <w:rFonts w:ascii="宋体" w:hAnsi="宋体" w:cs="宋体"/>
          <w:color w:val="auto"/>
          <w:kern w:val="0"/>
          <w:szCs w:val="21"/>
          <w:highlight w:val="none"/>
        </w:rPr>
      </w:pPr>
      <w:r>
        <w:rPr>
          <w:rFonts w:hint="eastAsia" w:ascii="宋体" w:hAnsi="宋体"/>
          <w:color w:val="auto"/>
          <w:szCs w:val="21"/>
          <w:highlight w:val="none"/>
        </w:rPr>
        <w:t>附：法定代表人身份证复印件</w:t>
      </w:r>
    </w:p>
    <w:p w14:paraId="5F67E484">
      <w:pPr>
        <w:snapToGrid w:val="0"/>
        <w:spacing w:line="480" w:lineRule="auto"/>
        <w:rPr>
          <w:rFonts w:ascii="宋体" w:hAnsi="宋体"/>
          <w:color w:val="auto"/>
          <w:szCs w:val="21"/>
          <w:highlight w:val="none"/>
        </w:rPr>
      </w:pPr>
    </w:p>
    <w:p w14:paraId="532C3363">
      <w:pPr>
        <w:snapToGrid w:val="0"/>
        <w:rPr>
          <w:rFonts w:ascii="宋体" w:hAnsi="宋体"/>
          <w:color w:val="auto"/>
          <w:szCs w:val="21"/>
          <w:highlight w:val="none"/>
        </w:rPr>
      </w:pPr>
    </w:p>
    <w:p w14:paraId="7D16CB0E">
      <w:pPr>
        <w:snapToGrid w:val="0"/>
        <w:rPr>
          <w:rFonts w:ascii="宋体" w:hAnsi="宋体"/>
          <w:color w:val="auto"/>
          <w:szCs w:val="21"/>
          <w:highlight w:val="none"/>
        </w:rPr>
      </w:pPr>
    </w:p>
    <w:p w14:paraId="4F92D6D2">
      <w:pPr>
        <w:snapToGrid w:val="0"/>
        <w:rPr>
          <w:rFonts w:ascii="宋体" w:hAnsi="宋体"/>
          <w:color w:val="auto"/>
          <w:szCs w:val="21"/>
          <w:highlight w:val="none"/>
        </w:rPr>
      </w:pPr>
    </w:p>
    <w:p w14:paraId="5C39F3F0">
      <w:pPr>
        <w:snapToGrid w:val="0"/>
        <w:rPr>
          <w:rFonts w:ascii="宋体" w:hAnsi="宋体"/>
          <w:color w:val="auto"/>
          <w:szCs w:val="21"/>
          <w:highlight w:val="none"/>
        </w:rPr>
      </w:pPr>
    </w:p>
    <w:p w14:paraId="7502CBD8">
      <w:pPr>
        <w:adjustRightInd w:val="0"/>
        <w:snapToGrid w:val="0"/>
        <w:spacing w:line="360" w:lineRule="auto"/>
        <w:rPr>
          <w:rFonts w:ascii="宋体" w:hAnsi="宋体"/>
          <w:color w:val="auto"/>
          <w:szCs w:val="21"/>
          <w:highlight w:val="none"/>
        </w:rPr>
      </w:pPr>
    </w:p>
    <w:p w14:paraId="6D006EF9">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供应商名称（盖单位章）：</w:t>
      </w:r>
    </w:p>
    <w:p w14:paraId="79823F3B">
      <w:pPr>
        <w:adjustRightInd w:val="0"/>
        <w:snapToGrid w:val="0"/>
        <w:spacing w:line="360" w:lineRule="auto"/>
        <w:ind w:right="420"/>
        <w:rPr>
          <w:rFonts w:ascii="仿宋_GB2312" w:hAnsi="宋体" w:eastAsia="仿宋_GB2312"/>
          <w:color w:val="auto"/>
          <w:szCs w:val="21"/>
          <w:highlight w:val="none"/>
        </w:rPr>
      </w:pPr>
      <w:r>
        <w:rPr>
          <w:rFonts w:hint="eastAsia" w:ascii="宋体" w:hAnsi="宋体"/>
          <w:color w:val="auto"/>
          <w:szCs w:val="21"/>
          <w:highlight w:val="none"/>
        </w:rPr>
        <w:t xml:space="preserve">日期：年月日      </w:t>
      </w:r>
    </w:p>
    <w:p w14:paraId="6ABFC8F2">
      <w:pPr>
        <w:adjustRightInd w:val="0"/>
        <w:snapToGrid w:val="0"/>
        <w:spacing w:before="120" w:beforeLines="50" w:line="360" w:lineRule="auto"/>
        <w:rPr>
          <w:rFonts w:ascii="仿宋_GB2312" w:hAnsi="宋体" w:eastAsia="仿宋_GB2312"/>
          <w:color w:val="auto"/>
          <w:szCs w:val="21"/>
          <w:highlight w:val="none"/>
        </w:rPr>
      </w:pPr>
    </w:p>
    <w:p w14:paraId="6476F8CE">
      <w:pPr>
        <w:adjustRightInd w:val="0"/>
        <w:snapToGrid w:val="0"/>
        <w:spacing w:before="120" w:beforeLines="50" w:line="360" w:lineRule="auto"/>
        <w:rPr>
          <w:rFonts w:ascii="仿宋_GB2312" w:hAnsi="宋体" w:eastAsia="仿宋_GB2312"/>
          <w:color w:val="auto"/>
          <w:szCs w:val="21"/>
          <w:highlight w:val="none"/>
        </w:rPr>
      </w:pPr>
    </w:p>
    <w:p w14:paraId="684D4AD6">
      <w:pPr>
        <w:adjustRightInd w:val="0"/>
        <w:snapToGrid w:val="0"/>
        <w:spacing w:before="120" w:beforeLines="50" w:line="360" w:lineRule="auto"/>
        <w:rPr>
          <w:rFonts w:ascii="黑体" w:hAnsi="黑体" w:eastAsia="黑体"/>
          <w:bCs/>
          <w:color w:val="auto"/>
          <w:sz w:val="30"/>
          <w:szCs w:val="30"/>
          <w:highlight w:val="none"/>
        </w:rPr>
      </w:pPr>
    </w:p>
    <w:p w14:paraId="33F33654">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014BE58D">
      <w:pPr>
        <w:adjustRightInd w:val="0"/>
        <w:snapToGrid w:val="0"/>
        <w:spacing w:before="120" w:beforeLines="50" w:line="360" w:lineRule="auto"/>
        <w:rPr>
          <w:rFonts w:ascii="黑体" w:hAnsi="黑体" w:eastAsia="黑体"/>
          <w:bCs/>
          <w:color w:val="auto"/>
          <w:sz w:val="30"/>
          <w:szCs w:val="30"/>
          <w:highlight w:val="none"/>
        </w:rPr>
      </w:pPr>
    </w:p>
    <w:p w14:paraId="39CBDC39">
      <w:pPr>
        <w:adjustRightInd w:val="0"/>
        <w:snapToGrid w:val="0"/>
        <w:spacing w:before="120" w:beforeLines="50" w:line="360" w:lineRule="auto"/>
        <w:rPr>
          <w:rFonts w:ascii="黑体" w:hAnsi="黑体" w:eastAsia="黑体"/>
          <w:bCs/>
          <w:color w:val="auto"/>
          <w:sz w:val="30"/>
          <w:szCs w:val="30"/>
          <w:highlight w:val="none"/>
        </w:rPr>
      </w:pPr>
      <w:r>
        <w:rPr>
          <w:rFonts w:ascii="黑体" w:hAnsi="黑体" w:eastAsia="黑体"/>
          <w:bCs/>
          <w:color w:val="auto"/>
          <w:sz w:val="30"/>
          <w:szCs w:val="30"/>
          <w:highlight w:val="none"/>
        </w:rPr>
        <w:br w:type="page"/>
      </w:r>
    </w:p>
    <w:p w14:paraId="4874E05C">
      <w:pPr>
        <w:adjustRightInd w:val="0"/>
        <w:snapToGrid w:val="0"/>
        <w:spacing w:before="120" w:beforeLines="50" w:line="360" w:lineRule="auto"/>
        <w:rPr>
          <w:rFonts w:ascii="黑体" w:hAnsi="黑体" w:eastAsia="黑体"/>
          <w:bCs/>
          <w:color w:val="auto"/>
          <w:sz w:val="30"/>
          <w:szCs w:val="30"/>
          <w:highlight w:val="none"/>
        </w:rPr>
      </w:pPr>
    </w:p>
    <w:p w14:paraId="4BE626AD">
      <w:pPr>
        <w:adjustRightInd w:val="0"/>
        <w:snapToGrid w:val="0"/>
        <w:spacing w:before="120" w:beforeLines="50" w:line="360" w:lineRule="auto"/>
        <w:rPr>
          <w:rFonts w:ascii="黑体" w:hAnsi="黑体" w:eastAsia="黑体"/>
          <w:color w:val="auto"/>
          <w:sz w:val="30"/>
          <w:szCs w:val="30"/>
          <w:highlight w:val="none"/>
        </w:rPr>
      </w:pPr>
      <w:r>
        <w:rPr>
          <w:rFonts w:hint="eastAsia" w:ascii="黑体" w:hAnsi="黑体" w:eastAsia="黑体"/>
          <w:bCs/>
          <w:color w:val="auto"/>
          <w:sz w:val="30"/>
          <w:szCs w:val="30"/>
          <w:highlight w:val="none"/>
        </w:rPr>
        <w:t>附件2</w:t>
      </w:r>
    </w:p>
    <w:p w14:paraId="4743E620">
      <w:pPr>
        <w:jc w:val="center"/>
        <w:rPr>
          <w:rFonts w:ascii="黑体" w:hAnsi="黑体" w:eastAsia="黑体"/>
          <w:b/>
          <w:color w:val="auto"/>
          <w:sz w:val="30"/>
          <w:szCs w:val="30"/>
          <w:highlight w:val="none"/>
        </w:rPr>
      </w:pPr>
      <w:r>
        <w:rPr>
          <w:rFonts w:hint="eastAsia" w:ascii="黑体" w:hAnsi="黑体" w:eastAsia="黑体"/>
          <w:b/>
          <w:color w:val="auto"/>
          <w:sz w:val="30"/>
          <w:szCs w:val="30"/>
          <w:highlight w:val="none"/>
        </w:rPr>
        <w:t>法定代表人授权委托书</w:t>
      </w:r>
    </w:p>
    <w:p w14:paraId="5EACDDB0">
      <w:pPr>
        <w:adjustRightInd w:val="0"/>
        <w:snapToGrid w:val="0"/>
        <w:spacing w:line="360" w:lineRule="auto"/>
        <w:jc w:val="center"/>
        <w:rPr>
          <w:rFonts w:ascii="黑体" w:hAnsi="华文中宋" w:eastAsia="黑体"/>
          <w:b/>
          <w:color w:val="auto"/>
          <w:sz w:val="28"/>
          <w:szCs w:val="28"/>
          <w:highlight w:val="none"/>
        </w:rPr>
      </w:pPr>
    </w:p>
    <w:p w14:paraId="21AA5A11">
      <w:pPr>
        <w:autoSpaceDE w:val="0"/>
        <w:autoSpaceDN w:val="0"/>
        <w:adjustRightInd w:val="0"/>
        <w:snapToGrid w:val="0"/>
        <w:spacing w:before="120"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名称）的法定代表人，现授权（姓名、职务）为我方代理人。代理人根据授权，以我方名义：(1)签署、澄清、补正、修改、撤回、提交（项目名称、</w:t>
      </w:r>
      <w:r>
        <w:rPr>
          <w:rFonts w:hint="eastAsia" w:ascii="宋体" w:hAnsi="宋体"/>
          <w:color w:val="auto"/>
          <w:szCs w:val="21"/>
          <w:highlight w:val="none"/>
        </w:rPr>
        <w:t>政府</w:t>
      </w:r>
      <w:r>
        <w:rPr>
          <w:rFonts w:hint="eastAsia" w:ascii="宋体" w:hAnsi="宋体" w:cs="宋体"/>
          <w:color w:val="auto"/>
          <w:kern w:val="0"/>
          <w:szCs w:val="21"/>
          <w:highlight w:val="none"/>
        </w:rPr>
        <w:t>采购编号、采购代理机构编号）响应文件；(2)签署并重新提交响应文件及最后报价；(3)签订合同和处理有关事宜，其法律后果由我方承担；（4）询问、质疑、投诉等相关事项，其法律后果由我方承担。</w:t>
      </w:r>
    </w:p>
    <w:p w14:paraId="0DC4E142">
      <w:pPr>
        <w:autoSpaceDE w:val="0"/>
        <w:autoSpaceDN w:val="0"/>
        <w:adjustRightInd w:val="0"/>
        <w:snapToGrid w:val="0"/>
        <w:spacing w:before="120" w:beforeLines="50" w:line="360" w:lineRule="auto"/>
        <w:ind w:firstLine="420" w:firstLineChars="200"/>
        <w:jc w:val="left"/>
        <w:rPr>
          <w:rFonts w:ascii="宋体" w:hAnsi="宋体" w:cs="宋体"/>
          <w:color w:val="auto"/>
          <w:kern w:val="0"/>
          <w:szCs w:val="21"/>
          <w:highlight w:val="none"/>
        </w:rPr>
      </w:pPr>
    </w:p>
    <w:p w14:paraId="7843DE86">
      <w:pPr>
        <w:autoSpaceDE w:val="0"/>
        <w:autoSpaceDN w:val="0"/>
        <w:adjustRightInd w:val="0"/>
        <w:snapToGrid w:val="0"/>
        <w:spacing w:before="120" w:beforeLines="50"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 。</w:t>
      </w:r>
    </w:p>
    <w:p w14:paraId="3BCEE899">
      <w:pPr>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03E33B93">
      <w:pPr>
        <w:spacing w:line="360" w:lineRule="auto"/>
        <w:ind w:firstLine="435"/>
        <w:rPr>
          <w:rFonts w:ascii="宋体" w:hAnsi="宋体"/>
          <w:color w:val="auto"/>
          <w:szCs w:val="21"/>
          <w:highlight w:val="none"/>
        </w:rPr>
      </w:pPr>
      <w:r>
        <w:rPr>
          <w:rFonts w:hint="eastAsia" w:ascii="宋体" w:hAnsi="宋体"/>
          <w:color w:val="auto"/>
          <w:szCs w:val="21"/>
          <w:highlight w:val="none"/>
        </w:rPr>
        <w:t>本授权书于年月日签字生效，特此声明。</w:t>
      </w:r>
    </w:p>
    <w:p w14:paraId="79E3D4BA">
      <w:pPr>
        <w:adjustRightInd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p w14:paraId="15FA63B7">
      <w:pPr>
        <w:adjustRightInd w:val="0"/>
        <w:snapToGrid w:val="0"/>
        <w:spacing w:line="360" w:lineRule="auto"/>
        <w:ind w:right="420"/>
        <w:rPr>
          <w:rFonts w:ascii="宋体" w:hAnsi="宋体"/>
          <w:color w:val="auto"/>
          <w:szCs w:val="21"/>
          <w:highlight w:val="none"/>
        </w:rPr>
      </w:pPr>
    </w:p>
    <w:p w14:paraId="020D1CA2">
      <w:pPr>
        <w:adjustRightInd w:val="0"/>
        <w:snapToGrid w:val="0"/>
        <w:spacing w:line="360" w:lineRule="auto"/>
        <w:ind w:right="420"/>
        <w:rPr>
          <w:rFonts w:ascii="宋体" w:hAnsi="宋体"/>
          <w:color w:val="auto"/>
          <w:szCs w:val="21"/>
          <w:highlight w:val="none"/>
        </w:rPr>
      </w:pPr>
    </w:p>
    <w:p w14:paraId="01ED4B3C">
      <w:pPr>
        <w:adjustRightInd w:val="0"/>
        <w:snapToGrid w:val="0"/>
        <w:spacing w:line="360" w:lineRule="auto"/>
        <w:ind w:right="420"/>
        <w:rPr>
          <w:rFonts w:ascii="宋体" w:hAnsi="宋体"/>
          <w:color w:val="auto"/>
          <w:szCs w:val="21"/>
          <w:highlight w:val="none"/>
        </w:rPr>
      </w:pPr>
    </w:p>
    <w:p w14:paraId="745172ED">
      <w:pPr>
        <w:adjustRightInd w:val="0"/>
        <w:snapToGrid w:val="0"/>
        <w:spacing w:line="360" w:lineRule="auto"/>
        <w:ind w:right="420"/>
        <w:rPr>
          <w:rFonts w:ascii="宋体" w:hAnsi="宋体"/>
          <w:color w:val="auto"/>
          <w:szCs w:val="21"/>
          <w:highlight w:val="none"/>
        </w:rPr>
      </w:pPr>
    </w:p>
    <w:p w14:paraId="4BC21413">
      <w:pPr>
        <w:adjustRightInd w:val="0"/>
        <w:snapToGrid w:val="0"/>
        <w:spacing w:line="360" w:lineRule="auto"/>
        <w:ind w:right="420"/>
        <w:rPr>
          <w:rFonts w:ascii="宋体" w:hAnsi="宋体"/>
          <w:color w:val="auto"/>
          <w:szCs w:val="21"/>
          <w:highlight w:val="none"/>
        </w:rPr>
      </w:pPr>
    </w:p>
    <w:p w14:paraId="29DBD3F1">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法定代表人（签字）：</w:t>
      </w:r>
    </w:p>
    <w:p w14:paraId="3578D35D">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w:t>
      </w:r>
    </w:p>
    <w:p w14:paraId="2057DC7A">
      <w:pPr>
        <w:adjustRightInd w:val="0"/>
        <w:snapToGrid w:val="0"/>
        <w:spacing w:line="360" w:lineRule="auto"/>
        <w:ind w:right="24"/>
        <w:rPr>
          <w:rFonts w:ascii="宋体" w:hAnsi="宋体"/>
          <w:color w:val="auto"/>
          <w:szCs w:val="21"/>
          <w:highlight w:val="none"/>
        </w:rPr>
      </w:pPr>
      <w:r>
        <w:rPr>
          <w:rFonts w:hint="eastAsia" w:ascii="宋体" w:hAnsi="宋体"/>
          <w:color w:val="auto"/>
          <w:szCs w:val="21"/>
          <w:highlight w:val="none"/>
        </w:rPr>
        <w:t>日期：年月日</w:t>
      </w:r>
    </w:p>
    <w:p w14:paraId="06BD48CF">
      <w:pPr>
        <w:spacing w:line="360" w:lineRule="exact"/>
        <w:rPr>
          <w:rFonts w:ascii="宋体"/>
          <w:b/>
          <w:color w:val="auto"/>
          <w:highlight w:val="none"/>
        </w:rPr>
      </w:pPr>
    </w:p>
    <w:p w14:paraId="1329A42E">
      <w:pPr>
        <w:spacing w:line="360" w:lineRule="exact"/>
        <w:rPr>
          <w:rFonts w:ascii="宋体"/>
          <w:b/>
          <w:color w:val="auto"/>
          <w:highlight w:val="none"/>
        </w:rPr>
      </w:pPr>
    </w:p>
    <w:p w14:paraId="7E5F7837">
      <w:pPr>
        <w:spacing w:line="360" w:lineRule="exact"/>
        <w:rPr>
          <w:rFonts w:ascii="宋体"/>
          <w:b/>
          <w:color w:val="auto"/>
          <w:highlight w:val="none"/>
        </w:rPr>
      </w:pPr>
    </w:p>
    <w:p w14:paraId="327E8AF3">
      <w:pPr>
        <w:spacing w:line="360" w:lineRule="exact"/>
        <w:rPr>
          <w:rFonts w:ascii="宋体"/>
          <w:b/>
          <w:color w:val="auto"/>
          <w:highlight w:val="none"/>
        </w:rPr>
      </w:pPr>
    </w:p>
    <w:p w14:paraId="7A1D6049">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1B9607E3">
      <w:pPr>
        <w:spacing w:line="360" w:lineRule="exact"/>
        <w:rPr>
          <w:rFonts w:ascii="宋体"/>
          <w:b/>
          <w:color w:val="auto"/>
          <w:highlight w:val="none"/>
        </w:rPr>
      </w:pPr>
    </w:p>
    <w:p w14:paraId="2998F172">
      <w:pPr>
        <w:spacing w:line="360" w:lineRule="exact"/>
        <w:rPr>
          <w:rFonts w:ascii="宋体"/>
          <w:b/>
          <w:color w:val="auto"/>
          <w:highlight w:val="none"/>
        </w:rPr>
      </w:pPr>
    </w:p>
    <w:p w14:paraId="7A45EA7A">
      <w:pPr>
        <w:spacing w:line="360" w:lineRule="exact"/>
        <w:rPr>
          <w:rFonts w:ascii="宋体"/>
          <w:b/>
          <w:color w:val="auto"/>
          <w:highlight w:val="none"/>
        </w:rPr>
      </w:pPr>
    </w:p>
    <w:p w14:paraId="142E2E06">
      <w:pPr>
        <w:spacing w:line="360" w:lineRule="exact"/>
        <w:rPr>
          <w:rFonts w:ascii="宋体"/>
          <w:b/>
          <w:color w:val="auto"/>
          <w:highlight w:val="none"/>
        </w:rPr>
      </w:pPr>
    </w:p>
    <w:p w14:paraId="7A6DCE42">
      <w:pPr>
        <w:adjustRightInd w:val="0"/>
        <w:snapToGrid w:val="0"/>
        <w:spacing w:line="360" w:lineRule="auto"/>
        <w:ind w:right="24"/>
        <w:rPr>
          <w:rFonts w:ascii="黑体" w:hAnsi="华文中宋" w:eastAsia="黑体"/>
          <w:bCs/>
          <w:color w:val="auto"/>
          <w:sz w:val="24"/>
          <w:szCs w:val="28"/>
          <w:highlight w:val="none"/>
        </w:rPr>
      </w:pPr>
    </w:p>
    <w:p w14:paraId="05B257CC">
      <w:pPr>
        <w:spacing w:line="360" w:lineRule="exact"/>
        <w:jc w:val="center"/>
        <w:outlineLvl w:val="1"/>
        <w:rPr>
          <w:rFonts w:hint="eastAsia" w:ascii="黑体" w:eastAsia="黑体"/>
          <w:b/>
          <w:color w:val="auto"/>
          <w:sz w:val="32"/>
          <w:szCs w:val="32"/>
          <w:highlight w:val="none"/>
        </w:rPr>
      </w:pPr>
    </w:p>
    <w:p w14:paraId="5DDBD7C1">
      <w:pPr>
        <w:spacing w:line="360" w:lineRule="exact"/>
        <w:jc w:val="center"/>
        <w:outlineLvl w:val="1"/>
        <w:rPr>
          <w:rFonts w:hint="eastAsia" w:ascii="黑体" w:eastAsia="黑体"/>
          <w:b/>
          <w:color w:val="auto"/>
          <w:sz w:val="32"/>
          <w:szCs w:val="32"/>
          <w:highlight w:val="none"/>
        </w:rPr>
      </w:pPr>
    </w:p>
    <w:p w14:paraId="34E64CC5">
      <w:pPr>
        <w:spacing w:line="360" w:lineRule="exact"/>
        <w:jc w:val="center"/>
        <w:outlineLvl w:val="1"/>
        <w:rPr>
          <w:rFonts w:ascii="黑体" w:eastAsia="黑体"/>
          <w:b/>
          <w:color w:val="auto"/>
          <w:sz w:val="32"/>
          <w:szCs w:val="32"/>
          <w:highlight w:val="none"/>
        </w:rPr>
      </w:pPr>
      <w:r>
        <w:rPr>
          <w:rFonts w:hint="eastAsia" w:ascii="黑体" w:eastAsia="黑体"/>
          <w:b/>
          <w:color w:val="auto"/>
          <w:sz w:val="32"/>
          <w:szCs w:val="32"/>
          <w:highlight w:val="none"/>
        </w:rPr>
        <w:t>二</w:t>
      </w:r>
      <w:r>
        <w:rPr>
          <w:rFonts w:hint="eastAsia" w:ascii="黑体" w:hAnsi="宋体" w:eastAsia="黑体"/>
          <w:b/>
          <w:color w:val="auto"/>
          <w:sz w:val="32"/>
          <w:szCs w:val="32"/>
          <w:highlight w:val="none"/>
        </w:rPr>
        <w:t>、磋商</w:t>
      </w:r>
      <w:r>
        <w:rPr>
          <w:rFonts w:hint="eastAsia" w:ascii="黑体" w:eastAsia="黑体"/>
          <w:b/>
          <w:color w:val="auto"/>
          <w:sz w:val="32"/>
          <w:szCs w:val="32"/>
          <w:highlight w:val="none"/>
        </w:rPr>
        <w:t>保证金缴纳证明材料</w:t>
      </w:r>
    </w:p>
    <w:p w14:paraId="59FE73F5">
      <w:pPr>
        <w:pStyle w:val="14"/>
        <w:adjustRightInd w:val="0"/>
        <w:snapToGrid w:val="0"/>
        <w:spacing w:before="120" w:beforeLines="50" w:line="360" w:lineRule="auto"/>
        <w:rPr>
          <w:rFonts w:hAnsi="宋体"/>
          <w:color w:val="auto"/>
          <w:highlight w:val="none"/>
        </w:rPr>
      </w:pPr>
    </w:p>
    <w:p w14:paraId="50F4F205">
      <w:pPr>
        <w:jc w:val="center"/>
        <w:rPr>
          <w:color w:val="auto"/>
          <w:highlight w:val="none"/>
        </w:rPr>
      </w:pPr>
      <w:r>
        <w:rPr>
          <w:rFonts w:hint="eastAsia"/>
          <w:color w:val="auto"/>
          <w:highlight w:val="none"/>
        </w:rPr>
        <w:t>（不需要提供）</w:t>
      </w:r>
    </w:p>
    <w:p w14:paraId="2C8F9EF5">
      <w:pPr>
        <w:rPr>
          <w:color w:val="auto"/>
          <w:highlight w:val="none"/>
        </w:rPr>
      </w:pPr>
    </w:p>
    <w:p w14:paraId="00635702">
      <w:pPr>
        <w:rPr>
          <w:color w:val="auto"/>
          <w:highlight w:val="none"/>
        </w:rPr>
      </w:pPr>
    </w:p>
    <w:p w14:paraId="14C269AC">
      <w:pPr>
        <w:rPr>
          <w:color w:val="auto"/>
          <w:highlight w:val="none"/>
        </w:rPr>
      </w:pPr>
    </w:p>
    <w:p w14:paraId="505B8ED8">
      <w:pPr>
        <w:rPr>
          <w:color w:val="auto"/>
          <w:highlight w:val="none"/>
        </w:rPr>
      </w:pPr>
    </w:p>
    <w:p w14:paraId="0BEFF4A6">
      <w:pPr>
        <w:rPr>
          <w:color w:val="auto"/>
          <w:highlight w:val="none"/>
        </w:rPr>
      </w:pPr>
    </w:p>
    <w:p w14:paraId="62EDD3F8">
      <w:pPr>
        <w:rPr>
          <w:color w:val="auto"/>
          <w:highlight w:val="none"/>
        </w:rPr>
      </w:pPr>
    </w:p>
    <w:p w14:paraId="63BA1F47">
      <w:pPr>
        <w:rPr>
          <w:color w:val="auto"/>
          <w:highlight w:val="none"/>
        </w:rPr>
      </w:pPr>
    </w:p>
    <w:p w14:paraId="0A61344F">
      <w:pPr>
        <w:rPr>
          <w:color w:val="auto"/>
          <w:highlight w:val="none"/>
        </w:rPr>
      </w:pPr>
    </w:p>
    <w:p w14:paraId="5F9AC130">
      <w:pPr>
        <w:rPr>
          <w:color w:val="auto"/>
          <w:highlight w:val="none"/>
        </w:rPr>
      </w:pPr>
    </w:p>
    <w:p w14:paraId="181C5550">
      <w:pPr>
        <w:rPr>
          <w:color w:val="auto"/>
          <w:highlight w:val="none"/>
        </w:rPr>
      </w:pPr>
    </w:p>
    <w:p w14:paraId="169171EB">
      <w:pPr>
        <w:rPr>
          <w:color w:val="auto"/>
          <w:highlight w:val="none"/>
        </w:rPr>
      </w:pPr>
    </w:p>
    <w:p w14:paraId="283707F2">
      <w:pPr>
        <w:rPr>
          <w:color w:val="auto"/>
          <w:highlight w:val="none"/>
        </w:rPr>
      </w:pPr>
    </w:p>
    <w:p w14:paraId="54D16148">
      <w:pPr>
        <w:rPr>
          <w:color w:val="auto"/>
          <w:highlight w:val="none"/>
        </w:rPr>
      </w:pPr>
    </w:p>
    <w:p w14:paraId="421D8500">
      <w:pPr>
        <w:rPr>
          <w:color w:val="auto"/>
          <w:highlight w:val="none"/>
        </w:rPr>
      </w:pPr>
    </w:p>
    <w:p w14:paraId="3F1E30E3">
      <w:pPr>
        <w:rPr>
          <w:color w:val="auto"/>
          <w:highlight w:val="none"/>
        </w:rPr>
      </w:pPr>
    </w:p>
    <w:p w14:paraId="7425E760">
      <w:pPr>
        <w:rPr>
          <w:color w:val="auto"/>
          <w:highlight w:val="none"/>
        </w:rPr>
      </w:pPr>
    </w:p>
    <w:p w14:paraId="074473DF">
      <w:pPr>
        <w:rPr>
          <w:color w:val="auto"/>
          <w:highlight w:val="none"/>
        </w:rPr>
        <w:sectPr>
          <w:headerReference r:id="rId5" w:type="default"/>
          <w:footerReference r:id="rId6" w:type="default"/>
          <w:pgSz w:w="11906" w:h="16838"/>
          <w:pgMar w:top="1474" w:right="1474" w:bottom="250" w:left="1588" w:header="851" w:footer="992" w:gutter="0"/>
          <w:cols w:space="720" w:num="1"/>
          <w:docGrid w:linePitch="312" w:charSpace="0"/>
        </w:sectPr>
      </w:pPr>
    </w:p>
    <w:p w14:paraId="75A6B933">
      <w:pPr>
        <w:rPr>
          <w:color w:val="auto"/>
          <w:highlight w:val="none"/>
        </w:rPr>
      </w:pPr>
    </w:p>
    <w:p w14:paraId="4C70B105">
      <w:pPr>
        <w:spacing w:line="360" w:lineRule="exact"/>
        <w:jc w:val="center"/>
        <w:outlineLvl w:val="1"/>
        <w:rPr>
          <w:rFonts w:hint="eastAsia" w:ascii="黑体" w:eastAsia="黑体"/>
          <w:b/>
          <w:color w:val="auto"/>
          <w:sz w:val="32"/>
          <w:szCs w:val="32"/>
          <w:highlight w:val="none"/>
        </w:rPr>
      </w:pPr>
    </w:p>
    <w:p w14:paraId="6601CB61">
      <w:pPr>
        <w:spacing w:line="360" w:lineRule="exact"/>
        <w:jc w:val="center"/>
        <w:outlineLvl w:val="1"/>
        <w:rPr>
          <w:rFonts w:ascii="黑体" w:eastAsia="黑体"/>
          <w:b/>
          <w:color w:val="auto"/>
          <w:sz w:val="32"/>
          <w:szCs w:val="32"/>
          <w:highlight w:val="none"/>
        </w:rPr>
      </w:pPr>
      <w:r>
        <w:rPr>
          <w:rFonts w:hint="eastAsia" w:ascii="黑体" w:eastAsia="黑体"/>
          <w:b/>
          <w:color w:val="auto"/>
          <w:sz w:val="32"/>
          <w:szCs w:val="32"/>
          <w:highlight w:val="none"/>
        </w:rPr>
        <w:t>三、供应商的资格证明资料</w:t>
      </w:r>
    </w:p>
    <w:p w14:paraId="2DA7B542">
      <w:pPr>
        <w:spacing w:line="480" w:lineRule="exact"/>
        <w:rPr>
          <w:rFonts w:ascii="黑体" w:hAnsi="黑体" w:eastAsia="黑体"/>
          <w:color w:val="auto"/>
          <w:sz w:val="30"/>
          <w:szCs w:val="30"/>
          <w:highlight w:val="none"/>
        </w:rPr>
      </w:pPr>
      <w:bookmarkStart w:id="78" w:name="_Toc4517_WPSOffice_Level1"/>
      <w:r>
        <w:rPr>
          <w:rFonts w:hint="eastAsia" w:ascii="黑体" w:hAnsi="黑体" w:eastAsia="黑体"/>
          <w:color w:val="auto"/>
          <w:sz w:val="30"/>
          <w:szCs w:val="30"/>
          <w:highlight w:val="none"/>
        </w:rPr>
        <w:t>附件3              供应商基本情况表</w:t>
      </w:r>
      <w:bookmarkEnd w:id="78"/>
    </w:p>
    <w:p w14:paraId="11AE76A8">
      <w:pPr>
        <w:spacing w:line="480" w:lineRule="exact"/>
        <w:rPr>
          <w:rFonts w:ascii="黑体" w:hAnsi="黑体" w:eastAsia="黑体"/>
          <w:color w:val="auto"/>
          <w:sz w:val="30"/>
          <w:szCs w:val="30"/>
          <w:highlight w:val="none"/>
        </w:rPr>
      </w:pPr>
    </w:p>
    <w:p w14:paraId="1E4180AB">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盖供应商单位章</w:t>
      </w:r>
    </w:p>
    <w:tbl>
      <w:tblPr>
        <w:tblStyle w:val="26"/>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6F70F7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412F9E0E">
            <w:pPr>
              <w:topLinePunct/>
              <w:spacing w:line="440" w:lineRule="exact"/>
              <w:jc w:val="center"/>
              <w:rPr>
                <w:rFonts w:ascii="宋体" w:hAnsi="宋体"/>
                <w:color w:val="auto"/>
                <w:szCs w:val="21"/>
                <w:highlight w:val="none"/>
              </w:rPr>
            </w:pPr>
            <w:r>
              <w:rPr>
                <w:rFonts w:hint="eastAsia" w:ascii="宋体" w:hAnsi="宋体"/>
                <w:color w:val="auto"/>
                <w:szCs w:val="21"/>
                <w:highlight w:val="none"/>
              </w:rPr>
              <w:t>供应商</w:t>
            </w:r>
            <w:r>
              <w:rPr>
                <w:rFonts w:ascii="宋体" w:hAnsi="宋体"/>
                <w:color w:val="auto"/>
                <w:szCs w:val="21"/>
                <w:highlight w:val="none"/>
              </w:rPr>
              <w:t>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404F8979">
            <w:pPr>
              <w:topLinePunct/>
              <w:spacing w:line="440" w:lineRule="exact"/>
              <w:jc w:val="center"/>
              <w:rPr>
                <w:rFonts w:ascii="宋体" w:hAnsi="宋体"/>
                <w:color w:val="auto"/>
                <w:szCs w:val="21"/>
                <w:highlight w:val="none"/>
              </w:rPr>
            </w:pPr>
          </w:p>
        </w:tc>
        <w:tc>
          <w:tcPr>
            <w:tcW w:w="1329" w:type="dxa"/>
            <w:tcBorders>
              <w:top w:val="double" w:color="auto" w:sz="4" w:space="0"/>
              <w:left w:val="single" w:color="auto" w:sz="6" w:space="0"/>
              <w:bottom w:val="single" w:color="auto" w:sz="6" w:space="0"/>
              <w:right w:val="single" w:color="auto" w:sz="6" w:space="0"/>
            </w:tcBorders>
            <w:vAlign w:val="center"/>
          </w:tcPr>
          <w:p w14:paraId="469EF2C1">
            <w:pPr>
              <w:topLinePunct/>
              <w:spacing w:line="440" w:lineRule="exact"/>
              <w:jc w:val="center"/>
              <w:rPr>
                <w:rFonts w:ascii="宋体" w:hAnsi="宋体"/>
                <w:color w:val="auto"/>
                <w:szCs w:val="21"/>
                <w:highlight w:val="none"/>
              </w:rPr>
            </w:pPr>
            <w:r>
              <w:rPr>
                <w:rFonts w:ascii="宋体" w:hAnsi="宋体"/>
                <w:color w:val="auto"/>
                <w:szCs w:val="21"/>
                <w:highlight w:val="none"/>
              </w:rPr>
              <w:t>法定代表人</w:t>
            </w:r>
          </w:p>
        </w:tc>
        <w:tc>
          <w:tcPr>
            <w:tcW w:w="1911" w:type="dxa"/>
            <w:tcBorders>
              <w:top w:val="double" w:color="auto" w:sz="4" w:space="0"/>
              <w:left w:val="single" w:color="auto" w:sz="6" w:space="0"/>
              <w:bottom w:val="single" w:color="auto" w:sz="6" w:space="0"/>
              <w:right w:val="double" w:color="auto" w:sz="4" w:space="0"/>
            </w:tcBorders>
            <w:vAlign w:val="center"/>
          </w:tcPr>
          <w:p w14:paraId="0D2AEFA1">
            <w:pPr>
              <w:topLinePunct/>
              <w:spacing w:line="440" w:lineRule="exact"/>
              <w:jc w:val="center"/>
              <w:rPr>
                <w:rFonts w:ascii="宋体" w:hAnsi="宋体"/>
                <w:color w:val="auto"/>
                <w:szCs w:val="21"/>
                <w:highlight w:val="none"/>
              </w:rPr>
            </w:pPr>
          </w:p>
        </w:tc>
      </w:tr>
      <w:tr w14:paraId="52B36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A3C2DCF">
            <w:pPr>
              <w:topLinePunct/>
              <w:spacing w:line="440" w:lineRule="exact"/>
              <w:jc w:val="center"/>
              <w:rPr>
                <w:rFonts w:ascii="宋体" w:hAnsi="宋体"/>
                <w:color w:val="auto"/>
                <w:szCs w:val="21"/>
                <w:highlight w:val="none"/>
              </w:rPr>
            </w:pPr>
            <w:r>
              <w:rPr>
                <w:rFonts w:hint="eastAsia" w:ascii="宋体" w:hAnsi="宋体"/>
                <w:color w:val="auto"/>
                <w:szCs w:val="21"/>
                <w:highlight w:val="none"/>
              </w:rPr>
              <w:t>委托代理</w:t>
            </w:r>
            <w:r>
              <w:rPr>
                <w:rFonts w:ascii="宋体" w:hAnsi="宋体"/>
                <w:color w:val="auto"/>
                <w:szCs w:val="21"/>
                <w:highlight w:val="none"/>
              </w:rPr>
              <w:t>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0E786DD">
            <w:pPr>
              <w:topLinePunct/>
              <w:spacing w:line="440" w:lineRule="exact"/>
              <w:jc w:val="center"/>
              <w:rPr>
                <w:rFonts w:ascii="宋体" w:hAnsi="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4F7F02EB">
            <w:pPr>
              <w:topLinePunct/>
              <w:spacing w:line="440" w:lineRule="exact"/>
              <w:jc w:val="center"/>
              <w:rPr>
                <w:rFonts w:ascii="宋体" w:hAnsi="宋体"/>
                <w:color w:val="auto"/>
                <w:szCs w:val="21"/>
                <w:highlight w:val="none"/>
              </w:rPr>
            </w:pPr>
            <w:r>
              <w:rPr>
                <w:rFonts w:ascii="宋体" w:hAnsi="宋体"/>
                <w:color w:val="auto"/>
                <w:szCs w:val="21"/>
                <w:highlight w:val="none"/>
              </w:rPr>
              <w:t>邮政编码</w:t>
            </w:r>
          </w:p>
        </w:tc>
        <w:tc>
          <w:tcPr>
            <w:tcW w:w="1911" w:type="dxa"/>
            <w:tcBorders>
              <w:top w:val="single" w:color="auto" w:sz="6" w:space="0"/>
              <w:left w:val="single" w:color="auto" w:sz="6" w:space="0"/>
              <w:bottom w:val="single" w:color="auto" w:sz="6" w:space="0"/>
              <w:right w:val="double" w:color="auto" w:sz="4" w:space="0"/>
            </w:tcBorders>
            <w:vAlign w:val="center"/>
          </w:tcPr>
          <w:p w14:paraId="260ADBD0">
            <w:pPr>
              <w:topLinePunct/>
              <w:spacing w:line="440" w:lineRule="exact"/>
              <w:jc w:val="center"/>
              <w:rPr>
                <w:rFonts w:ascii="宋体" w:hAnsi="宋体"/>
                <w:color w:val="auto"/>
                <w:szCs w:val="21"/>
                <w:highlight w:val="none"/>
              </w:rPr>
            </w:pPr>
          </w:p>
        </w:tc>
      </w:tr>
      <w:tr w14:paraId="6F2F0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256F340B">
            <w:pPr>
              <w:topLinePunct/>
              <w:spacing w:line="440" w:lineRule="exact"/>
              <w:jc w:val="center"/>
              <w:rPr>
                <w:rFonts w:ascii="宋体" w:hAnsi="宋体"/>
                <w:color w:val="auto"/>
                <w:szCs w:val="21"/>
                <w:highlight w:val="none"/>
              </w:rPr>
            </w:pP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145493B1">
            <w:pPr>
              <w:topLinePunct/>
              <w:spacing w:line="440" w:lineRule="exact"/>
              <w:jc w:val="center"/>
              <w:rPr>
                <w:rFonts w:ascii="宋体" w:hAnsi="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3D63388F">
            <w:pPr>
              <w:topLinePunct/>
              <w:spacing w:line="440" w:lineRule="exact"/>
              <w:jc w:val="center"/>
              <w:rPr>
                <w:rFonts w:ascii="宋体" w:hAnsi="宋体"/>
                <w:color w:val="auto"/>
                <w:szCs w:val="21"/>
                <w:highlight w:val="none"/>
              </w:rPr>
            </w:pPr>
            <w:r>
              <w:rPr>
                <w:rFonts w:hint="eastAsia" w:ascii="宋体" w:hAnsi="宋体"/>
                <w:color w:val="auto"/>
                <w:szCs w:val="21"/>
                <w:highlight w:val="none"/>
              </w:rPr>
              <w:t>电子邮箱</w:t>
            </w:r>
          </w:p>
        </w:tc>
        <w:tc>
          <w:tcPr>
            <w:tcW w:w="1911" w:type="dxa"/>
            <w:tcBorders>
              <w:top w:val="single" w:color="auto" w:sz="6" w:space="0"/>
              <w:left w:val="single" w:color="auto" w:sz="6" w:space="0"/>
              <w:bottom w:val="single" w:color="auto" w:sz="6" w:space="0"/>
              <w:right w:val="double" w:color="auto" w:sz="4" w:space="0"/>
            </w:tcBorders>
            <w:vAlign w:val="center"/>
          </w:tcPr>
          <w:p w14:paraId="780C650D">
            <w:pPr>
              <w:topLinePunct/>
              <w:spacing w:line="440" w:lineRule="exact"/>
              <w:jc w:val="center"/>
              <w:rPr>
                <w:rFonts w:ascii="宋体" w:hAnsi="宋体"/>
                <w:color w:val="auto"/>
                <w:szCs w:val="21"/>
                <w:highlight w:val="none"/>
              </w:rPr>
            </w:pPr>
          </w:p>
        </w:tc>
      </w:tr>
      <w:tr w14:paraId="5327CD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13CCCC1A">
            <w:pPr>
              <w:topLinePunct/>
              <w:spacing w:line="440" w:lineRule="exact"/>
              <w:jc w:val="center"/>
              <w:rPr>
                <w:rFonts w:ascii="宋体" w:hAnsi="宋体"/>
                <w:color w:val="auto"/>
                <w:szCs w:val="21"/>
                <w:highlight w:val="none"/>
              </w:rPr>
            </w:pPr>
            <w:r>
              <w:rPr>
                <w:rFonts w:hint="eastAsia" w:ascii="宋体" w:hAnsi="宋体"/>
                <w:color w:val="auto"/>
                <w:szCs w:val="21"/>
                <w:highlight w:val="none"/>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20BBA90">
            <w:pPr>
              <w:topLinePunct/>
              <w:spacing w:line="440" w:lineRule="exact"/>
              <w:jc w:val="center"/>
              <w:rPr>
                <w:rFonts w:ascii="宋体" w:hAnsi="宋体"/>
                <w:color w:val="auto"/>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14:paraId="0CA86298">
            <w:pPr>
              <w:topLinePunct/>
              <w:spacing w:line="440" w:lineRule="exact"/>
              <w:jc w:val="center"/>
              <w:rPr>
                <w:rFonts w:ascii="宋体" w:hAnsi="宋体"/>
                <w:color w:val="auto"/>
                <w:szCs w:val="21"/>
                <w:highlight w:val="none"/>
              </w:rPr>
            </w:pPr>
            <w:r>
              <w:rPr>
                <w:rFonts w:hint="eastAsia" w:ascii="宋体" w:hAnsi="宋体"/>
                <w:color w:val="auto"/>
                <w:szCs w:val="21"/>
                <w:highlight w:val="none"/>
              </w:rPr>
              <w:t>员工总人数</w:t>
            </w:r>
          </w:p>
        </w:tc>
        <w:tc>
          <w:tcPr>
            <w:tcW w:w="1911" w:type="dxa"/>
            <w:tcBorders>
              <w:top w:val="single" w:color="auto" w:sz="6" w:space="0"/>
              <w:left w:val="single" w:color="auto" w:sz="6" w:space="0"/>
              <w:bottom w:val="single" w:color="auto" w:sz="6" w:space="0"/>
              <w:right w:val="double" w:color="auto" w:sz="4" w:space="0"/>
            </w:tcBorders>
            <w:vAlign w:val="center"/>
          </w:tcPr>
          <w:p w14:paraId="2FA0FCA1">
            <w:pPr>
              <w:topLinePunct/>
              <w:spacing w:line="440" w:lineRule="exact"/>
              <w:jc w:val="center"/>
              <w:rPr>
                <w:rFonts w:ascii="宋体" w:hAnsi="宋体"/>
                <w:color w:val="auto"/>
                <w:szCs w:val="21"/>
                <w:highlight w:val="none"/>
              </w:rPr>
            </w:pPr>
          </w:p>
        </w:tc>
      </w:tr>
      <w:tr w14:paraId="79E84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27038686">
            <w:pPr>
              <w:topLinePunct/>
              <w:spacing w:line="440" w:lineRule="exact"/>
              <w:jc w:val="center"/>
              <w:rPr>
                <w:rFonts w:ascii="宋体" w:hAnsi="宋体"/>
                <w:color w:val="auto"/>
                <w:szCs w:val="21"/>
                <w:highlight w:val="none"/>
              </w:rPr>
            </w:pPr>
            <w:r>
              <w:rPr>
                <w:rFonts w:hint="eastAsia" w:ascii="宋体" w:hAnsi="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FF711F7">
            <w:pPr>
              <w:topLinePunct/>
              <w:spacing w:line="440" w:lineRule="exact"/>
              <w:jc w:val="center"/>
              <w:rPr>
                <w:rFonts w:ascii="宋体" w:hAnsi="宋体"/>
                <w:color w:val="auto"/>
                <w:szCs w:val="21"/>
                <w:highlight w:val="none"/>
              </w:rPr>
            </w:pPr>
            <w:r>
              <w:rPr>
                <w:rFonts w:hint="eastAsia" w:ascii="宋体" w:hAnsi="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AAE1990">
            <w:pPr>
              <w:topLinePunct/>
              <w:spacing w:line="440" w:lineRule="exact"/>
              <w:jc w:val="center"/>
              <w:rPr>
                <w:rFonts w:ascii="宋体" w:hAnsi="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9AC52F2">
            <w:pPr>
              <w:topLinePunct/>
              <w:spacing w:line="440" w:lineRule="exact"/>
              <w:ind w:firstLine="105" w:firstLineChars="50"/>
              <w:jc w:val="center"/>
              <w:rPr>
                <w:rFonts w:ascii="宋体" w:hAnsi="宋体"/>
                <w:color w:val="auto"/>
                <w:szCs w:val="21"/>
                <w:highlight w:val="none"/>
              </w:rPr>
            </w:pPr>
            <w:r>
              <w:rPr>
                <w:rFonts w:hint="eastAsia" w:ascii="宋体" w:hAnsi="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41DD3751">
            <w:pPr>
              <w:topLinePunct/>
              <w:spacing w:line="440" w:lineRule="exact"/>
              <w:ind w:firstLine="105" w:firstLineChars="50"/>
              <w:jc w:val="center"/>
              <w:rPr>
                <w:rFonts w:ascii="宋体" w:hAnsi="宋体"/>
                <w:color w:val="auto"/>
                <w:szCs w:val="21"/>
                <w:highlight w:val="none"/>
              </w:rPr>
            </w:pPr>
          </w:p>
        </w:tc>
      </w:tr>
      <w:tr w14:paraId="0ACC2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DABAC2D">
            <w:pPr>
              <w:topLinePunct/>
              <w:spacing w:line="440" w:lineRule="exact"/>
              <w:jc w:val="center"/>
              <w:rPr>
                <w:rFonts w:ascii="宋体" w:hAnsi="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4E9C680">
            <w:pPr>
              <w:topLinePunct/>
              <w:spacing w:line="440" w:lineRule="exact"/>
              <w:jc w:val="center"/>
              <w:rPr>
                <w:rFonts w:ascii="宋体" w:hAnsi="宋体"/>
                <w:color w:val="auto"/>
                <w:szCs w:val="21"/>
                <w:highlight w:val="none"/>
              </w:rPr>
            </w:pPr>
            <w:r>
              <w:rPr>
                <w:rFonts w:hint="eastAsia" w:ascii="宋体" w:hAnsi="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BD682E3">
            <w:pPr>
              <w:topLinePunct/>
              <w:spacing w:line="440" w:lineRule="exact"/>
              <w:jc w:val="center"/>
              <w:rPr>
                <w:rFonts w:ascii="宋体" w:hAnsi="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1CAD252">
            <w:pPr>
              <w:topLinePunct/>
              <w:spacing w:line="440" w:lineRule="exact"/>
              <w:ind w:firstLine="105" w:firstLineChars="50"/>
              <w:jc w:val="center"/>
              <w:rPr>
                <w:rFonts w:ascii="宋体" w:hAnsi="宋体"/>
                <w:color w:val="auto"/>
                <w:szCs w:val="21"/>
                <w:highlight w:val="none"/>
              </w:rPr>
            </w:pPr>
            <w:r>
              <w:rPr>
                <w:rFonts w:hint="eastAsia" w:ascii="宋体" w:hAnsi="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E897138">
            <w:pPr>
              <w:topLinePunct/>
              <w:spacing w:line="440" w:lineRule="exact"/>
              <w:ind w:firstLine="105" w:firstLineChars="50"/>
              <w:jc w:val="center"/>
              <w:rPr>
                <w:rFonts w:ascii="宋体" w:hAnsi="宋体"/>
                <w:color w:val="auto"/>
                <w:szCs w:val="21"/>
                <w:highlight w:val="none"/>
              </w:rPr>
            </w:pPr>
          </w:p>
        </w:tc>
      </w:tr>
      <w:tr w14:paraId="1FC42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AA93365">
            <w:pPr>
              <w:topLinePunct/>
              <w:spacing w:line="440" w:lineRule="exact"/>
              <w:jc w:val="center"/>
              <w:rPr>
                <w:rFonts w:ascii="宋体" w:hAnsi="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FE9DF62">
            <w:pPr>
              <w:topLinePunct/>
              <w:spacing w:line="440" w:lineRule="exact"/>
              <w:jc w:val="center"/>
              <w:rPr>
                <w:rFonts w:ascii="宋体" w:hAnsi="宋体"/>
                <w:color w:val="auto"/>
                <w:szCs w:val="21"/>
                <w:highlight w:val="none"/>
              </w:rPr>
            </w:pPr>
            <w:r>
              <w:rPr>
                <w:rFonts w:hint="eastAsia" w:ascii="宋体" w:hAnsi="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5E7FA728">
            <w:pPr>
              <w:topLinePunct/>
              <w:spacing w:line="440" w:lineRule="exact"/>
              <w:ind w:firstLine="105" w:firstLineChars="50"/>
              <w:jc w:val="center"/>
              <w:rPr>
                <w:rFonts w:ascii="宋体" w:hAnsi="宋体"/>
                <w:color w:val="auto"/>
                <w:szCs w:val="21"/>
                <w:highlight w:val="none"/>
              </w:rPr>
            </w:pPr>
          </w:p>
        </w:tc>
      </w:tr>
      <w:tr w14:paraId="3ACA5E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64B45E7">
            <w:pPr>
              <w:topLinePunct/>
              <w:spacing w:line="440" w:lineRule="exact"/>
              <w:jc w:val="center"/>
              <w:rPr>
                <w:rFonts w:ascii="宋体" w:hAnsi="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4515555">
            <w:pPr>
              <w:topLinePunct/>
              <w:spacing w:line="440" w:lineRule="exact"/>
              <w:jc w:val="center"/>
              <w:rPr>
                <w:rFonts w:ascii="宋体" w:hAnsi="宋体"/>
                <w:color w:val="auto"/>
                <w:szCs w:val="21"/>
                <w:highlight w:val="none"/>
              </w:rPr>
            </w:pPr>
            <w:r>
              <w:rPr>
                <w:rFonts w:hint="eastAsia" w:ascii="宋体" w:hAnsi="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2699A241">
            <w:pPr>
              <w:topLinePunct/>
              <w:spacing w:line="440" w:lineRule="exact"/>
              <w:ind w:firstLine="105" w:firstLineChars="50"/>
              <w:jc w:val="center"/>
              <w:rPr>
                <w:rFonts w:ascii="宋体" w:hAnsi="宋体"/>
                <w:color w:val="auto"/>
                <w:szCs w:val="21"/>
                <w:highlight w:val="none"/>
              </w:rPr>
            </w:pPr>
          </w:p>
        </w:tc>
      </w:tr>
      <w:tr w14:paraId="49031D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63C4BAD4">
            <w:pPr>
              <w:topLinePunct/>
              <w:spacing w:line="440" w:lineRule="exact"/>
              <w:jc w:val="center"/>
              <w:rPr>
                <w:rFonts w:ascii="宋体" w:hAnsi="宋体"/>
                <w:color w:val="auto"/>
                <w:szCs w:val="21"/>
                <w:highlight w:val="none"/>
              </w:rPr>
            </w:pPr>
            <w:r>
              <w:rPr>
                <w:rFonts w:hint="eastAsia" w:ascii="宋体" w:hAnsi="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4B09CBD5">
            <w:pPr>
              <w:topLinePunct/>
              <w:spacing w:line="440" w:lineRule="exact"/>
              <w:jc w:val="center"/>
              <w:rPr>
                <w:rFonts w:ascii="宋体" w:hAnsi="宋体"/>
                <w:color w:val="auto"/>
                <w:szCs w:val="21"/>
                <w:highlight w:val="none"/>
              </w:rPr>
            </w:pPr>
          </w:p>
        </w:tc>
      </w:tr>
      <w:tr w14:paraId="02D42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69E13AD4">
            <w:pPr>
              <w:topLinePunct/>
              <w:spacing w:line="440" w:lineRule="exact"/>
              <w:jc w:val="center"/>
              <w:rPr>
                <w:rFonts w:ascii="宋体" w:hAnsi="宋体"/>
                <w:color w:val="auto"/>
                <w:szCs w:val="21"/>
                <w:highlight w:val="none"/>
              </w:rPr>
            </w:pPr>
            <w:r>
              <w:rPr>
                <w:rFonts w:hint="eastAsia" w:ascii="宋体" w:hAnsi="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vAlign w:val="center"/>
          </w:tcPr>
          <w:p w14:paraId="279AD301">
            <w:pPr>
              <w:topLinePunct/>
              <w:spacing w:line="440" w:lineRule="exact"/>
              <w:jc w:val="center"/>
              <w:rPr>
                <w:rFonts w:ascii="宋体" w:hAnsi="宋体"/>
                <w:color w:val="auto"/>
                <w:szCs w:val="21"/>
                <w:highlight w:val="none"/>
              </w:rPr>
            </w:pPr>
          </w:p>
        </w:tc>
      </w:tr>
      <w:tr w14:paraId="2A76E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F41D47C">
            <w:pPr>
              <w:topLinePunct/>
              <w:spacing w:line="440" w:lineRule="exact"/>
              <w:jc w:val="center"/>
              <w:rPr>
                <w:rFonts w:ascii="宋体" w:hAnsi="宋体"/>
                <w:color w:val="auto"/>
                <w:szCs w:val="21"/>
                <w:highlight w:val="none"/>
              </w:rPr>
            </w:pPr>
            <w:r>
              <w:rPr>
                <w:rFonts w:ascii="宋体" w:hAnsi="宋体"/>
                <w:color w:val="auto"/>
                <w:szCs w:val="21"/>
                <w:highlight w:val="none"/>
              </w:rPr>
              <w:t>资质</w:t>
            </w:r>
            <w:r>
              <w:rPr>
                <w:rFonts w:hint="eastAsia" w:ascii="宋体" w:hAnsi="宋体"/>
                <w:color w:val="auto"/>
                <w:szCs w:val="21"/>
                <w:highlight w:val="none"/>
              </w:rPr>
              <w:t>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2AE0CAF">
            <w:pPr>
              <w:topLinePunct/>
              <w:spacing w:line="440" w:lineRule="exact"/>
              <w:jc w:val="center"/>
              <w:rPr>
                <w:rFonts w:ascii="宋体" w:hAnsi="宋体"/>
                <w:color w:val="auto"/>
                <w:szCs w:val="21"/>
                <w:highlight w:val="none"/>
              </w:rPr>
            </w:pPr>
            <w:r>
              <w:rPr>
                <w:rFonts w:ascii="宋体" w:hAnsi="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5850171C">
            <w:pPr>
              <w:topLinePunct/>
              <w:spacing w:line="440" w:lineRule="exact"/>
              <w:jc w:val="center"/>
              <w:rPr>
                <w:rFonts w:ascii="宋体" w:hAnsi="宋体"/>
                <w:color w:val="auto"/>
                <w:szCs w:val="21"/>
                <w:highlight w:val="none"/>
              </w:rPr>
            </w:pPr>
            <w:r>
              <w:rPr>
                <w:rFonts w:hint="eastAsia" w:ascii="宋体" w:hAnsi="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315D8623">
            <w:pPr>
              <w:topLinePunct/>
              <w:spacing w:line="440" w:lineRule="exact"/>
              <w:jc w:val="center"/>
              <w:rPr>
                <w:rFonts w:ascii="宋体" w:hAnsi="宋体"/>
                <w:color w:val="auto"/>
                <w:szCs w:val="21"/>
                <w:highlight w:val="none"/>
              </w:rPr>
            </w:pPr>
            <w:r>
              <w:rPr>
                <w:rFonts w:hint="eastAsia" w:ascii="宋体" w:hAnsi="宋体"/>
                <w:color w:val="auto"/>
                <w:szCs w:val="21"/>
                <w:highlight w:val="none"/>
              </w:rPr>
              <w:t>有效期</w:t>
            </w:r>
          </w:p>
        </w:tc>
      </w:tr>
      <w:tr w14:paraId="0D3011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D9A0A76">
            <w:pPr>
              <w:topLinePunct/>
              <w:spacing w:line="440" w:lineRule="exact"/>
              <w:jc w:val="center"/>
              <w:rPr>
                <w:rFonts w:ascii="宋体" w:hAnsi="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4C42A51">
            <w:pPr>
              <w:topLinePunct/>
              <w:spacing w:line="440" w:lineRule="exact"/>
              <w:jc w:val="center"/>
              <w:rPr>
                <w:rFonts w:ascii="宋体" w:hAnsi="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724CA38C">
            <w:pPr>
              <w:topLinePunct/>
              <w:spacing w:line="440" w:lineRule="exact"/>
              <w:jc w:val="center"/>
              <w:rPr>
                <w:rFonts w:ascii="宋体" w:hAnsi="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230B9E04">
            <w:pPr>
              <w:topLinePunct/>
              <w:spacing w:line="440" w:lineRule="exact"/>
              <w:jc w:val="center"/>
              <w:rPr>
                <w:rFonts w:ascii="宋体" w:hAnsi="宋体"/>
                <w:color w:val="auto"/>
                <w:szCs w:val="21"/>
                <w:highlight w:val="none"/>
              </w:rPr>
            </w:pPr>
          </w:p>
        </w:tc>
      </w:tr>
      <w:tr w14:paraId="45852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A44176B">
            <w:pPr>
              <w:topLinePunct/>
              <w:spacing w:line="440" w:lineRule="exact"/>
              <w:jc w:val="center"/>
              <w:rPr>
                <w:rFonts w:ascii="宋体" w:hAnsi="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F36826E">
            <w:pPr>
              <w:topLinePunct/>
              <w:spacing w:line="440" w:lineRule="exact"/>
              <w:jc w:val="center"/>
              <w:rPr>
                <w:rFonts w:ascii="宋体" w:hAnsi="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71020F7D">
            <w:pPr>
              <w:topLinePunct/>
              <w:spacing w:line="440" w:lineRule="exact"/>
              <w:jc w:val="center"/>
              <w:rPr>
                <w:rFonts w:ascii="宋体" w:hAnsi="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0A6D55CD">
            <w:pPr>
              <w:topLinePunct/>
              <w:spacing w:line="440" w:lineRule="exact"/>
              <w:jc w:val="center"/>
              <w:rPr>
                <w:rFonts w:ascii="宋体" w:hAnsi="宋体"/>
                <w:color w:val="auto"/>
                <w:szCs w:val="21"/>
                <w:highlight w:val="none"/>
              </w:rPr>
            </w:pPr>
          </w:p>
        </w:tc>
      </w:tr>
      <w:tr w14:paraId="14540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490FFCDF">
            <w:pPr>
              <w:topLinePunct/>
              <w:spacing w:line="440" w:lineRule="exact"/>
              <w:jc w:val="center"/>
              <w:rPr>
                <w:rFonts w:ascii="宋体" w:hAnsi="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35B82BA">
            <w:pPr>
              <w:topLinePunct/>
              <w:spacing w:line="440" w:lineRule="exact"/>
              <w:jc w:val="center"/>
              <w:rPr>
                <w:rFonts w:ascii="宋体" w:hAnsi="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77A2CAB0">
            <w:pPr>
              <w:topLinePunct/>
              <w:spacing w:line="440" w:lineRule="exact"/>
              <w:jc w:val="center"/>
              <w:rPr>
                <w:rFonts w:ascii="宋体" w:hAnsi="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576E1C51">
            <w:pPr>
              <w:topLinePunct/>
              <w:spacing w:line="440" w:lineRule="exact"/>
              <w:jc w:val="center"/>
              <w:rPr>
                <w:rFonts w:ascii="宋体" w:hAnsi="宋体"/>
                <w:color w:val="auto"/>
                <w:szCs w:val="21"/>
                <w:highlight w:val="none"/>
              </w:rPr>
            </w:pPr>
          </w:p>
        </w:tc>
      </w:tr>
      <w:tr w14:paraId="76830E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A34D730">
            <w:pPr>
              <w:topLinePunct/>
              <w:spacing w:line="440" w:lineRule="exact"/>
              <w:jc w:val="center"/>
              <w:rPr>
                <w:rFonts w:ascii="宋体" w:hAnsi="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CFFCE78">
            <w:pPr>
              <w:topLinePunct/>
              <w:spacing w:line="440" w:lineRule="exact"/>
              <w:jc w:val="center"/>
              <w:rPr>
                <w:rFonts w:ascii="宋体" w:hAnsi="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14:paraId="2760F2A0">
            <w:pPr>
              <w:topLinePunct/>
              <w:spacing w:line="440" w:lineRule="exact"/>
              <w:jc w:val="center"/>
              <w:rPr>
                <w:rFonts w:ascii="宋体" w:hAnsi="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vAlign w:val="center"/>
          </w:tcPr>
          <w:p w14:paraId="5E376185">
            <w:pPr>
              <w:topLinePunct/>
              <w:spacing w:line="440" w:lineRule="exact"/>
              <w:jc w:val="center"/>
              <w:rPr>
                <w:rFonts w:ascii="宋体" w:hAnsi="宋体"/>
                <w:color w:val="auto"/>
                <w:szCs w:val="21"/>
                <w:highlight w:val="none"/>
              </w:rPr>
            </w:pPr>
          </w:p>
        </w:tc>
      </w:tr>
      <w:tr w14:paraId="12469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445D478E">
            <w:pPr>
              <w:topLinePunct/>
              <w:spacing w:line="440" w:lineRule="exact"/>
              <w:jc w:val="center"/>
              <w:rPr>
                <w:rFonts w:ascii="宋体" w:hAnsi="宋体"/>
                <w:color w:val="auto"/>
                <w:szCs w:val="21"/>
                <w:highlight w:val="none"/>
              </w:rPr>
            </w:pPr>
            <w:r>
              <w:rPr>
                <w:rFonts w:ascii="宋体" w:hAnsi="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vAlign w:val="center"/>
          </w:tcPr>
          <w:p w14:paraId="11EDB024">
            <w:pPr>
              <w:topLinePunct/>
              <w:spacing w:line="440" w:lineRule="exact"/>
              <w:rPr>
                <w:rFonts w:ascii="黑体" w:hAnsi="宋体" w:eastAsia="黑体"/>
                <w:color w:val="auto"/>
                <w:szCs w:val="21"/>
                <w:highlight w:val="none"/>
              </w:rPr>
            </w:pPr>
            <w:r>
              <w:rPr>
                <w:rFonts w:hint="eastAsia" w:ascii="黑体" w:hAnsi="宋体" w:eastAsia="黑体"/>
                <w:color w:val="auto"/>
                <w:szCs w:val="21"/>
                <w:highlight w:val="none"/>
              </w:rPr>
              <w:t>附《营业执照》（副本）复印件</w:t>
            </w:r>
          </w:p>
        </w:tc>
      </w:tr>
    </w:tbl>
    <w:p w14:paraId="1BF22F71">
      <w:pPr>
        <w:spacing w:line="480" w:lineRule="exact"/>
        <w:rPr>
          <w:rFonts w:ascii="黑体" w:eastAsia="黑体"/>
          <w:color w:val="auto"/>
          <w:sz w:val="30"/>
          <w:szCs w:val="30"/>
          <w:highlight w:val="none"/>
        </w:rPr>
      </w:pPr>
    </w:p>
    <w:p w14:paraId="68DC9DF3">
      <w:pPr>
        <w:spacing w:line="480" w:lineRule="exact"/>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参加政府采购活动前三年内在经营活动中没有重大违法记录的书面声明</w:t>
      </w:r>
    </w:p>
    <w:p w14:paraId="5D537CAB">
      <w:pPr>
        <w:adjustRightInd w:val="0"/>
        <w:snapToGrid w:val="0"/>
        <w:spacing w:before="120" w:beforeLines="50" w:line="360" w:lineRule="auto"/>
        <w:ind w:left="-88" w:leftChars="-42"/>
        <w:outlineLvl w:val="9"/>
        <w:rPr>
          <w:rFonts w:ascii="仿宋_GB2312" w:hAnsi="仿宋_GB2312" w:eastAsia="仿宋_GB2312" w:cs="仿宋_GB2312"/>
          <w:color w:val="auto"/>
          <w:szCs w:val="21"/>
          <w:highlight w:val="none"/>
        </w:rPr>
      </w:pPr>
    </w:p>
    <w:p w14:paraId="529BC20F">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 xml:space="preserve">致 </w:t>
      </w:r>
      <w:r>
        <w:rPr>
          <w:rFonts w:hint="eastAsia" w:ascii="宋体" w:hAnsi="宋体"/>
          <w:color w:val="auto"/>
          <w:szCs w:val="21"/>
          <w:highlight w:val="none"/>
          <w:u w:val="single"/>
        </w:rPr>
        <w:t xml:space="preserve">                          </w:t>
      </w:r>
      <w:r>
        <w:rPr>
          <w:rFonts w:hint="eastAsia" w:ascii="宋体" w:hAnsi="宋体"/>
          <w:color w:val="auto"/>
          <w:szCs w:val="21"/>
          <w:highlight w:val="none"/>
        </w:rPr>
        <w:t>(采购代理机构)：</w:t>
      </w:r>
    </w:p>
    <w:p w14:paraId="51CEFAC7">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我单位在参加采购活动前三年内在经营活动中没有政府采购法第二十二条第一款第（五）项所称重大违法记录，包括：</w:t>
      </w:r>
    </w:p>
    <w:p w14:paraId="767D424A">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受到刑事处罚，受到较大数额罚款、责令停产停业、在一至三年内禁止参加政府采购活动、暂扣或者吊销许可证、暂扣或者吊销执照等情形之一的行政处罚，或者存在财政部门认定的其他重大违法记录。</w:t>
      </w:r>
    </w:p>
    <w:p w14:paraId="26AE211B">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特此声明！</w:t>
      </w:r>
    </w:p>
    <w:p w14:paraId="1F84ED5A">
      <w:pPr>
        <w:spacing w:line="480" w:lineRule="exact"/>
        <w:ind w:firstLine="525" w:firstLineChars="250"/>
        <w:rPr>
          <w:rFonts w:ascii="宋体" w:hAnsi="宋体"/>
          <w:color w:val="auto"/>
          <w:szCs w:val="21"/>
          <w:highlight w:val="none"/>
        </w:rPr>
      </w:pPr>
    </w:p>
    <w:p w14:paraId="643105FB">
      <w:pPr>
        <w:spacing w:line="480" w:lineRule="exact"/>
        <w:ind w:firstLine="525" w:firstLineChars="250"/>
        <w:rPr>
          <w:rFonts w:ascii="宋体" w:hAnsi="宋体"/>
          <w:color w:val="auto"/>
          <w:szCs w:val="21"/>
          <w:highlight w:val="none"/>
        </w:rPr>
      </w:pPr>
    </w:p>
    <w:p w14:paraId="4768C61B">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 xml:space="preserve">投标人名称（单位章）：                            </w:t>
      </w:r>
    </w:p>
    <w:p w14:paraId="62B2240B">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法定代表人或其委托代理人（签字）：                       </w:t>
      </w:r>
    </w:p>
    <w:p w14:paraId="40F1121C">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日期：    年   月   日</w:t>
      </w:r>
    </w:p>
    <w:p w14:paraId="1D833822">
      <w:pPr>
        <w:spacing w:line="480" w:lineRule="exact"/>
        <w:ind w:firstLine="525" w:firstLineChars="250"/>
        <w:rPr>
          <w:rFonts w:ascii="宋体" w:hAnsi="宋体"/>
          <w:color w:val="auto"/>
          <w:szCs w:val="21"/>
          <w:highlight w:val="none"/>
        </w:rPr>
      </w:pPr>
    </w:p>
    <w:p w14:paraId="4FE3E61C">
      <w:pPr>
        <w:spacing w:line="480" w:lineRule="exact"/>
        <w:ind w:firstLine="525" w:firstLineChars="250"/>
        <w:rPr>
          <w:rFonts w:ascii="宋体" w:hAnsi="宋体"/>
          <w:color w:val="auto"/>
          <w:szCs w:val="21"/>
          <w:highlight w:val="none"/>
        </w:rPr>
      </w:pPr>
      <w:r>
        <w:rPr>
          <w:rFonts w:hint="eastAsia" w:ascii="宋体" w:hAnsi="宋体"/>
          <w:color w:val="auto"/>
          <w:szCs w:val="21"/>
          <w:highlight w:val="none"/>
        </w:rPr>
        <w:t>（附“信用中国”网站与“中国政府采购网”、上信用记录查询的网页截图并加盖公司公章）</w:t>
      </w:r>
    </w:p>
    <w:p w14:paraId="5AFE532A">
      <w:pPr>
        <w:spacing w:line="480" w:lineRule="exact"/>
        <w:ind w:firstLine="525" w:firstLineChars="250"/>
        <w:rPr>
          <w:rFonts w:ascii="宋体" w:hAnsi="宋体"/>
          <w:color w:val="auto"/>
          <w:szCs w:val="21"/>
          <w:highlight w:val="none"/>
        </w:rPr>
      </w:pPr>
    </w:p>
    <w:p w14:paraId="7145A5B9">
      <w:pPr>
        <w:widowControl/>
        <w:jc w:val="left"/>
        <w:rPr>
          <w:rFonts w:ascii="宋体" w:hAnsi="宋体"/>
          <w:color w:val="auto"/>
          <w:szCs w:val="21"/>
          <w:highlight w:val="none"/>
        </w:rPr>
      </w:pPr>
      <w:r>
        <w:rPr>
          <w:rFonts w:ascii="宋体" w:hAnsi="宋体"/>
          <w:color w:val="auto"/>
          <w:szCs w:val="21"/>
          <w:highlight w:val="none"/>
        </w:rPr>
        <w:br w:type="page"/>
      </w:r>
    </w:p>
    <w:p w14:paraId="0AB5CDAB">
      <w:pPr>
        <w:spacing w:line="480" w:lineRule="exact"/>
        <w:ind w:firstLine="525" w:firstLineChars="250"/>
        <w:rPr>
          <w:rFonts w:ascii="宋体" w:hAnsi="宋体"/>
          <w:color w:val="auto"/>
          <w:szCs w:val="21"/>
          <w:highlight w:val="none"/>
        </w:rPr>
      </w:pPr>
    </w:p>
    <w:p w14:paraId="20096677">
      <w:pPr>
        <w:spacing w:line="480" w:lineRule="exact"/>
        <w:rPr>
          <w:rFonts w:ascii="黑体" w:eastAsia="黑体"/>
          <w:color w:val="auto"/>
          <w:sz w:val="30"/>
          <w:szCs w:val="30"/>
          <w:highlight w:val="none"/>
        </w:rPr>
      </w:pPr>
      <w:bookmarkStart w:id="79" w:name="_Toc17523_WPSOffice_Level1"/>
      <w:r>
        <w:rPr>
          <w:rFonts w:hint="eastAsia" w:ascii="黑体" w:eastAsia="黑体"/>
          <w:color w:val="auto"/>
          <w:sz w:val="30"/>
          <w:szCs w:val="30"/>
          <w:highlight w:val="none"/>
        </w:rPr>
        <w:t>附件4     磋商文件规定的基本资格条件证明资料</w:t>
      </w:r>
      <w:bookmarkEnd w:id="79"/>
    </w:p>
    <w:p w14:paraId="7CAC5CAB">
      <w:pPr>
        <w:widowControl/>
        <w:adjustRightInd w:val="0"/>
        <w:snapToGrid w:val="0"/>
        <w:spacing w:before="360" w:beforeLines="150" w:line="360" w:lineRule="auto"/>
        <w:jc w:val="center"/>
        <w:rPr>
          <w:rFonts w:ascii="宋体" w:hAnsi="宋体" w:cs="宋体"/>
          <w:color w:val="auto"/>
          <w:szCs w:val="21"/>
        </w:rPr>
      </w:pPr>
      <w:r>
        <w:rPr>
          <w:rFonts w:hint="eastAsia" w:ascii="黑体" w:hAnsi="仿宋" w:eastAsia="黑体" w:cs="宋体"/>
          <w:b/>
          <w:color w:val="auto"/>
          <w:sz w:val="28"/>
          <w:szCs w:val="28"/>
        </w:rPr>
        <w:t>湖南省政府采购供应商资格承诺函(格式)</w:t>
      </w:r>
    </w:p>
    <w:p w14:paraId="045CEAEA">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8B0FDCD">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按照《政府采购促进中小企业发展管理办法》(财库〔2020〕46号),本公司企业规模为:口大型口中型口小型□微型□。</w:t>
      </w:r>
    </w:p>
    <w:p w14:paraId="7205B71B">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□本公司自愿入驻湖南省政府采购电子卖场,遵守《湖南省政府采购电子卖场管理办法》(湘财购〔2019〕27号),如违反承诺,同意金融机构将增信保证划缴国库(非电子卖场采购活动项目不需勾选)。</w:t>
      </w:r>
    </w:p>
    <w:p w14:paraId="7B35CF56">
      <w:pPr>
        <w:widowControl/>
        <w:spacing w:before="120" w:beforeLines="50" w:line="360" w:lineRule="auto"/>
        <w:ind w:firstLine="420" w:firstLineChars="200"/>
        <w:jc w:val="left"/>
        <w:rPr>
          <w:rFonts w:ascii="宋体" w:hAnsi="宋体" w:cs="宋体"/>
          <w:color w:val="auto"/>
          <w:szCs w:val="21"/>
        </w:rPr>
      </w:pPr>
    </w:p>
    <w:p w14:paraId="0BDA43BE">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公司(单位)名称(盖章)：</w:t>
      </w:r>
    </w:p>
    <w:p w14:paraId="2F93517F">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机构代码、注册登记机构、日期、有效期、注册资本、地 址、经济行业、经济性质</w:t>
      </w:r>
    </w:p>
    <w:p w14:paraId="6A7E62D1">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法定代表人(负责人)姓名(签字)、身份证号、手机号:</w:t>
      </w:r>
    </w:p>
    <w:p w14:paraId="3FB53937">
      <w:pPr>
        <w:widowControl/>
        <w:spacing w:before="120" w:beforeLines="50" w:line="360" w:lineRule="auto"/>
        <w:ind w:firstLine="420" w:firstLineChars="200"/>
        <w:jc w:val="left"/>
        <w:rPr>
          <w:rFonts w:ascii="宋体" w:hAnsi="宋体" w:cs="宋体"/>
          <w:color w:val="auto"/>
          <w:szCs w:val="21"/>
        </w:rPr>
      </w:pPr>
      <w:r>
        <w:rPr>
          <w:rFonts w:hint="eastAsia" w:ascii="宋体" w:hAnsi="宋体" w:cs="宋体"/>
          <w:color w:val="auto"/>
          <w:szCs w:val="21"/>
        </w:rPr>
        <w:t>授权代表人姓名(签字)、身份证号、手机号:</w:t>
      </w:r>
    </w:p>
    <w:p w14:paraId="14E47D83">
      <w:pPr>
        <w:spacing w:line="480" w:lineRule="exact"/>
        <w:rPr>
          <w:rFonts w:ascii="黑体" w:hAnsi="宋体" w:eastAsia="黑体"/>
          <w:color w:val="auto"/>
          <w:szCs w:val="21"/>
          <w:highlight w:val="none"/>
        </w:rPr>
      </w:pPr>
    </w:p>
    <w:p w14:paraId="26FD3C4E">
      <w:pPr>
        <w:pStyle w:val="3"/>
        <w:rPr>
          <w:rFonts w:ascii="黑体" w:hAnsi="宋体" w:eastAsia="黑体"/>
          <w:color w:val="auto"/>
          <w:szCs w:val="21"/>
          <w:highlight w:val="none"/>
        </w:rPr>
      </w:pPr>
    </w:p>
    <w:p w14:paraId="1854BA43">
      <w:pPr>
        <w:rPr>
          <w:rFonts w:ascii="黑体" w:hAnsi="宋体" w:eastAsia="黑体"/>
          <w:color w:val="auto"/>
          <w:szCs w:val="21"/>
          <w:highlight w:val="none"/>
        </w:rPr>
      </w:pPr>
    </w:p>
    <w:p w14:paraId="4DAB62F1">
      <w:pPr>
        <w:pStyle w:val="3"/>
        <w:rPr>
          <w:rFonts w:ascii="黑体" w:hAnsi="宋体" w:eastAsia="黑体"/>
          <w:color w:val="auto"/>
          <w:szCs w:val="21"/>
          <w:highlight w:val="none"/>
        </w:rPr>
      </w:pPr>
    </w:p>
    <w:p w14:paraId="472D430E">
      <w:pPr>
        <w:rPr>
          <w:rFonts w:ascii="黑体" w:hAnsi="宋体" w:eastAsia="黑体"/>
          <w:color w:val="auto"/>
          <w:szCs w:val="21"/>
          <w:highlight w:val="none"/>
        </w:rPr>
      </w:pPr>
    </w:p>
    <w:p w14:paraId="5B73E6BB">
      <w:pPr>
        <w:pStyle w:val="3"/>
        <w:rPr>
          <w:rFonts w:ascii="黑体" w:hAnsi="宋体" w:eastAsia="黑体"/>
          <w:color w:val="auto"/>
          <w:szCs w:val="21"/>
          <w:highlight w:val="none"/>
        </w:rPr>
      </w:pPr>
    </w:p>
    <w:p w14:paraId="137657DD">
      <w:pPr>
        <w:rPr>
          <w:rFonts w:ascii="黑体" w:hAnsi="宋体" w:eastAsia="黑体"/>
          <w:color w:val="auto"/>
          <w:szCs w:val="21"/>
          <w:highlight w:val="none"/>
        </w:rPr>
      </w:pPr>
    </w:p>
    <w:p w14:paraId="52395A76">
      <w:pPr>
        <w:pStyle w:val="3"/>
        <w:rPr>
          <w:rFonts w:ascii="黑体" w:hAnsi="宋体" w:eastAsia="黑体"/>
          <w:color w:val="auto"/>
          <w:szCs w:val="21"/>
          <w:highlight w:val="none"/>
        </w:rPr>
      </w:pPr>
    </w:p>
    <w:p w14:paraId="6423FC37">
      <w:pPr>
        <w:rPr>
          <w:rFonts w:ascii="黑体" w:hAnsi="宋体" w:eastAsia="黑体"/>
          <w:color w:val="auto"/>
          <w:szCs w:val="21"/>
          <w:highlight w:val="none"/>
        </w:rPr>
      </w:pPr>
    </w:p>
    <w:p w14:paraId="342CF44E">
      <w:pPr>
        <w:pStyle w:val="3"/>
        <w:rPr>
          <w:rFonts w:ascii="黑体" w:hAnsi="宋体" w:eastAsia="黑体"/>
          <w:color w:val="auto"/>
          <w:szCs w:val="21"/>
          <w:highlight w:val="none"/>
        </w:rPr>
      </w:pPr>
    </w:p>
    <w:p w14:paraId="499420FF">
      <w:pPr>
        <w:rPr>
          <w:rFonts w:ascii="黑体" w:hAnsi="宋体" w:eastAsia="黑体"/>
          <w:color w:val="auto"/>
          <w:szCs w:val="21"/>
          <w:highlight w:val="none"/>
        </w:rPr>
      </w:pPr>
    </w:p>
    <w:p w14:paraId="14DC802F">
      <w:pPr>
        <w:pStyle w:val="3"/>
        <w:rPr>
          <w:color w:val="auto"/>
        </w:rPr>
      </w:pPr>
    </w:p>
    <w:p w14:paraId="71B0351D">
      <w:pPr>
        <w:spacing w:line="480" w:lineRule="exact"/>
        <w:rPr>
          <w:rFonts w:ascii="黑体" w:eastAsia="黑体"/>
          <w:color w:val="auto"/>
          <w:sz w:val="30"/>
          <w:szCs w:val="30"/>
          <w:highlight w:val="none"/>
        </w:rPr>
      </w:pPr>
    </w:p>
    <w:p w14:paraId="1F9A04A3">
      <w:pPr>
        <w:spacing w:line="480" w:lineRule="exact"/>
        <w:rPr>
          <w:rFonts w:ascii="黑体" w:eastAsia="黑体"/>
          <w:color w:val="auto"/>
          <w:sz w:val="30"/>
          <w:szCs w:val="30"/>
          <w:highlight w:val="none"/>
        </w:rPr>
      </w:pPr>
      <w:bookmarkStart w:id="80" w:name="_Toc506_WPSOffice_Level1"/>
    </w:p>
    <w:p w14:paraId="175E0F7E">
      <w:pPr>
        <w:spacing w:line="480" w:lineRule="exact"/>
        <w:rPr>
          <w:rFonts w:ascii="黑体" w:eastAsia="黑体"/>
          <w:color w:val="auto"/>
          <w:sz w:val="30"/>
          <w:szCs w:val="30"/>
          <w:highlight w:val="none"/>
        </w:rPr>
      </w:pPr>
    </w:p>
    <w:p w14:paraId="3BEAD891">
      <w:pPr>
        <w:spacing w:line="480" w:lineRule="exact"/>
        <w:rPr>
          <w:rFonts w:ascii="黑体" w:eastAsia="黑体"/>
          <w:color w:val="auto"/>
          <w:sz w:val="30"/>
          <w:szCs w:val="30"/>
          <w:highlight w:val="none"/>
        </w:rPr>
      </w:pPr>
    </w:p>
    <w:p w14:paraId="57154757">
      <w:pPr>
        <w:spacing w:line="480" w:lineRule="exact"/>
        <w:rPr>
          <w:rFonts w:ascii="黑体" w:eastAsia="黑体"/>
          <w:color w:val="auto"/>
          <w:sz w:val="30"/>
          <w:szCs w:val="30"/>
          <w:highlight w:val="none"/>
        </w:rPr>
      </w:pPr>
      <w:r>
        <w:rPr>
          <w:rFonts w:hint="eastAsia" w:ascii="黑体" w:eastAsia="黑体"/>
          <w:color w:val="auto"/>
          <w:sz w:val="30"/>
          <w:szCs w:val="30"/>
          <w:highlight w:val="none"/>
        </w:rPr>
        <w:t>附件5  磋商文件规定的特定资格条件证明资料</w:t>
      </w:r>
      <w:bookmarkEnd w:id="80"/>
    </w:p>
    <w:p w14:paraId="7BB0DC79">
      <w:pPr>
        <w:spacing w:line="480" w:lineRule="exact"/>
        <w:rPr>
          <w:rFonts w:ascii="宋体" w:hAnsi="宋体"/>
          <w:color w:val="auto"/>
          <w:szCs w:val="21"/>
          <w:highlight w:val="none"/>
        </w:rPr>
      </w:pPr>
    </w:p>
    <w:p w14:paraId="23E70EEB">
      <w:pPr>
        <w:spacing w:line="480" w:lineRule="exact"/>
        <w:rPr>
          <w:rFonts w:ascii="宋体" w:hAnsi="宋体"/>
          <w:color w:val="auto"/>
          <w:szCs w:val="21"/>
          <w:highlight w:val="none"/>
        </w:rPr>
      </w:pPr>
      <w:r>
        <w:rPr>
          <w:rFonts w:hint="eastAsia" w:ascii="宋体" w:hAnsi="宋体"/>
          <w:color w:val="auto"/>
          <w:szCs w:val="21"/>
          <w:highlight w:val="none"/>
        </w:rPr>
        <w:t>备注：提供第二章 磋商须知第3.1款供应商特定资格条件证明资料的复印件。</w:t>
      </w:r>
    </w:p>
    <w:p w14:paraId="46F03CC5">
      <w:pPr>
        <w:spacing w:line="480" w:lineRule="exact"/>
        <w:rPr>
          <w:rFonts w:ascii="宋体" w:hAnsi="宋体"/>
          <w:color w:val="auto"/>
          <w:szCs w:val="21"/>
          <w:highlight w:val="none"/>
        </w:rPr>
      </w:pPr>
    </w:p>
    <w:p w14:paraId="7F975F4F">
      <w:pPr>
        <w:spacing w:line="480" w:lineRule="exact"/>
        <w:rPr>
          <w:rFonts w:ascii="黑体" w:eastAsia="黑体"/>
          <w:color w:val="auto"/>
          <w:sz w:val="30"/>
          <w:szCs w:val="30"/>
          <w:highlight w:val="none"/>
        </w:rPr>
      </w:pPr>
    </w:p>
    <w:p w14:paraId="6B9F23B2">
      <w:pPr>
        <w:spacing w:line="480" w:lineRule="exact"/>
        <w:rPr>
          <w:rFonts w:ascii="黑体" w:eastAsia="黑体"/>
          <w:color w:val="auto"/>
          <w:sz w:val="30"/>
          <w:szCs w:val="30"/>
          <w:highlight w:val="none"/>
        </w:rPr>
      </w:pPr>
    </w:p>
    <w:p w14:paraId="0F4F5E20">
      <w:pPr>
        <w:spacing w:line="480" w:lineRule="exact"/>
        <w:rPr>
          <w:rFonts w:ascii="黑体" w:eastAsia="黑体"/>
          <w:color w:val="auto"/>
          <w:sz w:val="30"/>
          <w:szCs w:val="30"/>
          <w:highlight w:val="none"/>
        </w:rPr>
      </w:pPr>
    </w:p>
    <w:p w14:paraId="6FD229B8">
      <w:pPr>
        <w:spacing w:line="480" w:lineRule="exact"/>
        <w:rPr>
          <w:rFonts w:ascii="黑体" w:eastAsia="黑体"/>
          <w:color w:val="auto"/>
          <w:sz w:val="30"/>
          <w:szCs w:val="30"/>
          <w:highlight w:val="none"/>
        </w:rPr>
      </w:pPr>
    </w:p>
    <w:p w14:paraId="45256550">
      <w:pPr>
        <w:adjustRightInd w:val="0"/>
        <w:snapToGrid w:val="0"/>
        <w:spacing w:line="360" w:lineRule="auto"/>
        <w:rPr>
          <w:rFonts w:ascii="黑体" w:hAnsi="黑体" w:eastAsia="黑体"/>
          <w:bCs/>
          <w:color w:val="auto"/>
          <w:sz w:val="30"/>
          <w:szCs w:val="30"/>
          <w:highlight w:val="none"/>
        </w:rPr>
      </w:pPr>
    </w:p>
    <w:p w14:paraId="70E01D27">
      <w:pPr>
        <w:adjustRightInd w:val="0"/>
        <w:snapToGrid w:val="0"/>
        <w:spacing w:line="360" w:lineRule="auto"/>
        <w:rPr>
          <w:rFonts w:ascii="黑体" w:hAnsi="黑体" w:eastAsia="黑体"/>
          <w:bCs/>
          <w:color w:val="auto"/>
          <w:sz w:val="30"/>
          <w:szCs w:val="30"/>
          <w:highlight w:val="none"/>
        </w:rPr>
      </w:pPr>
    </w:p>
    <w:p w14:paraId="2FFE44AE">
      <w:pPr>
        <w:adjustRightInd w:val="0"/>
        <w:snapToGrid w:val="0"/>
        <w:spacing w:line="360" w:lineRule="auto"/>
        <w:rPr>
          <w:rFonts w:ascii="黑体" w:eastAsia="黑体"/>
          <w:b/>
          <w:color w:val="auto"/>
          <w:sz w:val="30"/>
          <w:szCs w:val="30"/>
          <w:highlight w:val="none"/>
        </w:rPr>
      </w:pPr>
      <w:bookmarkStart w:id="81" w:name="_Toc32763_WPSOffice_Level1"/>
      <w:r>
        <w:rPr>
          <w:rFonts w:hint="eastAsia" w:ascii="黑体" w:eastAsia="黑体"/>
          <w:b/>
          <w:color w:val="auto"/>
          <w:sz w:val="30"/>
          <w:szCs w:val="30"/>
          <w:highlight w:val="none"/>
        </w:rPr>
        <w:t>附件6           其他证明资料或说明</w:t>
      </w:r>
      <w:bookmarkEnd w:id="81"/>
    </w:p>
    <w:p w14:paraId="6D4CD8C3">
      <w:pPr>
        <w:adjustRightInd w:val="0"/>
        <w:snapToGrid w:val="0"/>
        <w:spacing w:line="360" w:lineRule="auto"/>
        <w:rPr>
          <w:rFonts w:ascii="黑体" w:eastAsia="黑体"/>
          <w:color w:val="auto"/>
          <w:szCs w:val="21"/>
          <w:highlight w:val="none"/>
        </w:rPr>
      </w:pPr>
    </w:p>
    <w:p w14:paraId="53BF19D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提供磋商文件或评分标准需要提供的相关证明文件复印件</w:t>
      </w:r>
    </w:p>
    <w:p w14:paraId="660D62CB">
      <w:pPr>
        <w:adjustRightInd w:val="0"/>
        <w:snapToGrid w:val="0"/>
        <w:spacing w:line="360" w:lineRule="auto"/>
        <w:jc w:val="center"/>
        <w:rPr>
          <w:rFonts w:ascii="黑体" w:eastAsia="黑体"/>
          <w:b/>
          <w:color w:val="auto"/>
          <w:sz w:val="32"/>
          <w:szCs w:val="32"/>
          <w:highlight w:val="none"/>
        </w:rPr>
      </w:pPr>
    </w:p>
    <w:p w14:paraId="4085E284">
      <w:pPr>
        <w:adjustRightInd w:val="0"/>
        <w:snapToGrid w:val="0"/>
        <w:spacing w:line="360" w:lineRule="auto"/>
        <w:jc w:val="center"/>
        <w:rPr>
          <w:rFonts w:ascii="黑体" w:eastAsia="黑体"/>
          <w:b/>
          <w:color w:val="auto"/>
          <w:sz w:val="32"/>
          <w:szCs w:val="32"/>
          <w:highlight w:val="none"/>
        </w:rPr>
      </w:pPr>
    </w:p>
    <w:p w14:paraId="3E0FB67B">
      <w:pPr>
        <w:adjustRightInd w:val="0"/>
        <w:snapToGrid w:val="0"/>
        <w:spacing w:line="360" w:lineRule="auto"/>
        <w:jc w:val="center"/>
        <w:rPr>
          <w:rFonts w:ascii="黑体" w:eastAsia="黑体"/>
          <w:b/>
          <w:color w:val="auto"/>
          <w:sz w:val="32"/>
          <w:szCs w:val="32"/>
          <w:highlight w:val="none"/>
        </w:rPr>
      </w:pPr>
    </w:p>
    <w:p w14:paraId="20FE5D88">
      <w:pPr>
        <w:adjustRightInd w:val="0"/>
        <w:snapToGrid w:val="0"/>
        <w:spacing w:line="360" w:lineRule="auto"/>
        <w:jc w:val="center"/>
        <w:rPr>
          <w:rFonts w:ascii="黑体" w:eastAsia="黑体"/>
          <w:b/>
          <w:color w:val="auto"/>
          <w:sz w:val="32"/>
          <w:szCs w:val="32"/>
          <w:highlight w:val="none"/>
        </w:rPr>
      </w:pPr>
    </w:p>
    <w:p w14:paraId="15D35A3F">
      <w:pPr>
        <w:adjustRightInd w:val="0"/>
        <w:snapToGrid w:val="0"/>
        <w:spacing w:line="360" w:lineRule="auto"/>
        <w:jc w:val="center"/>
        <w:rPr>
          <w:rFonts w:ascii="黑体" w:eastAsia="黑体"/>
          <w:b/>
          <w:color w:val="auto"/>
          <w:sz w:val="32"/>
          <w:szCs w:val="32"/>
          <w:highlight w:val="none"/>
        </w:rPr>
      </w:pPr>
    </w:p>
    <w:p w14:paraId="3FAC7A21">
      <w:pPr>
        <w:adjustRightInd w:val="0"/>
        <w:snapToGrid w:val="0"/>
        <w:spacing w:line="360" w:lineRule="auto"/>
        <w:jc w:val="center"/>
        <w:rPr>
          <w:rFonts w:ascii="黑体" w:eastAsia="黑体"/>
          <w:b/>
          <w:color w:val="auto"/>
          <w:sz w:val="32"/>
          <w:szCs w:val="32"/>
          <w:highlight w:val="none"/>
        </w:rPr>
      </w:pPr>
    </w:p>
    <w:p w14:paraId="26EC2F22">
      <w:pPr>
        <w:adjustRightInd w:val="0"/>
        <w:snapToGrid w:val="0"/>
        <w:spacing w:line="360" w:lineRule="auto"/>
        <w:jc w:val="center"/>
        <w:rPr>
          <w:rFonts w:ascii="黑体" w:eastAsia="黑体"/>
          <w:b/>
          <w:color w:val="auto"/>
          <w:sz w:val="32"/>
          <w:szCs w:val="32"/>
          <w:highlight w:val="none"/>
        </w:rPr>
      </w:pPr>
    </w:p>
    <w:p w14:paraId="6BA32E3A">
      <w:pPr>
        <w:adjustRightInd w:val="0"/>
        <w:snapToGrid w:val="0"/>
        <w:spacing w:line="360" w:lineRule="auto"/>
        <w:rPr>
          <w:rFonts w:ascii="黑体" w:eastAsia="黑体"/>
          <w:b/>
          <w:color w:val="auto"/>
          <w:sz w:val="32"/>
          <w:szCs w:val="32"/>
          <w:highlight w:val="none"/>
        </w:rPr>
      </w:pPr>
    </w:p>
    <w:p w14:paraId="0F9FF0E3">
      <w:pPr>
        <w:pStyle w:val="3"/>
        <w:rPr>
          <w:rFonts w:ascii="黑体" w:eastAsia="黑体"/>
          <w:b/>
          <w:color w:val="auto"/>
          <w:sz w:val="32"/>
          <w:szCs w:val="32"/>
          <w:highlight w:val="none"/>
        </w:rPr>
      </w:pPr>
    </w:p>
    <w:p w14:paraId="025A917E">
      <w:pPr>
        <w:rPr>
          <w:rFonts w:ascii="黑体" w:eastAsia="黑体"/>
          <w:b/>
          <w:color w:val="auto"/>
          <w:sz w:val="32"/>
          <w:szCs w:val="32"/>
          <w:highlight w:val="none"/>
        </w:rPr>
      </w:pPr>
    </w:p>
    <w:p w14:paraId="66324A09">
      <w:pPr>
        <w:pStyle w:val="3"/>
        <w:rPr>
          <w:rFonts w:ascii="黑体" w:eastAsia="黑体"/>
          <w:b/>
          <w:color w:val="auto"/>
          <w:sz w:val="32"/>
          <w:szCs w:val="32"/>
          <w:highlight w:val="none"/>
        </w:rPr>
      </w:pPr>
    </w:p>
    <w:p w14:paraId="6883BC16">
      <w:pPr>
        <w:rPr>
          <w:rFonts w:ascii="黑体" w:eastAsia="黑体"/>
          <w:b/>
          <w:color w:val="auto"/>
          <w:sz w:val="32"/>
          <w:szCs w:val="32"/>
          <w:highlight w:val="none"/>
        </w:rPr>
      </w:pPr>
    </w:p>
    <w:p w14:paraId="5F4FB046">
      <w:pPr>
        <w:pStyle w:val="3"/>
        <w:rPr>
          <w:rFonts w:ascii="黑体" w:eastAsia="黑体"/>
          <w:b/>
          <w:color w:val="auto"/>
          <w:sz w:val="32"/>
          <w:szCs w:val="32"/>
          <w:highlight w:val="none"/>
        </w:rPr>
      </w:pPr>
    </w:p>
    <w:p w14:paraId="1BB596C0">
      <w:pPr>
        <w:rPr>
          <w:rFonts w:ascii="黑体" w:eastAsia="黑体"/>
          <w:b/>
          <w:color w:val="auto"/>
          <w:sz w:val="32"/>
          <w:szCs w:val="32"/>
          <w:highlight w:val="none"/>
        </w:rPr>
      </w:pPr>
    </w:p>
    <w:p w14:paraId="565B7532">
      <w:pPr>
        <w:pStyle w:val="3"/>
        <w:rPr>
          <w:color w:val="auto"/>
        </w:rPr>
      </w:pPr>
    </w:p>
    <w:p w14:paraId="2EB8D810">
      <w:pPr>
        <w:adjustRightInd w:val="0"/>
        <w:snapToGrid w:val="0"/>
        <w:spacing w:line="360" w:lineRule="auto"/>
        <w:jc w:val="center"/>
        <w:rPr>
          <w:rFonts w:hint="eastAsia" w:ascii="黑体" w:eastAsia="黑体"/>
          <w:b/>
          <w:color w:val="auto"/>
          <w:sz w:val="32"/>
          <w:szCs w:val="32"/>
          <w:highlight w:val="none"/>
          <w:lang w:eastAsia="zh-CN"/>
        </w:rPr>
      </w:pPr>
      <w:r>
        <w:rPr>
          <w:rFonts w:hint="eastAsia" w:ascii="黑体" w:eastAsia="黑体"/>
          <w:b/>
          <w:color w:val="auto"/>
          <w:sz w:val="32"/>
          <w:szCs w:val="32"/>
          <w:highlight w:val="none"/>
        </w:rPr>
        <w:t>四、货物说明一览表</w:t>
      </w:r>
    </w:p>
    <w:p w14:paraId="63EFDD30">
      <w:pPr>
        <w:keepNext/>
        <w:keepLines/>
        <w:widowControl w:val="0"/>
        <w:autoSpaceDE w:val="0"/>
        <w:autoSpaceDN w:val="0"/>
        <w:spacing w:before="260" w:after="260" w:line="416" w:lineRule="auto"/>
        <w:outlineLvl w:val="2"/>
        <w:rPr>
          <w:rFonts w:ascii="宋体" w:hAnsi="宋体" w:eastAsia="宋体" w:cs="宋体"/>
          <w:b/>
          <w:bCs/>
          <w:sz w:val="21"/>
          <w:szCs w:val="21"/>
          <w:lang w:val="zh-CN" w:eastAsia="zh-CN" w:bidi="zh-CN"/>
        </w:rPr>
      </w:pPr>
      <w:r>
        <w:rPr>
          <w:rFonts w:hint="eastAsia" w:ascii="宋体" w:hAnsi="宋体" w:eastAsia="宋体" w:cs="宋体"/>
          <w:b/>
          <w:bCs/>
          <w:sz w:val="21"/>
          <w:szCs w:val="21"/>
          <w:lang w:val="zh-CN" w:eastAsia="zh-CN" w:bidi="zh-CN"/>
        </w:rPr>
        <w:t>货物说明</w:t>
      </w:r>
    </w:p>
    <w:tbl>
      <w:tblPr>
        <w:tblStyle w:val="26"/>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440"/>
        <w:gridCol w:w="1260"/>
        <w:gridCol w:w="1080"/>
        <w:gridCol w:w="1771"/>
        <w:gridCol w:w="1260"/>
        <w:gridCol w:w="1260"/>
      </w:tblGrid>
      <w:tr w14:paraId="6D975F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center"/>
          </w:tcPr>
          <w:p w14:paraId="0665CB2C">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序号</w:t>
            </w:r>
          </w:p>
        </w:tc>
        <w:tc>
          <w:tcPr>
            <w:tcW w:w="1440" w:type="dxa"/>
            <w:noWrap w:val="0"/>
            <w:vAlign w:val="center"/>
          </w:tcPr>
          <w:p w14:paraId="0BE0388B">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货物名称</w:t>
            </w:r>
          </w:p>
          <w:p w14:paraId="7B8B00E0">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（品目分类）</w:t>
            </w:r>
          </w:p>
        </w:tc>
        <w:tc>
          <w:tcPr>
            <w:tcW w:w="1260" w:type="dxa"/>
            <w:noWrap w:val="0"/>
            <w:vAlign w:val="center"/>
          </w:tcPr>
          <w:p w14:paraId="6107CE1C">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制造商名称</w:t>
            </w:r>
          </w:p>
        </w:tc>
        <w:tc>
          <w:tcPr>
            <w:tcW w:w="1080" w:type="dxa"/>
            <w:noWrap w:val="0"/>
            <w:vAlign w:val="center"/>
          </w:tcPr>
          <w:p w14:paraId="1E348381">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型号规格</w:t>
            </w:r>
          </w:p>
        </w:tc>
        <w:tc>
          <w:tcPr>
            <w:tcW w:w="1771" w:type="dxa"/>
            <w:noWrap w:val="0"/>
            <w:vAlign w:val="top"/>
          </w:tcPr>
          <w:p w14:paraId="47C40033">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主要技术参数和技术指标</w:t>
            </w:r>
          </w:p>
        </w:tc>
        <w:tc>
          <w:tcPr>
            <w:tcW w:w="1260" w:type="dxa"/>
            <w:noWrap w:val="0"/>
            <w:vAlign w:val="top"/>
          </w:tcPr>
          <w:p w14:paraId="1EF01E73">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政策功能类型及编号</w:t>
            </w:r>
          </w:p>
        </w:tc>
        <w:tc>
          <w:tcPr>
            <w:tcW w:w="1260" w:type="dxa"/>
            <w:noWrap w:val="0"/>
            <w:vAlign w:val="center"/>
          </w:tcPr>
          <w:p w14:paraId="648CC05A">
            <w:pPr>
              <w:autoSpaceDE w:val="0"/>
              <w:autoSpaceDN w:val="0"/>
              <w:adjustRightInd w:val="0"/>
              <w:snapToGrid w:val="0"/>
              <w:spacing w:line="400" w:lineRule="atLeast"/>
              <w:ind w:left="-88" w:leftChars="-42"/>
              <w:jc w:val="center"/>
              <w:rPr>
                <w:rFonts w:hint="eastAsia" w:ascii="仿宋" w:hAnsi="仿宋" w:eastAsia="仿宋" w:cs="仿宋"/>
                <w:bCs/>
                <w:kern w:val="0"/>
                <w:sz w:val="21"/>
                <w:szCs w:val="21"/>
                <w:lang w:val="zh-CN" w:bidi="zh-CN"/>
              </w:rPr>
            </w:pPr>
            <w:r>
              <w:rPr>
                <w:rFonts w:hint="eastAsia" w:ascii="仿宋" w:hAnsi="仿宋" w:eastAsia="仿宋" w:cs="仿宋"/>
                <w:bCs/>
                <w:kern w:val="0"/>
                <w:sz w:val="21"/>
                <w:szCs w:val="21"/>
                <w:lang w:val="zh-CN" w:bidi="zh-CN"/>
              </w:rPr>
              <w:t>备  注</w:t>
            </w:r>
          </w:p>
        </w:tc>
      </w:tr>
      <w:tr w14:paraId="2E8CC7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top"/>
          </w:tcPr>
          <w:p w14:paraId="5CB23A4B">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440" w:type="dxa"/>
            <w:noWrap w:val="0"/>
            <w:vAlign w:val="top"/>
          </w:tcPr>
          <w:p w14:paraId="3E1CD4B8">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76712DA0">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080" w:type="dxa"/>
            <w:noWrap w:val="0"/>
            <w:vAlign w:val="top"/>
          </w:tcPr>
          <w:p w14:paraId="093D72B8">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771" w:type="dxa"/>
            <w:noWrap w:val="0"/>
            <w:vAlign w:val="top"/>
          </w:tcPr>
          <w:p w14:paraId="7B976C41">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3D2B370A">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7827ED95">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r>
      <w:tr w14:paraId="0C7FB4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top"/>
          </w:tcPr>
          <w:p w14:paraId="2BD3B070">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440" w:type="dxa"/>
            <w:noWrap w:val="0"/>
            <w:vAlign w:val="top"/>
          </w:tcPr>
          <w:p w14:paraId="7CE2DEB9">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71BBDD46">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080" w:type="dxa"/>
            <w:noWrap w:val="0"/>
            <w:vAlign w:val="top"/>
          </w:tcPr>
          <w:p w14:paraId="1AE3BF07">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771" w:type="dxa"/>
            <w:noWrap w:val="0"/>
            <w:vAlign w:val="top"/>
          </w:tcPr>
          <w:p w14:paraId="2D34A1D6">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2F69080C">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464C4F25">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r>
      <w:tr w14:paraId="22C2F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top"/>
          </w:tcPr>
          <w:p w14:paraId="7D110693">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440" w:type="dxa"/>
            <w:noWrap w:val="0"/>
            <w:vAlign w:val="top"/>
          </w:tcPr>
          <w:p w14:paraId="3D1AB2FC">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601DADAB">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080" w:type="dxa"/>
            <w:noWrap w:val="0"/>
            <w:vAlign w:val="top"/>
          </w:tcPr>
          <w:p w14:paraId="717F6DFB">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771" w:type="dxa"/>
            <w:noWrap w:val="0"/>
            <w:vAlign w:val="top"/>
          </w:tcPr>
          <w:p w14:paraId="35F21339">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5A7159DD">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7B8DF9D6">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r>
      <w:tr w14:paraId="047801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top"/>
          </w:tcPr>
          <w:p w14:paraId="49718AE2">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440" w:type="dxa"/>
            <w:noWrap w:val="0"/>
            <w:vAlign w:val="top"/>
          </w:tcPr>
          <w:p w14:paraId="026B3309">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60DA260F">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080" w:type="dxa"/>
            <w:noWrap w:val="0"/>
            <w:vAlign w:val="top"/>
          </w:tcPr>
          <w:p w14:paraId="4E4DF6B2">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771" w:type="dxa"/>
            <w:noWrap w:val="0"/>
            <w:vAlign w:val="top"/>
          </w:tcPr>
          <w:p w14:paraId="57A521E6">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382BA169">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4710CB66">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r>
      <w:tr w14:paraId="4D4D2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05" w:type="dxa"/>
            <w:noWrap w:val="0"/>
            <w:vAlign w:val="top"/>
          </w:tcPr>
          <w:p w14:paraId="06FF7365">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440" w:type="dxa"/>
            <w:noWrap w:val="0"/>
            <w:vAlign w:val="top"/>
          </w:tcPr>
          <w:p w14:paraId="4542BDB4">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1434C861">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080" w:type="dxa"/>
            <w:noWrap w:val="0"/>
            <w:vAlign w:val="top"/>
          </w:tcPr>
          <w:p w14:paraId="4D5B95FB">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771" w:type="dxa"/>
            <w:noWrap w:val="0"/>
            <w:vAlign w:val="top"/>
          </w:tcPr>
          <w:p w14:paraId="5175978A">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7E0E7A5F">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c>
          <w:tcPr>
            <w:tcW w:w="1260" w:type="dxa"/>
            <w:noWrap w:val="0"/>
            <w:vAlign w:val="top"/>
          </w:tcPr>
          <w:p w14:paraId="4C68AADF">
            <w:pPr>
              <w:autoSpaceDE w:val="0"/>
              <w:autoSpaceDN w:val="0"/>
              <w:adjustRightInd w:val="0"/>
              <w:snapToGrid w:val="0"/>
              <w:spacing w:line="400" w:lineRule="atLeast"/>
              <w:ind w:left="-88" w:leftChars="-42"/>
              <w:jc w:val="center"/>
              <w:rPr>
                <w:rFonts w:hint="eastAsia" w:ascii="仿宋" w:hAnsi="仿宋" w:eastAsia="仿宋" w:cs="仿宋"/>
                <w:b/>
                <w:kern w:val="0"/>
                <w:sz w:val="21"/>
                <w:szCs w:val="21"/>
                <w:lang w:val="zh-CN" w:bidi="zh-CN"/>
              </w:rPr>
            </w:pPr>
          </w:p>
        </w:tc>
      </w:tr>
    </w:tbl>
    <w:p w14:paraId="7620C077">
      <w:pPr>
        <w:autoSpaceDE w:val="0"/>
        <w:autoSpaceDN w:val="0"/>
        <w:jc w:val="left"/>
        <w:rPr>
          <w:rFonts w:ascii="宋体" w:hAnsi="宋体" w:eastAsia="宋体" w:cs="宋体"/>
          <w:kern w:val="0"/>
          <w:sz w:val="22"/>
          <w:szCs w:val="22"/>
          <w:lang w:val="zh-CN" w:bidi="zh-CN"/>
        </w:rPr>
      </w:pPr>
    </w:p>
    <w:p w14:paraId="1291C20F">
      <w:pPr>
        <w:autoSpaceDE w:val="0"/>
        <w:autoSpaceDN w:val="0"/>
        <w:jc w:val="left"/>
        <w:rPr>
          <w:rFonts w:ascii="宋体" w:hAnsi="宋体" w:eastAsia="宋体" w:cs="宋体"/>
          <w:kern w:val="0"/>
          <w:sz w:val="22"/>
          <w:szCs w:val="21"/>
          <w:lang w:val="zh-CN" w:bidi="zh-CN"/>
        </w:rPr>
      </w:pPr>
    </w:p>
    <w:p w14:paraId="41635EC9">
      <w:pPr>
        <w:autoSpaceDE w:val="0"/>
        <w:autoSpaceDN w:val="0"/>
        <w:jc w:val="left"/>
        <w:rPr>
          <w:rFonts w:ascii="宋体" w:hAnsi="宋体" w:eastAsia="宋体" w:cs="宋体"/>
          <w:kern w:val="0"/>
          <w:sz w:val="22"/>
          <w:szCs w:val="21"/>
          <w:lang w:val="zh-CN" w:bidi="zh-CN"/>
        </w:rPr>
      </w:pPr>
    </w:p>
    <w:p w14:paraId="39FD3182">
      <w:pPr>
        <w:widowControl w:val="0"/>
        <w:autoSpaceDE w:val="0"/>
        <w:autoSpaceDN w:val="0"/>
        <w:adjustRightInd w:val="0"/>
        <w:snapToGrid w:val="0"/>
        <w:spacing w:line="460" w:lineRule="exact"/>
        <w:outlineLvl w:val="0"/>
        <w:rPr>
          <w:rFonts w:hint="eastAsia" w:ascii="仿宋" w:hAnsi="仿宋" w:eastAsia="仿宋" w:cs="仿宋"/>
          <w:bCs/>
          <w:sz w:val="21"/>
          <w:szCs w:val="21"/>
          <w:lang w:val="zh-CN" w:eastAsia="zh-CN" w:bidi="zh-CN"/>
        </w:rPr>
      </w:pPr>
      <w:r>
        <w:rPr>
          <w:rFonts w:hint="eastAsia" w:ascii="仿宋" w:hAnsi="仿宋" w:eastAsia="仿宋" w:cs="仿宋"/>
          <w:sz w:val="21"/>
          <w:szCs w:val="21"/>
          <w:lang w:val="zh-CN" w:eastAsia="zh-CN" w:bidi="zh-CN"/>
        </w:rPr>
        <w:t xml:space="preserve">供应商名称（盖单位章）：                   </w:t>
      </w:r>
    </w:p>
    <w:p w14:paraId="5D5AEABB">
      <w:pPr>
        <w:autoSpaceDE w:val="0"/>
        <w:autoSpaceDN w:val="0"/>
        <w:adjustRightInd w:val="0"/>
        <w:snapToGrid w:val="0"/>
        <w:spacing w:line="460" w:lineRule="exact"/>
        <w:jc w:val="left"/>
        <w:outlineLvl w:val="0"/>
        <w:rPr>
          <w:rFonts w:hint="eastAsia" w:ascii="仿宋" w:hAnsi="仿宋" w:eastAsia="仿宋" w:cs="仿宋"/>
          <w:kern w:val="0"/>
          <w:sz w:val="21"/>
          <w:szCs w:val="21"/>
          <w:lang w:val="zh-CN" w:bidi="zh-CN"/>
        </w:rPr>
      </w:pPr>
      <w:r>
        <w:rPr>
          <w:rFonts w:hint="eastAsia" w:ascii="仿宋" w:hAnsi="仿宋" w:eastAsia="仿宋" w:cs="仿宋"/>
          <w:kern w:val="0"/>
          <w:sz w:val="21"/>
          <w:szCs w:val="21"/>
          <w:lang w:val="zh-CN" w:bidi="zh-CN"/>
        </w:rPr>
        <w:t xml:space="preserve">法定代表人或其委托代理人（签字）：                   </w:t>
      </w:r>
    </w:p>
    <w:p w14:paraId="5D8BD22B">
      <w:pPr>
        <w:autoSpaceDE w:val="0"/>
        <w:autoSpaceDN w:val="0"/>
        <w:adjustRightInd w:val="0"/>
        <w:snapToGrid w:val="0"/>
        <w:spacing w:line="460" w:lineRule="exact"/>
        <w:jc w:val="left"/>
        <w:outlineLvl w:val="0"/>
        <w:rPr>
          <w:rFonts w:hint="eastAsia" w:ascii="仿宋" w:hAnsi="仿宋" w:eastAsia="仿宋" w:cs="仿宋"/>
          <w:kern w:val="0"/>
          <w:sz w:val="21"/>
          <w:szCs w:val="21"/>
          <w:lang w:val="zh-CN" w:bidi="zh-CN"/>
        </w:rPr>
      </w:pPr>
      <w:r>
        <w:rPr>
          <w:rFonts w:hint="eastAsia" w:ascii="仿宋" w:hAnsi="仿宋" w:eastAsia="仿宋" w:cs="仿宋"/>
          <w:kern w:val="0"/>
          <w:sz w:val="21"/>
          <w:szCs w:val="21"/>
          <w:lang w:val="zh-CN" w:bidi="zh-CN"/>
        </w:rPr>
        <w:t>日期：       年    月    日</w:t>
      </w:r>
    </w:p>
    <w:p w14:paraId="32D02D4A">
      <w:pPr>
        <w:autoSpaceDE w:val="0"/>
        <w:autoSpaceDN w:val="0"/>
        <w:adjustRightInd w:val="0"/>
        <w:snapToGrid w:val="0"/>
        <w:spacing w:line="360" w:lineRule="auto"/>
        <w:jc w:val="left"/>
        <w:rPr>
          <w:rFonts w:hint="eastAsia" w:ascii="仿宋" w:hAnsi="仿宋" w:eastAsia="仿宋" w:cs="仿宋"/>
          <w:kern w:val="0"/>
          <w:sz w:val="21"/>
          <w:szCs w:val="21"/>
          <w:lang w:val="zh-CN" w:bidi="zh-CN"/>
        </w:rPr>
      </w:pPr>
    </w:p>
    <w:p w14:paraId="580B1BF8">
      <w:pPr>
        <w:autoSpaceDE w:val="0"/>
        <w:autoSpaceDN w:val="0"/>
        <w:adjustRightInd w:val="0"/>
        <w:snapToGrid w:val="0"/>
        <w:spacing w:line="360" w:lineRule="auto"/>
        <w:jc w:val="left"/>
        <w:rPr>
          <w:rFonts w:hint="eastAsia" w:ascii="仿宋" w:hAnsi="仿宋" w:eastAsia="仿宋" w:cs="仿宋"/>
          <w:kern w:val="0"/>
          <w:sz w:val="21"/>
          <w:szCs w:val="21"/>
          <w:lang w:val="zh-CN" w:bidi="zh-CN"/>
        </w:rPr>
      </w:pPr>
    </w:p>
    <w:p w14:paraId="17AA9974">
      <w:pPr>
        <w:widowControl w:val="0"/>
        <w:autoSpaceDE w:val="0"/>
        <w:autoSpaceDN w:val="0"/>
        <w:adjustRightInd w:val="0"/>
        <w:snapToGrid w:val="0"/>
        <w:spacing w:line="360" w:lineRule="auto"/>
        <w:outlineLvl w:val="0"/>
        <w:rPr>
          <w:rFonts w:hint="eastAsia" w:ascii="仿宋" w:hAnsi="仿宋" w:eastAsia="仿宋" w:cs="仿宋"/>
          <w:sz w:val="21"/>
          <w:szCs w:val="21"/>
          <w:lang w:val="zh-CN" w:eastAsia="zh-CN" w:bidi="zh-CN"/>
        </w:rPr>
      </w:pPr>
      <w:r>
        <w:rPr>
          <w:rFonts w:hint="eastAsia" w:ascii="仿宋" w:hAnsi="仿宋" w:eastAsia="仿宋" w:cs="仿宋"/>
          <w:sz w:val="21"/>
          <w:szCs w:val="21"/>
          <w:lang w:val="zh-CN" w:eastAsia="zh-CN" w:bidi="zh-CN"/>
        </w:rPr>
        <w:t>说明：货物的主要技术参数和技术指标可另页描述。</w:t>
      </w:r>
    </w:p>
    <w:p w14:paraId="271B49EC">
      <w:pPr>
        <w:adjustRightInd w:val="0"/>
        <w:snapToGrid w:val="0"/>
        <w:rPr>
          <w:rFonts w:ascii="宋体" w:hAnsi="宋体"/>
          <w:color w:val="auto"/>
          <w:szCs w:val="21"/>
        </w:rPr>
      </w:pPr>
    </w:p>
    <w:p w14:paraId="3748DF15">
      <w:pPr>
        <w:adjustRightInd w:val="0"/>
        <w:snapToGrid w:val="0"/>
        <w:rPr>
          <w:rFonts w:ascii="宋体" w:hAnsi="宋体"/>
          <w:color w:val="auto"/>
          <w:szCs w:val="21"/>
        </w:rPr>
      </w:pPr>
    </w:p>
    <w:p w14:paraId="094D441B">
      <w:pPr>
        <w:adjustRightInd w:val="0"/>
        <w:snapToGrid w:val="0"/>
        <w:rPr>
          <w:rFonts w:ascii="宋体" w:hAnsi="宋体"/>
          <w:color w:val="auto"/>
          <w:szCs w:val="21"/>
        </w:rPr>
      </w:pPr>
    </w:p>
    <w:p w14:paraId="49DF3B31">
      <w:pPr>
        <w:adjustRightInd w:val="0"/>
        <w:snapToGrid w:val="0"/>
        <w:rPr>
          <w:rFonts w:ascii="宋体" w:hAnsi="宋体"/>
          <w:color w:val="auto"/>
          <w:szCs w:val="21"/>
        </w:rPr>
      </w:pPr>
    </w:p>
    <w:p w14:paraId="1153AB62">
      <w:pPr>
        <w:adjustRightInd w:val="0"/>
        <w:snapToGrid w:val="0"/>
        <w:rPr>
          <w:rFonts w:ascii="宋体" w:hAnsi="宋体"/>
          <w:color w:val="auto"/>
          <w:szCs w:val="21"/>
        </w:rPr>
      </w:pPr>
    </w:p>
    <w:p w14:paraId="1693F6E7">
      <w:pPr>
        <w:adjustRightInd w:val="0"/>
        <w:snapToGrid w:val="0"/>
        <w:rPr>
          <w:rFonts w:ascii="宋体" w:hAnsi="宋体"/>
          <w:color w:val="auto"/>
          <w:szCs w:val="21"/>
        </w:rPr>
      </w:pPr>
    </w:p>
    <w:p w14:paraId="4C12FE69">
      <w:pPr>
        <w:adjustRightInd w:val="0"/>
        <w:snapToGrid w:val="0"/>
        <w:rPr>
          <w:rFonts w:ascii="宋体" w:hAnsi="宋体"/>
          <w:color w:val="auto"/>
          <w:szCs w:val="21"/>
        </w:rPr>
      </w:pPr>
    </w:p>
    <w:p w14:paraId="373576D6">
      <w:pPr>
        <w:adjustRightInd w:val="0"/>
        <w:snapToGrid w:val="0"/>
        <w:rPr>
          <w:rFonts w:ascii="宋体" w:hAnsi="宋体"/>
          <w:color w:val="auto"/>
          <w:szCs w:val="21"/>
        </w:rPr>
      </w:pPr>
    </w:p>
    <w:p w14:paraId="5952C0AF">
      <w:pPr>
        <w:pStyle w:val="15"/>
        <w:adjustRightInd w:val="0"/>
        <w:snapToGrid w:val="0"/>
        <w:spacing w:line="360" w:lineRule="auto"/>
        <w:outlineLvl w:val="0"/>
        <w:rPr>
          <w:rFonts w:ascii="宋体" w:hAnsi="宋体"/>
          <w:bCs/>
          <w:color w:val="auto"/>
          <w:sz w:val="21"/>
          <w:szCs w:val="21"/>
        </w:rPr>
      </w:pPr>
      <w:bookmarkStart w:id="82" w:name="_Toc686"/>
      <w:r>
        <w:rPr>
          <w:rFonts w:hint="eastAsia" w:ascii="宋体" w:hAnsi="宋体"/>
          <w:color w:val="auto"/>
          <w:sz w:val="21"/>
          <w:szCs w:val="21"/>
        </w:rPr>
        <w:t>供应商名称：</w:t>
      </w:r>
      <w:bookmarkEnd w:id="82"/>
    </w:p>
    <w:p w14:paraId="5EA33C07">
      <w:pPr>
        <w:adjustRightInd w:val="0"/>
        <w:snapToGrid w:val="0"/>
        <w:spacing w:line="360" w:lineRule="auto"/>
        <w:outlineLvl w:val="0"/>
        <w:rPr>
          <w:rFonts w:ascii="宋体" w:hAnsi="宋体"/>
          <w:color w:val="auto"/>
          <w:szCs w:val="21"/>
        </w:rPr>
      </w:pPr>
      <w:bookmarkStart w:id="83" w:name="_Toc16192"/>
      <w:r>
        <w:rPr>
          <w:rFonts w:hint="eastAsia" w:ascii="宋体" w:hAnsi="宋体"/>
          <w:color w:val="auto"/>
          <w:szCs w:val="21"/>
        </w:rPr>
        <w:t>法定代表人(负责人）或其委托代理人(签字)：</w:t>
      </w:r>
      <w:bookmarkEnd w:id="83"/>
    </w:p>
    <w:p w14:paraId="407027B6">
      <w:pPr>
        <w:spacing w:line="360" w:lineRule="exact"/>
        <w:rPr>
          <w:rFonts w:ascii="宋体"/>
          <w:color w:val="auto"/>
        </w:rPr>
      </w:pPr>
      <w:r>
        <w:rPr>
          <w:rFonts w:hint="eastAsia" w:ascii="宋体" w:hAnsi="宋体"/>
          <w:color w:val="auto"/>
          <w:szCs w:val="21"/>
        </w:rPr>
        <w:t>日期：  年  月  日</w:t>
      </w:r>
    </w:p>
    <w:p w14:paraId="4C62490E">
      <w:pPr>
        <w:adjustRightInd w:val="0"/>
        <w:snapToGrid w:val="0"/>
        <w:spacing w:line="360" w:lineRule="auto"/>
        <w:rPr>
          <w:rFonts w:ascii="宋体" w:hAnsi="宋体"/>
          <w:color w:val="auto"/>
          <w:szCs w:val="21"/>
        </w:rPr>
      </w:pPr>
    </w:p>
    <w:p w14:paraId="2F59E83C">
      <w:pPr>
        <w:adjustRightInd w:val="0"/>
        <w:snapToGrid w:val="0"/>
        <w:rPr>
          <w:rFonts w:ascii="宋体" w:hAnsi="宋体"/>
          <w:color w:val="auto"/>
          <w:szCs w:val="21"/>
        </w:rPr>
      </w:pPr>
    </w:p>
    <w:p w14:paraId="277DD5E2">
      <w:pPr>
        <w:adjustRightInd w:val="0"/>
        <w:snapToGrid w:val="0"/>
        <w:spacing w:line="360" w:lineRule="auto"/>
        <w:ind w:firstLine="525" w:firstLineChars="250"/>
        <w:rPr>
          <w:rFonts w:ascii="宋体" w:hAnsi="宋体" w:cs="宋体"/>
          <w:color w:val="auto"/>
          <w:szCs w:val="21"/>
          <w:highlight w:val="none"/>
        </w:rPr>
      </w:pPr>
    </w:p>
    <w:p w14:paraId="0F3E8815">
      <w:pPr>
        <w:adjustRightInd w:val="0"/>
        <w:snapToGrid w:val="0"/>
        <w:spacing w:line="360" w:lineRule="auto"/>
        <w:ind w:firstLine="525" w:firstLineChars="250"/>
        <w:rPr>
          <w:rFonts w:ascii="宋体" w:hAnsi="宋体" w:cs="宋体"/>
          <w:color w:val="auto"/>
          <w:szCs w:val="21"/>
          <w:highlight w:val="none"/>
        </w:rPr>
      </w:pPr>
    </w:p>
    <w:p w14:paraId="28273CD1">
      <w:pPr>
        <w:adjustRightInd w:val="0"/>
        <w:snapToGrid w:val="0"/>
        <w:spacing w:line="360" w:lineRule="auto"/>
        <w:ind w:firstLine="525" w:firstLineChars="250"/>
        <w:rPr>
          <w:rFonts w:ascii="宋体" w:hAnsi="宋体" w:cs="宋体"/>
          <w:color w:val="auto"/>
          <w:szCs w:val="21"/>
          <w:highlight w:val="none"/>
        </w:rPr>
      </w:pPr>
    </w:p>
    <w:p w14:paraId="4FCBBF54">
      <w:pPr>
        <w:adjustRightInd w:val="0"/>
        <w:snapToGrid w:val="0"/>
        <w:spacing w:line="360" w:lineRule="auto"/>
        <w:ind w:firstLine="525" w:firstLineChars="250"/>
        <w:rPr>
          <w:rFonts w:ascii="宋体" w:hAnsi="宋体" w:cs="宋体"/>
          <w:color w:val="auto"/>
          <w:szCs w:val="21"/>
          <w:highlight w:val="none"/>
        </w:rPr>
      </w:pPr>
    </w:p>
    <w:p w14:paraId="39538736">
      <w:pPr>
        <w:pStyle w:val="37"/>
        <w:rPr>
          <w:rFonts w:ascii="宋体" w:hAnsi="宋体" w:cs="宋体"/>
          <w:color w:val="auto"/>
          <w:szCs w:val="21"/>
          <w:highlight w:val="none"/>
        </w:rPr>
      </w:pPr>
    </w:p>
    <w:p w14:paraId="0EEBCB69">
      <w:pPr>
        <w:spacing w:line="360" w:lineRule="exact"/>
        <w:jc w:val="center"/>
        <w:outlineLvl w:val="1"/>
        <w:rPr>
          <w:rFonts w:ascii="黑体" w:eastAsia="黑体"/>
          <w:b/>
          <w:color w:val="auto"/>
          <w:sz w:val="32"/>
          <w:szCs w:val="32"/>
          <w:highlight w:val="none"/>
        </w:rPr>
      </w:pPr>
      <w:r>
        <w:rPr>
          <w:rFonts w:hint="eastAsia" w:ascii="黑体" w:eastAsia="黑体"/>
          <w:b/>
          <w:color w:val="auto"/>
          <w:sz w:val="32"/>
          <w:szCs w:val="32"/>
          <w:highlight w:val="none"/>
        </w:rPr>
        <w:t>五、技术/商务响应与偏离表</w:t>
      </w:r>
    </w:p>
    <w:p w14:paraId="7E8779BF">
      <w:pPr>
        <w:adjustRightInd w:val="0"/>
        <w:snapToGrid w:val="0"/>
        <w:ind w:left="-88" w:leftChars="-42" w:firstLine="315" w:firstLineChars="150"/>
        <w:rPr>
          <w:rFonts w:ascii="宋体" w:hAnsi="宋体"/>
          <w:color w:val="auto"/>
          <w:szCs w:val="21"/>
          <w:highlight w:val="none"/>
          <w:u w:val="single"/>
        </w:rPr>
      </w:pPr>
    </w:p>
    <w:tbl>
      <w:tblPr>
        <w:tblStyle w:val="26"/>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0769EA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19513A03">
            <w:pPr>
              <w:adjustRightInd w:val="0"/>
              <w:snapToGrid w:val="0"/>
              <w:ind w:left="-88" w:leftChars="-42"/>
              <w:jc w:val="center"/>
              <w:rPr>
                <w:rFonts w:ascii="宋体" w:hAnsi="宋体"/>
                <w:bCs/>
                <w:color w:val="auto"/>
                <w:szCs w:val="21"/>
                <w:highlight w:val="none"/>
              </w:rPr>
            </w:pPr>
            <w:r>
              <w:rPr>
                <w:rFonts w:hint="eastAsia" w:ascii="宋体" w:hAnsi="宋体"/>
                <w:bCs/>
                <w:color w:val="auto"/>
                <w:szCs w:val="21"/>
                <w:highlight w:val="none"/>
              </w:rPr>
              <w:t>序号</w:t>
            </w:r>
          </w:p>
        </w:tc>
        <w:tc>
          <w:tcPr>
            <w:tcW w:w="1685" w:type="dxa"/>
            <w:vAlign w:val="center"/>
          </w:tcPr>
          <w:p w14:paraId="3086902E">
            <w:pPr>
              <w:adjustRightInd w:val="0"/>
              <w:snapToGrid w:val="0"/>
              <w:ind w:left="-88" w:leftChars="-42"/>
              <w:jc w:val="center"/>
              <w:rPr>
                <w:rFonts w:ascii="宋体" w:hAnsi="宋体"/>
                <w:color w:val="auto"/>
                <w:szCs w:val="21"/>
                <w:highlight w:val="none"/>
              </w:rPr>
            </w:pPr>
            <w:r>
              <w:rPr>
                <w:rFonts w:hint="eastAsia" w:ascii="宋体" w:hAnsi="宋体"/>
                <w:color w:val="auto"/>
                <w:szCs w:val="21"/>
                <w:highlight w:val="none"/>
              </w:rPr>
              <w:t>磋商文件条目号</w:t>
            </w:r>
          </w:p>
        </w:tc>
        <w:tc>
          <w:tcPr>
            <w:tcW w:w="1948" w:type="dxa"/>
            <w:vAlign w:val="center"/>
          </w:tcPr>
          <w:p w14:paraId="43D9A8D7">
            <w:pPr>
              <w:adjustRightInd w:val="0"/>
              <w:snapToGrid w:val="0"/>
              <w:ind w:left="-88" w:leftChars="-42"/>
              <w:jc w:val="center"/>
              <w:rPr>
                <w:rFonts w:ascii="宋体" w:hAnsi="宋体"/>
                <w:color w:val="auto"/>
                <w:szCs w:val="21"/>
                <w:highlight w:val="none"/>
              </w:rPr>
            </w:pPr>
            <w:r>
              <w:rPr>
                <w:rFonts w:hint="eastAsia" w:ascii="宋体" w:hAnsi="宋体"/>
                <w:color w:val="auto"/>
                <w:szCs w:val="21"/>
                <w:highlight w:val="none"/>
              </w:rPr>
              <w:t>采购规格/商务条款</w:t>
            </w:r>
          </w:p>
        </w:tc>
        <w:tc>
          <w:tcPr>
            <w:tcW w:w="2600" w:type="dxa"/>
            <w:vAlign w:val="center"/>
          </w:tcPr>
          <w:p w14:paraId="08217EF6">
            <w:pPr>
              <w:adjustRightInd w:val="0"/>
              <w:snapToGrid w:val="0"/>
              <w:ind w:left="-88" w:leftChars="-42"/>
              <w:jc w:val="center"/>
              <w:rPr>
                <w:rFonts w:ascii="宋体" w:hAnsi="宋体"/>
                <w:color w:val="auto"/>
                <w:szCs w:val="21"/>
                <w:highlight w:val="none"/>
              </w:rPr>
            </w:pPr>
            <w:r>
              <w:rPr>
                <w:rFonts w:hint="eastAsia" w:ascii="宋体" w:hAnsi="宋体"/>
                <w:color w:val="auto"/>
                <w:szCs w:val="21"/>
                <w:highlight w:val="none"/>
              </w:rPr>
              <w:t>响应文件的规格/商务条款</w:t>
            </w:r>
          </w:p>
        </w:tc>
        <w:tc>
          <w:tcPr>
            <w:tcW w:w="1214" w:type="dxa"/>
            <w:vAlign w:val="center"/>
          </w:tcPr>
          <w:p w14:paraId="1839E257">
            <w:pPr>
              <w:adjustRightInd w:val="0"/>
              <w:snapToGrid w:val="0"/>
              <w:ind w:left="-88" w:leftChars="-42"/>
              <w:jc w:val="center"/>
              <w:rPr>
                <w:rFonts w:ascii="宋体" w:hAnsi="宋体"/>
                <w:color w:val="auto"/>
                <w:szCs w:val="21"/>
                <w:highlight w:val="none"/>
              </w:rPr>
            </w:pPr>
            <w:r>
              <w:rPr>
                <w:rFonts w:hint="eastAsia" w:ascii="宋体" w:hAnsi="宋体"/>
                <w:color w:val="auto"/>
                <w:szCs w:val="21"/>
                <w:highlight w:val="none"/>
              </w:rPr>
              <w:t>响应与偏离</w:t>
            </w:r>
          </w:p>
        </w:tc>
        <w:tc>
          <w:tcPr>
            <w:tcW w:w="661" w:type="dxa"/>
            <w:vAlign w:val="center"/>
          </w:tcPr>
          <w:p w14:paraId="3FC3A58D">
            <w:pPr>
              <w:adjustRightInd w:val="0"/>
              <w:snapToGrid w:val="0"/>
              <w:ind w:left="-88" w:leftChars="-42"/>
              <w:jc w:val="center"/>
              <w:rPr>
                <w:rFonts w:ascii="宋体" w:hAnsi="宋体"/>
                <w:color w:val="auto"/>
                <w:szCs w:val="21"/>
                <w:highlight w:val="none"/>
              </w:rPr>
            </w:pPr>
            <w:r>
              <w:rPr>
                <w:rFonts w:hint="eastAsia" w:ascii="宋体" w:hAnsi="宋体"/>
                <w:color w:val="auto"/>
                <w:szCs w:val="21"/>
                <w:highlight w:val="none"/>
              </w:rPr>
              <w:t>说明</w:t>
            </w:r>
          </w:p>
        </w:tc>
      </w:tr>
      <w:tr w14:paraId="07E80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11195606">
            <w:pPr>
              <w:adjustRightInd w:val="0"/>
              <w:snapToGrid w:val="0"/>
              <w:ind w:left="-88" w:leftChars="-42"/>
              <w:jc w:val="center"/>
              <w:rPr>
                <w:rFonts w:ascii="宋体" w:hAnsi="宋体"/>
                <w:color w:val="auto"/>
                <w:szCs w:val="21"/>
                <w:highlight w:val="none"/>
              </w:rPr>
            </w:pPr>
          </w:p>
        </w:tc>
        <w:tc>
          <w:tcPr>
            <w:tcW w:w="1685" w:type="dxa"/>
            <w:vAlign w:val="center"/>
          </w:tcPr>
          <w:p w14:paraId="6DF6CF27">
            <w:pPr>
              <w:adjustRightInd w:val="0"/>
              <w:snapToGrid w:val="0"/>
              <w:ind w:left="-88" w:leftChars="-42"/>
              <w:jc w:val="center"/>
              <w:rPr>
                <w:rFonts w:ascii="宋体" w:hAnsi="宋体"/>
                <w:color w:val="auto"/>
                <w:szCs w:val="21"/>
                <w:highlight w:val="none"/>
              </w:rPr>
            </w:pPr>
          </w:p>
        </w:tc>
        <w:tc>
          <w:tcPr>
            <w:tcW w:w="1948" w:type="dxa"/>
            <w:vAlign w:val="center"/>
          </w:tcPr>
          <w:p w14:paraId="66AE713A">
            <w:pPr>
              <w:adjustRightInd w:val="0"/>
              <w:snapToGrid w:val="0"/>
              <w:ind w:left="-88" w:leftChars="-42"/>
              <w:jc w:val="center"/>
              <w:rPr>
                <w:rFonts w:ascii="宋体" w:hAnsi="宋体"/>
                <w:color w:val="auto"/>
                <w:szCs w:val="21"/>
                <w:highlight w:val="none"/>
              </w:rPr>
            </w:pPr>
          </w:p>
        </w:tc>
        <w:tc>
          <w:tcPr>
            <w:tcW w:w="2600" w:type="dxa"/>
            <w:vAlign w:val="center"/>
          </w:tcPr>
          <w:p w14:paraId="135AD827">
            <w:pPr>
              <w:adjustRightInd w:val="0"/>
              <w:snapToGrid w:val="0"/>
              <w:ind w:left="-88" w:leftChars="-42"/>
              <w:jc w:val="center"/>
              <w:rPr>
                <w:rFonts w:ascii="宋体" w:hAnsi="宋体"/>
                <w:color w:val="auto"/>
                <w:szCs w:val="21"/>
                <w:highlight w:val="none"/>
              </w:rPr>
            </w:pPr>
          </w:p>
        </w:tc>
        <w:tc>
          <w:tcPr>
            <w:tcW w:w="1214" w:type="dxa"/>
            <w:vAlign w:val="center"/>
          </w:tcPr>
          <w:p w14:paraId="25CFBDAE">
            <w:pPr>
              <w:adjustRightInd w:val="0"/>
              <w:snapToGrid w:val="0"/>
              <w:ind w:left="-88" w:leftChars="-42"/>
              <w:jc w:val="center"/>
              <w:rPr>
                <w:rFonts w:ascii="宋体" w:hAnsi="宋体"/>
                <w:color w:val="auto"/>
                <w:szCs w:val="21"/>
                <w:highlight w:val="none"/>
              </w:rPr>
            </w:pPr>
          </w:p>
        </w:tc>
        <w:tc>
          <w:tcPr>
            <w:tcW w:w="661" w:type="dxa"/>
            <w:vAlign w:val="center"/>
          </w:tcPr>
          <w:p w14:paraId="04EA3CE8">
            <w:pPr>
              <w:adjustRightInd w:val="0"/>
              <w:snapToGrid w:val="0"/>
              <w:ind w:left="-88" w:leftChars="-42"/>
              <w:jc w:val="center"/>
              <w:rPr>
                <w:rFonts w:ascii="宋体" w:hAnsi="宋体"/>
                <w:color w:val="auto"/>
                <w:szCs w:val="21"/>
                <w:highlight w:val="none"/>
              </w:rPr>
            </w:pPr>
          </w:p>
        </w:tc>
      </w:tr>
      <w:tr w14:paraId="0A491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226EF91C">
            <w:pPr>
              <w:adjustRightInd w:val="0"/>
              <w:snapToGrid w:val="0"/>
              <w:ind w:left="-88" w:leftChars="-42"/>
              <w:jc w:val="center"/>
              <w:rPr>
                <w:rFonts w:ascii="宋体" w:hAnsi="宋体"/>
                <w:color w:val="auto"/>
                <w:szCs w:val="21"/>
                <w:highlight w:val="none"/>
              </w:rPr>
            </w:pPr>
          </w:p>
        </w:tc>
        <w:tc>
          <w:tcPr>
            <w:tcW w:w="1685" w:type="dxa"/>
            <w:vAlign w:val="center"/>
          </w:tcPr>
          <w:p w14:paraId="7514B4B6">
            <w:pPr>
              <w:adjustRightInd w:val="0"/>
              <w:snapToGrid w:val="0"/>
              <w:ind w:left="-88" w:leftChars="-42"/>
              <w:jc w:val="center"/>
              <w:rPr>
                <w:rFonts w:ascii="宋体" w:hAnsi="宋体"/>
                <w:color w:val="auto"/>
                <w:szCs w:val="21"/>
                <w:highlight w:val="none"/>
              </w:rPr>
            </w:pPr>
          </w:p>
        </w:tc>
        <w:tc>
          <w:tcPr>
            <w:tcW w:w="1948" w:type="dxa"/>
            <w:vAlign w:val="center"/>
          </w:tcPr>
          <w:p w14:paraId="14F6F709">
            <w:pPr>
              <w:adjustRightInd w:val="0"/>
              <w:snapToGrid w:val="0"/>
              <w:ind w:left="-88" w:leftChars="-42"/>
              <w:jc w:val="center"/>
              <w:rPr>
                <w:rFonts w:ascii="宋体" w:hAnsi="宋体"/>
                <w:color w:val="auto"/>
                <w:szCs w:val="21"/>
                <w:highlight w:val="none"/>
              </w:rPr>
            </w:pPr>
          </w:p>
        </w:tc>
        <w:tc>
          <w:tcPr>
            <w:tcW w:w="2600" w:type="dxa"/>
            <w:vAlign w:val="center"/>
          </w:tcPr>
          <w:p w14:paraId="5BF88C4F">
            <w:pPr>
              <w:adjustRightInd w:val="0"/>
              <w:snapToGrid w:val="0"/>
              <w:ind w:left="-88" w:leftChars="-42"/>
              <w:jc w:val="center"/>
              <w:rPr>
                <w:rFonts w:ascii="宋体" w:hAnsi="宋体"/>
                <w:color w:val="auto"/>
                <w:szCs w:val="21"/>
                <w:highlight w:val="none"/>
              </w:rPr>
            </w:pPr>
          </w:p>
        </w:tc>
        <w:tc>
          <w:tcPr>
            <w:tcW w:w="1214" w:type="dxa"/>
            <w:vAlign w:val="center"/>
          </w:tcPr>
          <w:p w14:paraId="33C0BD52">
            <w:pPr>
              <w:adjustRightInd w:val="0"/>
              <w:snapToGrid w:val="0"/>
              <w:ind w:left="-88" w:leftChars="-42"/>
              <w:jc w:val="center"/>
              <w:rPr>
                <w:rFonts w:ascii="宋体" w:hAnsi="宋体"/>
                <w:color w:val="auto"/>
                <w:szCs w:val="21"/>
                <w:highlight w:val="none"/>
              </w:rPr>
            </w:pPr>
          </w:p>
        </w:tc>
        <w:tc>
          <w:tcPr>
            <w:tcW w:w="661" w:type="dxa"/>
            <w:vAlign w:val="center"/>
          </w:tcPr>
          <w:p w14:paraId="1DA3DAB5">
            <w:pPr>
              <w:adjustRightInd w:val="0"/>
              <w:snapToGrid w:val="0"/>
              <w:ind w:left="-88" w:leftChars="-42"/>
              <w:jc w:val="center"/>
              <w:rPr>
                <w:rFonts w:ascii="宋体" w:hAnsi="宋体"/>
                <w:color w:val="auto"/>
                <w:szCs w:val="21"/>
                <w:highlight w:val="none"/>
              </w:rPr>
            </w:pPr>
          </w:p>
        </w:tc>
      </w:tr>
      <w:tr w14:paraId="5C1A9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4985E33">
            <w:pPr>
              <w:adjustRightInd w:val="0"/>
              <w:snapToGrid w:val="0"/>
              <w:ind w:left="-88" w:leftChars="-42"/>
              <w:jc w:val="center"/>
              <w:rPr>
                <w:rFonts w:ascii="宋体" w:hAnsi="宋体"/>
                <w:color w:val="auto"/>
                <w:szCs w:val="21"/>
                <w:highlight w:val="none"/>
              </w:rPr>
            </w:pPr>
          </w:p>
        </w:tc>
        <w:tc>
          <w:tcPr>
            <w:tcW w:w="1685" w:type="dxa"/>
            <w:vAlign w:val="center"/>
          </w:tcPr>
          <w:p w14:paraId="76A7A83B">
            <w:pPr>
              <w:adjustRightInd w:val="0"/>
              <w:snapToGrid w:val="0"/>
              <w:ind w:left="-88" w:leftChars="-42"/>
              <w:jc w:val="center"/>
              <w:rPr>
                <w:rFonts w:ascii="宋体" w:hAnsi="宋体"/>
                <w:color w:val="auto"/>
                <w:szCs w:val="21"/>
                <w:highlight w:val="none"/>
              </w:rPr>
            </w:pPr>
          </w:p>
        </w:tc>
        <w:tc>
          <w:tcPr>
            <w:tcW w:w="1948" w:type="dxa"/>
            <w:vAlign w:val="center"/>
          </w:tcPr>
          <w:p w14:paraId="3A32EE59">
            <w:pPr>
              <w:adjustRightInd w:val="0"/>
              <w:snapToGrid w:val="0"/>
              <w:ind w:left="-88" w:leftChars="-42"/>
              <w:jc w:val="center"/>
              <w:rPr>
                <w:rFonts w:ascii="宋体" w:hAnsi="宋体"/>
                <w:color w:val="auto"/>
                <w:szCs w:val="21"/>
                <w:highlight w:val="none"/>
              </w:rPr>
            </w:pPr>
          </w:p>
        </w:tc>
        <w:tc>
          <w:tcPr>
            <w:tcW w:w="2600" w:type="dxa"/>
            <w:vAlign w:val="center"/>
          </w:tcPr>
          <w:p w14:paraId="712DA296">
            <w:pPr>
              <w:adjustRightInd w:val="0"/>
              <w:snapToGrid w:val="0"/>
              <w:ind w:left="-88" w:leftChars="-42"/>
              <w:jc w:val="center"/>
              <w:rPr>
                <w:rFonts w:ascii="宋体" w:hAnsi="宋体"/>
                <w:color w:val="auto"/>
                <w:szCs w:val="21"/>
                <w:highlight w:val="none"/>
              </w:rPr>
            </w:pPr>
          </w:p>
        </w:tc>
        <w:tc>
          <w:tcPr>
            <w:tcW w:w="1214" w:type="dxa"/>
            <w:vAlign w:val="center"/>
          </w:tcPr>
          <w:p w14:paraId="098CE6D6">
            <w:pPr>
              <w:adjustRightInd w:val="0"/>
              <w:snapToGrid w:val="0"/>
              <w:ind w:left="-88" w:leftChars="-42"/>
              <w:jc w:val="center"/>
              <w:rPr>
                <w:rFonts w:ascii="宋体" w:hAnsi="宋体"/>
                <w:color w:val="auto"/>
                <w:szCs w:val="21"/>
                <w:highlight w:val="none"/>
              </w:rPr>
            </w:pPr>
          </w:p>
        </w:tc>
        <w:tc>
          <w:tcPr>
            <w:tcW w:w="661" w:type="dxa"/>
            <w:vAlign w:val="center"/>
          </w:tcPr>
          <w:p w14:paraId="3F962ED6">
            <w:pPr>
              <w:adjustRightInd w:val="0"/>
              <w:snapToGrid w:val="0"/>
              <w:ind w:left="-88" w:leftChars="-42"/>
              <w:jc w:val="center"/>
              <w:rPr>
                <w:rFonts w:ascii="宋体" w:hAnsi="宋体"/>
                <w:color w:val="auto"/>
                <w:szCs w:val="21"/>
                <w:highlight w:val="none"/>
              </w:rPr>
            </w:pPr>
          </w:p>
        </w:tc>
      </w:tr>
      <w:tr w14:paraId="494949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4FAEE64B">
            <w:pPr>
              <w:adjustRightInd w:val="0"/>
              <w:snapToGrid w:val="0"/>
              <w:ind w:left="-88" w:leftChars="-42"/>
              <w:jc w:val="center"/>
              <w:rPr>
                <w:rFonts w:ascii="宋体" w:hAnsi="宋体"/>
                <w:color w:val="auto"/>
                <w:szCs w:val="21"/>
                <w:highlight w:val="none"/>
              </w:rPr>
            </w:pPr>
          </w:p>
        </w:tc>
        <w:tc>
          <w:tcPr>
            <w:tcW w:w="1685" w:type="dxa"/>
            <w:vAlign w:val="center"/>
          </w:tcPr>
          <w:p w14:paraId="4499F171">
            <w:pPr>
              <w:adjustRightInd w:val="0"/>
              <w:snapToGrid w:val="0"/>
              <w:ind w:left="-88" w:leftChars="-42"/>
              <w:jc w:val="center"/>
              <w:rPr>
                <w:rFonts w:ascii="宋体" w:hAnsi="宋体"/>
                <w:color w:val="auto"/>
                <w:szCs w:val="21"/>
                <w:highlight w:val="none"/>
              </w:rPr>
            </w:pPr>
          </w:p>
        </w:tc>
        <w:tc>
          <w:tcPr>
            <w:tcW w:w="1948" w:type="dxa"/>
            <w:vAlign w:val="center"/>
          </w:tcPr>
          <w:p w14:paraId="5822C4BC">
            <w:pPr>
              <w:adjustRightInd w:val="0"/>
              <w:snapToGrid w:val="0"/>
              <w:ind w:left="-88" w:leftChars="-42"/>
              <w:jc w:val="center"/>
              <w:rPr>
                <w:rFonts w:ascii="宋体" w:hAnsi="宋体"/>
                <w:color w:val="auto"/>
                <w:szCs w:val="21"/>
                <w:highlight w:val="none"/>
              </w:rPr>
            </w:pPr>
          </w:p>
        </w:tc>
        <w:tc>
          <w:tcPr>
            <w:tcW w:w="2600" w:type="dxa"/>
            <w:vAlign w:val="center"/>
          </w:tcPr>
          <w:p w14:paraId="6E3E9B13">
            <w:pPr>
              <w:adjustRightInd w:val="0"/>
              <w:snapToGrid w:val="0"/>
              <w:ind w:left="-88" w:leftChars="-42"/>
              <w:jc w:val="center"/>
              <w:rPr>
                <w:rFonts w:ascii="宋体" w:hAnsi="宋体"/>
                <w:color w:val="auto"/>
                <w:szCs w:val="21"/>
                <w:highlight w:val="none"/>
              </w:rPr>
            </w:pPr>
          </w:p>
        </w:tc>
        <w:tc>
          <w:tcPr>
            <w:tcW w:w="1214" w:type="dxa"/>
            <w:vAlign w:val="center"/>
          </w:tcPr>
          <w:p w14:paraId="06BEBD36">
            <w:pPr>
              <w:adjustRightInd w:val="0"/>
              <w:snapToGrid w:val="0"/>
              <w:ind w:left="-88" w:leftChars="-42"/>
              <w:jc w:val="center"/>
              <w:rPr>
                <w:rFonts w:ascii="宋体" w:hAnsi="宋体"/>
                <w:color w:val="auto"/>
                <w:szCs w:val="21"/>
                <w:highlight w:val="none"/>
              </w:rPr>
            </w:pPr>
          </w:p>
        </w:tc>
        <w:tc>
          <w:tcPr>
            <w:tcW w:w="661" w:type="dxa"/>
            <w:vAlign w:val="center"/>
          </w:tcPr>
          <w:p w14:paraId="2545B920">
            <w:pPr>
              <w:adjustRightInd w:val="0"/>
              <w:snapToGrid w:val="0"/>
              <w:ind w:left="-88" w:leftChars="-42"/>
              <w:jc w:val="center"/>
              <w:rPr>
                <w:rFonts w:ascii="宋体" w:hAnsi="宋体"/>
                <w:color w:val="auto"/>
                <w:szCs w:val="21"/>
                <w:highlight w:val="none"/>
              </w:rPr>
            </w:pPr>
          </w:p>
        </w:tc>
      </w:tr>
      <w:tr w14:paraId="4F7C4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97BFEBA">
            <w:pPr>
              <w:adjustRightInd w:val="0"/>
              <w:snapToGrid w:val="0"/>
              <w:ind w:left="-88" w:leftChars="-42"/>
              <w:jc w:val="center"/>
              <w:rPr>
                <w:rFonts w:ascii="宋体" w:hAnsi="宋体"/>
                <w:color w:val="auto"/>
                <w:szCs w:val="21"/>
                <w:highlight w:val="none"/>
              </w:rPr>
            </w:pPr>
          </w:p>
        </w:tc>
        <w:tc>
          <w:tcPr>
            <w:tcW w:w="1685" w:type="dxa"/>
            <w:vAlign w:val="center"/>
          </w:tcPr>
          <w:p w14:paraId="6D629CEF">
            <w:pPr>
              <w:adjustRightInd w:val="0"/>
              <w:snapToGrid w:val="0"/>
              <w:ind w:left="-88" w:leftChars="-42"/>
              <w:jc w:val="center"/>
              <w:rPr>
                <w:rFonts w:ascii="宋体" w:hAnsi="宋体"/>
                <w:color w:val="auto"/>
                <w:szCs w:val="21"/>
                <w:highlight w:val="none"/>
              </w:rPr>
            </w:pPr>
          </w:p>
        </w:tc>
        <w:tc>
          <w:tcPr>
            <w:tcW w:w="1948" w:type="dxa"/>
            <w:vAlign w:val="center"/>
          </w:tcPr>
          <w:p w14:paraId="289EFB6F">
            <w:pPr>
              <w:adjustRightInd w:val="0"/>
              <w:snapToGrid w:val="0"/>
              <w:ind w:left="-88" w:leftChars="-42"/>
              <w:jc w:val="center"/>
              <w:rPr>
                <w:rFonts w:ascii="宋体" w:hAnsi="宋体"/>
                <w:color w:val="auto"/>
                <w:szCs w:val="21"/>
                <w:highlight w:val="none"/>
              </w:rPr>
            </w:pPr>
          </w:p>
        </w:tc>
        <w:tc>
          <w:tcPr>
            <w:tcW w:w="2600" w:type="dxa"/>
            <w:vAlign w:val="center"/>
          </w:tcPr>
          <w:p w14:paraId="2BF50399">
            <w:pPr>
              <w:adjustRightInd w:val="0"/>
              <w:snapToGrid w:val="0"/>
              <w:ind w:left="-88" w:leftChars="-42"/>
              <w:jc w:val="center"/>
              <w:rPr>
                <w:rFonts w:ascii="宋体" w:hAnsi="宋体"/>
                <w:color w:val="auto"/>
                <w:szCs w:val="21"/>
                <w:highlight w:val="none"/>
              </w:rPr>
            </w:pPr>
          </w:p>
        </w:tc>
        <w:tc>
          <w:tcPr>
            <w:tcW w:w="1214" w:type="dxa"/>
            <w:vAlign w:val="center"/>
          </w:tcPr>
          <w:p w14:paraId="5F238B1B">
            <w:pPr>
              <w:adjustRightInd w:val="0"/>
              <w:snapToGrid w:val="0"/>
              <w:ind w:left="-88" w:leftChars="-42"/>
              <w:jc w:val="center"/>
              <w:rPr>
                <w:rFonts w:ascii="宋体" w:hAnsi="宋体"/>
                <w:color w:val="auto"/>
                <w:szCs w:val="21"/>
                <w:highlight w:val="none"/>
              </w:rPr>
            </w:pPr>
          </w:p>
        </w:tc>
        <w:tc>
          <w:tcPr>
            <w:tcW w:w="661" w:type="dxa"/>
            <w:vAlign w:val="center"/>
          </w:tcPr>
          <w:p w14:paraId="432E4964">
            <w:pPr>
              <w:adjustRightInd w:val="0"/>
              <w:snapToGrid w:val="0"/>
              <w:ind w:left="-88" w:leftChars="-42"/>
              <w:jc w:val="center"/>
              <w:rPr>
                <w:rFonts w:ascii="宋体" w:hAnsi="宋体"/>
                <w:color w:val="auto"/>
                <w:szCs w:val="21"/>
                <w:highlight w:val="none"/>
              </w:rPr>
            </w:pPr>
          </w:p>
        </w:tc>
      </w:tr>
    </w:tbl>
    <w:p w14:paraId="668E5F59">
      <w:pPr>
        <w:adjustRightInd w:val="0"/>
        <w:snapToGrid w:val="0"/>
        <w:spacing w:line="360" w:lineRule="auto"/>
        <w:ind w:left="-88" w:leftChars="-42"/>
        <w:rPr>
          <w:rFonts w:ascii="仿宋_GB2312" w:hAnsi="宋体" w:eastAsia="仿宋_GB2312"/>
          <w:color w:val="auto"/>
          <w:szCs w:val="21"/>
          <w:highlight w:val="none"/>
        </w:rPr>
      </w:pPr>
      <w:r>
        <w:rPr>
          <w:rFonts w:hint="eastAsia" w:ascii="仿宋_GB2312" w:hAnsi="宋体" w:eastAsia="仿宋_GB2312"/>
          <w:color w:val="auto"/>
          <w:szCs w:val="21"/>
          <w:highlight w:val="none"/>
        </w:rPr>
        <w:t>说明：1、“响应与偏离”应注明“响应”或“偏离”。</w:t>
      </w:r>
    </w:p>
    <w:p w14:paraId="1D0FEF06">
      <w:pPr>
        <w:adjustRightInd w:val="0"/>
        <w:snapToGrid w:val="0"/>
        <w:spacing w:line="360" w:lineRule="auto"/>
        <w:rPr>
          <w:rFonts w:ascii="仿宋_GB2312" w:hAnsi="宋体" w:eastAsia="仿宋_GB2312"/>
          <w:color w:val="auto"/>
          <w:szCs w:val="21"/>
          <w:highlight w:val="none"/>
        </w:rPr>
      </w:pPr>
      <w:r>
        <w:rPr>
          <w:rFonts w:hint="eastAsia" w:ascii="仿宋_GB2312" w:hAnsi="宋体" w:eastAsia="仿宋_GB2312"/>
          <w:color w:val="auto"/>
          <w:szCs w:val="21"/>
          <w:highlight w:val="none"/>
        </w:rPr>
        <w:t>2、属磋商文件规定可能变动的内容在“说明”栏中注明。</w:t>
      </w:r>
    </w:p>
    <w:p w14:paraId="6008092A">
      <w:pPr>
        <w:pStyle w:val="16"/>
        <w:rPr>
          <w:color w:val="auto"/>
          <w:highlight w:val="none"/>
        </w:rPr>
      </w:pPr>
    </w:p>
    <w:p w14:paraId="220EEC4B">
      <w:pPr>
        <w:rPr>
          <w:color w:val="auto"/>
          <w:highlight w:val="none"/>
        </w:rPr>
      </w:pPr>
    </w:p>
    <w:p w14:paraId="7229E7EF">
      <w:pPr>
        <w:rPr>
          <w:color w:val="auto"/>
          <w:highlight w:val="none"/>
        </w:rPr>
      </w:pPr>
    </w:p>
    <w:p w14:paraId="6105F16F">
      <w:pPr>
        <w:rPr>
          <w:color w:val="auto"/>
          <w:highlight w:val="none"/>
        </w:rPr>
      </w:pPr>
    </w:p>
    <w:p w14:paraId="73C39DA9">
      <w:pPr>
        <w:rPr>
          <w:color w:val="auto"/>
          <w:highlight w:val="none"/>
        </w:rPr>
      </w:pPr>
    </w:p>
    <w:p w14:paraId="5103E825">
      <w:pPr>
        <w:rPr>
          <w:color w:val="auto"/>
          <w:highlight w:val="none"/>
        </w:rPr>
      </w:pPr>
    </w:p>
    <w:p w14:paraId="0AC2264B">
      <w:pPr>
        <w:rPr>
          <w:color w:val="auto"/>
          <w:highlight w:val="none"/>
        </w:rPr>
      </w:pPr>
    </w:p>
    <w:p w14:paraId="0E79A0BB">
      <w:pPr>
        <w:rPr>
          <w:color w:val="auto"/>
          <w:highlight w:val="none"/>
        </w:rPr>
      </w:pPr>
      <w:r>
        <w:rPr>
          <w:rFonts w:hint="eastAsia"/>
          <w:color w:val="auto"/>
          <w:highlight w:val="none"/>
        </w:rPr>
        <w:t>供应商名称：</w:t>
      </w:r>
    </w:p>
    <w:p w14:paraId="1EBB4DE5">
      <w:pPr>
        <w:rPr>
          <w:color w:val="auto"/>
          <w:highlight w:val="none"/>
        </w:rPr>
      </w:pPr>
      <w:r>
        <w:rPr>
          <w:rFonts w:hint="eastAsia"/>
          <w:color w:val="auto"/>
          <w:highlight w:val="none"/>
        </w:rPr>
        <w:t>法定代表人或其委托代理人(签字)：</w:t>
      </w:r>
    </w:p>
    <w:p w14:paraId="387C675C">
      <w:pPr>
        <w:rPr>
          <w:color w:val="auto"/>
          <w:highlight w:val="none"/>
        </w:rPr>
      </w:pPr>
      <w:r>
        <w:rPr>
          <w:rFonts w:hint="eastAsia"/>
          <w:color w:val="auto"/>
          <w:highlight w:val="none"/>
        </w:rPr>
        <w:t>日期：年月日</w:t>
      </w:r>
    </w:p>
    <w:p w14:paraId="3FE1BA0E">
      <w:pPr>
        <w:adjustRightInd w:val="0"/>
        <w:snapToGrid w:val="0"/>
        <w:spacing w:line="360" w:lineRule="auto"/>
        <w:rPr>
          <w:rFonts w:ascii="宋体" w:hAnsi="宋体"/>
          <w:color w:val="auto"/>
          <w:szCs w:val="21"/>
          <w:highlight w:val="none"/>
        </w:rPr>
      </w:pPr>
    </w:p>
    <w:p w14:paraId="02FF167E">
      <w:pPr>
        <w:tabs>
          <w:tab w:val="left" w:pos="3600"/>
        </w:tabs>
        <w:adjustRightInd w:val="0"/>
        <w:snapToGrid w:val="0"/>
        <w:jc w:val="center"/>
        <w:rPr>
          <w:rFonts w:ascii="黑体" w:eastAsia="黑体"/>
          <w:b/>
          <w:color w:val="auto"/>
          <w:sz w:val="32"/>
          <w:szCs w:val="32"/>
          <w:highlight w:val="none"/>
        </w:rPr>
      </w:pPr>
    </w:p>
    <w:p w14:paraId="5B8ABE6E">
      <w:pPr>
        <w:tabs>
          <w:tab w:val="left" w:pos="3600"/>
        </w:tabs>
        <w:adjustRightInd w:val="0"/>
        <w:snapToGrid w:val="0"/>
        <w:jc w:val="center"/>
        <w:rPr>
          <w:rFonts w:ascii="黑体" w:eastAsia="黑体"/>
          <w:b/>
          <w:color w:val="auto"/>
          <w:sz w:val="32"/>
          <w:szCs w:val="32"/>
          <w:highlight w:val="none"/>
        </w:rPr>
      </w:pPr>
    </w:p>
    <w:p w14:paraId="43FAD9D5">
      <w:pPr>
        <w:tabs>
          <w:tab w:val="left" w:pos="3600"/>
        </w:tabs>
        <w:adjustRightInd w:val="0"/>
        <w:snapToGrid w:val="0"/>
        <w:jc w:val="center"/>
        <w:rPr>
          <w:rFonts w:ascii="黑体" w:eastAsia="黑体"/>
          <w:b/>
          <w:color w:val="auto"/>
          <w:sz w:val="32"/>
          <w:szCs w:val="32"/>
          <w:highlight w:val="none"/>
        </w:rPr>
      </w:pPr>
    </w:p>
    <w:p w14:paraId="7B87EDEC">
      <w:pPr>
        <w:tabs>
          <w:tab w:val="left" w:pos="3600"/>
        </w:tabs>
        <w:adjustRightInd w:val="0"/>
        <w:snapToGrid w:val="0"/>
        <w:jc w:val="center"/>
        <w:rPr>
          <w:rFonts w:ascii="黑体" w:eastAsia="黑体"/>
          <w:b/>
          <w:color w:val="auto"/>
          <w:sz w:val="32"/>
          <w:szCs w:val="32"/>
          <w:highlight w:val="none"/>
        </w:rPr>
      </w:pPr>
    </w:p>
    <w:p w14:paraId="6F4935D2">
      <w:pPr>
        <w:tabs>
          <w:tab w:val="left" w:pos="3600"/>
        </w:tabs>
        <w:adjustRightInd w:val="0"/>
        <w:snapToGrid w:val="0"/>
        <w:jc w:val="center"/>
        <w:rPr>
          <w:rFonts w:ascii="黑体" w:eastAsia="黑体"/>
          <w:b/>
          <w:color w:val="auto"/>
          <w:sz w:val="32"/>
          <w:szCs w:val="32"/>
          <w:highlight w:val="none"/>
        </w:rPr>
      </w:pPr>
    </w:p>
    <w:p w14:paraId="28AE695B">
      <w:pPr>
        <w:tabs>
          <w:tab w:val="left" w:pos="3600"/>
        </w:tabs>
        <w:adjustRightInd w:val="0"/>
        <w:snapToGrid w:val="0"/>
        <w:jc w:val="center"/>
        <w:rPr>
          <w:rFonts w:ascii="黑体" w:eastAsia="黑体"/>
          <w:b/>
          <w:color w:val="auto"/>
          <w:sz w:val="32"/>
          <w:szCs w:val="32"/>
          <w:highlight w:val="none"/>
        </w:rPr>
      </w:pPr>
    </w:p>
    <w:p w14:paraId="021F5CCC">
      <w:pPr>
        <w:tabs>
          <w:tab w:val="left" w:pos="3600"/>
        </w:tabs>
        <w:adjustRightInd w:val="0"/>
        <w:snapToGrid w:val="0"/>
        <w:jc w:val="center"/>
        <w:rPr>
          <w:rFonts w:ascii="黑体" w:eastAsia="黑体"/>
          <w:b/>
          <w:color w:val="auto"/>
          <w:sz w:val="32"/>
          <w:szCs w:val="32"/>
          <w:highlight w:val="none"/>
        </w:rPr>
      </w:pPr>
    </w:p>
    <w:p w14:paraId="42D369DA">
      <w:pPr>
        <w:tabs>
          <w:tab w:val="left" w:pos="3600"/>
        </w:tabs>
        <w:adjustRightInd w:val="0"/>
        <w:snapToGrid w:val="0"/>
        <w:jc w:val="center"/>
        <w:rPr>
          <w:rFonts w:ascii="黑体" w:eastAsia="黑体"/>
          <w:b/>
          <w:color w:val="auto"/>
          <w:sz w:val="32"/>
          <w:szCs w:val="32"/>
          <w:highlight w:val="none"/>
        </w:rPr>
      </w:pPr>
    </w:p>
    <w:p w14:paraId="2D76ECDB">
      <w:pPr>
        <w:tabs>
          <w:tab w:val="left" w:pos="3600"/>
        </w:tabs>
        <w:adjustRightInd w:val="0"/>
        <w:snapToGrid w:val="0"/>
        <w:jc w:val="center"/>
        <w:rPr>
          <w:rFonts w:ascii="黑体" w:eastAsia="黑体"/>
          <w:b/>
          <w:color w:val="auto"/>
          <w:sz w:val="32"/>
          <w:szCs w:val="32"/>
          <w:highlight w:val="none"/>
        </w:rPr>
      </w:pPr>
    </w:p>
    <w:p w14:paraId="213045EC">
      <w:pPr>
        <w:tabs>
          <w:tab w:val="left" w:pos="3600"/>
        </w:tabs>
        <w:adjustRightInd w:val="0"/>
        <w:snapToGrid w:val="0"/>
        <w:jc w:val="center"/>
        <w:rPr>
          <w:rFonts w:ascii="黑体" w:eastAsia="黑体"/>
          <w:b/>
          <w:color w:val="auto"/>
          <w:sz w:val="32"/>
          <w:szCs w:val="32"/>
          <w:highlight w:val="none"/>
        </w:rPr>
      </w:pPr>
    </w:p>
    <w:p w14:paraId="10C53539">
      <w:pPr>
        <w:tabs>
          <w:tab w:val="left" w:pos="3600"/>
        </w:tabs>
        <w:adjustRightInd w:val="0"/>
        <w:snapToGrid w:val="0"/>
        <w:jc w:val="center"/>
        <w:rPr>
          <w:rFonts w:ascii="黑体" w:eastAsia="黑体"/>
          <w:b/>
          <w:color w:val="auto"/>
          <w:sz w:val="32"/>
          <w:szCs w:val="32"/>
          <w:highlight w:val="none"/>
        </w:rPr>
      </w:pPr>
    </w:p>
    <w:p w14:paraId="7D2AFFA1">
      <w:pPr>
        <w:tabs>
          <w:tab w:val="left" w:pos="3600"/>
        </w:tabs>
        <w:adjustRightInd w:val="0"/>
        <w:snapToGrid w:val="0"/>
        <w:rPr>
          <w:rFonts w:ascii="黑体" w:eastAsia="黑体"/>
          <w:b/>
          <w:color w:val="auto"/>
          <w:sz w:val="32"/>
          <w:szCs w:val="32"/>
          <w:highlight w:val="none"/>
        </w:rPr>
      </w:pPr>
    </w:p>
    <w:p w14:paraId="4272DD28">
      <w:pPr>
        <w:spacing w:line="360" w:lineRule="exact"/>
        <w:jc w:val="center"/>
        <w:outlineLvl w:val="9"/>
        <w:rPr>
          <w:rFonts w:ascii="黑体" w:eastAsia="黑体"/>
          <w:b/>
          <w:color w:val="auto"/>
          <w:sz w:val="32"/>
          <w:szCs w:val="32"/>
          <w:highlight w:val="none"/>
        </w:rPr>
      </w:pPr>
      <w:r>
        <w:rPr>
          <w:rFonts w:ascii="黑体" w:eastAsia="黑体"/>
          <w:b/>
          <w:color w:val="auto"/>
          <w:sz w:val="32"/>
          <w:szCs w:val="32"/>
          <w:highlight w:val="none"/>
        </w:rPr>
        <w:br w:type="page"/>
      </w:r>
    </w:p>
    <w:p w14:paraId="013E8FC7">
      <w:pPr>
        <w:spacing w:line="360" w:lineRule="exact"/>
        <w:jc w:val="center"/>
        <w:outlineLvl w:val="9"/>
        <w:rPr>
          <w:rFonts w:ascii="黑体" w:eastAsia="黑体"/>
          <w:b/>
          <w:color w:val="auto"/>
          <w:sz w:val="32"/>
          <w:szCs w:val="32"/>
          <w:highlight w:val="none"/>
        </w:rPr>
      </w:pPr>
    </w:p>
    <w:p w14:paraId="0CE5E22A">
      <w:pPr>
        <w:spacing w:line="360" w:lineRule="exact"/>
        <w:jc w:val="center"/>
        <w:outlineLvl w:val="1"/>
        <w:rPr>
          <w:rFonts w:ascii="黑体" w:eastAsia="黑体"/>
          <w:b/>
          <w:color w:val="auto"/>
          <w:sz w:val="32"/>
          <w:szCs w:val="32"/>
          <w:highlight w:val="none"/>
        </w:rPr>
      </w:pPr>
      <w:r>
        <w:rPr>
          <w:rFonts w:hint="eastAsia" w:ascii="黑体" w:eastAsia="黑体"/>
          <w:b/>
          <w:color w:val="auto"/>
          <w:sz w:val="32"/>
          <w:szCs w:val="32"/>
          <w:highlight w:val="none"/>
        </w:rPr>
        <w:t>六、提供享受政府采购政策的证明材料和清单表</w:t>
      </w:r>
    </w:p>
    <w:p w14:paraId="66C029FD">
      <w:pPr>
        <w:tabs>
          <w:tab w:val="left" w:pos="3600"/>
        </w:tabs>
        <w:adjustRightInd w:val="0"/>
        <w:snapToGrid w:val="0"/>
        <w:jc w:val="center"/>
        <w:rPr>
          <w:rFonts w:ascii="黑体" w:hAnsi="宋体" w:eastAsia="黑体"/>
          <w:b/>
          <w:color w:val="auto"/>
          <w:sz w:val="32"/>
          <w:szCs w:val="32"/>
          <w:highlight w:val="none"/>
        </w:rPr>
      </w:pPr>
    </w:p>
    <w:p w14:paraId="6467ADCE">
      <w:pPr>
        <w:rPr>
          <w:rFonts w:ascii="黑体" w:hAnsi="宋体" w:eastAsia="黑体"/>
          <w:color w:val="auto"/>
          <w:sz w:val="30"/>
          <w:szCs w:val="30"/>
          <w:highlight w:val="none"/>
        </w:rPr>
      </w:pPr>
      <w:r>
        <w:rPr>
          <w:rFonts w:hint="eastAsia" w:ascii="黑体" w:hAnsi="宋体" w:eastAsia="黑体"/>
          <w:color w:val="auto"/>
          <w:sz w:val="30"/>
          <w:szCs w:val="30"/>
          <w:highlight w:val="none"/>
        </w:rPr>
        <w:t>附件8</w:t>
      </w:r>
    </w:p>
    <w:p w14:paraId="115C0C7C">
      <w:pPr>
        <w:widowControl/>
        <w:adjustRightInd w:val="0"/>
        <w:snapToGrid w:val="0"/>
        <w:spacing w:line="360" w:lineRule="auto"/>
        <w:jc w:val="center"/>
        <w:rPr>
          <w:rFonts w:ascii="黑体" w:hAnsi="黑体" w:eastAsia="黑体" w:cs="宋体"/>
          <w:b/>
          <w:bCs/>
          <w:color w:val="auto"/>
          <w:spacing w:val="6"/>
          <w:kern w:val="0"/>
          <w:sz w:val="28"/>
          <w:szCs w:val="28"/>
          <w:highlight w:val="none"/>
        </w:rPr>
      </w:pPr>
      <w:r>
        <w:rPr>
          <w:rFonts w:hint="eastAsia" w:ascii="黑体" w:hAnsi="黑体" w:eastAsia="黑体" w:cs="黑体"/>
          <w:b/>
          <w:bCs/>
          <w:color w:val="auto"/>
          <w:spacing w:val="6"/>
          <w:kern w:val="0"/>
          <w:sz w:val="28"/>
          <w:szCs w:val="28"/>
          <w:highlight w:val="none"/>
        </w:rPr>
        <w:t>中小企业声明函（货物类）</w:t>
      </w:r>
    </w:p>
    <w:p w14:paraId="1BBF57DB">
      <w:pPr>
        <w:widowControl/>
        <w:adjustRightInd w:val="0"/>
        <w:snapToGrid w:val="0"/>
        <w:spacing w:line="360" w:lineRule="auto"/>
        <w:jc w:val="center"/>
        <w:rPr>
          <w:rFonts w:ascii="仿宋" w:hAnsi="仿宋" w:eastAsia="仿宋" w:cs="仿宋"/>
          <w:color w:val="auto"/>
          <w:kern w:val="0"/>
          <w:szCs w:val="21"/>
          <w:highlight w:val="none"/>
        </w:rPr>
      </w:pPr>
      <w:r>
        <w:rPr>
          <w:rFonts w:hint="eastAsia" w:ascii="仿宋" w:hAnsi="仿宋" w:eastAsia="仿宋" w:cs="仿宋"/>
          <w:b/>
          <w:color w:val="auto"/>
          <w:spacing w:val="6"/>
          <w:kern w:val="0"/>
          <w:szCs w:val="21"/>
          <w:highlight w:val="none"/>
        </w:rPr>
        <w:t>(不满足以下条件的无需填写)</w:t>
      </w:r>
    </w:p>
    <w:p w14:paraId="42ED3CC8">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u w:val="single"/>
        </w:rPr>
        <w:t>（项目名称）</w:t>
      </w:r>
      <w:r>
        <w:rPr>
          <w:rFonts w:hint="eastAsia" w:ascii="宋体" w:hAnsi="宋体" w:eastAsia="宋体" w:cs="宋体"/>
          <w:color w:val="auto"/>
          <w:kern w:val="0"/>
          <w:sz w:val="21"/>
          <w:szCs w:val="21"/>
          <w:highlight w:val="none"/>
        </w:rPr>
        <w:t xml:space="preserve">采购活动，提供的货物全部由符合政策要求的中小企业制造。相关企业（含联合体中的中小企业、签订分包意向协议的中小企业）的具体情况如下： </w:t>
      </w:r>
    </w:p>
    <w:p w14:paraId="520F39DF">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1. </w:t>
      </w:r>
      <w:r>
        <w:rPr>
          <w:rFonts w:hint="eastAsia" w:ascii="宋体" w:hAnsi="宋体" w:eastAsia="宋体" w:cs="宋体"/>
          <w:color w:val="auto"/>
          <w:kern w:val="0"/>
          <w:sz w:val="21"/>
          <w:szCs w:val="21"/>
          <w:highlight w:val="none"/>
          <w:u w:val="single"/>
        </w:rPr>
        <w:t xml:space="preserve">（标的名称）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（采购文件中明确的所属行业）</w:t>
      </w:r>
      <w:r>
        <w:rPr>
          <w:rFonts w:hint="eastAsia" w:ascii="宋体" w:hAnsi="宋体" w:eastAsia="宋体" w:cs="宋体"/>
          <w:color w:val="auto"/>
          <w:kern w:val="0"/>
          <w:sz w:val="21"/>
          <w:szCs w:val="21"/>
          <w:highlight w:val="none"/>
        </w:rPr>
        <w:t>行业；制造商为</w:t>
      </w:r>
      <w:r>
        <w:rPr>
          <w:rFonts w:hint="eastAsia" w:ascii="宋体" w:hAnsi="宋体" w:eastAsia="宋体" w:cs="宋体"/>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，从业人员人，营业收入为万元，资产总额为万元，属于</w:t>
      </w:r>
      <w:r>
        <w:rPr>
          <w:rFonts w:hint="eastAsia" w:ascii="宋体" w:hAnsi="宋体" w:eastAsia="宋体" w:cs="宋体"/>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 xml:space="preserve">； </w:t>
      </w:r>
    </w:p>
    <w:p w14:paraId="76BDBD9C">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（标的名称）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（采购文件中明确的所属行业）</w:t>
      </w:r>
      <w:r>
        <w:rPr>
          <w:rFonts w:hint="eastAsia" w:ascii="宋体" w:hAnsi="宋体" w:eastAsia="宋体" w:cs="宋体"/>
          <w:color w:val="auto"/>
          <w:kern w:val="0"/>
          <w:sz w:val="21"/>
          <w:szCs w:val="21"/>
          <w:highlight w:val="none"/>
        </w:rPr>
        <w:t>行业；制造商为</w:t>
      </w:r>
      <w:r>
        <w:rPr>
          <w:rFonts w:hint="eastAsia" w:ascii="宋体" w:hAnsi="宋体" w:eastAsia="宋体" w:cs="宋体"/>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，从业人员人，营业收入为万元，资产总额为万元，属于</w:t>
      </w:r>
      <w:r>
        <w:rPr>
          <w:rFonts w:hint="eastAsia" w:ascii="宋体" w:hAnsi="宋体" w:eastAsia="宋体" w:cs="宋体"/>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 xml:space="preserve">；  </w:t>
      </w:r>
    </w:p>
    <w:p w14:paraId="70420A96">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w:t>
      </w:r>
    </w:p>
    <w:p w14:paraId="5C8C5DD1">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以上企业，不属于大企业的分支机构，不存在控股股东为大企业的情形，也不存在与大企业的负责人为同一人的情形。本企业对上述声明内容的真实性负责。如有虚假，将依法承担相应责任。 </w:t>
      </w:r>
    </w:p>
    <w:p w14:paraId="20515F93">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企业名称（盖章）： </w:t>
      </w:r>
    </w:p>
    <w:p w14:paraId="03A61C4F">
      <w:pPr>
        <w:widowControl/>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日 期： </w:t>
      </w:r>
    </w:p>
    <w:p w14:paraId="26005BDB">
      <w:pPr>
        <w:widowControl/>
        <w:ind w:firstLine="420" w:firstLineChars="200"/>
        <w:jc w:val="left"/>
        <w:rPr>
          <w:rFonts w:hint="eastAsia" w:ascii="宋体" w:hAnsi="宋体" w:eastAsia="宋体" w:cs="宋体"/>
          <w:color w:val="auto"/>
          <w:kern w:val="0"/>
          <w:sz w:val="21"/>
          <w:szCs w:val="21"/>
          <w:highlight w:val="none"/>
        </w:rPr>
      </w:pPr>
    </w:p>
    <w:p w14:paraId="279646B4">
      <w:pPr>
        <w:widowControl/>
        <w:ind w:firstLine="420" w:firstLineChars="200"/>
        <w:jc w:val="left"/>
        <w:rPr>
          <w:rFonts w:hint="eastAsia" w:ascii="宋体" w:hAnsi="宋体" w:eastAsia="宋体" w:cs="宋体"/>
          <w:b w:val="0"/>
          <w:bCs w:val="0"/>
          <w:color w:val="auto"/>
          <w:kern w:val="0"/>
          <w:sz w:val="21"/>
          <w:szCs w:val="21"/>
          <w:highlight w:val="yellow"/>
          <w:lang w:val="en-US" w:eastAsia="zh-CN"/>
        </w:rPr>
      </w:pPr>
      <w:r>
        <w:rPr>
          <w:rFonts w:hint="eastAsia" w:ascii="宋体" w:hAnsi="宋体" w:eastAsia="宋体" w:cs="宋体"/>
          <w:color w:val="auto"/>
          <w:kern w:val="0"/>
          <w:sz w:val="21"/>
          <w:szCs w:val="21"/>
          <w:highlight w:val="none"/>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eastAsia="宋体" w:cs="宋体"/>
          <w:b/>
          <w:bCs/>
          <w:color w:val="auto"/>
          <w:kern w:val="0"/>
          <w:sz w:val="21"/>
          <w:szCs w:val="21"/>
          <w:highlight w:val="none"/>
        </w:rPr>
        <w:t>投标无效。</w:t>
      </w:r>
    </w:p>
    <w:p w14:paraId="1FFFFBD2">
      <w:pPr>
        <w:widowControl/>
        <w:ind w:firstLine="420" w:firstLineChars="200"/>
        <w:jc w:val="left"/>
        <w:rPr>
          <w:rFonts w:hint="eastAsia" w:ascii="宋体" w:hAnsi="宋体" w:eastAsia="宋体" w:cs="宋体"/>
          <w:bCs/>
          <w:color w:val="auto"/>
          <w:spacing w:val="6"/>
          <w:kern w:val="0"/>
          <w:sz w:val="21"/>
          <w:szCs w:val="21"/>
          <w:highlight w:val="none"/>
        </w:rPr>
      </w:pPr>
      <w:r>
        <w:rPr>
          <w:rFonts w:hint="eastAsia" w:ascii="宋体" w:hAnsi="宋体" w:eastAsia="宋体" w:cs="宋体"/>
          <w:color w:val="auto"/>
          <w:kern w:val="0"/>
          <w:sz w:val="21"/>
          <w:szCs w:val="21"/>
          <w:highlight w:val="none"/>
        </w:rPr>
        <w:t>2.从业人员、营业收入、资产总额填报上一年度数据，无上一年度数据的新成立企业可不填报。</w:t>
      </w:r>
    </w:p>
    <w:p w14:paraId="0F62EBD7">
      <w:pPr>
        <w:widowControl/>
        <w:adjustRightInd w:val="0"/>
        <w:snapToGrid w:val="0"/>
        <w:spacing w:line="360" w:lineRule="auto"/>
        <w:ind w:firstLine="420" w:firstLineChars="200"/>
        <w:jc w:val="center"/>
        <w:rPr>
          <w:rFonts w:hint="eastAsia" w:ascii="宋体" w:hAnsi="宋体" w:eastAsia="宋体" w:cs="宋体"/>
          <w:color w:val="auto"/>
          <w:sz w:val="21"/>
          <w:szCs w:val="21"/>
          <w:highlight w:val="none"/>
        </w:rPr>
      </w:pPr>
    </w:p>
    <w:p w14:paraId="5B6ADD0F">
      <w:pPr>
        <w:adjustRightInd w:val="0"/>
        <w:snapToGrid w:val="0"/>
        <w:spacing w:line="360" w:lineRule="auto"/>
        <w:rPr>
          <w:rFonts w:ascii="仿宋_GB2312" w:hAnsi="宋体" w:eastAsia="仿宋_GB2312"/>
          <w:color w:val="auto"/>
          <w:szCs w:val="21"/>
          <w:highlight w:val="none"/>
        </w:rPr>
      </w:pPr>
    </w:p>
    <w:p w14:paraId="15BFDD21">
      <w:pPr>
        <w:tabs>
          <w:tab w:val="left" w:pos="3600"/>
        </w:tabs>
        <w:adjustRightInd w:val="0"/>
        <w:snapToGrid w:val="0"/>
        <w:rPr>
          <w:rFonts w:ascii="黑体" w:eastAsia="黑体"/>
          <w:b/>
          <w:color w:val="auto"/>
          <w:sz w:val="32"/>
          <w:szCs w:val="32"/>
          <w:highlight w:val="none"/>
        </w:rPr>
        <w:sectPr>
          <w:pgSz w:w="11906" w:h="16838"/>
          <w:pgMar w:top="1474" w:right="1474" w:bottom="250" w:left="1588" w:header="851" w:footer="992" w:gutter="0"/>
          <w:cols w:space="720" w:num="1"/>
          <w:docGrid w:linePitch="312" w:charSpace="0"/>
        </w:sectPr>
      </w:pPr>
    </w:p>
    <w:p w14:paraId="29246E8C">
      <w:pPr>
        <w:pStyle w:val="6"/>
        <w:rPr>
          <w:rFonts w:ascii="宋体" w:hAnsi="宋体"/>
          <w:color w:val="auto"/>
          <w:spacing w:val="6"/>
          <w:sz w:val="21"/>
        </w:rPr>
      </w:pPr>
      <w:bookmarkStart w:id="84" w:name="_Toc22201164"/>
      <w:r>
        <w:rPr>
          <w:rFonts w:hint="eastAsia" w:ascii="宋体" w:hAnsi="宋体" w:eastAsia="宋体"/>
          <w:color w:val="auto"/>
          <w:sz w:val="21"/>
          <w:szCs w:val="21"/>
        </w:rPr>
        <w:t>附件8-2 残疾人福利性单位声明函</w:t>
      </w:r>
      <w:bookmarkEnd w:id="84"/>
    </w:p>
    <w:p w14:paraId="62F3CDF9">
      <w:pPr>
        <w:rPr>
          <w:color w:val="auto"/>
        </w:rPr>
      </w:pPr>
    </w:p>
    <w:p w14:paraId="436100BE">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625F12C1">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5CAFC3B5">
      <w:pPr>
        <w:adjustRightInd w:val="0"/>
        <w:snapToGrid w:val="0"/>
        <w:spacing w:line="360" w:lineRule="auto"/>
        <w:ind w:firstLine="444" w:firstLineChars="200"/>
        <w:rPr>
          <w:rFonts w:ascii="宋体" w:hAnsi="宋体"/>
          <w:color w:val="auto"/>
          <w:spacing w:val="6"/>
          <w:szCs w:val="21"/>
        </w:rPr>
      </w:pPr>
    </w:p>
    <w:p w14:paraId="61F636F5">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4DF74D">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496A4458">
      <w:pPr>
        <w:adjustRightInd w:val="0"/>
        <w:snapToGrid w:val="0"/>
        <w:spacing w:line="360" w:lineRule="auto"/>
        <w:ind w:firstLine="444" w:firstLineChars="200"/>
        <w:rPr>
          <w:rFonts w:ascii="宋体" w:hAnsi="宋体"/>
          <w:color w:val="auto"/>
          <w:spacing w:val="6"/>
          <w:szCs w:val="21"/>
        </w:rPr>
      </w:pPr>
    </w:p>
    <w:p w14:paraId="7DA9A0B4">
      <w:pPr>
        <w:adjustRightInd w:val="0"/>
        <w:snapToGrid w:val="0"/>
        <w:spacing w:line="360" w:lineRule="auto"/>
        <w:ind w:firstLine="444" w:firstLineChars="200"/>
        <w:rPr>
          <w:rFonts w:ascii="宋体" w:hAnsi="宋体"/>
          <w:color w:val="auto"/>
          <w:spacing w:val="6"/>
          <w:szCs w:val="21"/>
        </w:rPr>
      </w:pPr>
    </w:p>
    <w:p w14:paraId="091FC3E5">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40457F6D">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7B584DA4">
      <w:pPr>
        <w:widowControl/>
        <w:adjustRightInd w:val="0"/>
        <w:snapToGrid w:val="0"/>
        <w:spacing w:line="360" w:lineRule="auto"/>
        <w:jc w:val="left"/>
        <w:rPr>
          <w:rFonts w:ascii="宋体" w:hAnsi="宋体" w:cs="宋体"/>
          <w:color w:val="auto"/>
          <w:kern w:val="0"/>
          <w:szCs w:val="21"/>
        </w:rPr>
      </w:pPr>
    </w:p>
    <w:p w14:paraId="13A01706">
      <w:pPr>
        <w:pStyle w:val="5"/>
        <w:rPr>
          <w:color w:val="auto"/>
          <w:sz w:val="21"/>
          <w:szCs w:val="21"/>
        </w:rPr>
      </w:pPr>
      <w:r>
        <w:rPr>
          <w:rFonts w:ascii="黑体" w:hAnsi="华文中宋" w:cs="宋体"/>
          <w:color w:val="auto"/>
          <w:spacing w:val="6"/>
          <w:kern w:val="0"/>
        </w:rPr>
        <w:br w:type="page"/>
      </w:r>
      <w:bookmarkStart w:id="85" w:name="_Toc37948969"/>
      <w:bookmarkStart w:id="86" w:name="_Toc37425952"/>
      <w:bookmarkStart w:id="87" w:name="_Toc22201165"/>
      <w:bookmarkStart w:id="88" w:name="_Toc32372"/>
      <w:r>
        <w:rPr>
          <w:rFonts w:hint="eastAsia" w:ascii="宋体" w:hAnsi="宋体" w:cs="宋体"/>
          <w:color w:val="auto"/>
          <w:kern w:val="0"/>
          <w:sz w:val="21"/>
          <w:szCs w:val="21"/>
        </w:rPr>
        <w:t xml:space="preserve">附件8-3 </w:t>
      </w:r>
      <w:r>
        <w:rPr>
          <w:rFonts w:hint="eastAsia" w:ascii="宋体" w:hAnsi="宋体"/>
          <w:color w:val="auto"/>
          <w:sz w:val="21"/>
          <w:szCs w:val="21"/>
        </w:rPr>
        <w:t>监狱企业证明资料</w:t>
      </w:r>
      <w:bookmarkEnd w:id="85"/>
      <w:bookmarkEnd w:id="86"/>
      <w:bookmarkEnd w:id="87"/>
      <w:bookmarkEnd w:id="88"/>
    </w:p>
    <w:p w14:paraId="6C8D612C">
      <w:pPr>
        <w:rPr>
          <w:color w:val="auto"/>
        </w:rPr>
      </w:pPr>
    </w:p>
    <w:p w14:paraId="6A5D3BCC">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2F3B2C05">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526A228B">
      <w:pPr>
        <w:adjustRightInd w:val="0"/>
        <w:snapToGrid w:val="0"/>
        <w:spacing w:line="360" w:lineRule="auto"/>
        <w:rPr>
          <w:rFonts w:ascii="宋体" w:hAnsi="宋体"/>
          <w:color w:val="auto"/>
          <w:szCs w:val="21"/>
        </w:rPr>
      </w:pPr>
    </w:p>
    <w:p w14:paraId="564CDC0A">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40A6A7D0">
      <w:pPr>
        <w:adjustRightInd w:val="0"/>
        <w:snapToGrid w:val="0"/>
        <w:spacing w:line="360" w:lineRule="auto"/>
        <w:ind w:firstLine="420" w:firstLineChars="200"/>
        <w:rPr>
          <w:rFonts w:ascii="宋体" w:hAnsi="宋体"/>
          <w:color w:val="auto"/>
          <w:szCs w:val="21"/>
        </w:rPr>
      </w:pPr>
    </w:p>
    <w:p w14:paraId="68122404">
      <w:pPr>
        <w:pStyle w:val="5"/>
        <w:rPr>
          <w:rFonts w:cs="宋体"/>
          <w:color w:val="auto"/>
          <w:spacing w:val="6"/>
          <w:sz w:val="21"/>
          <w:szCs w:val="21"/>
        </w:rPr>
      </w:pPr>
      <w:bookmarkStart w:id="89" w:name="_Toc37425953"/>
      <w:bookmarkStart w:id="90" w:name="_Toc22201166"/>
      <w:bookmarkStart w:id="91" w:name="_Toc37948970"/>
    </w:p>
    <w:p w14:paraId="165534C4">
      <w:pPr>
        <w:rPr>
          <w:rFonts w:ascii="宋体" w:hAnsi="宋体" w:cs="宋体"/>
          <w:color w:val="auto"/>
          <w:spacing w:val="6"/>
          <w:kern w:val="0"/>
          <w:szCs w:val="21"/>
        </w:rPr>
      </w:pPr>
    </w:p>
    <w:p w14:paraId="78BEB883">
      <w:pPr>
        <w:pStyle w:val="54"/>
        <w:ind w:firstLine="444"/>
        <w:rPr>
          <w:rFonts w:ascii="宋体" w:hAnsi="宋体" w:cs="宋体"/>
          <w:color w:val="auto"/>
          <w:spacing w:val="6"/>
          <w:szCs w:val="21"/>
        </w:rPr>
      </w:pPr>
    </w:p>
    <w:p w14:paraId="0E5E7869">
      <w:pPr>
        <w:pStyle w:val="54"/>
        <w:ind w:firstLine="444"/>
        <w:rPr>
          <w:rFonts w:ascii="宋体" w:hAnsi="宋体" w:cs="宋体"/>
          <w:color w:val="auto"/>
          <w:spacing w:val="6"/>
          <w:szCs w:val="21"/>
        </w:rPr>
      </w:pPr>
    </w:p>
    <w:p w14:paraId="4E4B0EE8">
      <w:pPr>
        <w:pStyle w:val="54"/>
        <w:ind w:firstLine="444"/>
        <w:rPr>
          <w:rFonts w:ascii="宋体" w:hAnsi="宋体" w:cs="宋体"/>
          <w:color w:val="auto"/>
          <w:spacing w:val="6"/>
          <w:szCs w:val="21"/>
        </w:rPr>
      </w:pPr>
    </w:p>
    <w:p w14:paraId="342A04A4">
      <w:pPr>
        <w:pStyle w:val="54"/>
        <w:ind w:firstLine="444"/>
        <w:rPr>
          <w:rFonts w:ascii="宋体" w:hAnsi="宋体" w:cs="宋体"/>
          <w:color w:val="auto"/>
          <w:spacing w:val="6"/>
          <w:szCs w:val="21"/>
        </w:rPr>
      </w:pPr>
    </w:p>
    <w:p w14:paraId="7F2E9FC6">
      <w:pPr>
        <w:pStyle w:val="54"/>
        <w:ind w:firstLine="444"/>
        <w:rPr>
          <w:rFonts w:ascii="宋体" w:hAnsi="宋体" w:cs="宋体"/>
          <w:color w:val="auto"/>
          <w:spacing w:val="6"/>
          <w:szCs w:val="21"/>
        </w:rPr>
      </w:pPr>
    </w:p>
    <w:p w14:paraId="4D7139AB">
      <w:pPr>
        <w:pStyle w:val="54"/>
        <w:ind w:firstLine="444"/>
        <w:rPr>
          <w:rFonts w:ascii="宋体" w:hAnsi="宋体" w:cs="宋体"/>
          <w:color w:val="auto"/>
          <w:spacing w:val="6"/>
          <w:szCs w:val="21"/>
        </w:rPr>
      </w:pPr>
    </w:p>
    <w:p w14:paraId="2CF3A2F3">
      <w:pPr>
        <w:pStyle w:val="54"/>
        <w:ind w:firstLine="444"/>
        <w:rPr>
          <w:rFonts w:ascii="宋体" w:hAnsi="宋体" w:cs="宋体"/>
          <w:color w:val="auto"/>
          <w:spacing w:val="6"/>
          <w:szCs w:val="21"/>
        </w:rPr>
      </w:pPr>
    </w:p>
    <w:p w14:paraId="3CCC9A9B">
      <w:pPr>
        <w:pStyle w:val="54"/>
        <w:ind w:firstLine="444"/>
        <w:rPr>
          <w:rFonts w:ascii="宋体" w:hAnsi="宋体" w:cs="宋体"/>
          <w:color w:val="auto"/>
          <w:spacing w:val="6"/>
          <w:szCs w:val="21"/>
        </w:rPr>
      </w:pPr>
    </w:p>
    <w:p w14:paraId="477443D6">
      <w:pPr>
        <w:pStyle w:val="54"/>
        <w:ind w:firstLine="444"/>
        <w:rPr>
          <w:rFonts w:ascii="宋体" w:hAnsi="宋体" w:cs="宋体"/>
          <w:color w:val="auto"/>
          <w:spacing w:val="6"/>
          <w:szCs w:val="21"/>
        </w:rPr>
      </w:pPr>
    </w:p>
    <w:p w14:paraId="115FFFB6">
      <w:pPr>
        <w:pStyle w:val="54"/>
        <w:ind w:firstLine="444"/>
        <w:rPr>
          <w:rFonts w:ascii="宋体" w:hAnsi="宋体" w:cs="宋体"/>
          <w:color w:val="auto"/>
          <w:spacing w:val="6"/>
          <w:szCs w:val="21"/>
        </w:rPr>
      </w:pPr>
    </w:p>
    <w:p w14:paraId="6468ED30">
      <w:pPr>
        <w:pStyle w:val="54"/>
        <w:ind w:firstLine="444"/>
        <w:rPr>
          <w:rFonts w:ascii="宋体" w:hAnsi="宋体" w:cs="宋体"/>
          <w:color w:val="auto"/>
          <w:spacing w:val="6"/>
          <w:szCs w:val="21"/>
        </w:rPr>
      </w:pPr>
    </w:p>
    <w:p w14:paraId="4C9353EA">
      <w:pPr>
        <w:pStyle w:val="54"/>
        <w:ind w:firstLine="444"/>
        <w:rPr>
          <w:rFonts w:ascii="宋体" w:hAnsi="宋体" w:cs="宋体"/>
          <w:color w:val="auto"/>
          <w:spacing w:val="6"/>
          <w:szCs w:val="21"/>
        </w:rPr>
      </w:pPr>
    </w:p>
    <w:p w14:paraId="69F3714B">
      <w:pPr>
        <w:pStyle w:val="54"/>
        <w:ind w:firstLine="444"/>
        <w:rPr>
          <w:rFonts w:ascii="宋体" w:hAnsi="宋体" w:cs="宋体"/>
          <w:color w:val="auto"/>
          <w:spacing w:val="6"/>
          <w:szCs w:val="21"/>
        </w:rPr>
      </w:pPr>
    </w:p>
    <w:p w14:paraId="682C70B1">
      <w:pPr>
        <w:pStyle w:val="54"/>
        <w:ind w:firstLine="444"/>
        <w:rPr>
          <w:rFonts w:ascii="宋体" w:hAnsi="宋体" w:cs="宋体"/>
          <w:color w:val="auto"/>
          <w:spacing w:val="6"/>
          <w:szCs w:val="21"/>
        </w:rPr>
      </w:pPr>
    </w:p>
    <w:p w14:paraId="476A7EF3">
      <w:pPr>
        <w:pStyle w:val="54"/>
        <w:ind w:firstLine="444"/>
        <w:rPr>
          <w:rFonts w:ascii="宋体" w:hAnsi="宋体" w:cs="宋体"/>
          <w:color w:val="auto"/>
          <w:spacing w:val="6"/>
          <w:szCs w:val="21"/>
        </w:rPr>
      </w:pPr>
    </w:p>
    <w:p w14:paraId="774C9C1A">
      <w:pPr>
        <w:pStyle w:val="54"/>
        <w:ind w:firstLine="444"/>
        <w:rPr>
          <w:rFonts w:ascii="宋体" w:hAnsi="宋体" w:cs="宋体"/>
          <w:color w:val="auto"/>
          <w:spacing w:val="6"/>
          <w:szCs w:val="21"/>
        </w:rPr>
      </w:pPr>
    </w:p>
    <w:p w14:paraId="213B2426">
      <w:pPr>
        <w:pStyle w:val="54"/>
        <w:ind w:firstLine="444"/>
        <w:rPr>
          <w:rFonts w:ascii="宋体" w:hAnsi="宋体" w:cs="宋体"/>
          <w:color w:val="auto"/>
          <w:spacing w:val="6"/>
          <w:szCs w:val="21"/>
        </w:rPr>
      </w:pPr>
    </w:p>
    <w:p w14:paraId="17FCDDB6">
      <w:pPr>
        <w:pStyle w:val="54"/>
        <w:ind w:firstLine="444"/>
        <w:rPr>
          <w:rFonts w:ascii="宋体" w:hAnsi="宋体" w:cs="宋体"/>
          <w:color w:val="auto"/>
          <w:spacing w:val="6"/>
          <w:szCs w:val="21"/>
        </w:rPr>
      </w:pPr>
    </w:p>
    <w:p w14:paraId="74A5D206">
      <w:pPr>
        <w:pStyle w:val="54"/>
        <w:ind w:firstLine="444"/>
        <w:rPr>
          <w:rFonts w:ascii="宋体" w:hAnsi="宋体" w:cs="宋体"/>
          <w:color w:val="auto"/>
          <w:spacing w:val="6"/>
          <w:szCs w:val="21"/>
        </w:rPr>
      </w:pPr>
    </w:p>
    <w:p w14:paraId="50352FDE">
      <w:pPr>
        <w:pStyle w:val="5"/>
        <w:rPr>
          <w:rFonts w:cs="宋体"/>
          <w:color w:val="auto"/>
          <w:spacing w:val="6"/>
          <w:sz w:val="21"/>
          <w:szCs w:val="21"/>
        </w:rPr>
      </w:pPr>
    </w:p>
    <w:p w14:paraId="2AF5720F">
      <w:pPr>
        <w:rPr>
          <w:color w:val="auto"/>
        </w:rPr>
      </w:pPr>
    </w:p>
    <w:p w14:paraId="21A8F973">
      <w:pPr>
        <w:pStyle w:val="5"/>
        <w:rPr>
          <w:rFonts w:cs="宋体"/>
          <w:color w:val="auto"/>
          <w:spacing w:val="6"/>
          <w:sz w:val="21"/>
          <w:szCs w:val="21"/>
        </w:rPr>
      </w:pPr>
      <w:bookmarkStart w:id="92" w:name="_Toc23103"/>
    </w:p>
    <w:p w14:paraId="0A1E3D2A">
      <w:pPr>
        <w:rPr>
          <w:rFonts w:ascii="宋体" w:hAnsi="宋体" w:cs="宋体"/>
          <w:color w:val="auto"/>
          <w:spacing w:val="6"/>
          <w:kern w:val="0"/>
          <w:szCs w:val="21"/>
        </w:rPr>
      </w:pPr>
      <w:r>
        <w:rPr>
          <w:rFonts w:hint="eastAsia" w:ascii="宋体" w:hAnsi="宋体" w:cs="宋体"/>
          <w:color w:val="auto"/>
          <w:spacing w:val="6"/>
          <w:kern w:val="0"/>
          <w:szCs w:val="21"/>
        </w:rPr>
        <w:br w:type="page"/>
      </w:r>
    </w:p>
    <w:p w14:paraId="0EBC314F">
      <w:pPr>
        <w:pStyle w:val="5"/>
        <w:rPr>
          <w:color w:val="auto"/>
          <w:sz w:val="21"/>
          <w:szCs w:val="21"/>
        </w:rPr>
      </w:pPr>
      <w:r>
        <w:rPr>
          <w:rFonts w:hint="eastAsia" w:ascii="宋体" w:hAnsi="宋体" w:cs="宋体"/>
          <w:color w:val="auto"/>
          <w:spacing w:val="6"/>
          <w:kern w:val="0"/>
          <w:sz w:val="21"/>
          <w:szCs w:val="21"/>
        </w:rPr>
        <w:t xml:space="preserve">附件8-4 </w:t>
      </w:r>
      <w:r>
        <w:rPr>
          <w:rFonts w:hint="eastAsia" w:ascii="宋体" w:hAnsi="宋体"/>
          <w:color w:val="auto"/>
          <w:sz w:val="21"/>
          <w:szCs w:val="21"/>
        </w:rPr>
        <w:t>强制采购或者优先采购产品的证明材料</w:t>
      </w:r>
      <w:bookmarkEnd w:id="89"/>
      <w:bookmarkEnd w:id="90"/>
      <w:bookmarkEnd w:id="91"/>
      <w:bookmarkEnd w:id="92"/>
    </w:p>
    <w:p w14:paraId="7F4B4B68">
      <w:pPr>
        <w:adjustRightInd w:val="0"/>
        <w:snapToGrid w:val="0"/>
        <w:spacing w:line="360" w:lineRule="auto"/>
        <w:jc w:val="center"/>
        <w:rPr>
          <w:rFonts w:ascii="黑体" w:hAnsi="黑体" w:eastAsia="黑体"/>
          <w:b/>
          <w:color w:val="auto"/>
          <w:sz w:val="28"/>
          <w:szCs w:val="28"/>
        </w:rPr>
      </w:pPr>
      <w:r>
        <w:rPr>
          <w:rFonts w:hint="eastAsia" w:ascii="黑体" w:hAnsi="黑体" w:eastAsia="黑体"/>
          <w:b/>
          <w:color w:val="auto"/>
          <w:sz w:val="28"/>
          <w:szCs w:val="28"/>
        </w:rPr>
        <w:t>强制采购或者优先采购产品</w:t>
      </w:r>
      <w:r>
        <w:rPr>
          <w:rFonts w:hint="eastAsia" w:ascii="黑体" w:hAnsi="黑体" w:eastAsia="黑体"/>
          <w:b/>
          <w:bCs/>
          <w:color w:val="auto"/>
          <w:sz w:val="28"/>
          <w:szCs w:val="28"/>
        </w:rPr>
        <w:t>的</w:t>
      </w:r>
      <w:r>
        <w:rPr>
          <w:rFonts w:hint="eastAsia" w:ascii="黑体" w:hAnsi="黑体" w:eastAsia="黑体"/>
          <w:b/>
          <w:color w:val="auto"/>
          <w:sz w:val="28"/>
          <w:szCs w:val="28"/>
        </w:rPr>
        <w:t>证明材料</w:t>
      </w:r>
    </w:p>
    <w:p w14:paraId="303ACF2D">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(不属于强制采购或者优先采购产品的无需提供)</w:t>
      </w:r>
    </w:p>
    <w:p w14:paraId="4C948F42">
      <w:pPr>
        <w:adjustRightInd w:val="0"/>
        <w:snapToGrid w:val="0"/>
        <w:spacing w:line="360" w:lineRule="auto"/>
        <w:ind w:firstLine="420" w:firstLineChars="200"/>
        <w:jc w:val="left"/>
        <w:rPr>
          <w:rFonts w:ascii="宋体" w:hAnsi="宋体"/>
          <w:color w:val="auto"/>
          <w:szCs w:val="21"/>
        </w:rPr>
      </w:pPr>
    </w:p>
    <w:p w14:paraId="4B350079">
      <w:pPr>
        <w:adjustRightInd w:val="0"/>
        <w:snapToGrid w:val="0"/>
        <w:spacing w:line="360" w:lineRule="auto"/>
        <w:jc w:val="left"/>
        <w:rPr>
          <w:rFonts w:ascii="宋体" w:hAnsi="宋体"/>
          <w:color w:val="auto"/>
          <w:szCs w:val="21"/>
        </w:rPr>
      </w:pPr>
      <w:r>
        <w:rPr>
          <w:rFonts w:hint="eastAsia" w:ascii="宋体" w:hAnsi="宋体"/>
          <w:color w:val="auto"/>
          <w:szCs w:val="21"/>
        </w:rPr>
        <w:t>说明：1、供应商提供的产品</w:t>
      </w:r>
      <w:r>
        <w:rPr>
          <w:rFonts w:hint="eastAsia" w:ascii="宋体" w:hAnsi="宋体"/>
          <w:bCs/>
          <w:color w:val="auto"/>
          <w:szCs w:val="21"/>
        </w:rPr>
        <w:t>属于强制采购或者优先采购的</w:t>
      </w:r>
      <w:r>
        <w:rPr>
          <w:rFonts w:hint="eastAsia" w:ascii="宋体" w:hAnsi="宋体"/>
          <w:color w:val="auto"/>
          <w:szCs w:val="21"/>
        </w:rPr>
        <w:t>，应按第二章第二节第37条规定提供证明材料和本章本节附页2“优先采购产品清单”，并加盖供应商单位公章。</w:t>
      </w:r>
    </w:p>
    <w:p w14:paraId="3B7C87BC">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2、节能产品、环境标志产品(强制采购或者优先采购产品)认证证书内容注明“详见证书附件</w:t>
      </w:r>
      <w:r>
        <w:rPr>
          <w:rFonts w:hint="eastAsia" w:ascii="华文中宋" w:hAnsi="华文中宋" w:eastAsia="华文中宋"/>
          <w:color w:val="auto"/>
          <w:szCs w:val="21"/>
        </w:rPr>
        <w:t>”</w:t>
      </w:r>
      <w:r>
        <w:rPr>
          <w:rFonts w:hint="eastAsia" w:ascii="宋体" w:hAnsi="宋体"/>
          <w:color w:val="auto"/>
          <w:szCs w:val="21"/>
        </w:rPr>
        <w:t>的，应提供其附件，以证明认证证书与响应文件一致。</w:t>
      </w:r>
    </w:p>
    <w:p w14:paraId="3C803BD9">
      <w:pPr>
        <w:adjustRightInd w:val="0"/>
        <w:snapToGrid w:val="0"/>
        <w:spacing w:line="360" w:lineRule="auto"/>
        <w:ind w:firstLine="420" w:firstLineChars="200"/>
        <w:jc w:val="left"/>
        <w:rPr>
          <w:rFonts w:ascii="宋体" w:hAnsi="宋体"/>
          <w:color w:val="auto"/>
          <w:szCs w:val="21"/>
        </w:rPr>
      </w:pPr>
    </w:p>
    <w:p w14:paraId="2388320B">
      <w:pPr>
        <w:pStyle w:val="6"/>
        <w:rPr>
          <w:rFonts w:ascii="宋体" w:hAnsi="宋体" w:eastAsia="宋体" w:cs="宋体"/>
          <w:color w:val="auto"/>
          <w:spacing w:val="6"/>
          <w:kern w:val="0"/>
          <w:sz w:val="21"/>
          <w:szCs w:val="21"/>
        </w:rPr>
      </w:pPr>
      <w:bookmarkStart w:id="93" w:name="_Toc22201167"/>
    </w:p>
    <w:p w14:paraId="5C8D83EA">
      <w:pPr>
        <w:rPr>
          <w:color w:val="auto"/>
        </w:rPr>
      </w:pPr>
    </w:p>
    <w:p w14:paraId="47857BF1">
      <w:pPr>
        <w:pStyle w:val="6"/>
        <w:rPr>
          <w:rFonts w:ascii="宋体" w:hAnsi="宋体" w:eastAsia="宋体" w:cs="宋体"/>
          <w:color w:val="auto"/>
          <w:spacing w:val="6"/>
          <w:kern w:val="0"/>
          <w:sz w:val="21"/>
          <w:szCs w:val="21"/>
        </w:rPr>
      </w:pPr>
    </w:p>
    <w:p w14:paraId="22F4E195">
      <w:pPr>
        <w:rPr>
          <w:rFonts w:ascii="宋体" w:hAnsi="宋体" w:cs="宋体"/>
          <w:color w:val="auto"/>
          <w:spacing w:val="6"/>
          <w:kern w:val="0"/>
          <w:szCs w:val="21"/>
        </w:rPr>
      </w:pPr>
    </w:p>
    <w:p w14:paraId="4CDAE747">
      <w:pPr>
        <w:pStyle w:val="54"/>
        <w:ind w:firstLine="444"/>
        <w:rPr>
          <w:rFonts w:ascii="宋体" w:hAnsi="宋体" w:cs="宋体"/>
          <w:color w:val="auto"/>
          <w:spacing w:val="6"/>
          <w:szCs w:val="21"/>
        </w:rPr>
      </w:pPr>
    </w:p>
    <w:p w14:paraId="0123A4C1">
      <w:pPr>
        <w:pStyle w:val="54"/>
        <w:ind w:firstLine="444"/>
        <w:rPr>
          <w:rFonts w:ascii="宋体" w:hAnsi="宋体" w:cs="宋体"/>
          <w:color w:val="auto"/>
          <w:spacing w:val="6"/>
          <w:szCs w:val="21"/>
        </w:rPr>
      </w:pPr>
    </w:p>
    <w:p w14:paraId="5BFE4AB4">
      <w:pPr>
        <w:pStyle w:val="54"/>
        <w:ind w:firstLine="444"/>
        <w:rPr>
          <w:rFonts w:ascii="宋体" w:hAnsi="宋体" w:cs="宋体"/>
          <w:color w:val="auto"/>
          <w:spacing w:val="6"/>
          <w:szCs w:val="21"/>
        </w:rPr>
      </w:pPr>
    </w:p>
    <w:p w14:paraId="1CDF5AA0">
      <w:pPr>
        <w:pStyle w:val="54"/>
        <w:ind w:firstLine="444"/>
        <w:rPr>
          <w:rFonts w:ascii="宋体" w:hAnsi="宋体" w:cs="宋体"/>
          <w:color w:val="auto"/>
          <w:spacing w:val="6"/>
          <w:szCs w:val="21"/>
        </w:rPr>
      </w:pPr>
    </w:p>
    <w:p w14:paraId="1B21D176">
      <w:pPr>
        <w:pStyle w:val="54"/>
        <w:ind w:firstLine="444"/>
        <w:rPr>
          <w:rFonts w:ascii="宋体" w:hAnsi="宋体" w:cs="宋体"/>
          <w:color w:val="auto"/>
          <w:spacing w:val="6"/>
          <w:szCs w:val="21"/>
        </w:rPr>
      </w:pPr>
    </w:p>
    <w:p w14:paraId="2454A86F">
      <w:pPr>
        <w:pStyle w:val="54"/>
        <w:ind w:firstLine="444"/>
        <w:rPr>
          <w:rFonts w:ascii="宋体" w:hAnsi="宋体" w:cs="宋体"/>
          <w:color w:val="auto"/>
          <w:spacing w:val="6"/>
          <w:szCs w:val="21"/>
        </w:rPr>
      </w:pPr>
    </w:p>
    <w:p w14:paraId="2A65ACBE">
      <w:pPr>
        <w:pStyle w:val="54"/>
        <w:ind w:firstLine="444"/>
        <w:rPr>
          <w:rFonts w:ascii="宋体" w:hAnsi="宋体" w:cs="宋体"/>
          <w:color w:val="auto"/>
          <w:spacing w:val="6"/>
          <w:szCs w:val="21"/>
        </w:rPr>
      </w:pPr>
    </w:p>
    <w:p w14:paraId="2E3BB01A">
      <w:pPr>
        <w:pStyle w:val="54"/>
        <w:ind w:firstLine="444"/>
        <w:rPr>
          <w:rFonts w:ascii="宋体" w:hAnsi="宋体" w:cs="宋体"/>
          <w:color w:val="auto"/>
          <w:spacing w:val="6"/>
          <w:szCs w:val="21"/>
        </w:rPr>
      </w:pPr>
    </w:p>
    <w:p w14:paraId="4ACC6468">
      <w:pPr>
        <w:pStyle w:val="54"/>
        <w:ind w:firstLine="444"/>
        <w:rPr>
          <w:rFonts w:ascii="宋体" w:hAnsi="宋体" w:cs="宋体"/>
          <w:color w:val="auto"/>
          <w:spacing w:val="6"/>
          <w:szCs w:val="21"/>
        </w:rPr>
      </w:pPr>
    </w:p>
    <w:p w14:paraId="5440C193">
      <w:pPr>
        <w:pStyle w:val="54"/>
        <w:ind w:firstLine="444"/>
        <w:rPr>
          <w:rFonts w:ascii="宋体" w:hAnsi="宋体" w:cs="宋体"/>
          <w:color w:val="auto"/>
          <w:spacing w:val="6"/>
          <w:szCs w:val="21"/>
        </w:rPr>
      </w:pPr>
    </w:p>
    <w:p w14:paraId="5266C8E0">
      <w:pPr>
        <w:pStyle w:val="54"/>
        <w:ind w:firstLine="444"/>
        <w:rPr>
          <w:rFonts w:ascii="宋体" w:hAnsi="宋体" w:cs="宋体"/>
          <w:color w:val="auto"/>
          <w:spacing w:val="6"/>
          <w:szCs w:val="21"/>
        </w:rPr>
      </w:pPr>
    </w:p>
    <w:p w14:paraId="6EC59869">
      <w:pPr>
        <w:pStyle w:val="54"/>
        <w:ind w:firstLine="444"/>
        <w:rPr>
          <w:rFonts w:ascii="宋体" w:hAnsi="宋体" w:cs="宋体"/>
          <w:color w:val="auto"/>
          <w:spacing w:val="6"/>
          <w:szCs w:val="21"/>
        </w:rPr>
      </w:pPr>
    </w:p>
    <w:p w14:paraId="42E9441D">
      <w:pPr>
        <w:pStyle w:val="54"/>
        <w:ind w:firstLine="444"/>
        <w:rPr>
          <w:rFonts w:ascii="宋体" w:hAnsi="宋体" w:cs="宋体"/>
          <w:color w:val="auto"/>
          <w:spacing w:val="6"/>
          <w:szCs w:val="21"/>
        </w:rPr>
      </w:pPr>
    </w:p>
    <w:p w14:paraId="5B71A0CD">
      <w:pPr>
        <w:pStyle w:val="54"/>
        <w:ind w:firstLine="444"/>
        <w:rPr>
          <w:rFonts w:ascii="宋体" w:hAnsi="宋体" w:cs="宋体"/>
          <w:color w:val="auto"/>
          <w:spacing w:val="6"/>
          <w:szCs w:val="21"/>
        </w:rPr>
      </w:pPr>
    </w:p>
    <w:p w14:paraId="286C6035">
      <w:pPr>
        <w:pStyle w:val="54"/>
        <w:ind w:firstLine="444"/>
        <w:rPr>
          <w:rFonts w:ascii="宋体" w:hAnsi="宋体" w:cs="宋体"/>
          <w:color w:val="auto"/>
          <w:spacing w:val="6"/>
          <w:szCs w:val="21"/>
        </w:rPr>
      </w:pPr>
    </w:p>
    <w:p w14:paraId="4063673E">
      <w:pPr>
        <w:pStyle w:val="54"/>
        <w:ind w:firstLine="444"/>
        <w:rPr>
          <w:rFonts w:ascii="宋体" w:hAnsi="宋体" w:cs="宋体"/>
          <w:color w:val="auto"/>
          <w:spacing w:val="6"/>
          <w:szCs w:val="21"/>
        </w:rPr>
      </w:pPr>
    </w:p>
    <w:p w14:paraId="362C56D4">
      <w:pPr>
        <w:pStyle w:val="54"/>
        <w:ind w:firstLine="444"/>
        <w:rPr>
          <w:rFonts w:ascii="宋体" w:hAnsi="宋体" w:cs="宋体"/>
          <w:color w:val="auto"/>
          <w:spacing w:val="6"/>
          <w:szCs w:val="21"/>
        </w:rPr>
      </w:pPr>
    </w:p>
    <w:p w14:paraId="21F4A6D3">
      <w:pPr>
        <w:pStyle w:val="54"/>
        <w:ind w:firstLine="444"/>
        <w:rPr>
          <w:rFonts w:ascii="宋体" w:hAnsi="宋体" w:cs="宋体"/>
          <w:color w:val="auto"/>
          <w:spacing w:val="6"/>
          <w:szCs w:val="21"/>
        </w:rPr>
      </w:pPr>
    </w:p>
    <w:p w14:paraId="692DCA11">
      <w:pPr>
        <w:rPr>
          <w:rFonts w:ascii="宋体" w:hAnsi="宋体" w:cs="宋体"/>
          <w:color w:val="auto"/>
          <w:spacing w:val="6"/>
          <w:kern w:val="0"/>
          <w:szCs w:val="21"/>
        </w:rPr>
      </w:pPr>
      <w:r>
        <w:rPr>
          <w:rFonts w:hint="eastAsia" w:ascii="宋体" w:hAnsi="宋体" w:cs="宋体"/>
          <w:color w:val="auto"/>
          <w:spacing w:val="6"/>
          <w:kern w:val="0"/>
          <w:szCs w:val="21"/>
        </w:rPr>
        <w:br w:type="page"/>
      </w:r>
    </w:p>
    <w:p w14:paraId="1FD9D350">
      <w:pPr>
        <w:pStyle w:val="6"/>
        <w:rPr>
          <w:rFonts w:ascii="宋体" w:hAnsi="宋体" w:eastAsia="宋体"/>
          <w:color w:val="auto"/>
          <w:sz w:val="21"/>
          <w:szCs w:val="21"/>
        </w:rPr>
      </w:pPr>
      <w:r>
        <w:rPr>
          <w:rFonts w:hint="eastAsia" w:ascii="宋体" w:hAnsi="宋体" w:eastAsia="宋体" w:cs="宋体"/>
          <w:color w:val="auto"/>
          <w:spacing w:val="6"/>
          <w:kern w:val="0"/>
          <w:sz w:val="21"/>
          <w:szCs w:val="21"/>
        </w:rPr>
        <w:t xml:space="preserve">附页2 </w:t>
      </w:r>
      <w:r>
        <w:rPr>
          <w:rFonts w:hint="eastAsia" w:ascii="宋体" w:hAnsi="宋体" w:eastAsia="宋体"/>
          <w:color w:val="auto"/>
          <w:sz w:val="21"/>
          <w:szCs w:val="21"/>
        </w:rPr>
        <w:t>优先采购产品清单</w:t>
      </w:r>
      <w:bookmarkEnd w:id="93"/>
    </w:p>
    <w:p w14:paraId="1C0A254F">
      <w:pPr>
        <w:adjustRightInd w:val="0"/>
        <w:snapToGrid w:val="0"/>
        <w:spacing w:line="360" w:lineRule="auto"/>
        <w:jc w:val="center"/>
        <w:rPr>
          <w:rFonts w:ascii="宋体" w:hAnsi="宋体"/>
          <w:b/>
          <w:color w:val="auto"/>
          <w:spacing w:val="6"/>
          <w:szCs w:val="21"/>
        </w:rPr>
      </w:pPr>
      <w:r>
        <w:rPr>
          <w:rFonts w:hint="eastAsia" w:ascii="黑体" w:hAnsi="宋体" w:eastAsia="黑体"/>
          <w:b/>
          <w:color w:val="auto"/>
          <w:sz w:val="28"/>
          <w:szCs w:val="28"/>
        </w:rPr>
        <w:t>优先采购产品清单</w:t>
      </w:r>
    </w:p>
    <w:p w14:paraId="69768698">
      <w:pPr>
        <w:adjustRightInd w:val="0"/>
        <w:snapToGrid w:val="0"/>
        <w:spacing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06EB3E3E">
      <w:pPr>
        <w:adjustRightInd w:val="0"/>
        <w:snapToGrid w:val="0"/>
        <w:spacing w:line="360" w:lineRule="auto"/>
        <w:rPr>
          <w:rFonts w:ascii="宋体" w:hAnsi="宋体"/>
          <w:color w:val="auto"/>
          <w:szCs w:val="21"/>
        </w:rPr>
      </w:pPr>
      <w:r>
        <w:rPr>
          <w:rFonts w:hint="eastAsia" w:ascii="宋体" w:hAnsi="宋体"/>
          <w:color w:val="auto"/>
          <w:szCs w:val="21"/>
        </w:rPr>
        <w:t>包       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6AEEC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439E77BA">
            <w:pPr>
              <w:widowControl/>
              <w:adjustRightInd w:val="0"/>
              <w:snapToGrid w:val="0"/>
              <w:spacing w:line="360" w:lineRule="auto"/>
              <w:ind w:firstLine="480" w:firstLineChars="200"/>
              <w:jc w:val="left"/>
              <w:rPr>
                <w:rFonts w:ascii="黑体" w:hAnsi="黑体" w:eastAsia="黑体"/>
                <w:color w:val="auto"/>
                <w:kern w:val="0"/>
                <w:sz w:val="24"/>
              </w:rPr>
            </w:pPr>
            <w:r>
              <w:rPr>
                <w:rFonts w:hint="eastAsia" w:ascii="黑体" w:hAnsi="宋体" w:eastAsia="黑体"/>
                <w:color w:val="auto"/>
                <w:kern w:val="0"/>
                <w:sz w:val="24"/>
              </w:rPr>
              <w:t>以下为供应商提供的政府采购优先采购产品，供应商对本表的真实性负责。如有虚假，将依法承担相应责任。</w:t>
            </w:r>
          </w:p>
        </w:tc>
      </w:tr>
      <w:tr w14:paraId="6109CC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31E3E8F6">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1</w:t>
            </w:r>
          </w:p>
        </w:tc>
        <w:tc>
          <w:tcPr>
            <w:tcW w:w="1739" w:type="dxa"/>
            <w:noWrap w:val="0"/>
            <w:vAlign w:val="center"/>
          </w:tcPr>
          <w:p w14:paraId="32CDB499">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2</w:t>
            </w:r>
          </w:p>
        </w:tc>
        <w:tc>
          <w:tcPr>
            <w:tcW w:w="1134" w:type="dxa"/>
            <w:tcBorders>
              <w:right w:val="single" w:color="auto" w:sz="4" w:space="0"/>
            </w:tcBorders>
            <w:noWrap w:val="0"/>
            <w:vAlign w:val="center"/>
          </w:tcPr>
          <w:p w14:paraId="0F21E5FD">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3</w:t>
            </w:r>
          </w:p>
        </w:tc>
        <w:tc>
          <w:tcPr>
            <w:tcW w:w="1418" w:type="dxa"/>
            <w:tcBorders>
              <w:left w:val="single" w:color="auto" w:sz="4" w:space="0"/>
            </w:tcBorders>
            <w:noWrap w:val="0"/>
            <w:vAlign w:val="center"/>
          </w:tcPr>
          <w:p w14:paraId="0247F07D">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4</w:t>
            </w:r>
          </w:p>
        </w:tc>
        <w:tc>
          <w:tcPr>
            <w:tcW w:w="1984" w:type="dxa"/>
            <w:noWrap w:val="0"/>
            <w:vAlign w:val="center"/>
          </w:tcPr>
          <w:p w14:paraId="47B8B7EA">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5</w:t>
            </w:r>
          </w:p>
        </w:tc>
        <w:tc>
          <w:tcPr>
            <w:tcW w:w="1843" w:type="dxa"/>
            <w:noWrap w:val="0"/>
            <w:vAlign w:val="center"/>
          </w:tcPr>
          <w:p w14:paraId="6BFDC474">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6</w:t>
            </w:r>
          </w:p>
        </w:tc>
      </w:tr>
      <w:tr w14:paraId="4FDDA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734256B5">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序号</w:t>
            </w:r>
          </w:p>
        </w:tc>
        <w:tc>
          <w:tcPr>
            <w:tcW w:w="1739" w:type="dxa"/>
            <w:noWrap w:val="0"/>
            <w:vAlign w:val="center"/>
          </w:tcPr>
          <w:p w14:paraId="0171346B">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货物名称</w:t>
            </w:r>
          </w:p>
        </w:tc>
        <w:tc>
          <w:tcPr>
            <w:tcW w:w="1134" w:type="dxa"/>
            <w:tcBorders>
              <w:right w:val="single" w:color="auto" w:sz="4" w:space="0"/>
            </w:tcBorders>
            <w:noWrap w:val="0"/>
            <w:vAlign w:val="center"/>
          </w:tcPr>
          <w:p w14:paraId="4888BB35">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规格型号</w:t>
            </w:r>
          </w:p>
        </w:tc>
        <w:tc>
          <w:tcPr>
            <w:tcW w:w="1418" w:type="dxa"/>
            <w:tcBorders>
              <w:left w:val="single" w:color="auto" w:sz="4" w:space="0"/>
            </w:tcBorders>
            <w:noWrap w:val="0"/>
            <w:vAlign w:val="center"/>
          </w:tcPr>
          <w:p w14:paraId="231ED338">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价格（元）</w:t>
            </w:r>
          </w:p>
        </w:tc>
        <w:tc>
          <w:tcPr>
            <w:tcW w:w="1984" w:type="dxa"/>
            <w:noWrap w:val="0"/>
            <w:vAlign w:val="center"/>
          </w:tcPr>
          <w:p w14:paraId="32F5D017">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货物制造商名称</w:t>
            </w:r>
          </w:p>
        </w:tc>
        <w:tc>
          <w:tcPr>
            <w:tcW w:w="1843" w:type="dxa"/>
            <w:noWrap w:val="0"/>
            <w:vAlign w:val="center"/>
          </w:tcPr>
          <w:p w14:paraId="31887267">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政策功能编码</w:t>
            </w:r>
          </w:p>
        </w:tc>
      </w:tr>
      <w:tr w14:paraId="7A45B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5418D993">
            <w:pPr>
              <w:adjustRightInd w:val="0"/>
              <w:snapToGrid w:val="0"/>
              <w:spacing w:line="360" w:lineRule="auto"/>
              <w:jc w:val="left"/>
              <w:rPr>
                <w:rFonts w:ascii="宋体" w:hAnsi="宋体"/>
                <w:b/>
                <w:color w:val="auto"/>
                <w:szCs w:val="21"/>
              </w:rPr>
            </w:pPr>
            <w:r>
              <w:rPr>
                <w:rFonts w:hint="eastAsia" w:ascii="宋体" w:hAnsi="宋体"/>
                <w:b/>
                <w:color w:val="auto"/>
                <w:szCs w:val="21"/>
              </w:rPr>
              <w:t>节能产品</w:t>
            </w:r>
          </w:p>
        </w:tc>
      </w:tr>
      <w:tr w14:paraId="484C0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16A478C">
            <w:pPr>
              <w:adjustRightInd w:val="0"/>
              <w:snapToGrid w:val="0"/>
              <w:spacing w:line="360" w:lineRule="auto"/>
              <w:jc w:val="center"/>
              <w:rPr>
                <w:rFonts w:ascii="宋体" w:hAnsi="宋体"/>
                <w:b/>
                <w:color w:val="auto"/>
                <w:szCs w:val="21"/>
              </w:rPr>
            </w:pPr>
          </w:p>
        </w:tc>
        <w:tc>
          <w:tcPr>
            <w:tcW w:w="1739" w:type="dxa"/>
            <w:noWrap w:val="0"/>
            <w:vAlign w:val="center"/>
          </w:tcPr>
          <w:p w14:paraId="011ECC78">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199193BD">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2F6926DC">
            <w:pPr>
              <w:adjustRightInd w:val="0"/>
              <w:snapToGrid w:val="0"/>
              <w:spacing w:line="360" w:lineRule="auto"/>
              <w:jc w:val="left"/>
              <w:rPr>
                <w:rFonts w:ascii="宋体" w:hAnsi="宋体"/>
                <w:b/>
                <w:color w:val="auto"/>
                <w:szCs w:val="21"/>
              </w:rPr>
            </w:pPr>
          </w:p>
        </w:tc>
        <w:tc>
          <w:tcPr>
            <w:tcW w:w="1984" w:type="dxa"/>
            <w:noWrap w:val="0"/>
            <w:vAlign w:val="center"/>
          </w:tcPr>
          <w:p w14:paraId="5966B617">
            <w:pPr>
              <w:adjustRightInd w:val="0"/>
              <w:snapToGrid w:val="0"/>
              <w:spacing w:line="360" w:lineRule="auto"/>
              <w:jc w:val="center"/>
              <w:rPr>
                <w:rFonts w:ascii="宋体" w:hAnsi="宋体"/>
                <w:b/>
                <w:color w:val="auto"/>
                <w:szCs w:val="21"/>
              </w:rPr>
            </w:pPr>
          </w:p>
        </w:tc>
        <w:tc>
          <w:tcPr>
            <w:tcW w:w="1843" w:type="dxa"/>
            <w:noWrap w:val="0"/>
            <w:vAlign w:val="top"/>
          </w:tcPr>
          <w:p w14:paraId="1D40AEC6">
            <w:pPr>
              <w:adjustRightInd w:val="0"/>
              <w:snapToGrid w:val="0"/>
              <w:spacing w:line="360" w:lineRule="auto"/>
              <w:jc w:val="center"/>
              <w:rPr>
                <w:rFonts w:ascii="宋体" w:hAnsi="宋体"/>
                <w:b/>
                <w:color w:val="auto"/>
                <w:szCs w:val="21"/>
              </w:rPr>
            </w:pPr>
          </w:p>
        </w:tc>
      </w:tr>
      <w:tr w14:paraId="552CF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F8ABC06">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36D730F7">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023E0010">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403F74B1">
            <w:pPr>
              <w:adjustRightInd w:val="0"/>
              <w:snapToGrid w:val="0"/>
              <w:spacing w:line="360" w:lineRule="auto"/>
              <w:jc w:val="left"/>
              <w:rPr>
                <w:rFonts w:ascii="宋体" w:hAnsi="宋体"/>
                <w:b/>
                <w:color w:val="auto"/>
                <w:szCs w:val="21"/>
              </w:rPr>
            </w:pPr>
          </w:p>
        </w:tc>
        <w:tc>
          <w:tcPr>
            <w:tcW w:w="1984" w:type="dxa"/>
            <w:noWrap w:val="0"/>
            <w:vAlign w:val="center"/>
          </w:tcPr>
          <w:p w14:paraId="6674C5D3">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62282819">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r w14:paraId="406C4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7BE0217C">
            <w:pPr>
              <w:adjustRightInd w:val="0"/>
              <w:snapToGrid w:val="0"/>
              <w:spacing w:line="360" w:lineRule="auto"/>
              <w:jc w:val="left"/>
              <w:rPr>
                <w:rFonts w:ascii="宋体" w:hAnsi="宋体"/>
                <w:b/>
                <w:color w:val="auto"/>
                <w:szCs w:val="21"/>
              </w:rPr>
            </w:pPr>
            <w:r>
              <w:rPr>
                <w:rFonts w:hint="eastAsia" w:ascii="宋体" w:hAnsi="宋体"/>
                <w:b/>
                <w:color w:val="auto"/>
                <w:szCs w:val="21"/>
              </w:rPr>
              <w:t>环境标志产品</w:t>
            </w:r>
          </w:p>
        </w:tc>
      </w:tr>
      <w:tr w14:paraId="5B38A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C049B76">
            <w:pPr>
              <w:adjustRightInd w:val="0"/>
              <w:snapToGrid w:val="0"/>
              <w:spacing w:line="360" w:lineRule="auto"/>
              <w:jc w:val="center"/>
              <w:rPr>
                <w:rFonts w:ascii="宋体" w:hAnsi="宋体"/>
                <w:b/>
                <w:color w:val="auto"/>
                <w:szCs w:val="21"/>
              </w:rPr>
            </w:pPr>
          </w:p>
        </w:tc>
        <w:tc>
          <w:tcPr>
            <w:tcW w:w="1739" w:type="dxa"/>
            <w:noWrap w:val="0"/>
            <w:vAlign w:val="center"/>
          </w:tcPr>
          <w:p w14:paraId="372B6C10">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104713E3">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63D02A8F">
            <w:pPr>
              <w:adjustRightInd w:val="0"/>
              <w:snapToGrid w:val="0"/>
              <w:spacing w:line="360" w:lineRule="auto"/>
              <w:jc w:val="left"/>
              <w:rPr>
                <w:rFonts w:ascii="宋体" w:hAnsi="宋体"/>
                <w:b/>
                <w:color w:val="auto"/>
                <w:szCs w:val="21"/>
              </w:rPr>
            </w:pPr>
          </w:p>
        </w:tc>
        <w:tc>
          <w:tcPr>
            <w:tcW w:w="1984" w:type="dxa"/>
            <w:noWrap w:val="0"/>
            <w:vAlign w:val="center"/>
          </w:tcPr>
          <w:p w14:paraId="3CEB848E">
            <w:pPr>
              <w:adjustRightInd w:val="0"/>
              <w:snapToGrid w:val="0"/>
              <w:spacing w:line="360" w:lineRule="auto"/>
              <w:jc w:val="center"/>
              <w:rPr>
                <w:rFonts w:ascii="宋体" w:hAnsi="宋体"/>
                <w:b/>
                <w:color w:val="auto"/>
                <w:szCs w:val="21"/>
              </w:rPr>
            </w:pPr>
          </w:p>
        </w:tc>
        <w:tc>
          <w:tcPr>
            <w:tcW w:w="1843" w:type="dxa"/>
            <w:noWrap w:val="0"/>
            <w:vAlign w:val="top"/>
          </w:tcPr>
          <w:p w14:paraId="18135AF9">
            <w:pPr>
              <w:adjustRightInd w:val="0"/>
              <w:snapToGrid w:val="0"/>
              <w:spacing w:line="360" w:lineRule="auto"/>
              <w:jc w:val="center"/>
              <w:rPr>
                <w:rFonts w:ascii="宋体" w:hAnsi="宋体"/>
                <w:b/>
                <w:color w:val="auto"/>
                <w:szCs w:val="21"/>
              </w:rPr>
            </w:pPr>
          </w:p>
        </w:tc>
      </w:tr>
      <w:tr w14:paraId="2800FE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B915AB1">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49B60D71">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63E3724A">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6E35832C">
            <w:pPr>
              <w:adjustRightInd w:val="0"/>
              <w:snapToGrid w:val="0"/>
              <w:spacing w:line="360" w:lineRule="auto"/>
              <w:jc w:val="left"/>
              <w:rPr>
                <w:rFonts w:ascii="宋体" w:hAnsi="宋体"/>
                <w:b/>
                <w:color w:val="auto"/>
                <w:szCs w:val="21"/>
              </w:rPr>
            </w:pPr>
          </w:p>
        </w:tc>
        <w:tc>
          <w:tcPr>
            <w:tcW w:w="1984" w:type="dxa"/>
            <w:noWrap w:val="0"/>
            <w:vAlign w:val="center"/>
          </w:tcPr>
          <w:p w14:paraId="332D0B05">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43575C5D">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bl>
    <w:p w14:paraId="5755F13B">
      <w:pPr>
        <w:adjustRightInd w:val="0"/>
        <w:snapToGrid w:val="0"/>
        <w:spacing w:line="360" w:lineRule="auto"/>
        <w:jc w:val="left"/>
        <w:rPr>
          <w:rFonts w:ascii="宋体" w:hAnsi="宋体"/>
          <w:color w:val="auto"/>
          <w:szCs w:val="21"/>
        </w:rPr>
      </w:pPr>
      <w:r>
        <w:rPr>
          <w:rFonts w:hint="eastAsia" w:ascii="宋体" w:hAnsi="宋体"/>
          <w:color w:val="auto"/>
          <w:szCs w:val="21"/>
        </w:rPr>
        <w:t>说明：</w:t>
      </w:r>
      <w:r>
        <w:rPr>
          <w:rFonts w:hint="eastAsia" w:ascii="宋体" w:hAnsi="宋体"/>
          <w:bCs/>
          <w:color w:val="auto"/>
          <w:szCs w:val="21"/>
        </w:rPr>
        <w:t>1、</w:t>
      </w:r>
      <w:r>
        <w:rPr>
          <w:rFonts w:hint="eastAsia" w:ascii="宋体" w:hAnsi="宋体"/>
          <w:color w:val="auto"/>
          <w:szCs w:val="21"/>
        </w:rPr>
        <w:t>本表用于计算政府采购优先采购产品（节能产品或环境标志产品）的政府采购政策价格扣除。</w:t>
      </w:r>
    </w:p>
    <w:p w14:paraId="3678CE07">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2、栏目4“价格”为综合单价，包含货物所有隐含的内容，如运输费、保险费、管理费和利润等。</w:t>
      </w:r>
    </w:p>
    <w:p w14:paraId="4620B2B8">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3、栏目6“政策功能编码”是指货物的中国环境标志认证证书编号、中国节能标志认证证书号（货物同时属于节能产品、环境标志产品的，只须填写一种）。</w:t>
      </w:r>
    </w:p>
    <w:p w14:paraId="062FFAF0">
      <w:pPr>
        <w:adjustRightInd w:val="0"/>
        <w:snapToGrid w:val="0"/>
        <w:spacing w:line="360" w:lineRule="auto"/>
        <w:rPr>
          <w:rFonts w:ascii="宋体" w:hAnsi="宋体"/>
          <w:bCs/>
          <w:color w:val="auto"/>
          <w:szCs w:val="21"/>
        </w:rPr>
      </w:pPr>
    </w:p>
    <w:p w14:paraId="0537711F">
      <w:pPr>
        <w:adjustRightInd w:val="0"/>
        <w:snapToGrid w:val="0"/>
        <w:spacing w:line="360" w:lineRule="auto"/>
        <w:rPr>
          <w:rFonts w:ascii="宋体" w:hAnsi="宋体"/>
          <w:bCs/>
          <w:color w:val="auto"/>
          <w:szCs w:val="21"/>
        </w:rPr>
      </w:pPr>
    </w:p>
    <w:p w14:paraId="398F2C38">
      <w:pPr>
        <w:adjustRightInd w:val="0"/>
        <w:snapToGrid w:val="0"/>
        <w:spacing w:line="360" w:lineRule="auto"/>
        <w:rPr>
          <w:rFonts w:ascii="宋体" w:hAnsi="宋体"/>
          <w:color w:val="auto"/>
          <w:szCs w:val="21"/>
        </w:rPr>
      </w:pPr>
    </w:p>
    <w:p w14:paraId="0B936667">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492650E9">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r>
        <w:rPr>
          <w:rFonts w:hint="eastAsia" w:ascii="宋体" w:hAnsi="宋体"/>
          <w:color w:val="auto"/>
          <w:szCs w:val="21"/>
          <w:u w:val="single"/>
        </w:rPr>
        <w:t xml:space="preserve">       </w:t>
      </w:r>
    </w:p>
    <w:p w14:paraId="0C7758BF">
      <w:pPr>
        <w:rPr>
          <w:rFonts w:ascii="黑体" w:hAnsi="黑体"/>
          <w:color w:val="auto"/>
        </w:rPr>
      </w:pPr>
      <w:r>
        <w:rPr>
          <w:rFonts w:hint="eastAsia"/>
          <w:color w:val="auto"/>
        </w:rPr>
        <w:t>日期：        年    月   日</w:t>
      </w:r>
    </w:p>
    <w:p w14:paraId="1259AFE8">
      <w:pPr>
        <w:rPr>
          <w:rFonts w:ascii="黑体" w:eastAsia="黑体"/>
          <w:b/>
          <w:color w:val="auto"/>
          <w:sz w:val="32"/>
          <w:szCs w:val="32"/>
          <w:highlight w:val="none"/>
        </w:rPr>
      </w:pPr>
      <w:r>
        <w:rPr>
          <w:rFonts w:ascii="黑体" w:eastAsia="黑体"/>
          <w:b/>
          <w:color w:val="auto"/>
          <w:sz w:val="32"/>
          <w:szCs w:val="32"/>
          <w:highlight w:val="none"/>
        </w:rPr>
        <w:br w:type="page"/>
      </w:r>
    </w:p>
    <w:p w14:paraId="0D228096">
      <w:pPr>
        <w:pStyle w:val="38"/>
        <w:adjustRightInd w:val="0"/>
        <w:snapToGrid w:val="0"/>
        <w:spacing w:before="50" w:line="360" w:lineRule="auto"/>
        <w:ind w:firstLine="0" w:firstLineChars="0"/>
        <w:jc w:val="center"/>
        <w:rPr>
          <w:rFonts w:ascii="黑体" w:eastAsia="黑体"/>
          <w:b/>
          <w:color w:val="auto"/>
          <w:sz w:val="32"/>
          <w:szCs w:val="32"/>
          <w:highlight w:val="none"/>
        </w:rPr>
      </w:pPr>
    </w:p>
    <w:p w14:paraId="4AC07F94">
      <w:pPr>
        <w:pStyle w:val="38"/>
        <w:adjustRightInd w:val="0"/>
        <w:snapToGrid w:val="0"/>
        <w:spacing w:before="50" w:line="360" w:lineRule="auto"/>
        <w:ind w:firstLine="0" w:firstLineChars="0"/>
        <w:jc w:val="center"/>
        <w:rPr>
          <w:rFonts w:ascii="黑体" w:eastAsia="黑体"/>
          <w:b/>
          <w:color w:val="auto"/>
          <w:sz w:val="32"/>
          <w:szCs w:val="32"/>
          <w:highlight w:val="none"/>
        </w:rPr>
      </w:pPr>
      <w:r>
        <w:rPr>
          <w:rFonts w:hint="eastAsia" w:ascii="黑体" w:eastAsia="黑体"/>
          <w:b/>
          <w:color w:val="auto"/>
          <w:sz w:val="32"/>
          <w:szCs w:val="32"/>
          <w:highlight w:val="none"/>
        </w:rPr>
        <w:t>七、报价一览表及报价文件</w:t>
      </w:r>
    </w:p>
    <w:p w14:paraId="0830AE92">
      <w:pPr>
        <w:adjustRightInd w:val="0"/>
        <w:snapToGrid w:val="0"/>
        <w:spacing w:before="50" w:line="360" w:lineRule="auto"/>
        <w:jc w:val="left"/>
        <w:rPr>
          <w:rFonts w:ascii="黑体" w:hAnsi="宋体" w:eastAsia="黑体"/>
          <w:color w:val="auto"/>
          <w:sz w:val="30"/>
          <w:szCs w:val="30"/>
          <w:highlight w:val="none"/>
        </w:rPr>
      </w:pPr>
      <w:r>
        <w:rPr>
          <w:rFonts w:hint="eastAsia" w:ascii="黑体" w:hAnsi="宋体" w:eastAsia="黑体"/>
          <w:color w:val="auto"/>
          <w:sz w:val="30"/>
          <w:szCs w:val="30"/>
          <w:highlight w:val="none"/>
        </w:rPr>
        <w:t>附件9</w:t>
      </w:r>
    </w:p>
    <w:p w14:paraId="1E77DAFA">
      <w:pPr>
        <w:pStyle w:val="38"/>
        <w:ind w:left="926" w:leftChars="441" w:firstLine="3080" w:firstLineChars="1100"/>
        <w:rPr>
          <w:rFonts w:ascii="黑体" w:hAnsi="宋体" w:eastAsia="黑体"/>
          <w:color w:val="auto"/>
          <w:sz w:val="28"/>
          <w:szCs w:val="28"/>
          <w:highlight w:val="none"/>
        </w:rPr>
      </w:pPr>
      <w:r>
        <w:rPr>
          <w:rFonts w:hint="eastAsia" w:ascii="黑体" w:hAnsi="宋体" w:eastAsia="黑体"/>
          <w:bCs/>
          <w:color w:val="auto"/>
          <w:sz w:val="28"/>
          <w:szCs w:val="28"/>
          <w:highlight w:val="none"/>
        </w:rPr>
        <w:t>报价一览表</w:t>
      </w:r>
    </w:p>
    <w:p w14:paraId="1F4F368F">
      <w:pPr>
        <w:adjustRightInd w:val="0"/>
        <w:snapToGrid w:val="0"/>
        <w:spacing w:before="120" w:beforeLines="50" w:line="360" w:lineRule="auto"/>
        <w:rPr>
          <w:rFonts w:hint="eastAsia" w:ascii="宋体" w:hAnsi="宋体" w:eastAsia="宋体" w:cs="宋体"/>
          <w:color w:val="auto"/>
          <w:szCs w:val="21"/>
        </w:rPr>
      </w:pPr>
      <w:bookmarkStart w:id="94" w:name="_Toc12619_WPSOffice_Level1"/>
    </w:p>
    <w:p w14:paraId="6751101E">
      <w:pPr>
        <w:adjustRightInd w:val="0"/>
        <w:snapToGrid w:val="0"/>
        <w:spacing w:before="120" w:beforeLines="50" w:line="360" w:lineRule="auto"/>
        <w:rPr>
          <w:rFonts w:ascii="宋体" w:hAnsi="宋体" w:eastAsia="宋体" w:cs="宋体"/>
          <w:color w:val="auto"/>
          <w:szCs w:val="21"/>
        </w:rPr>
      </w:pPr>
      <w:r>
        <w:rPr>
          <w:rFonts w:hint="eastAsia" w:ascii="宋体" w:hAnsi="宋体" w:eastAsia="宋体" w:cs="宋体"/>
          <w:color w:val="auto"/>
          <w:szCs w:val="21"/>
        </w:rPr>
        <w:t>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628EACA">
      <w:pPr>
        <w:adjustRightInd w:val="0"/>
        <w:snapToGrid w:val="0"/>
        <w:spacing w:before="120" w:beforeLines="50" w:line="360" w:lineRule="auto"/>
        <w:rPr>
          <w:rFonts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DB8A0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75920E9">
            <w:pPr>
              <w:adjustRightInd w:val="0"/>
              <w:snapToGrid w:val="0"/>
              <w:spacing w:before="156" w:beforeLines="50" w:line="360" w:lineRule="auto"/>
              <w:jc w:val="center"/>
              <w:rPr>
                <w:rFonts w:ascii="宋体" w:hAnsi="宋体" w:eastAsia="宋体" w:cs="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0C56DF63">
            <w:pPr>
              <w:adjustRightInd w:val="0"/>
              <w:snapToGrid w:val="0"/>
              <w:spacing w:before="156" w:beforeLines="50" w:line="360" w:lineRule="auto"/>
              <w:jc w:val="center"/>
              <w:rPr>
                <w:rFonts w:ascii="宋体" w:hAnsi="宋体" w:eastAsia="宋体" w:cs="宋体"/>
                <w:b/>
                <w:color w:val="auto"/>
                <w:kern w:val="0"/>
                <w:szCs w:val="21"/>
              </w:rPr>
            </w:pPr>
            <w:r>
              <w:rPr>
                <w:rFonts w:hint="eastAsia" w:ascii="宋体" w:hAnsi="宋体"/>
                <w:b/>
                <w:color w:val="auto"/>
                <w:kern w:val="0"/>
                <w:szCs w:val="21"/>
              </w:rPr>
              <w:t>其他内容</w:t>
            </w:r>
          </w:p>
        </w:tc>
      </w:tr>
      <w:tr w14:paraId="23DA3C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664C583">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25A9E991">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1A35B61">
            <w:pPr>
              <w:adjustRightInd w:val="0"/>
              <w:snapToGrid w:val="0"/>
              <w:spacing w:before="156" w:beforeLines="50" w:line="360" w:lineRule="auto"/>
              <w:jc w:val="center"/>
              <w:rPr>
                <w:rFonts w:ascii="宋体" w:hAnsi="宋体" w:eastAsia="宋体" w:cs="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6588B348">
            <w:pPr>
              <w:adjustRightInd w:val="0"/>
              <w:snapToGrid w:val="0"/>
              <w:spacing w:before="156" w:beforeLines="50" w:line="360" w:lineRule="auto"/>
              <w:jc w:val="left"/>
              <w:rPr>
                <w:rFonts w:hint="eastAsia" w:ascii="宋体" w:hAnsi="宋体"/>
                <w:color w:val="auto"/>
                <w:kern w:val="0"/>
                <w:szCs w:val="21"/>
                <w:lang w:val="en-US" w:eastAsia="zh-CN"/>
              </w:rPr>
            </w:pPr>
            <w:r>
              <w:rPr>
                <w:rFonts w:hint="eastAsia" w:ascii="宋体" w:hAnsi="宋体"/>
                <w:color w:val="auto"/>
                <w:kern w:val="0"/>
                <w:szCs w:val="21"/>
                <w:lang w:val="en-US" w:eastAsia="zh-CN"/>
              </w:rPr>
              <w:t>项目负责人：</w:t>
            </w:r>
          </w:p>
          <w:p w14:paraId="4C92C348">
            <w:pPr>
              <w:adjustRightInd w:val="0"/>
              <w:snapToGrid w:val="0"/>
              <w:spacing w:before="156" w:beforeLines="50" w:line="360" w:lineRule="auto"/>
              <w:jc w:val="left"/>
              <w:rPr>
                <w:rFonts w:hint="default"/>
                <w:color w:val="auto"/>
                <w:lang w:val="en-US" w:eastAsia="zh-CN"/>
              </w:rPr>
            </w:pPr>
            <w:r>
              <w:rPr>
                <w:rFonts w:hint="eastAsia" w:ascii="宋体" w:hAnsi="宋体"/>
                <w:color w:val="auto"/>
                <w:kern w:val="0"/>
                <w:szCs w:val="21"/>
                <w:lang w:val="en-US" w:eastAsia="zh-CN"/>
              </w:rPr>
              <w:t>联系电话：</w:t>
            </w:r>
          </w:p>
        </w:tc>
      </w:tr>
    </w:tbl>
    <w:p w14:paraId="13153402">
      <w:pPr>
        <w:adjustRightInd w:val="0"/>
        <w:snapToGrid w:val="0"/>
        <w:spacing w:before="120" w:beforeLines="50" w:line="360" w:lineRule="auto"/>
        <w:rPr>
          <w:rFonts w:ascii="宋体" w:hAnsi="宋体" w:eastAsia="宋体" w:cs="宋体"/>
          <w:color w:val="auto"/>
          <w:szCs w:val="21"/>
        </w:rPr>
      </w:pPr>
      <w:r>
        <w:rPr>
          <w:rFonts w:hint="eastAsia" w:ascii="宋体" w:hAnsi="宋体" w:eastAsia="宋体" w:cs="宋体"/>
          <w:b/>
          <w:color w:val="auto"/>
          <w:szCs w:val="21"/>
        </w:rPr>
        <w:t>备注：</w:t>
      </w:r>
      <w:r>
        <w:rPr>
          <w:rFonts w:hint="eastAsia" w:ascii="宋体" w:hAnsi="宋体" w:eastAsia="宋体" w:cs="宋体"/>
          <w:color w:val="auto"/>
          <w:szCs w:val="21"/>
        </w:rPr>
        <w:t>（1）本表须按包填写，一个“包号”一份。</w:t>
      </w:r>
    </w:p>
    <w:p w14:paraId="4F9A8EE8">
      <w:pPr>
        <w:adjustRightInd w:val="0"/>
        <w:snapToGrid w:val="0"/>
        <w:spacing w:line="360" w:lineRule="auto"/>
        <w:rPr>
          <w:rFonts w:hint="eastAsia" w:ascii="宋体" w:hAnsi="宋体"/>
          <w:color w:val="auto"/>
          <w:szCs w:val="21"/>
        </w:rPr>
      </w:pPr>
    </w:p>
    <w:p w14:paraId="71530CC8">
      <w:pPr>
        <w:adjustRightInd w:val="0"/>
        <w:snapToGrid w:val="0"/>
        <w:spacing w:line="360" w:lineRule="auto"/>
        <w:ind w:left="-88" w:leftChars="-42"/>
        <w:rPr>
          <w:rFonts w:ascii="宋体" w:hAnsi="宋体"/>
          <w:color w:val="auto"/>
          <w:szCs w:val="21"/>
        </w:rPr>
      </w:pPr>
    </w:p>
    <w:p w14:paraId="2FD0C03C">
      <w:pPr>
        <w:adjustRightInd w:val="0"/>
        <w:snapToGrid w:val="0"/>
        <w:spacing w:line="360" w:lineRule="auto"/>
        <w:rPr>
          <w:rFonts w:ascii="宋体" w:hAnsi="宋体"/>
          <w:color w:val="auto"/>
          <w:szCs w:val="21"/>
        </w:rPr>
      </w:pPr>
      <w:r>
        <w:rPr>
          <w:rFonts w:hint="eastAsia" w:ascii="宋体" w:hAnsi="宋体"/>
          <w:color w:val="auto"/>
          <w:szCs w:val="21"/>
        </w:rPr>
        <w:t>供应商（盖单位章）：</w:t>
      </w:r>
    </w:p>
    <w:p w14:paraId="56456182">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法定代表人或其委托代理人签字：</w:t>
      </w:r>
    </w:p>
    <w:p w14:paraId="5038627F">
      <w:pPr>
        <w:adjustRightInd w:val="0"/>
        <w:snapToGrid w:val="0"/>
        <w:spacing w:line="360" w:lineRule="auto"/>
        <w:rPr>
          <w:rFonts w:ascii="黑体" w:hAnsi="宋体" w:eastAsia="黑体"/>
          <w:b/>
          <w:color w:val="auto"/>
          <w:sz w:val="24"/>
        </w:rPr>
        <w:sectPr>
          <w:pgSz w:w="11906" w:h="16838"/>
          <w:pgMar w:top="238" w:right="1588" w:bottom="1474" w:left="1474" w:header="851" w:footer="992" w:gutter="0"/>
          <w:pgBorders>
            <w:top w:val="none" w:sz="0" w:space="0"/>
            <w:left w:val="none" w:sz="0" w:space="0"/>
            <w:bottom w:val="none" w:sz="0" w:space="0"/>
            <w:right w:val="none" w:sz="0" w:space="0"/>
          </w:pgBorders>
          <w:cols w:space="720" w:num="1"/>
          <w:docGrid w:linePitch="312" w:charSpace="0"/>
        </w:sectPr>
      </w:pPr>
      <w:r>
        <w:rPr>
          <w:rFonts w:hint="eastAsia" w:ascii="宋体" w:hAnsi="宋体"/>
          <w:color w:val="auto"/>
          <w:szCs w:val="21"/>
        </w:rPr>
        <w:t>日</w:t>
      </w:r>
      <w:r>
        <w:rPr>
          <w:rFonts w:hint="eastAsia" w:ascii="宋体" w:hAnsi="宋体"/>
          <w:color w:val="auto"/>
          <w:szCs w:val="21"/>
          <w:lang w:val="en-US" w:eastAsia="zh-CN"/>
        </w:rPr>
        <w:t xml:space="preserve">   </w:t>
      </w:r>
      <w:r>
        <w:rPr>
          <w:rFonts w:hint="eastAsia" w:ascii="宋体" w:hAnsi="宋体"/>
          <w:color w:val="auto"/>
          <w:szCs w:val="21"/>
        </w:rPr>
        <w:t>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5EF86281">
      <w:pPr>
        <w:adjustRightInd w:val="0"/>
        <w:snapToGrid w:val="0"/>
        <w:spacing w:before="50" w:line="360" w:lineRule="auto"/>
        <w:jc w:val="left"/>
        <w:rPr>
          <w:rFonts w:ascii="黑体" w:hAnsi="宋体" w:eastAsia="黑体"/>
          <w:color w:val="auto"/>
          <w:sz w:val="30"/>
          <w:szCs w:val="30"/>
          <w:highlight w:val="none"/>
        </w:rPr>
      </w:pPr>
      <w:r>
        <w:rPr>
          <w:rFonts w:hint="eastAsia" w:ascii="黑体" w:hAnsi="宋体" w:eastAsia="黑体"/>
          <w:color w:val="auto"/>
          <w:sz w:val="30"/>
          <w:szCs w:val="30"/>
          <w:highlight w:val="none"/>
        </w:rPr>
        <w:t>附件9-1</w:t>
      </w:r>
      <w:bookmarkEnd w:id="94"/>
    </w:p>
    <w:p w14:paraId="41BB0DC3">
      <w:pPr>
        <w:adjustRightInd w:val="0"/>
        <w:snapToGrid w:val="0"/>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 xml:space="preserve">分项价格表 </w:t>
      </w:r>
    </w:p>
    <w:p w14:paraId="38C03554">
      <w:pPr>
        <w:spacing w:line="360" w:lineRule="exact"/>
        <w:ind w:firstLine="201" w:firstLineChars="100"/>
        <w:rPr>
          <w:rFonts w:ascii="黑体" w:eastAsia="黑体"/>
          <w:b/>
          <w:color w:val="auto"/>
          <w:sz w:val="20"/>
          <w:highlight w:val="none"/>
        </w:rPr>
      </w:pPr>
    </w:p>
    <w:p w14:paraId="4B89DF8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按采购文件提供的</w:t>
      </w:r>
      <w:r>
        <w:rPr>
          <w:rFonts w:hint="eastAsia" w:ascii="宋体" w:hAnsi="宋体"/>
          <w:color w:val="auto"/>
          <w:szCs w:val="21"/>
          <w:highlight w:val="none"/>
          <w:lang w:val="en-US" w:eastAsia="zh-CN"/>
        </w:rPr>
        <w:t>采购</w:t>
      </w:r>
      <w:r>
        <w:rPr>
          <w:rFonts w:hint="eastAsia" w:ascii="宋体" w:hAnsi="宋体"/>
          <w:color w:val="auto"/>
          <w:szCs w:val="21"/>
          <w:highlight w:val="none"/>
        </w:rPr>
        <w:t>清单报价。</w:t>
      </w:r>
    </w:p>
    <w:p w14:paraId="3B8BDCCA">
      <w:pPr>
        <w:adjustRightInd w:val="0"/>
        <w:snapToGrid w:val="0"/>
        <w:spacing w:line="360" w:lineRule="auto"/>
        <w:ind w:firstLine="420" w:firstLineChars="200"/>
        <w:rPr>
          <w:rFonts w:ascii="宋体" w:hAnsi="宋体"/>
          <w:color w:val="auto"/>
          <w:szCs w:val="21"/>
          <w:highlight w:val="none"/>
        </w:rPr>
      </w:pPr>
    </w:p>
    <w:p w14:paraId="3E9D09B1">
      <w:pPr>
        <w:adjustRightInd w:val="0"/>
        <w:snapToGrid w:val="0"/>
        <w:spacing w:line="360" w:lineRule="auto"/>
        <w:ind w:firstLine="420" w:firstLineChars="200"/>
        <w:rPr>
          <w:rFonts w:ascii="宋体" w:hAnsi="宋体"/>
          <w:color w:val="auto"/>
          <w:szCs w:val="21"/>
          <w:highlight w:val="none"/>
        </w:rPr>
      </w:pPr>
    </w:p>
    <w:p w14:paraId="2CA2EBD8">
      <w:pPr>
        <w:adjustRightInd w:val="0"/>
        <w:snapToGrid w:val="0"/>
        <w:spacing w:line="360" w:lineRule="auto"/>
        <w:ind w:firstLine="420" w:firstLineChars="200"/>
        <w:rPr>
          <w:rFonts w:ascii="宋体" w:hAnsi="宋体"/>
          <w:color w:val="auto"/>
          <w:szCs w:val="21"/>
          <w:highlight w:val="none"/>
        </w:rPr>
      </w:pPr>
    </w:p>
    <w:p w14:paraId="7F696B9A">
      <w:pPr>
        <w:adjustRightInd w:val="0"/>
        <w:snapToGrid w:val="0"/>
        <w:spacing w:line="360" w:lineRule="auto"/>
        <w:ind w:firstLine="420" w:firstLineChars="200"/>
        <w:rPr>
          <w:rFonts w:ascii="宋体" w:hAnsi="宋体"/>
          <w:color w:val="auto"/>
          <w:szCs w:val="21"/>
          <w:highlight w:val="none"/>
        </w:rPr>
      </w:pPr>
    </w:p>
    <w:p w14:paraId="47586414">
      <w:pPr>
        <w:adjustRightInd w:val="0"/>
        <w:snapToGrid w:val="0"/>
        <w:spacing w:line="360" w:lineRule="auto"/>
        <w:ind w:firstLine="420" w:firstLineChars="200"/>
        <w:rPr>
          <w:rFonts w:ascii="宋体" w:hAnsi="宋体"/>
          <w:color w:val="auto"/>
          <w:szCs w:val="21"/>
          <w:highlight w:val="none"/>
        </w:rPr>
      </w:pPr>
    </w:p>
    <w:p w14:paraId="0CBF742F">
      <w:pPr>
        <w:adjustRightInd w:val="0"/>
        <w:snapToGrid w:val="0"/>
        <w:rPr>
          <w:rFonts w:ascii="宋体" w:hAnsi="宋体"/>
          <w:color w:val="auto"/>
          <w:szCs w:val="21"/>
          <w:highlight w:val="none"/>
        </w:rPr>
      </w:pPr>
    </w:p>
    <w:p w14:paraId="1FF09B82">
      <w:pPr>
        <w:adjustRightInd w:val="0"/>
        <w:snapToGrid w:val="0"/>
        <w:rPr>
          <w:rFonts w:ascii="黑体" w:hAnsi="宋体" w:eastAsia="黑体"/>
          <w:color w:val="auto"/>
          <w:sz w:val="20"/>
          <w:szCs w:val="21"/>
          <w:highlight w:val="none"/>
        </w:rPr>
      </w:pPr>
    </w:p>
    <w:p w14:paraId="0E2AF7D1">
      <w:pPr>
        <w:adjustRightInd w:val="0"/>
        <w:snapToGrid w:val="0"/>
        <w:jc w:val="center"/>
        <w:rPr>
          <w:rFonts w:ascii="黑体" w:hAnsi="宋体" w:eastAsia="黑体"/>
          <w:color w:val="auto"/>
          <w:sz w:val="28"/>
          <w:szCs w:val="28"/>
          <w:highlight w:val="none"/>
        </w:rPr>
      </w:pPr>
    </w:p>
    <w:p w14:paraId="1213B11E">
      <w:pPr>
        <w:adjustRightInd w:val="0"/>
        <w:snapToGrid w:val="0"/>
        <w:rPr>
          <w:rFonts w:ascii="黑体" w:hAnsi="宋体" w:eastAsia="黑体"/>
          <w:color w:val="auto"/>
          <w:sz w:val="28"/>
          <w:szCs w:val="28"/>
          <w:highlight w:val="none"/>
        </w:rPr>
      </w:pPr>
    </w:p>
    <w:p w14:paraId="6C65C256">
      <w:pPr>
        <w:adjustRightInd w:val="0"/>
        <w:snapToGrid w:val="0"/>
        <w:rPr>
          <w:rFonts w:ascii="黑体" w:hAnsi="宋体" w:eastAsia="黑体"/>
          <w:color w:val="auto"/>
          <w:sz w:val="28"/>
          <w:szCs w:val="28"/>
          <w:highlight w:val="none"/>
        </w:rPr>
      </w:pPr>
    </w:p>
    <w:p w14:paraId="3810D729">
      <w:pPr>
        <w:adjustRightInd w:val="0"/>
        <w:snapToGrid w:val="0"/>
        <w:rPr>
          <w:rFonts w:ascii="黑体" w:hAnsi="宋体" w:eastAsia="黑体"/>
          <w:color w:val="auto"/>
          <w:sz w:val="28"/>
          <w:szCs w:val="28"/>
          <w:highlight w:val="none"/>
        </w:rPr>
      </w:pPr>
    </w:p>
    <w:p w14:paraId="2FF00368">
      <w:pPr>
        <w:adjustRightInd w:val="0"/>
        <w:snapToGrid w:val="0"/>
        <w:rPr>
          <w:rFonts w:ascii="黑体" w:hAnsi="宋体" w:eastAsia="黑体"/>
          <w:color w:val="auto"/>
          <w:sz w:val="28"/>
          <w:szCs w:val="28"/>
          <w:highlight w:val="none"/>
        </w:rPr>
      </w:pPr>
    </w:p>
    <w:p w14:paraId="70F33B8A">
      <w:pPr>
        <w:adjustRightInd w:val="0"/>
        <w:snapToGrid w:val="0"/>
        <w:rPr>
          <w:rFonts w:ascii="黑体" w:hAnsi="宋体" w:eastAsia="黑体"/>
          <w:color w:val="auto"/>
          <w:sz w:val="28"/>
          <w:szCs w:val="28"/>
          <w:highlight w:val="none"/>
        </w:rPr>
      </w:pPr>
    </w:p>
    <w:p w14:paraId="32B17D93">
      <w:pPr>
        <w:adjustRightInd w:val="0"/>
        <w:snapToGrid w:val="0"/>
        <w:rPr>
          <w:rFonts w:ascii="黑体" w:hAnsi="宋体" w:eastAsia="黑体"/>
          <w:color w:val="auto"/>
          <w:sz w:val="28"/>
          <w:szCs w:val="28"/>
          <w:highlight w:val="none"/>
        </w:rPr>
      </w:pPr>
    </w:p>
    <w:p w14:paraId="34DEA18C">
      <w:pPr>
        <w:adjustRightInd w:val="0"/>
        <w:snapToGrid w:val="0"/>
        <w:rPr>
          <w:rFonts w:ascii="黑体" w:hAnsi="宋体" w:eastAsia="黑体"/>
          <w:color w:val="auto"/>
          <w:sz w:val="28"/>
          <w:szCs w:val="28"/>
          <w:highlight w:val="none"/>
        </w:rPr>
      </w:pPr>
    </w:p>
    <w:p w14:paraId="64D4E3FD">
      <w:pPr>
        <w:adjustRightInd w:val="0"/>
        <w:snapToGrid w:val="0"/>
        <w:rPr>
          <w:rFonts w:ascii="黑体" w:hAnsi="宋体" w:eastAsia="黑体"/>
          <w:color w:val="auto"/>
          <w:sz w:val="28"/>
          <w:szCs w:val="28"/>
          <w:highlight w:val="none"/>
        </w:rPr>
      </w:pPr>
    </w:p>
    <w:p w14:paraId="75134939">
      <w:pPr>
        <w:adjustRightInd w:val="0"/>
        <w:snapToGrid w:val="0"/>
        <w:rPr>
          <w:rFonts w:ascii="黑体" w:hAnsi="宋体" w:eastAsia="黑体"/>
          <w:color w:val="auto"/>
          <w:sz w:val="28"/>
          <w:szCs w:val="28"/>
          <w:highlight w:val="none"/>
        </w:rPr>
      </w:pPr>
    </w:p>
    <w:p w14:paraId="6E22BF65">
      <w:pPr>
        <w:adjustRightInd w:val="0"/>
        <w:snapToGrid w:val="0"/>
        <w:rPr>
          <w:rFonts w:ascii="黑体" w:hAnsi="宋体" w:eastAsia="黑体"/>
          <w:color w:val="auto"/>
          <w:sz w:val="28"/>
          <w:szCs w:val="28"/>
          <w:highlight w:val="none"/>
        </w:rPr>
      </w:pPr>
    </w:p>
    <w:p w14:paraId="2A95CAB7">
      <w:pPr>
        <w:adjustRightInd w:val="0"/>
        <w:snapToGrid w:val="0"/>
        <w:rPr>
          <w:rFonts w:ascii="黑体" w:hAnsi="宋体" w:eastAsia="黑体"/>
          <w:color w:val="auto"/>
          <w:sz w:val="28"/>
          <w:szCs w:val="28"/>
          <w:highlight w:val="none"/>
        </w:rPr>
      </w:pPr>
    </w:p>
    <w:p w14:paraId="6923A35F">
      <w:pPr>
        <w:adjustRightInd w:val="0"/>
        <w:snapToGrid w:val="0"/>
        <w:rPr>
          <w:rFonts w:ascii="黑体" w:hAnsi="宋体" w:eastAsia="黑体"/>
          <w:color w:val="auto"/>
          <w:sz w:val="28"/>
          <w:szCs w:val="28"/>
          <w:highlight w:val="none"/>
        </w:rPr>
      </w:pPr>
    </w:p>
    <w:p w14:paraId="3D30B376">
      <w:pPr>
        <w:adjustRightInd w:val="0"/>
        <w:snapToGrid w:val="0"/>
        <w:rPr>
          <w:rFonts w:ascii="黑体" w:hAnsi="宋体" w:eastAsia="黑体"/>
          <w:color w:val="auto"/>
          <w:sz w:val="28"/>
          <w:szCs w:val="28"/>
          <w:highlight w:val="none"/>
        </w:rPr>
      </w:pPr>
    </w:p>
    <w:p w14:paraId="61C8CA02">
      <w:pPr>
        <w:adjustRightInd w:val="0"/>
        <w:snapToGrid w:val="0"/>
        <w:rPr>
          <w:rFonts w:ascii="黑体" w:hAnsi="宋体" w:eastAsia="黑体"/>
          <w:color w:val="auto"/>
          <w:sz w:val="28"/>
          <w:szCs w:val="28"/>
          <w:highlight w:val="none"/>
        </w:rPr>
      </w:pPr>
    </w:p>
    <w:p w14:paraId="6DB265F6">
      <w:pPr>
        <w:adjustRightInd w:val="0"/>
        <w:snapToGrid w:val="0"/>
        <w:rPr>
          <w:rFonts w:ascii="黑体" w:hAnsi="宋体" w:eastAsia="黑体"/>
          <w:color w:val="auto"/>
          <w:sz w:val="28"/>
          <w:szCs w:val="28"/>
          <w:highlight w:val="none"/>
        </w:rPr>
      </w:pPr>
    </w:p>
    <w:p w14:paraId="45DFB686">
      <w:pPr>
        <w:adjustRightInd w:val="0"/>
        <w:snapToGrid w:val="0"/>
        <w:rPr>
          <w:rFonts w:ascii="黑体" w:hAnsi="宋体" w:eastAsia="黑体"/>
          <w:color w:val="auto"/>
          <w:sz w:val="28"/>
          <w:szCs w:val="28"/>
          <w:highlight w:val="none"/>
        </w:rPr>
      </w:pPr>
    </w:p>
    <w:p w14:paraId="36D8EE2A">
      <w:pPr>
        <w:adjustRightInd w:val="0"/>
        <w:snapToGrid w:val="0"/>
        <w:rPr>
          <w:rFonts w:ascii="黑体" w:hAnsi="宋体" w:eastAsia="黑体"/>
          <w:color w:val="auto"/>
          <w:sz w:val="28"/>
          <w:szCs w:val="28"/>
          <w:highlight w:val="none"/>
        </w:rPr>
      </w:pPr>
    </w:p>
    <w:p w14:paraId="7799E52C">
      <w:pPr>
        <w:adjustRightInd w:val="0"/>
        <w:snapToGrid w:val="0"/>
        <w:rPr>
          <w:rFonts w:ascii="黑体" w:hAnsi="宋体" w:eastAsia="黑体"/>
          <w:color w:val="auto"/>
          <w:sz w:val="28"/>
          <w:szCs w:val="28"/>
          <w:highlight w:val="none"/>
        </w:rPr>
      </w:pPr>
    </w:p>
    <w:p w14:paraId="670F9E4A">
      <w:pPr>
        <w:adjustRightInd w:val="0"/>
        <w:snapToGrid w:val="0"/>
        <w:rPr>
          <w:rFonts w:ascii="黑体" w:hAnsi="宋体" w:eastAsia="黑体"/>
          <w:color w:val="auto"/>
          <w:sz w:val="28"/>
          <w:szCs w:val="28"/>
          <w:highlight w:val="none"/>
        </w:rPr>
      </w:pPr>
    </w:p>
    <w:p w14:paraId="41C301F0">
      <w:pPr>
        <w:adjustRightInd w:val="0"/>
        <w:snapToGrid w:val="0"/>
        <w:rPr>
          <w:rFonts w:ascii="黑体" w:hAnsi="宋体" w:eastAsia="黑体"/>
          <w:color w:val="auto"/>
          <w:sz w:val="28"/>
          <w:szCs w:val="28"/>
          <w:highlight w:val="none"/>
        </w:rPr>
      </w:pPr>
    </w:p>
    <w:p w14:paraId="1FD9E11B">
      <w:pPr>
        <w:adjustRightInd w:val="0"/>
        <w:snapToGrid w:val="0"/>
        <w:rPr>
          <w:rFonts w:ascii="黑体" w:hAnsi="宋体" w:eastAsia="黑体"/>
          <w:color w:val="auto"/>
          <w:sz w:val="28"/>
          <w:szCs w:val="28"/>
          <w:highlight w:val="none"/>
        </w:rPr>
      </w:pPr>
    </w:p>
    <w:p w14:paraId="4F92E488">
      <w:pPr>
        <w:adjustRightInd w:val="0"/>
        <w:snapToGrid w:val="0"/>
        <w:rPr>
          <w:rFonts w:ascii="黑体" w:hAnsi="宋体" w:eastAsia="黑体"/>
          <w:color w:val="auto"/>
          <w:sz w:val="28"/>
          <w:szCs w:val="28"/>
          <w:highlight w:val="none"/>
        </w:rPr>
      </w:pPr>
    </w:p>
    <w:p w14:paraId="56A09893">
      <w:pPr>
        <w:adjustRightInd w:val="0"/>
        <w:snapToGrid w:val="0"/>
        <w:rPr>
          <w:rFonts w:ascii="黑体" w:hAnsi="宋体" w:eastAsia="黑体"/>
          <w:color w:val="auto"/>
          <w:sz w:val="28"/>
          <w:szCs w:val="28"/>
          <w:highlight w:val="none"/>
        </w:rPr>
      </w:pPr>
    </w:p>
    <w:p w14:paraId="2FC3B9CA">
      <w:pPr>
        <w:adjustRightInd w:val="0"/>
        <w:snapToGrid w:val="0"/>
        <w:rPr>
          <w:rFonts w:ascii="黑体" w:hAnsi="宋体" w:eastAsia="黑体"/>
          <w:color w:val="auto"/>
          <w:sz w:val="28"/>
          <w:szCs w:val="28"/>
          <w:highlight w:val="none"/>
        </w:rPr>
      </w:pPr>
    </w:p>
    <w:p w14:paraId="012B7CC2">
      <w:pPr>
        <w:adjustRightInd w:val="0"/>
        <w:snapToGrid w:val="0"/>
        <w:rPr>
          <w:rFonts w:ascii="黑体" w:hAnsi="宋体" w:eastAsia="黑体"/>
          <w:color w:val="auto"/>
          <w:sz w:val="28"/>
          <w:szCs w:val="28"/>
          <w:highlight w:val="none"/>
        </w:rPr>
      </w:pPr>
    </w:p>
    <w:p w14:paraId="0B784698">
      <w:pPr>
        <w:spacing w:line="360" w:lineRule="exact"/>
        <w:jc w:val="center"/>
        <w:outlineLvl w:val="9"/>
        <w:rPr>
          <w:rFonts w:ascii="黑体" w:eastAsia="黑体"/>
          <w:b/>
          <w:color w:val="auto"/>
          <w:sz w:val="32"/>
          <w:szCs w:val="32"/>
          <w:highlight w:val="none"/>
        </w:rPr>
      </w:pPr>
    </w:p>
    <w:p w14:paraId="49AFE46B">
      <w:pPr>
        <w:spacing w:line="360" w:lineRule="exact"/>
        <w:jc w:val="center"/>
        <w:outlineLvl w:val="1"/>
        <w:rPr>
          <w:rFonts w:ascii="黑体" w:eastAsia="黑体"/>
          <w:b/>
          <w:color w:val="auto"/>
          <w:sz w:val="32"/>
          <w:szCs w:val="32"/>
          <w:highlight w:val="none"/>
        </w:rPr>
      </w:pPr>
      <w:r>
        <w:rPr>
          <w:rFonts w:hint="eastAsia" w:ascii="黑体" w:eastAsia="黑体"/>
          <w:b/>
          <w:color w:val="auto"/>
          <w:sz w:val="32"/>
          <w:szCs w:val="32"/>
          <w:highlight w:val="none"/>
        </w:rPr>
        <w:t>八、供应商认为需要提供的其它资料</w:t>
      </w:r>
    </w:p>
    <w:p w14:paraId="76E0BDC9">
      <w:pPr>
        <w:adjustRightInd w:val="0"/>
        <w:snapToGrid w:val="0"/>
        <w:ind w:firstLine="3780" w:firstLineChars="1350"/>
        <w:rPr>
          <w:rFonts w:ascii="黑体" w:eastAsia="黑体"/>
          <w:b/>
          <w:color w:val="auto"/>
          <w:sz w:val="32"/>
          <w:szCs w:val="32"/>
          <w:highlight w:val="none"/>
        </w:rPr>
      </w:pPr>
      <w:r>
        <w:rPr>
          <w:rFonts w:ascii="黑体" w:hAnsi="宋体" w:eastAsia="黑体"/>
          <w:color w:val="auto"/>
          <w:sz w:val="28"/>
          <w:szCs w:val="28"/>
          <w:highlight w:val="none"/>
        </w:rPr>
        <w:br w:type="page"/>
      </w:r>
      <w:r>
        <w:rPr>
          <w:rFonts w:hint="eastAsia" w:ascii="黑体" w:eastAsia="黑体"/>
          <w:b/>
          <w:color w:val="auto"/>
          <w:sz w:val="32"/>
          <w:szCs w:val="32"/>
          <w:highlight w:val="none"/>
        </w:rPr>
        <w:t>九、最后报价</w:t>
      </w:r>
    </w:p>
    <w:p w14:paraId="00F2384B">
      <w:pPr>
        <w:adjustRightInd w:val="0"/>
        <w:snapToGrid w:val="0"/>
        <w:ind w:left="-88" w:leftChars="-42"/>
        <w:rPr>
          <w:rFonts w:ascii="宋体" w:hAnsi="宋体"/>
          <w:color w:val="auto"/>
          <w:szCs w:val="21"/>
          <w:highlight w:val="none"/>
        </w:rPr>
      </w:pPr>
    </w:p>
    <w:p w14:paraId="02ADF4BA">
      <w:pPr>
        <w:pStyle w:val="38"/>
        <w:ind w:left="926" w:leftChars="441" w:firstLine="3080" w:firstLineChars="1100"/>
        <w:rPr>
          <w:rFonts w:hint="eastAsia" w:ascii="黑体" w:hAnsi="宋体" w:eastAsia="黑体"/>
          <w:bCs/>
          <w:color w:val="auto"/>
          <w:sz w:val="28"/>
          <w:szCs w:val="28"/>
          <w:highlight w:val="none"/>
        </w:rPr>
      </w:pPr>
      <w:r>
        <w:rPr>
          <w:rFonts w:hint="eastAsia" w:ascii="黑体" w:hAnsi="宋体" w:eastAsia="黑体"/>
          <w:bCs/>
          <w:color w:val="auto"/>
          <w:sz w:val="28"/>
          <w:szCs w:val="28"/>
          <w:highlight w:val="none"/>
          <w:lang w:val="en-US" w:eastAsia="zh-CN"/>
        </w:rPr>
        <w:t>最后报价</w:t>
      </w:r>
      <w:r>
        <w:rPr>
          <w:rFonts w:hint="eastAsia" w:ascii="黑体" w:hAnsi="宋体" w:eastAsia="黑体"/>
          <w:bCs/>
          <w:color w:val="auto"/>
          <w:sz w:val="28"/>
          <w:szCs w:val="28"/>
          <w:highlight w:val="none"/>
        </w:rPr>
        <w:t>表</w:t>
      </w:r>
    </w:p>
    <w:p w14:paraId="406EFEDA">
      <w:pPr>
        <w:pStyle w:val="38"/>
        <w:ind w:left="926" w:leftChars="441" w:firstLine="3080" w:firstLineChars="1100"/>
        <w:rPr>
          <w:rFonts w:hint="eastAsia" w:ascii="黑体" w:hAnsi="宋体" w:eastAsia="黑体"/>
          <w:bCs/>
          <w:color w:val="auto"/>
          <w:sz w:val="28"/>
          <w:szCs w:val="28"/>
          <w:highlight w:val="none"/>
        </w:rPr>
      </w:pPr>
    </w:p>
    <w:p w14:paraId="79F3687C">
      <w:pPr>
        <w:adjustRightInd w:val="0"/>
        <w:snapToGrid w:val="0"/>
        <w:spacing w:before="120" w:beforeLines="50" w:line="360" w:lineRule="auto"/>
        <w:rPr>
          <w:rFonts w:ascii="宋体" w:hAnsi="宋体" w:eastAsia="宋体" w:cs="宋体"/>
          <w:color w:val="auto"/>
          <w:szCs w:val="21"/>
        </w:rPr>
      </w:pPr>
      <w:r>
        <w:rPr>
          <w:rFonts w:hint="eastAsia" w:ascii="宋体" w:hAnsi="宋体" w:eastAsia="宋体" w:cs="宋体"/>
          <w:color w:val="auto"/>
          <w:szCs w:val="21"/>
        </w:rPr>
        <w:t>采购代理编号：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9334D50">
      <w:pPr>
        <w:adjustRightInd w:val="0"/>
        <w:snapToGrid w:val="0"/>
        <w:spacing w:before="120" w:beforeLines="50" w:line="360" w:lineRule="auto"/>
        <w:rPr>
          <w:rFonts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3367CD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62924276">
            <w:pPr>
              <w:adjustRightInd w:val="0"/>
              <w:snapToGrid w:val="0"/>
              <w:spacing w:before="156" w:beforeLines="50" w:line="360" w:lineRule="auto"/>
              <w:jc w:val="center"/>
              <w:rPr>
                <w:rFonts w:ascii="宋体" w:hAnsi="宋体" w:eastAsia="宋体" w:cs="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473190EA">
            <w:pPr>
              <w:adjustRightInd w:val="0"/>
              <w:snapToGrid w:val="0"/>
              <w:spacing w:before="156" w:beforeLines="50" w:line="360" w:lineRule="auto"/>
              <w:jc w:val="center"/>
              <w:rPr>
                <w:rFonts w:ascii="宋体" w:hAnsi="宋体" w:eastAsia="宋体" w:cs="宋体"/>
                <w:b/>
                <w:color w:val="auto"/>
                <w:kern w:val="0"/>
                <w:szCs w:val="21"/>
              </w:rPr>
            </w:pPr>
            <w:r>
              <w:rPr>
                <w:rFonts w:hint="eastAsia" w:ascii="宋体" w:hAnsi="宋体"/>
                <w:b/>
                <w:color w:val="auto"/>
                <w:kern w:val="0"/>
                <w:szCs w:val="21"/>
              </w:rPr>
              <w:t>其他内容</w:t>
            </w:r>
          </w:p>
        </w:tc>
      </w:tr>
      <w:tr w14:paraId="03BD5F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198140DA">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13334464">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77C4893F">
            <w:pPr>
              <w:adjustRightInd w:val="0"/>
              <w:snapToGrid w:val="0"/>
              <w:spacing w:before="156" w:beforeLines="50" w:line="360" w:lineRule="auto"/>
              <w:jc w:val="center"/>
              <w:rPr>
                <w:rFonts w:ascii="宋体" w:hAnsi="宋体" w:eastAsia="宋体" w:cs="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098E04ED">
            <w:pPr>
              <w:adjustRightInd w:val="0"/>
              <w:snapToGrid w:val="0"/>
              <w:spacing w:before="156" w:beforeLines="50" w:line="360" w:lineRule="auto"/>
              <w:jc w:val="left"/>
              <w:rPr>
                <w:rFonts w:hint="eastAsia" w:ascii="宋体" w:hAnsi="宋体"/>
                <w:color w:val="auto"/>
                <w:kern w:val="0"/>
                <w:szCs w:val="21"/>
                <w:lang w:val="en-US" w:eastAsia="zh-CN"/>
              </w:rPr>
            </w:pPr>
            <w:r>
              <w:rPr>
                <w:rFonts w:hint="eastAsia" w:ascii="宋体" w:hAnsi="宋体"/>
                <w:color w:val="auto"/>
                <w:kern w:val="0"/>
                <w:szCs w:val="21"/>
                <w:lang w:val="en-US" w:eastAsia="zh-CN"/>
              </w:rPr>
              <w:t>项目负责人：</w:t>
            </w:r>
          </w:p>
          <w:p w14:paraId="361C9E60">
            <w:pPr>
              <w:adjustRightInd w:val="0"/>
              <w:snapToGrid w:val="0"/>
              <w:spacing w:before="156" w:beforeLines="50" w:line="360" w:lineRule="auto"/>
              <w:jc w:val="left"/>
              <w:rPr>
                <w:rFonts w:hint="default"/>
                <w:color w:val="auto"/>
                <w:lang w:val="en-US" w:eastAsia="zh-CN"/>
              </w:rPr>
            </w:pPr>
            <w:r>
              <w:rPr>
                <w:rFonts w:hint="eastAsia" w:ascii="宋体" w:hAnsi="宋体"/>
                <w:color w:val="auto"/>
                <w:kern w:val="0"/>
                <w:szCs w:val="21"/>
                <w:lang w:val="en-US" w:eastAsia="zh-CN"/>
              </w:rPr>
              <w:t>联系电话：</w:t>
            </w:r>
          </w:p>
        </w:tc>
      </w:tr>
    </w:tbl>
    <w:p w14:paraId="340066A4">
      <w:pPr>
        <w:adjustRightInd w:val="0"/>
        <w:snapToGrid w:val="0"/>
        <w:spacing w:before="120" w:beforeLines="50" w:line="360" w:lineRule="auto"/>
        <w:rPr>
          <w:rFonts w:ascii="宋体" w:hAnsi="宋体" w:eastAsia="宋体" w:cs="宋体"/>
          <w:color w:val="auto"/>
          <w:szCs w:val="21"/>
        </w:rPr>
      </w:pPr>
      <w:r>
        <w:rPr>
          <w:rFonts w:hint="eastAsia" w:ascii="宋体" w:hAnsi="宋体" w:eastAsia="宋体" w:cs="宋体"/>
          <w:b/>
          <w:color w:val="auto"/>
          <w:szCs w:val="21"/>
        </w:rPr>
        <w:t>备注：</w:t>
      </w:r>
      <w:r>
        <w:rPr>
          <w:rFonts w:hint="eastAsia" w:ascii="宋体" w:hAnsi="宋体" w:eastAsia="宋体" w:cs="宋体"/>
          <w:color w:val="auto"/>
          <w:szCs w:val="21"/>
        </w:rPr>
        <w:t>（1）本表须按包填写，一个“包号”一份。</w:t>
      </w:r>
    </w:p>
    <w:p w14:paraId="7173E183">
      <w:pPr>
        <w:adjustRightInd w:val="0"/>
        <w:snapToGrid w:val="0"/>
        <w:spacing w:line="360" w:lineRule="auto"/>
        <w:rPr>
          <w:rFonts w:hint="eastAsia" w:ascii="宋体" w:hAnsi="宋体"/>
          <w:color w:val="auto"/>
          <w:szCs w:val="21"/>
        </w:rPr>
      </w:pPr>
    </w:p>
    <w:p w14:paraId="1046EFC7">
      <w:pPr>
        <w:adjustRightInd w:val="0"/>
        <w:snapToGrid w:val="0"/>
        <w:spacing w:line="360" w:lineRule="auto"/>
        <w:ind w:left="-88" w:leftChars="-42"/>
        <w:rPr>
          <w:rFonts w:ascii="宋体" w:hAnsi="宋体"/>
          <w:color w:val="auto"/>
          <w:szCs w:val="21"/>
        </w:rPr>
      </w:pPr>
    </w:p>
    <w:p w14:paraId="38EEF260">
      <w:pPr>
        <w:adjustRightInd w:val="0"/>
        <w:snapToGrid w:val="0"/>
        <w:spacing w:line="360" w:lineRule="auto"/>
        <w:rPr>
          <w:rFonts w:ascii="宋体" w:hAnsi="宋体"/>
          <w:color w:val="auto"/>
          <w:szCs w:val="21"/>
        </w:rPr>
      </w:pPr>
      <w:r>
        <w:rPr>
          <w:rFonts w:hint="eastAsia" w:ascii="宋体" w:hAnsi="宋体"/>
          <w:color w:val="auto"/>
          <w:szCs w:val="21"/>
        </w:rPr>
        <w:t>供应商（盖单位章）：</w:t>
      </w:r>
    </w:p>
    <w:p w14:paraId="3ED51A8F">
      <w:pPr>
        <w:adjustRightInd w:val="0"/>
        <w:snapToGrid w:val="0"/>
        <w:spacing w:line="360" w:lineRule="auto"/>
        <w:rPr>
          <w:rFonts w:hint="eastAsia" w:ascii="宋体" w:hAnsi="宋体"/>
          <w:color w:val="auto"/>
          <w:szCs w:val="21"/>
        </w:rPr>
      </w:pPr>
      <w:r>
        <w:rPr>
          <w:rFonts w:hint="eastAsia" w:ascii="宋体" w:hAnsi="宋体"/>
          <w:color w:val="auto"/>
          <w:szCs w:val="21"/>
        </w:rPr>
        <w:t>法定代表人或其委托代理人签字：</w:t>
      </w:r>
    </w:p>
    <w:p w14:paraId="52FCC9A4">
      <w:pPr>
        <w:adjustRightInd w:val="0"/>
        <w:snapToGrid w:val="0"/>
        <w:spacing w:line="360" w:lineRule="auto"/>
        <w:rPr>
          <w:rFonts w:hint="eastAsia" w:ascii="宋体" w:hAnsi="宋体"/>
          <w:color w:val="auto"/>
          <w:szCs w:val="21"/>
        </w:rPr>
      </w:pPr>
      <w:r>
        <w:rPr>
          <w:rFonts w:hint="eastAsia" w:ascii="宋体" w:hAnsi="宋体"/>
          <w:color w:val="auto"/>
          <w:szCs w:val="21"/>
        </w:rPr>
        <w:t>日</w:t>
      </w:r>
      <w:r>
        <w:rPr>
          <w:rFonts w:hint="eastAsia" w:ascii="宋体" w:hAnsi="宋体"/>
          <w:color w:val="auto"/>
          <w:szCs w:val="21"/>
          <w:lang w:val="en-US" w:eastAsia="zh-CN"/>
        </w:rPr>
        <w:t xml:space="preserve">   </w:t>
      </w:r>
      <w:r>
        <w:rPr>
          <w:rFonts w:hint="eastAsia" w:ascii="宋体" w:hAnsi="宋体"/>
          <w:color w:val="auto"/>
          <w:szCs w:val="21"/>
        </w:rPr>
        <w:t>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057FC164">
      <w:pPr>
        <w:pStyle w:val="3"/>
        <w:rPr>
          <w:rFonts w:hint="eastAsia" w:ascii="宋体" w:hAnsi="宋体"/>
          <w:color w:val="auto"/>
          <w:szCs w:val="21"/>
        </w:rPr>
      </w:pPr>
    </w:p>
    <w:p w14:paraId="3C5707A3">
      <w:pPr>
        <w:rPr>
          <w:rFonts w:hint="eastAsia" w:ascii="宋体" w:hAnsi="宋体"/>
          <w:color w:val="auto"/>
          <w:szCs w:val="21"/>
        </w:rPr>
      </w:pPr>
    </w:p>
    <w:p w14:paraId="760751E6">
      <w:pPr>
        <w:pStyle w:val="3"/>
        <w:rPr>
          <w:rFonts w:hint="eastAsia" w:ascii="宋体" w:hAnsi="宋体"/>
          <w:color w:val="auto"/>
          <w:szCs w:val="21"/>
        </w:rPr>
      </w:pPr>
    </w:p>
    <w:p w14:paraId="38C84162">
      <w:pPr>
        <w:adjustRightInd w:val="0"/>
        <w:snapToGrid w:val="0"/>
        <w:spacing w:line="360" w:lineRule="auto"/>
        <w:ind w:firstLine="420" w:firstLineChars="200"/>
        <w:rPr>
          <w:rFonts w:ascii="宋体" w:hAnsi="宋体"/>
          <w:color w:val="auto"/>
          <w:szCs w:val="21"/>
          <w:highlight w:val="none"/>
        </w:rPr>
      </w:pPr>
    </w:p>
    <w:p w14:paraId="599F336A">
      <w:pPr>
        <w:adjustRightInd w:val="0"/>
        <w:snapToGrid w:val="0"/>
        <w:spacing w:line="360" w:lineRule="auto"/>
        <w:ind w:right="23" w:rightChars="11"/>
        <w:rPr>
          <w:b/>
          <w:bCs/>
          <w:color w:val="auto"/>
          <w:szCs w:val="21"/>
          <w:highlight w:val="none"/>
        </w:rPr>
      </w:pPr>
    </w:p>
    <w:p w14:paraId="3CD01CFB">
      <w:pPr>
        <w:adjustRightInd w:val="0"/>
        <w:snapToGrid w:val="0"/>
        <w:spacing w:line="360" w:lineRule="auto"/>
        <w:ind w:right="23" w:rightChars="11" w:firstLine="422" w:firstLineChars="200"/>
        <w:rPr>
          <w:b/>
          <w:bCs/>
          <w:color w:val="auto"/>
          <w:szCs w:val="21"/>
          <w:highlight w:val="none"/>
        </w:rPr>
      </w:pPr>
      <w:r>
        <w:rPr>
          <w:rFonts w:hint="eastAsia"/>
          <w:b/>
          <w:bCs/>
          <w:color w:val="auto"/>
          <w:szCs w:val="21"/>
          <w:highlight w:val="none"/>
        </w:rPr>
        <w:t>（注：请提前自行准备，不密封在响应文件中，在开标后的报价环节另行提交）</w:t>
      </w:r>
    </w:p>
    <w:p w14:paraId="6604A09C">
      <w:pPr>
        <w:adjustRightInd w:val="0"/>
        <w:snapToGrid w:val="0"/>
        <w:spacing w:line="360" w:lineRule="auto"/>
        <w:rPr>
          <w:rFonts w:ascii="宋体" w:hAnsi="宋体"/>
          <w:color w:val="auto"/>
          <w:szCs w:val="21"/>
          <w:highlight w:val="none"/>
        </w:rPr>
      </w:pPr>
    </w:p>
    <w:p w14:paraId="34798094">
      <w:pPr>
        <w:rPr>
          <w:color w:val="auto"/>
          <w:highlight w:val="none"/>
        </w:rPr>
      </w:pPr>
    </w:p>
    <w:p w14:paraId="7D552FF9">
      <w:pPr>
        <w:rPr>
          <w:color w:val="auto"/>
          <w:highlight w:val="none"/>
        </w:rPr>
      </w:pPr>
    </w:p>
    <w:p w14:paraId="0FE07641">
      <w:pPr>
        <w:pStyle w:val="14"/>
        <w:rPr>
          <w:rFonts w:hAnsi="宋体"/>
          <w:b/>
          <w:bCs/>
          <w:color w:val="auto"/>
          <w:highlight w:val="none"/>
        </w:rPr>
      </w:pPr>
    </w:p>
    <w:p w14:paraId="7C87BE13">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Helvetica">
    <w:altName w:val="Arial"/>
    <w:panose1 w:val="020B0504020202030204"/>
    <w:charset w:val="00"/>
    <w:family w:val="auto"/>
    <w:pitch w:val="default"/>
    <w:sig w:usb0="00000000" w:usb1="00000000" w:usb2="00000000" w:usb3="00000000" w:csb0="00000093"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4A1FD">
    <w:pPr>
      <w:pStyle w:val="1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831F4A">
                          <w:pPr>
                            <w:pStyle w:val="18"/>
                            <w:rPr>
                              <w:rStyle w:val="30"/>
                            </w:rPr>
                          </w:pPr>
                          <w:r>
                            <w:fldChar w:fldCharType="begin"/>
                          </w:r>
                          <w:r>
                            <w:rPr>
                              <w:rStyle w:val="30"/>
                            </w:rPr>
                            <w:instrText xml:space="preserve">PAGE  </w:instrText>
                          </w:r>
                          <w:r>
                            <w:fldChar w:fldCharType="separate"/>
                          </w:r>
                          <w:r>
                            <w:rPr>
                              <w:rStyle w:val="30"/>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14:paraId="1E831F4A">
                    <w:pPr>
                      <w:pStyle w:val="18"/>
                      <w:rPr>
                        <w:rStyle w:val="30"/>
                      </w:rPr>
                    </w:pPr>
                    <w:r>
                      <w:fldChar w:fldCharType="begin"/>
                    </w:r>
                    <w:r>
                      <w:rPr>
                        <w:rStyle w:val="30"/>
                      </w:rPr>
                      <w:instrText xml:space="preserve">PAGE  </w:instrText>
                    </w:r>
                    <w:r>
                      <w:fldChar w:fldCharType="separate"/>
                    </w:r>
                    <w:r>
                      <w:rPr>
                        <w:rStyle w:val="30"/>
                      </w:rP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2EF28">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167B94">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34</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2A167B94">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34</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1581405A">
    <w:pPr>
      <w:widowControl w:val="0"/>
      <w:snapToGrid w:val="0"/>
      <w:jc w:val="left"/>
      <w:rPr>
        <w:rFonts w:ascii="Times New Roman" w:hAnsi="Times New Roman"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AB665">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F2CFD">
    <w:pPr>
      <w:widowControl w:val="0"/>
      <w:pBdr>
        <w:top w:val="none" w:color="auto" w:sz="0" w:space="0"/>
        <w:left w:val="none" w:color="auto" w:sz="0" w:space="0"/>
        <w:bottom w:val="none" w:color="auto" w:sz="0" w:space="1"/>
        <w:right w:val="none" w:color="auto" w:sz="0" w:space="0"/>
        <w:between w:val="none" w:color="auto" w:sz="0" w:space="0"/>
      </w:pBdr>
      <w:snapToGrid w:val="0"/>
      <w:jc w:val="right"/>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41B35C"/>
    <w:multiLevelType w:val="singleLevel"/>
    <w:tmpl w:val="F441B35C"/>
    <w:lvl w:ilvl="0" w:tentative="0">
      <w:start w:val="2"/>
      <w:numFmt w:val="chineseCounting"/>
      <w:suff w:val="nothing"/>
      <w:lvlText w:val="%1、"/>
      <w:lvlJc w:val="left"/>
      <w:rPr>
        <w:rFonts w:hint="eastAsia"/>
      </w:rPr>
    </w:lvl>
  </w:abstractNum>
  <w:abstractNum w:abstractNumId="1">
    <w:nsid w:val="00000002"/>
    <w:multiLevelType w:val="singleLevel"/>
    <w:tmpl w:val="00000002"/>
    <w:lvl w:ilvl="0" w:tentative="0">
      <w:start w:val="1"/>
      <w:numFmt w:val="decimal"/>
      <w:lvlText w:val="%1)"/>
      <w:lvlJc w:val="left"/>
      <w:pPr>
        <w:ind w:left="425" w:hanging="425"/>
      </w:pPr>
      <w:rPr>
        <w:rFonts w:hint="default"/>
      </w:rPr>
    </w:lvl>
  </w:abstractNum>
  <w:abstractNum w:abstractNumId="2">
    <w:nsid w:val="00000006"/>
    <w:multiLevelType w:val="multilevel"/>
    <w:tmpl w:val="00000006"/>
    <w:lvl w:ilvl="0" w:tentative="0">
      <w:start w:val="1"/>
      <w:numFmt w:val="decimal"/>
      <w:pStyle w:val="9"/>
      <w:suff w:val="space"/>
      <w:lvlText w:val="图%1."/>
      <w:lvlJc w:val="left"/>
      <w:pPr>
        <w:ind w:left="2688" w:hanging="420"/>
      </w:pPr>
      <w:rPr>
        <w:b w:val="0"/>
        <w:bCs w:val="0"/>
        <w:i w:val="0"/>
        <w:iCs w:val="0"/>
        <w:caps w:val="0"/>
        <w:smallCaps w:val="0"/>
        <w:vanish w:val="0"/>
        <w:color w:val="000000"/>
        <w:spacing w:val="0"/>
        <w:position w:val="0"/>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3">
    <w:nsid w:val="00000007"/>
    <w:multiLevelType w:val="singleLevel"/>
    <w:tmpl w:val="00000007"/>
    <w:lvl w:ilvl="0" w:tentative="0">
      <w:start w:val="1"/>
      <w:numFmt w:val="decimal"/>
      <w:lvlText w:val="(%1)"/>
      <w:lvlJc w:val="left"/>
      <w:pPr>
        <w:ind w:left="425" w:hanging="425"/>
      </w:pPr>
      <w:rPr>
        <w:rFonts w:hint="default"/>
      </w:rPr>
    </w:lvl>
  </w:abstractNum>
  <w:abstractNum w:abstractNumId="4">
    <w:nsid w:val="00000008"/>
    <w:multiLevelType w:val="multilevel"/>
    <w:tmpl w:val="00000008"/>
    <w:lvl w:ilvl="0" w:tentative="0">
      <w:start w:val="1"/>
      <w:numFmt w:val="decimal"/>
      <w:suff w:val="space"/>
      <w:lvlText w:val="%1"/>
      <w:lvlJc w:val="left"/>
      <w:pPr>
        <w:ind w:left="432" w:hanging="432"/>
      </w:pPr>
      <w:rPr>
        <w:rFonts w:hint="eastAsia"/>
      </w:rPr>
    </w:lvl>
    <w:lvl w:ilvl="1" w:tentative="0">
      <w:start w:val="1"/>
      <w:numFmt w:val="decimal"/>
      <w:suff w:val="space"/>
      <w:lvlText w:val="%1.%2"/>
      <w:lvlJc w:val="left"/>
      <w:pPr>
        <w:ind w:left="576" w:hanging="576"/>
      </w:pPr>
      <w:rPr>
        <w:rFonts w:hint="eastAsia"/>
      </w:rPr>
    </w:lvl>
    <w:lvl w:ilvl="2" w:tentative="0">
      <w:start w:val="1"/>
      <w:numFmt w:val="decimal"/>
      <w:suff w:val="space"/>
      <w:lvlText w:val="%1.%2.%3"/>
      <w:lvlJc w:val="left"/>
      <w:pPr>
        <w:ind w:left="720" w:hanging="720"/>
      </w:pPr>
      <w:rPr>
        <w:rFonts w:hint="eastAsia"/>
      </w:rPr>
    </w:lvl>
    <w:lvl w:ilvl="3" w:tentative="0">
      <w:start w:val="1"/>
      <w:numFmt w:val="decimal"/>
      <w:suff w:val="space"/>
      <w:lvlText w:val="%1.%2.%3.%4"/>
      <w:lvlJc w:val="left"/>
      <w:pPr>
        <w:ind w:left="864" w:hanging="864"/>
      </w:pPr>
      <w:rPr>
        <w:rFonts w:hint="eastAsia"/>
      </w:rPr>
    </w:lvl>
    <w:lvl w:ilvl="4" w:tentative="0">
      <w:start w:val="1"/>
      <w:numFmt w:val="decimal"/>
      <w:lvlText w:val="%1.%2.%3.%4.%5"/>
      <w:lvlJc w:val="left"/>
      <w:pPr>
        <w:ind w:left="5544"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5">
    <w:nsid w:val="00000009"/>
    <w:multiLevelType w:val="multilevel"/>
    <w:tmpl w:val="00000009"/>
    <w:lvl w:ilvl="0" w:tentative="0">
      <w:start w:val="1"/>
      <w:numFmt w:val="decimal"/>
      <w:lvlText w:val="(%1)"/>
      <w:lvlJc w:val="left"/>
      <w:pPr>
        <w:ind w:left="425" w:hanging="4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1DE1B116"/>
    <w:multiLevelType w:val="singleLevel"/>
    <w:tmpl w:val="1DE1B116"/>
    <w:lvl w:ilvl="0" w:tentative="0">
      <w:start w:val="1"/>
      <w:numFmt w:val="decimal"/>
      <w:suff w:val="nothing"/>
      <w:lvlText w:val="（%1）"/>
      <w:lvlJc w:val="left"/>
    </w:lvl>
  </w:abstractNum>
  <w:abstractNum w:abstractNumId="7">
    <w:nsid w:val="54A0888C"/>
    <w:multiLevelType w:val="singleLevel"/>
    <w:tmpl w:val="54A0888C"/>
    <w:lvl w:ilvl="0" w:tentative="0">
      <w:start w:val="3"/>
      <w:numFmt w:val="decimal"/>
      <w:suff w:val="nothing"/>
      <w:lvlText w:val="%1、"/>
      <w:lvlJc w:val="left"/>
    </w:lvl>
  </w:abstractNum>
  <w:abstractNum w:abstractNumId="8">
    <w:nsid w:val="573599AB"/>
    <w:multiLevelType w:val="multilevel"/>
    <w:tmpl w:val="573599AB"/>
    <w:lvl w:ilvl="0" w:tentative="0">
      <w:start w:val="1"/>
      <w:numFmt w:val="decimal"/>
      <w:lvlText w:val="%1."/>
      <w:lvlJc w:val="left"/>
      <w:pPr>
        <w:tabs>
          <w:tab w:val="left" w:pos="432"/>
        </w:tabs>
        <w:ind w:left="432" w:hanging="432"/>
      </w:pPr>
      <w:rPr>
        <w:rFonts w:hint="default" w:ascii="宋体" w:hAnsi="宋体" w:eastAsia="宋体" w:cs="楷体"/>
      </w:rPr>
    </w:lvl>
    <w:lvl w:ilvl="1" w:tentative="0">
      <w:start w:val="1"/>
      <w:numFmt w:val="decimal"/>
      <w:pStyle w:val="2"/>
      <w:isLgl/>
      <w:lvlText w:val="%1.%2."/>
      <w:lvlJc w:val="left"/>
      <w:pPr>
        <w:tabs>
          <w:tab w:val="left" w:pos="575"/>
        </w:tabs>
        <w:ind w:left="785" w:hanging="575"/>
      </w:pPr>
      <w:rPr>
        <w:rFonts w:hint="default" w:ascii="宋体" w:hAnsi="宋体" w:eastAsia="宋体" w:cs="楷体"/>
      </w:rPr>
    </w:lvl>
    <w:lvl w:ilvl="2" w:tentative="0">
      <w:start w:val="1"/>
      <w:numFmt w:val="decimal"/>
      <w:isLgl/>
      <w:lvlText w:val="%1.%2.%3."/>
      <w:lvlJc w:val="left"/>
      <w:pPr>
        <w:tabs>
          <w:tab w:val="left" w:pos="720"/>
        </w:tabs>
        <w:ind w:left="720" w:hanging="720"/>
      </w:pPr>
      <w:rPr>
        <w:rFonts w:hint="default" w:ascii="宋体" w:hAnsi="宋体" w:eastAsia="宋体" w:cs="楷体"/>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1"/>
        </w:tabs>
        <w:ind w:left="1151" w:hanging="1151"/>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3"/>
        </w:tabs>
        <w:ind w:left="1583" w:hanging="1583"/>
      </w:pPr>
      <w:rPr>
        <w:rFonts w:hint="default"/>
      </w:rPr>
    </w:lvl>
  </w:abstractNum>
  <w:abstractNum w:abstractNumId="9">
    <w:nsid w:val="59104F44"/>
    <w:multiLevelType w:val="singleLevel"/>
    <w:tmpl w:val="59104F44"/>
    <w:lvl w:ilvl="0" w:tentative="0">
      <w:start w:val="1"/>
      <w:numFmt w:val="decimal"/>
      <w:suff w:val="nothing"/>
      <w:lvlText w:val="%1、"/>
      <w:lvlJc w:val="left"/>
    </w:lvl>
  </w:abstractNum>
  <w:abstractNum w:abstractNumId="10">
    <w:nsid w:val="5F50A15A"/>
    <w:multiLevelType w:val="singleLevel"/>
    <w:tmpl w:val="5F50A15A"/>
    <w:lvl w:ilvl="0" w:tentative="0">
      <w:start w:val="1"/>
      <w:numFmt w:val="chineseCounting"/>
      <w:suff w:val="space"/>
      <w:lvlText w:val="第%1章"/>
      <w:lvlJc w:val="left"/>
    </w:lvl>
  </w:abstractNum>
  <w:abstractNum w:abstractNumId="11">
    <w:nsid w:val="78040342"/>
    <w:multiLevelType w:val="multilevel"/>
    <w:tmpl w:val="78040342"/>
    <w:lvl w:ilvl="0" w:tentative="0">
      <w:start w:val="2"/>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2"/>
  </w:num>
  <w:num w:numId="3">
    <w:abstractNumId w:val="10"/>
  </w:num>
  <w:num w:numId="4">
    <w:abstractNumId w:val="0"/>
  </w:num>
  <w:num w:numId="5">
    <w:abstractNumId w:val="7"/>
  </w:num>
  <w:num w:numId="6">
    <w:abstractNumId w:val="9"/>
  </w:num>
  <w:num w:numId="7">
    <w:abstractNumId w:val="6"/>
  </w:num>
  <w:num w:numId="8">
    <w:abstractNumId w:val="4"/>
  </w:num>
  <w:num w:numId="9">
    <w:abstractNumId w:val="5"/>
  </w:num>
  <w:num w:numId="10">
    <w:abstractNumId w:val="1"/>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hYTQ4YTJhMmNlMWMzYTU3NGEyZjg4Y2Q4ZjA4MzUifQ=="/>
  </w:docVars>
  <w:rsids>
    <w:rsidRoot w:val="003C277B"/>
    <w:rsid w:val="003C277B"/>
    <w:rsid w:val="005D7128"/>
    <w:rsid w:val="0069744B"/>
    <w:rsid w:val="006C2AEA"/>
    <w:rsid w:val="00771427"/>
    <w:rsid w:val="007D5FBE"/>
    <w:rsid w:val="009D42FB"/>
    <w:rsid w:val="00C44682"/>
    <w:rsid w:val="00C863F6"/>
    <w:rsid w:val="00CA7A97"/>
    <w:rsid w:val="00D962E0"/>
    <w:rsid w:val="00E405DD"/>
    <w:rsid w:val="00EA058C"/>
    <w:rsid w:val="00EA4CA9"/>
    <w:rsid w:val="013435B5"/>
    <w:rsid w:val="014C6F61"/>
    <w:rsid w:val="01B64870"/>
    <w:rsid w:val="01B86A01"/>
    <w:rsid w:val="01E16E78"/>
    <w:rsid w:val="01F270DB"/>
    <w:rsid w:val="022655F4"/>
    <w:rsid w:val="023F66B6"/>
    <w:rsid w:val="027112CC"/>
    <w:rsid w:val="02721111"/>
    <w:rsid w:val="02724657"/>
    <w:rsid w:val="02AD361F"/>
    <w:rsid w:val="03644BF4"/>
    <w:rsid w:val="03DA48E8"/>
    <w:rsid w:val="0407501F"/>
    <w:rsid w:val="0410030A"/>
    <w:rsid w:val="046A6CCD"/>
    <w:rsid w:val="04FE4606"/>
    <w:rsid w:val="053408C4"/>
    <w:rsid w:val="057743B8"/>
    <w:rsid w:val="05AD3936"/>
    <w:rsid w:val="05CB159A"/>
    <w:rsid w:val="05D4720E"/>
    <w:rsid w:val="06A27008"/>
    <w:rsid w:val="06EE2458"/>
    <w:rsid w:val="07101CBA"/>
    <w:rsid w:val="07511572"/>
    <w:rsid w:val="07837045"/>
    <w:rsid w:val="0790217D"/>
    <w:rsid w:val="07A62D33"/>
    <w:rsid w:val="08030185"/>
    <w:rsid w:val="0806255A"/>
    <w:rsid w:val="08386081"/>
    <w:rsid w:val="0858227F"/>
    <w:rsid w:val="08730E67"/>
    <w:rsid w:val="088017D6"/>
    <w:rsid w:val="08830C2D"/>
    <w:rsid w:val="088A6040"/>
    <w:rsid w:val="08B700FF"/>
    <w:rsid w:val="09157676"/>
    <w:rsid w:val="09AF67FF"/>
    <w:rsid w:val="09E07D73"/>
    <w:rsid w:val="09FB55B8"/>
    <w:rsid w:val="0A0830A2"/>
    <w:rsid w:val="0A9C5576"/>
    <w:rsid w:val="0A9E7CF1"/>
    <w:rsid w:val="0ABB24A4"/>
    <w:rsid w:val="0B1C3A38"/>
    <w:rsid w:val="0B8E420A"/>
    <w:rsid w:val="0BDE0CED"/>
    <w:rsid w:val="0BDF1E35"/>
    <w:rsid w:val="0BF127E9"/>
    <w:rsid w:val="0C237050"/>
    <w:rsid w:val="0C3E25B2"/>
    <w:rsid w:val="0C937D2A"/>
    <w:rsid w:val="0CA912FB"/>
    <w:rsid w:val="0CEC40AD"/>
    <w:rsid w:val="0D0E4978"/>
    <w:rsid w:val="0D0E73B0"/>
    <w:rsid w:val="0D4252AC"/>
    <w:rsid w:val="0D817B82"/>
    <w:rsid w:val="0D957AD2"/>
    <w:rsid w:val="0DB52EF3"/>
    <w:rsid w:val="0DF75186"/>
    <w:rsid w:val="0E5A4301"/>
    <w:rsid w:val="0E7B78BC"/>
    <w:rsid w:val="0F1467D4"/>
    <w:rsid w:val="0F3620C2"/>
    <w:rsid w:val="0F564B72"/>
    <w:rsid w:val="0F621C35"/>
    <w:rsid w:val="0F855859"/>
    <w:rsid w:val="0F993B08"/>
    <w:rsid w:val="0FB00BF3"/>
    <w:rsid w:val="0FC57BB5"/>
    <w:rsid w:val="100A42DC"/>
    <w:rsid w:val="10611EED"/>
    <w:rsid w:val="10847253"/>
    <w:rsid w:val="109127D2"/>
    <w:rsid w:val="10B4026F"/>
    <w:rsid w:val="10D34B99"/>
    <w:rsid w:val="10DC22D6"/>
    <w:rsid w:val="10EF274D"/>
    <w:rsid w:val="10F40957"/>
    <w:rsid w:val="11515ABE"/>
    <w:rsid w:val="115832DB"/>
    <w:rsid w:val="1182211B"/>
    <w:rsid w:val="11AE1162"/>
    <w:rsid w:val="122B1E3B"/>
    <w:rsid w:val="123C49C0"/>
    <w:rsid w:val="128D0D77"/>
    <w:rsid w:val="12C549B5"/>
    <w:rsid w:val="12F57EB2"/>
    <w:rsid w:val="1357190E"/>
    <w:rsid w:val="139D04F7"/>
    <w:rsid w:val="13CF2F29"/>
    <w:rsid w:val="13E83022"/>
    <w:rsid w:val="13F05A62"/>
    <w:rsid w:val="140137B7"/>
    <w:rsid w:val="144111EB"/>
    <w:rsid w:val="144333A4"/>
    <w:rsid w:val="148D4744"/>
    <w:rsid w:val="14AA2985"/>
    <w:rsid w:val="14E05AD6"/>
    <w:rsid w:val="150A66AF"/>
    <w:rsid w:val="1510452A"/>
    <w:rsid w:val="152E4A94"/>
    <w:rsid w:val="155C2C83"/>
    <w:rsid w:val="15741F45"/>
    <w:rsid w:val="15A47316"/>
    <w:rsid w:val="15F545A3"/>
    <w:rsid w:val="16CF7BB0"/>
    <w:rsid w:val="16D03928"/>
    <w:rsid w:val="16F0614F"/>
    <w:rsid w:val="172B4F1E"/>
    <w:rsid w:val="17CD4486"/>
    <w:rsid w:val="17E07B9B"/>
    <w:rsid w:val="17FA19F7"/>
    <w:rsid w:val="1815028A"/>
    <w:rsid w:val="18186614"/>
    <w:rsid w:val="18504D21"/>
    <w:rsid w:val="1888270D"/>
    <w:rsid w:val="18C5449F"/>
    <w:rsid w:val="18C94AD3"/>
    <w:rsid w:val="18E50D23"/>
    <w:rsid w:val="19031D93"/>
    <w:rsid w:val="191B532F"/>
    <w:rsid w:val="192B12EA"/>
    <w:rsid w:val="19584608"/>
    <w:rsid w:val="195A6DE8"/>
    <w:rsid w:val="19644C42"/>
    <w:rsid w:val="196A1E12"/>
    <w:rsid w:val="199B1B52"/>
    <w:rsid w:val="1A1D6E85"/>
    <w:rsid w:val="1A644AB4"/>
    <w:rsid w:val="1A6E76E0"/>
    <w:rsid w:val="1A92257F"/>
    <w:rsid w:val="1ABB06B8"/>
    <w:rsid w:val="1AF57E02"/>
    <w:rsid w:val="1B4B16E9"/>
    <w:rsid w:val="1B6603B7"/>
    <w:rsid w:val="1B8B42C2"/>
    <w:rsid w:val="1BAD4238"/>
    <w:rsid w:val="1BF373EB"/>
    <w:rsid w:val="1C180D3D"/>
    <w:rsid w:val="1C27223D"/>
    <w:rsid w:val="1C297D63"/>
    <w:rsid w:val="1C6E7E6B"/>
    <w:rsid w:val="1CA540B4"/>
    <w:rsid w:val="1D7414B2"/>
    <w:rsid w:val="1DAF1E85"/>
    <w:rsid w:val="1E4075E6"/>
    <w:rsid w:val="1E4F5A7B"/>
    <w:rsid w:val="1E5D3CF4"/>
    <w:rsid w:val="1E853C68"/>
    <w:rsid w:val="1E88366B"/>
    <w:rsid w:val="1ED516AC"/>
    <w:rsid w:val="1F282554"/>
    <w:rsid w:val="1F937A07"/>
    <w:rsid w:val="1F9855E3"/>
    <w:rsid w:val="1FB76146"/>
    <w:rsid w:val="202A7DFC"/>
    <w:rsid w:val="20337B43"/>
    <w:rsid w:val="204A474C"/>
    <w:rsid w:val="20713A86"/>
    <w:rsid w:val="208F1E39"/>
    <w:rsid w:val="20B92C48"/>
    <w:rsid w:val="20E224EA"/>
    <w:rsid w:val="20EC135F"/>
    <w:rsid w:val="2107263D"/>
    <w:rsid w:val="223C35C4"/>
    <w:rsid w:val="2265761B"/>
    <w:rsid w:val="22D60519"/>
    <w:rsid w:val="23062560"/>
    <w:rsid w:val="23AE6C78"/>
    <w:rsid w:val="23C10881"/>
    <w:rsid w:val="23FA1FE5"/>
    <w:rsid w:val="24566150"/>
    <w:rsid w:val="24BE3923"/>
    <w:rsid w:val="24CA5E5B"/>
    <w:rsid w:val="250255F5"/>
    <w:rsid w:val="251175E6"/>
    <w:rsid w:val="25396B3D"/>
    <w:rsid w:val="257C53A7"/>
    <w:rsid w:val="25867216"/>
    <w:rsid w:val="25A34E66"/>
    <w:rsid w:val="25FA33C1"/>
    <w:rsid w:val="26064C71"/>
    <w:rsid w:val="267B565F"/>
    <w:rsid w:val="26C80178"/>
    <w:rsid w:val="26D22B34"/>
    <w:rsid w:val="270A69E3"/>
    <w:rsid w:val="275859A0"/>
    <w:rsid w:val="27750300"/>
    <w:rsid w:val="27C70F4E"/>
    <w:rsid w:val="27E601D4"/>
    <w:rsid w:val="27F43CD9"/>
    <w:rsid w:val="280478D6"/>
    <w:rsid w:val="283A35C8"/>
    <w:rsid w:val="286C5AD0"/>
    <w:rsid w:val="28A80261"/>
    <w:rsid w:val="28D56B7C"/>
    <w:rsid w:val="292A6EC8"/>
    <w:rsid w:val="29804D3A"/>
    <w:rsid w:val="29A2784B"/>
    <w:rsid w:val="2A1123B6"/>
    <w:rsid w:val="2A5F663F"/>
    <w:rsid w:val="2AAE2D33"/>
    <w:rsid w:val="2AAE358F"/>
    <w:rsid w:val="2AD518DA"/>
    <w:rsid w:val="2B464ADA"/>
    <w:rsid w:val="2BA32F62"/>
    <w:rsid w:val="2BAB6142"/>
    <w:rsid w:val="2BB861EE"/>
    <w:rsid w:val="2BC5737C"/>
    <w:rsid w:val="2C2E2107"/>
    <w:rsid w:val="2CBE100D"/>
    <w:rsid w:val="2CCD4CC0"/>
    <w:rsid w:val="2D5A5FF8"/>
    <w:rsid w:val="2DA60AE7"/>
    <w:rsid w:val="2DB979F9"/>
    <w:rsid w:val="2DD1371A"/>
    <w:rsid w:val="2DF301D1"/>
    <w:rsid w:val="2E33681F"/>
    <w:rsid w:val="2EA73447"/>
    <w:rsid w:val="2F2B6B37"/>
    <w:rsid w:val="2F2F5ED2"/>
    <w:rsid w:val="2F437F16"/>
    <w:rsid w:val="2F4F58DB"/>
    <w:rsid w:val="2F544C9F"/>
    <w:rsid w:val="2FA8323D"/>
    <w:rsid w:val="2FCC2A87"/>
    <w:rsid w:val="2FFB15BE"/>
    <w:rsid w:val="30050926"/>
    <w:rsid w:val="300D5966"/>
    <w:rsid w:val="303C51B0"/>
    <w:rsid w:val="304430C8"/>
    <w:rsid w:val="31490108"/>
    <w:rsid w:val="319C1D79"/>
    <w:rsid w:val="323D7C6C"/>
    <w:rsid w:val="32C722DC"/>
    <w:rsid w:val="32CD7A68"/>
    <w:rsid w:val="331715AD"/>
    <w:rsid w:val="335E433E"/>
    <w:rsid w:val="342B1BA3"/>
    <w:rsid w:val="346534AA"/>
    <w:rsid w:val="348576A9"/>
    <w:rsid w:val="34AC732B"/>
    <w:rsid w:val="34CC2653"/>
    <w:rsid w:val="34E379C6"/>
    <w:rsid w:val="34E4730C"/>
    <w:rsid w:val="351F3657"/>
    <w:rsid w:val="353D61D5"/>
    <w:rsid w:val="3543266F"/>
    <w:rsid w:val="359A3628"/>
    <w:rsid w:val="35C35549"/>
    <w:rsid w:val="35EF2F6D"/>
    <w:rsid w:val="35F20D6E"/>
    <w:rsid w:val="367F4CF7"/>
    <w:rsid w:val="36826596"/>
    <w:rsid w:val="36A06A1C"/>
    <w:rsid w:val="36AA789A"/>
    <w:rsid w:val="36C56482"/>
    <w:rsid w:val="36D466C5"/>
    <w:rsid w:val="36EC6E3D"/>
    <w:rsid w:val="373D728E"/>
    <w:rsid w:val="37917243"/>
    <w:rsid w:val="37BC3912"/>
    <w:rsid w:val="37C0493E"/>
    <w:rsid w:val="37DD7DB5"/>
    <w:rsid w:val="37FF5D6B"/>
    <w:rsid w:val="380D2B03"/>
    <w:rsid w:val="38516F32"/>
    <w:rsid w:val="38586579"/>
    <w:rsid w:val="38882E98"/>
    <w:rsid w:val="397D3BA3"/>
    <w:rsid w:val="39E82BB3"/>
    <w:rsid w:val="3A1173FC"/>
    <w:rsid w:val="3A5F274A"/>
    <w:rsid w:val="3AB64A60"/>
    <w:rsid w:val="3B5847E9"/>
    <w:rsid w:val="3B697D24"/>
    <w:rsid w:val="3B7A10AA"/>
    <w:rsid w:val="3C1F4887"/>
    <w:rsid w:val="3C667DC0"/>
    <w:rsid w:val="3CD218F9"/>
    <w:rsid w:val="3D22723E"/>
    <w:rsid w:val="3D3E0182"/>
    <w:rsid w:val="3D430EA3"/>
    <w:rsid w:val="3D733273"/>
    <w:rsid w:val="3DAA06EA"/>
    <w:rsid w:val="3DB86D41"/>
    <w:rsid w:val="3DE418E4"/>
    <w:rsid w:val="3E6D0DFD"/>
    <w:rsid w:val="3E9B4698"/>
    <w:rsid w:val="3EE80698"/>
    <w:rsid w:val="3EF7239A"/>
    <w:rsid w:val="3F383CD6"/>
    <w:rsid w:val="3F667D6A"/>
    <w:rsid w:val="3FAC01DF"/>
    <w:rsid w:val="3FD260B4"/>
    <w:rsid w:val="3FD85478"/>
    <w:rsid w:val="3FDC016E"/>
    <w:rsid w:val="3FF4638E"/>
    <w:rsid w:val="403717F6"/>
    <w:rsid w:val="40672358"/>
    <w:rsid w:val="40B37132"/>
    <w:rsid w:val="40ED4F53"/>
    <w:rsid w:val="40FD3ABC"/>
    <w:rsid w:val="41173642"/>
    <w:rsid w:val="416570EA"/>
    <w:rsid w:val="416B25A1"/>
    <w:rsid w:val="41A448BE"/>
    <w:rsid w:val="41E062F3"/>
    <w:rsid w:val="420C67D1"/>
    <w:rsid w:val="42162288"/>
    <w:rsid w:val="423D7729"/>
    <w:rsid w:val="425272A4"/>
    <w:rsid w:val="425713A4"/>
    <w:rsid w:val="427A2817"/>
    <w:rsid w:val="42AB6E74"/>
    <w:rsid w:val="430B7874"/>
    <w:rsid w:val="435B7D37"/>
    <w:rsid w:val="43823379"/>
    <w:rsid w:val="4389749F"/>
    <w:rsid w:val="44705C7F"/>
    <w:rsid w:val="44C07B25"/>
    <w:rsid w:val="44CF0CF9"/>
    <w:rsid w:val="456B795F"/>
    <w:rsid w:val="45965BB9"/>
    <w:rsid w:val="45A8769B"/>
    <w:rsid w:val="45D253F1"/>
    <w:rsid w:val="45DD115A"/>
    <w:rsid w:val="45E13FC3"/>
    <w:rsid w:val="463D4287"/>
    <w:rsid w:val="464E21C9"/>
    <w:rsid w:val="465A6BE7"/>
    <w:rsid w:val="465B295F"/>
    <w:rsid w:val="46601CB9"/>
    <w:rsid w:val="466B2BA2"/>
    <w:rsid w:val="46820D71"/>
    <w:rsid w:val="468679DC"/>
    <w:rsid w:val="47D76015"/>
    <w:rsid w:val="47DB48C2"/>
    <w:rsid w:val="48296208"/>
    <w:rsid w:val="484E2F2D"/>
    <w:rsid w:val="485756B9"/>
    <w:rsid w:val="48CC18F2"/>
    <w:rsid w:val="48F67DD6"/>
    <w:rsid w:val="48FA4861"/>
    <w:rsid w:val="495E079C"/>
    <w:rsid w:val="497004D0"/>
    <w:rsid w:val="498E0B7E"/>
    <w:rsid w:val="49C8030C"/>
    <w:rsid w:val="49EB1918"/>
    <w:rsid w:val="49F370C0"/>
    <w:rsid w:val="4A0B1FA6"/>
    <w:rsid w:val="4A712751"/>
    <w:rsid w:val="4AE12393"/>
    <w:rsid w:val="4B2C6C2A"/>
    <w:rsid w:val="4B457DE8"/>
    <w:rsid w:val="4B726781"/>
    <w:rsid w:val="4BB46D99"/>
    <w:rsid w:val="4BD021AA"/>
    <w:rsid w:val="4C112218"/>
    <w:rsid w:val="4C6C27D1"/>
    <w:rsid w:val="4C9A24D1"/>
    <w:rsid w:val="4CC21779"/>
    <w:rsid w:val="4D3B4EC4"/>
    <w:rsid w:val="4D6A36BC"/>
    <w:rsid w:val="4D9F75D5"/>
    <w:rsid w:val="4DDE5343"/>
    <w:rsid w:val="4ED75D04"/>
    <w:rsid w:val="4ED908C5"/>
    <w:rsid w:val="4F02606E"/>
    <w:rsid w:val="4F5346D7"/>
    <w:rsid w:val="4F844CD5"/>
    <w:rsid w:val="4FC90C6B"/>
    <w:rsid w:val="4FE912AB"/>
    <w:rsid w:val="4FFE57BD"/>
    <w:rsid w:val="50461F8A"/>
    <w:rsid w:val="50783E23"/>
    <w:rsid w:val="50B465EF"/>
    <w:rsid w:val="50CC2DEB"/>
    <w:rsid w:val="518A5EA7"/>
    <w:rsid w:val="51EE0CB5"/>
    <w:rsid w:val="51FF0A8E"/>
    <w:rsid w:val="52921245"/>
    <w:rsid w:val="52B84103"/>
    <w:rsid w:val="52C47240"/>
    <w:rsid w:val="52EF6D4B"/>
    <w:rsid w:val="52F56337"/>
    <w:rsid w:val="53807561"/>
    <w:rsid w:val="539D0113"/>
    <w:rsid w:val="53D14261"/>
    <w:rsid w:val="54104D89"/>
    <w:rsid w:val="5435693C"/>
    <w:rsid w:val="54631B76"/>
    <w:rsid w:val="54B30A3A"/>
    <w:rsid w:val="54C8644C"/>
    <w:rsid w:val="54F30BBF"/>
    <w:rsid w:val="54F46459"/>
    <w:rsid w:val="54F664EA"/>
    <w:rsid w:val="5516017D"/>
    <w:rsid w:val="55501C44"/>
    <w:rsid w:val="555236DE"/>
    <w:rsid w:val="556D6321"/>
    <w:rsid w:val="557914C7"/>
    <w:rsid w:val="55DF0EB7"/>
    <w:rsid w:val="56576CD1"/>
    <w:rsid w:val="56665134"/>
    <w:rsid w:val="566931BF"/>
    <w:rsid w:val="569107B7"/>
    <w:rsid w:val="56F7363C"/>
    <w:rsid w:val="571E1EA7"/>
    <w:rsid w:val="57212FAC"/>
    <w:rsid w:val="573C5E95"/>
    <w:rsid w:val="57407DAD"/>
    <w:rsid w:val="574A6804"/>
    <w:rsid w:val="574B5900"/>
    <w:rsid w:val="57670581"/>
    <w:rsid w:val="578C7990"/>
    <w:rsid w:val="57913A84"/>
    <w:rsid w:val="57C540DC"/>
    <w:rsid w:val="57F347D8"/>
    <w:rsid w:val="586C27AA"/>
    <w:rsid w:val="591470C9"/>
    <w:rsid w:val="594A2AEB"/>
    <w:rsid w:val="59B83EF9"/>
    <w:rsid w:val="59CE54CA"/>
    <w:rsid w:val="59DA2B97"/>
    <w:rsid w:val="5A0675DF"/>
    <w:rsid w:val="5A307F33"/>
    <w:rsid w:val="5A366BCB"/>
    <w:rsid w:val="5A6B0F6B"/>
    <w:rsid w:val="5AE34FA5"/>
    <w:rsid w:val="5AED29FC"/>
    <w:rsid w:val="5AEE4416"/>
    <w:rsid w:val="5B165554"/>
    <w:rsid w:val="5B940305"/>
    <w:rsid w:val="5BC677A2"/>
    <w:rsid w:val="5BCF0901"/>
    <w:rsid w:val="5BEE5E2C"/>
    <w:rsid w:val="5C003935"/>
    <w:rsid w:val="5C083989"/>
    <w:rsid w:val="5C531FCF"/>
    <w:rsid w:val="5C910A31"/>
    <w:rsid w:val="5CB35156"/>
    <w:rsid w:val="5CC826A5"/>
    <w:rsid w:val="5D700646"/>
    <w:rsid w:val="5D9976C6"/>
    <w:rsid w:val="5DDE1A54"/>
    <w:rsid w:val="5E07602E"/>
    <w:rsid w:val="5E0F1C0D"/>
    <w:rsid w:val="5E4D2736"/>
    <w:rsid w:val="5E9075A5"/>
    <w:rsid w:val="5EDC4CD6"/>
    <w:rsid w:val="5F044C1D"/>
    <w:rsid w:val="5F0454EA"/>
    <w:rsid w:val="5F166FCB"/>
    <w:rsid w:val="5F357D99"/>
    <w:rsid w:val="5F3758C0"/>
    <w:rsid w:val="5F4973A1"/>
    <w:rsid w:val="5F700DD2"/>
    <w:rsid w:val="5FBC5DC5"/>
    <w:rsid w:val="600C5847"/>
    <w:rsid w:val="6022345C"/>
    <w:rsid w:val="60227CBE"/>
    <w:rsid w:val="602D46EA"/>
    <w:rsid w:val="609B2FAF"/>
    <w:rsid w:val="60B348E1"/>
    <w:rsid w:val="60D84E80"/>
    <w:rsid w:val="60F949BD"/>
    <w:rsid w:val="61475AA7"/>
    <w:rsid w:val="61C71CC7"/>
    <w:rsid w:val="62092E18"/>
    <w:rsid w:val="624B1F74"/>
    <w:rsid w:val="627D26A4"/>
    <w:rsid w:val="62B56907"/>
    <w:rsid w:val="62D60EB3"/>
    <w:rsid w:val="62F615EE"/>
    <w:rsid w:val="63673199"/>
    <w:rsid w:val="6372062F"/>
    <w:rsid w:val="638C12F2"/>
    <w:rsid w:val="63A728E8"/>
    <w:rsid w:val="641D01EF"/>
    <w:rsid w:val="64930AC3"/>
    <w:rsid w:val="64E50F82"/>
    <w:rsid w:val="64E738E4"/>
    <w:rsid w:val="64F658D5"/>
    <w:rsid w:val="65052D2D"/>
    <w:rsid w:val="652136E5"/>
    <w:rsid w:val="652E4938"/>
    <w:rsid w:val="65520DE7"/>
    <w:rsid w:val="655D3BA6"/>
    <w:rsid w:val="65E36C03"/>
    <w:rsid w:val="660202AA"/>
    <w:rsid w:val="660D23A2"/>
    <w:rsid w:val="66135091"/>
    <w:rsid w:val="667C1ECA"/>
    <w:rsid w:val="66A7157D"/>
    <w:rsid w:val="66AE3090"/>
    <w:rsid w:val="66AE3C2E"/>
    <w:rsid w:val="66D31962"/>
    <w:rsid w:val="66E264B4"/>
    <w:rsid w:val="6703088E"/>
    <w:rsid w:val="672C55DE"/>
    <w:rsid w:val="674B243A"/>
    <w:rsid w:val="675E5ACB"/>
    <w:rsid w:val="67750570"/>
    <w:rsid w:val="67806719"/>
    <w:rsid w:val="678C2521"/>
    <w:rsid w:val="67B870B8"/>
    <w:rsid w:val="67CB3049"/>
    <w:rsid w:val="67DD0A1A"/>
    <w:rsid w:val="680113F6"/>
    <w:rsid w:val="681F15E7"/>
    <w:rsid w:val="68224EF9"/>
    <w:rsid w:val="683F3A37"/>
    <w:rsid w:val="685E3EBD"/>
    <w:rsid w:val="686343FD"/>
    <w:rsid w:val="686A0AB4"/>
    <w:rsid w:val="686E6466"/>
    <w:rsid w:val="689B6598"/>
    <w:rsid w:val="69060B3D"/>
    <w:rsid w:val="6951757E"/>
    <w:rsid w:val="69693901"/>
    <w:rsid w:val="69AF72C6"/>
    <w:rsid w:val="69EE301F"/>
    <w:rsid w:val="6A0215EC"/>
    <w:rsid w:val="6A3666F8"/>
    <w:rsid w:val="6A902328"/>
    <w:rsid w:val="6ADA17F5"/>
    <w:rsid w:val="6ADB7A47"/>
    <w:rsid w:val="6AEB2A54"/>
    <w:rsid w:val="6BCA1B52"/>
    <w:rsid w:val="6BD75A9A"/>
    <w:rsid w:val="6BD90448"/>
    <w:rsid w:val="6BE9297D"/>
    <w:rsid w:val="6C292B88"/>
    <w:rsid w:val="6C322E76"/>
    <w:rsid w:val="6C354444"/>
    <w:rsid w:val="6C3A079D"/>
    <w:rsid w:val="6C486353"/>
    <w:rsid w:val="6C5006C1"/>
    <w:rsid w:val="6C733CAF"/>
    <w:rsid w:val="6CA16A6E"/>
    <w:rsid w:val="6CA67BE1"/>
    <w:rsid w:val="6CDF79D8"/>
    <w:rsid w:val="6CE23D5D"/>
    <w:rsid w:val="6D5E143D"/>
    <w:rsid w:val="6E461CB0"/>
    <w:rsid w:val="6E5D0773"/>
    <w:rsid w:val="6E7F29DA"/>
    <w:rsid w:val="6E865857"/>
    <w:rsid w:val="6E8E4DD0"/>
    <w:rsid w:val="6E9817AB"/>
    <w:rsid w:val="6EC704D2"/>
    <w:rsid w:val="6ED924EF"/>
    <w:rsid w:val="6EE573DC"/>
    <w:rsid w:val="6EFB6A5B"/>
    <w:rsid w:val="6F20011E"/>
    <w:rsid w:val="6F5B73A8"/>
    <w:rsid w:val="6F5C4ECE"/>
    <w:rsid w:val="702754DC"/>
    <w:rsid w:val="70390D6C"/>
    <w:rsid w:val="704F564B"/>
    <w:rsid w:val="709D17D6"/>
    <w:rsid w:val="70B12FF8"/>
    <w:rsid w:val="70C64CF5"/>
    <w:rsid w:val="713C6E0D"/>
    <w:rsid w:val="713D7853"/>
    <w:rsid w:val="718129CA"/>
    <w:rsid w:val="71A83187"/>
    <w:rsid w:val="71E03BC0"/>
    <w:rsid w:val="71FF4013"/>
    <w:rsid w:val="72097843"/>
    <w:rsid w:val="72313FF8"/>
    <w:rsid w:val="72693B8A"/>
    <w:rsid w:val="72724980"/>
    <w:rsid w:val="72D80D10"/>
    <w:rsid w:val="72DA6CF7"/>
    <w:rsid w:val="72FA0C86"/>
    <w:rsid w:val="73686F64"/>
    <w:rsid w:val="73792988"/>
    <w:rsid w:val="73845AD2"/>
    <w:rsid w:val="7386251A"/>
    <w:rsid w:val="738844E4"/>
    <w:rsid w:val="73966C01"/>
    <w:rsid w:val="740C1A35"/>
    <w:rsid w:val="741024C5"/>
    <w:rsid w:val="74144092"/>
    <w:rsid w:val="741D2628"/>
    <w:rsid w:val="747A3EB5"/>
    <w:rsid w:val="74A8692A"/>
    <w:rsid w:val="74B51309"/>
    <w:rsid w:val="74BD35B8"/>
    <w:rsid w:val="74CF5937"/>
    <w:rsid w:val="74FD01F7"/>
    <w:rsid w:val="75546F0E"/>
    <w:rsid w:val="755723C0"/>
    <w:rsid w:val="75A1188D"/>
    <w:rsid w:val="76116A13"/>
    <w:rsid w:val="76A076F1"/>
    <w:rsid w:val="76BE720F"/>
    <w:rsid w:val="76C9138F"/>
    <w:rsid w:val="77442E9D"/>
    <w:rsid w:val="775E5EC5"/>
    <w:rsid w:val="779F009A"/>
    <w:rsid w:val="77D431B9"/>
    <w:rsid w:val="77DE0B76"/>
    <w:rsid w:val="77E048EF"/>
    <w:rsid w:val="7844752F"/>
    <w:rsid w:val="787D213D"/>
    <w:rsid w:val="788976F0"/>
    <w:rsid w:val="78C87131"/>
    <w:rsid w:val="78D061B4"/>
    <w:rsid w:val="78FF6FF6"/>
    <w:rsid w:val="79865022"/>
    <w:rsid w:val="799F2917"/>
    <w:rsid w:val="7A187C44"/>
    <w:rsid w:val="7A477914"/>
    <w:rsid w:val="7A6730A5"/>
    <w:rsid w:val="7AB27306"/>
    <w:rsid w:val="7ABA5225"/>
    <w:rsid w:val="7B066B74"/>
    <w:rsid w:val="7B113011"/>
    <w:rsid w:val="7B5178B1"/>
    <w:rsid w:val="7B84731D"/>
    <w:rsid w:val="7B9022ED"/>
    <w:rsid w:val="7B9D48A5"/>
    <w:rsid w:val="7BD81D81"/>
    <w:rsid w:val="7BF070CA"/>
    <w:rsid w:val="7C1032C9"/>
    <w:rsid w:val="7C1846CC"/>
    <w:rsid w:val="7C7F7548"/>
    <w:rsid w:val="7DB67EA0"/>
    <w:rsid w:val="7DDF5687"/>
    <w:rsid w:val="7E046E5D"/>
    <w:rsid w:val="7E312E72"/>
    <w:rsid w:val="7E7E0AF8"/>
    <w:rsid w:val="7E9975A5"/>
    <w:rsid w:val="7F402117"/>
    <w:rsid w:val="7F406F56"/>
    <w:rsid w:val="7F5E5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autoRedefine/>
    <w:qFormat/>
    <w:uiPriority w:val="0"/>
    <w:pPr>
      <w:keepNext/>
      <w:jc w:val="center"/>
      <w:outlineLvl w:val="0"/>
    </w:pPr>
    <w:rPr>
      <w:b/>
      <w:bCs/>
      <w:sz w:val="24"/>
      <w:szCs w:val="20"/>
    </w:rPr>
  </w:style>
  <w:style w:type="paragraph" w:styleId="4">
    <w:name w:val="heading 2"/>
    <w:basedOn w:val="1"/>
    <w:next w:val="1"/>
    <w:autoRedefine/>
    <w:qFormat/>
    <w:uiPriority w:val="0"/>
    <w:pPr>
      <w:keepNext/>
      <w:keepLines/>
      <w:spacing w:line="360" w:lineRule="auto"/>
      <w:outlineLvl w:val="1"/>
    </w:pPr>
    <w:rPr>
      <w:rFonts w:ascii="Arial" w:hAnsi="Arial"/>
      <w:b/>
      <w:bCs/>
      <w:sz w:val="24"/>
      <w:szCs w:val="32"/>
    </w:rPr>
  </w:style>
  <w:style w:type="paragraph" w:styleId="5">
    <w:name w:val="heading 3"/>
    <w:basedOn w:val="1"/>
    <w:next w:val="1"/>
    <w:autoRedefine/>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customStyle="1" w:styleId="2">
    <w:name w:val="样式9"/>
    <w:qFormat/>
    <w:uiPriority w:val="0"/>
    <w:pPr>
      <w:widowControl w:val="0"/>
      <w:numPr>
        <w:ilvl w:val="1"/>
        <w:numId w:val="1"/>
      </w:numPr>
      <w:jc w:val="both"/>
    </w:pPr>
    <w:rPr>
      <w:rFonts w:ascii="Times New Roman" w:hAnsi="Times New Roman" w:eastAsia="宋体" w:cs="Times New Roman"/>
      <w:kern w:val="2"/>
      <w:sz w:val="21"/>
      <w:szCs w:val="24"/>
      <w:lang w:val="en-US" w:eastAsia="zh-CN" w:bidi="ar-SA"/>
    </w:rPr>
  </w:style>
  <w:style w:type="paragraph" w:styleId="7">
    <w:name w:val="Normal Indent"/>
    <w:basedOn w:val="1"/>
    <w:next w:val="8"/>
    <w:autoRedefine/>
    <w:qFormat/>
    <w:uiPriority w:val="0"/>
    <w:pPr>
      <w:widowControl/>
      <w:ind w:firstLine="420"/>
      <w:jc w:val="left"/>
    </w:pPr>
    <w:rPr>
      <w:kern w:val="0"/>
      <w:sz w:val="20"/>
      <w:szCs w:val="20"/>
    </w:rPr>
  </w:style>
  <w:style w:type="paragraph" w:customStyle="1" w:styleId="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caption"/>
    <w:next w:val="1"/>
    <w:qFormat/>
    <w:uiPriority w:val="0"/>
    <w:pPr>
      <w:widowControl w:val="0"/>
      <w:numPr>
        <w:ilvl w:val="0"/>
        <w:numId w:val="2"/>
      </w:numPr>
      <w:spacing w:line="360" w:lineRule="auto"/>
      <w:jc w:val="center"/>
    </w:pPr>
    <w:rPr>
      <w:rFonts w:ascii="Arial Unicode MS" w:hAnsi="Arial Unicode MS" w:eastAsia="宋体" w:cs="Times New Roman"/>
      <w:kern w:val="0"/>
      <w:sz w:val="20"/>
      <w:szCs w:val="20"/>
      <w:lang w:val="en-US" w:eastAsia="zh-CN" w:bidi="ar-SA"/>
    </w:rPr>
  </w:style>
  <w:style w:type="paragraph" w:styleId="10">
    <w:name w:val="annotation text"/>
    <w:basedOn w:val="1"/>
    <w:autoRedefine/>
    <w:semiHidden/>
    <w:qFormat/>
    <w:uiPriority w:val="0"/>
    <w:pPr>
      <w:jc w:val="left"/>
    </w:pPr>
  </w:style>
  <w:style w:type="paragraph" w:styleId="11">
    <w:name w:val="Body Text"/>
    <w:basedOn w:val="1"/>
    <w:next w:val="1"/>
    <w:autoRedefine/>
    <w:qFormat/>
    <w:uiPriority w:val="0"/>
    <w:pPr>
      <w:spacing w:after="120"/>
    </w:pPr>
  </w:style>
  <w:style w:type="paragraph" w:styleId="12">
    <w:name w:val="Body Text Indent"/>
    <w:basedOn w:val="1"/>
    <w:next w:val="13"/>
    <w:autoRedefine/>
    <w:qFormat/>
    <w:uiPriority w:val="0"/>
    <w:pPr>
      <w:spacing w:after="120"/>
      <w:ind w:left="420" w:leftChars="200"/>
    </w:pPr>
  </w:style>
  <w:style w:type="paragraph" w:styleId="13">
    <w:name w:val="Body Text First Indent 2"/>
    <w:basedOn w:val="1"/>
    <w:next w:val="7"/>
    <w:autoRedefine/>
    <w:qFormat/>
    <w:uiPriority w:val="0"/>
    <w:pPr>
      <w:ind w:firstLine="420" w:firstLineChars="200"/>
    </w:pPr>
  </w:style>
  <w:style w:type="paragraph" w:styleId="14">
    <w:name w:val="Plain Text"/>
    <w:basedOn w:val="1"/>
    <w:autoRedefine/>
    <w:qFormat/>
    <w:uiPriority w:val="0"/>
    <w:rPr>
      <w:rFonts w:ascii="宋体" w:hAnsi="Courier New" w:cs="Courier New"/>
      <w:szCs w:val="21"/>
    </w:rPr>
  </w:style>
  <w:style w:type="paragraph" w:styleId="15">
    <w:name w:val="Date"/>
    <w:basedOn w:val="1"/>
    <w:next w:val="1"/>
    <w:autoRedefine/>
    <w:qFormat/>
    <w:uiPriority w:val="0"/>
    <w:rPr>
      <w:sz w:val="24"/>
      <w:szCs w:val="20"/>
    </w:rPr>
  </w:style>
  <w:style w:type="paragraph" w:styleId="16">
    <w:name w:val="Body Text Indent 2"/>
    <w:basedOn w:val="1"/>
    <w:autoRedefine/>
    <w:qFormat/>
    <w:uiPriority w:val="0"/>
    <w:pPr>
      <w:spacing w:after="120" w:line="480" w:lineRule="auto"/>
      <w:ind w:left="420" w:leftChars="200"/>
    </w:pPr>
  </w:style>
  <w:style w:type="paragraph" w:styleId="17">
    <w:name w:val="Balloon Text"/>
    <w:basedOn w:val="1"/>
    <w:link w:val="41"/>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0"/>
    <w:rPr>
      <w:rFonts w:ascii="华文中宋" w:eastAsia="华文中宋"/>
      <w:b/>
      <w:sz w:val="28"/>
      <w:szCs w:val="28"/>
    </w:rPr>
  </w:style>
  <w:style w:type="paragraph" w:styleId="21">
    <w:name w:val="toc 2"/>
    <w:basedOn w:val="1"/>
    <w:next w:val="1"/>
    <w:unhideWhenUsed/>
    <w:qFormat/>
    <w:uiPriority w:val="39"/>
    <w:pPr>
      <w:spacing w:before="12" w:after="12" w:line="360" w:lineRule="auto"/>
    </w:pPr>
    <w:rPr>
      <w:rFonts w:ascii="等线" w:hAnsi="等线" w:eastAsia="等线"/>
      <w:b/>
      <w:szCs w:val="22"/>
    </w:rPr>
  </w:style>
  <w:style w:type="paragraph" w:styleId="2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3">
    <w:name w:val="Title"/>
    <w:basedOn w:val="1"/>
    <w:next w:val="1"/>
    <w:autoRedefine/>
    <w:qFormat/>
    <w:uiPriority w:val="0"/>
    <w:pPr>
      <w:spacing w:before="240" w:after="60"/>
      <w:jc w:val="center"/>
      <w:outlineLvl w:val="0"/>
    </w:pPr>
    <w:rPr>
      <w:rFonts w:ascii="Cambria" w:hAnsi="Cambria"/>
      <w:b/>
      <w:sz w:val="32"/>
    </w:rPr>
  </w:style>
  <w:style w:type="paragraph" w:styleId="24">
    <w:name w:val="annotation subject"/>
    <w:basedOn w:val="10"/>
    <w:next w:val="1"/>
    <w:autoRedefine/>
    <w:qFormat/>
    <w:uiPriority w:val="0"/>
    <w:rPr>
      <w:b/>
      <w:bCs/>
    </w:rPr>
  </w:style>
  <w:style w:type="paragraph" w:styleId="25">
    <w:name w:val="Body Text First Indent"/>
    <w:basedOn w:val="11"/>
    <w:next w:val="1"/>
    <w:autoRedefine/>
    <w:qFormat/>
    <w:uiPriority w:val="0"/>
    <w:pPr>
      <w:spacing w:line="360" w:lineRule="auto"/>
      <w:ind w:firstLine="309" w:firstLineChars="100"/>
      <w:outlineLvl w:val="0"/>
    </w:pPr>
    <w:rPr>
      <w:bCs/>
      <w:color w:val="000000"/>
      <w:kern w:val="28"/>
      <w:szCs w:val="21"/>
    </w:rPr>
  </w:style>
  <w:style w:type="table" w:styleId="27">
    <w:name w:val="Table Grid"/>
    <w:basedOn w:val="26"/>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autoRedefine/>
    <w:qFormat/>
    <w:uiPriority w:val="0"/>
    <w:rPr>
      <w:b/>
      <w:bCs/>
    </w:rPr>
  </w:style>
  <w:style w:type="character" w:styleId="30">
    <w:name w:val="page number"/>
    <w:basedOn w:val="28"/>
    <w:autoRedefine/>
    <w:qFormat/>
    <w:uiPriority w:val="0"/>
  </w:style>
  <w:style w:type="character" w:styleId="31">
    <w:name w:val="FollowedHyperlink"/>
    <w:basedOn w:val="28"/>
    <w:autoRedefine/>
    <w:qFormat/>
    <w:uiPriority w:val="0"/>
    <w:rPr>
      <w:color w:val="5C5C5C"/>
      <w:u w:val="none"/>
    </w:rPr>
  </w:style>
  <w:style w:type="character" w:styleId="32">
    <w:name w:val="Emphasis"/>
    <w:basedOn w:val="28"/>
    <w:autoRedefine/>
    <w:qFormat/>
    <w:uiPriority w:val="0"/>
  </w:style>
  <w:style w:type="character" w:styleId="33">
    <w:name w:val="Hyperlink"/>
    <w:basedOn w:val="28"/>
    <w:autoRedefine/>
    <w:qFormat/>
    <w:uiPriority w:val="0"/>
    <w:rPr>
      <w:color w:val="5C5C5C"/>
      <w:u w:val="none"/>
    </w:rPr>
  </w:style>
  <w:style w:type="character" w:styleId="34">
    <w:name w:val="annotation reference"/>
    <w:basedOn w:val="28"/>
    <w:semiHidden/>
    <w:unhideWhenUsed/>
    <w:qFormat/>
    <w:uiPriority w:val="99"/>
    <w:rPr>
      <w:sz w:val="21"/>
      <w:szCs w:val="21"/>
    </w:rPr>
  </w:style>
  <w:style w:type="paragraph" w:customStyle="1" w:styleId="35">
    <w:name w:val="BodyText"/>
    <w:basedOn w:val="1"/>
    <w:next w:val="36"/>
    <w:qFormat/>
    <w:uiPriority w:val="0"/>
    <w:pPr>
      <w:spacing w:after="120" w:line="240" w:lineRule="auto"/>
      <w:jc w:val="both"/>
    </w:pPr>
  </w:style>
  <w:style w:type="paragraph" w:customStyle="1" w:styleId="36">
    <w:name w:val="UserStyle_0"/>
    <w:basedOn w:val="1"/>
    <w:next w:val="1"/>
    <w:autoRedefine/>
    <w:qFormat/>
    <w:uiPriority w:val="0"/>
    <w:pPr>
      <w:jc w:val="left"/>
    </w:pPr>
    <w:rPr>
      <w:color w:val="000000"/>
      <w:sz w:val="24"/>
    </w:rPr>
  </w:style>
  <w:style w:type="paragraph" w:customStyle="1" w:styleId="37">
    <w:name w:val="目录 81"/>
    <w:basedOn w:val="1"/>
    <w:next w:val="1"/>
    <w:autoRedefine/>
    <w:qFormat/>
    <w:uiPriority w:val="0"/>
    <w:pPr>
      <w:ind w:left="2940"/>
    </w:pPr>
  </w:style>
  <w:style w:type="paragraph" w:customStyle="1" w:styleId="38">
    <w:name w:val="列出段落1"/>
    <w:basedOn w:val="1"/>
    <w:autoRedefine/>
    <w:qFormat/>
    <w:uiPriority w:val="34"/>
    <w:pPr>
      <w:ind w:firstLine="420" w:firstLineChars="200"/>
    </w:pPr>
    <w:rPr>
      <w:szCs w:val="22"/>
    </w:rPr>
  </w:style>
  <w:style w:type="paragraph" w:customStyle="1" w:styleId="39">
    <w:name w:val="p0"/>
    <w:basedOn w:val="1"/>
    <w:autoRedefine/>
    <w:qFormat/>
    <w:uiPriority w:val="0"/>
    <w:pPr>
      <w:widowControl/>
    </w:pPr>
    <w:rPr>
      <w:kern w:val="0"/>
      <w:szCs w:val="21"/>
    </w:rPr>
  </w:style>
  <w:style w:type="paragraph" w:customStyle="1" w:styleId="40">
    <w:name w:val="WPSOffice手动目录 1"/>
    <w:autoRedefine/>
    <w:qFormat/>
    <w:uiPriority w:val="0"/>
    <w:rPr>
      <w:rFonts w:ascii="Times New Roman" w:hAnsi="Times New Roman" w:eastAsia="宋体" w:cs="Times New Roman"/>
      <w:lang w:val="en-US" w:eastAsia="zh-CN" w:bidi="ar-SA"/>
    </w:rPr>
  </w:style>
  <w:style w:type="character" w:customStyle="1" w:styleId="41">
    <w:name w:val="批注框文本 Char"/>
    <w:basedOn w:val="28"/>
    <w:link w:val="17"/>
    <w:autoRedefine/>
    <w:qFormat/>
    <w:uiPriority w:val="0"/>
    <w:rPr>
      <w:rFonts w:ascii="Calibri" w:hAnsi="Calibri"/>
      <w:kern w:val="2"/>
      <w:sz w:val="18"/>
      <w:szCs w:val="18"/>
    </w:rPr>
  </w:style>
  <w:style w:type="character" w:customStyle="1" w:styleId="42">
    <w:name w:val="l-btn-icon-left"/>
    <w:basedOn w:val="28"/>
    <w:autoRedefine/>
    <w:qFormat/>
    <w:uiPriority w:val="0"/>
  </w:style>
  <w:style w:type="character" w:customStyle="1" w:styleId="43">
    <w:name w:val="l-btn-left"/>
    <w:basedOn w:val="28"/>
    <w:autoRedefine/>
    <w:qFormat/>
    <w:uiPriority w:val="0"/>
  </w:style>
  <w:style w:type="character" w:customStyle="1" w:styleId="44">
    <w:name w:val="l-btn-left1"/>
    <w:basedOn w:val="28"/>
    <w:autoRedefine/>
    <w:qFormat/>
    <w:uiPriority w:val="0"/>
  </w:style>
  <w:style w:type="character" w:customStyle="1" w:styleId="45">
    <w:name w:val="l-btn-left2"/>
    <w:basedOn w:val="28"/>
    <w:autoRedefine/>
    <w:qFormat/>
    <w:uiPriority w:val="0"/>
  </w:style>
  <w:style w:type="character" w:customStyle="1" w:styleId="46">
    <w:name w:val="l-btn-left3"/>
    <w:basedOn w:val="28"/>
    <w:autoRedefine/>
    <w:qFormat/>
    <w:uiPriority w:val="0"/>
  </w:style>
  <w:style w:type="character" w:customStyle="1" w:styleId="47">
    <w:name w:val="l-btn-empty"/>
    <w:basedOn w:val="28"/>
    <w:autoRedefine/>
    <w:qFormat/>
    <w:uiPriority w:val="0"/>
  </w:style>
  <w:style w:type="character" w:customStyle="1" w:styleId="48">
    <w:name w:val="l-btn-text"/>
    <w:basedOn w:val="28"/>
    <w:autoRedefine/>
    <w:qFormat/>
    <w:uiPriority w:val="0"/>
    <w:rPr>
      <w:sz w:val="18"/>
      <w:szCs w:val="18"/>
      <w:vertAlign w:val="baseline"/>
    </w:rPr>
  </w:style>
  <w:style w:type="character" w:customStyle="1" w:styleId="49">
    <w:name w:val="l-btn-icon-right"/>
    <w:basedOn w:val="28"/>
    <w:autoRedefine/>
    <w:qFormat/>
    <w:uiPriority w:val="0"/>
  </w:style>
  <w:style w:type="character" w:customStyle="1" w:styleId="50">
    <w:name w:val="l-btn-left4"/>
    <w:basedOn w:val="28"/>
    <w:autoRedefine/>
    <w:qFormat/>
    <w:uiPriority w:val="0"/>
  </w:style>
  <w:style w:type="character" w:customStyle="1" w:styleId="51">
    <w:name w:val="l-btn-left5"/>
    <w:basedOn w:val="28"/>
    <w:autoRedefine/>
    <w:qFormat/>
    <w:uiPriority w:val="0"/>
  </w:style>
  <w:style w:type="paragraph" w:styleId="52">
    <w:name w:val="List Paragraph"/>
    <w:basedOn w:val="1"/>
    <w:autoRedefine/>
    <w:qFormat/>
    <w:uiPriority w:val="34"/>
    <w:pPr>
      <w:ind w:firstLine="420" w:firstLineChars="200"/>
    </w:pPr>
    <w:rPr>
      <w:rFonts w:ascii="Calibri" w:hAnsi="Calibri"/>
      <w:szCs w:val="22"/>
    </w:rPr>
  </w:style>
  <w:style w:type="paragraph" w:customStyle="1" w:styleId="53">
    <w:name w:val="样式 小四 行距: 1.5 倍行距"/>
    <w:basedOn w:val="1"/>
    <w:autoRedefine/>
    <w:qFormat/>
    <w:uiPriority w:val="0"/>
    <w:pPr>
      <w:ind w:firstLine="480"/>
    </w:pPr>
    <w:rPr>
      <w:szCs w:val="20"/>
    </w:rPr>
  </w:style>
  <w:style w:type="paragraph" w:customStyle="1" w:styleId="54">
    <w:name w:val="首行缩进"/>
    <w:basedOn w:val="1"/>
    <w:autoRedefine/>
    <w:qFormat/>
    <w:uiPriority w:val="0"/>
    <w:pPr>
      <w:ind w:firstLine="480" w:firstLineChars="200"/>
    </w:pPr>
    <w:rPr>
      <w:kern w:val="0"/>
      <w:szCs w:val="20"/>
      <w:lang w:val="zh-CN"/>
    </w:rPr>
  </w:style>
  <w:style w:type="character" w:customStyle="1" w:styleId="55">
    <w:name w:val="font101"/>
    <w:basedOn w:val="28"/>
    <w:autoRedefine/>
    <w:qFormat/>
    <w:uiPriority w:val="0"/>
    <w:rPr>
      <w:rFonts w:hint="eastAsia" w:ascii="仿宋" w:hAnsi="仿宋" w:eastAsia="仿宋" w:cs="仿宋"/>
      <w:color w:val="000000"/>
      <w:sz w:val="28"/>
      <w:szCs w:val="28"/>
      <w:u w:val="none"/>
    </w:rPr>
  </w:style>
  <w:style w:type="character" w:customStyle="1" w:styleId="56">
    <w:name w:val="font131"/>
    <w:basedOn w:val="28"/>
    <w:autoRedefine/>
    <w:qFormat/>
    <w:uiPriority w:val="0"/>
    <w:rPr>
      <w:rFonts w:hint="eastAsia" w:ascii="仿宋" w:hAnsi="仿宋" w:eastAsia="仿宋" w:cs="仿宋"/>
      <w:color w:val="FF0000"/>
      <w:sz w:val="28"/>
      <w:szCs w:val="28"/>
      <w:u w:val="none"/>
    </w:rPr>
  </w:style>
  <w:style w:type="paragraph" w:customStyle="1" w:styleId="57">
    <w:name w:val="Normal_0"/>
    <w:qFormat/>
    <w:uiPriority w:val="0"/>
    <w:pPr>
      <w:spacing w:before="120" w:after="240"/>
      <w:jc w:val="both"/>
    </w:pPr>
    <w:rPr>
      <w:rFonts w:ascii="Calibri" w:hAnsi="Calibri" w:eastAsia="Calibri" w:cs="Times New Roman"/>
      <w:sz w:val="22"/>
      <w:szCs w:val="22"/>
      <w:lang w:val="ru-RU" w:eastAsia="en-US" w:bidi="ar-SA"/>
    </w:rPr>
  </w:style>
  <w:style w:type="paragraph" w:customStyle="1" w:styleId="5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文本_0"/>
    <w:basedOn w:val="58"/>
    <w:next w:val="60"/>
    <w:qFormat/>
    <w:uiPriority w:val="0"/>
    <w:pPr>
      <w:spacing w:after="120"/>
    </w:pPr>
  </w:style>
  <w:style w:type="paragraph" w:customStyle="1" w:styleId="60">
    <w:name w:val="Default_0"/>
    <w:next w:val="58"/>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61">
    <w:name w:val="10"/>
    <w:basedOn w:val="28"/>
    <w:qFormat/>
    <w:uiPriority w:val="0"/>
    <w:rPr>
      <w:rFonts w:hint="default" w:ascii="Calibri" w:hAnsi="Calibri" w:cs="Calibri"/>
    </w:rPr>
  </w:style>
  <w:style w:type="paragraph" w:customStyle="1" w:styleId="62">
    <w:name w:val="样式 首行缩进:  0 字符"/>
    <w:qFormat/>
    <w:uiPriority w:val="0"/>
    <w:pPr>
      <w:widowControl w:val="0"/>
      <w:spacing w:line="360" w:lineRule="auto"/>
      <w:ind w:firstLine="200" w:firstLineChars="200"/>
      <w:jc w:val="both"/>
    </w:pPr>
    <w:rPr>
      <w:rFonts w:ascii="Arial" w:hAnsi="Arial" w:eastAsia="宋体" w:cs="Times New Roman"/>
      <w:kern w:val="0"/>
      <w:sz w:val="24"/>
      <w:szCs w:val="20"/>
      <w:lang w:val="en-US" w:eastAsia="zh-CN" w:bidi="ar-SA"/>
    </w:rPr>
  </w:style>
  <w:style w:type="paragraph" w:customStyle="1" w:styleId="63">
    <w:name w:val="*正文"/>
    <w:qFormat/>
    <w:uiPriority w:val="0"/>
    <w:pPr>
      <w:widowControl w:val="0"/>
      <w:spacing w:line="300" w:lineRule="auto"/>
      <w:ind w:firstLine="480" w:firstLineChars="200"/>
      <w:jc w:val="both"/>
    </w:pPr>
    <w:rPr>
      <w:rFonts w:ascii="宋体" w:hAnsi="宋体" w:eastAsia="宋体" w:cs="Times New Roman"/>
      <w:kern w:val="0"/>
      <w:sz w:val="24"/>
      <w:szCs w:val="24"/>
      <w:lang w:val="en-US" w:eastAsia="zh-CN" w:bidi="ar-SA"/>
    </w:rPr>
  </w:style>
  <w:style w:type="character" w:customStyle="1" w:styleId="64">
    <w:name w:val="15"/>
    <w:qFormat/>
    <w:uiPriority w:val="0"/>
    <w:rPr>
      <w:rFonts w:hint="default" w:ascii="Times New Roman" w:hAnsi="Times New Roman" w:cs="Times New Roman"/>
      <w:color w:val="0563C1"/>
      <w:sz w:val="20"/>
      <w:szCs w:val="20"/>
      <w:u w:val="single"/>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0.png"/><Relationship Id="rId36" Type="http://schemas.openxmlformats.org/officeDocument/2006/relationships/image" Target="media/image9.png"/><Relationship Id="rId35" Type="http://schemas.openxmlformats.org/officeDocument/2006/relationships/image" Target="media/image8.png"/><Relationship Id="rId34" Type="http://schemas.openxmlformats.org/officeDocument/2006/relationships/image" Target="media/image7.png"/><Relationship Id="rId33" Type="http://schemas.openxmlformats.org/officeDocument/2006/relationships/image" Target="media/image6.png"/><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control" Target="activeX/activeX20.xml"/><Relationship Id="rId3" Type="http://schemas.openxmlformats.org/officeDocument/2006/relationships/header" Target="header1.xml"/><Relationship Id="rId29" Type="http://schemas.openxmlformats.org/officeDocument/2006/relationships/control" Target="activeX/activeX19.xml"/><Relationship Id="rId28" Type="http://schemas.openxmlformats.org/officeDocument/2006/relationships/control" Target="activeX/activeX18.xml"/><Relationship Id="rId27" Type="http://schemas.openxmlformats.org/officeDocument/2006/relationships/control" Target="activeX/activeX17.xml"/><Relationship Id="rId26" Type="http://schemas.openxmlformats.org/officeDocument/2006/relationships/control" Target="activeX/activeX16.xml"/><Relationship Id="rId25" Type="http://schemas.openxmlformats.org/officeDocument/2006/relationships/control" Target="activeX/activeX15.xml"/><Relationship Id="rId24" Type="http://schemas.openxmlformats.org/officeDocument/2006/relationships/control" Target="activeX/activeX14.xml"/><Relationship Id="rId23" Type="http://schemas.openxmlformats.org/officeDocument/2006/relationships/control" Target="activeX/activeX13.xml"/><Relationship Id="rId22" Type="http://schemas.openxmlformats.org/officeDocument/2006/relationships/control" Target="activeX/activeX12.xml"/><Relationship Id="rId21" Type="http://schemas.openxmlformats.org/officeDocument/2006/relationships/control" Target="activeX/activeX11.xml"/><Relationship Id="rId20" Type="http://schemas.openxmlformats.org/officeDocument/2006/relationships/control" Target="activeX/activeX10.xml"/><Relationship Id="rId2" Type="http://schemas.openxmlformats.org/officeDocument/2006/relationships/settings" Target="settings.xml"/><Relationship Id="rId19" Type="http://schemas.openxmlformats.org/officeDocument/2006/relationships/control" Target="activeX/activeX9.xml"/><Relationship Id="rId18" Type="http://schemas.openxmlformats.org/officeDocument/2006/relationships/control" Target="activeX/activeX8.xml"/><Relationship Id="rId17" Type="http://schemas.openxmlformats.org/officeDocument/2006/relationships/control" Target="activeX/activeX7.xml"/><Relationship Id="rId16" Type="http://schemas.openxmlformats.org/officeDocument/2006/relationships/control" Target="activeX/activeX6.xml"/><Relationship Id="rId15" Type="http://schemas.openxmlformats.org/officeDocument/2006/relationships/control" Target="activeX/activeX5.xml"/><Relationship Id="rId14" Type="http://schemas.openxmlformats.org/officeDocument/2006/relationships/control" Target="activeX/activeX4.xml"/><Relationship Id="rId13" Type="http://schemas.openxmlformats.org/officeDocument/2006/relationships/image" Target="media/image3.wmf"/><Relationship Id="rId12" Type="http://schemas.openxmlformats.org/officeDocument/2006/relationships/control" Target="activeX/activeX3.xml"/><Relationship Id="rId11" Type="http://schemas.openxmlformats.org/officeDocument/2006/relationships/control" Target="activeX/activeX2.xml"/><Relationship Id="rId10" Type="http://schemas.openxmlformats.org/officeDocument/2006/relationships/image" Target="media/image2.wmf"/><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5.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4.xml.rels><?xml version="1.0" encoding="UTF-8" standalone="yes"?>
<Relationships xmlns="http://schemas.openxmlformats.org/package/2006/relationships"><Relationship Id="rId1" Type="http://schemas.microsoft.com/office/2006/relationships/activeXControlBinary" Target="activeX3.bin"/></Relationships>
</file>

<file path=word/activeX/_rels/activeX15.xml.rels><?xml version="1.0" encoding="UTF-8" standalone="yes"?>
<Relationships xmlns="http://schemas.openxmlformats.org/package/2006/relationships"><Relationship Id="rId1" Type="http://schemas.microsoft.com/office/2006/relationships/activeXControlBinary" Target="activeX7.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8.xml.rels><?xml version="1.0" encoding="UTF-8" standalone="yes"?>
<Relationships xmlns="http://schemas.openxmlformats.org/package/2006/relationships"><Relationship Id="rId1" Type="http://schemas.microsoft.com/office/2006/relationships/activeXControlBinary" Target="activeX6.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_rels/activeX20.xml.rels><?xml version="1.0" encoding="UTF-8" standalone="yes"?>
<Relationships xmlns="http://schemas.openxmlformats.org/package/2006/relationships"><Relationship Id="rId1" Type="http://schemas.microsoft.com/office/2006/relationships/activeXControlBinary" Target="activeX15.bin"/></Relationships>
</file>

<file path=word/activeX/_rels/activeX3.xml.rels><?xml version="1.0" encoding="UTF-8" standalone="yes"?>
<Relationships xmlns="http://schemas.openxmlformats.org/package/2006/relationships"><Relationship Id="rId1" Type="http://schemas.microsoft.com/office/2006/relationships/activeXControlBinary" Target="activeX18.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8.bin"/></Relationships>
</file>

<file path=word/activeX/_rels/activeX6.xml.rels><?xml version="1.0" encoding="UTF-8" standalone="yes"?>
<Relationships xmlns="http://schemas.openxmlformats.org/package/2006/relationships"><Relationship Id="rId1" Type="http://schemas.microsoft.com/office/2006/relationships/activeXControlBinary" Target="activeX19.bin"/></Relationships>
</file>

<file path=word/activeX/_rels/activeX7.xml.rels><?xml version="1.0" encoding="UTF-8" standalone="yes"?>
<Relationships xmlns="http://schemas.openxmlformats.org/package/2006/relationships"><Relationship Id="rId1" Type="http://schemas.microsoft.com/office/2006/relationships/activeXControlBinary" Target="activeX9.bin"/></Relationships>
</file>

<file path=word/activeX/_rels/activeX8.xml.rels><?xml version="1.0" encoding="UTF-8" standalone="yes"?>
<Relationships xmlns="http://schemas.openxmlformats.org/package/2006/relationships"><Relationship Id="rId1" Type="http://schemas.microsoft.com/office/2006/relationships/activeXControlBinary" Target="activeX2.bin"/></Relationships>
</file>

<file path=word/activeX/_rels/activeX9.xml.rels><?xml version="1.0" encoding="UTF-8" standalone="yes"?>
<Relationships xmlns="http://schemas.openxmlformats.org/package/2006/relationships"><Relationship Id="rId1" Type="http://schemas.microsoft.com/office/2006/relationships/activeXControlBinary" Target="activeX14.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70</Pages>
  <Words>624</Words>
  <Characters>678</Characters>
  <Lines>36</Lines>
  <Paragraphs>56</Paragraphs>
  <TotalTime>160</TotalTime>
  <ScaleCrop>false</ScaleCrop>
  <LinksUpToDate>false</LinksUpToDate>
  <CharactersWithSpaces>706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2021-08-16T07:12:00Z</dcterms:created>
  <dc:creator>Administrator.BF-20201001MNLP</dc:creator>
  <cp:lastModifiedBy>Administrator</cp:lastModifiedBy>
  <cp:lastPrinted>2026-07-17T04:56:00Z</cp:lastPrinted>
  <dcterms:modified xsi:type="dcterms:W3CDTF">2026-07-29T06:19:42Z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DB3147F6D3E24722BA44F483F44BA6C6_13</vt:lpwstr>
  </property>
  <property fmtid="{D5CDD505-2E9C-101B-9397-08002B2CF9AE}" pid="4" name="KSOTemplateDocerSaveRecord">
    <vt:lpwstr>eyJoZGlkIjoiMTY4ZWNmYTA1MTQyZjAxNmY3ZTkzMGZiOGIyNzUzMTgiLCJ1c2VySWQiOiIzMDI2MzM4NjYifQ==</vt:lpwstr>
  </property>
</Properties>
</file>