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F6FF9">
      <w:pPr>
        <w:pStyle w:val="2"/>
        <w:pageBreakBefore w:val="0"/>
        <w:kinsoku/>
        <w:autoSpaceDE/>
        <w:autoSpaceDN/>
        <w:bidi w:val="0"/>
        <w:adjustRightInd w:val="0"/>
        <w:snapToGrid w:val="0"/>
        <w:spacing w:line="360" w:lineRule="auto"/>
        <w:rPr>
          <w:rFonts w:hint="eastAsia" w:ascii="宋体" w:hAnsi="宋体" w:cs="宋体"/>
          <w:sz w:val="32"/>
          <w:szCs w:val="32"/>
        </w:rPr>
      </w:pPr>
      <w:bookmarkStart w:id="0" w:name="_Toc34637751"/>
      <w:r>
        <w:rPr>
          <w:rFonts w:hint="eastAsia" w:ascii="宋体" w:hAnsi="宋体" w:cs="宋体"/>
          <w:sz w:val="32"/>
          <w:szCs w:val="32"/>
          <w:lang w:eastAsia="zh-CN"/>
        </w:rPr>
        <w:t>2026年株洲市芦淞区农村公路养护工程</w:t>
      </w:r>
      <w:r>
        <w:rPr>
          <w:rFonts w:hint="eastAsia" w:ascii="宋体" w:hAnsi="宋体" w:cs="宋体"/>
          <w:sz w:val="32"/>
          <w:szCs w:val="32"/>
        </w:rPr>
        <w:t xml:space="preserve"> </w:t>
      </w:r>
    </w:p>
    <w:p w14:paraId="10DEFC33">
      <w:pPr>
        <w:pStyle w:val="2"/>
        <w:pageBreakBefore w:val="0"/>
        <w:kinsoku/>
        <w:autoSpaceDE/>
        <w:autoSpaceDN/>
        <w:bidi w:val="0"/>
        <w:adjustRightInd w:val="0"/>
        <w:snapToGrid w:val="0"/>
        <w:spacing w:line="360" w:lineRule="auto"/>
        <w:rPr>
          <w:rFonts w:hint="eastAsia" w:ascii="宋体" w:hAnsi="宋体" w:eastAsia="宋体" w:cs="宋体"/>
          <w:sz w:val="32"/>
          <w:szCs w:val="32"/>
          <w:lang w:val="en-US" w:eastAsia="zh-CN"/>
        </w:rPr>
      </w:pPr>
      <w:r>
        <w:rPr>
          <w:rFonts w:hint="eastAsia" w:ascii="宋体" w:hAnsi="宋体" w:cs="宋体"/>
          <w:sz w:val="32"/>
          <w:szCs w:val="32"/>
        </w:rPr>
        <w:t>竞争性谈判</w:t>
      </w:r>
      <w:bookmarkEnd w:id="0"/>
      <w:r>
        <w:rPr>
          <w:rFonts w:hint="eastAsia" w:ascii="宋体" w:hAnsi="宋体" w:cs="宋体"/>
          <w:sz w:val="32"/>
          <w:szCs w:val="32"/>
          <w:lang w:val="en-US" w:eastAsia="zh-CN"/>
        </w:rPr>
        <w:t>邀请公告</w:t>
      </w:r>
    </w:p>
    <w:p w14:paraId="6215224A">
      <w:pPr>
        <w:pageBreakBefore w:val="0"/>
        <w:kinsoku/>
        <w:autoSpaceDE/>
        <w:autoSpaceDN/>
        <w:bidi w:val="0"/>
        <w:adjustRightInd w:val="0"/>
        <w:snapToGrid w:val="0"/>
        <w:spacing w:line="360" w:lineRule="auto"/>
        <w:ind w:firstLine="480" w:firstLineChars="200"/>
        <w:rPr>
          <w:rFonts w:ascii="宋体" w:hAnsi="宋体" w:cs="宋体"/>
          <w:sz w:val="24"/>
        </w:rPr>
      </w:pPr>
      <w:r>
        <w:rPr>
          <w:rFonts w:hint="eastAsia" w:ascii="宋体" w:hAnsi="宋体" w:cs="宋体"/>
          <w:sz w:val="24"/>
          <w:u w:val="single"/>
          <w:lang w:eastAsia="zh-CN"/>
        </w:rPr>
        <w:t>株洲市芦淞区交通运输局</w:t>
      </w:r>
      <w:r>
        <w:rPr>
          <w:rFonts w:hint="eastAsia" w:ascii="宋体" w:hAnsi="宋体" w:cs="宋体"/>
          <w:sz w:val="24"/>
        </w:rPr>
        <w:t>（采购人名称）的</w:t>
      </w:r>
      <w:r>
        <w:rPr>
          <w:rFonts w:hint="eastAsia" w:ascii="宋体" w:hAnsi="宋体" w:cs="宋体"/>
          <w:sz w:val="24"/>
          <w:u w:val="single"/>
          <w:lang w:eastAsia="zh-CN"/>
        </w:rPr>
        <w:t>2026年株洲市芦淞区农村公路养护工程</w:t>
      </w:r>
      <w:r>
        <w:rPr>
          <w:rFonts w:hint="eastAsia" w:ascii="宋体" w:hAnsi="宋体" w:cs="宋体"/>
          <w:sz w:val="24"/>
          <w:u w:val="single"/>
        </w:rPr>
        <w:t xml:space="preserve"> </w:t>
      </w:r>
      <w:r>
        <w:rPr>
          <w:rFonts w:hint="eastAsia" w:ascii="宋体" w:hAnsi="宋体" w:cs="宋体"/>
          <w:sz w:val="24"/>
        </w:rPr>
        <w:t>(项目名称)进行竞争性谈判采购，</w:t>
      </w:r>
      <w:r>
        <w:rPr>
          <w:rFonts w:hint="eastAsia" w:ascii="宋体" w:hAnsi="宋体" w:cs="宋体"/>
          <w:sz w:val="24"/>
          <w:lang w:val="en-US" w:eastAsia="zh-CN"/>
        </w:rPr>
        <w:t>现采用发布公告方式</w:t>
      </w:r>
      <w:r>
        <w:rPr>
          <w:rFonts w:hint="eastAsia" w:ascii="宋体" w:hAnsi="宋体" w:eastAsia="宋体" w:cs="宋体"/>
          <w:i w:val="0"/>
          <w:iCs w:val="0"/>
          <w:caps w:val="0"/>
          <w:color w:val="000000"/>
          <w:spacing w:val="0"/>
          <w:sz w:val="21"/>
          <w:szCs w:val="21"/>
        </w:rPr>
        <w:t>，</w:t>
      </w:r>
      <w:r>
        <w:rPr>
          <w:rFonts w:hint="eastAsia" w:ascii="宋体" w:hAnsi="宋体" w:cs="宋体"/>
          <w:sz w:val="24"/>
          <w:lang w:eastAsia="zh-CN"/>
        </w:rPr>
        <w:t>邀请符合资格条件的供应商提交证明材料参与资格审查活动</w:t>
      </w:r>
      <w:r>
        <w:rPr>
          <w:rFonts w:hint="eastAsia" w:ascii="宋体" w:hAnsi="宋体" w:cs="宋体"/>
          <w:sz w:val="24"/>
        </w:rPr>
        <w:t>。</w:t>
      </w:r>
    </w:p>
    <w:p w14:paraId="2FCE95A8">
      <w:pPr>
        <w:pStyle w:val="3"/>
        <w:pageBreakBefore w:val="0"/>
        <w:kinsoku/>
        <w:autoSpaceDE/>
        <w:autoSpaceDN/>
        <w:bidi w:val="0"/>
        <w:adjustRightInd w:val="0"/>
        <w:snapToGrid w:val="0"/>
        <w:spacing w:line="360" w:lineRule="auto"/>
        <w:ind w:firstLine="482" w:firstLineChars="200"/>
        <w:rPr>
          <w:rFonts w:hint="eastAsia" w:ascii="宋体" w:hAnsi="宋体" w:eastAsia="宋体" w:cs="宋体"/>
          <w:szCs w:val="24"/>
        </w:rPr>
      </w:pPr>
      <w:bookmarkStart w:id="1" w:name="_Toc22201055"/>
      <w:bookmarkStart w:id="2" w:name="_Toc34637752"/>
      <w:r>
        <w:rPr>
          <w:rFonts w:hint="eastAsia" w:ascii="宋体" w:hAnsi="宋体" w:eastAsia="宋体" w:cs="宋体"/>
          <w:szCs w:val="24"/>
        </w:rPr>
        <w:t>一、</w:t>
      </w:r>
      <w:bookmarkEnd w:id="1"/>
      <w:bookmarkEnd w:id="2"/>
      <w:r>
        <w:rPr>
          <w:rFonts w:hint="eastAsia" w:ascii="宋体" w:hAnsi="宋体" w:eastAsia="宋体" w:cs="宋体"/>
          <w:szCs w:val="24"/>
        </w:rPr>
        <w:t>项目概况</w:t>
      </w:r>
    </w:p>
    <w:p w14:paraId="413ECB33">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eastAsia" w:cs="宋体"/>
          <w:sz w:val="24"/>
          <w:szCs w:val="24"/>
          <w:lang w:val="en-US" w:eastAsia="zh-CN"/>
        </w:rPr>
      </w:pPr>
      <w:r>
        <w:rPr>
          <w:rFonts w:hint="eastAsia" w:cs="宋体"/>
          <w:sz w:val="24"/>
          <w:szCs w:val="24"/>
          <w:lang w:val="en-US" w:eastAsia="zh-CN"/>
        </w:rPr>
        <w:t>1</w:t>
      </w:r>
      <w:r>
        <w:rPr>
          <w:rFonts w:hint="default" w:cs="宋体"/>
          <w:sz w:val="24"/>
          <w:szCs w:val="24"/>
          <w:lang w:val="en-US" w:eastAsia="zh-CN"/>
        </w:rPr>
        <w:t>.</w:t>
      </w:r>
      <w:r>
        <w:rPr>
          <w:rFonts w:hint="eastAsia" w:cs="宋体"/>
          <w:sz w:val="24"/>
          <w:szCs w:val="24"/>
          <w:lang w:val="en-US" w:eastAsia="zh-CN"/>
        </w:rPr>
        <w:t>采购项目名称：</w:t>
      </w:r>
      <w:r>
        <w:rPr>
          <w:rFonts w:hint="eastAsia" w:cs="宋体"/>
          <w:sz w:val="24"/>
          <w:szCs w:val="24"/>
          <w:u w:val="single"/>
          <w:lang w:val="en-US" w:eastAsia="zh-CN"/>
        </w:rPr>
        <w:t>2026年株洲市芦淞区农村公路养护工程</w:t>
      </w:r>
      <w:r>
        <w:rPr>
          <w:rFonts w:hint="eastAsia" w:cs="宋体"/>
          <w:sz w:val="24"/>
          <w:szCs w:val="24"/>
          <w:lang w:val="en-US" w:eastAsia="zh-CN"/>
        </w:rPr>
        <w:t xml:space="preserve"> </w:t>
      </w:r>
    </w:p>
    <w:p w14:paraId="0639948D">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u w:val="single"/>
        </w:rPr>
      </w:pPr>
      <w:r>
        <w:rPr>
          <w:rFonts w:hint="eastAsia" w:cs="宋体"/>
          <w:sz w:val="24"/>
          <w:szCs w:val="24"/>
          <w:lang w:val="en-US" w:eastAsia="zh-CN"/>
        </w:rPr>
        <w:t>2</w:t>
      </w:r>
      <w:r>
        <w:rPr>
          <w:rFonts w:hint="default" w:cs="宋体"/>
          <w:sz w:val="24"/>
          <w:szCs w:val="24"/>
          <w:lang w:val="en-US" w:eastAsia="zh-CN"/>
        </w:rPr>
        <w:t>.</w:t>
      </w:r>
      <w:r>
        <w:rPr>
          <w:rFonts w:hint="eastAsia" w:cs="宋体"/>
          <w:sz w:val="24"/>
          <w:szCs w:val="24"/>
          <w:lang w:val="en-US" w:eastAsia="zh-CN"/>
        </w:rPr>
        <w:t>政府采购编号：</w:t>
      </w:r>
      <w:r>
        <w:rPr>
          <w:rFonts w:hint="eastAsia" w:ascii="宋体" w:hAnsi="宋体" w:eastAsia="宋体" w:cs="宋体"/>
          <w:sz w:val="24"/>
          <w:szCs w:val="24"/>
          <w:highlight w:val="none"/>
          <w:u w:val="single"/>
        </w:rPr>
        <w:t>(2026)430203000003-1</w:t>
      </w:r>
    </w:p>
    <w:p w14:paraId="010BEE19">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eastAsia" w:cs="宋体"/>
          <w:sz w:val="24"/>
          <w:szCs w:val="24"/>
          <w:lang w:val="en-US" w:eastAsia="zh-CN"/>
        </w:rPr>
      </w:pPr>
      <w:r>
        <w:rPr>
          <w:rFonts w:hint="eastAsia" w:cs="宋体"/>
          <w:sz w:val="24"/>
          <w:szCs w:val="24"/>
          <w:lang w:val="en-US" w:eastAsia="zh-CN"/>
        </w:rPr>
        <w:t>3</w:t>
      </w:r>
      <w:r>
        <w:rPr>
          <w:rFonts w:hint="default" w:cs="宋体"/>
          <w:sz w:val="24"/>
          <w:szCs w:val="24"/>
          <w:lang w:val="en-US" w:eastAsia="zh-CN"/>
        </w:rPr>
        <w:t>.</w:t>
      </w:r>
      <w:r>
        <w:rPr>
          <w:rFonts w:hint="eastAsia" w:cs="宋体"/>
          <w:sz w:val="24"/>
          <w:szCs w:val="24"/>
          <w:lang w:val="en-US" w:eastAsia="zh-CN"/>
        </w:rPr>
        <w:t>委托代理编号：</w:t>
      </w:r>
      <w:r>
        <w:rPr>
          <w:rFonts w:hint="eastAsia" w:cs="宋体"/>
          <w:sz w:val="24"/>
          <w:szCs w:val="24"/>
          <w:u w:val="single"/>
          <w:lang w:val="en-US" w:eastAsia="zh-CN"/>
        </w:rPr>
        <w:t xml:space="preserve">HNTZ-2026109 </w:t>
      </w:r>
    </w:p>
    <w:p w14:paraId="7D17BD6B">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cs="宋体"/>
          <w:sz w:val="24"/>
          <w:szCs w:val="24"/>
          <w:lang w:val="en-US" w:eastAsia="zh-CN"/>
        </w:rPr>
      </w:pPr>
      <w:r>
        <w:rPr>
          <w:rFonts w:hint="eastAsia" w:cs="宋体"/>
          <w:sz w:val="24"/>
          <w:szCs w:val="24"/>
          <w:lang w:val="en-US" w:eastAsia="zh-CN"/>
        </w:rPr>
        <w:t>4</w:t>
      </w:r>
      <w:r>
        <w:rPr>
          <w:rFonts w:hint="default" w:cs="宋体"/>
          <w:sz w:val="24"/>
          <w:szCs w:val="24"/>
          <w:lang w:val="en-US" w:eastAsia="zh-CN"/>
        </w:rPr>
        <w:t>.</w:t>
      </w:r>
      <w:r>
        <w:rPr>
          <w:rFonts w:hint="eastAsia" w:cs="宋体"/>
          <w:sz w:val="24"/>
          <w:szCs w:val="24"/>
          <w:lang w:val="en-US" w:eastAsia="zh-CN"/>
        </w:rPr>
        <w:t>采购项目预算：</w:t>
      </w:r>
      <w:r>
        <w:rPr>
          <w:rFonts w:hint="eastAsia" w:cs="宋体"/>
          <w:sz w:val="24"/>
          <w:szCs w:val="24"/>
          <w:u w:val="single"/>
          <w:lang w:val="en-US" w:eastAsia="zh-CN"/>
        </w:rPr>
        <w:t>1030593.00</w:t>
      </w:r>
      <w:r>
        <w:rPr>
          <w:rFonts w:hint="eastAsia" w:cs="宋体"/>
          <w:sz w:val="24"/>
          <w:szCs w:val="24"/>
          <w:lang w:val="en-US" w:eastAsia="zh-CN"/>
        </w:rPr>
        <w:t>元</w:t>
      </w:r>
    </w:p>
    <w:p w14:paraId="7A3DBFD6">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rPr>
      </w:pPr>
      <w:r>
        <w:rPr>
          <w:rFonts w:ascii="Wingdings" w:hAnsi="Wingdings" w:cs="Wingdings"/>
          <w:sz w:val="24"/>
          <w:szCs w:val="24"/>
        </w:rPr>
        <w:t>¨</w:t>
      </w:r>
      <w:r>
        <w:rPr>
          <w:rFonts w:hint="eastAsia" w:ascii="宋体" w:hAnsi="宋体" w:eastAsia="宋体" w:cs="宋体"/>
          <w:sz w:val="24"/>
          <w:szCs w:val="24"/>
        </w:rPr>
        <w:t>支持预付款，预付比例：</w:t>
      </w:r>
      <w:r>
        <w:rPr>
          <w:rFonts w:hint="eastAsia" w:ascii="宋体" w:hAnsi="宋体" w:eastAsia="宋体" w:cs="宋体"/>
          <w:sz w:val="24"/>
          <w:szCs w:val="24"/>
          <w:u w:val="single"/>
        </w:rPr>
        <w:t>  /  </w:t>
      </w:r>
    </w:p>
    <w:p w14:paraId="4266C35F">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rPr>
      </w:pPr>
      <w:r>
        <w:rPr>
          <w:rFonts w:hint="eastAsia" w:cs="宋体"/>
          <w:sz w:val="24"/>
          <w:szCs w:val="24"/>
          <w:lang w:val="en-US" w:eastAsia="zh-CN"/>
        </w:rPr>
        <w:t>5</w:t>
      </w:r>
      <w:r>
        <w:rPr>
          <w:rFonts w:hint="default" w:cs="宋体"/>
          <w:sz w:val="24"/>
          <w:szCs w:val="24"/>
          <w:lang w:val="en-US"/>
        </w:rPr>
        <w:t>.</w:t>
      </w:r>
      <w:r>
        <w:rPr>
          <w:rFonts w:hint="eastAsia" w:ascii="宋体" w:hAnsi="宋体" w:eastAsia="宋体" w:cs="宋体"/>
          <w:sz w:val="24"/>
          <w:szCs w:val="24"/>
        </w:rPr>
        <w:t>本项目对应的中小企业划分标准所属行业：</w:t>
      </w:r>
      <w:r>
        <w:rPr>
          <w:rFonts w:hint="eastAsia" w:cs="宋体"/>
          <w:kern w:val="0"/>
          <w:szCs w:val="21"/>
          <w:u w:val="single"/>
          <w:lang w:val="en-US" w:eastAsia="zh-CN" w:bidi="ar"/>
        </w:rPr>
        <w:t>建筑</w:t>
      </w:r>
      <w:r>
        <w:rPr>
          <w:rFonts w:hint="eastAsia" w:ascii="宋体" w:hAnsi="宋体" w:cs="宋体"/>
          <w:kern w:val="0"/>
          <w:szCs w:val="21"/>
          <w:u w:val="single"/>
          <w:lang w:eastAsia="zh-CN" w:bidi="ar"/>
        </w:rPr>
        <w:t>业</w:t>
      </w:r>
    </w:p>
    <w:p w14:paraId="7B5004B2">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rPr>
      </w:pPr>
      <w:r>
        <w:rPr>
          <w:rFonts w:hint="eastAsia" w:cs="宋体"/>
          <w:sz w:val="24"/>
          <w:szCs w:val="24"/>
          <w:lang w:val="en-US" w:eastAsia="zh-CN"/>
        </w:rPr>
        <w:t>6</w:t>
      </w:r>
      <w:r>
        <w:rPr>
          <w:rFonts w:hint="default" w:cs="宋体"/>
          <w:sz w:val="24"/>
          <w:szCs w:val="24"/>
          <w:lang w:val="en-US"/>
        </w:rPr>
        <w:t>.</w:t>
      </w:r>
      <w:r>
        <w:rPr>
          <w:rFonts w:hint="eastAsia" w:ascii="宋体" w:hAnsi="宋体" w:eastAsia="宋体" w:cs="宋体"/>
          <w:sz w:val="24"/>
          <w:szCs w:val="24"/>
        </w:rPr>
        <w:t>合同定价方式：</w:t>
      </w:r>
      <w:r>
        <w:rPr>
          <w:rFonts w:hint="default" w:ascii="Wingdings" w:hAnsi="Wingdings" w:cs="Wingdings"/>
          <w:sz w:val="24"/>
          <w:szCs w:val="24"/>
        </w:rPr>
        <w:sym w:font="Wingdings" w:char="00A8"/>
      </w:r>
      <w:r>
        <w:rPr>
          <w:rFonts w:hint="eastAsia" w:ascii="宋体" w:hAnsi="宋体" w:eastAsia="宋体" w:cs="宋体"/>
          <w:sz w:val="24"/>
          <w:szCs w:val="24"/>
        </w:rPr>
        <w:t xml:space="preserve">固定总价 ■固定单价 </w:t>
      </w:r>
      <w:r>
        <w:rPr>
          <w:rFonts w:hint="default" w:ascii="Wingdings" w:hAnsi="Wingdings" w:cs="Wingdings"/>
          <w:sz w:val="24"/>
          <w:szCs w:val="24"/>
        </w:rPr>
        <w:t>¨</w:t>
      </w:r>
      <w:r>
        <w:rPr>
          <w:rFonts w:hint="eastAsia" w:ascii="宋体" w:hAnsi="宋体" w:eastAsia="宋体" w:cs="宋体"/>
          <w:sz w:val="24"/>
          <w:szCs w:val="24"/>
        </w:rPr>
        <w:t xml:space="preserve">成本补偿 </w:t>
      </w:r>
      <w:r>
        <w:rPr>
          <w:rFonts w:hint="default" w:ascii="Wingdings" w:hAnsi="Wingdings" w:cs="Wingdings"/>
          <w:sz w:val="24"/>
          <w:szCs w:val="24"/>
        </w:rPr>
        <w:t>¨</w:t>
      </w:r>
      <w:r>
        <w:rPr>
          <w:rFonts w:hint="eastAsia" w:ascii="宋体" w:hAnsi="宋体" w:eastAsia="宋体" w:cs="宋体"/>
          <w:sz w:val="24"/>
          <w:szCs w:val="24"/>
        </w:rPr>
        <w:t>绩效激励</w:t>
      </w:r>
    </w:p>
    <w:p w14:paraId="2846AA56">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color w:val="000000"/>
          <w:sz w:val="21"/>
          <w:szCs w:val="21"/>
        </w:rPr>
      </w:pPr>
      <w:r>
        <w:rPr>
          <w:rFonts w:hint="eastAsia" w:cs="宋体"/>
          <w:color w:val="000000"/>
          <w:sz w:val="24"/>
          <w:szCs w:val="24"/>
          <w:lang w:val="en-US" w:eastAsia="zh-CN"/>
        </w:rPr>
        <w:t>7</w:t>
      </w:r>
      <w:r>
        <w:rPr>
          <w:rFonts w:hint="default" w:cs="宋体"/>
          <w:color w:val="000000"/>
          <w:sz w:val="24"/>
          <w:szCs w:val="24"/>
          <w:lang w:val="en-US"/>
        </w:rPr>
        <w:t>.</w:t>
      </w:r>
      <w:r>
        <w:rPr>
          <w:rFonts w:hint="eastAsia" w:ascii="宋体" w:hAnsi="宋体" w:eastAsia="宋体" w:cs="宋体"/>
          <w:color w:val="000000"/>
          <w:sz w:val="24"/>
          <w:szCs w:val="24"/>
        </w:rPr>
        <w:t>合同履行期限：</w:t>
      </w:r>
      <w:r>
        <w:rPr>
          <w:rFonts w:hint="eastAsia" w:cs="宋体"/>
          <w:color w:val="000000"/>
          <w:sz w:val="24"/>
          <w:szCs w:val="24"/>
          <w:highlight w:val="none"/>
          <w:u w:val="single"/>
          <w:lang w:val="en-US" w:eastAsia="zh-CN"/>
        </w:rPr>
        <w:t>60</w:t>
      </w:r>
      <w:r>
        <w:rPr>
          <w:rFonts w:hint="eastAsia" w:ascii="宋体" w:hAnsi="宋体" w:eastAsia="宋体" w:cs="宋体"/>
          <w:color w:val="000000"/>
          <w:sz w:val="24"/>
          <w:szCs w:val="24"/>
          <w:highlight w:val="none"/>
        </w:rPr>
        <w:t>日</w:t>
      </w:r>
      <w:r>
        <w:rPr>
          <w:rFonts w:hint="eastAsia" w:ascii="宋体" w:hAnsi="宋体" w:eastAsia="宋体" w:cs="宋体"/>
          <w:color w:val="000000"/>
          <w:sz w:val="24"/>
          <w:szCs w:val="24"/>
        </w:rPr>
        <w:t>历天</w:t>
      </w:r>
    </w:p>
    <w:p w14:paraId="5D91F3AA">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rPr>
      </w:pPr>
      <w:r>
        <w:rPr>
          <w:rFonts w:hint="eastAsia" w:cs="宋体"/>
          <w:sz w:val="24"/>
          <w:szCs w:val="24"/>
          <w:lang w:val="en-US" w:eastAsia="zh-CN"/>
        </w:rPr>
        <w:t>8</w:t>
      </w:r>
      <w:r>
        <w:rPr>
          <w:rFonts w:hint="default" w:cs="宋体"/>
          <w:sz w:val="24"/>
          <w:szCs w:val="24"/>
          <w:lang w:val="en-US"/>
        </w:rPr>
        <w:t>.</w:t>
      </w:r>
      <w:r>
        <w:rPr>
          <w:rFonts w:hint="eastAsia" w:ascii="宋体" w:hAnsi="宋体" w:eastAsia="宋体" w:cs="宋体"/>
          <w:sz w:val="24"/>
          <w:szCs w:val="24"/>
        </w:rPr>
        <w:t>本项目分阶段要求供应商提供以下保证：</w:t>
      </w:r>
    </w:p>
    <w:p w14:paraId="1D696B81">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highlight w:val="none"/>
        </w:rPr>
      </w:pPr>
      <w:r>
        <w:rPr>
          <w:rFonts w:hint="eastAsia" w:ascii="宋体" w:hAnsi="宋体" w:eastAsia="宋体" w:cs="宋体"/>
          <w:sz w:val="24"/>
          <w:szCs w:val="24"/>
          <w:highlight w:val="none"/>
        </w:rPr>
        <w:t>■谈判保证金：采购项目预算的</w:t>
      </w:r>
      <w:r>
        <w:rPr>
          <w:rFonts w:hint="eastAsia" w:ascii="宋体" w:hAnsi="宋体" w:eastAsia="宋体" w:cs="宋体"/>
          <w:sz w:val="24"/>
          <w:szCs w:val="24"/>
          <w:highlight w:val="none"/>
          <w:u w:val="none"/>
        </w:rPr>
        <w:t>不超过</w:t>
      </w:r>
      <w:r>
        <w:rPr>
          <w:rFonts w:hint="eastAsia" w:ascii="宋体" w:hAnsi="宋体" w:cs="宋体"/>
          <w:sz w:val="24"/>
          <w:szCs w:val="24"/>
          <w:highlight w:val="none"/>
          <w:u w:val="single"/>
          <w:lang w:val="en-US" w:eastAsia="zh-CN"/>
        </w:rPr>
        <w:t xml:space="preserve"> </w:t>
      </w:r>
      <w:r>
        <w:rPr>
          <w:rFonts w:hint="eastAsia" w:cs="宋体"/>
          <w:sz w:val="24"/>
          <w:szCs w:val="24"/>
          <w:highlight w:val="none"/>
          <w:u w:val="single"/>
          <w:lang w:val="en-US" w:eastAsia="zh-CN"/>
        </w:rPr>
        <w:t>2</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14:paraId="3D00DA5E">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highlight w:val="none"/>
        </w:rPr>
      </w:pPr>
      <w:r>
        <w:rPr>
          <w:rFonts w:hint="eastAsia" w:ascii="宋体" w:hAnsi="宋体" w:eastAsia="宋体" w:cs="宋体"/>
          <w:sz w:val="24"/>
          <w:szCs w:val="24"/>
          <w:highlight w:val="none"/>
        </w:rPr>
        <w:t>■履约保证金：中标金额的</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240518E">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highlight w:val="none"/>
        </w:rPr>
      </w:pPr>
      <w:r>
        <w:rPr>
          <w:rFonts w:ascii="Wingdings" w:hAnsi="Wingdings" w:cs="Wingdings"/>
          <w:sz w:val="24"/>
          <w:szCs w:val="24"/>
          <w:highlight w:val="none"/>
        </w:rPr>
        <w:t>¨</w:t>
      </w:r>
      <w:r>
        <w:rPr>
          <w:rFonts w:hint="eastAsia" w:ascii="宋体" w:hAnsi="宋体" w:eastAsia="宋体" w:cs="宋体"/>
          <w:sz w:val="24"/>
          <w:szCs w:val="24"/>
          <w:highlight w:val="none"/>
        </w:rPr>
        <w:t>预付款保证金：预付款的</w:t>
      </w:r>
      <w:r>
        <w:rPr>
          <w:rFonts w:hint="eastAsia" w:ascii="宋体" w:hAnsi="宋体" w:eastAsia="宋体" w:cs="宋体"/>
          <w:sz w:val="24"/>
          <w:szCs w:val="24"/>
          <w:highlight w:val="none"/>
          <w:u w:val="single"/>
        </w:rPr>
        <w:t> </w:t>
      </w:r>
      <w:r>
        <w:rPr>
          <w:rFonts w:hint="eastAsia" w:cs="宋体"/>
          <w:sz w:val="24"/>
          <w:szCs w:val="24"/>
          <w:highlight w:val="none"/>
          <w:u w:val="single"/>
          <w:lang w:val="en-US" w:eastAsia="zh-CN"/>
        </w:rPr>
        <w:t>/</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14:paraId="7A73FB45">
      <w:pPr>
        <w:pStyle w:val="8"/>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rPr>
          <w:rFonts w:hint="default" w:ascii="Times New Roman" w:hAnsi="Times New Roman" w:cs="Times New Roman"/>
          <w:sz w:val="21"/>
          <w:szCs w:val="21"/>
          <w:highlight w:val="none"/>
        </w:rPr>
      </w:pPr>
      <w:r>
        <w:rPr>
          <w:rFonts w:hint="eastAsia" w:ascii="宋体" w:hAnsi="宋体" w:eastAsia="宋体" w:cs="宋体"/>
          <w:sz w:val="24"/>
          <w:szCs w:val="24"/>
          <w:highlight w:val="none"/>
        </w:rPr>
        <w:t>■质量保证金：合同金额的</w:t>
      </w:r>
      <w:r>
        <w:rPr>
          <w:rFonts w:hint="eastAsia" w:ascii="宋体" w:hAnsi="宋体" w:cs="宋体"/>
          <w:sz w:val="24"/>
          <w:szCs w:val="24"/>
          <w:highlight w:val="none"/>
          <w:u w:val="single"/>
          <w:lang w:val="en-US" w:eastAsia="zh-CN"/>
        </w:rPr>
        <w:t xml:space="preserve">  </w:t>
      </w:r>
      <w:r>
        <w:rPr>
          <w:rFonts w:hint="eastAsia" w:cs="宋体"/>
          <w:sz w:val="24"/>
          <w:szCs w:val="24"/>
          <w:highlight w:val="none"/>
          <w:u w:val="single"/>
          <w:lang w:val="en-US" w:eastAsia="zh-CN"/>
        </w:rPr>
        <w:t>3</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14:paraId="0C67B0F6">
      <w:pPr>
        <w:pageBreakBefore w:val="0"/>
        <w:kinsoku/>
        <w:autoSpaceDE/>
        <w:autoSpaceDN/>
        <w:bidi w:val="0"/>
        <w:adjustRightInd w:val="0"/>
        <w:snapToGrid w:val="0"/>
        <w:spacing w:line="360" w:lineRule="auto"/>
        <w:ind w:firstLine="480" w:firstLineChars="200"/>
        <w:rPr>
          <w:rFonts w:ascii="宋体" w:hAnsi="宋体" w:cs="宋体"/>
          <w:i/>
          <w:sz w:val="24"/>
        </w:rPr>
      </w:pPr>
      <w:r>
        <w:rPr>
          <w:rFonts w:hint="eastAsia" w:ascii="宋体" w:hAnsi="宋体" w:cs="宋体"/>
          <w:sz w:val="24"/>
        </w:rPr>
        <w:t xml:space="preserve">       </w:t>
      </w:r>
    </w:p>
    <w:p w14:paraId="46E7DC99">
      <w:pPr>
        <w:pStyle w:val="3"/>
        <w:pageBreakBefore w:val="0"/>
        <w:kinsoku/>
        <w:autoSpaceDE/>
        <w:autoSpaceDN/>
        <w:bidi w:val="0"/>
        <w:adjustRightInd w:val="0"/>
        <w:snapToGrid w:val="0"/>
        <w:spacing w:line="360" w:lineRule="auto"/>
        <w:ind w:firstLine="482" w:firstLineChars="200"/>
        <w:rPr>
          <w:rFonts w:ascii="宋体" w:hAnsi="宋体" w:cs="宋体"/>
          <w:szCs w:val="24"/>
        </w:rPr>
      </w:pPr>
      <w:bookmarkStart w:id="3" w:name="_Toc22201056"/>
      <w:bookmarkStart w:id="4" w:name="_Toc34637753"/>
      <w:r>
        <w:rPr>
          <w:rFonts w:hint="eastAsia" w:ascii="宋体" w:hAnsi="宋体" w:cs="宋体"/>
          <w:szCs w:val="24"/>
        </w:rPr>
        <w:t>二、采购人的采购需求</w:t>
      </w:r>
      <w:bookmarkEnd w:id="3"/>
      <w:bookmarkEnd w:id="4"/>
    </w:p>
    <w:tbl>
      <w:tblPr>
        <w:tblStyle w:val="10"/>
        <w:tblW w:w="83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5"/>
        <w:gridCol w:w="1450"/>
        <w:gridCol w:w="1515"/>
        <w:gridCol w:w="615"/>
        <w:gridCol w:w="1355"/>
        <w:gridCol w:w="1260"/>
        <w:gridCol w:w="765"/>
        <w:gridCol w:w="735"/>
      </w:tblGrid>
      <w:tr w14:paraId="43E0C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45" w:type="dxa"/>
            <w:noWrap w:val="0"/>
            <w:vAlign w:val="center"/>
          </w:tcPr>
          <w:p w14:paraId="536EB98C">
            <w:pPr>
              <w:adjustRightInd w:val="0"/>
              <w:snapToGrid w:val="0"/>
              <w:jc w:val="center"/>
              <w:rPr>
                <w:color w:val="auto"/>
                <w:szCs w:val="21"/>
              </w:rPr>
            </w:pPr>
            <w:bookmarkStart w:id="5" w:name="_Toc22201058"/>
            <w:bookmarkStart w:id="6" w:name="_Toc34637755"/>
            <w:r>
              <w:rPr>
                <w:rFonts w:hint="eastAsia"/>
                <w:color w:val="auto"/>
                <w:szCs w:val="21"/>
              </w:rPr>
              <w:t xml:space="preserve">包号 </w:t>
            </w:r>
          </w:p>
        </w:tc>
        <w:tc>
          <w:tcPr>
            <w:tcW w:w="1450" w:type="dxa"/>
            <w:noWrap w:val="0"/>
            <w:vAlign w:val="center"/>
          </w:tcPr>
          <w:p w14:paraId="052B0D0C">
            <w:pPr>
              <w:adjustRightInd w:val="0"/>
              <w:snapToGrid w:val="0"/>
              <w:jc w:val="center"/>
              <w:rPr>
                <w:color w:val="auto"/>
                <w:szCs w:val="21"/>
              </w:rPr>
            </w:pPr>
            <w:r>
              <w:rPr>
                <w:rFonts w:hint="eastAsia"/>
                <w:color w:val="auto"/>
                <w:szCs w:val="21"/>
              </w:rPr>
              <w:t>标的名称</w:t>
            </w:r>
          </w:p>
        </w:tc>
        <w:tc>
          <w:tcPr>
            <w:tcW w:w="1515" w:type="dxa"/>
            <w:tcBorders>
              <w:left w:val="single" w:color="auto" w:sz="4" w:space="0"/>
            </w:tcBorders>
            <w:noWrap w:val="0"/>
            <w:vAlign w:val="center"/>
          </w:tcPr>
          <w:p w14:paraId="2E79192C">
            <w:pPr>
              <w:adjustRightInd w:val="0"/>
              <w:snapToGrid w:val="0"/>
              <w:jc w:val="center"/>
              <w:rPr>
                <w:color w:val="auto"/>
                <w:szCs w:val="21"/>
              </w:rPr>
            </w:pPr>
            <w:r>
              <w:rPr>
                <w:rFonts w:hint="eastAsia"/>
                <w:color w:val="auto"/>
                <w:szCs w:val="21"/>
              </w:rPr>
              <w:t>简要技术要求</w:t>
            </w:r>
          </w:p>
        </w:tc>
        <w:tc>
          <w:tcPr>
            <w:tcW w:w="615" w:type="dxa"/>
            <w:tcBorders>
              <w:left w:val="single" w:color="auto" w:sz="4" w:space="0"/>
            </w:tcBorders>
            <w:noWrap w:val="0"/>
            <w:vAlign w:val="center"/>
          </w:tcPr>
          <w:p w14:paraId="46E78FE9">
            <w:pPr>
              <w:adjustRightInd w:val="0"/>
              <w:snapToGrid w:val="0"/>
              <w:jc w:val="center"/>
              <w:rPr>
                <w:rFonts w:ascii="宋体" w:hAnsi="宋体" w:cs="宋体"/>
                <w:color w:val="auto"/>
                <w:kern w:val="0"/>
                <w:szCs w:val="21"/>
              </w:rPr>
            </w:pPr>
            <w:r>
              <w:rPr>
                <w:rFonts w:hint="eastAsia"/>
                <w:color w:val="auto"/>
                <w:szCs w:val="21"/>
              </w:rPr>
              <w:t>数量</w:t>
            </w:r>
          </w:p>
        </w:tc>
        <w:tc>
          <w:tcPr>
            <w:tcW w:w="1355" w:type="dxa"/>
            <w:noWrap w:val="0"/>
            <w:vAlign w:val="center"/>
          </w:tcPr>
          <w:p w14:paraId="6FCDDE90">
            <w:pPr>
              <w:adjustRightInd w:val="0"/>
              <w:snapToGrid w:val="0"/>
              <w:jc w:val="center"/>
              <w:rPr>
                <w:rFonts w:hint="eastAsia"/>
              </w:rPr>
            </w:pPr>
            <w:r>
              <w:rPr>
                <w:rFonts w:hint="eastAsia"/>
              </w:rPr>
              <w:t>标的预算</w:t>
            </w:r>
          </w:p>
          <w:p w14:paraId="00F163BF">
            <w:pPr>
              <w:pStyle w:val="12"/>
              <w:ind w:left="0" w:leftChars="0" w:firstLine="0" w:firstLineChars="0"/>
              <w:jc w:val="center"/>
              <w:rPr>
                <w:color w:val="auto"/>
                <w:szCs w:val="21"/>
              </w:rPr>
            </w:pPr>
            <w:r>
              <w:rPr>
                <w:rFonts w:hint="eastAsia"/>
                <w:color w:val="auto"/>
                <w:szCs w:val="21"/>
                <w:lang w:eastAsia="zh-CN"/>
              </w:rPr>
              <w:t>（</w:t>
            </w:r>
            <w:r>
              <w:rPr>
                <w:rFonts w:hint="eastAsia"/>
                <w:color w:val="auto"/>
                <w:szCs w:val="21"/>
                <w:lang w:val="en-US" w:eastAsia="zh-CN"/>
              </w:rPr>
              <w:t>元</w:t>
            </w:r>
            <w:r>
              <w:rPr>
                <w:rFonts w:hint="eastAsia"/>
                <w:color w:val="auto"/>
                <w:szCs w:val="21"/>
                <w:lang w:eastAsia="zh-CN"/>
              </w:rPr>
              <w:t>）</w:t>
            </w:r>
          </w:p>
        </w:tc>
        <w:tc>
          <w:tcPr>
            <w:tcW w:w="1260" w:type="dxa"/>
            <w:noWrap w:val="0"/>
            <w:vAlign w:val="center"/>
          </w:tcPr>
          <w:p w14:paraId="5712AB00">
            <w:pPr>
              <w:adjustRightInd w:val="0"/>
              <w:snapToGrid w:val="0"/>
              <w:jc w:val="center"/>
              <w:rPr>
                <w:rFonts w:hint="eastAsia"/>
              </w:rPr>
            </w:pPr>
            <w:r>
              <w:rPr>
                <w:rFonts w:hint="eastAsia"/>
              </w:rPr>
              <w:t>最高限价</w:t>
            </w:r>
          </w:p>
          <w:p w14:paraId="63ABE047">
            <w:pPr>
              <w:pStyle w:val="12"/>
              <w:ind w:left="0" w:leftChars="0" w:firstLine="0" w:firstLineChars="0"/>
              <w:jc w:val="center"/>
              <w:rPr>
                <w:color w:val="auto"/>
                <w:szCs w:val="21"/>
              </w:rPr>
            </w:pPr>
            <w:r>
              <w:rPr>
                <w:rFonts w:hint="eastAsia"/>
                <w:color w:val="auto"/>
                <w:szCs w:val="21"/>
                <w:lang w:eastAsia="zh-CN"/>
              </w:rPr>
              <w:t>（</w:t>
            </w:r>
            <w:r>
              <w:rPr>
                <w:rFonts w:hint="eastAsia"/>
                <w:color w:val="auto"/>
                <w:szCs w:val="21"/>
                <w:lang w:val="en-US" w:eastAsia="zh-CN"/>
              </w:rPr>
              <w:t>元</w:t>
            </w:r>
            <w:r>
              <w:rPr>
                <w:rFonts w:hint="eastAsia"/>
                <w:color w:val="auto"/>
                <w:szCs w:val="21"/>
                <w:lang w:eastAsia="zh-CN"/>
              </w:rPr>
              <w:t>）</w:t>
            </w:r>
          </w:p>
        </w:tc>
        <w:tc>
          <w:tcPr>
            <w:tcW w:w="765" w:type="dxa"/>
            <w:noWrap w:val="0"/>
            <w:vAlign w:val="center"/>
          </w:tcPr>
          <w:p w14:paraId="2EAAA129">
            <w:pPr>
              <w:adjustRightInd w:val="0"/>
              <w:snapToGrid w:val="0"/>
              <w:jc w:val="center"/>
              <w:rPr>
                <w:color w:val="auto"/>
                <w:szCs w:val="21"/>
              </w:rPr>
            </w:pPr>
            <w:r>
              <w:rPr>
                <w:rFonts w:hint="eastAsia"/>
                <w:color w:val="auto"/>
                <w:szCs w:val="21"/>
              </w:rPr>
              <w:t>节能产品</w:t>
            </w:r>
          </w:p>
        </w:tc>
        <w:tc>
          <w:tcPr>
            <w:tcW w:w="735" w:type="dxa"/>
            <w:noWrap w:val="0"/>
            <w:vAlign w:val="center"/>
          </w:tcPr>
          <w:p w14:paraId="580D18E3">
            <w:pPr>
              <w:adjustRightInd w:val="0"/>
              <w:snapToGrid w:val="0"/>
              <w:jc w:val="center"/>
              <w:rPr>
                <w:color w:val="auto"/>
                <w:szCs w:val="21"/>
              </w:rPr>
            </w:pPr>
            <w:r>
              <w:rPr>
                <w:rFonts w:hint="eastAsia"/>
                <w:color w:val="auto"/>
                <w:szCs w:val="21"/>
              </w:rPr>
              <w:t>进口产品</w:t>
            </w:r>
          </w:p>
        </w:tc>
      </w:tr>
      <w:tr w14:paraId="31617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25" w:hRule="atLeast"/>
          <w:jc w:val="center"/>
        </w:trPr>
        <w:tc>
          <w:tcPr>
            <w:tcW w:w="645" w:type="dxa"/>
            <w:noWrap w:val="0"/>
            <w:vAlign w:val="center"/>
          </w:tcPr>
          <w:p w14:paraId="3E361A1C">
            <w:pPr>
              <w:adjustRightInd w:val="0"/>
              <w:snapToGrid w:val="0"/>
              <w:spacing w:before="156" w:beforeLines="50" w:line="360" w:lineRule="auto"/>
              <w:jc w:val="center"/>
              <w:rPr>
                <w:rFonts w:hint="eastAsia" w:eastAsia="宋体"/>
                <w:color w:val="auto"/>
                <w:szCs w:val="21"/>
                <w:lang w:val="en-US" w:eastAsia="zh-CN"/>
              </w:rPr>
            </w:pPr>
            <w:r>
              <w:rPr>
                <w:rFonts w:hint="eastAsia"/>
                <w:color w:val="auto"/>
                <w:szCs w:val="21"/>
                <w:lang w:val="en-US" w:eastAsia="zh-CN"/>
              </w:rPr>
              <w:t>1</w:t>
            </w:r>
          </w:p>
        </w:tc>
        <w:tc>
          <w:tcPr>
            <w:tcW w:w="1450" w:type="dxa"/>
            <w:noWrap w:val="0"/>
            <w:vAlign w:val="center"/>
          </w:tcPr>
          <w:p w14:paraId="74A5B29B">
            <w:pPr>
              <w:adjustRightInd w:val="0"/>
              <w:snapToGrid w:val="0"/>
              <w:spacing w:beforeAutospacing="0" w:line="240" w:lineRule="auto"/>
              <w:jc w:val="center"/>
              <w:rPr>
                <w:color w:val="auto"/>
                <w:szCs w:val="21"/>
              </w:rPr>
            </w:pPr>
            <w:r>
              <w:rPr>
                <w:rFonts w:hint="eastAsia" w:ascii="宋体" w:hAnsi="宋体" w:cs="宋体"/>
                <w:color w:val="auto"/>
                <w:kern w:val="0"/>
                <w:sz w:val="21"/>
                <w:szCs w:val="21"/>
                <w:highlight w:val="none"/>
                <w:lang w:val="en-US" w:eastAsia="zh-CN" w:bidi="ar"/>
              </w:rPr>
              <w:t>2026年株洲市芦淞区农村公路养护工程</w:t>
            </w:r>
          </w:p>
        </w:tc>
        <w:tc>
          <w:tcPr>
            <w:tcW w:w="1515" w:type="dxa"/>
            <w:tcBorders>
              <w:left w:val="single" w:color="auto" w:sz="4" w:space="0"/>
            </w:tcBorders>
            <w:noWrap w:val="0"/>
            <w:vAlign w:val="center"/>
          </w:tcPr>
          <w:p w14:paraId="4562555B">
            <w:pPr>
              <w:adjustRightInd w:val="0"/>
              <w:snapToGrid w:val="0"/>
              <w:jc w:val="center"/>
              <w:rPr>
                <w:rFonts w:hint="default" w:eastAsia="宋体"/>
                <w:color w:val="auto"/>
                <w:szCs w:val="21"/>
                <w:lang w:val="en-US" w:eastAsia="zh-CN"/>
              </w:rPr>
            </w:pPr>
            <w:r>
              <w:rPr>
                <w:rFonts w:hint="eastAsia" w:ascii="宋体" w:hAnsi="宋体" w:eastAsia="宋体" w:cs="宋体"/>
                <w:color w:val="auto"/>
                <w:kern w:val="0"/>
                <w:sz w:val="21"/>
                <w:szCs w:val="21"/>
                <w:highlight w:val="none"/>
                <w:lang w:val="en-US" w:eastAsia="zh-CN" w:bidi="ar"/>
              </w:rPr>
              <w:t>详见谈判文件</w:t>
            </w:r>
          </w:p>
        </w:tc>
        <w:tc>
          <w:tcPr>
            <w:tcW w:w="615" w:type="dxa"/>
            <w:tcBorders>
              <w:left w:val="single" w:color="auto" w:sz="4" w:space="0"/>
            </w:tcBorders>
            <w:noWrap w:val="0"/>
            <w:vAlign w:val="center"/>
          </w:tcPr>
          <w:p w14:paraId="49BA2371">
            <w:pPr>
              <w:pStyle w:val="7"/>
              <w:adjustRightInd w:val="0"/>
              <w:snapToGrid w:val="0"/>
              <w:jc w:val="center"/>
              <w:rPr>
                <w:rFonts w:hint="default" w:eastAsia="宋体"/>
                <w:color w:val="auto"/>
                <w:szCs w:val="21"/>
                <w:lang w:val="en-US" w:eastAsia="zh-CN"/>
              </w:rPr>
            </w:pPr>
            <w:r>
              <w:rPr>
                <w:rFonts w:hint="eastAsia" w:hAnsi="宋体"/>
                <w:color w:val="auto"/>
                <w:kern w:val="0"/>
                <w:lang w:val="en-US" w:eastAsia="zh-CN"/>
              </w:rPr>
              <w:t>1</w:t>
            </w:r>
          </w:p>
        </w:tc>
        <w:tc>
          <w:tcPr>
            <w:tcW w:w="1355" w:type="dxa"/>
            <w:noWrap w:val="0"/>
            <w:vAlign w:val="center"/>
          </w:tcPr>
          <w:p w14:paraId="421216FA">
            <w:pPr>
              <w:pStyle w:val="7"/>
              <w:adjustRightInd w:val="0"/>
              <w:snapToGrid w:val="0"/>
              <w:jc w:val="center"/>
              <w:rPr>
                <w:rFonts w:hint="eastAsia" w:ascii="宋体" w:hAnsi="宋体" w:eastAsia="宋体" w:cs="宋体"/>
                <w:color w:val="auto"/>
                <w:szCs w:val="21"/>
                <w:lang w:val="en-US" w:eastAsia="zh-CN"/>
              </w:rPr>
            </w:pPr>
            <w:r>
              <w:rPr>
                <w:rFonts w:hint="eastAsia" w:hAnsi="宋体" w:cs="宋体"/>
                <w:sz w:val="21"/>
                <w:szCs w:val="21"/>
                <w:u w:val="none"/>
                <w:lang w:val="en-US" w:eastAsia="zh-CN"/>
              </w:rPr>
              <w:t>1030593</w:t>
            </w:r>
            <w:r>
              <w:rPr>
                <w:rFonts w:hint="eastAsia" w:ascii="宋体" w:hAnsi="宋体" w:eastAsia="宋体" w:cs="宋体"/>
                <w:sz w:val="21"/>
                <w:szCs w:val="21"/>
                <w:u w:val="none"/>
                <w:lang w:val="en-US" w:eastAsia="zh-CN"/>
              </w:rPr>
              <w:t>.00</w:t>
            </w:r>
          </w:p>
        </w:tc>
        <w:tc>
          <w:tcPr>
            <w:tcW w:w="1260" w:type="dxa"/>
            <w:noWrap w:val="0"/>
            <w:vAlign w:val="center"/>
          </w:tcPr>
          <w:p w14:paraId="6B06F2E1">
            <w:pPr>
              <w:adjustRightInd w:val="0"/>
              <w:snapToGrid w:val="0"/>
              <w:spacing w:before="156" w:beforeLines="50" w:line="360" w:lineRule="auto"/>
              <w:jc w:val="center"/>
              <w:rPr>
                <w:rFonts w:hint="eastAsia" w:ascii="宋体" w:hAnsi="宋体" w:eastAsia="宋体" w:cs="宋体"/>
                <w:color w:val="auto"/>
                <w:szCs w:val="21"/>
                <w:lang w:val="en-US" w:eastAsia="zh-CN"/>
              </w:rPr>
            </w:pPr>
            <w:r>
              <w:rPr>
                <w:rFonts w:hint="eastAsia" w:ascii="宋体" w:hAnsi="宋体" w:cs="宋体"/>
                <w:sz w:val="21"/>
                <w:szCs w:val="21"/>
                <w:u w:val="none"/>
                <w:lang w:val="en-US" w:eastAsia="zh-CN"/>
              </w:rPr>
              <w:t>1030593</w:t>
            </w:r>
            <w:r>
              <w:rPr>
                <w:rFonts w:hint="eastAsia" w:ascii="宋体" w:hAnsi="宋体" w:eastAsia="宋体" w:cs="宋体"/>
                <w:sz w:val="21"/>
                <w:szCs w:val="21"/>
                <w:u w:val="none"/>
                <w:lang w:val="en-US" w:eastAsia="zh-CN"/>
              </w:rPr>
              <w:t>.00</w:t>
            </w:r>
          </w:p>
        </w:tc>
        <w:tc>
          <w:tcPr>
            <w:tcW w:w="765" w:type="dxa"/>
            <w:noWrap w:val="0"/>
            <w:vAlign w:val="center"/>
          </w:tcPr>
          <w:p w14:paraId="46152A89">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c>
          <w:tcPr>
            <w:tcW w:w="735" w:type="dxa"/>
            <w:noWrap w:val="0"/>
            <w:vAlign w:val="center"/>
          </w:tcPr>
          <w:p w14:paraId="2092078B">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r>
    </w:tbl>
    <w:p w14:paraId="46A88A6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1.节能产品实行强制采购的，需提供国家认证机构出具的、处于有效期内的节能产品书。</w:t>
      </w:r>
    </w:p>
    <w:p w14:paraId="6603BA7D">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2.同意购买进口产品的，不限制满足采购需求的国内产品参与谈判。</w:t>
      </w:r>
    </w:p>
    <w:p w14:paraId="3EEF54B5">
      <w:pPr>
        <w:pStyle w:val="8"/>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三、采购项目需落实的政府采购政策</w:t>
      </w:r>
    </w:p>
    <w:p w14:paraId="299F8C7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w:t>
      </w:r>
      <w:r>
        <w:rPr>
          <w:rFonts w:hint="default" w:cs="宋体"/>
          <w:sz w:val="24"/>
          <w:szCs w:val="24"/>
          <w:lang w:val="en-US"/>
        </w:rPr>
        <w:t>.</w:t>
      </w:r>
      <w:r>
        <w:rPr>
          <w:rFonts w:hint="eastAsia" w:ascii="宋体" w:hAnsi="宋体" w:eastAsia="宋体" w:cs="宋体"/>
          <w:sz w:val="24"/>
          <w:szCs w:val="24"/>
        </w:rPr>
        <w:t>优先采购：节能产品、环境标志产品、两型产品享受加分或价格折扣。</w:t>
      </w:r>
    </w:p>
    <w:p w14:paraId="0E35871A">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default" w:cs="宋体"/>
          <w:sz w:val="24"/>
          <w:szCs w:val="24"/>
          <w:lang w:val="en-US"/>
        </w:rPr>
        <w:t>.</w:t>
      </w:r>
      <w:r>
        <w:rPr>
          <w:rFonts w:hint="eastAsia" w:ascii="宋体" w:hAnsi="宋体" w:eastAsia="宋体" w:cs="宋体"/>
          <w:sz w:val="24"/>
          <w:szCs w:val="24"/>
        </w:rPr>
        <w:t>支持中小企业：中小企业享受预留采购份额或价格折扣。</w:t>
      </w:r>
    </w:p>
    <w:p w14:paraId="465469C7">
      <w:pPr>
        <w:pStyle w:val="8"/>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四、供应商的资格要求</w:t>
      </w:r>
    </w:p>
    <w:p w14:paraId="41451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default" w:ascii="宋体" w:hAnsi="宋体" w:cs="宋体"/>
          <w:sz w:val="24"/>
          <w:szCs w:val="24"/>
          <w:lang w:val="en-US"/>
        </w:rPr>
        <w:t>.</w:t>
      </w:r>
      <w:r>
        <w:rPr>
          <w:rFonts w:hint="eastAsia" w:ascii="宋体" w:hAnsi="宋体" w:eastAsia="宋体" w:cs="宋体"/>
          <w:sz w:val="24"/>
          <w:szCs w:val="24"/>
        </w:rPr>
        <w:t>满足《中华人民共和国政府采购法》第二十二条规定；</w:t>
      </w:r>
    </w:p>
    <w:p w14:paraId="214856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14:paraId="422DE0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14:paraId="05301E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14:paraId="0C991B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（4）具有依法缴纳税收和社会保障资金的良好记录；</w:t>
      </w:r>
    </w:p>
    <w:p w14:paraId="19BE34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（5）参加政府采购活动前三年内，在经营活动中没有重大违法记录和不良记录承诺函；</w:t>
      </w:r>
    </w:p>
    <w:p w14:paraId="4FC49E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4493C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default" w:ascii="宋体" w:hAnsi="宋体" w:cs="宋体"/>
          <w:sz w:val="24"/>
          <w:szCs w:val="24"/>
          <w:lang w:val="en-US"/>
        </w:rPr>
        <w:t>.</w:t>
      </w:r>
      <w:r>
        <w:rPr>
          <w:rFonts w:hint="eastAsia" w:ascii="宋体" w:hAnsi="宋体" w:eastAsia="宋体" w:cs="宋体"/>
          <w:sz w:val="24"/>
          <w:szCs w:val="24"/>
        </w:rPr>
        <w:t>落实政府采购政策需满足的资格要求：</w:t>
      </w:r>
    </w:p>
    <w:p w14:paraId="199B46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专门面向：■中小企业 </w:t>
      </w:r>
      <w:r>
        <w:rPr>
          <w:rFonts w:hint="eastAsia" w:ascii="宋体" w:hAnsi="宋体" w:eastAsia="宋体" w:cs="宋体"/>
          <w:i w:val="0"/>
          <w:iCs w:val="0"/>
          <w:caps w:val="0"/>
          <w:color w:val="000000"/>
          <w:spacing w:val="0"/>
          <w:sz w:val="21"/>
          <w:szCs w:val="21"/>
        </w:rPr>
        <w:t>□</w:t>
      </w:r>
      <w:r>
        <w:rPr>
          <w:rFonts w:hint="eastAsia" w:ascii="宋体" w:hAnsi="宋体" w:eastAsia="宋体" w:cs="宋体"/>
          <w:sz w:val="24"/>
          <w:szCs w:val="24"/>
        </w:rPr>
        <w:t xml:space="preserve"> 小微企业 </w:t>
      </w:r>
      <w:r>
        <w:rPr>
          <w:rFonts w:hint="eastAsia" w:ascii="宋体" w:hAnsi="宋体" w:eastAsia="宋体" w:cs="宋体"/>
          <w:i w:val="0"/>
          <w:iCs w:val="0"/>
          <w:caps w:val="0"/>
          <w:color w:val="000000"/>
          <w:spacing w:val="0"/>
          <w:sz w:val="21"/>
          <w:szCs w:val="21"/>
        </w:rPr>
        <w:t>□</w:t>
      </w:r>
      <w:r>
        <w:rPr>
          <w:rFonts w:hint="eastAsia" w:ascii="宋体" w:hAnsi="宋体" w:eastAsia="宋体" w:cs="宋体"/>
          <w:sz w:val="24"/>
          <w:szCs w:val="24"/>
        </w:rPr>
        <w:t xml:space="preserve"> 监狱企业 </w:t>
      </w:r>
      <w:r>
        <w:rPr>
          <w:rFonts w:hint="eastAsia" w:ascii="宋体" w:hAnsi="宋体" w:eastAsia="宋体" w:cs="宋体"/>
          <w:i w:val="0"/>
          <w:iCs w:val="0"/>
          <w:caps w:val="0"/>
          <w:color w:val="000000"/>
          <w:spacing w:val="0"/>
          <w:sz w:val="21"/>
          <w:szCs w:val="21"/>
        </w:rPr>
        <w:t>□</w:t>
      </w:r>
      <w:r>
        <w:rPr>
          <w:rFonts w:hint="eastAsia" w:ascii="宋体" w:hAnsi="宋体" w:eastAsia="宋体" w:cs="宋体"/>
          <w:sz w:val="24"/>
          <w:szCs w:val="24"/>
        </w:rPr>
        <w:t xml:space="preserve"> 福利性单位。</w:t>
      </w:r>
    </w:p>
    <w:p w14:paraId="5C04E1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强制分包：大型企业应将采购份额的</w:t>
      </w:r>
      <w:r>
        <w:rPr>
          <w:rFonts w:hint="eastAsia" w:ascii="宋体" w:hAnsi="宋体" w:eastAsia="宋体" w:cs="宋体"/>
          <w:sz w:val="24"/>
          <w:szCs w:val="24"/>
          <w:u w:val="single"/>
        </w:rPr>
        <w:t> /%</w:t>
      </w:r>
      <w:r>
        <w:rPr>
          <w:rFonts w:hint="eastAsia" w:ascii="宋体" w:hAnsi="宋体" w:eastAsia="宋体" w:cs="宋体"/>
          <w:sz w:val="24"/>
          <w:szCs w:val="24"/>
        </w:rPr>
        <w:t>分包给中小企业。</w:t>
      </w:r>
      <w:r>
        <w:rPr>
          <w:rFonts w:hint="eastAsia" w:ascii="宋体" w:hAnsi="宋体" w:cs="宋体"/>
          <w:sz w:val="24"/>
          <w:szCs w:val="24"/>
          <w:lang w:eastAsia="zh-CN"/>
        </w:rPr>
        <w:t>（</w:t>
      </w:r>
      <w:r>
        <w:rPr>
          <w:rFonts w:hint="eastAsia" w:ascii="宋体" w:hAnsi="宋体" w:cs="宋体"/>
          <w:sz w:val="24"/>
          <w:szCs w:val="24"/>
          <w:lang w:val="en-US" w:eastAsia="zh-CN"/>
        </w:rPr>
        <w:t>不适用</w:t>
      </w:r>
      <w:r>
        <w:rPr>
          <w:rFonts w:hint="eastAsia" w:ascii="宋体" w:hAnsi="宋体" w:cs="宋体"/>
          <w:sz w:val="24"/>
          <w:szCs w:val="24"/>
          <w:lang w:eastAsia="zh-CN"/>
        </w:rPr>
        <w:t>）</w:t>
      </w:r>
    </w:p>
    <w:p w14:paraId="2CE405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黑体" w:hAnsi="宋体" w:eastAsia="黑体" w:cs="黑体"/>
          <w:b/>
          <w:bCs/>
          <w:sz w:val="24"/>
          <w:szCs w:val="24"/>
          <w:lang w:val="en-US" w:eastAsia="zh-CN"/>
        </w:rPr>
      </w:pPr>
      <w:r>
        <w:rPr>
          <w:rFonts w:hint="eastAsia" w:ascii="宋体" w:hAnsi="宋体" w:eastAsia="宋体" w:cs="宋体"/>
          <w:sz w:val="24"/>
          <w:szCs w:val="24"/>
          <w:lang w:val="en-US" w:eastAsia="zh-CN"/>
        </w:rPr>
        <w:t>3</w:t>
      </w:r>
      <w:r>
        <w:rPr>
          <w:rFonts w:hint="default" w:ascii="宋体" w:hAnsi="宋体" w:cs="宋体"/>
          <w:sz w:val="24"/>
          <w:szCs w:val="24"/>
          <w:lang w:val="en-US" w:eastAsia="zh-CN"/>
        </w:rPr>
        <w:t>.</w:t>
      </w:r>
      <w:r>
        <w:rPr>
          <w:rFonts w:hint="eastAsia" w:ascii="宋体" w:hAnsi="宋体" w:eastAsia="宋体" w:cs="宋体"/>
          <w:sz w:val="24"/>
          <w:szCs w:val="24"/>
        </w:rPr>
        <w:t>采购项目的特定资格条件：</w:t>
      </w:r>
    </w:p>
    <w:p w14:paraId="6B1FAE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w:t>
      </w:r>
      <w:r>
        <w:rPr>
          <w:rFonts w:hint="eastAsia" w:ascii="宋体" w:hAnsi="宋体" w:cs="宋体"/>
          <w:b w:val="0"/>
          <w:bCs w:val="0"/>
          <w:sz w:val="24"/>
          <w:szCs w:val="24"/>
          <w:highlight w:val="none"/>
          <w:lang w:val="en-US" w:eastAsia="zh-CN"/>
        </w:rPr>
        <w:t>1）投标人须具备行政主管部门颁发的路基路面养护乙级及以上资质，具备有效的安全生产许可证，资质证书和安全生产许可证处于有效期。</w:t>
      </w:r>
    </w:p>
    <w:p w14:paraId="44A359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施工项目部关键岗位人员配备标准：项目经理1人、项目总工（技术负责人）1人、施工员1人、专职安全员1人。拟任项目经理应为注册在本企业的具有公路工程专业贰级及以上注册建造师证书，具有交通运输行政主管部门核发的公路B类《安全生产考核合格证书》；拟任项目总工应具有公路工程相关专业中级及以上技术职称证书； 施工员应具有岗位资格证书；专职安全员应具有交通运输行政主管部门核发的有效C类安全生产考核合格证书。（以上关键人员需提供近6个月内任意一个月企业为其缴纳企业职工基本养老保险的个人参保证明，且无在建工程，提供施工项目部关键岗位人员无在建承诺书。）</w:t>
      </w:r>
    </w:p>
    <w:p w14:paraId="2086C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（3）业绩要求：投标人具有近 3年内具有已完工的</w:t>
      </w:r>
      <w:r>
        <w:rPr>
          <w:rFonts w:hint="eastAsia" w:ascii="宋体" w:hAnsi="宋体" w:cs="宋体"/>
          <w:b w:val="0"/>
          <w:bCs w:val="0"/>
          <w:sz w:val="24"/>
          <w:szCs w:val="24"/>
          <w:highlight w:val="none"/>
          <w:lang w:val="en-US" w:eastAsia="zh-CN"/>
        </w:rPr>
        <w:t>类似公路养护</w:t>
      </w:r>
      <w:r>
        <w:rPr>
          <w:rFonts w:hint="eastAsia" w:ascii="宋体" w:hAnsi="宋体" w:eastAsia="宋体" w:cs="宋体"/>
          <w:b w:val="0"/>
          <w:bCs w:val="0"/>
          <w:sz w:val="24"/>
          <w:szCs w:val="24"/>
          <w:highlight w:val="none"/>
          <w:lang w:val="en-US" w:eastAsia="zh-CN"/>
        </w:rPr>
        <w:t>工程施工业绩；项目经理近3年内至少担任过1项已完工的类似</w:t>
      </w:r>
      <w:r>
        <w:rPr>
          <w:rFonts w:hint="eastAsia" w:ascii="宋体" w:hAnsi="宋体" w:cs="宋体"/>
          <w:b w:val="0"/>
          <w:bCs w:val="0"/>
          <w:sz w:val="24"/>
          <w:szCs w:val="24"/>
          <w:highlight w:val="none"/>
          <w:lang w:val="en-US" w:eastAsia="zh-CN"/>
        </w:rPr>
        <w:t>公路养护</w:t>
      </w:r>
      <w:r>
        <w:rPr>
          <w:rFonts w:hint="eastAsia" w:ascii="宋体" w:hAnsi="宋体" w:eastAsia="宋体" w:cs="宋体"/>
          <w:b w:val="0"/>
          <w:bCs w:val="0"/>
          <w:sz w:val="24"/>
          <w:szCs w:val="24"/>
          <w:highlight w:val="none"/>
          <w:lang w:val="en-US" w:eastAsia="zh-CN"/>
        </w:rPr>
        <w:t>工程的项目经理，提供相关业绩证明材料（业绩以竣工验收合格日期为准）。</w:t>
      </w:r>
    </w:p>
    <w:p w14:paraId="0058C0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（4）本项目为专门面向中小企业采购，供应商须提供《湖南省政府采购供应商资格承诺函》及《中小企业声明函》。</w:t>
      </w:r>
    </w:p>
    <w:p w14:paraId="6B0D8D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default"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单位负责人为同一人或者存在直接控股、管理关系的不同供应商，不得参加同一合同项下的政府采购活动。</w:t>
      </w:r>
    </w:p>
    <w:p w14:paraId="6F9847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highlight w:val="none"/>
          <w:lang w:val="en-US" w:eastAsia="zh-CN"/>
        </w:rPr>
      </w:pPr>
      <w:r>
        <w:rPr>
          <w:rFonts w:hint="default"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为本采购项目提供整体设计、规范编制或者项目管理、监理、检测等服务的，不得再参加此项目的其他政府采购采购活动。</w:t>
      </w:r>
    </w:p>
    <w:p w14:paraId="7C948E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w:t>
      </w:r>
      <w:r>
        <w:rPr>
          <w:rFonts w:hint="default"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附带网址及打印时间，且须法定代表人签字盖投标人公章）</w:t>
      </w:r>
      <w:r>
        <w:rPr>
          <w:rFonts w:hint="eastAsia" w:ascii="宋体" w:hAnsi="宋体" w:cs="宋体"/>
          <w:b w:val="0"/>
          <w:bCs w:val="0"/>
          <w:sz w:val="24"/>
          <w:szCs w:val="24"/>
          <w:highlight w:val="none"/>
          <w:lang w:val="en-US" w:eastAsia="zh-CN"/>
        </w:rPr>
        <w:t>。</w:t>
      </w:r>
    </w:p>
    <w:p w14:paraId="01D1CA25">
      <w:pPr>
        <w:pStyle w:val="8"/>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w:t>
      </w:r>
      <w:r>
        <w:rPr>
          <w:rFonts w:hint="default"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联合体。本次采购</w:t>
      </w:r>
      <w:r>
        <w:rPr>
          <w:rFonts w:hint="eastAsia" w:ascii="宋体" w:hAnsi="宋体" w:eastAsia="宋体" w:cs="宋体"/>
          <w:b w:val="0"/>
          <w:bCs w:val="0"/>
          <w:sz w:val="24"/>
          <w:szCs w:val="24"/>
          <w:highlight w:val="none"/>
          <w:u w:val="single"/>
          <w:lang w:val="en-US" w:eastAsia="zh-CN"/>
        </w:rPr>
        <w:t> 不接受 </w:t>
      </w:r>
      <w:r>
        <w:rPr>
          <w:rFonts w:hint="eastAsia" w:ascii="宋体" w:hAnsi="宋体" w:eastAsia="宋体" w:cs="宋体"/>
          <w:b w:val="0"/>
          <w:bCs w:val="0"/>
          <w:sz w:val="24"/>
          <w:szCs w:val="24"/>
          <w:highlight w:val="none"/>
          <w:lang w:val="en-US" w:eastAsia="zh-CN"/>
        </w:rPr>
        <w:t>(接受或不接受)联合体形式</w:t>
      </w:r>
      <w:r>
        <w:rPr>
          <w:rFonts w:hint="eastAsia" w:ascii="宋体" w:hAnsi="宋体" w:cs="宋体"/>
          <w:b w:val="0"/>
          <w:bCs w:val="0"/>
          <w:sz w:val="24"/>
          <w:szCs w:val="24"/>
          <w:highlight w:val="none"/>
          <w:lang w:val="en-US" w:eastAsia="zh-CN"/>
        </w:rPr>
        <w:t>。</w:t>
      </w:r>
    </w:p>
    <w:bookmarkEnd w:id="5"/>
    <w:bookmarkEnd w:id="6"/>
    <w:p w14:paraId="5E1AD4D2">
      <w:pPr>
        <w:pStyle w:val="3"/>
        <w:pageBreakBefore w:val="0"/>
        <w:kinsoku/>
        <w:autoSpaceDE/>
        <w:autoSpaceDN/>
        <w:bidi w:val="0"/>
        <w:adjustRightInd w:val="0"/>
        <w:snapToGrid w:val="0"/>
        <w:spacing w:line="360" w:lineRule="auto"/>
        <w:ind w:firstLine="482" w:firstLineChars="200"/>
        <w:rPr>
          <w:rFonts w:hint="eastAsia" w:ascii="宋体" w:hAnsi="宋体" w:cs="宋体"/>
          <w:szCs w:val="24"/>
          <w:highlight w:val="none"/>
        </w:rPr>
      </w:pPr>
      <w:bookmarkStart w:id="7" w:name="_Toc22201062"/>
      <w:bookmarkStart w:id="8" w:name="_Toc34637759"/>
      <w:r>
        <w:rPr>
          <w:rFonts w:hint="eastAsia" w:ascii="宋体" w:hAnsi="宋体" w:cs="宋体"/>
          <w:szCs w:val="24"/>
          <w:highlight w:val="none"/>
          <w:lang w:val="en-US" w:eastAsia="zh-CN"/>
        </w:rPr>
        <w:t>五、供应商应提交的资格证明材料及说明</w:t>
      </w:r>
    </w:p>
    <w:p w14:paraId="7F143C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1、供应商应按下列规定提供资格证明文件。</w:t>
      </w:r>
    </w:p>
    <w:p w14:paraId="3C85AF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77BDAF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（2）湖南省政府采购供应商资格承诺函原件；</w:t>
      </w:r>
    </w:p>
    <w:p w14:paraId="404BE5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（3）符合特定资格条件证明材料复印件或者情况说明原件；</w:t>
      </w:r>
    </w:p>
    <w:p w14:paraId="16CA4F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（4）符合采购项目供应商资格要求的其他证明材料：</w:t>
      </w:r>
    </w:p>
    <w:p w14:paraId="46131D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□联合体协议书（供应商为联合体形式的）；</w:t>
      </w:r>
    </w:p>
    <w:p w14:paraId="0FBF9F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□分包承诺（执行强制分包的），格式自拟）；</w:t>
      </w:r>
    </w:p>
    <w:p w14:paraId="1C58B2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□其他说明。</w:t>
      </w:r>
    </w:p>
    <w:p w14:paraId="360C2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2、供应商为联合体形式的，除应提交联合协议(格式)外，参加联合体的各方均应提交上款资格证明材料。</w:t>
      </w:r>
    </w:p>
    <w:p w14:paraId="175846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3、供应商的资格证明文件均应为有效文件并加盖供应商单位公章，并按其规定签署。</w:t>
      </w:r>
    </w:p>
    <w:p w14:paraId="5F387A9A">
      <w:pPr>
        <w:pStyle w:val="3"/>
        <w:pageBreakBefore w:val="0"/>
        <w:kinsoku/>
        <w:autoSpaceDE/>
        <w:autoSpaceDN/>
        <w:bidi w:val="0"/>
        <w:adjustRightInd w:val="0"/>
        <w:snapToGrid w:val="0"/>
        <w:spacing w:line="360" w:lineRule="auto"/>
        <w:ind w:firstLine="482" w:firstLineChars="200"/>
        <w:rPr>
          <w:rFonts w:hint="eastAsia" w:ascii="宋体" w:hAnsi="宋体" w:cs="宋体"/>
          <w:szCs w:val="24"/>
          <w:lang w:val="en-US" w:eastAsia="zh-CN"/>
        </w:rPr>
      </w:pPr>
      <w:r>
        <w:rPr>
          <w:rFonts w:hint="eastAsia" w:ascii="宋体" w:hAnsi="宋体" w:cs="宋体"/>
          <w:szCs w:val="24"/>
          <w:highlight w:val="none"/>
          <w:lang w:val="en-US" w:eastAsia="zh-CN"/>
        </w:rPr>
        <w:t>六、资格</w:t>
      </w:r>
      <w:r>
        <w:rPr>
          <w:rFonts w:hint="eastAsia" w:ascii="宋体" w:hAnsi="宋体" w:cs="宋体"/>
          <w:szCs w:val="24"/>
          <w:lang w:val="en-US" w:eastAsia="zh-CN"/>
        </w:rPr>
        <w:t>审查证明材料的递交</w:t>
      </w:r>
    </w:p>
    <w:p w14:paraId="6E5474E5">
      <w:pPr>
        <w:pStyle w:val="3"/>
        <w:pageBreakBefore w:val="0"/>
        <w:kinsoku/>
        <w:autoSpaceDE/>
        <w:autoSpaceDN/>
        <w:bidi w:val="0"/>
        <w:adjustRightInd w:val="0"/>
        <w:snapToGrid w:val="0"/>
        <w:spacing w:line="360" w:lineRule="auto"/>
        <w:ind w:firstLine="480" w:firstLineChars="200"/>
        <w:rPr>
          <w:rFonts w:hint="eastAsia" w:ascii="宋体" w:hAnsi="宋体" w:cs="宋体"/>
          <w:b w:val="0"/>
          <w:bCs w:val="0"/>
          <w:szCs w:val="24"/>
          <w:lang w:val="en-US" w:eastAsia="zh-CN"/>
        </w:rPr>
      </w:pPr>
      <w:r>
        <w:rPr>
          <w:rFonts w:hint="eastAsia" w:ascii="宋体" w:hAnsi="宋体" w:cs="宋体"/>
          <w:b w:val="0"/>
          <w:bCs w:val="0"/>
          <w:szCs w:val="24"/>
          <w:lang w:val="en-US" w:eastAsia="zh-CN"/>
        </w:rPr>
        <w:t>1、按本公告第五条规定提交的证明材料及说明。</w:t>
      </w:r>
    </w:p>
    <w:p w14:paraId="2608220C">
      <w:pPr>
        <w:pStyle w:val="3"/>
        <w:pageBreakBefore w:val="0"/>
        <w:kinsoku/>
        <w:autoSpaceDE/>
        <w:autoSpaceDN/>
        <w:bidi w:val="0"/>
        <w:adjustRightInd w:val="0"/>
        <w:snapToGrid w:val="0"/>
        <w:spacing w:line="360" w:lineRule="auto"/>
        <w:ind w:firstLine="480" w:firstLineChars="200"/>
        <w:rPr>
          <w:rFonts w:hint="eastAsia" w:ascii="宋体" w:hAnsi="宋体" w:cs="宋体"/>
          <w:b w:val="0"/>
          <w:bCs w:val="0"/>
          <w:szCs w:val="24"/>
          <w:lang w:val="en-US" w:eastAsia="zh-CN"/>
        </w:rPr>
      </w:pPr>
      <w:r>
        <w:rPr>
          <w:rFonts w:hint="eastAsia" w:ascii="宋体" w:hAnsi="宋体" w:cs="宋体"/>
          <w:b w:val="0"/>
          <w:bCs w:val="0"/>
          <w:szCs w:val="24"/>
          <w:lang w:val="en-US" w:eastAsia="zh-CN"/>
        </w:rPr>
        <w:t>2、资格审查证明材料的递交截止时间为</w:t>
      </w:r>
      <w:r>
        <w:rPr>
          <w:rFonts w:hint="eastAsia" w:ascii="宋体" w:hAnsi="宋体" w:cs="宋体"/>
          <w:b/>
          <w:bCs/>
          <w:color w:val="0000FF"/>
          <w:szCs w:val="24"/>
          <w:highlight w:val="none"/>
          <w:u w:val="single"/>
          <w:lang w:val="en-US" w:eastAsia="zh-CN"/>
        </w:rPr>
        <w:t>2026年9月16日 </w:t>
      </w:r>
      <w:r>
        <w:rPr>
          <w:rFonts w:hint="eastAsia" w:ascii="宋体" w:hAnsi="宋体" w:cs="宋体"/>
          <w:b/>
          <w:bCs/>
          <w:color w:val="0000FF"/>
          <w:szCs w:val="24"/>
          <w:highlight w:val="none"/>
          <w:lang w:val="en-US" w:eastAsia="zh-CN"/>
        </w:rPr>
        <w:t>17:00</w:t>
      </w:r>
      <w:r>
        <w:rPr>
          <w:rFonts w:hint="eastAsia" w:ascii="宋体" w:hAnsi="宋体" w:cs="宋体"/>
          <w:b w:val="0"/>
          <w:bCs w:val="0"/>
          <w:szCs w:val="24"/>
          <w:lang w:val="en-US" w:eastAsia="zh-CN"/>
        </w:rPr>
        <w:t>（北京时间），地点为株洲市采购交易系统（https://cgjy.zzzyjy.cn:38081/TPBidder/），本项目为全流程电子化采购，供应商选择对应项目下载资格预审文件，并在系统中上传电子版资格审查证明材料（资格审查结果登录系统查看），逾期送达的，不予受理。</w:t>
      </w:r>
    </w:p>
    <w:p w14:paraId="590CAEC9">
      <w:pPr>
        <w:pStyle w:val="3"/>
        <w:pageBreakBefore w:val="0"/>
        <w:kinsoku/>
        <w:autoSpaceDE/>
        <w:autoSpaceDN/>
        <w:bidi w:val="0"/>
        <w:adjustRightInd w:val="0"/>
        <w:snapToGrid w:val="0"/>
        <w:spacing w:line="360" w:lineRule="auto"/>
        <w:ind w:firstLine="482" w:firstLineChars="200"/>
        <w:rPr>
          <w:rFonts w:hint="eastAsia" w:ascii="宋体" w:hAnsi="宋体" w:cs="宋体"/>
          <w:szCs w:val="24"/>
          <w:lang w:val="en-US" w:eastAsia="zh-CN"/>
        </w:rPr>
      </w:pPr>
      <w:r>
        <w:rPr>
          <w:rFonts w:hint="eastAsia" w:ascii="宋体" w:hAnsi="宋体" w:cs="宋体"/>
          <w:szCs w:val="24"/>
          <w:lang w:val="en-US" w:eastAsia="zh-CN"/>
        </w:rPr>
        <w:t>七、资格审查方法及标准</w:t>
      </w:r>
    </w:p>
    <w:p w14:paraId="1F336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1、采购人、采购代理机构按本公告第四、五条规定，对供应商提交的资格审查证明材料进行资格审查。</w:t>
      </w:r>
    </w:p>
    <w:p w14:paraId="730CD8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2、供应商提交的资格审查证明材料符合本公告第四、五条规定，采购人或谈判小组按照本公告第八条规定确定拟邀请参加谈判的供应商。</w:t>
      </w:r>
    </w:p>
    <w:p w14:paraId="78A8E7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3、未通过资格审查的供应商，采购人、采购代理机构应当及时告知其未通过的原因。</w:t>
      </w:r>
    </w:p>
    <w:p w14:paraId="33B99A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八、确定拟邀请供应商</w:t>
      </w:r>
    </w:p>
    <w:p w14:paraId="0ED2EB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1.采购人确定所有符合相应资格条件的供应商参加谈判，也可以由谈判小组从符合相应资格条件的供应商名单中确定不少于三家的供应商参加谈判。</w:t>
      </w:r>
    </w:p>
    <w:p w14:paraId="1A1166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2.采购人、采购代理机构向确定参加谈判的供应商发出谈判邀请，并发出谈判文件。</w:t>
      </w:r>
    </w:p>
    <w:p w14:paraId="5DE53E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九、公告期限</w:t>
      </w:r>
    </w:p>
    <w:p w14:paraId="66CF17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1、本公告在中国湖南政府采购网（www.ccgp-hunan.gov.cn）发布。公告期限自本公告发布之日起</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个工作日。</w:t>
      </w:r>
    </w:p>
    <w:p w14:paraId="2CD523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2、在其他媒体发布的邀请公告，公告内容以本公告为准。</w:t>
      </w:r>
    </w:p>
    <w:p w14:paraId="324ECA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十、询问及质疑</w:t>
      </w:r>
    </w:p>
    <w:p w14:paraId="022667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1、供应商对政府采购活动事项如有疑问的，可以向采购人、采购代理机构提出询问。采购人、采购代理机构将在3个工作日内作出答复。</w:t>
      </w:r>
    </w:p>
    <w:p w14:paraId="2B3617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71FB89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十一、谈判说明</w:t>
      </w:r>
    </w:p>
    <w:p w14:paraId="210D75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1、本公告选项：</w:t>
      </w:r>
      <w:r>
        <w:rPr>
          <w:rFonts w:hint="eastAsia" w:ascii="宋体" w:hAnsi="宋体" w:eastAsia="宋体" w:cs="宋体"/>
          <w:i w:val="0"/>
          <w:iCs w:val="0"/>
          <w:caps w:val="0"/>
          <w:color w:val="000000"/>
          <w:spacing w:val="0"/>
          <w:sz w:val="21"/>
          <w:szCs w:val="21"/>
        </w:rPr>
        <w:t>■</w:t>
      </w:r>
      <w:r>
        <w:rPr>
          <w:rFonts w:hint="eastAsia" w:ascii="宋体" w:hAnsi="宋体" w:eastAsia="宋体" w:cs="宋体"/>
          <w:b w:val="0"/>
          <w:bCs w:val="0"/>
          <w:sz w:val="24"/>
          <w:szCs w:val="24"/>
          <w:highlight w:val="none"/>
          <w:lang w:val="en-US" w:eastAsia="zh-CN"/>
        </w:rPr>
        <mc:AlternateContent>
          <mc:Choice Requires="wps">
            <w:drawing>
              <wp:inline distT="0" distB="0" distL="114300" distR="114300">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U5CpzgAAAP8AAAAPAAAAAAAAAAEAIAAAACIAAABkcnMvZG93bnJldi54bWxQSwEC&#10;FAAUAAAACACHTuJAJVlVbv4BAAAYBAAADgAAAAAAAAABACAAAAAdAQAAZHJzL2Uyb0RvYy54bWxQ&#10;SwUGAAAAAAYABgBZAQAAjQUAAAAA&#10;">
                <v:fill on="f" focussize="0,0"/>
                <v:stroke color="#000000" joinstyle="miter"/>
                <v:imagedata o:title=""/>
                <o:lock v:ext="edit" aspectratio="t"/>
                <w10:wrap type="none"/>
                <w10:anchorlock/>
              </v:rect>
            </w:pict>
          </mc:Fallback>
        </mc:AlternateContent>
      </w:r>
      <w:r>
        <w:rPr>
          <w:rFonts w:hint="eastAsia" w:ascii="宋体" w:hAnsi="宋体" w:eastAsia="宋体" w:cs="宋体"/>
          <w:b w:val="0"/>
          <w:bCs w:val="0"/>
          <w:sz w:val="24"/>
          <w:szCs w:val="24"/>
          <w:highlight w:val="none"/>
          <w:lang w:val="en-US" w:eastAsia="zh-CN"/>
        </w:rPr>
        <w:t>表示选择，</w:t>
      </w:r>
      <w:r>
        <w:rPr>
          <w:rFonts w:ascii="Wingdings" w:hAnsi="Wingdings" w:eastAsia="宋体" w:cs="Wingdings"/>
          <w:i w:val="0"/>
          <w:iCs w:val="0"/>
          <w:caps w:val="0"/>
          <w:color w:val="000000"/>
          <w:spacing w:val="0"/>
          <w:sz w:val="24"/>
          <w:szCs w:val="24"/>
        </w:rPr>
        <w:t>o</w:t>
      </w:r>
      <w:r>
        <w:rPr>
          <w:rFonts w:hint="eastAsia" w:ascii="宋体" w:hAnsi="宋体" w:eastAsia="宋体" w:cs="宋体"/>
          <w:b w:val="0"/>
          <w:bCs w:val="0"/>
          <w:sz w:val="24"/>
          <w:szCs w:val="24"/>
          <w:highlight w:val="none"/>
          <w:lang w:val="en-US" w:eastAsia="zh-CN"/>
        </w:rPr>
        <mc:AlternateContent>
          <mc:Choice Requires="wps">
            <w:drawing>
              <wp:inline distT="0" distB="0" distL="114300" distR="114300">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6fEgH/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b w:val="0"/>
          <w:bCs w:val="0"/>
          <w:sz w:val="24"/>
          <w:szCs w:val="24"/>
          <w:highlight w:val="none"/>
          <w:lang w:val="en-US" w:eastAsia="zh-CN"/>
        </w:rPr>
        <w:t>表示未选择。</w:t>
      </w:r>
    </w:p>
    <w:p w14:paraId="718A88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2、供应商参与政府采购活动，无需向采购人、代理机构、交易平台缴纳任何费用。</w:t>
      </w:r>
    </w:p>
    <w:p w14:paraId="607CBC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十二、采购项目联系人姓名和电话</w:t>
      </w:r>
    </w:p>
    <w:p w14:paraId="3ED7F1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val="en-US" w:eastAsia="zh-CN"/>
        </w:rPr>
      </w:pPr>
      <w:r>
        <w:rPr>
          <w:rFonts w:hint="eastAsia" w:ascii="宋体" w:hAnsi="宋体" w:eastAsia="宋体" w:cs="宋体"/>
          <w:b w:val="0"/>
          <w:bCs w:val="0"/>
          <w:sz w:val="24"/>
          <w:szCs w:val="24"/>
          <w:highlight w:val="none"/>
          <w:lang w:val="en-US" w:eastAsia="zh-CN"/>
        </w:rPr>
        <w:t>1、联系人姓名：</w:t>
      </w:r>
      <w:r>
        <w:rPr>
          <w:rFonts w:hint="eastAsia" w:ascii="宋体" w:hAnsi="宋体" w:cs="宋体"/>
          <w:sz w:val="24"/>
          <w:lang w:val="en-US" w:eastAsia="zh-CN"/>
        </w:rPr>
        <w:t>孙国源</w:t>
      </w:r>
    </w:p>
    <w:p w14:paraId="42BCAD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Cs w:val="24"/>
          <w:lang w:val="en-US" w:eastAsia="zh-CN"/>
        </w:rPr>
      </w:pPr>
      <w:r>
        <w:rPr>
          <w:rFonts w:hint="eastAsia" w:ascii="宋体" w:hAnsi="宋体" w:eastAsia="宋体" w:cs="宋体"/>
          <w:b w:val="0"/>
          <w:bCs w:val="0"/>
          <w:sz w:val="24"/>
          <w:szCs w:val="24"/>
          <w:highlight w:val="none"/>
          <w:lang w:val="en-US" w:eastAsia="zh-CN"/>
        </w:rPr>
        <w:t>2、电 话：</w:t>
      </w:r>
      <w:r>
        <w:rPr>
          <w:rFonts w:hint="eastAsia" w:ascii="宋体" w:hAnsi="宋体" w:eastAsia="宋体" w:cs="宋体"/>
          <w:sz w:val="24"/>
        </w:rPr>
        <w:t>0731-</w:t>
      </w:r>
      <w:r>
        <w:rPr>
          <w:rFonts w:hint="eastAsia" w:ascii="宋体" w:hAnsi="宋体" w:eastAsia="宋体" w:cs="宋体"/>
          <w:sz w:val="24"/>
          <w:lang w:val="en-US" w:eastAsia="zh-CN"/>
        </w:rPr>
        <w:t>28580139</w:t>
      </w:r>
    </w:p>
    <w:p w14:paraId="655DC11D">
      <w:pPr>
        <w:pStyle w:val="3"/>
        <w:pageBreakBefore w:val="0"/>
        <w:kinsoku/>
        <w:autoSpaceDE/>
        <w:autoSpaceDN/>
        <w:bidi w:val="0"/>
        <w:adjustRightInd w:val="0"/>
        <w:snapToGrid w:val="0"/>
        <w:spacing w:line="360" w:lineRule="auto"/>
        <w:ind w:firstLine="482" w:firstLineChars="200"/>
        <w:rPr>
          <w:rFonts w:hint="eastAsia" w:ascii="宋体" w:hAnsi="宋体" w:cs="宋体"/>
          <w:szCs w:val="24"/>
          <w:lang w:val="en-US" w:eastAsia="zh-CN"/>
        </w:rPr>
      </w:pPr>
    </w:p>
    <w:p w14:paraId="145D5797">
      <w:pPr>
        <w:pStyle w:val="3"/>
        <w:pageBreakBefore w:val="0"/>
        <w:kinsoku/>
        <w:autoSpaceDE/>
        <w:autoSpaceDN/>
        <w:bidi w:val="0"/>
        <w:adjustRightInd w:val="0"/>
        <w:snapToGrid w:val="0"/>
        <w:spacing w:line="360" w:lineRule="auto"/>
        <w:ind w:firstLine="482" w:firstLineChars="200"/>
        <w:rPr>
          <w:rFonts w:ascii="宋体" w:hAnsi="宋体" w:cs="宋体"/>
          <w:szCs w:val="24"/>
        </w:rPr>
      </w:pPr>
      <w:r>
        <w:rPr>
          <w:rFonts w:hint="eastAsia" w:ascii="宋体" w:hAnsi="宋体" w:cs="宋体"/>
          <w:szCs w:val="24"/>
          <w:lang w:val="en-US" w:eastAsia="zh-CN"/>
        </w:rPr>
        <w:t>十三</w:t>
      </w:r>
      <w:r>
        <w:rPr>
          <w:rFonts w:hint="eastAsia" w:ascii="宋体" w:hAnsi="宋体" w:cs="宋体"/>
          <w:szCs w:val="24"/>
        </w:rPr>
        <w:t>、</w:t>
      </w:r>
      <w:bookmarkEnd w:id="7"/>
      <w:bookmarkStart w:id="9" w:name="_Toc22201063"/>
      <w:r>
        <w:rPr>
          <w:rFonts w:hint="eastAsia" w:ascii="宋体" w:hAnsi="宋体" w:cs="宋体"/>
          <w:szCs w:val="24"/>
        </w:rPr>
        <w:t>采购人及其委托的采购代理机构的名称、地址和联系方法</w:t>
      </w:r>
      <w:bookmarkEnd w:id="8"/>
      <w:bookmarkEnd w:id="9"/>
    </w:p>
    <w:p w14:paraId="538305EC">
      <w:pPr>
        <w:pageBreakBefore w:val="0"/>
        <w:kinsoku/>
        <w:autoSpaceDE/>
        <w:autoSpaceDN/>
        <w:bidi w:val="0"/>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1</w:t>
      </w:r>
      <w:r>
        <w:rPr>
          <w:rFonts w:hint="default" w:ascii="宋体" w:hAnsi="宋体" w:cs="宋体"/>
          <w:sz w:val="24"/>
          <w:lang w:val="en-US"/>
        </w:rPr>
        <w:t>.</w:t>
      </w:r>
      <w:r>
        <w:rPr>
          <w:rFonts w:hint="eastAsia" w:ascii="宋体" w:hAnsi="宋体" w:cs="宋体"/>
          <w:b/>
          <w:bCs/>
          <w:sz w:val="24"/>
        </w:rPr>
        <w:t>采购人信息</w:t>
      </w:r>
    </w:p>
    <w:p w14:paraId="1889CA8F">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（1）名 称：</w:t>
      </w:r>
      <w:r>
        <w:rPr>
          <w:rFonts w:hint="eastAsia" w:ascii="宋体" w:hAnsi="宋体" w:cs="宋体"/>
          <w:sz w:val="24"/>
          <w:lang w:val="en-US" w:eastAsia="zh-CN"/>
        </w:rPr>
        <w:t>株洲市</w:t>
      </w:r>
      <w:r>
        <w:rPr>
          <w:rFonts w:hint="eastAsia" w:ascii="宋体" w:hAnsi="宋体" w:eastAsia="宋体" w:cs="宋体"/>
          <w:sz w:val="24"/>
          <w:lang w:val="en-US" w:eastAsia="zh-CN"/>
        </w:rPr>
        <w:t>芦淞区交通运输局</w:t>
      </w:r>
    </w:p>
    <w:p w14:paraId="549DB783">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（2）地 址：株洲市芦淞区服饰路138号</w:t>
      </w:r>
    </w:p>
    <w:p w14:paraId="6863E9D3">
      <w:pPr>
        <w:pageBreakBefore w:val="0"/>
        <w:kinsoku/>
        <w:autoSpaceDE/>
        <w:autoSpaceDN/>
        <w:bidi w:val="0"/>
        <w:adjustRightInd w:val="0"/>
        <w:snapToGrid w:val="0"/>
        <w:spacing w:line="360" w:lineRule="auto"/>
        <w:ind w:firstLine="480" w:firstLineChars="200"/>
        <w:rPr>
          <w:rFonts w:hint="default" w:ascii="宋体" w:hAnsi="宋体" w:eastAsia="宋体" w:cs="宋体"/>
          <w:sz w:val="24"/>
          <w:lang w:val="en-US"/>
        </w:rPr>
      </w:pPr>
      <w:r>
        <w:rPr>
          <w:rFonts w:hint="eastAsia" w:ascii="宋体" w:hAnsi="宋体" w:eastAsia="宋体" w:cs="宋体"/>
          <w:sz w:val="24"/>
          <w:lang w:val="en-US" w:eastAsia="zh-CN"/>
        </w:rPr>
        <w:t>（3）联系人：</w:t>
      </w:r>
      <w:r>
        <w:rPr>
          <w:rFonts w:hint="eastAsia" w:ascii="宋体" w:hAnsi="宋体" w:cs="宋体"/>
          <w:sz w:val="24"/>
          <w:lang w:val="en-US" w:eastAsia="zh-CN"/>
        </w:rPr>
        <w:t>易欣</w:t>
      </w:r>
    </w:p>
    <w:p w14:paraId="426B1BA3">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（4）邮 编：412000</w:t>
      </w:r>
    </w:p>
    <w:p w14:paraId="5BA879A7">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（5）电 话：</w:t>
      </w:r>
      <w:r>
        <w:rPr>
          <w:rFonts w:hint="eastAsia" w:ascii="宋体" w:hAnsi="宋体" w:eastAsia="宋体" w:cs="宋体"/>
          <w:sz w:val="24"/>
        </w:rPr>
        <w:t>0731-</w:t>
      </w:r>
      <w:r>
        <w:rPr>
          <w:rFonts w:hint="eastAsia" w:ascii="宋体" w:hAnsi="宋体" w:eastAsia="宋体" w:cs="宋体"/>
          <w:sz w:val="24"/>
          <w:lang w:val="en-US" w:eastAsia="zh-CN"/>
        </w:rPr>
        <w:t>28580139</w:t>
      </w:r>
    </w:p>
    <w:p w14:paraId="19DB3864">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（6）电子邮箱：/</w:t>
      </w:r>
    </w:p>
    <w:p w14:paraId="095125DF">
      <w:pPr>
        <w:pageBreakBefore w:val="0"/>
        <w:kinsoku/>
        <w:autoSpaceDE/>
        <w:autoSpaceDN/>
        <w:bidi w:val="0"/>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2</w:t>
      </w:r>
      <w:r>
        <w:rPr>
          <w:rFonts w:hint="eastAsia" w:ascii="宋体" w:hAnsi="宋体" w:cs="宋体"/>
          <w:sz w:val="24"/>
          <w:lang w:val="en-US" w:eastAsia="zh-CN"/>
        </w:rPr>
        <w:t>.</w:t>
      </w:r>
      <w:r>
        <w:rPr>
          <w:rFonts w:hint="eastAsia" w:ascii="宋体" w:hAnsi="宋体" w:cs="宋体"/>
          <w:b/>
          <w:bCs/>
          <w:sz w:val="24"/>
        </w:rPr>
        <w:t>采购代理机构信息</w:t>
      </w:r>
    </w:p>
    <w:p w14:paraId="6D1A90D6">
      <w:pPr>
        <w:pageBreakBefore w:val="0"/>
        <w:kinsoku/>
        <w:autoSpaceDE/>
        <w:autoSpaceDN/>
        <w:bidi w:val="0"/>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（1）名  称：</w:t>
      </w:r>
      <w:r>
        <w:rPr>
          <w:rFonts w:hint="eastAsia" w:ascii="宋体" w:hAnsi="宋体" w:eastAsia="宋体" w:cs="宋体"/>
          <w:sz w:val="24"/>
          <w:lang w:eastAsia="zh-CN"/>
        </w:rPr>
        <w:t>湖南天正工程咨询有限公司</w:t>
      </w:r>
    </w:p>
    <w:p w14:paraId="618EC929">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（2）地  址：</w:t>
      </w:r>
      <w:r>
        <w:rPr>
          <w:rFonts w:hint="eastAsia" w:ascii="宋体" w:hAnsi="宋体" w:eastAsia="宋体" w:cs="宋体"/>
          <w:sz w:val="24"/>
          <w:lang w:eastAsia="zh-CN"/>
        </w:rPr>
        <w:t>株洲市天元区黄河北路市农办写字楼8楼</w:t>
      </w:r>
    </w:p>
    <w:p w14:paraId="76177C00">
      <w:pPr>
        <w:pageBreakBefore w:val="0"/>
        <w:kinsoku/>
        <w:autoSpaceDE/>
        <w:autoSpaceDN/>
        <w:bidi w:val="0"/>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（3）联系人：</w:t>
      </w:r>
      <w:r>
        <w:rPr>
          <w:rFonts w:hint="eastAsia" w:ascii="宋体" w:hAnsi="宋体" w:cs="宋体"/>
          <w:sz w:val="24"/>
          <w:lang w:val="en-US" w:eastAsia="zh-CN"/>
        </w:rPr>
        <w:t>敬玫芳</w:t>
      </w:r>
      <w:r>
        <w:rPr>
          <w:rFonts w:hint="eastAsia" w:ascii="宋体" w:hAnsi="宋体" w:eastAsia="宋体" w:cs="宋体"/>
          <w:sz w:val="24"/>
          <w:lang w:val="en-US" w:eastAsia="zh-CN"/>
        </w:rPr>
        <w:t>、傅庭辉、言吉</w:t>
      </w:r>
      <w:r>
        <w:rPr>
          <w:rFonts w:hint="eastAsia" w:ascii="宋体" w:hAnsi="宋体" w:eastAsia="宋体" w:cs="宋体"/>
          <w:sz w:val="24"/>
        </w:rPr>
        <w:t xml:space="preserve">  </w:t>
      </w:r>
    </w:p>
    <w:p w14:paraId="21615AA3">
      <w:pPr>
        <w:pageBreakBefore w:val="0"/>
        <w:kinsoku/>
        <w:autoSpaceDE/>
        <w:autoSpaceDN/>
        <w:bidi w:val="0"/>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（4）电  话：0731-</w:t>
      </w:r>
      <w:r>
        <w:rPr>
          <w:rFonts w:hint="eastAsia" w:ascii="宋体" w:hAnsi="宋体" w:eastAsia="宋体" w:cs="宋体"/>
          <w:sz w:val="24"/>
          <w:lang w:val="en-US" w:eastAsia="zh-CN"/>
        </w:rPr>
        <w:t>28827112</w:t>
      </w:r>
    </w:p>
    <w:p w14:paraId="18D6C22B">
      <w:pPr>
        <w:pageBreakBefore w:val="0"/>
        <w:kinsoku/>
        <w:autoSpaceDE/>
        <w:autoSpaceDN/>
        <w:bidi w:val="0"/>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5</w:t>
      </w:r>
      <w:r>
        <w:rPr>
          <w:rFonts w:hint="eastAsia" w:ascii="宋体" w:hAnsi="宋体" w:eastAsia="宋体" w:cs="宋体"/>
          <w:sz w:val="24"/>
          <w:lang w:eastAsia="zh-CN"/>
        </w:rPr>
        <w:t>）</w:t>
      </w:r>
      <w:r>
        <w:rPr>
          <w:rFonts w:hint="eastAsia" w:ascii="宋体" w:hAnsi="宋体" w:eastAsia="宋体" w:cs="宋体"/>
          <w:sz w:val="24"/>
          <w:lang w:val="en-US" w:eastAsia="zh-CN"/>
        </w:rPr>
        <w:t>邮编：412000</w:t>
      </w:r>
    </w:p>
    <w:p w14:paraId="42AC1A44">
      <w:pPr>
        <w:pageBreakBefore w:val="0"/>
        <w:kinsoku/>
        <w:autoSpaceDE/>
        <w:autoSpaceDN/>
        <w:bidi w:val="0"/>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6</w:t>
      </w:r>
      <w:r>
        <w:rPr>
          <w:rFonts w:hint="eastAsia" w:ascii="宋体" w:hAnsi="宋体" w:eastAsia="宋体" w:cs="宋体"/>
          <w:sz w:val="24"/>
          <w:lang w:eastAsia="zh-CN"/>
        </w:rPr>
        <w:t>）</w:t>
      </w:r>
      <w:r>
        <w:rPr>
          <w:rFonts w:hint="eastAsia" w:ascii="宋体" w:hAnsi="宋体" w:eastAsia="宋体" w:cs="宋体"/>
          <w:sz w:val="24"/>
          <w:lang w:val="en-US" w:eastAsia="zh-CN"/>
        </w:rPr>
        <w:t>邮箱：549565815@qq.com</w:t>
      </w:r>
    </w:p>
    <w:p w14:paraId="6E4673AD">
      <w:pPr>
        <w:keepNext w:val="0"/>
        <w:keepLines w:val="0"/>
        <w:widowControl/>
        <w:suppressLineNumbers w:val="0"/>
        <w:wordWrap w:val="0"/>
        <w:spacing w:before="75" w:beforeAutospacing="0" w:after="75" w:afterAutospacing="0" w:line="360" w:lineRule="atLeast"/>
        <w:ind w:left="75" w:right="0" w:firstLine="300"/>
        <w:jc w:val="left"/>
        <w:rPr>
          <w:rFonts w:ascii="微软雅黑" w:hAnsi="微软雅黑" w:eastAsia="微软雅黑" w:cs="微软雅黑"/>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3、电子交易平台服务机构信息</w:t>
      </w:r>
    </w:p>
    <w:p w14:paraId="702B3EED">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（1）交易系统技术支持：国泰新点软件股份有限公司</w:t>
      </w:r>
    </w:p>
    <w:p w14:paraId="4BE2A693">
      <w:pPr>
        <w:keepNext w:val="0"/>
        <w:keepLines w:val="0"/>
        <w:widowControl/>
        <w:suppressLineNumbers w:val="0"/>
        <w:wordWrap w:val="0"/>
        <w:spacing w:before="75" w:beforeAutospacing="0" w:after="75" w:afterAutospacing="0" w:line="360" w:lineRule="atLeast"/>
        <w:ind w:left="0" w:right="0" w:firstLine="84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电话：0731-28101310（工作时间）</w:t>
      </w:r>
    </w:p>
    <w:p w14:paraId="554CEEA3">
      <w:pPr>
        <w:keepNext w:val="0"/>
        <w:keepLines w:val="0"/>
        <w:widowControl/>
        <w:suppressLineNumbers w:val="0"/>
        <w:wordWrap w:val="0"/>
        <w:spacing w:before="75" w:beforeAutospacing="0" w:after="75" w:afterAutospacing="0" w:line="360" w:lineRule="atLeast"/>
        <w:ind w:left="75" w:right="0" w:firstLine="718"/>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电子邮箱：3562613576@qq.com</w:t>
      </w:r>
    </w:p>
    <w:p w14:paraId="2F05C90B">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（2）CA证书线上办理：湖南省CA证书与电子签章共享平台</w:t>
      </w:r>
    </w:p>
    <w:p w14:paraId="6C8FF659">
      <w:pPr>
        <w:keepNext w:val="0"/>
        <w:keepLines w:val="0"/>
        <w:widowControl/>
        <w:suppressLineNumbers w:val="0"/>
        <w:wordWrap w:val="0"/>
        <w:spacing w:before="75" w:beforeAutospacing="0" w:after="75" w:afterAutospacing="0" w:line="360" w:lineRule="atLeast"/>
        <w:ind w:left="75" w:right="0" w:firstLine="718"/>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技术支持：北京数字认证股份有限公司    </w:t>
      </w:r>
    </w:p>
    <w:p w14:paraId="7C2BC599">
      <w:pPr>
        <w:keepNext w:val="0"/>
        <w:keepLines w:val="0"/>
        <w:widowControl/>
        <w:suppressLineNumbers w:val="0"/>
        <w:wordWrap w:val="0"/>
        <w:spacing w:before="75" w:beforeAutospacing="0" w:after="75" w:afterAutospacing="0" w:line="360" w:lineRule="atLeast"/>
        <w:ind w:left="75" w:right="0" w:firstLine="718"/>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电话：4009197888</w:t>
      </w:r>
    </w:p>
    <w:p w14:paraId="4FD66F4F">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（3）CA证书现场办理（株洲市公共资源交易中心一楼）：</w:t>
      </w:r>
    </w:p>
    <w:p w14:paraId="7ECCDBD3">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湖南CA数字证书：0731-28681394</w:t>
      </w:r>
    </w:p>
    <w:p w14:paraId="54A18514">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上海CA数字证书：13347330910</w:t>
      </w:r>
    </w:p>
    <w:p w14:paraId="23EFF5DB">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北京CA数字证书：19973314625</w:t>
      </w:r>
    </w:p>
    <w:p w14:paraId="53C2C29F">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广东电子商务认证（网证通）：18173337830</w:t>
      </w:r>
    </w:p>
    <w:p w14:paraId="5F3DAA21">
      <w:pPr>
        <w:keepNext w:val="0"/>
        <w:keepLines w:val="0"/>
        <w:widowControl/>
        <w:suppressLineNumbers w:val="0"/>
        <w:wordWrap w:val="0"/>
        <w:spacing w:before="75" w:beforeAutospacing="0" w:after="75" w:afterAutospacing="0" w:line="360" w:lineRule="atLeast"/>
        <w:ind w:left="75" w:right="0" w:firstLine="3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（4）湖南省公共资源交易注册检录平台</w:t>
      </w:r>
    </w:p>
    <w:p w14:paraId="470B77C1">
      <w:pPr>
        <w:keepNext w:val="0"/>
        <w:keepLines w:val="0"/>
        <w:widowControl/>
        <w:suppressLineNumbers w:val="0"/>
        <w:wordWrap w:val="0"/>
        <w:spacing w:before="75" w:beforeAutospacing="0" w:after="75" w:afterAutospacing="0" w:line="360" w:lineRule="atLeast"/>
        <w:ind w:left="75" w:right="0" w:firstLine="1058" w:firstLineChars="441"/>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技术支持：长沙市中智信息技术开发有限公司    </w:t>
      </w:r>
    </w:p>
    <w:p w14:paraId="235F690A">
      <w:pPr>
        <w:keepNext w:val="0"/>
        <w:keepLines w:val="0"/>
        <w:widowControl/>
        <w:suppressLineNumbers w:val="0"/>
        <w:wordWrap w:val="0"/>
        <w:spacing w:before="75" w:beforeAutospacing="0" w:after="75" w:afterAutospacing="0" w:line="360" w:lineRule="atLeast"/>
        <w:ind w:left="0" w:right="0" w:firstLine="1200" w:firstLineChars="50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电话：4007777016</w:t>
      </w:r>
    </w:p>
    <w:p w14:paraId="0575C02C">
      <w:pPr>
        <w:rPr>
          <w:sz w:val="24"/>
          <w:szCs w:val="24"/>
        </w:rPr>
      </w:pPr>
      <w:r>
        <w:rPr>
          <w:sz w:val="24"/>
          <w:szCs w:val="24"/>
        </w:rPr>
        <w:br w:type="page"/>
      </w:r>
    </w:p>
    <w:p w14:paraId="5F650FD5">
      <w:pPr>
        <w:keepNext/>
        <w:jc w:val="center"/>
        <w:outlineLvl w:val="0"/>
        <w:rPr>
          <w:rFonts w:hint="eastAsia" w:ascii="黑体" w:hAnsi="黑体" w:eastAsia="黑体" w:cs="Times New Roman"/>
          <w:b/>
          <w:bCs/>
          <w:color w:val="auto"/>
          <w:sz w:val="32"/>
          <w:szCs w:val="32"/>
          <w:highlight w:val="none"/>
          <w:lang w:val="en-US" w:eastAsia="zh-CN"/>
        </w:rPr>
      </w:pPr>
      <w:bookmarkStart w:id="10" w:name="_Toc30962"/>
      <w:r>
        <w:rPr>
          <w:rFonts w:hint="eastAsia" w:ascii="黑体" w:hAnsi="黑体" w:eastAsia="黑体" w:cs="Times New Roman"/>
          <w:b/>
          <w:bCs/>
          <w:color w:val="auto"/>
          <w:sz w:val="32"/>
          <w:szCs w:val="32"/>
          <w:highlight w:val="none"/>
          <w:lang w:val="en-US" w:eastAsia="zh-CN"/>
        </w:rPr>
        <w:t>2026年株洲市芦淞区农村公路养护工程</w:t>
      </w:r>
    </w:p>
    <w:p w14:paraId="5D08DF96">
      <w:pPr>
        <w:keepNext/>
        <w:jc w:val="center"/>
        <w:outlineLvl w:val="0"/>
        <w:rPr>
          <w:rFonts w:ascii="黑体" w:hAnsi="黑体" w:eastAsia="黑体" w:cs="Times New Roman"/>
          <w:b/>
          <w:bCs/>
          <w:color w:val="auto"/>
          <w:sz w:val="32"/>
          <w:szCs w:val="32"/>
          <w:highlight w:val="none"/>
        </w:rPr>
      </w:pPr>
      <w:r>
        <w:rPr>
          <w:rFonts w:hint="eastAsia" w:ascii="黑体" w:hAnsi="黑体" w:eastAsia="黑体" w:cs="Times New Roman"/>
          <w:b/>
          <w:bCs/>
          <w:color w:val="auto"/>
          <w:sz w:val="32"/>
          <w:szCs w:val="32"/>
          <w:highlight w:val="none"/>
        </w:rPr>
        <w:t xml:space="preserve"> 采购需求</w:t>
      </w:r>
      <w:bookmarkEnd w:id="10"/>
    </w:p>
    <w:p w14:paraId="4A84C35D">
      <w:pPr>
        <w:keepNext w:val="0"/>
        <w:keepLines w:val="0"/>
        <w:pageBreakBefore w:val="0"/>
        <w:widowControl w:val="0"/>
        <w:shd w:val="clear" w:color="auto" w:fill="auto"/>
        <w:kinsoku/>
        <w:wordWrap/>
        <w:overflowPunct/>
        <w:topLinePunct w:val="0"/>
        <w:autoSpaceDE/>
        <w:autoSpaceDN/>
        <w:bidi w:val="0"/>
        <w:adjustRightInd w:val="0"/>
        <w:snapToGrid w:val="0"/>
        <w:spacing w:line="420" w:lineRule="exact"/>
        <w:ind w:firstLine="422" w:firstLineChars="20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项目概况</w:t>
      </w:r>
    </w:p>
    <w:p w14:paraId="380BD95E">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1、本项目为2026年株洲市芦淞区农村公路养护工程，主要内容包括</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具体内容为对芦淞区C109、Y046、Y025等农村公路实施修复养护工程，里程约8公里,主要内容为中修换板。对Y047、Y045、Y043等农村公路实施预防性养护工程，里程约15公里，主要内容为清灌缝、加铺沥青等。</w:t>
      </w:r>
    </w:p>
    <w:p w14:paraId="63EA789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2、工期：</w:t>
      </w:r>
      <w:r>
        <w:rPr>
          <w:rFonts w:hint="eastAsia" w:ascii="宋体" w:hAnsi="宋体" w:eastAsia="宋体" w:cs="宋体"/>
          <w:color w:val="auto"/>
          <w:kern w:val="2"/>
          <w:sz w:val="21"/>
          <w:szCs w:val="21"/>
          <w:highlight w:val="none"/>
          <w:u w:val="single"/>
          <w:lang w:val="en-US" w:eastAsia="zh-CN" w:bidi="ar-SA"/>
        </w:rPr>
        <w:t>60 日历天</w:t>
      </w:r>
      <w:r>
        <w:rPr>
          <w:rFonts w:hint="eastAsia" w:ascii="宋体" w:hAnsi="宋体" w:eastAsia="宋体" w:cs="宋体"/>
          <w:color w:val="auto"/>
          <w:kern w:val="2"/>
          <w:sz w:val="21"/>
          <w:szCs w:val="21"/>
          <w:highlight w:val="none"/>
          <w:lang w:val="en-US" w:eastAsia="zh-CN" w:bidi="ar-SA"/>
        </w:rPr>
        <w:t>，具体开工日期以采购人发布的开工通知为准。若因成交供应商原因导致未能按期通过验收或发生其他严重违约情形的，采购人有权直接从履约担保中抵扣违约金、损失赔偿金等费用，并有权暂缓支付工程款、按违约情形扣除相应比例工程款，直至成交供应商整改合格为止。</w:t>
      </w:r>
    </w:p>
    <w:p w14:paraId="7E74C17D">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0" w:firstLineChars="200"/>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3、项目建设地点：</w:t>
      </w:r>
      <w:r>
        <w:rPr>
          <w:rFonts w:hint="eastAsia" w:cs="Times New Roman"/>
          <w:color w:val="auto"/>
          <w:kern w:val="2"/>
          <w:sz w:val="21"/>
          <w:szCs w:val="21"/>
          <w:highlight w:val="none"/>
          <w:lang w:val="en-US" w:eastAsia="zh-CN" w:bidi="ar-SA"/>
        </w:rPr>
        <w:t>株洲市芦淞区</w:t>
      </w:r>
      <w:r>
        <w:rPr>
          <w:rFonts w:hint="eastAsia" w:ascii="Times New Roman" w:hAnsi="Times New Roman" w:eastAsia="宋体" w:cs="Times New Roman"/>
          <w:color w:val="auto"/>
          <w:kern w:val="2"/>
          <w:sz w:val="21"/>
          <w:szCs w:val="21"/>
          <w:highlight w:val="none"/>
          <w:lang w:val="en-US" w:eastAsia="zh-CN" w:bidi="ar-SA"/>
        </w:rPr>
        <w:t>。</w:t>
      </w:r>
    </w:p>
    <w:p w14:paraId="018AC851">
      <w:pPr>
        <w:keepNext w:val="0"/>
        <w:keepLines w:val="0"/>
        <w:pageBreakBefore w:val="0"/>
        <w:widowControl w:val="0"/>
        <w:shd w:val="clear" w:color="auto" w:fill="auto"/>
        <w:kinsoku/>
        <w:wordWrap/>
        <w:overflowPunct/>
        <w:topLinePunct w:val="0"/>
        <w:autoSpaceDE/>
        <w:autoSpaceDN/>
        <w:bidi w:val="0"/>
        <w:adjustRightInd w:val="0"/>
        <w:snapToGrid w:val="0"/>
        <w:spacing w:line="420" w:lineRule="exact"/>
        <w:ind w:firstLine="420" w:firstLineChars="200"/>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4、工程承包范围：本项目设计施工图纸范围内全部工程，具体以采购人提供的工程量清单为准。</w:t>
      </w:r>
    </w:p>
    <w:p w14:paraId="51600643">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0" w:firstLineChars="200"/>
        <w:textAlignment w:val="auto"/>
        <w:outlineLvl w:val="9"/>
        <w:rPr>
          <w:rFonts w:hint="default" w:ascii="宋体" w:hAnsi="宋体" w:eastAsia="宋体" w:cs="宋体"/>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5、承包方式：本工程采取包工、包料、包工期、</w:t>
      </w:r>
      <w:r>
        <w:rPr>
          <w:rFonts w:hint="eastAsia" w:ascii="宋体" w:hAnsi="宋体" w:eastAsia="宋体" w:cs="宋体"/>
          <w:color w:val="auto"/>
          <w:kern w:val="2"/>
          <w:sz w:val="21"/>
          <w:szCs w:val="21"/>
          <w:highlight w:val="none"/>
          <w:lang w:val="en-US" w:eastAsia="zh-CN" w:bidi="ar-SA"/>
        </w:rPr>
        <w:t>包质量、包资产移交手续办理、包现场安全文明施工、包安全并从开工到竣工验收交付、工程保修等全过程的总承包方式。</w:t>
      </w:r>
    </w:p>
    <w:p w14:paraId="7D374AAE">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2" w:firstLineChars="200"/>
        <w:textAlignment w:val="auto"/>
        <w:outlineLvl w:val="9"/>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二、实施要求</w:t>
      </w:r>
    </w:p>
    <w:p w14:paraId="0610BE0E">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严格按设计图纸和施工规范要求施工，以国家和行业的质量检验评定标准为依据达到合同约定的合格标准。</w:t>
      </w:r>
    </w:p>
    <w:p w14:paraId="13DC90AD">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工程用材料必须符合设计要求、国家现行材料技术规范和标准以及采购人对有关材料的品牌要求，且应有产品合格证、出厂证明书、合法质监部门检验合格证，并经采购人现场代表确认合格后，方可用于本工程。</w:t>
      </w:r>
    </w:p>
    <w:p w14:paraId="75E774C8">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lang w:val="en-US" w:eastAsia="zh-CN"/>
        </w:rPr>
        <w:t>、质量标准：符合国家现行有关工程施工验收规范和标准。</w:t>
      </w:r>
    </w:p>
    <w:p w14:paraId="3F35FA7B">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lang w:val="en-US" w:eastAsia="zh-CN"/>
        </w:rPr>
        <w:t>、质量等级：合格</w:t>
      </w:r>
      <w:r>
        <w:rPr>
          <w:rFonts w:hint="eastAsia" w:ascii="宋体" w:hAnsi="宋体" w:cs="宋体"/>
          <w:bCs/>
          <w:color w:val="auto"/>
          <w:szCs w:val="21"/>
          <w:highlight w:val="none"/>
          <w:lang w:val="en-US" w:eastAsia="zh-CN"/>
        </w:rPr>
        <w:t>。</w:t>
      </w:r>
    </w:p>
    <w:p w14:paraId="32AE65FF">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lang w:val="en-US" w:eastAsia="zh-CN"/>
        </w:rPr>
        <w:t>、质量要求：达到国家现行质量验收评定的标准，一次性验收合格。</w:t>
      </w:r>
    </w:p>
    <w:p w14:paraId="64134D32">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lang w:val="en-US" w:eastAsia="zh-CN"/>
        </w:rPr>
        <w:t>、保修要求：按国务院279号院令及国家建设部第80号部令及国家有关规定实行工程保修。</w:t>
      </w:r>
    </w:p>
    <w:p w14:paraId="2182709F">
      <w:pPr>
        <w:keepNext w:val="0"/>
        <w:keepLines w:val="0"/>
        <w:pageBreakBefore w:val="0"/>
        <w:widowControl w:val="0"/>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7</w:t>
      </w:r>
      <w:r>
        <w:rPr>
          <w:rFonts w:hint="eastAsia" w:ascii="宋体" w:hAnsi="宋体" w:eastAsia="宋体" w:cs="宋体"/>
          <w:bCs/>
          <w:color w:val="auto"/>
          <w:szCs w:val="21"/>
          <w:highlight w:val="none"/>
          <w:lang w:val="en-US" w:eastAsia="zh-CN"/>
        </w:rPr>
        <w:t>、验收要求：由采购人组织验收活动，成交供应商负责在当地建设行政主管部门办理工程竣工验收备案。</w:t>
      </w:r>
    </w:p>
    <w:p w14:paraId="70AAA180">
      <w:pPr>
        <w:keepNext w:val="0"/>
        <w:keepLines w:val="0"/>
        <w:pageBreakBefore w:val="0"/>
        <w:widowControl w:val="0"/>
        <w:shd w:val="clear" w:color="auto" w:fill="auto"/>
        <w:kinsoku/>
        <w:wordWrap/>
        <w:overflowPunct/>
        <w:topLinePunct w:val="0"/>
        <w:bidi w:val="0"/>
        <w:spacing w:line="420" w:lineRule="exact"/>
        <w:ind w:firstLine="422" w:firstLineChars="200"/>
        <w:textAlignment w:val="auto"/>
        <w:outlineLvl w:val="9"/>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val="0"/>
          <w:color w:val="auto"/>
          <w:szCs w:val="21"/>
          <w:highlight w:val="none"/>
          <w:lang w:val="en-US" w:eastAsia="zh-CN"/>
        </w:rPr>
        <w:t>10、缺陷责任期：</w:t>
      </w:r>
      <w:r>
        <w:rPr>
          <w:rFonts w:hint="eastAsia" w:ascii="宋体" w:hAnsi="宋体" w:eastAsia="宋体" w:cs="宋体"/>
          <w:bCs/>
          <w:color w:val="auto"/>
          <w:szCs w:val="21"/>
          <w:highlight w:val="none"/>
          <w:lang w:val="en-US" w:eastAsia="zh-CN"/>
        </w:rPr>
        <w:t xml:space="preserve">12个月。 </w:t>
      </w:r>
    </w:p>
    <w:p w14:paraId="3CAF5C06">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420" w:lineRule="exact"/>
        <w:ind w:firstLine="422" w:firstLineChars="200"/>
        <w:textAlignment w:val="auto"/>
        <w:outlineLvl w:val="9"/>
        <w:rPr>
          <w:rFonts w:hint="default" w:ascii="Times New Roman" w:hAnsi="Times New Roman" w:eastAsia="宋体" w:cs="Times New Roman"/>
          <w:color w:val="auto"/>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三、报价说明</w:t>
      </w:r>
    </w:p>
    <w:p w14:paraId="218700E9">
      <w:pPr>
        <w:keepNext w:val="0"/>
        <w:keepLines w:val="0"/>
        <w:pageBreakBefore w:val="0"/>
        <w:widowControl w:val="0"/>
        <w:numPr>
          <w:ilvl w:val="0"/>
          <w:numId w:val="0"/>
        </w:numPr>
        <w:shd w:val="clear" w:color="auto" w:fill="auto"/>
        <w:kinsoku/>
        <w:wordWrap/>
        <w:overflowPunct/>
        <w:topLinePunct w:val="0"/>
        <w:autoSpaceDE w:val="0"/>
        <w:autoSpaceDN w:val="0"/>
        <w:bidi w:val="0"/>
        <w:adjustRightInd w:val="0"/>
        <w:snapToGrid/>
        <w:spacing w:line="400" w:lineRule="exact"/>
        <w:ind w:left="0" w:leftChars="0" w:firstLine="422" w:firstLineChars="200"/>
        <w:textAlignment w:val="auto"/>
        <w:outlineLvl w:val="9"/>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（1）报价说明</w:t>
      </w:r>
    </w:p>
    <w:p w14:paraId="1B0A029A">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1</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本项目的施工图纸；</w:t>
      </w:r>
    </w:p>
    <w:p w14:paraId="424F62C8">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2</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《公路工程建设项目概算预算编制办法》(JTG3830-2018)</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交通部 JTG3830-2018《公路工程基本建设工程概算预算编制办法》(以下简称编制办法)、交通部 JTG/T3833-2018《公路工程预算定额》、交通部 JTG/T3832-2018《公路工程机械台班费用定额》</w:t>
      </w:r>
      <w:r>
        <w:rPr>
          <w:rFonts w:hint="eastAsia" w:ascii="宋体" w:hAnsi="宋体" w:cs="宋体"/>
          <w:b w:val="0"/>
          <w:bCs w:val="0"/>
          <w:color w:val="auto"/>
          <w:szCs w:val="21"/>
          <w:highlight w:val="none"/>
          <w:lang w:eastAsia="zh-CN"/>
        </w:rPr>
        <w:t>；</w:t>
      </w:r>
    </w:p>
    <w:p w14:paraId="1A4C795E">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3</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湖南省市场监督管理局发布实施《普通公路养护工程预算编制办法及定额》（DB43/T858-2025）、《普通公路养护工程工程量清单计量规则》(DB43/T997-2026)</w:t>
      </w:r>
      <w:r>
        <w:rPr>
          <w:rFonts w:hint="eastAsia" w:ascii="宋体" w:hAnsi="宋体" w:eastAsia="宋体" w:cs="宋体"/>
          <w:b w:val="0"/>
          <w:bCs w:val="0"/>
          <w:color w:val="auto"/>
          <w:szCs w:val="21"/>
          <w:highlight w:val="none"/>
          <w:lang w:eastAsia="zh-CN"/>
        </w:rPr>
        <w:t>；</w:t>
      </w:r>
    </w:p>
    <w:p w14:paraId="76D06F5C">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4</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湖南省交通运输厅关于发布《公路工程建设项目投资估算编制办法》《公路工程建设</w:t>
      </w:r>
    </w:p>
    <w:p w14:paraId="25BBC993">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项目概算预算编制办法》补充规定的通知(湘交基建[2019]74 号)；</w:t>
      </w:r>
    </w:p>
    <w:p w14:paraId="40B8A0EB">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5</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湖南省交通运输厅《转发财政部安全监管总局关于印发《企业安全生产费用提取和使用管理办法》的通知》(湘交办函〔2012〕287 号)；</w:t>
      </w:r>
    </w:p>
    <w:p w14:paraId="4B3B68A3">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6</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中华人民共和国交通运输部公告 2019 年第 26 号交通运输部关于调整《公路工程建设项目投资估算编制办法》(JTG3820-2018) 和《公路工程建设项目概算预算编制办法》(JTG3830-2018)中“税金”有关规定的公告；</w:t>
      </w:r>
    </w:p>
    <w:p w14:paraId="5EDC8ADC">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7</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《株洲建设工程造价信息》2026 年第三期(6 月份)信息价进行调整，若缺项部分按市场价计取；</w:t>
      </w:r>
    </w:p>
    <w:p w14:paraId="474D1192">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8</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人工费：根据湘交基建[2019]74 号湖南省交通运输厅关于发布《公路工程建设项目投资估算编制办法》《公路工程建设项目概算预算编制办法》补充规定的通知计算；</w:t>
      </w:r>
    </w:p>
    <w:p w14:paraId="7DD2F05D">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9</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国家现行标准规范及强制性标准；</w:t>
      </w:r>
    </w:p>
    <w:p w14:paraId="71726F51">
      <w:pPr>
        <w:keepNext w:val="0"/>
        <w:keepLines w:val="0"/>
        <w:pageBreakBefore w:val="0"/>
        <w:widowControl w:val="0"/>
        <w:shd w:val="clear" w:color="auto" w:fill="auto"/>
        <w:kinsoku/>
        <w:wordWrap/>
        <w:overflowPunct/>
        <w:topLinePunct w:val="0"/>
        <w:bidi w:val="0"/>
        <w:spacing w:line="360" w:lineRule="auto"/>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10</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其它影响工程造价的有关资料。</w:t>
      </w:r>
    </w:p>
    <w:p w14:paraId="3E249B6E">
      <w:pPr>
        <w:keepNext w:val="0"/>
        <w:keepLines w:val="0"/>
        <w:pageBreakBefore w:val="0"/>
        <w:widowControl w:val="0"/>
        <w:shd w:val="clear" w:color="auto" w:fill="auto"/>
        <w:kinsoku/>
        <w:wordWrap/>
        <w:overflowPunct/>
        <w:topLinePunct w:val="0"/>
        <w:bidi w:val="0"/>
        <w:spacing w:line="360" w:lineRule="auto"/>
        <w:ind w:firstLine="422"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lang w:eastAsia="zh-CN"/>
        </w:rPr>
        <w:t>报价文件中的</w:t>
      </w:r>
      <w:r>
        <w:rPr>
          <w:rFonts w:hint="eastAsia" w:ascii="宋体" w:hAnsi="宋体" w:eastAsia="宋体" w:cs="宋体"/>
          <w:b/>
          <w:bCs/>
          <w:color w:val="auto"/>
          <w:szCs w:val="21"/>
          <w:highlight w:val="none"/>
          <w:lang w:eastAsia="zh-CN"/>
        </w:rPr>
        <w:t>投标总价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lang w:eastAsia="zh-CN"/>
        </w:rPr>
        <w:t>由</w:t>
      </w:r>
      <w:r>
        <w:rPr>
          <w:rFonts w:hint="eastAsia" w:ascii="宋体" w:hAnsi="宋体" w:eastAsia="宋体" w:cs="宋体"/>
          <w:b/>
          <w:bCs/>
          <w:color w:val="auto"/>
          <w:szCs w:val="21"/>
          <w:highlight w:val="none"/>
          <w:lang w:eastAsia="zh-CN"/>
        </w:rPr>
        <w:t>注册造价工程师签字并加盖其执业专用章</w:t>
      </w:r>
      <w:r>
        <w:rPr>
          <w:rFonts w:hint="eastAsia" w:ascii="宋体" w:hAnsi="宋体" w:eastAsia="宋体" w:cs="宋体"/>
          <w:color w:val="auto"/>
          <w:szCs w:val="21"/>
          <w:highlight w:val="none"/>
          <w:lang w:eastAsia="zh-CN"/>
        </w:rPr>
        <w:t>，同时将该</w:t>
      </w:r>
      <w:r>
        <w:rPr>
          <w:rFonts w:hint="eastAsia" w:ascii="宋体" w:hAnsi="宋体" w:eastAsia="宋体" w:cs="宋体"/>
          <w:b/>
          <w:bCs/>
          <w:color w:val="auto"/>
          <w:szCs w:val="21"/>
          <w:highlight w:val="none"/>
          <w:lang w:eastAsia="zh-CN"/>
        </w:rPr>
        <w:t>造价师的注册证书复印</w:t>
      </w:r>
      <w:r>
        <w:rPr>
          <w:rFonts w:hint="eastAsia" w:ascii="宋体" w:hAnsi="宋体" w:eastAsia="宋体" w:cs="宋体"/>
          <w:color w:val="auto"/>
          <w:szCs w:val="21"/>
          <w:highlight w:val="none"/>
          <w:lang w:eastAsia="zh-CN"/>
        </w:rPr>
        <w:t>件附于响应文件中。若注册造价工程师为</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本单位人员，其注册单位名称须与供应商名称一致；如委托具备相应资质的工程造价咨询机构编制投标报价，则须在响应文件中附上</w:t>
      </w:r>
      <w:r>
        <w:rPr>
          <w:rFonts w:hint="eastAsia" w:ascii="宋体" w:hAnsi="宋体" w:eastAsia="宋体" w:cs="宋体"/>
          <w:b/>
          <w:bCs/>
          <w:color w:val="auto"/>
          <w:szCs w:val="21"/>
          <w:highlight w:val="none"/>
          <w:lang w:eastAsia="zh-CN"/>
        </w:rPr>
        <w:t>委托合同（协议书）</w:t>
      </w:r>
      <w:r>
        <w:rPr>
          <w:rFonts w:hint="eastAsia" w:ascii="宋体" w:hAnsi="宋体" w:eastAsia="宋体" w:cs="宋体"/>
          <w:color w:val="auto"/>
          <w:szCs w:val="21"/>
          <w:highlight w:val="none"/>
          <w:lang w:eastAsia="zh-CN"/>
        </w:rPr>
        <w:t>复印件，并由被委托机构指派的</w:t>
      </w:r>
      <w:r>
        <w:rPr>
          <w:rFonts w:hint="eastAsia" w:ascii="宋体" w:hAnsi="宋体" w:eastAsia="宋体" w:cs="宋体"/>
          <w:b/>
          <w:bCs/>
          <w:color w:val="auto"/>
          <w:szCs w:val="21"/>
          <w:highlight w:val="none"/>
          <w:lang w:eastAsia="zh-CN"/>
        </w:rPr>
        <w:t>注册造价工程师签字并加盖执业专用章</w:t>
      </w:r>
      <w:r>
        <w:rPr>
          <w:rFonts w:hint="eastAsia" w:ascii="宋体" w:hAnsi="宋体" w:eastAsia="宋体" w:cs="宋体"/>
          <w:color w:val="auto"/>
          <w:szCs w:val="21"/>
          <w:highlight w:val="none"/>
          <w:lang w:eastAsia="zh-CN"/>
        </w:rPr>
        <w:t>，且该造价师的</w:t>
      </w:r>
      <w:r>
        <w:rPr>
          <w:rFonts w:hint="eastAsia" w:ascii="宋体" w:hAnsi="宋体" w:eastAsia="宋体" w:cs="宋体"/>
          <w:b/>
          <w:bCs/>
          <w:color w:val="auto"/>
          <w:szCs w:val="21"/>
          <w:highlight w:val="none"/>
          <w:lang w:eastAsia="zh-CN"/>
        </w:rPr>
        <w:t>注册单位名称须与被委托机构名称一致</w:t>
      </w:r>
      <w:r>
        <w:rPr>
          <w:rFonts w:hint="eastAsia" w:ascii="宋体" w:hAnsi="宋体" w:eastAsia="宋体" w:cs="宋体"/>
          <w:color w:val="auto"/>
          <w:szCs w:val="21"/>
          <w:highlight w:val="none"/>
          <w:lang w:eastAsia="zh-CN"/>
        </w:rPr>
        <w:t>。</w:t>
      </w:r>
    </w:p>
    <w:p w14:paraId="4F7AE142">
      <w:pPr>
        <w:shd w:val="clear" w:color="auto" w:fill="auto"/>
        <w:wordWrap w:val="0"/>
        <w:overflowPunct w:val="0"/>
        <w:topLinePunct/>
        <w:spacing w:line="448" w:lineRule="exact"/>
        <w:ind w:right="-92" w:rightChars="-44" w:firstLine="422" w:firstLineChars="200"/>
        <w:jc w:val="left"/>
        <w:textAlignment w:val="top"/>
        <w:rPr>
          <w:rFonts w:hint="eastAsia" w:ascii="Times New Roman" w:hAnsi="Times New Roman" w:eastAsia="宋体" w:cs="Times New Roman"/>
          <w:color w:val="auto"/>
          <w:highlight w:val="none"/>
          <w:lang w:val="en-US" w:eastAsia="zh-CN"/>
        </w:rPr>
      </w:pPr>
      <w:r>
        <w:rPr>
          <w:rFonts w:hint="eastAsia" w:ascii="宋体" w:hAnsi="宋体" w:eastAsia="宋体" w:cs="宋体"/>
          <w:b/>
          <w:bCs/>
          <w:color w:val="auto"/>
          <w:szCs w:val="21"/>
          <w:highlight w:val="none"/>
          <w:lang w:val="en-US" w:eastAsia="zh-CN"/>
        </w:rPr>
        <w:t>工程造价咨询机构在同一采购项目中，只能接受一个供应商的委托编制报价文件，否则其编制的报价文件无效。</w:t>
      </w:r>
    </w:p>
    <w:p w14:paraId="5BF45A19">
      <w:pPr>
        <w:keepNext w:val="0"/>
        <w:keepLines w:val="0"/>
        <w:pageBreakBefore w:val="0"/>
        <w:widowControl w:val="0"/>
        <w:numPr>
          <w:ilvl w:val="0"/>
          <w:numId w:val="0"/>
        </w:numPr>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eastAsia="zh-CN"/>
        </w:rPr>
        <w:t>不可预见费（如有）、（暂列金额）（如有）、暂估价（如有）、供应商须完全响应，结算时据实结算。</w:t>
      </w:r>
    </w:p>
    <w:p w14:paraId="42BE44D8">
      <w:pPr>
        <w:keepNext w:val="0"/>
        <w:keepLines w:val="0"/>
        <w:pageBreakBefore w:val="0"/>
        <w:widowControl w:val="0"/>
        <w:numPr>
          <w:ilvl w:val="0"/>
          <w:numId w:val="0"/>
        </w:numPr>
        <w:shd w:val="clear" w:color="auto" w:fill="auto"/>
        <w:kinsoku/>
        <w:wordWrap/>
        <w:overflowPunct/>
        <w:topLinePunct w:val="0"/>
        <w:bidi w:val="0"/>
        <w:spacing w:line="420" w:lineRule="exact"/>
        <w:ind w:firstLine="420" w:firstLineChars="200"/>
        <w:textAlignment w:val="auto"/>
        <w:outlineLvl w:val="9"/>
        <w:rPr>
          <w:rFonts w:hint="eastAsia" w:ascii="宋体" w:hAnsi="宋体" w:eastAsia="宋体" w:cs="宋体"/>
          <w:b/>
          <w:bCs/>
          <w:color w:val="auto"/>
          <w:szCs w:val="21"/>
          <w:highlight w:val="none"/>
          <w:lang w:eastAsia="zh-CN"/>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eastAsia="zh-CN"/>
        </w:rPr>
        <w:t>供应商投标报价文件应按</w:t>
      </w:r>
      <w:r>
        <w:rPr>
          <w:rFonts w:hint="eastAsia" w:ascii="宋体" w:hAnsi="宋体" w:eastAsia="宋体" w:cs="宋体"/>
          <w:b w:val="0"/>
          <w:bCs w:val="0"/>
          <w:color w:val="auto"/>
          <w:szCs w:val="21"/>
          <w:highlight w:val="none"/>
          <w:lang w:val="en-US" w:eastAsia="zh-CN"/>
        </w:rPr>
        <w:t>谈判</w:t>
      </w:r>
      <w:r>
        <w:rPr>
          <w:rFonts w:hint="eastAsia" w:ascii="宋体" w:hAnsi="宋体" w:eastAsia="宋体" w:cs="宋体"/>
          <w:b w:val="0"/>
          <w:bCs w:val="0"/>
          <w:color w:val="auto"/>
          <w:szCs w:val="21"/>
          <w:highlight w:val="none"/>
          <w:lang w:eastAsia="zh-CN"/>
        </w:rPr>
        <w:t>文件提供的工程量清单填写已标价的工程量清单（包括项目编码、项目名称、项目特征、计量单位和工程数量等），如有缺项、漏项、数量与</w:t>
      </w:r>
      <w:r>
        <w:rPr>
          <w:rFonts w:hint="eastAsia" w:ascii="宋体" w:hAnsi="宋体" w:eastAsia="宋体" w:cs="宋体"/>
          <w:b w:val="0"/>
          <w:bCs w:val="0"/>
          <w:color w:val="auto"/>
          <w:szCs w:val="21"/>
          <w:highlight w:val="none"/>
          <w:lang w:val="en-US" w:eastAsia="zh-CN"/>
        </w:rPr>
        <w:t>谈判</w:t>
      </w:r>
      <w:r>
        <w:rPr>
          <w:rFonts w:hint="eastAsia" w:ascii="宋体" w:hAnsi="宋体" w:eastAsia="宋体" w:cs="宋体"/>
          <w:b w:val="0"/>
          <w:bCs w:val="0"/>
          <w:color w:val="auto"/>
          <w:szCs w:val="21"/>
          <w:highlight w:val="none"/>
          <w:lang w:eastAsia="zh-CN"/>
        </w:rPr>
        <w:t>文件中的工程量清单不一致的，其响应无效。</w:t>
      </w:r>
    </w:p>
    <w:p w14:paraId="3A1D158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420" w:lineRule="exact"/>
        <w:ind w:firstLine="422" w:firstLineChars="200"/>
        <w:textAlignment w:val="auto"/>
        <w:outlineLvl w:val="9"/>
        <w:rPr>
          <w:rFonts w:hint="eastAsia" w:ascii="宋体" w:hAnsi="宋体" w:eastAsia="宋体" w:cs="宋体"/>
          <w:b/>
          <w:bCs/>
          <w:color w:val="auto"/>
          <w:szCs w:val="21"/>
          <w:highlight w:val="none"/>
        </w:rPr>
      </w:pPr>
      <w:bookmarkStart w:id="11" w:name="_Toc14546"/>
      <w:r>
        <w:rPr>
          <w:rFonts w:hint="eastAsia" w:ascii="宋体" w:hAnsi="宋体" w:eastAsia="宋体" w:cs="宋体"/>
          <w:b/>
          <w:bCs/>
          <w:color w:val="auto"/>
          <w:szCs w:val="21"/>
          <w:highlight w:val="none"/>
          <w:lang w:eastAsia="zh-CN"/>
        </w:rPr>
        <w:t>四、</w:t>
      </w:r>
      <w:r>
        <w:rPr>
          <w:rFonts w:hint="eastAsia" w:ascii="宋体" w:hAnsi="宋体" w:eastAsia="宋体" w:cs="宋体"/>
          <w:b/>
          <w:bCs/>
          <w:color w:val="auto"/>
          <w:szCs w:val="21"/>
          <w:highlight w:val="none"/>
        </w:rPr>
        <w:t>工程清单</w:t>
      </w:r>
    </w:p>
    <w:p w14:paraId="5216A7D4">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420" w:lineRule="exact"/>
        <w:ind w:firstLine="422" w:firstLineChars="200"/>
        <w:textAlignment w:val="auto"/>
        <w:outlineLvl w:val="9"/>
        <w:rPr>
          <w:rFonts w:hint="eastAsia" w:ascii="宋体" w:hAnsi="宋体" w:eastAsia="宋体" w:cs="宋体"/>
          <w:b/>
          <w:bCs w:val="0"/>
          <w:color w:val="auto"/>
          <w:szCs w:val="21"/>
          <w:highlight w:val="none"/>
          <w:lang w:val="en-US" w:eastAsia="zh-CN"/>
        </w:rPr>
      </w:pPr>
      <w:r>
        <w:rPr>
          <w:rFonts w:hint="eastAsia" w:ascii="宋体" w:hAnsi="宋体" w:eastAsia="宋体" w:cs="宋体"/>
          <w:b/>
          <w:bCs/>
          <w:color w:val="auto"/>
          <w:szCs w:val="21"/>
          <w:highlight w:val="none"/>
        </w:rPr>
        <w:t xml:space="preserve"> </w:t>
      </w:r>
      <w:r>
        <w:rPr>
          <w:rFonts w:hint="eastAsia" w:ascii="宋体" w:hAnsi="宋体" w:eastAsia="宋体" w:cs="宋体"/>
          <w:color w:val="auto"/>
          <w:szCs w:val="21"/>
          <w:highlight w:val="none"/>
          <w:lang w:eastAsia="zh-CN"/>
        </w:rPr>
        <w:t>本项目工程量清单和图纸由供应商自行在</w:t>
      </w:r>
      <w:r>
        <w:rPr>
          <w:rFonts w:hint="eastAsia" w:ascii="宋体" w:hAnsi="宋体" w:cs="宋体"/>
          <w:b w:val="0"/>
          <w:bCs w:val="0"/>
          <w:szCs w:val="24"/>
          <w:lang w:val="en-US" w:eastAsia="zh-CN"/>
        </w:rPr>
        <w:t>株洲市采购交易系统（https://cgjy.zzzyjy.cn:38081/TPBidder/）或</w:t>
      </w:r>
      <w:r>
        <w:rPr>
          <w:rFonts w:hint="eastAsia" w:ascii="宋体" w:hAnsi="宋体" w:eastAsia="宋体" w:cs="宋体"/>
          <w:color w:val="auto"/>
          <w:szCs w:val="21"/>
          <w:highlight w:val="none"/>
          <w:lang w:eastAsia="zh-CN"/>
        </w:rPr>
        <w:t>湖南省株洲市政府采购网本公告附件中下载。</w:t>
      </w:r>
      <w:bookmarkEnd w:id="11"/>
      <w:bookmarkStart w:id="12" w:name="_Toc2293"/>
      <w:bookmarkStart w:id="13" w:name="_Toc2205"/>
    </w:p>
    <w:p w14:paraId="548C358A">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22" w:firstLineChars="200"/>
        <w:textAlignment w:val="auto"/>
        <w:outlineLvl w:val="9"/>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五</w:t>
      </w:r>
      <w:r>
        <w:rPr>
          <w:rFonts w:hint="eastAsia" w:ascii="宋体" w:hAnsi="宋体" w:eastAsia="宋体" w:cs="宋体"/>
          <w:b/>
          <w:bCs/>
          <w:color w:val="auto"/>
          <w:szCs w:val="21"/>
          <w:highlight w:val="none"/>
          <w:lang w:eastAsia="zh-CN"/>
        </w:rPr>
        <w:t>、其他要求</w:t>
      </w:r>
      <w:bookmarkEnd w:id="12"/>
      <w:bookmarkEnd w:id="13"/>
    </w:p>
    <w:p w14:paraId="1C8DE05C">
      <w:pPr>
        <w:keepNext w:val="0"/>
        <w:keepLines w:val="0"/>
        <w:pageBreakBefore w:val="0"/>
        <w:widowControl w:val="0"/>
        <w:shd w:val="clear" w:color="auto" w:fill="auto"/>
        <w:tabs>
          <w:tab w:val="left" w:pos="360"/>
          <w:tab w:val="center" w:pos="4153"/>
        </w:tabs>
        <w:kinsoku/>
        <w:wordWrap/>
        <w:overflowPunct/>
        <w:topLinePunct w:val="0"/>
        <w:bidi w:val="0"/>
        <w:spacing w:line="420" w:lineRule="exact"/>
        <w:ind w:firstLine="422"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Times New Roman"/>
          <w:b/>
          <w:bCs/>
          <w:color w:val="auto"/>
          <w:szCs w:val="21"/>
          <w:highlight w:val="none"/>
          <w:lang w:val="en-US" w:eastAsia="zh-CN"/>
        </w:rPr>
        <w:t>1、</w:t>
      </w:r>
      <w:r>
        <w:rPr>
          <w:rFonts w:hint="eastAsia" w:ascii="宋体" w:hAnsi="宋体" w:eastAsia="宋体" w:cs="Times New Roman"/>
          <w:b/>
          <w:bCs/>
          <w:color w:val="auto"/>
          <w:szCs w:val="21"/>
          <w:highlight w:val="none"/>
        </w:rPr>
        <w:t>合</w:t>
      </w:r>
      <w:r>
        <w:rPr>
          <w:rFonts w:hint="eastAsia" w:ascii="宋体" w:hAnsi="宋体" w:eastAsia="宋体" w:cs="宋体"/>
          <w:b/>
          <w:bCs/>
          <w:color w:val="auto"/>
          <w:szCs w:val="21"/>
          <w:highlight w:val="none"/>
        </w:rPr>
        <w:t>同价款支付方式和条件</w:t>
      </w:r>
    </w:p>
    <w:p w14:paraId="6431E34A">
      <w:pPr>
        <w:keepNext w:val="0"/>
        <w:keepLines w:val="0"/>
        <w:pageBreakBefore w:val="0"/>
        <w:widowControl w:val="0"/>
        <w:shd w:val="clear" w:color="auto" w:fill="auto"/>
        <w:tabs>
          <w:tab w:val="left" w:pos="360"/>
          <w:tab w:val="center" w:pos="4153"/>
        </w:tabs>
        <w:kinsoku/>
        <w:wordWrap/>
        <w:overflowPunct/>
        <w:topLinePunct w:val="0"/>
        <w:bidi w:val="0"/>
        <w:spacing w:line="420" w:lineRule="exac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付款采用银行转账方式，凭正式税务发票。</w:t>
      </w:r>
    </w:p>
    <w:p w14:paraId="1D1E5DB5">
      <w:pPr>
        <w:keepNext w:val="0"/>
        <w:keepLines w:val="0"/>
        <w:pageBreakBefore w:val="0"/>
        <w:widowControl w:val="0"/>
        <w:shd w:val="clear" w:color="auto" w:fill="auto"/>
        <w:tabs>
          <w:tab w:val="left" w:pos="360"/>
          <w:tab w:val="center" w:pos="4153"/>
        </w:tabs>
        <w:kinsoku/>
        <w:wordWrap/>
        <w:overflowPunct/>
        <w:topLinePunct w:val="0"/>
        <w:bidi w:val="0"/>
        <w:spacing w:line="420" w:lineRule="exact"/>
        <w:ind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1.2付款方式：（1）付款采用银行转账方式，凭正式税务发票。</w:t>
      </w:r>
    </w:p>
    <w:p w14:paraId="01723A09">
      <w:pPr>
        <w:keepNext w:val="0"/>
        <w:keepLines w:val="0"/>
        <w:pageBreakBefore w:val="0"/>
        <w:widowControl w:val="0"/>
        <w:shd w:val="clear" w:color="auto" w:fill="auto"/>
        <w:tabs>
          <w:tab w:val="left" w:pos="360"/>
          <w:tab w:val="center" w:pos="4153"/>
        </w:tabs>
        <w:kinsoku/>
        <w:wordWrap/>
        <w:overflowPunct/>
        <w:topLinePunct w:val="0"/>
        <w:bidi w:val="0"/>
        <w:spacing w:line="420" w:lineRule="exact"/>
        <w:ind w:firstLine="420" w:firstLineChars="20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（2）本项目竣工验收后支付合同款的80%，竣工结算审核定案后累计支付至竣工结算定案总价的97%，预留3% 的工程款作为质保金，质保金在工程交付使用缺陷责任期届满后拨付。具体以合同约定为准。</w:t>
      </w:r>
    </w:p>
    <w:p w14:paraId="25E37E41">
      <w:pPr>
        <w:keepNext w:val="0"/>
        <w:keepLines w:val="0"/>
        <w:pageBreakBefore w:val="0"/>
        <w:widowControl w:val="0"/>
        <w:kinsoku/>
        <w:wordWrap/>
        <w:overflowPunct/>
        <w:topLinePunct w:val="0"/>
        <w:bidi w:val="0"/>
        <w:spacing w:line="360" w:lineRule="auto"/>
        <w:ind w:firstLine="422" w:firstLineChars="200"/>
        <w:jc w:val="left"/>
        <w:textAlignment w:val="auto"/>
        <w:outlineLvl w:val="9"/>
        <w:rPr>
          <w:rFonts w:hint="eastAsia" w:ascii="宋体" w:hAnsi="宋体" w:eastAsia="宋体" w:cs="宋体"/>
          <w:bCs/>
          <w:color w:val="auto"/>
          <w:szCs w:val="21"/>
          <w:highlight w:val="none"/>
          <w:lang w:val="en-US" w:eastAsia="zh-CN"/>
        </w:rPr>
      </w:pPr>
      <w:r>
        <w:rPr>
          <w:rFonts w:hint="eastAsia" w:ascii="宋体" w:hAnsi="宋体" w:eastAsia="宋体" w:cs="宋体"/>
          <w:b/>
          <w:bCs w:val="0"/>
          <w:color w:val="auto"/>
          <w:szCs w:val="21"/>
          <w:highlight w:val="none"/>
          <w:lang w:val="en-US" w:eastAsia="zh-CN"/>
        </w:rPr>
        <w:t>2、工程变更：</w:t>
      </w:r>
      <w:r>
        <w:rPr>
          <w:rFonts w:hint="eastAsia" w:ascii="宋体" w:hAnsi="宋体" w:eastAsia="宋体" w:cs="宋体"/>
          <w:bCs/>
          <w:color w:val="auto"/>
          <w:szCs w:val="21"/>
          <w:highlight w:val="none"/>
          <w:lang w:val="en-US" w:eastAsia="zh-CN"/>
        </w:rPr>
        <w:t>当发生工程变更，由采购人、监理单位进行初审，报有关部门审定。</w:t>
      </w:r>
    </w:p>
    <w:p w14:paraId="1B6E614B">
      <w:pPr>
        <w:keepNext w:val="0"/>
        <w:keepLines w:val="0"/>
        <w:pageBreakBefore w:val="0"/>
        <w:widowControl w:val="0"/>
        <w:kinsoku/>
        <w:wordWrap/>
        <w:overflowPunct/>
        <w:topLinePunct w:val="0"/>
        <w:autoSpaceDE/>
        <w:autoSpaceDN/>
        <w:bidi w:val="0"/>
        <w:spacing w:after="120" w:line="288" w:lineRule="auto"/>
        <w:ind w:left="0" w:leftChars="0" w:firstLine="420" w:firstLineChars="200"/>
        <w:jc w:val="both"/>
        <w:textAlignment w:val="auto"/>
        <w:rPr>
          <w:rFonts w:hint="eastAsia" w:ascii="宋体" w:hAnsi="宋体" w:eastAsia="宋体" w:cs="Times New Roman"/>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3、工程竣工结算：工程竣工验收合格后应及时办理工程结算，成交供应商应在竣工验收合格后30天内提交完整齐备的工程竣工资料和验收资料装订成册交采购人四套存档。</w:t>
      </w:r>
    </w:p>
    <w:p w14:paraId="2660E78A">
      <w:pPr>
        <w:adjustRightInd w:val="0"/>
        <w:snapToGrid w:val="0"/>
        <w:spacing w:line="360" w:lineRule="auto"/>
        <w:ind w:firstLine="420" w:firstLineChars="200"/>
        <w:rPr>
          <w:rFonts w:hint="eastAsia" w:ascii="宋体" w:hAnsi="宋体" w:eastAsia="宋体" w:cs="Times New Roman"/>
          <w:bCs/>
          <w:color w:val="auto"/>
          <w:sz w:val="21"/>
          <w:szCs w:val="21"/>
          <w:highlight w:val="none"/>
          <w:lang w:val="en-US" w:eastAsia="zh-CN"/>
        </w:rPr>
      </w:pPr>
      <w:r>
        <w:rPr>
          <w:rFonts w:hint="eastAsia" w:ascii="宋体" w:hAnsi="宋体" w:eastAsia="宋体" w:cs="Times New Roman"/>
          <w:bCs/>
          <w:color w:val="auto"/>
          <w:sz w:val="21"/>
          <w:szCs w:val="21"/>
          <w:highlight w:val="none"/>
          <w:lang w:val="en-US" w:eastAsia="zh-CN"/>
        </w:rPr>
        <w:t>4、如成交供应商在承包期内发生重大安全事故或违约情况，由成交供应商自行承担并妥善处理。</w:t>
      </w:r>
    </w:p>
    <w:p w14:paraId="5739C279">
      <w:pPr>
        <w:adjustRightInd w:val="0"/>
        <w:snapToGrid w:val="0"/>
        <w:spacing w:line="360" w:lineRule="auto"/>
        <w:ind w:firstLine="420" w:firstLineChars="200"/>
        <w:rPr>
          <w:rFonts w:hint="eastAsia" w:ascii="宋体" w:hAnsi="宋体" w:eastAsia="宋体" w:cs="Times New Roman"/>
          <w:bCs/>
          <w:color w:val="auto"/>
          <w:sz w:val="21"/>
          <w:szCs w:val="21"/>
          <w:highlight w:val="none"/>
          <w:lang w:val="en-US" w:eastAsia="en-US"/>
        </w:rPr>
      </w:pPr>
      <w:r>
        <w:rPr>
          <w:rFonts w:hint="eastAsia" w:ascii="宋体" w:hAnsi="宋体" w:eastAsia="宋体" w:cs="Times New Roman"/>
          <w:bCs/>
          <w:color w:val="auto"/>
          <w:sz w:val="21"/>
          <w:szCs w:val="21"/>
          <w:highlight w:val="none"/>
          <w:lang w:val="en-US" w:eastAsia="zh-CN"/>
        </w:rPr>
        <w:t>5、本采购需求中未尽事宜，在签订合同时供需双方直接协商确定，并必须满足需方提出的技术要求。</w:t>
      </w:r>
    </w:p>
    <w:p w14:paraId="12C55318">
      <w:pPr>
        <w:keepNext w:val="0"/>
        <w:keepLines w:val="0"/>
        <w:pageBreakBefore w:val="0"/>
        <w:widowControl w:val="0"/>
        <w:kinsoku/>
        <w:wordWrap/>
        <w:overflowPunct/>
        <w:topLinePunct w:val="0"/>
        <w:bidi w:val="0"/>
        <w:spacing w:line="360" w:lineRule="auto"/>
        <w:ind w:firstLine="422" w:firstLineChars="200"/>
        <w:jc w:val="left"/>
        <w:textAlignment w:val="auto"/>
        <w:outlineLvl w:val="9"/>
        <w:rPr>
          <w:rFonts w:hint="eastAsia" w:ascii="宋体" w:hAnsi="宋体" w:eastAsia="宋体" w:cs="宋体"/>
          <w:b/>
          <w:bCs/>
          <w:color w:val="auto"/>
          <w:szCs w:val="21"/>
          <w:highlight w:val="none"/>
        </w:rPr>
      </w:pPr>
    </w:p>
    <w:p w14:paraId="101D8FFD">
      <w:pPr>
        <w:keepNext w:val="0"/>
        <w:keepLines w:val="0"/>
        <w:pageBreakBefore w:val="0"/>
        <w:widowControl w:val="0"/>
        <w:kinsoku/>
        <w:wordWrap/>
        <w:overflowPunct/>
        <w:topLinePunct w:val="0"/>
        <w:bidi w:val="0"/>
        <w:spacing w:line="360" w:lineRule="auto"/>
        <w:ind w:firstLine="422" w:firstLineChars="200"/>
        <w:jc w:val="left"/>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供应商对竞争性谈判文件提出的要求和条件，应当在响应文件中作出明确响应。</w:t>
      </w:r>
    </w:p>
    <w:p w14:paraId="0F8A3F2B">
      <w:pPr>
        <w:keepNext w:val="0"/>
        <w:keepLines w:val="0"/>
        <w:pageBreakBefore w:val="0"/>
        <w:widowControl w:val="0"/>
        <w:kinsoku/>
        <w:wordWrap/>
        <w:overflowPunct/>
        <w:topLinePunct w:val="0"/>
        <w:bidi w:val="0"/>
        <w:spacing w:line="360" w:lineRule="auto"/>
        <w:ind w:firstLine="420" w:firstLineChars="200"/>
        <w:jc w:val="left"/>
        <w:textAlignment w:val="auto"/>
        <w:outlineLvl w:val="9"/>
        <w:rPr>
          <w:rFonts w:hint="eastAsia" w:ascii="宋体" w:hAnsi="宋体" w:eastAsia="宋体" w:cs="Times New Roman"/>
          <w:b/>
          <w:bCs/>
          <w:color w:val="auto"/>
          <w:szCs w:val="21"/>
          <w:highlight w:val="none"/>
        </w:rPr>
      </w:pPr>
      <w:r>
        <w:rPr>
          <w:rFonts w:hint="eastAsia" w:ascii="宋体" w:hAnsi="宋体" w:eastAsia="宋体" w:cs="宋体"/>
          <w:color w:val="auto"/>
          <w:szCs w:val="21"/>
          <w:highlight w:val="none"/>
        </w:rPr>
        <w:t>注：在谈判过程中，谈判小组根据与供应商谈判情况可能实质性变动的内容（包括采购需求中的技术、服务要求以及合同条款）由谈判小组采用书面形式，并由谈判小组全体成员签字确认，成为谈判文件的组成部分。</w:t>
      </w:r>
    </w:p>
    <w:p w14:paraId="2A13CCF3">
      <w:pPr>
        <w:rPr>
          <w:rFonts w:hint="eastAsia"/>
          <w:b/>
          <w:bCs/>
          <w:sz w:val="24"/>
          <w:szCs w:val="32"/>
          <w:lang w:val="en-US" w:eastAsia="zh-CN"/>
        </w:rPr>
      </w:pPr>
      <w:r>
        <w:rPr>
          <w:rFonts w:hint="eastAsia" w:ascii="Times New Roman" w:eastAsia="宋体"/>
          <w:b/>
          <w:bCs/>
          <w:sz w:val="24"/>
          <w:szCs w:val="32"/>
          <w:lang w:val="en-US" w:eastAsia="zh-CN"/>
        </w:rPr>
        <w:br w:type="page"/>
      </w:r>
    </w:p>
    <w:p w14:paraId="0A48F8F7">
      <w:pPr>
        <w:rPr>
          <w:rFonts w:hint="eastAsia"/>
          <w:b/>
          <w:bCs/>
          <w:sz w:val="24"/>
          <w:szCs w:val="32"/>
          <w:lang w:val="en-US" w:eastAsia="zh-CN"/>
        </w:rPr>
      </w:pPr>
      <w:r>
        <w:rPr>
          <w:rFonts w:hint="eastAsia" w:ascii="Times New Roman" w:eastAsia="宋体"/>
          <w:b/>
          <w:bCs/>
          <w:sz w:val="24"/>
          <w:szCs w:val="32"/>
          <w:lang w:val="en-US" w:eastAsia="zh-CN"/>
        </w:rPr>
        <w:t>附件：工程量清单</w:t>
      </w:r>
    </w:p>
    <w:p w14:paraId="19E0BA36">
      <w:pPr>
        <w:rPr>
          <w:sz w:val="24"/>
          <w:szCs w:val="24"/>
        </w:rPr>
      </w:pPr>
      <w:r>
        <w:drawing>
          <wp:inline distT="0" distB="0" distL="114300" distR="114300">
            <wp:extent cx="7888605" cy="5990590"/>
            <wp:effectExtent l="0" t="0" r="10160" b="171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rot="16200000">
                      <a:off x="0" y="0"/>
                      <a:ext cx="7888605" cy="5990590"/>
                    </a:xfrm>
                    <a:prstGeom prst="rect">
                      <a:avLst/>
                    </a:prstGeom>
                    <a:noFill/>
                    <a:ln>
                      <a:noFill/>
                    </a:ln>
                  </pic:spPr>
                </pic:pic>
              </a:graphicData>
            </a:graphic>
          </wp:inline>
        </w:drawing>
      </w:r>
      <w:r>
        <w:drawing>
          <wp:inline distT="0" distB="0" distL="114300" distR="114300">
            <wp:extent cx="8138795" cy="5881370"/>
            <wp:effectExtent l="0" t="0" r="508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rot="16200000">
                      <a:off x="0" y="0"/>
                      <a:ext cx="8138795" cy="5881370"/>
                    </a:xfrm>
                    <a:prstGeom prst="rect">
                      <a:avLst/>
                    </a:prstGeom>
                    <a:noFill/>
                    <a:ln>
                      <a:noFill/>
                    </a:ln>
                  </pic:spPr>
                </pic:pic>
              </a:graphicData>
            </a:graphic>
          </wp:inline>
        </w:drawing>
      </w:r>
      <w:r>
        <w:drawing>
          <wp:inline distT="0" distB="0" distL="114300" distR="114300">
            <wp:extent cx="8081645" cy="5965190"/>
            <wp:effectExtent l="0" t="0" r="16510"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rot="16200000">
                      <a:off x="0" y="0"/>
                      <a:ext cx="8081645" cy="5965190"/>
                    </a:xfrm>
                    <a:prstGeom prst="rect">
                      <a:avLst/>
                    </a:prstGeom>
                    <a:noFill/>
                    <a:ln>
                      <a:noFill/>
                    </a:ln>
                  </pic:spPr>
                </pic:pic>
              </a:graphicData>
            </a:graphic>
          </wp:inline>
        </w:drawing>
      </w:r>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C0722"/>
    <w:rsid w:val="04D20BF2"/>
    <w:rsid w:val="084C0722"/>
    <w:rsid w:val="0B3A2110"/>
    <w:rsid w:val="0F6B028B"/>
    <w:rsid w:val="161D7A74"/>
    <w:rsid w:val="182450E2"/>
    <w:rsid w:val="24B43F66"/>
    <w:rsid w:val="31B44362"/>
    <w:rsid w:val="31BE54A0"/>
    <w:rsid w:val="36CF6680"/>
    <w:rsid w:val="3AF31810"/>
    <w:rsid w:val="41E023C2"/>
    <w:rsid w:val="42A45AE6"/>
    <w:rsid w:val="432F56C9"/>
    <w:rsid w:val="49A8056C"/>
    <w:rsid w:val="5F0E45BB"/>
    <w:rsid w:val="6BDD4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Normal Indent"/>
    <w:next w:val="6"/>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customStyle="1" w:styleId="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7">
    <w:name w:val="Plain Text"/>
    <w:basedOn w:val="1"/>
    <w:qFormat/>
    <w:uiPriority w:val="0"/>
    <w:rPr>
      <w:rFonts w:ascii="宋体" w:hAnsi="Courier New" w:cs="Courier New"/>
      <w:szCs w:val="21"/>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9">
    <w:name w:val="Body Text First Indent 2"/>
    <w:next w:val="5"/>
    <w:qFormat/>
    <w:uiPriority w:val="0"/>
    <w:pPr>
      <w:widowControl w:val="0"/>
      <w:spacing w:after="120"/>
      <w:ind w:left="420" w:leftChars="200" w:firstLine="420" w:firstLineChars="200"/>
      <w:jc w:val="both"/>
    </w:pPr>
    <w:rPr>
      <w:rFonts w:ascii="Times New Roman" w:hAnsi="Times New Roman" w:eastAsia="宋体" w:cs="Times New Roman"/>
      <w:kern w:val="0"/>
      <w:sz w:val="20"/>
      <w:szCs w:val="24"/>
      <w:lang w:val="en-US" w:eastAsia="zh-CN" w:bidi="ar-SA"/>
    </w:rPr>
  </w:style>
  <w:style w:type="paragraph" w:customStyle="1" w:styleId="12">
    <w:name w:val="列出段落1"/>
    <w:basedOn w:val="13"/>
    <w:qFormat/>
    <w:uiPriority w:val="0"/>
    <w:pPr>
      <w:ind w:firstLine="420" w:firstLineChars="200"/>
    </w:pPr>
    <w:rPr>
      <w:rFonts w:ascii="Calibri" w:hAnsi="Calibri"/>
      <w:szCs w:val="22"/>
    </w:rPr>
  </w:style>
  <w:style w:type="paragraph" w:customStyle="1" w:styleId="13">
    <w:name w:val="正文_10_4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1145</Words>
  <Characters>1232</Characters>
  <Lines>0</Lines>
  <Paragraphs>0</Paragraphs>
  <TotalTime>0</TotalTime>
  <ScaleCrop>false</ScaleCrop>
  <LinksUpToDate>false</LinksUpToDate>
  <CharactersWithSpaces>1269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2026-09-03T09:09:00Z</dcterms:created>
  <dc:creator>54956</dc:creator>
  <cp:lastModifiedBy>DELL</cp:lastModifiedBy>
  <dcterms:modified xsi:type="dcterms:W3CDTF">2026-09-08T14:58:49Z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30896B8619B048AD8AF20CB47B32B33C_13</vt:lpwstr>
  </property>
  <property fmtid="{D5CDD505-2E9C-101B-9397-08002B2CF9AE}" pid="4" name="KSOTemplateDocerSaveRecord">
    <vt:lpwstr>eyJoZGlkIjoiNDMyNzVjMmQ3NmQ4YTQ2YmNkNGM2ODY3Y2JmZGJiN2UiLCJ1c2VySWQiOiI0NzM4MTgwODQifQ==</vt:lpwstr>
  </property>
</Properties>
</file>