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33D81">
      <w:pPr>
        <w:numPr>
          <w:ilvl w:val="0"/>
          <w:numId w:val="1"/>
        </w:numPr>
        <w:spacing w:line="360" w:lineRule="exact"/>
        <w:jc w:val="center"/>
        <w:outlineLvl w:val="0"/>
        <w:rPr>
          <w:rFonts w:hint="eastAsia" w:ascii="宋体" w:hAnsi="宋体" w:eastAsia="宋体" w:cs="宋体"/>
          <w:b/>
          <w:sz w:val="32"/>
          <w:szCs w:val="32"/>
          <w:highlight w:val="none"/>
        </w:rPr>
      </w:pPr>
      <w:bookmarkStart w:id="0" w:name="_Toc12517"/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采购需求</w:t>
      </w:r>
      <w:bookmarkEnd w:id="0"/>
    </w:p>
    <w:p w14:paraId="3CCFEB10"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b/>
          <w:bCs/>
          <w:iCs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iCs/>
          <w:kern w:val="0"/>
          <w:sz w:val="28"/>
          <w:szCs w:val="28"/>
          <w:highlight w:val="none"/>
        </w:rPr>
        <w:t>一、项目概况</w:t>
      </w:r>
    </w:p>
    <w:p w14:paraId="0D20C04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</w:rPr>
        <w:t>1.采购项目名称:</w:t>
      </w: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湘阴县残疾人意外伤害保险服务采购项目</w:t>
      </w:r>
    </w:p>
    <w:p w14:paraId="58995FB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</w:rPr>
        <w:t>2.项目地址: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湘阴县。</w:t>
      </w:r>
    </w:p>
    <w:p w14:paraId="2A29400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Times New Roman"/>
          <w:bCs/>
          <w:szCs w:val="21"/>
          <w:highlight w:val="none"/>
        </w:rPr>
        <w:t>.付款方式:</w:t>
      </w: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签订合同时，由甲方明确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。</w:t>
      </w:r>
    </w:p>
    <w:p w14:paraId="5CA67F7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4.服务期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:</w:t>
      </w: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壹年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。</w:t>
      </w:r>
    </w:p>
    <w:p w14:paraId="760E62A8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二、项目内容</w:t>
      </w:r>
    </w:p>
    <w:p w14:paraId="7DB6FBE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 xml:space="preserve"> 1、我县计划为约20370名持证残疾人购买意外伤害保险，项目预算总金额427770元，资金来源为</w:t>
      </w: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税务代缴的残保金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。承保保险公司须具备同类残疾人保险项目实施经验，并能够提供上门理赔服务。</w:t>
      </w:r>
    </w:p>
    <w:p w14:paraId="5572056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2、保障对象：湘阴县持证残疾人，具体参保人数以实际投保为准。</w:t>
      </w:r>
    </w:p>
    <w:p w14:paraId="595EA554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3、保险费与保障期限</w:t>
      </w:r>
    </w:p>
    <w:p w14:paraId="231326A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保费标准：</w:t>
      </w: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限价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21元/人/年；保险期限一年，自保单生效次日零时起算；参保人员如发生动态增减，按实际参保人数结算，单人保费标准保持不变。</w:t>
      </w:r>
    </w:p>
    <w:p w14:paraId="65E92FB1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赔付条件：</w:t>
      </w:r>
    </w:p>
    <w:p w14:paraId="6F72131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被保险人在保险有效期内因遭受外来、突发、非本意、非疾病的意外伤害导致身故、伤残或产生意外医疗费用的，保险公司按保险合同承担赔付责任。</w:t>
      </w:r>
    </w:p>
    <w:p w14:paraId="5FAB3515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意外身故单人最高赔付20000元；意外医疗单人最高赔付3000元。意外伤害发生后180天内因该伤害身故的，按约定给付身故保险金，保险责任终止。</w:t>
      </w:r>
    </w:p>
    <w:p w14:paraId="74E38E59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 xml:space="preserve"> </w:t>
      </w:r>
    </w:p>
    <w:p w14:paraId="47EDEA8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理赔基本要求：开通残疾人绿色理赔通道，对行动不便残疾人可提供上门收集理赔资料服务；收到报案后1个工作日内联系当事人；资料齐全审核通过后7个工作日内赔付到位；按月向湘阴县残联报送承保及理赔台账。</w:t>
      </w:r>
    </w:p>
    <w:p w14:paraId="61AFAB0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三、服务要求</w:t>
      </w:r>
    </w:p>
    <w:p w14:paraId="1A340B7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1、本项目服务须符合国家现行相关规范标准。</w:t>
      </w:r>
    </w:p>
    <w:p w14:paraId="5B0D340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2、投标报价包含完成本项目全部服务的所有费用，中标后采购人不再另行支付其他任何费用。</w:t>
      </w:r>
    </w:p>
    <w:p w14:paraId="3331C58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3、中标单位须安排专职人员负责本项目对接工作，及时处理参保变更、政策咨询、理赔协调等事项。</w:t>
      </w:r>
    </w:p>
    <w:p w14:paraId="306F52A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4、投标人可自行踏勘现场，相关费用自行承担，踏勘期间安全责任自负。</w:t>
      </w:r>
    </w:p>
    <w:p w14:paraId="2527DFE5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四、付款方式</w:t>
      </w:r>
    </w:p>
    <w:p w14:paraId="59BE9C2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1、付款人：湘阴县残疾人联合会。</w:t>
      </w:r>
    </w:p>
    <w:p w14:paraId="3B15268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2、付款方式：合同另行约定</w:t>
      </w:r>
    </w:p>
    <w:p w14:paraId="2658187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3、实施地点：湘阴县。</w:t>
      </w:r>
    </w:p>
    <w:p w14:paraId="694CE2C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五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、验收标准</w:t>
      </w:r>
    </w:p>
    <w:p w14:paraId="67DE482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1、按合同约定完成全部服务内容。</w:t>
      </w:r>
    </w:p>
    <w:p w14:paraId="292A8FB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2、服务质量符合行业相关要求，达到验收合格标准。</w:t>
      </w:r>
    </w:p>
    <w:p w14:paraId="1BF8B79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3、按照政府采购履约验收相关规定组织验收。</w:t>
      </w:r>
    </w:p>
    <w:p w14:paraId="69255EF1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4、验收不合格的，由成交供应商整改至合格，并承担全部相关费用；两次整改仍不合格，采购人有权解除合同，损失由成交供应商承担。</w:t>
      </w:r>
    </w:p>
    <w:p w14:paraId="5F89C25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val="en-US" w:eastAsia="zh-CN"/>
        </w:rPr>
        <w:t>六</w:t>
      </w: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、其他需要说明的事项</w:t>
      </w:r>
    </w:p>
    <w:p w14:paraId="34605DC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1、本项目严禁转包、违法分包，一经发现采购人有权解除合同。</w:t>
      </w:r>
    </w:p>
    <w:p w14:paraId="081C5F8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</w:pPr>
      <w:r>
        <w:rPr>
          <w:rFonts w:hint="eastAsia" w:ascii="宋体" w:hAnsi="宋体" w:eastAsia="宋体" w:cs="Times New Roman"/>
          <w:bCs/>
          <w:szCs w:val="21"/>
          <w:highlight w:val="none"/>
          <w:lang w:eastAsia="zh-CN"/>
        </w:rPr>
        <w:t>2、未尽事宜，双方在签订正式合同时协商确定。</w:t>
      </w:r>
    </w:p>
    <w:p w14:paraId="4060D77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DDCE78"/>
    <w:multiLevelType w:val="singleLevel"/>
    <w:tmpl w:val="A4DDCE78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76564"/>
    <w:rsid w:val="2ED7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2026-09-18T02:39:00Z</dcterms:created>
  <dc:creator>Administrator</dc:creator>
  <cp:lastModifiedBy>Administrator</cp:lastModifiedBy>
  <dcterms:modified xsi:type="dcterms:W3CDTF">2026-09-18T02:39:20Z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A33E9417616E4E6EA8A57886EC1EBDA2_11</vt:lpwstr>
  </property>
  <property fmtid="{D5CDD505-2E9C-101B-9397-08002B2CF9AE}" pid="4" name="KSOTemplateDocerSaveRecord">
    <vt:lpwstr>eyJoZGlkIjoiOWE2YzFhYjZiNTdlNjM1Nzk3NGRlOWU0NWJlODdlYjQiLCJ1c2VySWQiOiI3NDU3NTc3MDYifQ==</vt:lpwstr>
  </property>
</Properties>
</file>