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44E73B">
      <w:pPr>
        <w:tabs>
          <w:tab w:val="left" w:pos="8820"/>
          <w:tab w:val="left" w:pos="9345"/>
          <w:tab w:val="left" w:pos="9765"/>
        </w:tabs>
        <w:adjustRightInd w:val="0"/>
        <w:snapToGrid w:val="0"/>
        <w:spacing w:before="156" w:beforeLines="50" w:line="360" w:lineRule="auto"/>
        <w:ind w:right="384" w:rightChars="183"/>
        <w:jc w:val="center"/>
        <w:rPr>
          <w:rFonts w:hint="eastAsia" w:ascii="黑体" w:hAnsi="Times New Roman" w:eastAsia="黑体" w:cs="Times New Roman"/>
          <w:b/>
          <w:sz w:val="32"/>
          <w:szCs w:val="32"/>
          <w:highlight w:val="none"/>
        </w:rPr>
      </w:pPr>
      <w:r>
        <w:rPr>
          <w:rFonts w:hint="eastAsia" w:ascii="黑体" w:hAnsi="宋体" w:eastAsia="黑体" w:cs="Times New Roman"/>
          <w:b/>
          <w:bCs/>
          <w:sz w:val="32"/>
          <w:szCs w:val="32"/>
          <w:highlight w:val="none"/>
        </w:rPr>
        <w:t xml:space="preserve">第四章 </w:t>
      </w:r>
      <w:r>
        <w:rPr>
          <w:rFonts w:hint="eastAsia" w:ascii="黑体" w:hAnsi="宋体" w:eastAsia="黑体" w:cs="Times New Roman"/>
          <w:b/>
          <w:bCs/>
          <w:sz w:val="32"/>
          <w:szCs w:val="32"/>
          <w:highlight w:val="none"/>
          <w:lang w:val="en-US" w:eastAsia="zh-CN"/>
        </w:rPr>
        <w:t xml:space="preserve">  </w:t>
      </w:r>
      <w:r>
        <w:rPr>
          <w:rFonts w:hint="eastAsia" w:ascii="黑体" w:hAnsi="Times New Roman" w:eastAsia="黑体" w:cs="Times New Roman"/>
          <w:b/>
          <w:sz w:val="32"/>
          <w:szCs w:val="32"/>
          <w:highlight w:val="none"/>
        </w:rPr>
        <w:t>采购需求</w:t>
      </w:r>
    </w:p>
    <w:p w14:paraId="27671957">
      <w:pPr>
        <w:spacing w:line="360" w:lineRule="auto"/>
        <w:rPr>
          <w:rFonts w:hint="eastAsia" w:ascii="楷体" w:hAnsi="楷体" w:eastAsia="楷体" w:cs="楷体"/>
          <w:b/>
          <w:bCs/>
          <w:snapToGrid w:val="0"/>
          <w:color w:val="auto"/>
          <w:spacing w:val="-4"/>
          <w:kern w:val="0"/>
          <w:sz w:val="28"/>
          <w:szCs w:val="28"/>
          <w:highlight w:val="none"/>
          <w:lang w:val="en-US" w:eastAsia="zh-CN" w:bidi="ar-SA"/>
        </w:rPr>
      </w:pPr>
      <w:r>
        <w:rPr>
          <w:rFonts w:hint="eastAsia" w:ascii="楷体" w:hAnsi="楷体" w:eastAsia="楷体" w:cs="楷体"/>
          <w:b/>
          <w:bCs/>
          <w:snapToGrid w:val="0"/>
          <w:color w:val="auto"/>
          <w:spacing w:val="-4"/>
          <w:kern w:val="0"/>
          <w:sz w:val="28"/>
          <w:szCs w:val="28"/>
          <w:highlight w:val="none"/>
          <w:lang w:val="en-US" w:eastAsia="zh-CN" w:bidi="ar-SA"/>
        </w:rPr>
        <w:t>一、采购项目概况</w:t>
      </w:r>
    </w:p>
    <w:p w14:paraId="1623E8B4">
      <w:pPr>
        <w:spacing w:line="360" w:lineRule="auto"/>
        <w:ind w:firstLine="440" w:firstLineChars="200"/>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val="en-US" w:eastAsia="zh-CN"/>
        </w:rPr>
        <w:t>1、项目名称：</w:t>
      </w:r>
      <w:r>
        <w:rPr>
          <w:rFonts w:hint="eastAsia" w:ascii="宋体" w:hAnsi="宋体" w:eastAsia="宋体" w:cs="宋体"/>
          <w:sz w:val="22"/>
          <w:szCs w:val="22"/>
          <w:highlight w:val="none"/>
          <w:lang w:eastAsia="zh-CN"/>
        </w:rPr>
        <w:t>资兴市2026年菜籽油大县奖励资金采购项目；</w:t>
      </w:r>
    </w:p>
    <w:p w14:paraId="0FE652FD">
      <w:pPr>
        <w:widowControl w:val="0"/>
        <w:spacing w:after="120"/>
        <w:jc w:val="both"/>
        <w:rPr>
          <w:rFonts w:hint="default" w:ascii="Times New Roman" w:hAnsi="Times New Roman" w:eastAsia="宋体" w:cs="Times New Roman"/>
          <w:kern w:val="2"/>
          <w:sz w:val="21"/>
          <w:szCs w:val="24"/>
          <w:lang w:val="en-US" w:eastAsia="zh-CN" w:bidi="ar-SA"/>
        </w:rPr>
      </w:pPr>
      <w:r>
        <w:rPr>
          <w:rFonts w:hint="eastAsia" w:ascii="宋体" w:hAnsi="宋体" w:eastAsia="宋体" w:cs="宋体"/>
          <w:kern w:val="2"/>
          <w:sz w:val="22"/>
          <w:szCs w:val="22"/>
          <w:highlight w:val="none"/>
          <w:lang w:val="en-US" w:eastAsia="zh-CN" w:bidi="ar-SA"/>
        </w:rPr>
        <w:t xml:space="preserve">    2、项目预算金额：886000.00元；项目最高控制价：886000.00元。</w:t>
      </w:r>
    </w:p>
    <w:p w14:paraId="64AABF2D">
      <w:pPr>
        <w:spacing w:line="360" w:lineRule="auto"/>
        <w:rPr>
          <w:rFonts w:hint="default" w:ascii="楷体" w:hAnsi="楷体" w:eastAsia="楷体" w:cs="楷体"/>
          <w:b/>
          <w:bCs/>
          <w:snapToGrid w:val="0"/>
          <w:color w:val="auto"/>
          <w:spacing w:val="-4"/>
          <w:kern w:val="0"/>
          <w:sz w:val="28"/>
          <w:szCs w:val="28"/>
          <w:highlight w:val="none"/>
          <w:lang w:val="en-US" w:eastAsia="zh-CN" w:bidi="ar-SA"/>
        </w:rPr>
      </w:pPr>
      <w:r>
        <w:rPr>
          <w:rFonts w:hint="eastAsia" w:ascii="楷体" w:hAnsi="楷体" w:eastAsia="楷体" w:cs="楷体"/>
          <w:b/>
          <w:bCs/>
          <w:snapToGrid w:val="0"/>
          <w:color w:val="auto"/>
          <w:spacing w:val="-4"/>
          <w:kern w:val="0"/>
          <w:sz w:val="28"/>
          <w:szCs w:val="28"/>
          <w:highlight w:val="none"/>
          <w:lang w:val="en-US" w:eastAsia="zh-CN" w:bidi="ar-SA"/>
        </w:rPr>
        <w:t>二、采购内容及参数</w:t>
      </w:r>
    </w:p>
    <w:p w14:paraId="10CDA429">
      <w:pPr>
        <w:keepNext w:val="0"/>
        <w:keepLines w:val="0"/>
        <w:pageBreakBefore w:val="0"/>
        <w:widowControl/>
        <w:kinsoku w:val="0"/>
        <w:wordWrap/>
        <w:overflowPunct/>
        <w:topLinePunct w:val="0"/>
        <w:autoSpaceDE w:val="0"/>
        <w:autoSpaceDN w:val="0"/>
        <w:bidi w:val="0"/>
        <w:adjustRightInd w:val="0"/>
        <w:snapToGrid w:val="0"/>
        <w:spacing w:before="19" w:line="360" w:lineRule="auto"/>
        <w:ind w:firstLine="420" w:firstLineChars="200"/>
        <w:jc w:val="left"/>
        <w:textAlignment w:val="baseline"/>
        <w:rPr>
          <w:rFonts w:hint="eastAsia" w:ascii="楷体" w:hAnsi="楷体" w:eastAsia="宋体" w:cs="楷体"/>
          <w:snapToGrid w:val="0"/>
          <w:color w:val="auto"/>
          <w:kern w:val="0"/>
          <w:sz w:val="24"/>
          <w:szCs w:val="24"/>
          <w:highlight w:val="none"/>
          <w:lang w:val="en-US" w:eastAsia="zh-CN" w:bidi="ar-SA"/>
        </w:rPr>
      </w:pPr>
      <w:r>
        <w:rPr>
          <w:rFonts w:hint="eastAsia" w:ascii="宋体" w:hAnsi="宋体" w:eastAsia="宋体" w:cs="宋体"/>
          <w:sz w:val="21"/>
          <w:szCs w:val="21"/>
          <w:highlight w:val="none"/>
        </w:rPr>
        <w:t>为</w:t>
      </w:r>
      <w:r>
        <w:rPr>
          <w:rFonts w:hint="default" w:ascii="宋体" w:hAnsi="宋体" w:eastAsia="宋体" w:cs="宋体"/>
          <w:sz w:val="21"/>
          <w:szCs w:val="21"/>
          <w:highlight w:val="none"/>
        </w:rPr>
        <w:t>进一步激发我市农户油料生产积极性，助推油料产业发展，保障粮油安全，根据上级工作部署</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结合我市实际，</w:t>
      </w:r>
      <w:r>
        <w:rPr>
          <w:rFonts w:hint="default" w:ascii="宋体" w:hAnsi="宋体" w:eastAsia="宋体" w:cs="宋体"/>
          <w:sz w:val="21"/>
          <w:szCs w:val="21"/>
          <w:highlight w:val="none"/>
        </w:rPr>
        <w:t>统一采购油菜生产所需油菜种子、颗粒硼肥和油菜配方肥等农资，其中油菜种子和颗粒硼肥发放对象为项目区所有种植户，油菜配方肥发放对象为油菜高产核心示范片和稻稻油轮作示范片种植主体</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具体</w:t>
      </w:r>
      <w:r>
        <w:rPr>
          <w:rFonts w:hint="eastAsia" w:ascii="宋体" w:hAnsi="宋体" w:eastAsia="宋体" w:cs="宋体"/>
          <w:sz w:val="21"/>
          <w:szCs w:val="21"/>
          <w:highlight w:val="none"/>
          <w:lang w:val="en-US" w:eastAsia="zh-CN"/>
        </w:rPr>
        <w:t>情况</w:t>
      </w:r>
      <w:r>
        <w:rPr>
          <w:rFonts w:hint="eastAsia" w:ascii="宋体" w:hAnsi="宋体" w:eastAsia="宋体" w:cs="宋体"/>
          <w:sz w:val="21"/>
          <w:szCs w:val="21"/>
          <w:highlight w:val="none"/>
        </w:rPr>
        <w:t>见下表</w:t>
      </w:r>
      <w:r>
        <w:rPr>
          <w:rFonts w:hint="eastAsia" w:ascii="宋体" w:hAnsi="宋体" w:eastAsia="宋体" w:cs="宋体"/>
          <w:sz w:val="21"/>
          <w:szCs w:val="21"/>
          <w:highlight w:val="none"/>
          <w:lang w:eastAsia="zh-CN"/>
        </w:rPr>
        <w:t>：</w:t>
      </w:r>
    </w:p>
    <w:tbl>
      <w:tblPr>
        <w:tblStyle w:val="4"/>
        <w:tblW w:w="5170"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2195"/>
        <w:gridCol w:w="1387"/>
        <w:gridCol w:w="1709"/>
        <w:gridCol w:w="3304"/>
      </w:tblGrid>
      <w:tr w14:paraId="040121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1277" w:type="pct"/>
            <w:noWrap w:val="0"/>
            <w:vAlign w:val="center"/>
          </w:tcPr>
          <w:p w14:paraId="7BD6C254">
            <w:pPr>
              <w:widowControl/>
              <w:kinsoku w:val="0"/>
              <w:autoSpaceDE w:val="0"/>
              <w:autoSpaceDN w:val="0"/>
              <w:adjustRightInd w:val="0"/>
              <w:snapToGrid w:val="0"/>
              <w:spacing w:before="44" w:line="211" w:lineRule="auto"/>
              <w:ind w:firstLine="220" w:firstLineChars="100"/>
              <w:jc w:val="center"/>
              <w:textAlignment w:val="baseline"/>
              <w:rPr>
                <w:rFonts w:hint="eastAsia" w:ascii="宋体" w:hAnsi="宋体" w:eastAsia="Arial" w:cs="宋体"/>
                <w:b/>
                <w:bCs/>
                <w:i w:val="0"/>
                <w:iCs w:val="0"/>
                <w:snapToGrid w:val="0"/>
                <w:color w:val="000000"/>
                <w:kern w:val="0"/>
                <w:sz w:val="22"/>
                <w:szCs w:val="22"/>
                <w:u w:val="none"/>
                <w:lang w:val="en-US" w:eastAsia="zh-CN" w:bidi="ar"/>
              </w:rPr>
            </w:pPr>
            <w:r>
              <w:rPr>
                <w:rFonts w:hint="eastAsia" w:ascii="宋体" w:hAnsi="宋体" w:eastAsia="Arial" w:cs="宋体"/>
                <w:b/>
                <w:bCs/>
                <w:i w:val="0"/>
                <w:iCs w:val="0"/>
                <w:snapToGrid w:val="0"/>
                <w:color w:val="000000"/>
                <w:kern w:val="0"/>
                <w:sz w:val="22"/>
                <w:szCs w:val="22"/>
                <w:u w:val="none"/>
                <w:lang w:val="en-US" w:eastAsia="zh-CN" w:bidi="ar"/>
              </w:rPr>
              <w:t>货物品名</w:t>
            </w:r>
          </w:p>
        </w:tc>
        <w:tc>
          <w:tcPr>
            <w:tcW w:w="807" w:type="pct"/>
            <w:noWrap w:val="0"/>
            <w:vAlign w:val="center"/>
          </w:tcPr>
          <w:p w14:paraId="4BBD4EF9">
            <w:pPr>
              <w:widowControl/>
              <w:kinsoku w:val="0"/>
              <w:autoSpaceDE w:val="0"/>
              <w:autoSpaceDN w:val="0"/>
              <w:adjustRightInd w:val="0"/>
              <w:snapToGrid w:val="0"/>
              <w:spacing w:before="44" w:line="211" w:lineRule="auto"/>
              <w:ind w:firstLine="220" w:firstLineChars="100"/>
              <w:jc w:val="center"/>
              <w:textAlignment w:val="baseline"/>
              <w:rPr>
                <w:rFonts w:hint="eastAsia" w:ascii="宋体" w:hAnsi="宋体" w:eastAsia="Arial" w:cs="宋体"/>
                <w:b/>
                <w:bCs/>
                <w:i w:val="0"/>
                <w:iCs w:val="0"/>
                <w:snapToGrid w:val="0"/>
                <w:color w:val="000000"/>
                <w:kern w:val="0"/>
                <w:sz w:val="22"/>
                <w:szCs w:val="22"/>
                <w:u w:val="none"/>
                <w:lang w:val="en-US" w:eastAsia="zh-CN" w:bidi="ar"/>
              </w:rPr>
            </w:pPr>
            <w:r>
              <w:rPr>
                <w:rFonts w:hint="eastAsia" w:ascii="宋体" w:hAnsi="宋体" w:eastAsia="Arial" w:cs="宋体"/>
                <w:b/>
                <w:bCs/>
                <w:i w:val="0"/>
                <w:iCs w:val="0"/>
                <w:snapToGrid w:val="0"/>
                <w:color w:val="000000"/>
                <w:kern w:val="0"/>
                <w:sz w:val="22"/>
                <w:szCs w:val="22"/>
                <w:u w:val="none"/>
                <w:lang w:val="en-US" w:eastAsia="zh-CN" w:bidi="ar"/>
              </w:rPr>
              <w:t>规格</w:t>
            </w:r>
          </w:p>
        </w:tc>
        <w:tc>
          <w:tcPr>
            <w:tcW w:w="994" w:type="pct"/>
            <w:noWrap w:val="0"/>
            <w:vAlign w:val="center"/>
          </w:tcPr>
          <w:p w14:paraId="30AA041F">
            <w:pPr>
              <w:widowControl/>
              <w:kinsoku w:val="0"/>
              <w:autoSpaceDE w:val="0"/>
              <w:autoSpaceDN w:val="0"/>
              <w:adjustRightInd w:val="0"/>
              <w:snapToGrid w:val="0"/>
              <w:spacing w:before="44" w:line="211" w:lineRule="auto"/>
              <w:jc w:val="center"/>
              <w:textAlignment w:val="baseline"/>
              <w:rPr>
                <w:rFonts w:hint="eastAsia" w:ascii="宋体" w:hAnsi="宋体" w:eastAsia="Arial" w:cs="宋体"/>
                <w:b/>
                <w:bCs/>
                <w:i w:val="0"/>
                <w:iCs w:val="0"/>
                <w:snapToGrid w:val="0"/>
                <w:color w:val="000000"/>
                <w:kern w:val="0"/>
                <w:sz w:val="22"/>
                <w:szCs w:val="22"/>
                <w:u w:val="none"/>
                <w:lang w:val="en-US" w:eastAsia="zh-CN" w:bidi="ar"/>
              </w:rPr>
            </w:pPr>
            <w:r>
              <w:rPr>
                <w:rFonts w:hint="eastAsia" w:ascii="宋体" w:hAnsi="宋体" w:eastAsia="Arial" w:cs="宋体"/>
                <w:b/>
                <w:bCs/>
                <w:i w:val="0"/>
                <w:iCs w:val="0"/>
                <w:snapToGrid w:val="0"/>
                <w:color w:val="000000"/>
                <w:kern w:val="0"/>
                <w:sz w:val="22"/>
                <w:szCs w:val="22"/>
                <w:u w:val="none"/>
                <w:lang w:val="en-US" w:eastAsia="en-US" w:bidi="ar"/>
              </w:rPr>
              <w:t>数量</w:t>
            </w:r>
          </w:p>
        </w:tc>
        <w:tc>
          <w:tcPr>
            <w:tcW w:w="1920" w:type="pct"/>
            <w:noWrap w:val="0"/>
            <w:vAlign w:val="center"/>
          </w:tcPr>
          <w:p w14:paraId="25D86790">
            <w:pPr>
              <w:widowControl/>
              <w:kinsoku w:val="0"/>
              <w:autoSpaceDE w:val="0"/>
              <w:autoSpaceDN w:val="0"/>
              <w:adjustRightInd w:val="0"/>
              <w:snapToGrid w:val="0"/>
              <w:spacing w:before="44" w:line="211" w:lineRule="auto"/>
              <w:jc w:val="center"/>
              <w:textAlignment w:val="baseline"/>
              <w:rPr>
                <w:rFonts w:hint="eastAsia" w:ascii="宋体" w:hAnsi="宋体" w:eastAsia="宋体" w:cs="宋体"/>
                <w:b/>
                <w:bCs/>
                <w:i w:val="0"/>
                <w:iCs w:val="0"/>
                <w:snapToGrid w:val="0"/>
                <w:color w:val="000000"/>
                <w:kern w:val="0"/>
                <w:sz w:val="22"/>
                <w:szCs w:val="22"/>
                <w:u w:val="none"/>
                <w:lang w:val="en-US" w:eastAsia="zh-CN" w:bidi="ar"/>
              </w:rPr>
            </w:pPr>
            <w:r>
              <w:rPr>
                <w:rFonts w:hint="eastAsia" w:ascii="宋体" w:hAnsi="宋体" w:eastAsia="宋体" w:cs="宋体"/>
                <w:b/>
                <w:bCs/>
                <w:i w:val="0"/>
                <w:iCs w:val="0"/>
                <w:snapToGrid w:val="0"/>
                <w:color w:val="000000"/>
                <w:kern w:val="0"/>
                <w:sz w:val="22"/>
                <w:szCs w:val="22"/>
                <w:u w:val="none"/>
                <w:lang w:val="en-US" w:eastAsia="zh-CN" w:bidi="ar"/>
              </w:rPr>
              <w:t>备注</w:t>
            </w:r>
          </w:p>
        </w:tc>
      </w:tr>
      <w:tr w14:paraId="758E34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1277" w:type="pct"/>
            <w:noWrap w:val="0"/>
            <w:vAlign w:val="center"/>
          </w:tcPr>
          <w:p w14:paraId="1B24DFA4">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中熟油菜种子</w:t>
            </w:r>
          </w:p>
          <w:p w14:paraId="71B5F408">
            <w:pPr>
              <w:keepNext w:val="0"/>
              <w:keepLines w:val="0"/>
              <w:widowControl/>
              <w:suppressLineNumbers w:val="0"/>
              <w:kinsoku w:val="0"/>
              <w:autoSpaceDE w:val="0"/>
              <w:autoSpaceDN w:val="0"/>
              <w:adjustRightInd w:val="0"/>
              <w:snapToGrid w:val="0"/>
              <w:spacing w:line="240" w:lineRule="auto"/>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（品种1）</w:t>
            </w:r>
          </w:p>
        </w:tc>
        <w:tc>
          <w:tcPr>
            <w:tcW w:w="807" w:type="pct"/>
            <w:noWrap w:val="0"/>
            <w:vAlign w:val="center"/>
          </w:tcPr>
          <w:p w14:paraId="3B71DD13">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b w:val="0"/>
                <w:bCs w:val="0"/>
                <w:snapToGrid w:val="0"/>
                <w:color w:val="auto"/>
                <w:spacing w:val="-4"/>
                <w:kern w:val="0"/>
                <w:sz w:val="21"/>
                <w:szCs w:val="21"/>
                <w:highlight w:val="none"/>
                <w:lang w:val="en-US" w:eastAsia="en-US" w:bidi="ar-SA"/>
              </w:rPr>
            </w:pPr>
            <w:r>
              <w:rPr>
                <w:rFonts w:hint="eastAsia" w:ascii="宋体" w:hAnsi="宋体" w:eastAsia="宋体" w:cs="宋体"/>
                <w:i w:val="0"/>
                <w:iCs w:val="0"/>
                <w:snapToGrid w:val="0"/>
                <w:color w:val="000000"/>
                <w:kern w:val="0"/>
                <w:sz w:val="22"/>
                <w:szCs w:val="22"/>
                <w:u w:val="none"/>
                <w:lang w:val="en-US" w:eastAsia="zh-CN" w:bidi="ar"/>
              </w:rPr>
              <w:t>100克/包</w:t>
            </w:r>
          </w:p>
        </w:tc>
        <w:tc>
          <w:tcPr>
            <w:tcW w:w="994" w:type="pct"/>
            <w:noWrap w:val="0"/>
            <w:vAlign w:val="center"/>
          </w:tcPr>
          <w:p w14:paraId="6371919F">
            <w:pPr>
              <w:keepNext w:val="0"/>
              <w:keepLines w:val="0"/>
              <w:widowControl/>
              <w:suppressLineNumbers w:val="0"/>
              <w:kinsoku w:val="0"/>
              <w:autoSpaceDE w:val="0"/>
              <w:autoSpaceDN w:val="0"/>
              <w:adjustRightInd w:val="0"/>
              <w:snapToGrid w:val="0"/>
              <w:spacing w:line="240" w:lineRule="auto"/>
              <w:jc w:val="center"/>
              <w:textAlignment w:val="center"/>
              <w:rPr>
                <w:rFonts w:hint="default" w:ascii="宋体" w:hAnsi="宋体" w:eastAsia="宋体" w:cs="宋体"/>
                <w:b w:val="0"/>
                <w:bCs w:val="0"/>
                <w:snapToGrid w:val="0"/>
                <w:color w:val="auto"/>
                <w:spacing w:val="-4"/>
                <w:kern w:val="0"/>
                <w:sz w:val="20"/>
                <w:szCs w:val="20"/>
                <w:highlight w:val="none"/>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13400包</w:t>
            </w:r>
          </w:p>
        </w:tc>
        <w:tc>
          <w:tcPr>
            <w:tcW w:w="1920" w:type="pct"/>
            <w:vMerge w:val="restart"/>
            <w:noWrap w:val="0"/>
            <w:vAlign w:val="center"/>
          </w:tcPr>
          <w:p w14:paraId="5DD7D3FA">
            <w:pPr>
              <w:keepNext w:val="0"/>
              <w:keepLines w:val="0"/>
              <w:widowControl/>
              <w:suppressLineNumbers w:val="0"/>
              <w:kinsoku w:val="0"/>
              <w:autoSpaceDE w:val="0"/>
              <w:autoSpaceDN w:val="0"/>
              <w:adjustRightInd w:val="0"/>
              <w:snapToGrid w:val="0"/>
              <w:spacing w:line="240" w:lineRule="auto"/>
              <w:jc w:val="center"/>
              <w:textAlignment w:val="center"/>
              <w:rPr>
                <w:rFonts w:hint="default" w:ascii="宋体" w:hAnsi="宋体" w:eastAsia="宋体" w:cs="宋体"/>
                <w:i w:val="0"/>
                <w:iCs w:val="0"/>
                <w:snapToGrid w:val="0"/>
                <w:color w:val="auto"/>
                <w:kern w:val="0"/>
                <w:sz w:val="21"/>
                <w:szCs w:val="21"/>
                <w:highlight w:val="none"/>
                <w:u w:val="none"/>
                <w:lang w:val="en-US" w:eastAsia="zh-CN" w:bidi="ar"/>
              </w:rPr>
            </w:pPr>
            <w:r>
              <w:rPr>
                <w:rFonts w:hint="eastAsia" w:ascii="宋体" w:hAnsi="宋体" w:eastAsia="宋体" w:cs="宋体"/>
                <w:i w:val="0"/>
                <w:iCs w:val="0"/>
                <w:snapToGrid w:val="0"/>
                <w:color w:val="auto"/>
                <w:kern w:val="0"/>
                <w:sz w:val="21"/>
                <w:szCs w:val="21"/>
                <w:highlight w:val="none"/>
                <w:u w:val="none"/>
                <w:lang w:val="en-US" w:eastAsia="en-US" w:bidi="ar"/>
              </w:rPr>
              <w:t>纯度不低于</w:t>
            </w:r>
            <w:r>
              <w:rPr>
                <w:rFonts w:hint="eastAsia" w:ascii="宋体" w:hAnsi="宋体" w:eastAsia="宋体" w:cs="宋体"/>
                <w:i w:val="0"/>
                <w:iCs w:val="0"/>
                <w:snapToGrid w:val="0"/>
                <w:color w:val="auto"/>
                <w:kern w:val="0"/>
                <w:sz w:val="21"/>
                <w:szCs w:val="21"/>
                <w:highlight w:val="none"/>
                <w:u w:val="none"/>
                <w:lang w:val="en-US" w:eastAsia="zh-CN" w:bidi="ar"/>
              </w:rPr>
              <w:t>86</w:t>
            </w:r>
            <w:r>
              <w:rPr>
                <w:rFonts w:hint="eastAsia" w:ascii="宋体" w:hAnsi="宋体" w:eastAsia="宋体" w:cs="宋体"/>
                <w:i w:val="0"/>
                <w:iCs w:val="0"/>
                <w:snapToGrid w:val="0"/>
                <w:color w:val="auto"/>
                <w:kern w:val="0"/>
                <w:sz w:val="21"/>
                <w:szCs w:val="21"/>
                <w:highlight w:val="none"/>
                <w:u w:val="none"/>
                <w:lang w:val="en-US" w:eastAsia="en-US" w:bidi="ar"/>
              </w:rPr>
              <w:t>%,净度不低于98%,发芽率不低于</w:t>
            </w:r>
            <w:r>
              <w:rPr>
                <w:rFonts w:hint="eastAsia" w:ascii="宋体" w:hAnsi="宋体" w:eastAsia="宋体" w:cs="宋体"/>
                <w:i w:val="0"/>
                <w:iCs w:val="0"/>
                <w:snapToGrid w:val="0"/>
                <w:color w:val="auto"/>
                <w:kern w:val="0"/>
                <w:sz w:val="21"/>
                <w:szCs w:val="21"/>
                <w:highlight w:val="none"/>
                <w:u w:val="none"/>
                <w:lang w:val="en-US" w:eastAsia="zh-CN" w:bidi="ar"/>
              </w:rPr>
              <w:t>82</w:t>
            </w:r>
            <w:r>
              <w:rPr>
                <w:rFonts w:hint="eastAsia" w:ascii="宋体" w:hAnsi="宋体" w:eastAsia="宋体" w:cs="宋体"/>
                <w:i w:val="0"/>
                <w:iCs w:val="0"/>
                <w:snapToGrid w:val="0"/>
                <w:color w:val="auto"/>
                <w:kern w:val="0"/>
                <w:sz w:val="21"/>
                <w:szCs w:val="21"/>
                <w:highlight w:val="none"/>
                <w:u w:val="none"/>
                <w:lang w:val="en-US" w:eastAsia="en-US" w:bidi="ar"/>
              </w:rPr>
              <w:t>%,水分不高于9%</w:t>
            </w:r>
            <w:r>
              <w:rPr>
                <w:rFonts w:hint="eastAsia" w:ascii="宋体" w:hAnsi="宋体" w:eastAsia="宋体" w:cs="宋体"/>
                <w:i w:val="0"/>
                <w:iCs w:val="0"/>
                <w:snapToGrid w:val="0"/>
                <w:color w:val="auto"/>
                <w:kern w:val="0"/>
                <w:sz w:val="21"/>
                <w:szCs w:val="21"/>
                <w:highlight w:val="none"/>
                <w:u w:val="none"/>
                <w:lang w:val="en-US" w:eastAsia="zh-CN" w:bidi="ar"/>
              </w:rPr>
              <w:t>，</w:t>
            </w:r>
            <w:r>
              <w:rPr>
                <w:rFonts w:hint="eastAsia" w:ascii="宋体" w:hAnsi="宋体" w:eastAsia="宋体" w:cs="宋体"/>
                <w:i w:val="0"/>
                <w:iCs w:val="0"/>
                <w:snapToGrid/>
                <w:color w:val="auto"/>
                <w:kern w:val="0"/>
                <w:sz w:val="21"/>
                <w:szCs w:val="21"/>
                <w:highlight w:val="none"/>
                <w:u w:val="none"/>
                <w:lang w:val="en-US" w:eastAsia="zh-CN" w:bidi="ar"/>
              </w:rPr>
              <w:t>质量</w:t>
            </w:r>
            <w:r>
              <w:rPr>
                <w:rFonts w:hint="eastAsia" w:ascii="宋体" w:hAnsi="宋体" w:eastAsia="宋体" w:cs="宋体"/>
                <w:i w:val="0"/>
                <w:iCs w:val="0"/>
                <w:snapToGrid w:val="0"/>
                <w:color w:val="auto"/>
                <w:kern w:val="0"/>
                <w:sz w:val="21"/>
                <w:szCs w:val="21"/>
                <w:highlight w:val="none"/>
                <w:u w:val="none"/>
                <w:lang w:val="en-US" w:eastAsia="en-US" w:bidi="ar"/>
              </w:rPr>
              <w:t>符合</w:t>
            </w:r>
            <w:r>
              <w:rPr>
                <w:rFonts w:hint="eastAsia" w:ascii="宋体" w:hAnsi="宋体" w:eastAsia="宋体" w:cs="宋体"/>
                <w:i w:val="0"/>
                <w:iCs w:val="0"/>
                <w:snapToGrid w:val="0"/>
                <w:color w:val="auto"/>
                <w:kern w:val="0"/>
                <w:sz w:val="21"/>
                <w:szCs w:val="21"/>
                <w:highlight w:val="none"/>
                <w:u w:val="none"/>
                <w:lang w:val="en-US" w:eastAsia="zh-CN" w:bidi="ar"/>
              </w:rPr>
              <w:t>国家标准</w:t>
            </w:r>
            <w:r>
              <w:rPr>
                <w:rFonts w:hint="eastAsia" w:ascii="宋体" w:hAnsi="宋体" w:eastAsia="宋体" w:cs="宋体"/>
                <w:i w:val="0"/>
                <w:iCs w:val="0"/>
                <w:snapToGrid w:val="0"/>
                <w:color w:val="auto"/>
                <w:kern w:val="0"/>
                <w:sz w:val="21"/>
                <w:szCs w:val="21"/>
                <w:highlight w:val="none"/>
                <w:u w:val="none"/>
                <w:lang w:val="en-US" w:eastAsia="en-US" w:bidi="ar"/>
              </w:rPr>
              <w:t>GB4407.2-20</w:t>
            </w:r>
            <w:r>
              <w:rPr>
                <w:rFonts w:hint="eastAsia" w:ascii="宋体" w:hAnsi="宋体" w:eastAsia="宋体" w:cs="宋体"/>
                <w:i w:val="0"/>
                <w:iCs w:val="0"/>
                <w:snapToGrid w:val="0"/>
                <w:color w:val="auto"/>
                <w:kern w:val="0"/>
                <w:sz w:val="21"/>
                <w:szCs w:val="21"/>
                <w:highlight w:val="none"/>
                <w:u w:val="none"/>
                <w:lang w:val="en-US" w:eastAsia="zh-CN" w:bidi="ar"/>
              </w:rPr>
              <w:t>24。</w:t>
            </w:r>
          </w:p>
        </w:tc>
      </w:tr>
      <w:tr w14:paraId="0FCE31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1277" w:type="pct"/>
            <w:noWrap w:val="0"/>
            <w:vAlign w:val="center"/>
          </w:tcPr>
          <w:p w14:paraId="6A00BBFF">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中熟油菜种子</w:t>
            </w:r>
          </w:p>
          <w:p w14:paraId="0A7B374E">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（品种2）</w:t>
            </w:r>
          </w:p>
        </w:tc>
        <w:tc>
          <w:tcPr>
            <w:tcW w:w="807" w:type="pct"/>
            <w:noWrap w:val="0"/>
            <w:vAlign w:val="center"/>
          </w:tcPr>
          <w:p w14:paraId="534F3F87">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100克/包</w:t>
            </w:r>
          </w:p>
        </w:tc>
        <w:tc>
          <w:tcPr>
            <w:tcW w:w="994" w:type="pct"/>
            <w:noWrap w:val="0"/>
            <w:vAlign w:val="center"/>
          </w:tcPr>
          <w:p w14:paraId="5292D6F5">
            <w:pPr>
              <w:keepNext w:val="0"/>
              <w:keepLines w:val="0"/>
              <w:widowControl/>
              <w:suppressLineNumbers w:val="0"/>
              <w:kinsoku w:val="0"/>
              <w:autoSpaceDE w:val="0"/>
              <w:autoSpaceDN w:val="0"/>
              <w:adjustRightInd w:val="0"/>
              <w:snapToGrid w:val="0"/>
              <w:spacing w:line="240" w:lineRule="auto"/>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12000包</w:t>
            </w:r>
          </w:p>
        </w:tc>
        <w:tc>
          <w:tcPr>
            <w:tcW w:w="1920" w:type="pct"/>
            <w:vMerge w:val="continue"/>
            <w:noWrap w:val="0"/>
            <w:vAlign w:val="center"/>
          </w:tcPr>
          <w:p w14:paraId="5E8F1980">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snapToGrid w:val="0"/>
                <w:color w:val="auto"/>
                <w:kern w:val="0"/>
                <w:sz w:val="21"/>
                <w:szCs w:val="21"/>
                <w:highlight w:val="none"/>
                <w:u w:val="none"/>
                <w:lang w:val="en-US" w:eastAsia="zh-CN" w:bidi="ar"/>
              </w:rPr>
            </w:pPr>
          </w:p>
        </w:tc>
      </w:tr>
      <w:tr w14:paraId="267942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1277" w:type="pct"/>
            <w:noWrap w:val="0"/>
            <w:vAlign w:val="center"/>
          </w:tcPr>
          <w:p w14:paraId="7A579D0E">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早熟油菜种子</w:t>
            </w:r>
          </w:p>
          <w:p w14:paraId="49FA3C88">
            <w:pPr>
              <w:keepNext w:val="0"/>
              <w:keepLines w:val="0"/>
              <w:widowControl/>
              <w:suppressLineNumbers w:val="0"/>
              <w:kinsoku w:val="0"/>
              <w:autoSpaceDE w:val="0"/>
              <w:autoSpaceDN w:val="0"/>
              <w:adjustRightInd w:val="0"/>
              <w:snapToGrid w:val="0"/>
              <w:spacing w:line="240" w:lineRule="auto"/>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（品种1）</w:t>
            </w:r>
          </w:p>
        </w:tc>
        <w:tc>
          <w:tcPr>
            <w:tcW w:w="807" w:type="pct"/>
            <w:noWrap w:val="0"/>
            <w:vAlign w:val="center"/>
          </w:tcPr>
          <w:p w14:paraId="20BF26CF">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b w:val="0"/>
                <w:bCs w:val="0"/>
                <w:snapToGrid w:val="0"/>
                <w:color w:val="auto"/>
                <w:spacing w:val="-4"/>
                <w:kern w:val="0"/>
                <w:sz w:val="21"/>
                <w:szCs w:val="21"/>
                <w:highlight w:val="none"/>
                <w:lang w:val="en-US" w:eastAsia="en-US" w:bidi="ar-SA"/>
              </w:rPr>
            </w:pPr>
            <w:r>
              <w:rPr>
                <w:rFonts w:hint="eastAsia" w:ascii="宋体" w:hAnsi="宋体" w:eastAsia="宋体" w:cs="宋体"/>
                <w:i w:val="0"/>
                <w:iCs w:val="0"/>
                <w:snapToGrid w:val="0"/>
                <w:color w:val="000000"/>
                <w:kern w:val="0"/>
                <w:sz w:val="22"/>
                <w:szCs w:val="22"/>
                <w:u w:val="none"/>
                <w:lang w:val="en-US" w:eastAsia="zh-CN" w:bidi="ar"/>
              </w:rPr>
              <w:t>100克/包</w:t>
            </w:r>
          </w:p>
        </w:tc>
        <w:tc>
          <w:tcPr>
            <w:tcW w:w="994" w:type="pct"/>
            <w:noWrap w:val="0"/>
            <w:vAlign w:val="center"/>
          </w:tcPr>
          <w:p w14:paraId="5ABE1E84">
            <w:pPr>
              <w:keepNext w:val="0"/>
              <w:keepLines w:val="0"/>
              <w:widowControl/>
              <w:suppressLineNumbers w:val="0"/>
              <w:kinsoku w:val="0"/>
              <w:autoSpaceDE w:val="0"/>
              <w:autoSpaceDN w:val="0"/>
              <w:adjustRightInd w:val="0"/>
              <w:snapToGrid w:val="0"/>
              <w:spacing w:line="240" w:lineRule="auto"/>
              <w:jc w:val="center"/>
              <w:textAlignment w:val="center"/>
              <w:rPr>
                <w:rFonts w:hint="default" w:ascii="宋体" w:hAnsi="宋体" w:eastAsia="宋体" w:cs="宋体"/>
                <w:b w:val="0"/>
                <w:bCs w:val="0"/>
                <w:snapToGrid w:val="0"/>
                <w:color w:val="auto"/>
                <w:spacing w:val="-4"/>
                <w:kern w:val="0"/>
                <w:sz w:val="20"/>
                <w:szCs w:val="20"/>
                <w:highlight w:val="none"/>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6000包</w:t>
            </w:r>
          </w:p>
        </w:tc>
        <w:tc>
          <w:tcPr>
            <w:tcW w:w="1920" w:type="pct"/>
            <w:vMerge w:val="continue"/>
            <w:noWrap w:val="0"/>
            <w:vAlign w:val="center"/>
          </w:tcPr>
          <w:p w14:paraId="1E007442">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snapToGrid w:val="0"/>
                <w:color w:val="auto"/>
                <w:kern w:val="0"/>
                <w:sz w:val="21"/>
                <w:szCs w:val="21"/>
                <w:highlight w:val="none"/>
                <w:u w:val="none"/>
                <w:lang w:val="en-US" w:eastAsia="zh-CN" w:bidi="ar"/>
              </w:rPr>
            </w:pPr>
          </w:p>
        </w:tc>
      </w:tr>
      <w:tr w14:paraId="715553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1277" w:type="pct"/>
            <w:noWrap w:val="0"/>
            <w:vAlign w:val="center"/>
          </w:tcPr>
          <w:p w14:paraId="3C9F6D50">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早熟油菜种子</w:t>
            </w:r>
          </w:p>
          <w:p w14:paraId="3829CBBD">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（品种2）</w:t>
            </w:r>
          </w:p>
        </w:tc>
        <w:tc>
          <w:tcPr>
            <w:tcW w:w="807" w:type="pct"/>
            <w:noWrap w:val="0"/>
            <w:vAlign w:val="center"/>
          </w:tcPr>
          <w:p w14:paraId="42D08072">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100克/包</w:t>
            </w:r>
          </w:p>
        </w:tc>
        <w:tc>
          <w:tcPr>
            <w:tcW w:w="994" w:type="pct"/>
            <w:noWrap w:val="0"/>
            <w:vAlign w:val="center"/>
          </w:tcPr>
          <w:p w14:paraId="7CF2828F">
            <w:pPr>
              <w:keepNext w:val="0"/>
              <w:keepLines w:val="0"/>
              <w:widowControl/>
              <w:suppressLineNumbers w:val="0"/>
              <w:kinsoku w:val="0"/>
              <w:autoSpaceDE w:val="0"/>
              <w:autoSpaceDN w:val="0"/>
              <w:adjustRightInd w:val="0"/>
              <w:snapToGrid w:val="0"/>
              <w:spacing w:line="240" w:lineRule="auto"/>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9000包</w:t>
            </w:r>
          </w:p>
        </w:tc>
        <w:tc>
          <w:tcPr>
            <w:tcW w:w="1920" w:type="pct"/>
            <w:vMerge w:val="continue"/>
            <w:noWrap w:val="0"/>
            <w:vAlign w:val="center"/>
          </w:tcPr>
          <w:p w14:paraId="409FB3E7">
            <w:pPr>
              <w:keepNext w:val="0"/>
              <w:keepLines w:val="0"/>
              <w:widowControl/>
              <w:suppressLineNumbers w:val="0"/>
              <w:kinsoku w:val="0"/>
              <w:autoSpaceDE w:val="0"/>
              <w:autoSpaceDN w:val="0"/>
              <w:adjustRightInd w:val="0"/>
              <w:snapToGrid w:val="0"/>
              <w:spacing w:line="240" w:lineRule="auto"/>
              <w:jc w:val="center"/>
              <w:textAlignment w:val="center"/>
              <w:rPr>
                <w:rFonts w:hint="default" w:ascii="宋体" w:hAnsi="宋体" w:eastAsia="宋体" w:cs="宋体"/>
                <w:i w:val="0"/>
                <w:iCs w:val="0"/>
                <w:snapToGrid w:val="0"/>
                <w:color w:val="auto"/>
                <w:kern w:val="0"/>
                <w:sz w:val="21"/>
                <w:szCs w:val="21"/>
                <w:highlight w:val="none"/>
                <w:u w:val="none"/>
                <w:lang w:val="en-US" w:eastAsia="zh-CN" w:bidi="ar"/>
              </w:rPr>
            </w:pPr>
          </w:p>
        </w:tc>
      </w:tr>
      <w:tr w14:paraId="695433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1277" w:type="pct"/>
            <w:noWrap w:val="0"/>
            <w:vAlign w:val="center"/>
          </w:tcPr>
          <w:p w14:paraId="6B551D16">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颗粒硼肥</w:t>
            </w:r>
          </w:p>
        </w:tc>
        <w:tc>
          <w:tcPr>
            <w:tcW w:w="807" w:type="pct"/>
            <w:noWrap w:val="0"/>
            <w:vAlign w:val="center"/>
          </w:tcPr>
          <w:p w14:paraId="6C25E883">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b w:val="0"/>
                <w:bCs w:val="0"/>
                <w:snapToGrid w:val="0"/>
                <w:color w:val="auto"/>
                <w:spacing w:val="-4"/>
                <w:kern w:val="0"/>
                <w:sz w:val="21"/>
                <w:szCs w:val="21"/>
                <w:highlight w:val="none"/>
                <w:lang w:val="en-US" w:eastAsia="en-US" w:bidi="ar-SA"/>
              </w:rPr>
            </w:pPr>
            <w:r>
              <w:rPr>
                <w:rFonts w:hint="eastAsia" w:ascii="宋体" w:hAnsi="宋体" w:eastAsia="宋体" w:cs="宋体"/>
                <w:snapToGrid w:val="0"/>
                <w:color w:val="000000"/>
                <w:kern w:val="0"/>
                <w:sz w:val="22"/>
                <w:szCs w:val="22"/>
                <w:u w:val="none"/>
                <w:lang w:val="en-US" w:eastAsia="zh-CN" w:bidi="ar"/>
              </w:rPr>
              <w:t>200克/包</w:t>
            </w:r>
          </w:p>
        </w:tc>
        <w:tc>
          <w:tcPr>
            <w:tcW w:w="994" w:type="pct"/>
            <w:noWrap w:val="0"/>
            <w:vAlign w:val="center"/>
          </w:tcPr>
          <w:p w14:paraId="1B3B7DC7">
            <w:pPr>
              <w:keepNext w:val="0"/>
              <w:keepLines w:val="0"/>
              <w:widowControl/>
              <w:suppressLineNumbers w:val="0"/>
              <w:kinsoku w:val="0"/>
              <w:autoSpaceDE w:val="0"/>
              <w:autoSpaceDN w:val="0"/>
              <w:adjustRightInd w:val="0"/>
              <w:snapToGrid w:val="0"/>
              <w:spacing w:line="240" w:lineRule="auto"/>
              <w:jc w:val="center"/>
              <w:textAlignment w:val="center"/>
              <w:rPr>
                <w:rFonts w:hint="default" w:ascii="宋体" w:hAnsi="宋体" w:eastAsia="宋体" w:cs="宋体"/>
                <w:b w:val="0"/>
                <w:bCs w:val="0"/>
                <w:snapToGrid w:val="0"/>
                <w:color w:val="auto"/>
                <w:spacing w:val="-4"/>
                <w:kern w:val="0"/>
                <w:sz w:val="20"/>
                <w:szCs w:val="20"/>
                <w:highlight w:val="none"/>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40000包</w:t>
            </w:r>
          </w:p>
        </w:tc>
        <w:tc>
          <w:tcPr>
            <w:tcW w:w="1920" w:type="pct"/>
            <w:noWrap w:val="0"/>
            <w:vAlign w:val="center"/>
          </w:tcPr>
          <w:p w14:paraId="2A0F5089">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snapToGrid w:val="0"/>
                <w:color w:val="auto"/>
                <w:kern w:val="0"/>
                <w:sz w:val="21"/>
                <w:szCs w:val="21"/>
                <w:highlight w:val="none"/>
                <w:u w:val="none"/>
                <w:lang w:val="en-US" w:eastAsia="en-US" w:bidi="ar"/>
              </w:rPr>
            </w:pPr>
            <w:r>
              <w:rPr>
                <w:rFonts w:hint="eastAsia" w:ascii="宋体" w:hAnsi="宋体" w:eastAsia="宋体" w:cs="宋体"/>
                <w:i w:val="0"/>
                <w:iCs w:val="0"/>
                <w:snapToGrid w:val="0"/>
                <w:color w:val="auto"/>
                <w:kern w:val="0"/>
                <w:sz w:val="21"/>
                <w:szCs w:val="21"/>
                <w:highlight w:val="none"/>
                <w:u w:val="none"/>
                <w:lang w:val="en-US" w:eastAsia="en-US" w:bidi="ar"/>
              </w:rPr>
              <w:t>纯硼含量≥1</w:t>
            </w:r>
            <w:r>
              <w:rPr>
                <w:rFonts w:hint="eastAsia" w:ascii="宋体" w:hAnsi="宋体" w:eastAsia="宋体" w:cs="宋体"/>
                <w:i w:val="0"/>
                <w:iCs w:val="0"/>
                <w:snapToGrid w:val="0"/>
                <w:color w:val="auto"/>
                <w:kern w:val="0"/>
                <w:sz w:val="21"/>
                <w:szCs w:val="21"/>
                <w:highlight w:val="none"/>
                <w:u w:val="none"/>
                <w:lang w:val="en-US" w:eastAsia="zh-CN" w:bidi="ar"/>
              </w:rPr>
              <w:t>5</w:t>
            </w:r>
            <w:r>
              <w:rPr>
                <w:rFonts w:hint="eastAsia" w:ascii="宋体" w:hAnsi="宋体" w:eastAsia="宋体" w:cs="宋体"/>
                <w:i w:val="0"/>
                <w:iCs w:val="0"/>
                <w:snapToGrid w:val="0"/>
                <w:color w:val="auto"/>
                <w:kern w:val="0"/>
                <w:sz w:val="21"/>
                <w:szCs w:val="21"/>
                <w:highlight w:val="none"/>
                <w:u w:val="none"/>
                <w:lang w:val="en-US" w:eastAsia="en-US" w:bidi="ar"/>
              </w:rPr>
              <w:t>%</w:t>
            </w:r>
          </w:p>
        </w:tc>
      </w:tr>
      <w:tr w14:paraId="7571D9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277" w:type="pct"/>
            <w:noWrap w:val="0"/>
            <w:vAlign w:val="center"/>
          </w:tcPr>
          <w:p w14:paraId="67A68DFB">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油菜配方肥</w:t>
            </w:r>
          </w:p>
        </w:tc>
        <w:tc>
          <w:tcPr>
            <w:tcW w:w="807" w:type="pct"/>
            <w:noWrap w:val="0"/>
            <w:vAlign w:val="center"/>
          </w:tcPr>
          <w:p w14:paraId="2D15ADC5">
            <w:pPr>
              <w:keepNext w:val="0"/>
              <w:keepLines w:val="0"/>
              <w:widowControl/>
              <w:suppressLineNumbers w:val="0"/>
              <w:kinsoku w:val="0"/>
              <w:autoSpaceDE w:val="0"/>
              <w:autoSpaceDN w:val="0"/>
              <w:adjustRightInd w:val="0"/>
              <w:snapToGrid w:val="0"/>
              <w:spacing w:line="240" w:lineRule="auto"/>
              <w:jc w:val="center"/>
              <w:textAlignment w:val="center"/>
              <w:rPr>
                <w:rFonts w:hint="default" w:ascii="宋体" w:hAnsi="宋体" w:eastAsia="宋体" w:cs="宋体"/>
                <w:b w:val="0"/>
                <w:bCs w:val="0"/>
                <w:snapToGrid w:val="0"/>
                <w:color w:val="auto"/>
                <w:spacing w:val="-4"/>
                <w:kern w:val="0"/>
                <w:sz w:val="21"/>
                <w:szCs w:val="21"/>
                <w:highlight w:val="none"/>
                <w:lang w:val="en-US" w:eastAsia="en-US" w:bidi="ar-SA"/>
              </w:rPr>
            </w:pPr>
            <w:r>
              <w:rPr>
                <w:rFonts w:hint="eastAsia" w:ascii="宋体" w:hAnsi="宋体" w:eastAsia="宋体" w:cs="宋体"/>
                <w:i w:val="0"/>
                <w:iCs w:val="0"/>
                <w:snapToGrid w:val="0"/>
                <w:color w:val="000000"/>
                <w:kern w:val="0"/>
                <w:sz w:val="22"/>
                <w:szCs w:val="22"/>
                <w:u w:val="none"/>
                <w:lang w:val="en-US" w:eastAsia="zh-CN" w:bidi="ar"/>
              </w:rPr>
              <w:t>50公斤/包</w:t>
            </w:r>
          </w:p>
        </w:tc>
        <w:tc>
          <w:tcPr>
            <w:tcW w:w="994" w:type="pct"/>
            <w:noWrap w:val="0"/>
            <w:vAlign w:val="center"/>
          </w:tcPr>
          <w:p w14:paraId="79B64AF6">
            <w:pPr>
              <w:keepNext w:val="0"/>
              <w:keepLines w:val="0"/>
              <w:widowControl/>
              <w:suppressLineNumbers w:val="0"/>
              <w:kinsoku w:val="0"/>
              <w:autoSpaceDE w:val="0"/>
              <w:autoSpaceDN w:val="0"/>
              <w:adjustRightInd w:val="0"/>
              <w:snapToGrid w:val="0"/>
              <w:spacing w:line="240" w:lineRule="auto"/>
              <w:jc w:val="center"/>
              <w:textAlignment w:val="center"/>
              <w:rPr>
                <w:rFonts w:hint="default" w:ascii="宋体" w:hAnsi="宋体" w:eastAsia="宋体" w:cs="宋体"/>
                <w:b w:val="0"/>
                <w:bCs w:val="0"/>
                <w:snapToGrid w:val="0"/>
                <w:color w:val="auto"/>
                <w:spacing w:val="-4"/>
                <w:kern w:val="0"/>
                <w:sz w:val="20"/>
                <w:szCs w:val="20"/>
                <w:highlight w:val="none"/>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180吨</w:t>
            </w:r>
          </w:p>
        </w:tc>
        <w:tc>
          <w:tcPr>
            <w:tcW w:w="1920" w:type="pct"/>
            <w:noWrap w:val="0"/>
            <w:vAlign w:val="center"/>
          </w:tcPr>
          <w:p w14:paraId="359BC91E">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snapToGrid w:val="0"/>
                <w:color w:val="auto"/>
                <w:kern w:val="0"/>
                <w:sz w:val="21"/>
                <w:szCs w:val="21"/>
                <w:highlight w:val="none"/>
                <w:u w:val="none"/>
                <w:lang w:val="en-US" w:eastAsia="zh-CN" w:bidi="ar"/>
              </w:rPr>
            </w:pPr>
            <w:r>
              <w:rPr>
                <w:rFonts w:hint="eastAsia" w:ascii="宋体" w:hAnsi="宋体" w:eastAsia="宋体" w:cs="宋体"/>
                <w:i w:val="0"/>
                <w:iCs w:val="0"/>
                <w:snapToGrid w:val="0"/>
                <w:color w:val="auto"/>
                <w:kern w:val="0"/>
                <w:sz w:val="21"/>
                <w:szCs w:val="21"/>
                <w:highlight w:val="none"/>
                <w:u w:val="none"/>
                <w:lang w:val="en-US" w:eastAsia="zh-CN" w:bidi="ar"/>
              </w:rPr>
              <w:t>总养分（</w:t>
            </w:r>
            <w:r>
              <w:rPr>
                <w:rFonts w:hint="eastAsia" w:ascii="宋体" w:hAnsi="宋体" w:eastAsia="宋体" w:cs="宋体"/>
                <w:i w:val="0"/>
                <w:iCs w:val="0"/>
                <w:snapToGrid/>
                <w:color w:val="auto"/>
                <w:kern w:val="0"/>
                <w:sz w:val="21"/>
                <w:szCs w:val="21"/>
                <w:highlight w:val="none"/>
                <w:u w:val="none"/>
                <w:lang w:val="en-US" w:eastAsia="zh-CN" w:bidi="ar"/>
              </w:rPr>
              <w:t>N+P</w:t>
            </w:r>
            <w:r>
              <w:rPr>
                <w:rFonts w:hint="eastAsia" w:ascii="宋体" w:hAnsi="宋体" w:eastAsia="宋体" w:cs="宋体"/>
                <w:i w:val="0"/>
                <w:iCs w:val="0"/>
                <w:snapToGrid/>
                <w:color w:val="auto"/>
                <w:kern w:val="0"/>
                <w:sz w:val="21"/>
                <w:szCs w:val="21"/>
                <w:highlight w:val="none"/>
                <w:u w:val="none"/>
                <w:vertAlign w:val="subscript"/>
                <w:lang w:val="en-US" w:eastAsia="zh-CN" w:bidi="ar"/>
              </w:rPr>
              <w:t>2</w:t>
            </w:r>
            <w:r>
              <w:rPr>
                <w:rFonts w:hint="eastAsia" w:ascii="宋体" w:hAnsi="宋体" w:eastAsia="宋体" w:cs="宋体"/>
                <w:i w:val="0"/>
                <w:iCs w:val="0"/>
                <w:snapToGrid/>
                <w:color w:val="auto"/>
                <w:kern w:val="0"/>
                <w:sz w:val="21"/>
                <w:szCs w:val="21"/>
                <w:highlight w:val="none"/>
                <w:u w:val="none"/>
                <w:lang w:val="en-US" w:eastAsia="zh-CN" w:bidi="ar"/>
              </w:rPr>
              <w:t>0</w:t>
            </w:r>
            <w:r>
              <w:rPr>
                <w:rFonts w:hint="eastAsia" w:ascii="宋体" w:hAnsi="宋体" w:eastAsia="宋体" w:cs="宋体"/>
                <w:i w:val="0"/>
                <w:iCs w:val="0"/>
                <w:snapToGrid/>
                <w:color w:val="auto"/>
                <w:kern w:val="0"/>
                <w:sz w:val="21"/>
                <w:szCs w:val="21"/>
                <w:highlight w:val="none"/>
                <w:u w:val="none"/>
                <w:vertAlign w:val="subscript"/>
                <w:lang w:val="en-US" w:eastAsia="zh-CN" w:bidi="ar"/>
              </w:rPr>
              <w:t>5</w:t>
            </w:r>
            <w:r>
              <w:rPr>
                <w:rFonts w:hint="eastAsia" w:ascii="宋体" w:hAnsi="宋体" w:eastAsia="宋体" w:cs="宋体"/>
                <w:i w:val="0"/>
                <w:iCs w:val="0"/>
                <w:snapToGrid/>
                <w:color w:val="auto"/>
                <w:kern w:val="0"/>
                <w:sz w:val="21"/>
                <w:szCs w:val="21"/>
                <w:highlight w:val="none"/>
                <w:u w:val="none"/>
                <w:lang w:val="en-US" w:eastAsia="zh-CN" w:bidi="ar"/>
              </w:rPr>
              <w:t>+K</w:t>
            </w:r>
            <w:r>
              <w:rPr>
                <w:rFonts w:hint="eastAsia" w:ascii="宋体" w:hAnsi="宋体" w:eastAsia="宋体" w:cs="宋体"/>
                <w:i w:val="0"/>
                <w:iCs w:val="0"/>
                <w:snapToGrid/>
                <w:color w:val="auto"/>
                <w:kern w:val="0"/>
                <w:sz w:val="21"/>
                <w:szCs w:val="21"/>
                <w:highlight w:val="none"/>
                <w:u w:val="none"/>
                <w:vertAlign w:val="subscript"/>
                <w:lang w:val="en-US" w:eastAsia="zh-CN" w:bidi="ar"/>
              </w:rPr>
              <w:t>2</w:t>
            </w:r>
            <w:r>
              <w:rPr>
                <w:rFonts w:hint="eastAsia" w:ascii="宋体" w:hAnsi="宋体" w:eastAsia="宋体" w:cs="宋体"/>
                <w:i w:val="0"/>
                <w:iCs w:val="0"/>
                <w:snapToGrid/>
                <w:color w:val="auto"/>
                <w:kern w:val="0"/>
                <w:sz w:val="21"/>
                <w:szCs w:val="21"/>
                <w:highlight w:val="none"/>
                <w:u w:val="none"/>
                <w:lang w:val="en-US" w:eastAsia="zh-CN" w:bidi="ar"/>
              </w:rPr>
              <w:t>0</w:t>
            </w:r>
            <w:r>
              <w:rPr>
                <w:rFonts w:hint="eastAsia" w:ascii="宋体" w:hAnsi="宋体" w:eastAsia="宋体" w:cs="宋体"/>
                <w:i w:val="0"/>
                <w:iCs w:val="0"/>
                <w:snapToGrid w:val="0"/>
                <w:color w:val="auto"/>
                <w:kern w:val="0"/>
                <w:sz w:val="21"/>
                <w:szCs w:val="21"/>
                <w:highlight w:val="none"/>
                <w:u w:val="none"/>
                <w:lang w:val="en-US" w:eastAsia="zh-CN" w:bidi="ar"/>
              </w:rPr>
              <w:t>）≥40%，总氮（N）含量≥20%</w:t>
            </w:r>
            <w:r>
              <w:rPr>
                <w:rFonts w:hint="eastAsia" w:ascii="宋体" w:hAnsi="宋体" w:eastAsia="Arial" w:cs="宋体"/>
                <w:i w:val="0"/>
                <w:iCs w:val="0"/>
                <w:snapToGrid w:val="0"/>
                <w:color w:val="auto"/>
                <w:kern w:val="0"/>
                <w:sz w:val="21"/>
                <w:szCs w:val="21"/>
                <w:highlight w:val="none"/>
                <w:u w:val="none"/>
                <w:lang w:val="en-US" w:eastAsia="zh-CN" w:bidi="ar"/>
              </w:rPr>
              <w:t>。</w:t>
            </w:r>
          </w:p>
        </w:tc>
      </w:tr>
      <w:tr w14:paraId="6709B0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trPr>
        <w:tc>
          <w:tcPr>
            <w:tcW w:w="5000" w:type="pct"/>
            <w:gridSpan w:val="4"/>
            <w:noWrap w:val="0"/>
            <w:vAlign w:val="center"/>
          </w:tcPr>
          <w:p w14:paraId="72A72DBD">
            <w:pPr>
              <w:keepNext w:val="0"/>
              <w:keepLines w:val="0"/>
              <w:widowControl/>
              <w:suppressLineNumbers w:val="0"/>
              <w:kinsoku/>
              <w:autoSpaceDE/>
              <w:autoSpaceDN/>
              <w:adjustRightInd/>
              <w:snapToGrid/>
              <w:spacing w:line="240" w:lineRule="auto"/>
              <w:jc w:val="both"/>
              <w:textAlignment w:val="center"/>
              <w:rPr>
                <w:rFonts w:hint="default" w:ascii="宋体" w:hAnsi="宋体" w:eastAsia="宋体" w:cs="宋体"/>
                <w:b/>
                <w:bCs/>
                <w:i w:val="0"/>
                <w:iCs w:val="0"/>
                <w:snapToGrid/>
                <w:color w:val="auto"/>
                <w:kern w:val="0"/>
                <w:sz w:val="20"/>
                <w:szCs w:val="20"/>
                <w:highlight w:val="none"/>
                <w:u w:val="none"/>
                <w:lang w:val="en-US" w:eastAsia="zh-CN" w:bidi="ar"/>
              </w:rPr>
            </w:pPr>
            <w:r>
              <w:rPr>
                <w:rFonts w:hint="default" w:ascii="宋体" w:hAnsi="宋体" w:eastAsia="宋体" w:cs="宋体"/>
                <w:b/>
                <w:bCs/>
                <w:i w:val="0"/>
                <w:iCs w:val="0"/>
                <w:snapToGrid/>
                <w:color w:val="auto"/>
                <w:kern w:val="0"/>
                <w:sz w:val="20"/>
                <w:szCs w:val="20"/>
                <w:highlight w:val="none"/>
                <w:u w:val="none"/>
                <w:lang w:val="en-US" w:eastAsia="zh-CN" w:bidi="ar"/>
              </w:rPr>
              <w:t>备注：</w:t>
            </w:r>
          </w:p>
          <w:p w14:paraId="51E3D58A">
            <w:pPr>
              <w:keepNext w:val="0"/>
              <w:keepLines w:val="0"/>
              <w:widowControl/>
              <w:suppressLineNumbers w:val="0"/>
              <w:kinsoku w:val="0"/>
              <w:autoSpaceDE w:val="0"/>
              <w:autoSpaceDN w:val="0"/>
              <w:adjustRightInd w:val="0"/>
              <w:snapToGrid w:val="0"/>
              <w:spacing w:line="240" w:lineRule="auto"/>
              <w:ind w:firstLine="420" w:firstLineChars="200"/>
              <w:jc w:val="left"/>
              <w:textAlignment w:val="center"/>
              <w:rPr>
                <w:rFonts w:hint="eastAsia" w:ascii="宋体" w:hAnsi="宋体" w:eastAsia="宋体" w:cs="宋体"/>
                <w:i w:val="0"/>
                <w:iCs w:val="0"/>
                <w:snapToGrid/>
                <w:color w:val="auto"/>
                <w:kern w:val="0"/>
                <w:sz w:val="21"/>
                <w:szCs w:val="21"/>
                <w:highlight w:val="none"/>
                <w:u w:val="none"/>
                <w:lang w:val="en-US" w:eastAsia="zh-CN" w:bidi="ar"/>
              </w:rPr>
            </w:pPr>
            <w:r>
              <w:rPr>
                <w:rFonts w:hint="eastAsia" w:ascii="宋体" w:hAnsi="宋体" w:eastAsia="宋体" w:cs="宋体"/>
                <w:i w:val="0"/>
                <w:iCs w:val="0"/>
                <w:snapToGrid/>
                <w:color w:val="auto"/>
                <w:kern w:val="0"/>
                <w:sz w:val="21"/>
                <w:szCs w:val="21"/>
                <w:highlight w:val="none"/>
                <w:u w:val="none"/>
                <w:lang w:val="en-US" w:eastAsia="zh-CN" w:bidi="ar"/>
              </w:rPr>
              <w:t>1、所投油菜种子必须通过省级或以上主管部门登记，且适宜湖南省种植区域及季节，根据资兴市2026年产油大县及油菜生产会商会纪要，确定采购中熟油菜品种7个（湘杂油787、沣油789、佳和2号、沣油2118、湘杂油137、沣油9379和邡油135R），早熟品种5个（阳光131、沣油320、沣油112、晟湘油191和沣早2号）(品种排名不分先后)。提供所投产品农作物种子登记证书扫描件。</w:t>
            </w:r>
          </w:p>
          <w:p w14:paraId="5FC12306">
            <w:pPr>
              <w:keepNext w:val="0"/>
              <w:keepLines w:val="0"/>
              <w:widowControl/>
              <w:suppressLineNumbers w:val="0"/>
              <w:kinsoku/>
              <w:autoSpaceDE/>
              <w:autoSpaceDN/>
              <w:adjustRightInd/>
              <w:snapToGrid/>
              <w:spacing w:line="240" w:lineRule="auto"/>
              <w:ind w:firstLine="420" w:firstLineChars="200"/>
              <w:jc w:val="both"/>
              <w:textAlignment w:val="center"/>
              <w:rPr>
                <w:rFonts w:hint="eastAsia" w:ascii="宋体" w:hAnsi="宋体" w:eastAsia="宋体" w:cs="宋体"/>
                <w:i w:val="0"/>
                <w:iCs w:val="0"/>
                <w:snapToGrid/>
                <w:color w:val="auto"/>
                <w:kern w:val="0"/>
                <w:sz w:val="21"/>
                <w:szCs w:val="21"/>
                <w:highlight w:val="none"/>
                <w:u w:val="none"/>
                <w:lang w:val="en-US" w:eastAsia="zh-CN" w:bidi="ar"/>
              </w:rPr>
            </w:pPr>
            <w:r>
              <w:rPr>
                <w:rFonts w:hint="eastAsia" w:ascii="宋体" w:hAnsi="宋体" w:eastAsia="宋体" w:cs="宋体"/>
                <w:i w:val="0"/>
                <w:iCs w:val="0"/>
                <w:snapToGrid/>
                <w:color w:val="auto"/>
                <w:kern w:val="0"/>
                <w:sz w:val="21"/>
                <w:szCs w:val="21"/>
                <w:highlight w:val="none"/>
                <w:u w:val="none"/>
                <w:lang w:val="en-US" w:eastAsia="zh-CN" w:bidi="ar"/>
              </w:rPr>
              <w:t>2、所投油菜种子必须是符合国家标准要求，提供所投产品具备法定检测资质的专业检测机构出具的检测报告（水分、发芽率、净度），纯度须提供所投产品生产厂家出具的纯度承诺函；</w:t>
            </w:r>
          </w:p>
          <w:p w14:paraId="2BDBCE1E">
            <w:pPr>
              <w:keepNext w:val="0"/>
              <w:keepLines w:val="0"/>
              <w:widowControl/>
              <w:suppressLineNumbers w:val="0"/>
              <w:kinsoku/>
              <w:autoSpaceDE/>
              <w:autoSpaceDN/>
              <w:adjustRightInd/>
              <w:snapToGrid/>
              <w:spacing w:line="240" w:lineRule="auto"/>
              <w:ind w:firstLine="420" w:firstLineChars="200"/>
              <w:jc w:val="both"/>
              <w:textAlignment w:val="center"/>
              <w:rPr>
                <w:rFonts w:hint="eastAsia" w:ascii="宋体" w:hAnsi="宋体" w:eastAsia="宋体" w:cs="宋体"/>
                <w:i w:val="0"/>
                <w:iCs w:val="0"/>
                <w:snapToGrid/>
                <w:color w:val="auto"/>
                <w:kern w:val="0"/>
                <w:sz w:val="21"/>
                <w:szCs w:val="21"/>
                <w:highlight w:val="none"/>
                <w:u w:val="none"/>
                <w:lang w:val="en-US" w:eastAsia="zh-CN" w:bidi="ar"/>
              </w:rPr>
            </w:pPr>
            <w:r>
              <w:rPr>
                <w:rFonts w:hint="eastAsia" w:ascii="宋体" w:hAnsi="宋体" w:eastAsia="宋体" w:cs="宋体"/>
                <w:i w:val="0"/>
                <w:iCs w:val="0"/>
                <w:snapToGrid/>
                <w:color w:val="auto"/>
                <w:kern w:val="0"/>
                <w:sz w:val="21"/>
                <w:szCs w:val="21"/>
                <w:highlight w:val="none"/>
                <w:u w:val="none"/>
                <w:lang w:val="en-US" w:eastAsia="zh-CN" w:bidi="ar"/>
              </w:rPr>
              <w:t>3、所投基施硼肥必须符合国家标准，提供质量符合国家标准、</w:t>
            </w:r>
            <w:r>
              <w:rPr>
                <w:rFonts w:hint="eastAsia" w:ascii="宋体" w:hAnsi="宋体" w:eastAsia="宋体" w:cs="宋体"/>
                <w:i w:val="0"/>
                <w:iCs w:val="0"/>
                <w:snapToGrid/>
                <w:color w:val="auto"/>
                <w:kern w:val="0"/>
                <w:sz w:val="21"/>
                <w:szCs w:val="21"/>
                <w:highlight w:val="none"/>
                <w:u w:val="none"/>
                <w:lang w:val="en-US" w:eastAsia="en-US" w:bidi="ar"/>
              </w:rPr>
              <w:t>纯硼含量≥1</w:t>
            </w:r>
            <w:r>
              <w:rPr>
                <w:rFonts w:hint="eastAsia" w:ascii="宋体" w:hAnsi="宋体" w:eastAsia="宋体" w:cs="宋体"/>
                <w:i w:val="0"/>
                <w:iCs w:val="0"/>
                <w:snapToGrid/>
                <w:color w:val="auto"/>
                <w:kern w:val="0"/>
                <w:sz w:val="21"/>
                <w:szCs w:val="21"/>
                <w:highlight w:val="none"/>
                <w:u w:val="none"/>
                <w:lang w:val="en-US" w:eastAsia="zh-CN" w:bidi="ar"/>
              </w:rPr>
              <w:t>5</w:t>
            </w:r>
            <w:r>
              <w:rPr>
                <w:rFonts w:hint="eastAsia" w:ascii="宋体" w:hAnsi="宋体" w:eastAsia="宋体" w:cs="宋体"/>
                <w:i w:val="0"/>
                <w:iCs w:val="0"/>
                <w:snapToGrid/>
                <w:color w:val="auto"/>
                <w:kern w:val="0"/>
                <w:sz w:val="21"/>
                <w:szCs w:val="21"/>
                <w:highlight w:val="none"/>
                <w:u w:val="none"/>
                <w:lang w:val="en-US" w:eastAsia="en-US" w:bidi="ar"/>
              </w:rPr>
              <w:t>%</w:t>
            </w:r>
            <w:r>
              <w:rPr>
                <w:rFonts w:hint="eastAsia" w:ascii="宋体" w:hAnsi="宋体" w:eastAsia="宋体" w:cs="宋体"/>
                <w:i w:val="0"/>
                <w:iCs w:val="0"/>
                <w:snapToGrid/>
                <w:color w:val="auto"/>
                <w:kern w:val="0"/>
                <w:sz w:val="21"/>
                <w:szCs w:val="21"/>
                <w:highlight w:val="none"/>
                <w:u w:val="none"/>
                <w:lang w:val="en-US" w:eastAsia="zh-CN" w:bidi="ar"/>
              </w:rPr>
              <w:t>，提供具备法定检测资质的专业检测机构出具的检测报告。</w:t>
            </w:r>
          </w:p>
          <w:p w14:paraId="6EE41EDB">
            <w:pPr>
              <w:keepNext w:val="0"/>
              <w:keepLines w:val="0"/>
              <w:widowControl/>
              <w:suppressLineNumbers w:val="0"/>
              <w:kinsoku/>
              <w:autoSpaceDE/>
              <w:autoSpaceDN/>
              <w:adjustRightInd/>
              <w:snapToGrid/>
              <w:spacing w:line="240" w:lineRule="auto"/>
              <w:ind w:firstLine="420" w:firstLineChars="200"/>
              <w:jc w:val="both"/>
              <w:textAlignment w:val="center"/>
              <w:rPr>
                <w:rFonts w:hint="eastAsia" w:ascii="宋体" w:hAnsi="宋体" w:eastAsia="宋体" w:cs="宋体"/>
                <w:b w:val="0"/>
                <w:bCs w:val="0"/>
                <w:snapToGrid w:val="0"/>
                <w:color w:val="auto"/>
                <w:spacing w:val="-4"/>
                <w:kern w:val="0"/>
                <w:sz w:val="22"/>
                <w:szCs w:val="22"/>
                <w:highlight w:val="none"/>
                <w:lang w:val="en-US" w:eastAsia="zh-CN" w:bidi="ar-SA"/>
              </w:rPr>
            </w:pPr>
            <w:r>
              <w:rPr>
                <w:rFonts w:hint="eastAsia" w:ascii="宋体" w:hAnsi="宋体" w:eastAsia="宋体" w:cs="宋体"/>
                <w:i w:val="0"/>
                <w:iCs w:val="0"/>
                <w:snapToGrid/>
                <w:color w:val="auto"/>
                <w:kern w:val="0"/>
                <w:sz w:val="21"/>
                <w:szCs w:val="21"/>
                <w:highlight w:val="none"/>
                <w:u w:val="none"/>
                <w:lang w:val="en-US" w:eastAsia="zh-CN" w:bidi="ar"/>
              </w:rPr>
              <w:t>4、所投油菜配方肥必须符合国家标准，总养分（N+P</w:t>
            </w:r>
            <w:r>
              <w:rPr>
                <w:rFonts w:hint="eastAsia" w:ascii="宋体" w:hAnsi="宋体" w:eastAsia="宋体" w:cs="宋体"/>
                <w:i w:val="0"/>
                <w:iCs w:val="0"/>
                <w:snapToGrid/>
                <w:color w:val="auto"/>
                <w:kern w:val="0"/>
                <w:sz w:val="21"/>
                <w:szCs w:val="21"/>
                <w:highlight w:val="none"/>
                <w:u w:val="none"/>
                <w:vertAlign w:val="subscript"/>
                <w:lang w:val="en-US" w:eastAsia="zh-CN" w:bidi="ar"/>
              </w:rPr>
              <w:t>2</w:t>
            </w:r>
            <w:r>
              <w:rPr>
                <w:rFonts w:hint="eastAsia" w:ascii="宋体" w:hAnsi="宋体" w:eastAsia="宋体" w:cs="宋体"/>
                <w:i w:val="0"/>
                <w:iCs w:val="0"/>
                <w:snapToGrid/>
                <w:color w:val="auto"/>
                <w:kern w:val="0"/>
                <w:sz w:val="21"/>
                <w:szCs w:val="21"/>
                <w:highlight w:val="none"/>
                <w:u w:val="none"/>
                <w:lang w:val="en-US" w:eastAsia="zh-CN" w:bidi="ar"/>
              </w:rPr>
              <w:t>0</w:t>
            </w:r>
            <w:r>
              <w:rPr>
                <w:rFonts w:hint="eastAsia" w:ascii="宋体" w:hAnsi="宋体" w:eastAsia="宋体" w:cs="宋体"/>
                <w:i w:val="0"/>
                <w:iCs w:val="0"/>
                <w:snapToGrid/>
                <w:color w:val="auto"/>
                <w:kern w:val="0"/>
                <w:sz w:val="21"/>
                <w:szCs w:val="21"/>
                <w:highlight w:val="none"/>
                <w:u w:val="none"/>
                <w:vertAlign w:val="subscript"/>
                <w:lang w:val="en-US" w:eastAsia="zh-CN" w:bidi="ar"/>
              </w:rPr>
              <w:t>5</w:t>
            </w:r>
            <w:r>
              <w:rPr>
                <w:rFonts w:hint="eastAsia" w:ascii="宋体" w:hAnsi="宋体" w:eastAsia="宋体" w:cs="宋体"/>
                <w:i w:val="0"/>
                <w:iCs w:val="0"/>
                <w:snapToGrid/>
                <w:color w:val="auto"/>
                <w:kern w:val="0"/>
                <w:sz w:val="21"/>
                <w:szCs w:val="21"/>
                <w:highlight w:val="none"/>
                <w:u w:val="none"/>
                <w:lang w:val="en-US" w:eastAsia="zh-CN" w:bidi="ar"/>
              </w:rPr>
              <w:t>+K</w:t>
            </w:r>
            <w:r>
              <w:rPr>
                <w:rFonts w:hint="eastAsia" w:ascii="宋体" w:hAnsi="宋体" w:eastAsia="宋体" w:cs="宋体"/>
                <w:i w:val="0"/>
                <w:iCs w:val="0"/>
                <w:snapToGrid/>
                <w:color w:val="auto"/>
                <w:kern w:val="0"/>
                <w:sz w:val="21"/>
                <w:szCs w:val="21"/>
                <w:highlight w:val="none"/>
                <w:u w:val="none"/>
                <w:vertAlign w:val="subscript"/>
                <w:lang w:val="en-US" w:eastAsia="zh-CN" w:bidi="ar"/>
              </w:rPr>
              <w:t>2</w:t>
            </w:r>
            <w:r>
              <w:rPr>
                <w:rFonts w:hint="eastAsia" w:ascii="宋体" w:hAnsi="宋体" w:eastAsia="宋体" w:cs="宋体"/>
                <w:i w:val="0"/>
                <w:iCs w:val="0"/>
                <w:snapToGrid/>
                <w:color w:val="auto"/>
                <w:kern w:val="0"/>
                <w:sz w:val="21"/>
                <w:szCs w:val="21"/>
                <w:highlight w:val="none"/>
                <w:u w:val="none"/>
                <w:lang w:val="en-US" w:eastAsia="zh-CN" w:bidi="ar"/>
              </w:rPr>
              <w:t>0）含量≥40%，其中总氮（N）含量≥20%，提供具备法定检测资质的专业检测机构出具的检测报告。</w:t>
            </w:r>
          </w:p>
        </w:tc>
      </w:tr>
    </w:tbl>
    <w:p w14:paraId="20CB33C5">
      <w:pPr>
        <w:widowControl/>
        <w:kinsoku w:val="0"/>
        <w:autoSpaceDE w:val="0"/>
        <w:autoSpaceDN w:val="0"/>
        <w:adjustRightInd w:val="0"/>
        <w:snapToGrid w:val="0"/>
        <w:spacing w:before="19" w:line="213" w:lineRule="auto"/>
        <w:jc w:val="left"/>
        <w:textAlignment w:val="baseline"/>
        <w:rPr>
          <w:rFonts w:hint="eastAsia" w:ascii="宋体" w:hAnsi="宋体" w:eastAsia="宋体" w:cs="Times New Roman"/>
          <w:b w:val="0"/>
          <w:bCs/>
          <w:color w:val="auto"/>
          <w:szCs w:val="21"/>
          <w:highlight w:val="none"/>
          <w:lang w:val="en-US" w:eastAsia="zh-CN"/>
        </w:rPr>
      </w:pPr>
      <w:r>
        <w:rPr>
          <w:rFonts w:hint="eastAsia" w:ascii="宋体" w:hAnsi="宋体" w:eastAsia="宋体" w:cs="Times New Roman"/>
          <w:b w:val="0"/>
          <w:bCs/>
          <w:color w:val="auto"/>
          <w:szCs w:val="21"/>
          <w:highlight w:val="none"/>
        </w:rPr>
        <w:t>说明：上表技术参数为采购人基本要求，</w:t>
      </w:r>
      <w:r>
        <w:rPr>
          <w:rFonts w:hint="eastAsia" w:ascii="宋体" w:hAnsi="宋体" w:eastAsia="宋体" w:cs="Times New Roman"/>
          <w:b w:val="0"/>
          <w:bCs/>
          <w:color w:val="auto"/>
          <w:szCs w:val="21"/>
          <w:highlight w:val="none"/>
          <w:lang w:val="en-US" w:eastAsia="zh-CN"/>
        </w:rPr>
        <w:t>供应商在参与招标时从中选择中熟品种和早熟品种各两</w:t>
      </w:r>
    </w:p>
    <w:p w14:paraId="7A9DCF4F">
      <w:pPr>
        <w:widowControl/>
        <w:kinsoku w:val="0"/>
        <w:autoSpaceDE w:val="0"/>
        <w:autoSpaceDN w:val="0"/>
        <w:adjustRightInd w:val="0"/>
        <w:snapToGrid w:val="0"/>
        <w:spacing w:before="19" w:line="213" w:lineRule="auto"/>
        <w:jc w:val="left"/>
        <w:textAlignment w:val="baseline"/>
        <w:rPr>
          <w:rFonts w:hint="eastAsia" w:ascii="楷体" w:hAnsi="楷体" w:eastAsia="楷体" w:cs="楷体"/>
          <w:b/>
          <w:bCs/>
          <w:snapToGrid w:val="0"/>
          <w:color w:val="auto"/>
          <w:spacing w:val="-4"/>
          <w:kern w:val="0"/>
          <w:sz w:val="28"/>
          <w:szCs w:val="28"/>
          <w:highlight w:val="none"/>
          <w:lang w:val="en-US" w:eastAsia="zh-CN" w:bidi="ar-SA"/>
        </w:rPr>
      </w:pPr>
      <w:r>
        <w:rPr>
          <w:rFonts w:hint="eastAsia" w:ascii="宋体" w:hAnsi="宋体" w:eastAsia="宋体" w:cs="Times New Roman"/>
          <w:b w:val="0"/>
          <w:bCs/>
          <w:color w:val="auto"/>
          <w:szCs w:val="21"/>
          <w:highlight w:val="none"/>
          <w:lang w:val="en-US" w:eastAsia="zh-CN"/>
        </w:rPr>
        <w:t>个进行投标，投标人必须对所有的品目进行投标，不得仅对一个包中的部分品目投标，否则投标无效。</w:t>
      </w:r>
    </w:p>
    <w:p w14:paraId="67B66B2D">
      <w:pPr>
        <w:widowControl/>
        <w:kinsoku w:val="0"/>
        <w:autoSpaceDE w:val="0"/>
        <w:autoSpaceDN w:val="0"/>
        <w:adjustRightInd w:val="0"/>
        <w:snapToGrid w:val="0"/>
        <w:spacing w:before="19" w:line="213" w:lineRule="auto"/>
        <w:jc w:val="left"/>
        <w:textAlignment w:val="baseline"/>
        <w:rPr>
          <w:rFonts w:hint="eastAsia" w:ascii="楷体" w:hAnsi="楷体" w:eastAsia="楷体" w:cs="楷体"/>
          <w:b/>
          <w:bCs/>
          <w:snapToGrid w:val="0"/>
          <w:color w:val="auto"/>
          <w:spacing w:val="-4"/>
          <w:kern w:val="0"/>
          <w:sz w:val="28"/>
          <w:szCs w:val="28"/>
          <w:highlight w:val="none"/>
          <w:lang w:val="en-US" w:eastAsia="zh-CN" w:bidi="ar-SA"/>
        </w:rPr>
      </w:pPr>
      <w:r>
        <w:rPr>
          <w:rFonts w:hint="eastAsia" w:ascii="楷体" w:hAnsi="楷体" w:eastAsia="楷体" w:cs="楷体"/>
          <w:b/>
          <w:bCs/>
          <w:snapToGrid w:val="0"/>
          <w:color w:val="auto"/>
          <w:spacing w:val="-4"/>
          <w:kern w:val="0"/>
          <w:sz w:val="28"/>
          <w:szCs w:val="28"/>
          <w:highlight w:val="none"/>
          <w:lang w:val="en-US" w:eastAsia="zh-CN" w:bidi="ar-SA"/>
        </w:rPr>
        <w:t>三、</w:t>
      </w:r>
      <w:bookmarkStart w:id="0" w:name="_Hlk7184628"/>
      <w:r>
        <w:rPr>
          <w:rFonts w:hint="eastAsia" w:ascii="楷体" w:hAnsi="楷体" w:eastAsia="楷体" w:cs="楷体"/>
          <w:b/>
          <w:bCs/>
          <w:snapToGrid w:val="0"/>
          <w:color w:val="auto"/>
          <w:spacing w:val="-4"/>
          <w:kern w:val="0"/>
          <w:sz w:val="28"/>
          <w:szCs w:val="28"/>
          <w:highlight w:val="none"/>
          <w:lang w:val="en-US" w:eastAsia="zh-CN" w:bidi="ar-SA"/>
        </w:rPr>
        <w:t>技术标准规范：</w:t>
      </w:r>
    </w:p>
    <w:p w14:paraId="7F4021F3">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bCs/>
          <w:snapToGrid/>
          <w:color w:val="000000"/>
          <w:kern w:val="2"/>
          <w:szCs w:val="21"/>
          <w:lang w:eastAsia="zh-CN"/>
        </w:rPr>
      </w:pPr>
      <w:r>
        <w:rPr>
          <w:rFonts w:hint="eastAsia" w:ascii="宋体" w:hAnsi="宋体" w:eastAsia="宋体" w:cs="Times New Roman"/>
          <w:bCs/>
          <w:snapToGrid/>
          <w:color w:val="000000"/>
          <w:kern w:val="2"/>
          <w:szCs w:val="21"/>
          <w:lang w:val="en-US" w:eastAsia="zh-CN"/>
        </w:rPr>
        <w:t>1、</w:t>
      </w:r>
      <w:r>
        <w:rPr>
          <w:rFonts w:hint="eastAsia" w:ascii="宋体" w:hAnsi="宋体" w:eastAsia="宋体" w:cs="Times New Roman"/>
          <w:bCs/>
          <w:snapToGrid/>
          <w:color w:val="000000"/>
          <w:kern w:val="2"/>
          <w:szCs w:val="21"/>
          <w:lang w:eastAsia="zh-CN"/>
        </w:rPr>
        <w:t>产品的技术指标和性能须符合国家、地方及行业相关标准。</w:t>
      </w:r>
    </w:p>
    <w:bookmarkEnd w:id="0"/>
    <w:p w14:paraId="33BA3B39">
      <w:pPr>
        <w:widowControl/>
        <w:kinsoku w:val="0"/>
        <w:autoSpaceDE w:val="0"/>
        <w:autoSpaceDN w:val="0"/>
        <w:adjustRightInd w:val="0"/>
        <w:snapToGrid w:val="0"/>
        <w:spacing w:before="19" w:line="213" w:lineRule="auto"/>
        <w:jc w:val="left"/>
        <w:textAlignment w:val="baseline"/>
        <w:rPr>
          <w:rFonts w:hint="eastAsia" w:ascii="楷体" w:hAnsi="楷体" w:eastAsia="楷体" w:cs="楷体"/>
          <w:b/>
          <w:bCs/>
          <w:snapToGrid w:val="0"/>
          <w:color w:val="auto"/>
          <w:spacing w:val="-4"/>
          <w:kern w:val="0"/>
          <w:sz w:val="28"/>
          <w:szCs w:val="28"/>
          <w:highlight w:val="none"/>
          <w:lang w:val="en-US" w:eastAsia="zh-CN" w:bidi="ar-SA"/>
        </w:rPr>
      </w:pPr>
      <w:r>
        <w:rPr>
          <w:rFonts w:hint="eastAsia" w:ascii="楷体" w:hAnsi="楷体" w:eastAsia="楷体" w:cs="楷体"/>
          <w:b/>
          <w:bCs/>
          <w:snapToGrid w:val="0"/>
          <w:color w:val="auto"/>
          <w:spacing w:val="-4"/>
          <w:kern w:val="0"/>
          <w:sz w:val="28"/>
          <w:szCs w:val="28"/>
          <w:highlight w:val="none"/>
          <w:lang w:val="en-US" w:eastAsia="zh-CN" w:bidi="ar-SA"/>
        </w:rPr>
        <w:t>四、供货范围及交货时间</w:t>
      </w:r>
    </w:p>
    <w:p w14:paraId="2ED9E469">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both"/>
        <w:textAlignment w:val="auto"/>
        <w:rPr>
          <w:rFonts w:hint="eastAsia" w:ascii="宋体" w:hAnsi="宋体" w:eastAsia="宋体" w:cs="宋体"/>
          <w:b w:val="0"/>
          <w:bCs w:val="0"/>
          <w:snapToGrid/>
          <w:color w:val="auto"/>
          <w:kern w:val="2"/>
          <w:sz w:val="22"/>
          <w:szCs w:val="22"/>
          <w:highlight w:val="none"/>
          <w:lang w:val="en-US" w:eastAsia="zh-CN"/>
        </w:rPr>
      </w:pPr>
      <w:r>
        <w:rPr>
          <w:rFonts w:hint="eastAsia" w:ascii="宋体" w:hAnsi="宋体" w:eastAsia="宋体" w:cs="宋体"/>
          <w:b w:val="0"/>
          <w:bCs w:val="0"/>
          <w:snapToGrid/>
          <w:color w:val="auto"/>
          <w:kern w:val="2"/>
          <w:sz w:val="22"/>
          <w:szCs w:val="22"/>
          <w:highlight w:val="none"/>
          <w:lang w:val="en-US" w:eastAsia="zh-CN"/>
        </w:rPr>
        <w:t xml:space="preserve">供货范围：采购人指定。 </w:t>
      </w:r>
    </w:p>
    <w:p w14:paraId="0130663F">
      <w:pPr>
        <w:widowControl w:val="0"/>
        <w:kinsoku/>
        <w:autoSpaceDE/>
        <w:autoSpaceDN/>
        <w:adjustRightInd/>
        <w:snapToGrid/>
        <w:spacing w:line="360" w:lineRule="auto"/>
        <w:ind w:firstLine="440" w:firstLineChars="200"/>
        <w:jc w:val="both"/>
        <w:textAlignment w:val="auto"/>
        <w:rPr>
          <w:rFonts w:ascii="宋体" w:hAnsi="宋体" w:eastAsia="宋体" w:cs="Times New Roman"/>
          <w:bCs/>
          <w:snapToGrid/>
          <w:color w:val="000000"/>
          <w:kern w:val="2"/>
          <w:szCs w:val="21"/>
          <w:lang w:eastAsia="zh-CN"/>
        </w:rPr>
      </w:pPr>
      <w:r>
        <w:rPr>
          <w:rFonts w:hint="eastAsia" w:ascii="宋体" w:hAnsi="宋体" w:eastAsia="宋体" w:cs="宋体"/>
          <w:b w:val="0"/>
          <w:bCs w:val="0"/>
          <w:snapToGrid/>
          <w:color w:val="auto"/>
          <w:kern w:val="2"/>
          <w:sz w:val="22"/>
          <w:szCs w:val="22"/>
          <w:highlight w:val="none"/>
          <w:lang w:val="en-US" w:eastAsia="zh-CN"/>
        </w:rPr>
        <w:t>交货时间：合同签订并接到采购人下发供货指令后，</w:t>
      </w:r>
      <w:r>
        <w:rPr>
          <w:rFonts w:hint="eastAsia" w:ascii="宋体" w:hAnsi="宋体" w:eastAsia="宋体" w:cs="宋体"/>
          <w:b w:val="0"/>
          <w:bCs w:val="0"/>
          <w:snapToGrid/>
          <w:color w:val="C00000"/>
          <w:kern w:val="2"/>
          <w:sz w:val="22"/>
          <w:szCs w:val="22"/>
          <w:highlight w:val="none"/>
          <w:u w:val="single"/>
          <w:lang w:val="en-US" w:eastAsia="zh-CN"/>
        </w:rPr>
        <w:t>3日</w:t>
      </w:r>
      <w:r>
        <w:rPr>
          <w:rFonts w:hint="eastAsia" w:ascii="宋体" w:hAnsi="宋体" w:eastAsia="宋体" w:cs="宋体"/>
          <w:b w:val="0"/>
          <w:bCs w:val="0"/>
          <w:snapToGrid/>
          <w:color w:val="auto"/>
          <w:kern w:val="2"/>
          <w:sz w:val="22"/>
          <w:szCs w:val="22"/>
          <w:highlight w:val="none"/>
          <w:lang w:val="en-US" w:eastAsia="zh-CN"/>
        </w:rPr>
        <w:t>内完成交货到指定地点。</w:t>
      </w:r>
    </w:p>
    <w:p w14:paraId="2D6A61A6">
      <w:pPr>
        <w:widowControl/>
        <w:kinsoku w:val="0"/>
        <w:autoSpaceDE w:val="0"/>
        <w:autoSpaceDN w:val="0"/>
        <w:adjustRightInd w:val="0"/>
        <w:snapToGrid w:val="0"/>
        <w:spacing w:before="19" w:line="213" w:lineRule="auto"/>
        <w:jc w:val="left"/>
        <w:textAlignment w:val="baseline"/>
        <w:rPr>
          <w:rFonts w:hint="eastAsia" w:ascii="楷体" w:hAnsi="楷体" w:eastAsia="楷体" w:cs="楷体"/>
          <w:b/>
          <w:bCs/>
          <w:snapToGrid w:val="0"/>
          <w:color w:val="auto"/>
          <w:spacing w:val="-4"/>
          <w:kern w:val="0"/>
          <w:sz w:val="28"/>
          <w:szCs w:val="28"/>
          <w:highlight w:val="none"/>
          <w:lang w:val="en-US" w:eastAsia="zh-CN" w:bidi="ar-SA"/>
        </w:rPr>
      </w:pPr>
      <w:r>
        <w:rPr>
          <w:rFonts w:hint="eastAsia" w:ascii="楷体" w:hAnsi="楷体" w:eastAsia="楷体" w:cs="楷体"/>
          <w:b/>
          <w:bCs/>
          <w:snapToGrid w:val="0"/>
          <w:color w:val="auto"/>
          <w:spacing w:val="-4"/>
          <w:kern w:val="0"/>
          <w:sz w:val="28"/>
          <w:szCs w:val="28"/>
          <w:highlight w:val="none"/>
          <w:lang w:val="en-US" w:eastAsia="zh-CN" w:bidi="ar-SA"/>
        </w:rPr>
        <w:t>五、运输</w:t>
      </w:r>
    </w:p>
    <w:p w14:paraId="2855B3C0">
      <w:pPr>
        <w:keepNext w:val="0"/>
        <w:keepLines w:val="0"/>
        <w:pageBreakBefore w:val="0"/>
        <w:widowControl w:val="0"/>
        <w:kinsoku/>
        <w:wordWrap/>
        <w:overflowPunct/>
        <w:topLinePunct w:val="0"/>
        <w:autoSpaceDE/>
        <w:autoSpaceDN/>
        <w:bidi w:val="0"/>
        <w:adjustRightInd/>
        <w:snapToGrid/>
        <w:spacing w:line="360" w:lineRule="auto"/>
        <w:ind w:firstLine="433" w:firstLineChars="197"/>
        <w:jc w:val="both"/>
        <w:textAlignment w:val="auto"/>
        <w:rPr>
          <w:rFonts w:hint="eastAsia" w:ascii="宋体" w:hAnsi="宋体" w:eastAsia="宋体" w:cs="宋体"/>
          <w:b w:val="0"/>
          <w:bCs/>
          <w:snapToGrid/>
          <w:color w:val="auto"/>
          <w:kern w:val="2"/>
          <w:sz w:val="22"/>
          <w:szCs w:val="22"/>
          <w:highlight w:val="none"/>
          <w:lang w:eastAsia="zh-CN"/>
        </w:rPr>
      </w:pPr>
      <w:r>
        <w:rPr>
          <w:rFonts w:hint="eastAsia" w:ascii="宋体" w:hAnsi="宋体" w:eastAsia="宋体" w:cs="宋体"/>
          <w:b w:val="0"/>
          <w:bCs/>
          <w:snapToGrid/>
          <w:color w:val="auto"/>
          <w:kern w:val="2"/>
          <w:sz w:val="22"/>
          <w:szCs w:val="22"/>
          <w:highlight w:val="none"/>
          <w:lang w:val="en-US" w:eastAsia="zh-CN"/>
        </w:rPr>
        <w:t xml:space="preserve">1.成交人负责保证货物在没有任何损坏的情况下安全运抵合同规定的交货地点，应承担由于其包装或防护措施不妥引起货物损坏和丢失的任何责任或费用。 </w:t>
      </w:r>
    </w:p>
    <w:p w14:paraId="6F038B82">
      <w:pPr>
        <w:keepNext w:val="0"/>
        <w:keepLines w:val="0"/>
        <w:pageBreakBefore w:val="0"/>
        <w:widowControl w:val="0"/>
        <w:kinsoku/>
        <w:wordWrap/>
        <w:overflowPunct/>
        <w:topLinePunct w:val="0"/>
        <w:autoSpaceDE/>
        <w:autoSpaceDN/>
        <w:bidi w:val="0"/>
        <w:adjustRightInd/>
        <w:snapToGrid/>
        <w:spacing w:line="360" w:lineRule="auto"/>
        <w:ind w:firstLine="433" w:firstLineChars="197"/>
        <w:jc w:val="both"/>
        <w:textAlignment w:val="auto"/>
        <w:rPr>
          <w:rFonts w:hint="eastAsia" w:ascii="宋体" w:hAnsi="宋体" w:eastAsia="宋体" w:cs="宋体"/>
          <w:b w:val="0"/>
          <w:bCs/>
          <w:snapToGrid/>
          <w:color w:val="auto"/>
          <w:kern w:val="2"/>
          <w:sz w:val="22"/>
          <w:szCs w:val="22"/>
          <w:highlight w:val="none"/>
          <w:lang w:eastAsia="zh-CN"/>
        </w:rPr>
      </w:pPr>
      <w:r>
        <w:rPr>
          <w:rFonts w:hint="eastAsia" w:ascii="宋体" w:hAnsi="宋体" w:eastAsia="宋体" w:cs="宋体"/>
          <w:b w:val="0"/>
          <w:bCs/>
          <w:snapToGrid/>
          <w:color w:val="auto"/>
          <w:kern w:val="2"/>
          <w:sz w:val="22"/>
          <w:szCs w:val="22"/>
          <w:highlight w:val="none"/>
          <w:lang w:val="en-US" w:eastAsia="zh-CN"/>
        </w:rPr>
        <w:t xml:space="preserve">2.成交人负责货物在实施地点的保管，直至项目验收实施完成。 </w:t>
      </w:r>
    </w:p>
    <w:p w14:paraId="2123D7C8">
      <w:pPr>
        <w:keepNext w:val="0"/>
        <w:keepLines w:val="0"/>
        <w:pageBreakBefore w:val="0"/>
        <w:widowControl w:val="0"/>
        <w:kinsoku/>
        <w:wordWrap/>
        <w:overflowPunct/>
        <w:topLinePunct w:val="0"/>
        <w:autoSpaceDE/>
        <w:autoSpaceDN/>
        <w:bidi w:val="0"/>
        <w:adjustRightInd/>
        <w:snapToGrid/>
        <w:spacing w:line="360" w:lineRule="auto"/>
        <w:ind w:firstLine="433" w:firstLineChars="197"/>
        <w:jc w:val="both"/>
        <w:textAlignment w:val="auto"/>
        <w:rPr>
          <w:rFonts w:hint="eastAsia" w:ascii="宋体" w:hAnsi="宋体" w:eastAsia="宋体" w:cs="宋体"/>
          <w:b w:val="0"/>
          <w:bCs/>
          <w:snapToGrid/>
          <w:color w:val="auto"/>
          <w:kern w:val="2"/>
          <w:sz w:val="22"/>
          <w:szCs w:val="22"/>
          <w:highlight w:val="none"/>
          <w:lang w:val="en-US" w:eastAsia="zh-CN"/>
        </w:rPr>
      </w:pPr>
      <w:r>
        <w:rPr>
          <w:rFonts w:hint="eastAsia" w:ascii="宋体" w:hAnsi="宋体" w:eastAsia="宋体" w:cs="宋体"/>
          <w:b w:val="0"/>
          <w:bCs/>
          <w:snapToGrid/>
          <w:color w:val="auto"/>
          <w:kern w:val="2"/>
          <w:sz w:val="22"/>
          <w:szCs w:val="22"/>
          <w:highlight w:val="none"/>
          <w:lang w:val="en-US" w:eastAsia="zh-CN"/>
        </w:rPr>
        <w:t>3.成交人应对提供的货物在运输、存放及交货过程中的毁损或丢失或质量下降等情形进行保险投保，负责其派出的服务人员的人身意外保险。</w:t>
      </w:r>
    </w:p>
    <w:p w14:paraId="7EF361D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宋体" w:hAnsi="宋体" w:eastAsia="宋体" w:cs="宋体"/>
          <w:b w:val="0"/>
          <w:bCs w:val="0"/>
          <w:snapToGrid/>
          <w:color w:val="auto"/>
          <w:kern w:val="2"/>
          <w:sz w:val="22"/>
          <w:szCs w:val="22"/>
          <w:highlight w:val="none"/>
          <w:lang w:val="en-US" w:eastAsia="zh-CN"/>
        </w:rPr>
      </w:pPr>
      <w:r>
        <w:rPr>
          <w:rFonts w:hint="eastAsia" w:ascii="楷体" w:hAnsi="楷体" w:eastAsia="楷体" w:cs="楷体"/>
          <w:b/>
          <w:bCs/>
          <w:snapToGrid w:val="0"/>
          <w:color w:val="auto"/>
          <w:spacing w:val="-4"/>
          <w:kern w:val="0"/>
          <w:sz w:val="28"/>
          <w:szCs w:val="28"/>
          <w:highlight w:val="none"/>
          <w:lang w:val="en-US" w:eastAsia="zh-CN" w:bidi="ar-SA"/>
        </w:rPr>
        <w:t>六、验收标准和方法</w:t>
      </w:r>
    </w:p>
    <w:p w14:paraId="7A583502">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both"/>
        <w:textAlignment w:val="auto"/>
        <w:rPr>
          <w:rFonts w:hint="default" w:ascii="宋体" w:hAnsi="宋体" w:eastAsia="宋体" w:cs="宋体"/>
          <w:b w:val="0"/>
          <w:bCs w:val="0"/>
          <w:snapToGrid/>
          <w:color w:val="auto"/>
          <w:kern w:val="2"/>
          <w:sz w:val="22"/>
          <w:szCs w:val="22"/>
          <w:highlight w:val="none"/>
          <w:lang w:val="en-US" w:eastAsia="zh-CN"/>
        </w:rPr>
      </w:pPr>
      <w:r>
        <w:rPr>
          <w:rFonts w:hint="eastAsia" w:ascii="宋体" w:hAnsi="宋体" w:eastAsia="宋体" w:cs="宋体"/>
          <w:b w:val="0"/>
          <w:bCs w:val="0"/>
          <w:snapToGrid/>
          <w:color w:val="auto"/>
          <w:kern w:val="2"/>
          <w:sz w:val="22"/>
          <w:szCs w:val="22"/>
          <w:highlight w:val="none"/>
          <w:lang w:val="en-US" w:eastAsia="zh-CN"/>
        </w:rPr>
        <w:t>1、</w:t>
      </w:r>
      <w:r>
        <w:rPr>
          <w:rFonts w:hint="eastAsia" w:ascii="宋体" w:hAnsi="宋体" w:eastAsia="宋体" w:cs="宋体"/>
          <w:b w:val="0"/>
          <w:bCs w:val="0"/>
          <w:snapToGrid/>
          <w:color w:val="auto"/>
          <w:kern w:val="2"/>
          <w:sz w:val="22"/>
          <w:szCs w:val="22"/>
          <w:highlight w:val="none"/>
          <w:lang w:val="en-US" w:eastAsia="en-US"/>
        </w:rPr>
        <w:t>本项目最终结算金额以实际供货量为准。</w:t>
      </w:r>
    </w:p>
    <w:p w14:paraId="3A329D68">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both"/>
        <w:textAlignment w:val="auto"/>
        <w:rPr>
          <w:rFonts w:hint="default" w:ascii="宋体" w:hAnsi="宋体" w:eastAsia="宋体" w:cs="宋体"/>
          <w:b w:val="0"/>
          <w:bCs w:val="0"/>
          <w:snapToGrid/>
          <w:color w:val="auto"/>
          <w:kern w:val="2"/>
          <w:sz w:val="22"/>
          <w:szCs w:val="22"/>
          <w:highlight w:val="none"/>
          <w:lang w:val="en-US" w:eastAsia="zh-CN"/>
        </w:rPr>
      </w:pPr>
      <w:r>
        <w:rPr>
          <w:rFonts w:hint="eastAsia" w:ascii="宋体" w:hAnsi="宋体" w:eastAsia="宋体" w:cs="宋体"/>
          <w:b w:val="0"/>
          <w:bCs w:val="0"/>
          <w:snapToGrid/>
          <w:color w:val="auto"/>
          <w:kern w:val="2"/>
          <w:sz w:val="22"/>
          <w:szCs w:val="22"/>
          <w:highlight w:val="none"/>
          <w:lang w:val="en-US" w:eastAsia="zh-CN"/>
        </w:rPr>
        <w:t>2、产品抽样送检。成交人在合同规定的时间内将货物运抵项目指定地点后一周内，市农业农村局组织相关人员对成交人所交货物依照招标文件上的技术规格要求、成交产品有关指标和合同要求，进行随机抽取并送到有资质的检测部门检测，检验报告结果作为付款的依据之一。若检验不合格，按合同约定处理，由此造成的损失由成交人负责。</w:t>
      </w:r>
    </w:p>
    <w:p w14:paraId="06E324DD">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both"/>
        <w:textAlignment w:val="auto"/>
        <w:rPr>
          <w:rFonts w:hint="eastAsia" w:ascii="宋体" w:hAnsi="宋体" w:eastAsia="宋体" w:cs="宋体"/>
          <w:b w:val="0"/>
          <w:bCs w:val="0"/>
          <w:snapToGrid/>
          <w:color w:val="auto"/>
          <w:kern w:val="2"/>
          <w:sz w:val="22"/>
          <w:szCs w:val="22"/>
          <w:highlight w:val="none"/>
          <w:lang w:val="en-US" w:eastAsia="en-US"/>
        </w:rPr>
      </w:pPr>
      <w:r>
        <w:rPr>
          <w:rFonts w:hint="eastAsia" w:ascii="宋体" w:hAnsi="宋体" w:eastAsia="宋体" w:cs="宋体"/>
          <w:b w:val="0"/>
          <w:bCs w:val="0"/>
          <w:snapToGrid/>
          <w:color w:val="auto"/>
          <w:kern w:val="2"/>
          <w:sz w:val="22"/>
          <w:szCs w:val="22"/>
          <w:highlight w:val="none"/>
          <w:lang w:val="en-US" w:eastAsia="zh-CN"/>
        </w:rPr>
        <w:t>3、成交人</w:t>
      </w:r>
      <w:r>
        <w:rPr>
          <w:rFonts w:hint="eastAsia" w:ascii="宋体" w:hAnsi="宋体" w:eastAsia="宋体" w:cs="宋体"/>
          <w:b w:val="0"/>
          <w:bCs w:val="0"/>
          <w:snapToGrid/>
          <w:color w:val="auto"/>
          <w:kern w:val="2"/>
          <w:sz w:val="22"/>
          <w:szCs w:val="22"/>
          <w:highlight w:val="none"/>
          <w:lang w:val="en-US" w:eastAsia="en-US"/>
        </w:rPr>
        <w:t>供货完成后，由采购人组织验收小组按照国家相关标准和本项目成交合同、采购文件、响应文件对本项目采购</w:t>
      </w:r>
      <w:r>
        <w:rPr>
          <w:rFonts w:hint="eastAsia" w:ascii="宋体" w:hAnsi="宋体" w:eastAsia="宋体" w:cs="宋体"/>
          <w:b w:val="0"/>
          <w:bCs w:val="0"/>
          <w:snapToGrid/>
          <w:color w:val="auto"/>
          <w:kern w:val="2"/>
          <w:sz w:val="22"/>
          <w:szCs w:val="22"/>
          <w:highlight w:val="none"/>
          <w:lang w:val="en-US" w:eastAsia="zh-CN"/>
        </w:rPr>
        <w:t>种子品种、规格、数量、质量等</w:t>
      </w:r>
      <w:r>
        <w:rPr>
          <w:rFonts w:hint="eastAsia" w:ascii="宋体" w:hAnsi="宋体" w:eastAsia="宋体" w:cs="宋体"/>
          <w:b w:val="0"/>
          <w:bCs w:val="0"/>
          <w:snapToGrid/>
          <w:color w:val="auto"/>
          <w:kern w:val="2"/>
          <w:sz w:val="22"/>
          <w:szCs w:val="22"/>
          <w:highlight w:val="none"/>
          <w:lang w:val="en-US" w:eastAsia="en-US"/>
        </w:rPr>
        <w:t>进行验收</w:t>
      </w:r>
      <w:r>
        <w:rPr>
          <w:rFonts w:hint="eastAsia" w:ascii="宋体" w:hAnsi="宋体" w:eastAsia="宋体" w:cs="宋体"/>
          <w:b w:val="0"/>
          <w:bCs w:val="0"/>
          <w:snapToGrid/>
          <w:color w:val="auto"/>
          <w:kern w:val="2"/>
          <w:sz w:val="22"/>
          <w:szCs w:val="22"/>
          <w:highlight w:val="none"/>
          <w:lang w:val="en-US" w:eastAsia="zh-CN"/>
        </w:rPr>
        <w:t>。</w:t>
      </w:r>
      <w:r>
        <w:rPr>
          <w:rFonts w:hint="eastAsia" w:ascii="宋体" w:hAnsi="宋体" w:eastAsia="宋体" w:cs="宋体"/>
          <w:b w:val="0"/>
          <w:bCs w:val="0"/>
          <w:snapToGrid/>
          <w:color w:val="auto"/>
          <w:kern w:val="2"/>
          <w:sz w:val="22"/>
          <w:szCs w:val="22"/>
          <w:highlight w:val="none"/>
          <w:lang w:val="en-US" w:eastAsia="en-US"/>
        </w:rPr>
        <w:t>验收合格的，以验收当天为完成供货日期，并办理签收手续；不合格的，由成交人无条件更换直至合格，</w:t>
      </w:r>
      <w:r>
        <w:rPr>
          <w:rFonts w:hint="eastAsia" w:ascii="宋体" w:hAnsi="宋体" w:eastAsia="宋体" w:cs="宋体"/>
          <w:b w:val="0"/>
          <w:bCs w:val="0"/>
          <w:snapToGrid/>
          <w:color w:val="auto"/>
          <w:kern w:val="2"/>
          <w:sz w:val="22"/>
          <w:szCs w:val="22"/>
          <w:highlight w:val="none"/>
          <w:lang w:val="en-US" w:eastAsia="zh-CN"/>
        </w:rPr>
        <w:t>由此</w:t>
      </w:r>
      <w:r>
        <w:rPr>
          <w:rFonts w:hint="eastAsia" w:ascii="宋体" w:hAnsi="宋体" w:eastAsia="宋体" w:cs="宋体"/>
          <w:b w:val="0"/>
          <w:bCs w:val="0"/>
          <w:snapToGrid/>
          <w:color w:val="auto"/>
          <w:kern w:val="2"/>
          <w:sz w:val="22"/>
          <w:szCs w:val="22"/>
          <w:highlight w:val="none"/>
          <w:lang w:val="en-US" w:eastAsia="en-US"/>
        </w:rPr>
        <w:t>造成的损失由成交人承担，</w:t>
      </w:r>
      <w:r>
        <w:rPr>
          <w:rFonts w:hint="eastAsia" w:ascii="宋体" w:hAnsi="宋体" w:eastAsia="宋体" w:cs="宋体"/>
          <w:b w:val="0"/>
          <w:bCs w:val="0"/>
          <w:snapToGrid/>
          <w:color w:val="auto"/>
          <w:kern w:val="2"/>
          <w:sz w:val="22"/>
          <w:szCs w:val="22"/>
          <w:highlight w:val="none"/>
          <w:lang w:val="en-US" w:eastAsia="zh-CN"/>
        </w:rPr>
        <w:t>如未按</w:t>
      </w:r>
      <w:r>
        <w:rPr>
          <w:rFonts w:hint="eastAsia" w:ascii="宋体" w:hAnsi="宋体" w:eastAsia="宋体" w:cs="宋体"/>
          <w:b w:val="0"/>
          <w:bCs w:val="0"/>
          <w:snapToGrid/>
          <w:color w:val="auto"/>
          <w:kern w:val="2"/>
          <w:sz w:val="22"/>
          <w:szCs w:val="22"/>
          <w:highlight w:val="none"/>
          <w:lang w:val="en-US" w:eastAsia="en-US"/>
        </w:rPr>
        <w:t>采购人</w:t>
      </w:r>
      <w:r>
        <w:rPr>
          <w:rFonts w:hint="eastAsia" w:ascii="宋体" w:hAnsi="宋体" w:eastAsia="宋体" w:cs="宋体"/>
          <w:b w:val="0"/>
          <w:bCs w:val="0"/>
          <w:snapToGrid/>
          <w:color w:val="auto"/>
          <w:kern w:val="2"/>
          <w:sz w:val="22"/>
          <w:szCs w:val="22"/>
          <w:highlight w:val="none"/>
          <w:lang w:val="en-US" w:eastAsia="zh-CN"/>
        </w:rPr>
        <w:t>要求进行整改，采购人</w:t>
      </w:r>
      <w:r>
        <w:rPr>
          <w:rFonts w:hint="eastAsia" w:ascii="宋体" w:hAnsi="宋体" w:eastAsia="宋体" w:cs="宋体"/>
          <w:b w:val="0"/>
          <w:bCs w:val="0"/>
          <w:snapToGrid/>
          <w:color w:val="auto"/>
          <w:kern w:val="2"/>
          <w:sz w:val="22"/>
          <w:szCs w:val="22"/>
          <w:highlight w:val="none"/>
          <w:lang w:val="en-US" w:eastAsia="en-US"/>
        </w:rPr>
        <w:t>有权拒绝接收，并拒绝付款。</w:t>
      </w:r>
    </w:p>
    <w:p w14:paraId="093535EC">
      <w:pPr>
        <w:widowControl/>
        <w:kinsoku w:val="0"/>
        <w:autoSpaceDE w:val="0"/>
        <w:autoSpaceDN w:val="0"/>
        <w:adjustRightInd w:val="0"/>
        <w:snapToGrid w:val="0"/>
        <w:spacing w:before="19" w:line="213" w:lineRule="auto"/>
        <w:jc w:val="left"/>
        <w:textAlignment w:val="baseline"/>
        <w:rPr>
          <w:rFonts w:hint="eastAsia" w:ascii="楷体" w:hAnsi="楷体" w:eastAsia="楷体" w:cs="楷体"/>
          <w:b/>
          <w:bCs/>
          <w:snapToGrid w:val="0"/>
          <w:color w:val="auto"/>
          <w:spacing w:val="-4"/>
          <w:kern w:val="0"/>
          <w:sz w:val="28"/>
          <w:szCs w:val="28"/>
          <w:highlight w:val="none"/>
          <w:lang w:val="en-US" w:eastAsia="zh-CN" w:bidi="ar-SA"/>
        </w:rPr>
      </w:pPr>
      <w:r>
        <w:rPr>
          <w:rFonts w:hint="eastAsia" w:ascii="楷体" w:hAnsi="楷体" w:eastAsia="楷体" w:cs="楷体"/>
          <w:b/>
          <w:bCs/>
          <w:snapToGrid w:val="0"/>
          <w:color w:val="auto"/>
          <w:spacing w:val="-4"/>
          <w:kern w:val="0"/>
          <w:sz w:val="28"/>
          <w:szCs w:val="28"/>
          <w:highlight w:val="none"/>
          <w:lang w:val="en-US" w:eastAsia="zh-CN" w:bidi="ar-SA"/>
        </w:rPr>
        <w:t>六、售后服务</w:t>
      </w:r>
    </w:p>
    <w:p w14:paraId="2EF8A19B">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both"/>
        <w:textAlignment w:val="auto"/>
        <w:rPr>
          <w:rFonts w:hint="eastAsia" w:ascii="宋体" w:hAnsi="宋体" w:eastAsia="宋体" w:cs="宋体"/>
          <w:b w:val="0"/>
          <w:bCs w:val="0"/>
          <w:snapToGrid/>
          <w:color w:val="auto"/>
          <w:kern w:val="2"/>
          <w:sz w:val="22"/>
          <w:szCs w:val="22"/>
          <w:highlight w:val="none"/>
          <w:lang w:val="en-US" w:eastAsia="en-US"/>
        </w:rPr>
      </w:pPr>
      <w:r>
        <w:rPr>
          <w:rFonts w:hint="eastAsia" w:ascii="宋体" w:hAnsi="宋体" w:eastAsia="宋体" w:cs="宋体"/>
          <w:b w:val="0"/>
          <w:bCs w:val="0"/>
          <w:snapToGrid/>
          <w:color w:val="auto"/>
          <w:kern w:val="2"/>
          <w:sz w:val="22"/>
          <w:szCs w:val="22"/>
          <w:highlight w:val="none"/>
          <w:lang w:val="en-US" w:eastAsia="en-US"/>
        </w:rPr>
        <w:t>1.质保期按国家相关规定执行（如没有国家标准，按行业标准质保）。</w:t>
      </w:r>
    </w:p>
    <w:p w14:paraId="11FE26AA">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both"/>
        <w:textAlignment w:val="auto"/>
        <w:rPr>
          <w:rFonts w:hint="eastAsia" w:ascii="宋体" w:hAnsi="宋体" w:eastAsia="宋体" w:cs="宋体"/>
          <w:b w:val="0"/>
          <w:bCs w:val="0"/>
          <w:snapToGrid/>
          <w:color w:val="auto"/>
          <w:kern w:val="2"/>
          <w:sz w:val="22"/>
          <w:szCs w:val="22"/>
          <w:highlight w:val="none"/>
          <w:lang w:val="en-US" w:eastAsia="en-US"/>
        </w:rPr>
      </w:pPr>
      <w:r>
        <w:rPr>
          <w:rFonts w:hint="eastAsia" w:ascii="宋体" w:hAnsi="宋体" w:eastAsia="宋体" w:cs="宋体"/>
          <w:b w:val="0"/>
          <w:bCs w:val="0"/>
          <w:snapToGrid/>
          <w:color w:val="auto"/>
          <w:kern w:val="2"/>
          <w:sz w:val="22"/>
          <w:szCs w:val="22"/>
          <w:highlight w:val="none"/>
          <w:lang w:val="en-US" w:eastAsia="zh-CN"/>
        </w:rPr>
        <w:t>2</w:t>
      </w:r>
      <w:r>
        <w:rPr>
          <w:rFonts w:hint="eastAsia" w:ascii="宋体" w:hAnsi="宋体" w:eastAsia="宋体" w:cs="宋体"/>
          <w:b w:val="0"/>
          <w:bCs w:val="0"/>
          <w:snapToGrid/>
          <w:color w:val="auto"/>
          <w:kern w:val="2"/>
          <w:sz w:val="22"/>
          <w:szCs w:val="22"/>
          <w:highlight w:val="none"/>
          <w:lang w:val="en-US" w:eastAsia="en-US"/>
        </w:rPr>
        <w:t>.提供 7×24小时的售后服务受理，售后服务机构的名称、联系方法等应在响应文件中注明，若种子出现质量问题，</w:t>
      </w:r>
      <w:r>
        <w:rPr>
          <w:rFonts w:hint="eastAsia" w:ascii="宋体" w:hAnsi="宋体" w:eastAsia="宋体" w:cs="宋体"/>
          <w:b w:val="0"/>
          <w:bCs w:val="0"/>
          <w:snapToGrid/>
          <w:color w:val="auto"/>
          <w:kern w:val="2"/>
          <w:sz w:val="22"/>
          <w:szCs w:val="22"/>
          <w:highlight w:val="none"/>
          <w:u w:val="single"/>
          <w:lang w:val="en-US" w:eastAsia="zh-CN"/>
        </w:rPr>
        <w:t>2</w:t>
      </w:r>
      <w:r>
        <w:rPr>
          <w:rFonts w:hint="eastAsia" w:ascii="宋体" w:hAnsi="宋体" w:eastAsia="宋体" w:cs="宋体"/>
          <w:b w:val="0"/>
          <w:bCs w:val="0"/>
          <w:snapToGrid/>
          <w:color w:val="auto"/>
          <w:kern w:val="2"/>
          <w:sz w:val="22"/>
          <w:szCs w:val="22"/>
          <w:highlight w:val="none"/>
          <w:u w:val="single"/>
          <w:lang w:val="en-US" w:eastAsia="en-US"/>
        </w:rPr>
        <w:t xml:space="preserve"> 日</w:t>
      </w:r>
      <w:r>
        <w:rPr>
          <w:rFonts w:hint="eastAsia" w:ascii="宋体" w:hAnsi="宋体" w:eastAsia="宋体" w:cs="宋体"/>
          <w:b w:val="0"/>
          <w:bCs w:val="0"/>
          <w:snapToGrid/>
          <w:color w:val="auto"/>
          <w:kern w:val="2"/>
          <w:sz w:val="22"/>
          <w:szCs w:val="22"/>
          <w:highlight w:val="none"/>
          <w:lang w:val="en-US" w:eastAsia="en-US"/>
        </w:rPr>
        <w:t>内必须到现场进行处理并解决。</w:t>
      </w:r>
    </w:p>
    <w:p w14:paraId="26CE1A82">
      <w:pPr>
        <w:widowControl/>
        <w:kinsoku w:val="0"/>
        <w:autoSpaceDE w:val="0"/>
        <w:autoSpaceDN w:val="0"/>
        <w:adjustRightInd w:val="0"/>
        <w:snapToGrid w:val="0"/>
        <w:spacing w:before="19" w:line="213" w:lineRule="auto"/>
        <w:jc w:val="left"/>
        <w:textAlignment w:val="baseline"/>
        <w:rPr>
          <w:rFonts w:hint="eastAsia" w:ascii="楷体" w:hAnsi="楷体" w:eastAsia="楷体" w:cs="楷体"/>
          <w:b/>
          <w:bCs/>
          <w:snapToGrid w:val="0"/>
          <w:color w:val="auto"/>
          <w:spacing w:val="-4"/>
          <w:kern w:val="0"/>
          <w:sz w:val="28"/>
          <w:szCs w:val="28"/>
          <w:highlight w:val="none"/>
          <w:lang w:val="en-US" w:eastAsia="zh-CN" w:bidi="ar-SA"/>
        </w:rPr>
      </w:pPr>
      <w:r>
        <w:rPr>
          <w:rFonts w:hint="eastAsia" w:ascii="楷体" w:hAnsi="楷体" w:eastAsia="楷体" w:cs="楷体"/>
          <w:b/>
          <w:bCs/>
          <w:snapToGrid w:val="0"/>
          <w:color w:val="auto"/>
          <w:spacing w:val="-4"/>
          <w:kern w:val="0"/>
          <w:sz w:val="28"/>
          <w:szCs w:val="28"/>
          <w:highlight w:val="none"/>
          <w:lang w:val="en-US" w:eastAsia="zh-CN" w:bidi="ar-SA"/>
        </w:rPr>
        <w:t>七、其他事项：</w:t>
      </w:r>
    </w:p>
    <w:p w14:paraId="1E54F27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宋体" w:hAnsi="宋体" w:eastAsia="宋体" w:cs="宋体"/>
          <w:b w:val="0"/>
          <w:bCs w:val="0"/>
          <w:snapToGrid/>
          <w:color w:val="auto"/>
          <w:kern w:val="2"/>
          <w:sz w:val="22"/>
          <w:szCs w:val="22"/>
          <w:highlight w:val="none"/>
          <w:lang w:val="en-US" w:eastAsia="zh-CN"/>
        </w:rPr>
      </w:pPr>
      <w:r>
        <w:rPr>
          <w:rFonts w:hint="eastAsia" w:ascii="宋体" w:hAnsi="宋体" w:eastAsia="宋体" w:cs="宋体"/>
          <w:b w:val="0"/>
          <w:bCs w:val="0"/>
          <w:snapToGrid/>
          <w:color w:val="auto"/>
          <w:kern w:val="2"/>
          <w:sz w:val="22"/>
          <w:szCs w:val="22"/>
          <w:highlight w:val="none"/>
          <w:lang w:eastAsia="zh-CN"/>
        </w:rPr>
        <w:t>　　</w:t>
      </w:r>
      <w:r>
        <w:rPr>
          <w:rFonts w:hint="eastAsia" w:ascii="宋体" w:hAnsi="宋体" w:eastAsia="宋体" w:cs="宋体"/>
          <w:b w:val="0"/>
          <w:bCs w:val="0"/>
          <w:snapToGrid/>
          <w:color w:val="auto"/>
          <w:kern w:val="2"/>
          <w:sz w:val="22"/>
          <w:szCs w:val="22"/>
          <w:highlight w:val="none"/>
          <w:lang w:val="en-US" w:eastAsia="zh-CN"/>
        </w:rPr>
        <w:t>1.付款方式：合同中约定。</w:t>
      </w:r>
    </w:p>
    <w:p w14:paraId="3C577CEB">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val="0"/>
          <w:snapToGrid w:val="0"/>
          <w:color w:val="000000"/>
          <w:kern w:val="0"/>
          <w:sz w:val="21"/>
          <w:szCs w:val="21"/>
          <w:lang w:val="en-US" w:eastAsia="zh-CN"/>
        </w:rPr>
      </w:pPr>
      <w:r>
        <w:rPr>
          <w:rFonts w:hint="eastAsia" w:ascii="宋体" w:hAnsi="宋体" w:eastAsia="宋体" w:cs="宋体"/>
          <w:b w:val="0"/>
          <w:bCs w:val="0"/>
          <w:snapToGrid w:val="0"/>
          <w:color w:val="000000"/>
          <w:kern w:val="0"/>
          <w:sz w:val="21"/>
          <w:szCs w:val="21"/>
          <w:lang w:val="en-US" w:eastAsia="zh-CN"/>
        </w:rPr>
        <w:t>2、所供货物必须是完整、原装、未过期的正规合格产品，符合国家检测标准及货物出厂标准。 在规定的保质期内，供货方对由于工艺或材料缺陷等质量问题导致作物受害承担赔偿责任。</w:t>
      </w:r>
    </w:p>
    <w:p w14:paraId="0109ED71">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val="0"/>
          <w:snapToGrid w:val="0"/>
          <w:color w:val="000000"/>
          <w:kern w:val="0"/>
          <w:sz w:val="21"/>
          <w:szCs w:val="21"/>
          <w:lang w:val="en-US" w:eastAsia="zh-CN"/>
        </w:rPr>
      </w:pPr>
      <w:r>
        <w:rPr>
          <w:rFonts w:hint="eastAsia" w:ascii="宋体" w:hAnsi="宋体" w:eastAsia="宋体" w:cs="宋体"/>
          <w:b w:val="0"/>
          <w:bCs w:val="0"/>
          <w:snapToGrid w:val="0"/>
          <w:color w:val="000000"/>
          <w:kern w:val="0"/>
          <w:sz w:val="21"/>
          <w:szCs w:val="21"/>
          <w:lang w:val="en-US" w:eastAsia="zh-CN"/>
        </w:rPr>
        <w:t>3、供应商除提供货物外，必须提出详细的、操作性强的技术服务到农户到田的方案。即对所用货物的使用人员提供售后服务，并进行宣传和技术培训，主要包括产品贮存与使用方法等方面培训。</w:t>
      </w:r>
    </w:p>
    <w:p w14:paraId="3EAE4E70">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both"/>
        <w:textAlignment w:val="auto"/>
        <w:rPr>
          <w:rFonts w:hint="eastAsia" w:ascii="宋体" w:hAnsi="宋体" w:eastAsia="宋体" w:cs="宋体"/>
          <w:b w:val="0"/>
          <w:bCs w:val="0"/>
          <w:snapToGrid/>
          <w:color w:val="auto"/>
          <w:kern w:val="2"/>
          <w:sz w:val="22"/>
          <w:szCs w:val="22"/>
          <w:highlight w:val="none"/>
          <w:lang w:val="en-US" w:eastAsia="zh-CN"/>
        </w:rPr>
      </w:pPr>
      <w:r>
        <w:rPr>
          <w:rFonts w:hint="eastAsia" w:ascii="宋体" w:hAnsi="宋体" w:eastAsia="宋体" w:cs="宋体"/>
          <w:b w:val="0"/>
          <w:bCs w:val="0"/>
          <w:snapToGrid/>
          <w:color w:val="auto"/>
          <w:kern w:val="2"/>
          <w:sz w:val="22"/>
          <w:szCs w:val="22"/>
          <w:highlight w:val="none"/>
          <w:lang w:val="en-US" w:eastAsia="zh-CN"/>
        </w:rPr>
        <w:t>5.所供种子需通过植物检疫，投标人投标时需提供产地检疫证书，成交人供货时需提供调运检疫证书。</w:t>
      </w:r>
    </w:p>
    <w:p w14:paraId="00D86129">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both"/>
        <w:textAlignment w:val="auto"/>
        <w:rPr>
          <w:rFonts w:hint="eastAsia" w:ascii="宋体" w:hAnsi="宋体" w:eastAsia="宋体" w:cs="宋体"/>
          <w:b w:val="0"/>
          <w:bCs w:val="0"/>
          <w:snapToGrid/>
          <w:color w:val="auto"/>
          <w:kern w:val="2"/>
          <w:sz w:val="22"/>
          <w:szCs w:val="22"/>
          <w:highlight w:val="none"/>
          <w:lang w:val="en-US" w:eastAsia="zh-CN"/>
        </w:rPr>
      </w:pPr>
      <w:r>
        <w:rPr>
          <w:rFonts w:hint="eastAsia" w:ascii="宋体" w:hAnsi="宋体" w:eastAsia="宋体" w:cs="宋体"/>
          <w:b w:val="0"/>
          <w:bCs w:val="0"/>
          <w:snapToGrid/>
          <w:color w:val="auto"/>
          <w:kern w:val="2"/>
          <w:sz w:val="22"/>
          <w:szCs w:val="22"/>
          <w:highlight w:val="none"/>
          <w:lang w:val="en-US" w:eastAsia="zh-CN"/>
        </w:rPr>
        <w:t>6.报价含产品配送到指定地点的运输费、装卸费和包装费等所有可能产生的费用。</w:t>
      </w:r>
    </w:p>
    <w:p w14:paraId="200CB45A">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both"/>
        <w:textAlignment w:val="auto"/>
        <w:rPr>
          <w:rFonts w:hint="eastAsia" w:ascii="宋体" w:hAnsi="宋体" w:eastAsia="宋体" w:cs="宋体"/>
          <w:b w:val="0"/>
          <w:bCs w:val="0"/>
          <w:snapToGrid/>
          <w:color w:val="auto"/>
          <w:kern w:val="2"/>
          <w:sz w:val="22"/>
          <w:szCs w:val="22"/>
          <w:highlight w:val="none"/>
          <w:lang w:val="en-US" w:eastAsia="zh-CN"/>
        </w:rPr>
      </w:pPr>
      <w:r>
        <w:rPr>
          <w:rFonts w:hint="eastAsia" w:ascii="宋体" w:hAnsi="宋体" w:eastAsia="宋体" w:cs="宋体"/>
          <w:b w:val="0"/>
          <w:bCs w:val="0"/>
          <w:snapToGrid/>
          <w:color w:val="auto"/>
          <w:kern w:val="2"/>
          <w:sz w:val="22"/>
          <w:szCs w:val="22"/>
          <w:highlight w:val="none"/>
          <w:lang w:val="en-US" w:eastAsia="zh-CN"/>
        </w:rPr>
        <w:t>7.如因成交人产品质量、技术等原因造成农户减产，由成交人负责赔偿。</w:t>
      </w:r>
    </w:p>
    <w:p w14:paraId="3DD42E26">
      <w:pPr>
        <w:keepNext w:val="0"/>
        <w:keepLines w:val="0"/>
        <w:pageBreakBefore w:val="0"/>
        <w:widowControl w:val="0"/>
        <w:kinsoku/>
        <w:wordWrap/>
        <w:overflowPunct/>
        <w:topLinePunct w:val="0"/>
        <w:autoSpaceDE/>
        <w:autoSpaceDN/>
        <w:bidi w:val="0"/>
        <w:adjustRightInd/>
        <w:snapToGrid/>
        <w:spacing w:after="0" w:line="360" w:lineRule="auto"/>
        <w:ind w:left="0" w:leftChars="0" w:firstLine="422" w:firstLineChars="200"/>
        <w:jc w:val="left"/>
        <w:textAlignment w:val="auto"/>
        <w:rPr>
          <w:rFonts w:hint="eastAsia" w:ascii="仿宋" w:hAnsi="仿宋" w:eastAsia="仿宋" w:cs="宋体"/>
          <w:b/>
          <w:bCs/>
          <w:snapToGrid/>
          <w:color w:val="000000"/>
          <w:kern w:val="0"/>
          <w:sz w:val="24"/>
          <w:szCs w:val="24"/>
          <w:highlight w:val="none"/>
          <w:lang w:val="en-US" w:eastAsia="zh-CN" w:bidi="ar-SA"/>
        </w:rPr>
      </w:pPr>
      <w:r>
        <w:rPr>
          <w:rFonts w:hint="eastAsia" w:ascii="宋体" w:hAnsi="宋体" w:eastAsia="宋体" w:cs="宋体"/>
          <w:b/>
          <w:bCs/>
          <w:snapToGrid w:val="0"/>
          <w:color w:val="000000"/>
          <w:kern w:val="0"/>
          <w:sz w:val="21"/>
          <w:szCs w:val="21"/>
          <w:lang w:val="en-US" w:eastAsia="zh-CN"/>
        </w:rPr>
        <w:t>八</w:t>
      </w:r>
      <w:r>
        <w:rPr>
          <w:rFonts w:hint="eastAsia" w:ascii="宋体" w:hAnsi="宋体" w:eastAsia="宋体" w:cs="宋体"/>
          <w:b/>
          <w:bCs/>
          <w:snapToGrid w:val="0"/>
          <w:color w:val="000000"/>
          <w:kern w:val="0"/>
          <w:sz w:val="21"/>
          <w:szCs w:val="21"/>
          <w:lang w:eastAsia="zh-CN"/>
        </w:rPr>
        <w:t>、</w:t>
      </w:r>
      <w:r>
        <w:rPr>
          <w:rFonts w:hint="eastAsia" w:ascii="宋体" w:hAnsi="宋体" w:eastAsia="宋体" w:cs="宋体"/>
          <w:b/>
          <w:bCs/>
          <w:snapToGrid/>
          <w:color w:val="000000"/>
          <w:kern w:val="2"/>
          <w:sz w:val="22"/>
          <w:szCs w:val="22"/>
          <w:lang w:eastAsia="zh-CN"/>
        </w:rPr>
        <w:t>其它需要说明的事项</w:t>
      </w:r>
      <w:r>
        <w:rPr>
          <w:rFonts w:hint="eastAsia" w:ascii="宋体" w:hAnsi="宋体" w:eastAsia="宋体" w:cs="宋体"/>
          <w:b w:val="0"/>
          <w:bCs w:val="0"/>
          <w:snapToGrid w:val="0"/>
          <w:color w:val="000000"/>
          <w:kern w:val="0"/>
          <w:sz w:val="21"/>
          <w:szCs w:val="21"/>
          <w:lang w:eastAsia="zh-CN"/>
        </w:rPr>
        <w:t>：其它未尽事宜以政府采购合同协议书为准并按国家相关法律及行业标准执行。对于上述项目要求，</w:t>
      </w:r>
      <w:r>
        <w:rPr>
          <w:rFonts w:hint="eastAsia" w:ascii="宋体" w:hAnsi="宋体" w:eastAsia="宋体" w:cs="宋体"/>
          <w:b w:val="0"/>
          <w:bCs w:val="0"/>
          <w:snapToGrid w:val="0"/>
          <w:color w:val="000000"/>
          <w:kern w:val="0"/>
          <w:sz w:val="21"/>
          <w:szCs w:val="21"/>
          <w:lang w:val="en-US" w:eastAsia="zh-CN"/>
        </w:rPr>
        <w:t>供应商应在响应文件中进行实质性响应，提供相关资料并作出承诺，否则为无效投标。</w:t>
      </w:r>
    </w:p>
    <w:p w14:paraId="4F3B5C6D">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6E295F"/>
    <w:rsid w:val="736E29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customStyle="1" w:styleId="4">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2026-09-03T02:27:00Z</dcterms:created>
  <dc:creator>上善若水</dc:creator>
  <cp:lastModifiedBy>上善若水</cp:lastModifiedBy>
  <dcterms:modified xsi:type="dcterms:W3CDTF">2026-09-03T02:27:46Z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30AA1A05F3FA49E9BF7FB52D952188C4_11</vt:lpwstr>
  </property>
  <property fmtid="{D5CDD505-2E9C-101B-9397-08002B2CF9AE}" pid="4" name="KSOTemplateDocerSaveRecord">
    <vt:lpwstr>eyJoZGlkIjoiMDNkYzNiNDExOWVmNTY0NjVlZmMwNTQwNWEyZjVjN2YiLCJ1c2VySWQiOiI1ODE5MzA2MTcifQ==</vt:lpwstr>
  </property>
</Properties>
</file>