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3AFDA">
      <w:pPr>
        <w:pStyle w:val="2"/>
        <w:spacing w:before="120" w:after="120"/>
      </w:pPr>
      <w:bookmarkStart w:id="4" w:name="_GoBack"/>
      <w:bookmarkEnd w:id="4"/>
      <w:bookmarkStart w:id="0" w:name="_Toc178338855"/>
      <w:bookmarkStart w:id="1" w:name="_Toc256000013"/>
      <w:r>
        <w:rPr>
          <w:rFonts w:hint="eastAsia"/>
          <w:highlight w:val="white"/>
        </w:rPr>
        <w:t>采购内容与要求</w:t>
      </w:r>
      <w:bookmarkEnd w:id="0"/>
      <w:bookmarkEnd w:id="1"/>
    </w:p>
    <w:p w14:paraId="3BFEB193">
      <w:pPr>
        <w:rPr>
          <w:highlight w:val="red"/>
        </w:rPr>
      </w:pPr>
    </w:p>
    <w:p w14:paraId="48F39E4F">
      <w:pPr>
        <w:pageBreakBefore w:val="0"/>
        <w:kinsoku/>
        <w:wordWrap/>
        <w:overflowPunct/>
        <w:topLinePunct w:val="0"/>
        <w:bidi w:val="0"/>
        <w:adjustRightInd w:val="0"/>
        <w:snapToGrid w:val="0"/>
        <w:spacing w:before="120" w:beforeLines="50" w:after="120" w:afterLines="50" w:line="500" w:lineRule="exact"/>
        <w:jc w:val="center"/>
        <w:textAlignment w:val="auto"/>
        <w:outlineLvl w:val="9"/>
        <w:rPr>
          <w:color w:val="auto"/>
          <w:sz w:val="28"/>
          <w:szCs w:val="28"/>
          <w:highlight w:val="none"/>
        </w:rPr>
      </w:pPr>
      <w:r>
        <w:rPr>
          <w:rFonts w:hint="eastAsia" w:ascii="黑体" w:hAnsi="黑体" w:eastAsia="黑体"/>
          <w:color w:val="auto"/>
          <w:sz w:val="28"/>
          <w:szCs w:val="28"/>
          <w:highlight w:val="none"/>
          <w:lang w:eastAsia="zh-CN"/>
        </w:rPr>
        <w:t>第一节</w:t>
      </w:r>
      <w:r>
        <w:rPr>
          <w:rFonts w:hint="eastAsia" w:ascii="黑体" w:hAnsi="黑体" w:eastAsia="黑体"/>
          <w:color w:val="auto"/>
          <w:sz w:val="28"/>
          <w:szCs w:val="28"/>
          <w:highlight w:val="none"/>
          <w:lang w:val="en-US" w:eastAsia="zh-CN"/>
        </w:rPr>
        <w:t xml:space="preserve">   </w:t>
      </w:r>
      <w:r>
        <w:rPr>
          <w:rFonts w:hint="eastAsia" w:ascii="黑体" w:hAnsi="黑体" w:eastAsia="黑体"/>
          <w:color w:val="auto"/>
          <w:sz w:val="28"/>
          <w:szCs w:val="28"/>
          <w:highlight w:val="none"/>
        </w:rPr>
        <w:t>采购清单一览表</w:t>
      </w:r>
    </w:p>
    <w:tbl>
      <w:tblPr>
        <w:tblStyle w:val="4"/>
        <w:tblW w:w="1032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47"/>
        <w:gridCol w:w="1568"/>
        <w:gridCol w:w="1417"/>
        <w:gridCol w:w="1100"/>
        <w:gridCol w:w="1200"/>
        <w:gridCol w:w="1599"/>
        <w:gridCol w:w="1801"/>
        <w:gridCol w:w="894"/>
      </w:tblGrid>
      <w:tr w14:paraId="569326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jc w:val="center"/>
        </w:trPr>
        <w:tc>
          <w:tcPr>
            <w:tcW w:w="747" w:type="dxa"/>
            <w:vMerge w:val="restart"/>
            <w:noWrap w:val="0"/>
            <w:vAlign w:val="center"/>
          </w:tcPr>
          <w:p w14:paraId="1DEC9DC9">
            <w:pPr>
              <w:pageBreakBefore w:val="0"/>
              <w:kinsoku/>
              <w:wordWrap/>
              <w:overflowPunct/>
              <w:topLinePunct w:val="0"/>
              <w:bidi w:val="0"/>
              <w:adjustRightInd w:val="0"/>
              <w:snapToGrid w:val="0"/>
              <w:spacing w:line="5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包号 </w:t>
            </w:r>
          </w:p>
        </w:tc>
        <w:tc>
          <w:tcPr>
            <w:tcW w:w="1568" w:type="dxa"/>
            <w:vMerge w:val="restart"/>
            <w:noWrap w:val="0"/>
            <w:vAlign w:val="center"/>
          </w:tcPr>
          <w:p w14:paraId="608ED9B6">
            <w:pPr>
              <w:pageBreakBefore w:val="0"/>
              <w:kinsoku/>
              <w:wordWrap/>
              <w:overflowPunct/>
              <w:topLinePunct w:val="0"/>
              <w:bidi w:val="0"/>
              <w:adjustRightInd w:val="0"/>
              <w:snapToGrid w:val="0"/>
              <w:spacing w:line="5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包名称</w:t>
            </w:r>
          </w:p>
        </w:tc>
        <w:tc>
          <w:tcPr>
            <w:tcW w:w="1417" w:type="dxa"/>
            <w:vMerge w:val="restart"/>
            <w:noWrap w:val="0"/>
            <w:vAlign w:val="center"/>
          </w:tcPr>
          <w:p w14:paraId="050941EF">
            <w:pPr>
              <w:pageBreakBefore w:val="0"/>
              <w:kinsoku/>
              <w:wordWrap/>
              <w:overflowPunct/>
              <w:topLinePunct w:val="0"/>
              <w:bidi w:val="0"/>
              <w:adjustRightInd w:val="0"/>
              <w:snapToGrid w:val="0"/>
              <w:spacing w:line="50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品目分类</w:t>
            </w:r>
          </w:p>
        </w:tc>
        <w:tc>
          <w:tcPr>
            <w:tcW w:w="1100" w:type="dxa"/>
            <w:vMerge w:val="restart"/>
            <w:tcBorders>
              <w:left w:val="single" w:color="auto" w:sz="4" w:space="0"/>
            </w:tcBorders>
            <w:noWrap w:val="0"/>
            <w:vAlign w:val="center"/>
          </w:tcPr>
          <w:p w14:paraId="0E5B92C5">
            <w:pPr>
              <w:pageBreakBefore w:val="0"/>
              <w:kinsoku/>
              <w:wordWrap/>
              <w:overflowPunct/>
              <w:topLinePunct w:val="0"/>
              <w:bidi w:val="0"/>
              <w:adjustRightInd w:val="0"/>
              <w:snapToGrid w:val="0"/>
              <w:spacing w:line="500" w:lineRule="exact"/>
              <w:jc w:val="center"/>
              <w:textAlignment w:val="auto"/>
              <w:rPr>
                <w:rFonts w:hint="eastAsia" w:ascii="宋体" w:hAnsi="宋体" w:cs="宋体"/>
                <w:color w:val="auto"/>
                <w:sz w:val="24"/>
                <w:highlight w:val="none"/>
              </w:rPr>
            </w:pPr>
            <w:r>
              <w:rPr>
                <w:rFonts w:hint="eastAsia" w:ascii="宋体" w:hAnsi="宋体" w:cs="宋体"/>
                <w:color w:val="auto"/>
                <w:kern w:val="0"/>
                <w:sz w:val="24"/>
                <w:highlight w:val="none"/>
              </w:rPr>
              <w:t>是否接受进口设备</w:t>
            </w:r>
          </w:p>
        </w:tc>
        <w:tc>
          <w:tcPr>
            <w:tcW w:w="1200" w:type="dxa"/>
            <w:vMerge w:val="restart"/>
            <w:noWrap w:val="0"/>
            <w:vAlign w:val="center"/>
          </w:tcPr>
          <w:p w14:paraId="17400CC6">
            <w:pPr>
              <w:pageBreakBefore w:val="0"/>
              <w:kinsoku/>
              <w:wordWrap/>
              <w:overflowPunct/>
              <w:topLinePunct w:val="0"/>
              <w:bidi w:val="0"/>
              <w:adjustRightInd w:val="0"/>
              <w:snapToGrid w:val="0"/>
              <w:spacing w:line="5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数量</w:t>
            </w:r>
          </w:p>
          <w:p w14:paraId="15DDFF76">
            <w:pPr>
              <w:pageBreakBefore w:val="0"/>
              <w:kinsoku/>
              <w:wordWrap/>
              <w:overflowPunct/>
              <w:topLinePunct w:val="0"/>
              <w:bidi w:val="0"/>
              <w:adjustRightInd w:val="0"/>
              <w:snapToGrid w:val="0"/>
              <w:spacing w:line="5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（单位）</w:t>
            </w:r>
          </w:p>
        </w:tc>
        <w:tc>
          <w:tcPr>
            <w:tcW w:w="3400" w:type="dxa"/>
            <w:gridSpan w:val="2"/>
            <w:noWrap w:val="0"/>
            <w:vAlign w:val="center"/>
          </w:tcPr>
          <w:p w14:paraId="308A0407">
            <w:pPr>
              <w:pageBreakBefore w:val="0"/>
              <w:kinsoku/>
              <w:wordWrap/>
              <w:overflowPunct/>
              <w:topLinePunct w:val="0"/>
              <w:bidi w:val="0"/>
              <w:adjustRightInd w:val="0"/>
              <w:snapToGrid w:val="0"/>
              <w:spacing w:line="500" w:lineRule="exact"/>
              <w:jc w:val="center"/>
              <w:textAlignment w:val="auto"/>
              <w:rPr>
                <w:rFonts w:hint="eastAsia" w:ascii="宋体" w:hAnsi="宋体" w:cs="宋体"/>
                <w:color w:val="auto"/>
                <w:sz w:val="24"/>
                <w:highlight w:val="none"/>
              </w:rPr>
            </w:pPr>
            <w:r>
              <w:rPr>
                <w:rFonts w:hint="eastAsia" w:ascii="宋体" w:hAnsi="宋体" w:cs="宋体"/>
                <w:color w:val="auto"/>
                <w:spacing w:val="30"/>
                <w:kern w:val="0"/>
                <w:sz w:val="24"/>
                <w:highlight w:val="none"/>
              </w:rPr>
              <w:t>服务要求</w:t>
            </w:r>
          </w:p>
        </w:tc>
        <w:tc>
          <w:tcPr>
            <w:tcW w:w="894" w:type="dxa"/>
            <w:vMerge w:val="restart"/>
            <w:noWrap w:val="0"/>
            <w:vAlign w:val="center"/>
          </w:tcPr>
          <w:p w14:paraId="0C1367C8">
            <w:pPr>
              <w:pageBreakBefore w:val="0"/>
              <w:kinsoku/>
              <w:wordWrap/>
              <w:overflowPunct/>
              <w:topLinePunct w:val="0"/>
              <w:bidi w:val="0"/>
              <w:adjustRightInd w:val="0"/>
              <w:snapToGrid w:val="0"/>
              <w:spacing w:line="5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备注</w:t>
            </w:r>
          </w:p>
        </w:tc>
      </w:tr>
      <w:tr w14:paraId="5A497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747" w:type="dxa"/>
            <w:vMerge w:val="continue"/>
            <w:noWrap w:val="0"/>
            <w:vAlign w:val="center"/>
          </w:tcPr>
          <w:p w14:paraId="270BB208">
            <w:pPr>
              <w:pageBreakBefore w:val="0"/>
              <w:kinsoku/>
              <w:wordWrap/>
              <w:overflowPunct/>
              <w:topLinePunct w:val="0"/>
              <w:bidi w:val="0"/>
              <w:adjustRightInd w:val="0"/>
              <w:snapToGrid w:val="0"/>
              <w:spacing w:before="120" w:beforeLines="50" w:line="500" w:lineRule="exact"/>
              <w:jc w:val="center"/>
              <w:textAlignment w:val="auto"/>
              <w:rPr>
                <w:rFonts w:hint="eastAsia" w:ascii="宋体" w:hAnsi="宋体" w:cs="宋体"/>
                <w:color w:val="auto"/>
                <w:sz w:val="24"/>
                <w:highlight w:val="none"/>
              </w:rPr>
            </w:pPr>
          </w:p>
        </w:tc>
        <w:tc>
          <w:tcPr>
            <w:tcW w:w="1568" w:type="dxa"/>
            <w:vMerge w:val="continue"/>
            <w:noWrap w:val="0"/>
            <w:vAlign w:val="center"/>
          </w:tcPr>
          <w:p w14:paraId="7ADE8991">
            <w:pPr>
              <w:pageBreakBefore w:val="0"/>
              <w:kinsoku/>
              <w:wordWrap/>
              <w:overflowPunct/>
              <w:topLinePunct w:val="0"/>
              <w:bidi w:val="0"/>
              <w:adjustRightInd w:val="0"/>
              <w:snapToGrid w:val="0"/>
              <w:spacing w:before="120" w:beforeLines="50" w:line="500" w:lineRule="exact"/>
              <w:jc w:val="center"/>
              <w:textAlignment w:val="auto"/>
              <w:rPr>
                <w:rFonts w:hint="eastAsia" w:ascii="宋体" w:hAnsi="宋体" w:cs="宋体"/>
                <w:color w:val="auto"/>
                <w:sz w:val="24"/>
                <w:highlight w:val="none"/>
              </w:rPr>
            </w:pPr>
          </w:p>
        </w:tc>
        <w:tc>
          <w:tcPr>
            <w:tcW w:w="1417" w:type="dxa"/>
            <w:vMerge w:val="continue"/>
            <w:noWrap w:val="0"/>
            <w:vAlign w:val="center"/>
          </w:tcPr>
          <w:p w14:paraId="1C84D9E3">
            <w:pPr>
              <w:pageBreakBefore w:val="0"/>
              <w:kinsoku/>
              <w:wordWrap/>
              <w:overflowPunct/>
              <w:topLinePunct w:val="0"/>
              <w:bidi w:val="0"/>
              <w:adjustRightInd w:val="0"/>
              <w:snapToGrid w:val="0"/>
              <w:spacing w:before="120" w:beforeLines="50" w:line="500" w:lineRule="exact"/>
              <w:jc w:val="center"/>
              <w:textAlignment w:val="auto"/>
              <w:rPr>
                <w:rFonts w:hint="eastAsia" w:ascii="宋体" w:hAnsi="宋体" w:cs="宋体"/>
                <w:color w:val="auto"/>
                <w:sz w:val="24"/>
                <w:highlight w:val="none"/>
              </w:rPr>
            </w:pPr>
          </w:p>
        </w:tc>
        <w:tc>
          <w:tcPr>
            <w:tcW w:w="1100" w:type="dxa"/>
            <w:vMerge w:val="continue"/>
            <w:tcBorders>
              <w:left w:val="single" w:color="auto" w:sz="4" w:space="0"/>
            </w:tcBorders>
            <w:noWrap w:val="0"/>
            <w:vAlign w:val="center"/>
          </w:tcPr>
          <w:p w14:paraId="259AE788">
            <w:pPr>
              <w:pageBreakBefore w:val="0"/>
              <w:kinsoku/>
              <w:wordWrap/>
              <w:overflowPunct/>
              <w:topLinePunct w:val="0"/>
              <w:bidi w:val="0"/>
              <w:adjustRightInd w:val="0"/>
              <w:snapToGrid w:val="0"/>
              <w:spacing w:before="120" w:beforeLines="50" w:line="500" w:lineRule="exact"/>
              <w:jc w:val="center"/>
              <w:textAlignment w:val="auto"/>
              <w:rPr>
                <w:rFonts w:hint="eastAsia" w:ascii="宋体" w:hAnsi="宋体" w:cs="宋体"/>
                <w:color w:val="auto"/>
                <w:sz w:val="24"/>
                <w:highlight w:val="none"/>
              </w:rPr>
            </w:pPr>
          </w:p>
        </w:tc>
        <w:tc>
          <w:tcPr>
            <w:tcW w:w="1200" w:type="dxa"/>
            <w:vMerge w:val="continue"/>
            <w:noWrap w:val="0"/>
            <w:vAlign w:val="center"/>
          </w:tcPr>
          <w:p w14:paraId="502E21CB">
            <w:pPr>
              <w:pageBreakBefore w:val="0"/>
              <w:kinsoku/>
              <w:wordWrap/>
              <w:overflowPunct/>
              <w:topLinePunct w:val="0"/>
              <w:bidi w:val="0"/>
              <w:adjustRightInd w:val="0"/>
              <w:snapToGrid w:val="0"/>
              <w:spacing w:before="120" w:beforeLines="50" w:line="500" w:lineRule="exact"/>
              <w:jc w:val="center"/>
              <w:textAlignment w:val="auto"/>
              <w:rPr>
                <w:rFonts w:hint="eastAsia" w:ascii="宋体" w:hAnsi="宋体" w:cs="宋体"/>
                <w:color w:val="auto"/>
                <w:sz w:val="24"/>
                <w:highlight w:val="none"/>
              </w:rPr>
            </w:pPr>
          </w:p>
        </w:tc>
        <w:tc>
          <w:tcPr>
            <w:tcW w:w="1599" w:type="dxa"/>
            <w:noWrap w:val="0"/>
            <w:vAlign w:val="center"/>
          </w:tcPr>
          <w:p w14:paraId="58FFCAD4">
            <w:pPr>
              <w:pageBreakBefore w:val="0"/>
              <w:kinsoku/>
              <w:wordWrap/>
              <w:overflowPunct/>
              <w:topLinePunct w:val="0"/>
              <w:bidi w:val="0"/>
              <w:adjustRightInd w:val="0"/>
              <w:snapToGrid w:val="0"/>
              <w:spacing w:before="120" w:beforeLines="50" w:line="5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时间</w:t>
            </w:r>
          </w:p>
        </w:tc>
        <w:tc>
          <w:tcPr>
            <w:tcW w:w="1801" w:type="dxa"/>
            <w:noWrap w:val="0"/>
            <w:vAlign w:val="center"/>
          </w:tcPr>
          <w:p w14:paraId="7AB22AF7">
            <w:pPr>
              <w:pageBreakBefore w:val="0"/>
              <w:kinsoku/>
              <w:wordWrap/>
              <w:overflowPunct/>
              <w:topLinePunct w:val="0"/>
              <w:bidi w:val="0"/>
              <w:adjustRightInd w:val="0"/>
              <w:snapToGrid w:val="0"/>
              <w:spacing w:before="120" w:beforeLines="50" w:line="5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地点</w:t>
            </w:r>
          </w:p>
        </w:tc>
        <w:tc>
          <w:tcPr>
            <w:tcW w:w="894" w:type="dxa"/>
            <w:vMerge w:val="continue"/>
            <w:noWrap w:val="0"/>
            <w:vAlign w:val="top"/>
          </w:tcPr>
          <w:p w14:paraId="20972B1F">
            <w:pPr>
              <w:pageBreakBefore w:val="0"/>
              <w:kinsoku/>
              <w:wordWrap/>
              <w:overflowPunct/>
              <w:topLinePunct w:val="0"/>
              <w:bidi w:val="0"/>
              <w:adjustRightInd w:val="0"/>
              <w:snapToGrid w:val="0"/>
              <w:spacing w:before="120" w:beforeLines="50" w:line="500" w:lineRule="exact"/>
              <w:textAlignment w:val="auto"/>
              <w:rPr>
                <w:rFonts w:hint="eastAsia" w:ascii="宋体" w:hAnsi="宋体" w:cs="宋体"/>
                <w:color w:val="auto"/>
                <w:sz w:val="24"/>
                <w:highlight w:val="none"/>
              </w:rPr>
            </w:pPr>
          </w:p>
        </w:tc>
      </w:tr>
      <w:tr w14:paraId="59746C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25" w:hRule="atLeast"/>
          <w:jc w:val="center"/>
        </w:trPr>
        <w:tc>
          <w:tcPr>
            <w:tcW w:w="747" w:type="dxa"/>
            <w:noWrap w:val="0"/>
            <w:vAlign w:val="center"/>
          </w:tcPr>
          <w:p w14:paraId="6C308331">
            <w:pPr>
              <w:pageBreakBefore w:val="0"/>
              <w:kinsoku/>
              <w:wordWrap/>
              <w:overflowPunct/>
              <w:topLinePunct w:val="0"/>
              <w:bidi w:val="0"/>
              <w:adjustRightInd w:val="0"/>
              <w:snapToGrid w:val="0"/>
              <w:spacing w:before="120" w:beforeLines="50" w:line="5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1</w:t>
            </w:r>
          </w:p>
        </w:tc>
        <w:tc>
          <w:tcPr>
            <w:tcW w:w="1568" w:type="dxa"/>
            <w:noWrap w:val="0"/>
            <w:vAlign w:val="center"/>
          </w:tcPr>
          <w:p w14:paraId="6082BEE2">
            <w:pPr>
              <w:pageBreakBefore w:val="0"/>
              <w:kinsoku/>
              <w:wordWrap/>
              <w:overflowPunct/>
              <w:topLinePunct w:val="0"/>
              <w:bidi w:val="0"/>
              <w:adjustRightInd w:val="0"/>
              <w:snapToGrid w:val="0"/>
              <w:spacing w:line="500" w:lineRule="exact"/>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2026至2028年校园安保服务</w:t>
            </w:r>
          </w:p>
        </w:tc>
        <w:tc>
          <w:tcPr>
            <w:tcW w:w="1417" w:type="dxa"/>
            <w:noWrap w:val="0"/>
            <w:vAlign w:val="center"/>
          </w:tcPr>
          <w:p w14:paraId="2AA13845">
            <w:pPr>
              <w:pageBreakBefore w:val="0"/>
              <w:kinsoku/>
              <w:wordWrap/>
              <w:overflowPunct/>
              <w:topLinePunct w:val="0"/>
              <w:bidi w:val="0"/>
              <w:adjustRightInd w:val="0"/>
              <w:snapToGrid w:val="0"/>
              <w:spacing w:line="500" w:lineRule="exact"/>
              <w:jc w:val="center"/>
              <w:textAlignment w:val="auto"/>
              <w:rPr>
                <w:rFonts w:hint="eastAsia" w:ascii="Times New Roman" w:hAnsi="Times New Roman" w:eastAsia="宋体" w:cs="Times New Roman"/>
                <w:b w:val="0"/>
                <w:bCs w:val="0"/>
                <w:i w:val="0"/>
                <w:iCs w:val="0"/>
                <w:smallCaps w:val="0"/>
                <w:color w:val="auto"/>
                <w:kern w:val="0"/>
                <w:sz w:val="24"/>
                <w:szCs w:val="24"/>
                <w:highlight w:val="none"/>
                <w:lang w:val="en-US" w:eastAsia="zh-CN"/>
              </w:rPr>
            </w:pPr>
            <w:r>
              <w:rPr>
                <w:rFonts w:hint="eastAsia" w:ascii="宋体" w:hAnsi="宋体" w:eastAsia="宋体" w:cs="宋体"/>
                <w:color w:val="auto"/>
                <w:sz w:val="24"/>
                <w:highlight w:val="none"/>
                <w:lang w:val="en-US" w:eastAsia="zh-CN"/>
              </w:rPr>
              <w:t>C05040300 - 保安服务</w:t>
            </w:r>
          </w:p>
        </w:tc>
        <w:tc>
          <w:tcPr>
            <w:tcW w:w="1100" w:type="dxa"/>
            <w:tcBorders>
              <w:left w:val="single" w:color="auto" w:sz="4" w:space="0"/>
            </w:tcBorders>
            <w:noWrap w:val="0"/>
            <w:vAlign w:val="center"/>
          </w:tcPr>
          <w:p w14:paraId="31206673">
            <w:pPr>
              <w:pageBreakBefore w:val="0"/>
              <w:kinsoku/>
              <w:wordWrap/>
              <w:overflowPunct/>
              <w:topLinePunct w:val="0"/>
              <w:bidi w:val="0"/>
              <w:adjustRightInd w:val="0"/>
              <w:snapToGrid w:val="0"/>
              <w:spacing w:line="5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否</w:t>
            </w:r>
          </w:p>
        </w:tc>
        <w:tc>
          <w:tcPr>
            <w:tcW w:w="1200" w:type="dxa"/>
            <w:noWrap w:val="0"/>
            <w:vAlign w:val="center"/>
          </w:tcPr>
          <w:p w14:paraId="59307BDD">
            <w:pPr>
              <w:pageBreakBefore w:val="0"/>
              <w:kinsoku/>
              <w:wordWrap/>
              <w:overflowPunct/>
              <w:topLinePunct w:val="0"/>
              <w:bidi w:val="0"/>
              <w:adjustRightInd w:val="0"/>
              <w:snapToGrid w:val="0"/>
              <w:spacing w:line="50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1项</w:t>
            </w:r>
          </w:p>
        </w:tc>
        <w:tc>
          <w:tcPr>
            <w:tcW w:w="1599" w:type="dxa"/>
            <w:noWrap w:val="0"/>
            <w:vAlign w:val="center"/>
          </w:tcPr>
          <w:p w14:paraId="5614C257">
            <w:pPr>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合同签订之日起2年，具体以签订的合同为准</w:t>
            </w:r>
          </w:p>
        </w:tc>
        <w:tc>
          <w:tcPr>
            <w:tcW w:w="1801" w:type="dxa"/>
            <w:noWrap w:val="0"/>
            <w:vAlign w:val="center"/>
          </w:tcPr>
          <w:p w14:paraId="7DAB6E2B">
            <w:pPr>
              <w:pageBreakBefore w:val="0"/>
              <w:kinsoku/>
              <w:wordWrap/>
              <w:overflowPunct/>
              <w:topLinePunct w:val="0"/>
              <w:bidi w:val="0"/>
              <w:adjustRightInd w:val="0"/>
              <w:snapToGrid w:val="0"/>
              <w:spacing w:line="500" w:lineRule="exact"/>
              <w:jc w:val="center"/>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kern w:val="0"/>
                <w:sz w:val="24"/>
                <w:szCs w:val="24"/>
                <w:highlight w:val="none"/>
              </w:rPr>
              <w:t>湖南财经工业职业技术学院</w:t>
            </w:r>
          </w:p>
        </w:tc>
        <w:tc>
          <w:tcPr>
            <w:tcW w:w="894" w:type="dxa"/>
            <w:noWrap w:val="0"/>
            <w:vAlign w:val="top"/>
          </w:tcPr>
          <w:p w14:paraId="75D6708A">
            <w:pPr>
              <w:pageBreakBefore w:val="0"/>
              <w:kinsoku/>
              <w:wordWrap/>
              <w:overflowPunct/>
              <w:topLinePunct w:val="0"/>
              <w:bidi w:val="0"/>
              <w:adjustRightInd w:val="0"/>
              <w:snapToGrid w:val="0"/>
              <w:spacing w:before="120" w:beforeLines="50" w:line="500" w:lineRule="exact"/>
              <w:jc w:val="center"/>
              <w:textAlignment w:val="auto"/>
              <w:rPr>
                <w:rFonts w:hint="eastAsia" w:ascii="宋体" w:hAnsi="宋体" w:cs="宋体"/>
                <w:color w:val="auto"/>
                <w:sz w:val="24"/>
                <w:highlight w:val="none"/>
              </w:rPr>
            </w:pPr>
          </w:p>
        </w:tc>
      </w:tr>
    </w:tbl>
    <w:p w14:paraId="6E9914AB">
      <w:pPr>
        <w:pageBreakBefore w:val="0"/>
        <w:kinsoku/>
        <w:wordWrap/>
        <w:overflowPunct/>
        <w:topLinePunct w:val="0"/>
        <w:bidi w:val="0"/>
        <w:adjustRightInd w:val="0"/>
        <w:snapToGrid w:val="0"/>
        <w:spacing w:before="120" w:beforeLines="50"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注：1、“包”为最小合同单位。每“包”内容应细化到“品目”（如果分品目的）。</w:t>
      </w:r>
    </w:p>
    <w:p w14:paraId="641F5F3E">
      <w:pPr>
        <w:pageBreakBefore w:val="0"/>
        <w:kinsoku/>
        <w:wordWrap/>
        <w:overflowPunct/>
        <w:topLinePunct w:val="0"/>
        <w:bidi w:val="0"/>
        <w:adjustRightInd w:val="0"/>
        <w:snapToGrid w:val="0"/>
        <w:spacing w:before="120" w:beforeLines="50"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2、供应商</w:t>
      </w:r>
      <w:r>
        <w:rPr>
          <w:rFonts w:hint="eastAsia" w:ascii="宋体" w:hAnsi="宋体"/>
          <w:color w:val="auto"/>
          <w:szCs w:val="21"/>
          <w:highlight w:val="none"/>
        </w:rPr>
        <w:t>必须对一个完整、独立的包进行响应，不得仅对一个包中的部分品目响应，否则</w:t>
      </w:r>
      <w:r>
        <w:rPr>
          <w:rFonts w:hint="eastAsia" w:ascii="宋体" w:hAnsi="宋体" w:cs="宋体"/>
          <w:color w:val="auto"/>
          <w:kern w:val="0"/>
          <w:szCs w:val="21"/>
          <w:highlight w:val="none"/>
        </w:rPr>
        <w:t>其</w:t>
      </w:r>
      <w:r>
        <w:rPr>
          <w:rFonts w:hint="eastAsia" w:ascii="宋体" w:hAnsi="宋体" w:cs="宋体"/>
          <w:b/>
          <w:color w:val="auto"/>
          <w:kern w:val="0"/>
          <w:szCs w:val="21"/>
          <w:highlight w:val="none"/>
        </w:rPr>
        <w:t>响应</w:t>
      </w:r>
      <w:r>
        <w:rPr>
          <w:rFonts w:hint="eastAsia" w:ascii="宋体" w:hAnsi="宋体"/>
          <w:b/>
          <w:color w:val="auto"/>
          <w:szCs w:val="21"/>
          <w:highlight w:val="none"/>
        </w:rPr>
        <w:t>无效。</w:t>
      </w:r>
    </w:p>
    <w:p w14:paraId="4539C546">
      <w:pPr>
        <w:pageBreakBefore w:val="0"/>
        <w:kinsoku/>
        <w:wordWrap/>
        <w:overflowPunct/>
        <w:topLinePunct w:val="0"/>
        <w:bidi w:val="0"/>
        <w:spacing w:line="500" w:lineRule="exact"/>
        <w:ind w:firstLine="480" w:firstLineChars="200"/>
        <w:textAlignment w:val="auto"/>
        <w:rPr>
          <w:rFonts w:hint="eastAsia" w:ascii="宋体" w:hAnsi="宋体"/>
          <w:color w:val="auto"/>
          <w:sz w:val="24"/>
          <w:szCs w:val="22"/>
          <w:highlight w:val="none"/>
        </w:rPr>
      </w:pPr>
    </w:p>
    <w:p w14:paraId="6C0FB6A1">
      <w:pPr>
        <w:pageBreakBefore w:val="0"/>
        <w:kinsoku/>
        <w:wordWrap/>
        <w:overflowPunct/>
        <w:topLinePunct w:val="0"/>
        <w:bidi w:val="0"/>
        <w:adjustRightInd w:val="0"/>
        <w:snapToGrid w:val="0"/>
        <w:spacing w:before="120" w:beforeLines="50" w:after="120" w:afterLines="50" w:line="500" w:lineRule="exact"/>
        <w:jc w:val="center"/>
        <w:textAlignment w:val="auto"/>
        <w:outlineLvl w:val="9"/>
        <w:rPr>
          <w:rFonts w:hint="eastAsia" w:ascii="黑体" w:hAnsi="黑体" w:eastAsia="黑体"/>
          <w:color w:val="auto"/>
          <w:sz w:val="28"/>
          <w:szCs w:val="28"/>
          <w:highlight w:val="none"/>
          <w:lang w:eastAsia="zh-CN"/>
        </w:rPr>
      </w:pPr>
      <w:r>
        <w:rPr>
          <w:rFonts w:hint="eastAsia" w:ascii="黑体" w:hAnsi="黑体" w:eastAsia="黑体"/>
          <w:color w:val="auto"/>
          <w:sz w:val="28"/>
          <w:szCs w:val="28"/>
          <w:highlight w:val="none"/>
          <w:lang w:eastAsia="zh-CN"/>
        </w:rPr>
        <w:t>第二节  服务要求</w:t>
      </w:r>
    </w:p>
    <w:p w14:paraId="65D7FE74">
      <w:pPr>
        <w:pStyle w:val="6"/>
        <w:pageBreakBefore w:val="0"/>
        <w:kinsoku/>
        <w:wordWrap/>
        <w:overflowPunct/>
        <w:topLinePunct w:val="0"/>
        <w:bidi w:val="0"/>
        <w:adjustRightInd w:val="0"/>
        <w:snapToGrid w:val="0"/>
        <w:spacing w:line="500" w:lineRule="exact"/>
        <w:ind w:firstLine="42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一、项目概况</w:t>
      </w:r>
    </w:p>
    <w:p w14:paraId="1B226872">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1.项目名称：湖南财经工业职业技术学院2026至2028年校园安保服务项目</w:t>
      </w:r>
    </w:p>
    <w:p w14:paraId="4DF31B83">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背景：原校园安保外包、楼栋值班员劳务用工外包合同到期，整合为一体化校园安保服务项目面向社会公开招标，选择一家责任心强，保安人员素质高，安保服务优质的保安服务供应商承接学校的安全保卫工作。</w:t>
      </w:r>
    </w:p>
    <w:p w14:paraId="79EB30D7">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3.服务期限：</w:t>
      </w:r>
      <w:r>
        <w:rPr>
          <w:rFonts w:hint="eastAsia" w:ascii="宋体" w:hAnsi="宋体" w:cs="宋体"/>
          <w:color w:val="auto"/>
          <w:sz w:val="24"/>
          <w:highlight w:val="none"/>
          <w:lang w:val="en-US" w:eastAsia="zh-CN"/>
        </w:rPr>
        <w:t>合同签订之日起2年，具体以签订的合同为准</w:t>
      </w:r>
      <w:r>
        <w:rPr>
          <w:rFonts w:hint="eastAsia" w:ascii="宋体" w:hAnsi="宋体" w:eastAsia="宋体" w:cs="宋体"/>
          <w:color w:val="auto"/>
          <w:sz w:val="24"/>
          <w:szCs w:val="24"/>
          <w:highlight w:val="none"/>
        </w:rPr>
        <w:t>。</w:t>
      </w:r>
    </w:p>
    <w:p w14:paraId="52664BEF">
      <w:pPr>
        <w:pStyle w:val="3"/>
        <w:keepNext w:val="0"/>
        <w:keepLines w:val="0"/>
        <w:pageBreakBefore w:val="0"/>
        <w:kinsoku/>
        <w:wordWrap/>
        <w:overflowPunct/>
        <w:topLinePunct w:val="0"/>
        <w:autoSpaceDE/>
        <w:autoSpaceDN/>
        <w:bidi w:val="0"/>
        <w:adjustRightInd w:val="0"/>
        <w:snapToGrid w:val="0"/>
        <w:spacing w:after="0" w:line="500" w:lineRule="exact"/>
        <w:ind w:left="239" w:leftChars="114"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4.预算金额：总预算控制价</w:t>
      </w:r>
      <w:r>
        <w:rPr>
          <w:rFonts w:hint="eastAsia" w:ascii="宋体" w:hAnsi="宋体" w:eastAsia="宋体" w:cs="宋体"/>
          <w:color w:val="auto"/>
          <w:sz w:val="24"/>
          <w:szCs w:val="24"/>
          <w:highlight w:val="none"/>
          <w:u w:val="single"/>
          <w:lang w:val="en-US" w:eastAsia="zh-CN"/>
        </w:rPr>
        <w:t xml:space="preserve"> 996,000</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en-US" w:eastAsia="zh-CN"/>
        </w:rPr>
        <w:t>/年，两年合计额1,992,000元</w:t>
      </w:r>
      <w:r>
        <w:rPr>
          <w:rFonts w:hint="eastAsia" w:ascii="宋体" w:hAnsi="宋体" w:eastAsia="宋体" w:cs="宋体"/>
          <w:color w:val="auto"/>
          <w:sz w:val="24"/>
          <w:szCs w:val="24"/>
          <w:highlight w:val="none"/>
        </w:rPr>
        <w:t>（包干总价），月度服务费</w:t>
      </w:r>
      <w:r>
        <w:rPr>
          <w:rFonts w:hint="eastAsia" w:ascii="宋体" w:hAnsi="宋体" w:eastAsia="宋体" w:cs="宋体"/>
          <w:color w:val="auto"/>
          <w:sz w:val="24"/>
          <w:szCs w:val="24"/>
          <w:highlight w:val="none"/>
          <w:u w:val="single"/>
          <w:lang w:val="en-US" w:eastAsia="zh-CN"/>
        </w:rPr>
        <w:t xml:space="preserve"> 83,000.00</w:t>
      </w:r>
      <w:r>
        <w:rPr>
          <w:rFonts w:hint="eastAsia" w:ascii="宋体" w:hAnsi="宋体" w:eastAsia="宋体" w:cs="宋体"/>
          <w:color w:val="auto"/>
          <w:sz w:val="24"/>
          <w:szCs w:val="24"/>
          <w:highlight w:val="none"/>
        </w:rPr>
        <w:t>元。</w:t>
      </w:r>
    </w:p>
    <w:p w14:paraId="4BD05FB9">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5.服务范围：学校南校区、西校区、致远公寓区等所有红线范围内公共区域。</w:t>
      </w:r>
    </w:p>
    <w:p w14:paraId="0EEBD1F8">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、服务范围及要求</w:t>
      </w:r>
    </w:p>
    <w:p w14:paraId="08B25527">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）服务范围</w:t>
      </w:r>
    </w:p>
    <w:p w14:paraId="0860E632">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1.全面安保管理：负责</w:t>
      </w:r>
      <w:r>
        <w:rPr>
          <w:rFonts w:hint="eastAsia" w:ascii="宋体" w:hAnsi="宋体" w:eastAsia="宋体" w:cs="宋体"/>
          <w:color w:val="auto"/>
          <w:sz w:val="24"/>
          <w:szCs w:val="24"/>
          <w:highlight w:val="none"/>
        </w:rPr>
        <w:t>提供全天候、全覆盖校园安保服务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包括但不限于所有门卫值班、校区巡逻、交通管制、消防、治安保卫及应急处置等日常安保管理工作。</w:t>
      </w:r>
    </w:p>
    <w:p w14:paraId="26D83EAD">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2.大型活动保障：协助维护学校大型活动、重要会议及各类活动的现场秩序。</w:t>
      </w:r>
    </w:p>
    <w:p w14:paraId="5642DEB7">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（二）具体要求</w:t>
      </w:r>
    </w:p>
    <w:p w14:paraId="76B635A7">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1.制度建立与执行：建立健全涵盖校园门卫值班、日常巡逻、交通管制、消防安全、治安管理及突发事件应急处理等内容的安保管理制度，并确保有效落实。</w:t>
      </w:r>
    </w:p>
    <w:p w14:paraId="4B6F9F13">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.全天候值守管控：实行门岗执勤、校园巡逻及重点部位24小时不间断值班管理，确保无因管理责任引发的治安案件。</w:t>
      </w:r>
    </w:p>
    <w:p w14:paraId="363C102D">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校门出入管控与登记：严格执行人员、车辆出入登记制度，熟悉校内师生车辆及人员；按要求对外来人员、车辆进行检查与登记，严禁闲杂人员进入校园；对校内物资进出实施严格验证，办理出入登记手续，凭保卫部门签发的有效出门证放行。</w:t>
      </w:r>
    </w:p>
    <w:p w14:paraId="16D94EF8">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.楼栋夜间值守：夜间对机械实训车间、特高压输变电产教融合实训基地、汽车实训车间、实训楼、综合实训基地、监控中心、崇文楼等指定楼宇安全值守。</w:t>
      </w:r>
    </w:p>
    <w:p w14:paraId="015BE1A9">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Style w:val="5"/>
          <w:rFonts w:hint="eastAsia" w:ascii="宋体" w:hAnsi="宋体" w:eastAsia="宋体" w:cs="宋体"/>
          <w:color w:val="auto"/>
          <w:szCs w:val="21"/>
        </w:rPr>
        <w:t>交通与停车管理：规范管理校内车辆停放，保障校园交通秩序井然、道路畅通，杜绝车辆乱停乱放等影响校内交通秩序的现象</w:t>
      </w:r>
      <w:r>
        <w:rPr>
          <w:rFonts w:hint="eastAsia" w:ascii="宋体" w:hAnsi="宋体" w:eastAsia="宋体" w:cs="宋体"/>
          <w:color w:val="auto"/>
          <w:sz w:val="24"/>
          <w:szCs w:val="24"/>
          <w:highlight w:val="none"/>
        </w:rPr>
        <w:t>。</w:t>
      </w:r>
    </w:p>
    <w:p w14:paraId="4DFE88E2">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6.门岗及周边秩序维护：做好“门前三包”，保持校门口区域整洁；维护各门岗及周边环境安全秩序，制止车辆违停、物品乱堆乱放及摆摊设点行为；如遇不法分子滋扰破坏，立即报警。</w:t>
      </w:r>
    </w:p>
    <w:p w14:paraId="4425578F">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应急处置：制定针对治安事件、公共安全事故、火灾、自然灾害及突发事件的应急预案；须为本项目组建由安保人员构成的突发事件应急处置小组，组长由安保公司项目负责人担任；协助学校预防和处置校内突发事件、群体性事件，及时处理并报告校内及周边的各类紧急情况。</w:t>
      </w:r>
    </w:p>
    <w:p w14:paraId="369C5277">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.专项保障：为校内重大考试、文体活动、竞赛等提供临时秩序维护与安全警戒。</w:t>
      </w:r>
    </w:p>
    <w:p w14:paraId="62542BF2">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.消防管理：协助开展消防设施日常巡查、隐患上报，配合完成消防应急处置。</w:t>
      </w:r>
    </w:p>
    <w:p w14:paraId="21E27502">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.其他任务：完成学校后勤保卫处交办的其他安保相关工作。</w:t>
      </w:r>
    </w:p>
    <w:p w14:paraId="4627F5F4">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三、人员配置与岗位要求</w:t>
      </w:r>
    </w:p>
    <w:p w14:paraId="4FBA85EE">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bookmarkStart w:id="2" w:name="heading_4"/>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人员总配置</w:t>
      </w:r>
      <w:bookmarkEnd w:id="2"/>
    </w:p>
    <w:p w14:paraId="37E5767A">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安保服务总人数</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人，其中持有中级及以上消防设施操作员证书人员不少于</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人；实行白班/晚班两班运转综合工时制度，加班费包含在总报价内。</w:t>
      </w:r>
    </w:p>
    <w:p w14:paraId="3A9DEE0A">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bookmarkStart w:id="3" w:name="heading_5"/>
      <w:r>
        <w:rPr>
          <w:rFonts w:hint="eastAsia" w:ascii="宋体" w:hAnsi="宋体" w:eastAsia="宋体" w:cs="宋体"/>
          <w:color w:val="auto"/>
          <w:sz w:val="24"/>
          <w:szCs w:val="24"/>
          <w:highlight w:val="none"/>
          <w:lang w:val="en-US" w:eastAsia="zh-CN"/>
        </w:rPr>
        <w:t>2.岗位设置及人数</w:t>
      </w:r>
      <w:bookmarkEnd w:id="3"/>
    </w:p>
    <w:tbl>
      <w:tblPr>
        <w:tblStyle w:val="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31"/>
        <w:gridCol w:w="3409"/>
        <w:gridCol w:w="1075"/>
        <w:gridCol w:w="3783"/>
      </w:tblGrid>
      <w:tr w14:paraId="0F2F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9" w:hRule="atLeast"/>
        </w:trPr>
        <w:tc>
          <w:tcPr>
            <w:tcW w:w="731" w:type="dxa"/>
            <w:noWrap w:val="0"/>
            <w:tcMar>
              <w:top w:w="60" w:type="dxa"/>
              <w:left w:w="120" w:type="dxa"/>
              <w:bottom w:w="30" w:type="dxa"/>
              <w:right w:w="120" w:type="dxa"/>
            </w:tcMar>
            <w:vAlign w:val="center"/>
          </w:tcPr>
          <w:p w14:paraId="53F18E0D">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序号</w:t>
            </w:r>
          </w:p>
        </w:tc>
        <w:tc>
          <w:tcPr>
            <w:tcW w:w="3409" w:type="dxa"/>
            <w:noWrap w:val="0"/>
            <w:tcMar>
              <w:top w:w="60" w:type="dxa"/>
              <w:left w:w="120" w:type="dxa"/>
              <w:bottom w:w="30" w:type="dxa"/>
              <w:right w:w="120" w:type="dxa"/>
            </w:tcMar>
            <w:vAlign w:val="center"/>
          </w:tcPr>
          <w:p w14:paraId="3DDFE68D">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岗位类别</w:t>
            </w:r>
          </w:p>
        </w:tc>
        <w:tc>
          <w:tcPr>
            <w:tcW w:w="1075" w:type="dxa"/>
            <w:noWrap w:val="0"/>
            <w:tcMar>
              <w:top w:w="60" w:type="dxa"/>
              <w:left w:w="120" w:type="dxa"/>
              <w:bottom w:w="30" w:type="dxa"/>
              <w:right w:w="120" w:type="dxa"/>
            </w:tcMar>
            <w:vAlign w:val="center"/>
          </w:tcPr>
          <w:p w14:paraId="1E6E1B73">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人数</w:t>
            </w:r>
          </w:p>
        </w:tc>
        <w:tc>
          <w:tcPr>
            <w:tcW w:w="3783" w:type="dxa"/>
            <w:noWrap w:val="0"/>
            <w:tcMar>
              <w:top w:w="60" w:type="dxa"/>
              <w:left w:w="120" w:type="dxa"/>
              <w:bottom w:w="30" w:type="dxa"/>
              <w:right w:w="120" w:type="dxa"/>
            </w:tcMar>
            <w:vAlign w:val="center"/>
          </w:tcPr>
          <w:p w14:paraId="166A27DD">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核心职责</w:t>
            </w:r>
          </w:p>
        </w:tc>
      </w:tr>
      <w:tr w14:paraId="1653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31" w:type="dxa"/>
            <w:noWrap w:val="0"/>
            <w:tcMar>
              <w:top w:w="60" w:type="dxa"/>
              <w:left w:w="120" w:type="dxa"/>
              <w:bottom w:w="30" w:type="dxa"/>
              <w:right w:w="120" w:type="dxa"/>
            </w:tcMar>
            <w:vAlign w:val="center"/>
          </w:tcPr>
          <w:p w14:paraId="089E10DF">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3409" w:type="dxa"/>
            <w:noWrap w:val="0"/>
            <w:tcMar>
              <w:top w:w="60" w:type="dxa"/>
              <w:left w:w="120" w:type="dxa"/>
              <w:bottom w:w="30" w:type="dxa"/>
              <w:right w:w="120" w:type="dxa"/>
            </w:tcMar>
            <w:vAlign w:val="center"/>
          </w:tcPr>
          <w:p w14:paraId="618B6EA2">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西区出入口安保（含西区及周边）</w:t>
            </w:r>
          </w:p>
        </w:tc>
        <w:tc>
          <w:tcPr>
            <w:tcW w:w="1075" w:type="dxa"/>
            <w:noWrap w:val="0"/>
            <w:tcMar>
              <w:top w:w="60" w:type="dxa"/>
              <w:left w:w="120" w:type="dxa"/>
              <w:bottom w:w="30" w:type="dxa"/>
              <w:right w:w="120" w:type="dxa"/>
            </w:tcMar>
            <w:vAlign w:val="center"/>
          </w:tcPr>
          <w:p w14:paraId="14D25783">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8人</w:t>
            </w:r>
          </w:p>
        </w:tc>
        <w:tc>
          <w:tcPr>
            <w:tcW w:w="3783" w:type="dxa"/>
            <w:noWrap w:val="0"/>
            <w:tcMar>
              <w:top w:w="60" w:type="dxa"/>
              <w:left w:w="120" w:type="dxa"/>
              <w:bottom w:w="30" w:type="dxa"/>
              <w:right w:w="120" w:type="dxa"/>
            </w:tcMar>
            <w:vAlign w:val="center"/>
          </w:tcPr>
          <w:p w14:paraId="5155C5C0">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西区大门24小时值守、区域巡逻、出入管控、安全值守、楼栋晚班值班等</w:t>
            </w:r>
          </w:p>
        </w:tc>
      </w:tr>
      <w:tr w14:paraId="0FC9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31" w:type="dxa"/>
            <w:noWrap w:val="0"/>
            <w:tcMar>
              <w:top w:w="60" w:type="dxa"/>
              <w:left w:w="120" w:type="dxa"/>
              <w:bottom w:w="30" w:type="dxa"/>
              <w:right w:w="120" w:type="dxa"/>
            </w:tcMar>
            <w:vAlign w:val="center"/>
          </w:tcPr>
          <w:p w14:paraId="2B92DA1E">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3409" w:type="dxa"/>
            <w:noWrap w:val="0"/>
            <w:tcMar>
              <w:top w:w="60" w:type="dxa"/>
              <w:left w:w="120" w:type="dxa"/>
              <w:bottom w:w="30" w:type="dxa"/>
              <w:right w:w="120" w:type="dxa"/>
            </w:tcMar>
            <w:vAlign w:val="center"/>
          </w:tcPr>
          <w:p w14:paraId="123177DF">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南校区出入口安保（含南校区、致和公寓区）</w:t>
            </w:r>
          </w:p>
        </w:tc>
        <w:tc>
          <w:tcPr>
            <w:tcW w:w="1075" w:type="dxa"/>
            <w:noWrap w:val="0"/>
            <w:tcMar>
              <w:top w:w="60" w:type="dxa"/>
              <w:left w:w="120" w:type="dxa"/>
              <w:bottom w:w="30" w:type="dxa"/>
              <w:right w:w="120" w:type="dxa"/>
            </w:tcMar>
            <w:vAlign w:val="center"/>
          </w:tcPr>
          <w:p w14:paraId="3036BE42">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8人</w:t>
            </w:r>
          </w:p>
        </w:tc>
        <w:tc>
          <w:tcPr>
            <w:tcW w:w="3783" w:type="dxa"/>
            <w:noWrap w:val="0"/>
            <w:tcMar>
              <w:top w:w="60" w:type="dxa"/>
              <w:left w:w="120" w:type="dxa"/>
              <w:bottom w:w="30" w:type="dxa"/>
              <w:right w:w="120" w:type="dxa"/>
            </w:tcMar>
            <w:vAlign w:val="center"/>
          </w:tcPr>
          <w:p w14:paraId="08CBA370">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南校区出入口24小时值守、区域巡逻、出入管控、安全值守、楼栋晚班值班等</w:t>
            </w:r>
          </w:p>
        </w:tc>
      </w:tr>
      <w:tr w14:paraId="65B4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31" w:type="dxa"/>
            <w:noWrap w:val="0"/>
            <w:tcMar>
              <w:top w:w="60" w:type="dxa"/>
              <w:left w:w="120" w:type="dxa"/>
              <w:bottom w:w="30" w:type="dxa"/>
              <w:right w:w="120" w:type="dxa"/>
            </w:tcMar>
            <w:vAlign w:val="center"/>
          </w:tcPr>
          <w:p w14:paraId="390C9397">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c>
          <w:tcPr>
            <w:tcW w:w="3409" w:type="dxa"/>
            <w:noWrap w:val="0"/>
            <w:tcMar>
              <w:top w:w="60" w:type="dxa"/>
              <w:left w:w="120" w:type="dxa"/>
              <w:bottom w:w="30" w:type="dxa"/>
              <w:right w:w="120" w:type="dxa"/>
            </w:tcMar>
            <w:vAlign w:val="center"/>
          </w:tcPr>
          <w:p w14:paraId="6E1CCE6F">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机动岗安保（含安保队长）</w:t>
            </w:r>
          </w:p>
        </w:tc>
        <w:tc>
          <w:tcPr>
            <w:tcW w:w="1075" w:type="dxa"/>
            <w:noWrap w:val="0"/>
            <w:tcMar>
              <w:top w:w="60" w:type="dxa"/>
              <w:left w:w="120" w:type="dxa"/>
              <w:bottom w:w="30" w:type="dxa"/>
              <w:right w:w="120" w:type="dxa"/>
            </w:tcMar>
            <w:vAlign w:val="center"/>
          </w:tcPr>
          <w:p w14:paraId="00216D25">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5人</w:t>
            </w:r>
          </w:p>
        </w:tc>
        <w:tc>
          <w:tcPr>
            <w:tcW w:w="3783" w:type="dxa"/>
            <w:noWrap w:val="0"/>
            <w:tcMar>
              <w:top w:w="60" w:type="dxa"/>
              <w:left w:w="120" w:type="dxa"/>
              <w:bottom w:w="30" w:type="dxa"/>
              <w:right w:w="120" w:type="dxa"/>
            </w:tcMar>
            <w:vAlign w:val="center"/>
          </w:tcPr>
          <w:p w14:paraId="68E1FF55">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校园全域机动巡逻、应急支援、队伍管理</w:t>
            </w:r>
          </w:p>
        </w:tc>
      </w:tr>
      <w:tr w14:paraId="512E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31" w:type="dxa"/>
            <w:noWrap w:val="0"/>
            <w:tcMar>
              <w:top w:w="60" w:type="dxa"/>
              <w:left w:w="120" w:type="dxa"/>
              <w:bottom w:w="30" w:type="dxa"/>
              <w:right w:w="120" w:type="dxa"/>
            </w:tcMar>
            <w:vAlign w:val="center"/>
          </w:tcPr>
          <w:p w14:paraId="0C6C47AC">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p>
        </w:tc>
        <w:tc>
          <w:tcPr>
            <w:tcW w:w="3409" w:type="dxa"/>
            <w:noWrap w:val="0"/>
            <w:tcMar>
              <w:top w:w="60" w:type="dxa"/>
              <w:left w:w="120" w:type="dxa"/>
              <w:bottom w:w="30" w:type="dxa"/>
              <w:right w:w="120" w:type="dxa"/>
            </w:tcMar>
            <w:vAlign w:val="center"/>
          </w:tcPr>
          <w:p w14:paraId="0E08AF89">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消防控制室值班员</w:t>
            </w:r>
          </w:p>
        </w:tc>
        <w:tc>
          <w:tcPr>
            <w:tcW w:w="1075" w:type="dxa"/>
            <w:noWrap w:val="0"/>
            <w:tcMar>
              <w:top w:w="60" w:type="dxa"/>
              <w:left w:w="120" w:type="dxa"/>
              <w:bottom w:w="30" w:type="dxa"/>
              <w:right w:w="120" w:type="dxa"/>
            </w:tcMar>
            <w:vAlign w:val="center"/>
          </w:tcPr>
          <w:p w14:paraId="674B04D9">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4人</w:t>
            </w:r>
          </w:p>
        </w:tc>
        <w:tc>
          <w:tcPr>
            <w:tcW w:w="3783" w:type="dxa"/>
            <w:noWrap w:val="0"/>
            <w:tcMar>
              <w:top w:w="60" w:type="dxa"/>
              <w:left w:w="120" w:type="dxa"/>
              <w:bottom w:w="30" w:type="dxa"/>
              <w:right w:w="120" w:type="dxa"/>
            </w:tcMar>
            <w:vAlign w:val="center"/>
          </w:tcPr>
          <w:p w14:paraId="39A0DAB7">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消防设施操作、监控值守、火警处置（持证上岗）</w:t>
            </w:r>
          </w:p>
        </w:tc>
      </w:tr>
    </w:tbl>
    <w:p w14:paraId="63561562">
      <w:pPr>
        <w:pStyle w:val="3"/>
        <w:keepNext w:val="0"/>
        <w:keepLines w:val="0"/>
        <w:pageBreakBefore w:val="0"/>
        <w:numPr>
          <w:ilvl w:val="0"/>
          <w:numId w:val="0"/>
        </w:numPr>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3.</w:t>
      </w:r>
      <w:r>
        <w:rPr>
          <w:rFonts w:hint="eastAsia" w:ascii="宋体" w:hAnsi="宋体" w:eastAsia="宋体" w:cs="宋体"/>
          <w:color w:val="auto"/>
          <w:sz w:val="24"/>
          <w:szCs w:val="24"/>
          <w:highlight w:val="none"/>
          <w:lang w:val="en-US" w:eastAsia="zh-CN"/>
        </w:rPr>
        <w:t>人员基本要求：男性，年龄20-59周岁，身高1.65米以上，身体健康，持有有效保安员证；消防控制室值班员须持中级及以上消防设施操作员证（人证合一），退伍军人优先。</w:t>
      </w:r>
    </w:p>
    <w:p w14:paraId="798C7BAC">
      <w:pPr>
        <w:pStyle w:val="9"/>
        <w:spacing w:line="540" w:lineRule="exact"/>
        <w:ind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具体岗位职责与要求</w:t>
      </w:r>
    </w:p>
    <w:p w14:paraId="52BF56BE">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（一）保安队长</w:t>
      </w:r>
    </w:p>
    <w:p w14:paraId="346F9A63">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岗位职责：</w:t>
      </w:r>
    </w:p>
    <w:p w14:paraId="6CBCC851">
      <w:pPr>
        <w:pStyle w:val="9"/>
        <w:spacing w:line="540" w:lineRule="exact"/>
        <w:ind w:left="56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（1）组织队员学习政治理论、国家法律法规、学校规章制度，提升政治素养与遵纪守法意识。</w:t>
      </w:r>
    </w:p>
    <w:p w14:paraId="5FC7EDDA">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（2）组织队员学习安保知识、执勤巡逻规范，明确职责范围，每月至少开展一次防爆反恐演练，提升业务能力。</w:t>
      </w:r>
    </w:p>
    <w:p w14:paraId="7277337F">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（3）负责保安队的内务整理和日常管理工作。</w:t>
      </w:r>
    </w:p>
    <w:p w14:paraId="465E3BCF">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（4）加强队伍团结，开展谈心活动，掌握队员思想动态，关心队员生活，预防拉帮结派、处理和化解内部矛盾与纠纷。</w:t>
      </w:r>
    </w:p>
    <w:p w14:paraId="2FD9108A">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（5）组织业务训练；科学安排值班、执勤、巡逻任务，并进行监督检查。</w:t>
      </w:r>
    </w:p>
    <w:p w14:paraId="2737116F">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（6）制定保安队工作计划、总结、管理规定等文件材料。</w:t>
      </w:r>
    </w:p>
    <w:p w14:paraId="76A5D15E">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（7）带领保安队坚决完成保卫部交办的其他任务。</w:t>
      </w:r>
    </w:p>
    <w:p w14:paraId="1EA5F5BF">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（二）门卫岗 </w:t>
      </w:r>
    </w:p>
    <w:p w14:paraId="0DED5590">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岗位职责：</w:t>
      </w:r>
    </w:p>
    <w:p w14:paraId="688A86C2">
      <w:pPr>
        <w:pStyle w:val="9"/>
        <w:spacing w:line="540" w:lineRule="exact"/>
        <w:ind w:left="56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（1）保持24小时在岗值守，及时报告异常情况。</w:t>
      </w:r>
    </w:p>
    <w:p w14:paraId="373FBE86">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（2）询问、登记来访人员及进出货物，阻止无关或可疑人员进入校园。</w:t>
      </w:r>
    </w:p>
    <w:p w14:paraId="5488541B">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（3）检查、登记出入学院的货物。</w:t>
      </w:r>
    </w:p>
    <w:p w14:paraId="32F24121">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（4）对出入学院的非机动车进行必要检查。</w:t>
      </w:r>
    </w:p>
    <w:p w14:paraId="73C202D6">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（5）熟练使用电脑，并在1周内掌握学校安防系统操作。</w:t>
      </w:r>
    </w:p>
    <w:p w14:paraId="1CCB16D9">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（6）维护校门口交通秩序，确保校门两侧50米内秩序井然（无摆摊、乱停乱放），环境整洁。</w:t>
      </w:r>
    </w:p>
    <w:p w14:paraId="684E9D94">
      <w:pPr>
        <w:pStyle w:val="9"/>
        <w:spacing w:line="540" w:lineRule="exact"/>
        <w:ind w:firstLine="56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（7）及时制止校门口周边的不良或违规行为并报告。</w:t>
      </w:r>
    </w:p>
    <w:p w14:paraId="076E6DB6">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（三）车辆管理岗</w:t>
      </w:r>
    </w:p>
    <w:p w14:paraId="563D0FC7">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岗位职责：</w:t>
      </w:r>
    </w:p>
    <w:p w14:paraId="6EB21A47">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（1）保持24小时在岗值守。</w:t>
      </w:r>
    </w:p>
    <w:p w14:paraId="22B5B0E3">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（2）询问、登记进出人员车辆，阻止无关或可疑车辆进入校园。发现不良或违规行为，及时制止并报告保卫部门（将安全隐患控制在距校门50米范围内），必要时可直接报警。</w:t>
      </w:r>
    </w:p>
    <w:p w14:paraId="5D90F2EE">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（3）对无报备的外来访客车辆，引导其停至校外访客区，人员下车登记。经安保人员联系校内受访者确认后，按规放行入校。</w:t>
      </w:r>
    </w:p>
    <w:p w14:paraId="4794651A">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（4）建立并维护来访人员询问台账、货物进出台账，做好交接班记录。</w:t>
      </w:r>
    </w:p>
    <w:p w14:paraId="45DDD12A">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（四）巡逻岗</w:t>
      </w:r>
    </w:p>
    <w:p w14:paraId="4A4B3941">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岗位职责：</w:t>
      </w:r>
    </w:p>
    <w:p w14:paraId="361DAEEC">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（1）全天候（24小时）巡逻，每1.5小时至少巡逻一轮。及时发现并临时处置违规违法违纪行为，立即报告相关部门。</w:t>
      </w:r>
    </w:p>
    <w:p w14:paraId="1C12208A">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（2）每天早（7:40—8:10）、中（11:40—12:20）、晚（4:20—5:00）三个时间段在校门口指挥疏导交通，重点保障上下班高峰及拥堵时段交通畅通；其他时间维护校园交通与治安秩序，处理突发事件并报告保卫部。</w:t>
      </w:r>
    </w:p>
    <w:p w14:paraId="220E83DF">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（3）对闲散或可疑人员进行问询、劝离出校。</w:t>
      </w:r>
    </w:p>
    <w:p w14:paraId="026E3585">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（4）确保校内消防通道畅通无阻。</w:t>
      </w:r>
    </w:p>
    <w:p w14:paraId="22F52D39">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（5）做好楼宇防火防盗工作，特别是节假日期间的安全保障。</w:t>
      </w:r>
    </w:p>
    <w:p w14:paraId="5389551A">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（6）建立巡逻台账，做好交接班记录。</w:t>
      </w:r>
    </w:p>
    <w:p w14:paraId="6A922F08">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（五）消防控制室岗</w:t>
      </w:r>
    </w:p>
    <w:p w14:paraId="07BE444F">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持证要求：持证上岗（人证合一），必须持有中级及以上消防设施操作员证。</w:t>
      </w:r>
    </w:p>
    <w:p w14:paraId="2E71DDDC">
      <w:pPr>
        <w:pStyle w:val="9"/>
        <w:spacing w:line="54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岗位职责：</w:t>
      </w:r>
    </w:p>
    <w:p w14:paraId="193AB567">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（1）着装规范，精神饱满，坚守岗位，尽职尽责，做好值班记录和交接班工作。</w:t>
      </w:r>
    </w:p>
    <w:p w14:paraId="0A894F3C">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（2）保持室内环境整洁，禁止吸烟，严禁无关人员进入。</w:t>
      </w:r>
    </w:p>
    <w:p w14:paraId="72FE9ED4">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（3）值班期间不得看书报、躺卧睡觉或处理与岗位无关事务。</w:t>
      </w:r>
    </w:p>
    <w:p w14:paraId="1DA06094">
      <w:pPr>
        <w:pStyle w:val="9"/>
        <w:spacing w:line="54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（4）熟练操作消防设施设备联动和保养维护；熟练掌握消防控制系统操作规程，保障设备正常运行；发现设备异常或故障，立即报告保卫部，不得擅自处理。</w:t>
      </w:r>
    </w:p>
    <w:p w14:paraId="2471AB7F">
      <w:pPr>
        <w:pStyle w:val="9"/>
        <w:spacing w:line="540" w:lineRule="exact"/>
        <w:ind w:firstLine="64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（5）爱护消控设施设备，留意报警信号。发现情况立即通知保卫处值班领导或相关人员处理，并详实记录。</w:t>
      </w:r>
    </w:p>
    <w:p w14:paraId="0B5BF899">
      <w:pPr>
        <w:pStyle w:val="9"/>
        <w:spacing w:line="540" w:lineRule="exact"/>
        <w:ind w:firstLine="64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（6）与安保公司签订保密协议（副本交校方），严格遵守条款。岗位固定，未经保卫部批准不得私自调换。</w:t>
      </w:r>
    </w:p>
    <w:p w14:paraId="584D318D">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4.人员管理要求</w:t>
      </w:r>
    </w:p>
    <w:p w14:paraId="542C2091">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（1）未经学校后勤保卫处书面同意，不得随意更换安保队长及超过50%的在岗人员。不合格人员须在7个工作日内完成调换。</w:t>
      </w:r>
    </w:p>
    <w:p w14:paraId="616CCD09">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（2）保险配置：</w:t>
      </w:r>
    </w:p>
    <w:p w14:paraId="7E8F5F36">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a.为所有服务人员购买足额工伤保险、商业意外伤害保险（保额不低于 80 万元/人）；</w:t>
      </w:r>
    </w:p>
    <w:p w14:paraId="63111D80">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b.为服务团队购买公众责任险（累计赔偿限额不低于500万元）。</w:t>
      </w:r>
    </w:p>
    <w:p w14:paraId="50103919">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（3）额外配置：供应商须另行指定1名项目经理（不在25人编制内），负责项目日常监管、考核对接。</w:t>
      </w:r>
    </w:p>
    <w:p w14:paraId="05F6F239">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四、其他要求</w:t>
      </w:r>
    </w:p>
    <w:p w14:paraId="4450BC31">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1.合同期满或提前终止，供应商配合学校平稳交接，提前30日提交移交清单，指派专人负责交接；</w:t>
      </w:r>
    </w:p>
    <w:p w14:paraId="270B7925">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2.供应商过失导致学校财产损失或人员伤害，承担全部赔偿责任，人员违法犯罪或引发重大负面舆情，学校有权扣减服务费或解除合同。</w:t>
      </w:r>
    </w:p>
    <w:p w14:paraId="013E9E32">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Style w:val="5"/>
          <w:rFonts w:hint="eastAsia" w:ascii="宋体" w:hAnsi="宋体" w:eastAsia="宋体" w:cs="宋体"/>
          <w:color w:val="auto"/>
          <w:szCs w:val="21"/>
        </w:rPr>
        <w:t>中标人实际投入本项目的在岗安保人员数量全年每天不得少于</w:t>
      </w:r>
      <w:r>
        <w:rPr>
          <w:rStyle w:val="5"/>
          <w:rFonts w:hint="eastAsia" w:eastAsia="宋体" w:cs="宋体"/>
          <w:color w:val="auto"/>
          <w:szCs w:val="21"/>
          <w:lang w:val="en-US" w:eastAsia="zh-CN"/>
        </w:rPr>
        <w:t>25</w:t>
      </w:r>
      <w:r>
        <w:rPr>
          <w:rStyle w:val="5"/>
          <w:rFonts w:hint="eastAsia" w:ascii="宋体" w:hAnsi="宋体" w:eastAsia="宋体" w:cs="宋体"/>
          <w:color w:val="auto"/>
          <w:szCs w:val="21"/>
        </w:rPr>
        <w:t>人，实行全年365天24小时在岗值守制度，确保岗位全天候有人值守。</w:t>
      </w:r>
      <w:r>
        <w:rPr>
          <w:rFonts w:hint="eastAsia" w:ascii="宋体" w:hAnsi="宋体" w:eastAsia="宋体" w:cs="宋体"/>
          <w:color w:val="auto"/>
          <w:sz w:val="24"/>
          <w:szCs w:val="24"/>
          <w:highlight w:val="none"/>
          <w:lang w:val="en-US" w:eastAsia="zh-CN"/>
        </w:rPr>
        <w:t>采购人将对中标人投标文件中拟派团队所有人员和实际团队所有人员逐一核对，核对无误后方可签订正式安保服务合同；若中标人投标文件中拟派团队人员和实际团队人员有不一致的情况，属于虚假应标，采购人有权上报上级预算主管部门并取消其中标资格，由此带来的一切损失，由中标人完全承担。在安保服务过程中，中标人如有安保人员变动需先向采购人使用部门老师报备，且经采购人同意后方能变动。人员变动须确保轮换、交接等工作无缝衔接到位，不得因人员变动问题导致少人、缺岗。</w:t>
      </w:r>
    </w:p>
    <w:p w14:paraId="78CF9458">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Style w:val="5"/>
          <w:rFonts w:hint="eastAsia" w:ascii="宋体" w:hAnsi="宋体" w:eastAsia="宋体" w:cs="宋体"/>
          <w:color w:val="auto"/>
          <w:szCs w:val="21"/>
        </w:rPr>
        <w:t>采购人遇重大活动时，中标人需无条件临时加派执勤人员。临时加派人员费用</w:t>
      </w:r>
      <w:r>
        <w:rPr>
          <w:rStyle w:val="5"/>
          <w:rFonts w:hint="eastAsia" w:eastAsia="宋体" w:cs="宋体"/>
          <w:color w:val="auto"/>
          <w:szCs w:val="21"/>
          <w:lang w:val="en-US" w:eastAsia="zh-CN"/>
        </w:rPr>
        <w:t>双方另行协商</w:t>
      </w:r>
      <w:r>
        <w:rPr>
          <w:rStyle w:val="5"/>
          <w:rFonts w:hint="eastAsia" w:ascii="宋体" w:hAnsi="宋体" w:eastAsia="宋体" w:cs="宋体"/>
          <w:color w:val="auto"/>
          <w:szCs w:val="21"/>
        </w:rPr>
        <w:t>。</w:t>
      </w:r>
    </w:p>
    <w:p w14:paraId="573CBD08">
      <w:pPr>
        <w:pageBreakBefore w:val="0"/>
        <w:kinsoku/>
        <w:wordWrap/>
        <w:overflowPunct/>
        <w:topLinePunct w:val="0"/>
        <w:bidi w:val="0"/>
        <w:adjustRightInd w:val="0"/>
        <w:snapToGrid w:val="0"/>
        <w:spacing w:before="120" w:beforeLines="50" w:after="120" w:afterLines="50" w:line="500" w:lineRule="exact"/>
        <w:jc w:val="center"/>
        <w:textAlignment w:val="auto"/>
        <w:outlineLvl w:val="9"/>
        <w:rPr>
          <w:rFonts w:hint="eastAsia" w:ascii="黑体" w:hAnsi="黑体" w:eastAsia="黑体"/>
          <w:color w:val="auto"/>
          <w:sz w:val="28"/>
          <w:szCs w:val="28"/>
          <w:highlight w:val="none"/>
          <w:lang w:val="en-US" w:eastAsia="zh-CN"/>
        </w:rPr>
      </w:pPr>
    </w:p>
    <w:p w14:paraId="29714A4A">
      <w:pPr>
        <w:pageBreakBefore w:val="0"/>
        <w:kinsoku/>
        <w:wordWrap/>
        <w:overflowPunct/>
        <w:topLinePunct w:val="0"/>
        <w:bidi w:val="0"/>
        <w:adjustRightInd w:val="0"/>
        <w:snapToGrid w:val="0"/>
        <w:spacing w:before="120" w:beforeLines="50" w:after="120" w:afterLines="50" w:line="500" w:lineRule="exact"/>
        <w:jc w:val="center"/>
        <w:textAlignment w:val="auto"/>
        <w:outlineLvl w:val="9"/>
        <w:rPr>
          <w:rFonts w:hint="eastAsia" w:ascii="黑体" w:hAnsi="黑体" w:eastAsia="黑体"/>
          <w:color w:val="auto"/>
          <w:sz w:val="28"/>
          <w:szCs w:val="28"/>
          <w:highlight w:val="none"/>
          <w:lang w:val="en-US" w:eastAsia="zh-CN"/>
        </w:rPr>
      </w:pPr>
    </w:p>
    <w:p w14:paraId="5230C9DE">
      <w:pPr>
        <w:pageBreakBefore w:val="0"/>
        <w:kinsoku/>
        <w:wordWrap/>
        <w:overflowPunct/>
        <w:topLinePunct w:val="0"/>
        <w:bidi w:val="0"/>
        <w:adjustRightInd w:val="0"/>
        <w:snapToGrid w:val="0"/>
        <w:spacing w:before="120" w:beforeLines="50" w:after="120" w:afterLines="50" w:line="500" w:lineRule="exact"/>
        <w:jc w:val="center"/>
        <w:textAlignment w:val="auto"/>
        <w:outlineLvl w:val="9"/>
        <w:rPr>
          <w:rFonts w:hint="eastAsia" w:ascii="黑体" w:hAnsi="黑体" w:eastAsia="黑体"/>
          <w:color w:val="auto"/>
          <w:sz w:val="28"/>
          <w:szCs w:val="28"/>
          <w:highlight w:val="none"/>
          <w:lang w:val="en-US" w:eastAsia="zh-CN"/>
        </w:rPr>
      </w:pPr>
    </w:p>
    <w:p w14:paraId="14E14FB7">
      <w:pPr>
        <w:pageBreakBefore w:val="0"/>
        <w:kinsoku/>
        <w:wordWrap/>
        <w:overflowPunct/>
        <w:topLinePunct w:val="0"/>
        <w:bidi w:val="0"/>
        <w:adjustRightInd w:val="0"/>
        <w:snapToGrid w:val="0"/>
        <w:spacing w:before="120" w:beforeLines="50" w:after="120" w:afterLines="50" w:line="500" w:lineRule="exact"/>
        <w:jc w:val="center"/>
        <w:textAlignment w:val="auto"/>
        <w:outlineLvl w:val="9"/>
        <w:rPr>
          <w:rFonts w:hint="eastAsia" w:ascii="宋体" w:hAnsi="宋体" w:eastAsia="宋体" w:cs="宋体"/>
          <w:color w:val="auto"/>
          <w:sz w:val="24"/>
          <w:szCs w:val="24"/>
          <w:highlight w:val="none"/>
        </w:rPr>
      </w:pPr>
      <w:r>
        <w:rPr>
          <w:rFonts w:hint="eastAsia" w:ascii="黑体" w:hAnsi="黑体" w:eastAsia="黑体"/>
          <w:color w:val="auto"/>
          <w:sz w:val="28"/>
          <w:szCs w:val="28"/>
          <w:highlight w:val="none"/>
          <w:lang w:val="en-US" w:eastAsia="zh-CN"/>
        </w:rPr>
        <w:t xml:space="preserve">第三节 </w:t>
      </w:r>
      <w:r>
        <w:rPr>
          <w:rFonts w:hint="eastAsia" w:ascii="黑体" w:hAnsi="黑体" w:eastAsia="黑体"/>
          <w:color w:val="auto"/>
          <w:sz w:val="28"/>
          <w:szCs w:val="28"/>
          <w:highlight w:val="none"/>
          <w:lang w:eastAsia="zh-CN"/>
        </w:rPr>
        <w:t>商务要求</w:t>
      </w:r>
    </w:p>
    <w:p w14:paraId="1BB4D0D7">
      <w:pPr>
        <w:pageBreakBefore w:val="0"/>
        <w:widowControl/>
        <w:kinsoku/>
        <w:wordWrap/>
        <w:overflowPunct/>
        <w:topLinePunct w:val="0"/>
        <w:bidi w:val="0"/>
        <w:spacing w:line="500" w:lineRule="exact"/>
        <w:ind w:firstLine="602"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spacing w:val="30"/>
          <w:kern w:val="0"/>
          <w:sz w:val="24"/>
          <w:szCs w:val="24"/>
          <w:highlight w:val="none"/>
        </w:rPr>
        <w:t>一、主要商务要求</w:t>
      </w:r>
    </w:p>
    <w:tbl>
      <w:tblPr>
        <w:tblStyle w:val="4"/>
        <w:tblW w:w="8499" w:type="dxa"/>
        <w:tblInd w:w="13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3554"/>
        <w:gridCol w:w="4945"/>
      </w:tblGrid>
      <w:tr w14:paraId="11E4F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2196" w:hRule="atLeast"/>
        </w:trPr>
        <w:tc>
          <w:tcPr>
            <w:tcW w:w="3554" w:type="dxa"/>
            <w:noWrap w:val="0"/>
            <w:tcMar>
              <w:top w:w="0" w:type="dxa"/>
              <w:left w:w="108" w:type="dxa"/>
              <w:bottom w:w="0" w:type="dxa"/>
              <w:right w:w="108" w:type="dxa"/>
            </w:tcMar>
            <w:vAlign w:val="center"/>
          </w:tcPr>
          <w:p w14:paraId="5BC55285">
            <w:pPr>
              <w:pageBreakBefore w:val="0"/>
              <w:widowControl/>
              <w:kinsoku/>
              <w:wordWrap/>
              <w:overflowPunct/>
              <w:topLinePunct w:val="0"/>
              <w:bidi w:val="0"/>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履行合同的时间、地点及方式</w:t>
            </w:r>
          </w:p>
        </w:tc>
        <w:tc>
          <w:tcPr>
            <w:tcW w:w="4945" w:type="dxa"/>
            <w:noWrap w:val="0"/>
            <w:tcMar>
              <w:top w:w="0" w:type="dxa"/>
              <w:left w:w="108" w:type="dxa"/>
              <w:bottom w:w="0" w:type="dxa"/>
              <w:right w:w="108" w:type="dxa"/>
            </w:tcMar>
            <w:vAlign w:val="center"/>
          </w:tcPr>
          <w:p w14:paraId="63A81098">
            <w:pPr>
              <w:pStyle w:val="10"/>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宋体" w:hAnsi="宋体" w:eastAsia="宋体" w:cs="宋体"/>
                <w:color w:val="auto"/>
                <w:kern w:val="0"/>
                <w:sz w:val="24"/>
                <w:szCs w:val="24"/>
                <w:highlight w:val="none"/>
              </w:rPr>
            </w:pPr>
            <w:r>
              <w:rPr>
                <w:rStyle w:val="11"/>
                <w:rFonts w:hint="eastAsia" w:ascii="宋体" w:hAnsi="宋体" w:eastAsia="宋体" w:cs="宋体"/>
                <w:color w:val="auto"/>
                <w:kern w:val="0"/>
                <w:sz w:val="24"/>
                <w:szCs w:val="24"/>
                <w:highlight w:val="none"/>
              </w:rPr>
              <w:t>时间：合同签订之日起2年，具体以签订的合同为准</w:t>
            </w:r>
          </w:p>
          <w:p w14:paraId="1F53605D">
            <w:pPr>
              <w:pStyle w:val="10"/>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Style w:val="11"/>
                <w:rFonts w:hint="eastAsia" w:ascii="宋体" w:hAnsi="宋体" w:eastAsia="宋体" w:cs="宋体"/>
                <w:color w:val="auto"/>
                <w:kern w:val="0"/>
                <w:sz w:val="24"/>
                <w:szCs w:val="24"/>
                <w:highlight w:val="none"/>
              </w:rPr>
            </w:pPr>
            <w:r>
              <w:rPr>
                <w:rStyle w:val="11"/>
                <w:rFonts w:hint="eastAsia" w:ascii="宋体" w:hAnsi="宋体" w:eastAsia="宋体" w:cs="宋体"/>
                <w:color w:val="auto"/>
                <w:kern w:val="0"/>
                <w:sz w:val="24"/>
                <w:szCs w:val="24"/>
                <w:highlight w:val="none"/>
              </w:rPr>
              <w:t>地点：</w:t>
            </w:r>
            <w:r>
              <w:rPr>
                <w:rStyle w:val="11"/>
                <w:rFonts w:hint="eastAsia" w:ascii="宋体" w:hAnsi="宋体" w:eastAsia="宋体" w:cs="宋体"/>
                <w:color w:val="auto"/>
                <w:kern w:val="0"/>
                <w:sz w:val="24"/>
                <w:szCs w:val="24"/>
                <w:highlight w:val="none"/>
                <w:lang w:eastAsia="zh-CN"/>
              </w:rPr>
              <w:t>湖南财经工业职业技术学院</w:t>
            </w:r>
            <w:r>
              <w:rPr>
                <w:rStyle w:val="11"/>
                <w:rFonts w:hint="eastAsia" w:ascii="宋体" w:hAnsi="宋体" w:eastAsia="宋体" w:cs="宋体"/>
                <w:color w:val="auto"/>
                <w:kern w:val="0"/>
                <w:sz w:val="24"/>
                <w:szCs w:val="24"/>
                <w:highlight w:val="none"/>
              </w:rPr>
              <w:t>指定地址</w:t>
            </w:r>
          </w:p>
          <w:p w14:paraId="7EC1A505">
            <w:pPr>
              <w:keepNext w:val="0"/>
              <w:keepLines w:val="0"/>
              <w:pageBreakBefore w:val="0"/>
              <w:widowControl/>
              <w:kinsoku/>
              <w:wordWrap/>
              <w:overflowPunct/>
              <w:topLinePunct w:val="0"/>
              <w:autoSpaceDE/>
              <w:autoSpaceDN/>
              <w:bidi w:val="0"/>
              <w:spacing w:line="500" w:lineRule="exact"/>
              <w:jc w:val="left"/>
              <w:textAlignment w:val="auto"/>
              <w:rPr>
                <w:rFonts w:hint="eastAsia" w:ascii="宋体" w:hAnsi="宋体" w:eastAsia="宋体" w:cs="宋体"/>
                <w:color w:val="auto"/>
                <w:kern w:val="0"/>
                <w:sz w:val="24"/>
                <w:szCs w:val="24"/>
                <w:highlight w:val="none"/>
              </w:rPr>
            </w:pPr>
            <w:r>
              <w:rPr>
                <w:rStyle w:val="11"/>
                <w:rFonts w:hint="eastAsia" w:ascii="宋体" w:hAnsi="宋体" w:eastAsia="宋体" w:cs="宋体"/>
                <w:color w:val="auto"/>
                <w:kern w:val="0"/>
                <w:sz w:val="24"/>
                <w:szCs w:val="24"/>
                <w:highlight w:val="none"/>
              </w:rPr>
              <w:t>方式：合同约定。</w:t>
            </w:r>
          </w:p>
        </w:tc>
      </w:tr>
      <w:tr w14:paraId="3FE55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58" w:hRule="atLeast"/>
        </w:trPr>
        <w:tc>
          <w:tcPr>
            <w:tcW w:w="3554" w:type="dxa"/>
            <w:noWrap w:val="0"/>
            <w:tcMar>
              <w:top w:w="0" w:type="dxa"/>
              <w:left w:w="108" w:type="dxa"/>
              <w:bottom w:w="0" w:type="dxa"/>
              <w:right w:w="108" w:type="dxa"/>
            </w:tcMar>
            <w:vAlign w:val="center"/>
          </w:tcPr>
          <w:p w14:paraId="1A858DB3">
            <w:pPr>
              <w:pageBreakBefore w:val="0"/>
              <w:widowControl/>
              <w:kinsoku/>
              <w:wordWrap/>
              <w:overflowPunct/>
              <w:topLinePunct w:val="0"/>
              <w:bidi w:val="0"/>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服务期限</w:t>
            </w:r>
          </w:p>
        </w:tc>
        <w:tc>
          <w:tcPr>
            <w:tcW w:w="4945" w:type="dxa"/>
            <w:noWrap w:val="0"/>
            <w:tcMar>
              <w:top w:w="0" w:type="dxa"/>
              <w:left w:w="108" w:type="dxa"/>
              <w:bottom w:w="0" w:type="dxa"/>
              <w:right w:w="108" w:type="dxa"/>
            </w:tcMar>
            <w:vAlign w:val="center"/>
          </w:tcPr>
          <w:p w14:paraId="08DA99D7">
            <w:pPr>
              <w:keepNext w:val="0"/>
              <w:keepLines w:val="0"/>
              <w:pageBreakBefore w:val="0"/>
              <w:widowControl/>
              <w:kinsoku/>
              <w:wordWrap/>
              <w:overflowPunct/>
              <w:topLinePunct w:val="0"/>
              <w:autoSpaceDE/>
              <w:autoSpaceDN/>
              <w:bidi w:val="0"/>
              <w:spacing w:line="500" w:lineRule="exact"/>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服务期限：</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年。</w:t>
            </w:r>
          </w:p>
        </w:tc>
      </w:tr>
      <w:tr w14:paraId="4CAD1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11" w:hRule="atLeast"/>
        </w:trPr>
        <w:tc>
          <w:tcPr>
            <w:tcW w:w="3554" w:type="dxa"/>
            <w:noWrap w:val="0"/>
            <w:tcMar>
              <w:top w:w="0" w:type="dxa"/>
              <w:left w:w="108" w:type="dxa"/>
              <w:bottom w:w="0" w:type="dxa"/>
              <w:right w:w="108" w:type="dxa"/>
            </w:tcMar>
            <w:vAlign w:val="center"/>
          </w:tcPr>
          <w:p w14:paraId="6FAC2C25">
            <w:pPr>
              <w:pageBreakBefore w:val="0"/>
              <w:widowControl/>
              <w:kinsoku/>
              <w:wordWrap/>
              <w:overflowPunct/>
              <w:topLinePunct w:val="0"/>
              <w:bidi w:val="0"/>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合同价款支付方式和条件</w:t>
            </w:r>
          </w:p>
        </w:tc>
        <w:tc>
          <w:tcPr>
            <w:tcW w:w="4945" w:type="dxa"/>
            <w:noWrap w:val="0"/>
            <w:tcMar>
              <w:top w:w="0" w:type="dxa"/>
              <w:left w:w="108" w:type="dxa"/>
              <w:bottom w:w="0" w:type="dxa"/>
              <w:right w:w="108" w:type="dxa"/>
            </w:tcMar>
            <w:vAlign w:val="center"/>
          </w:tcPr>
          <w:p w14:paraId="251A7571">
            <w:pPr>
              <w:keepNext w:val="0"/>
              <w:keepLines w:val="0"/>
              <w:pageBreakBefore w:val="0"/>
              <w:widowControl/>
              <w:kinsoku/>
              <w:wordWrap/>
              <w:overflowPunct/>
              <w:topLinePunct w:val="0"/>
              <w:autoSpaceDE/>
              <w:autoSpaceDN/>
              <w:bidi w:val="0"/>
              <w:spacing w:line="500" w:lineRule="exact"/>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服务费按月度等额支付，具体金额依据月度考核结果折算并减去扣款金额。</w:t>
            </w:r>
          </w:p>
        </w:tc>
      </w:tr>
      <w:tr w14:paraId="4BA97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972" w:hRule="atLeast"/>
        </w:trPr>
        <w:tc>
          <w:tcPr>
            <w:tcW w:w="3554" w:type="dxa"/>
            <w:noWrap w:val="0"/>
            <w:tcMar>
              <w:top w:w="0" w:type="dxa"/>
              <w:left w:w="108" w:type="dxa"/>
              <w:bottom w:w="0" w:type="dxa"/>
              <w:right w:w="108" w:type="dxa"/>
            </w:tcMar>
            <w:vAlign w:val="center"/>
          </w:tcPr>
          <w:p w14:paraId="08599C4C">
            <w:pPr>
              <w:pStyle w:val="12"/>
              <w:pageBreakBefore w:val="0"/>
              <w:widowControl/>
              <w:kinsoku/>
              <w:wordWrap/>
              <w:overflowPunct/>
              <w:topLinePunct w:val="0"/>
              <w:bidi w:val="0"/>
              <w:spacing w:before="210" w:after="210" w:line="500" w:lineRule="exact"/>
              <w:jc w:val="center"/>
              <w:textAlignment w:val="auto"/>
              <w:rPr>
                <w:rFonts w:hint="eastAsia" w:ascii="宋体" w:hAnsi="宋体" w:eastAsia="宋体" w:cs="宋体"/>
                <w:color w:val="auto"/>
                <w:spacing w:val="30"/>
                <w:kern w:val="0"/>
                <w:sz w:val="24"/>
                <w:szCs w:val="24"/>
                <w:highlight w:val="none"/>
              </w:rPr>
            </w:pPr>
            <w:r>
              <w:rPr>
                <w:rFonts w:hint="eastAsia" w:ascii="宋体" w:hAnsi="宋体" w:eastAsia="宋体" w:cs="宋体"/>
                <w:color w:val="auto"/>
                <w:spacing w:val="30"/>
                <w:kern w:val="0"/>
                <w:sz w:val="24"/>
                <w:szCs w:val="24"/>
                <w:highlight w:val="none"/>
              </w:rPr>
              <w:t>解决争议的方式</w:t>
            </w:r>
          </w:p>
        </w:tc>
        <w:tc>
          <w:tcPr>
            <w:tcW w:w="4945" w:type="dxa"/>
            <w:noWrap w:val="0"/>
            <w:tcMar>
              <w:top w:w="0" w:type="dxa"/>
              <w:left w:w="108" w:type="dxa"/>
              <w:bottom w:w="0" w:type="dxa"/>
              <w:right w:w="108" w:type="dxa"/>
            </w:tcMar>
            <w:vAlign w:val="center"/>
          </w:tcPr>
          <w:p w14:paraId="2BC3C312">
            <w:pPr>
              <w:pStyle w:val="12"/>
              <w:pageBreakBefore w:val="0"/>
              <w:widowControl/>
              <w:kinsoku/>
              <w:wordWrap/>
              <w:overflowPunct/>
              <w:topLinePunct w:val="0"/>
              <w:bidi w:val="0"/>
              <w:spacing w:before="210" w:after="210" w:line="500" w:lineRule="exact"/>
              <w:jc w:val="left"/>
              <w:textAlignment w:val="auto"/>
              <w:rPr>
                <w:rFonts w:hint="eastAsia" w:ascii="宋体" w:hAnsi="宋体" w:eastAsia="宋体" w:cs="宋体"/>
                <w:color w:val="auto"/>
                <w:spacing w:val="30"/>
                <w:kern w:val="0"/>
                <w:sz w:val="24"/>
                <w:szCs w:val="24"/>
                <w:highlight w:val="none"/>
              </w:rPr>
            </w:pPr>
            <w:r>
              <w:rPr>
                <w:rFonts w:hint="eastAsia" w:ascii="宋体" w:hAnsi="宋体" w:eastAsia="宋体" w:cs="宋体"/>
                <w:bCs/>
                <w:color w:val="auto"/>
                <w:kern w:val="0"/>
                <w:sz w:val="24"/>
                <w:szCs w:val="24"/>
                <w:highlight w:val="none"/>
              </w:rPr>
              <w:t>□</w:t>
            </w:r>
            <w:r>
              <w:rPr>
                <w:rFonts w:hint="eastAsia" w:ascii="宋体" w:hAnsi="宋体" w:eastAsia="宋体" w:cs="宋体"/>
                <w:color w:val="auto"/>
                <w:sz w:val="24"/>
                <w:szCs w:val="24"/>
                <w:highlight w:val="none"/>
              </w:rPr>
              <w:t xml:space="preserve">仲裁  </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color w:val="auto"/>
                <w:sz w:val="24"/>
                <w:szCs w:val="24"/>
                <w:highlight w:val="none"/>
              </w:rPr>
              <w:t>诉讼</w:t>
            </w:r>
          </w:p>
        </w:tc>
      </w:tr>
    </w:tbl>
    <w:p w14:paraId="16655A7D">
      <w:pPr>
        <w:pageBreakBefore w:val="0"/>
        <w:widowControl/>
        <w:kinsoku/>
        <w:wordWrap/>
        <w:overflowPunct/>
        <w:topLinePunct w:val="0"/>
        <w:bidi w:val="0"/>
        <w:spacing w:line="500" w:lineRule="exact"/>
        <w:ind w:firstLine="602" w:firstLineChars="200"/>
        <w:jc w:val="left"/>
        <w:textAlignment w:val="auto"/>
        <w:rPr>
          <w:rFonts w:hint="eastAsia" w:ascii="宋体" w:hAnsi="宋体" w:eastAsia="宋体" w:cs="宋体"/>
          <w:b/>
          <w:bCs/>
          <w:color w:val="auto"/>
          <w:spacing w:val="30"/>
          <w:kern w:val="0"/>
          <w:sz w:val="24"/>
          <w:szCs w:val="24"/>
          <w:highlight w:val="none"/>
          <w:lang w:val="en-US" w:eastAsia="zh-CN"/>
        </w:rPr>
      </w:pPr>
      <w:r>
        <w:rPr>
          <w:rFonts w:hint="eastAsia" w:ascii="宋体" w:hAnsi="宋体" w:eastAsia="宋体" w:cs="宋体"/>
          <w:b/>
          <w:bCs/>
          <w:color w:val="auto"/>
          <w:spacing w:val="30"/>
          <w:kern w:val="0"/>
          <w:sz w:val="24"/>
          <w:szCs w:val="24"/>
          <w:highlight w:val="none"/>
          <w:lang w:val="en-US" w:eastAsia="zh-CN"/>
        </w:rPr>
        <w:t>二、项目费用要求</w:t>
      </w:r>
    </w:p>
    <w:p w14:paraId="577FA1F3">
      <w:pPr>
        <w:pStyle w:val="9"/>
        <w:numPr>
          <w:ilvl w:val="0"/>
          <w:numId w:val="0"/>
        </w:numPr>
        <w:spacing w:line="540" w:lineRule="exact"/>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1.中标人所有人员的住宿、就餐、医疗、工伤、意外保险、治安等所产生的费用在投标时须考虑进投标报价中，采购人对此不再支付任何费用、承担任何责任。</w:t>
      </w:r>
    </w:p>
    <w:p w14:paraId="3345EAF7">
      <w:pPr>
        <w:pStyle w:val="9"/>
        <w:numPr>
          <w:ilvl w:val="0"/>
          <w:numId w:val="0"/>
        </w:numPr>
        <w:spacing w:line="540" w:lineRule="exact"/>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2.中标人自行提供符合标准的执勤服装、防护装备、通讯器材等，保持合同期内装备完好可用(装备清单及更新计划需在投标文件中明确)。</w:t>
      </w:r>
    </w:p>
    <w:p w14:paraId="31938939">
      <w:pPr>
        <w:pStyle w:val="9"/>
        <w:numPr>
          <w:ilvl w:val="0"/>
          <w:numId w:val="0"/>
        </w:numPr>
        <w:spacing w:line="540" w:lineRule="exact"/>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本项目采用费用包干方式，投标人应根据项目要求和现场情况，详细列明项目所需的费用，应包括完成合同范围的全部工作内容所发生的人员工资、社保、福利、管理、财务、培训、税费等所有费用。投标人需把所有可能发生的费用计入投标报价中，如一旦中标，在项目实施中出现任何遗漏，均由中标人负责，采购人不再支付任何费用。</w:t>
      </w:r>
    </w:p>
    <w:p w14:paraId="33A6F1E4">
      <w:pPr>
        <w:pageBreakBefore w:val="0"/>
        <w:widowControl/>
        <w:kinsoku/>
        <w:wordWrap/>
        <w:overflowPunct/>
        <w:topLinePunct w:val="0"/>
        <w:bidi w:val="0"/>
        <w:spacing w:line="500" w:lineRule="exact"/>
        <w:ind w:firstLine="602" w:firstLineChars="200"/>
        <w:jc w:val="left"/>
        <w:textAlignment w:val="auto"/>
        <w:rPr>
          <w:rFonts w:hint="eastAsia" w:ascii="宋体" w:hAnsi="宋体" w:eastAsia="宋体" w:cs="宋体"/>
          <w:b/>
          <w:bCs/>
          <w:color w:val="auto"/>
          <w:spacing w:val="30"/>
          <w:kern w:val="0"/>
          <w:sz w:val="24"/>
          <w:szCs w:val="24"/>
          <w:highlight w:val="none"/>
          <w:lang w:val="en-US" w:eastAsia="zh-CN"/>
        </w:rPr>
      </w:pPr>
      <w:r>
        <w:rPr>
          <w:rFonts w:hint="eastAsia" w:ascii="宋体" w:hAnsi="宋体" w:eastAsia="宋体" w:cs="宋体"/>
          <w:b/>
          <w:bCs/>
          <w:color w:val="auto"/>
          <w:spacing w:val="30"/>
          <w:kern w:val="0"/>
          <w:sz w:val="24"/>
          <w:szCs w:val="24"/>
          <w:highlight w:val="none"/>
          <w:lang w:val="en-US" w:eastAsia="zh-CN"/>
        </w:rPr>
        <w:t>三、服务标准与考核办法</w:t>
      </w:r>
    </w:p>
    <w:p w14:paraId="4AD66EDB">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1.考核方式：月度百分制考核，由后勤保卫处牵头。</w:t>
      </w:r>
    </w:p>
    <w:p w14:paraId="36F4157A">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月度考核得分与当月服务费支付比例挂钩，90分及以上支付100%,80-90分支付95%,低于80分支付90%且要求提交整改报告，连续两个月或累计三个月低于80分，学校有权解除合同。其中：若当月存在违规行为，学校将根据违规情节进行相应扣款。最终支付金额为考核得分对应的支付比例金额减去违规扣款金额。</w:t>
      </w:r>
    </w:p>
    <w:p w14:paraId="70BB6E65">
      <w:pPr>
        <w:pStyle w:val="3"/>
        <w:keepNext w:val="0"/>
        <w:keepLines w:val="0"/>
        <w:pageBreakBefore w:val="0"/>
        <w:kinsoku/>
        <w:wordWrap/>
        <w:overflowPunct/>
        <w:topLinePunct w:val="0"/>
        <w:autoSpaceDE/>
        <w:autoSpaceDN/>
        <w:bidi w:val="0"/>
        <w:adjustRightInd w:val="0"/>
        <w:snapToGrid w:val="0"/>
        <w:spacing w:after="0"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3.具体考核办法双方合同预定。</w:t>
      </w:r>
    </w:p>
    <w:p w14:paraId="3A8271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5A5D42"/>
    <w:rsid w:val="385A5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1"/>
    <w:rPr>
      <w:rFonts w:ascii="宋体" w:hAnsi="宋体"/>
      <w:sz w:val="24"/>
    </w:rPr>
  </w:style>
  <w:style w:type="paragraph" w:customStyle="1" w:styleId="6">
    <w:name w:val="正文_21_0_0"/>
    <w:next w:val="7"/>
    <w:qFormat/>
    <w:uiPriority w:val="0"/>
    <w:pPr>
      <w:widowControl w:val="0"/>
      <w:jc w:val="both"/>
    </w:pPr>
    <w:rPr>
      <w:rFonts w:ascii="Calibri" w:hAnsi="Calibri" w:eastAsia="宋体" w:cs="Times New Roman"/>
      <w:kern w:val="2"/>
      <w:sz w:val="21"/>
      <w:szCs w:val="22"/>
      <w:lang w:val="en-US" w:eastAsia="zh-CN" w:bidi="ar-SA"/>
    </w:rPr>
  </w:style>
  <w:style w:type="paragraph" w:customStyle="1" w:styleId="7">
    <w:name w:val="No Spacing"/>
    <w:basedOn w:val="8"/>
    <w:qFormat/>
    <w:uiPriority w:val="0"/>
    <w:pPr>
      <w:widowControl/>
      <w:adjustRightInd w:val="0"/>
      <w:snapToGrid w:val="0"/>
      <w:spacing w:before="100" w:beforeAutospacing="1"/>
      <w:jc w:val="left"/>
    </w:pPr>
    <w:rPr>
      <w:rFonts w:ascii="Tahoma" w:hAnsi="Tahoma" w:eastAsia="微软雅黑"/>
      <w:kern w:val="0"/>
      <w:sz w:val="22"/>
      <w:szCs w:val="22"/>
    </w:rPr>
  </w:style>
  <w:style w:type="paragraph" w:customStyle="1" w:styleId="8">
    <w:name w:val="正文_21_0"/>
    <w:next w:val="7"/>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正文_22_1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
    <w:name w:val="10_0_0"/>
    <w:basedOn w:val="5"/>
    <w:qFormat/>
    <w:uiPriority w:val="0"/>
    <w:rPr>
      <w:rFonts w:hint="default" w:ascii="Calibri" w:hAnsi="Calibri"/>
    </w:rPr>
  </w:style>
  <w:style w:type="paragraph" w:customStyle="1" w:styleId="12">
    <w:name w:val="正文_17"/>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2026-07-24T08:59:00Z</dcterms:created>
  <dc:creator>WPS_1758273207</dc:creator>
  <cp:lastModifiedBy>WPS_1758273207</cp:lastModifiedBy>
  <dcterms:modified xsi:type="dcterms:W3CDTF">2026-07-24T09:00:20Z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61BDCCF148E44467B506FAFB44DE78B8_11</vt:lpwstr>
  </property>
  <property fmtid="{D5CDD505-2E9C-101B-9397-08002B2CF9AE}" pid="4" name="KSOTemplateDocerSaveRecord">
    <vt:lpwstr>eyJoZGlkIjoiMWExMWVhNWZiOTQxNDQ3NGZlMmQ2MDQ3ZDFkMmRlY2MiLCJ1c2VySWQiOiIxNzQ2NjYxNzA5In0=</vt:lpwstr>
  </property>
</Properties>
</file>