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14041">
      <w:pPr>
        <w:kinsoku w:val="0"/>
        <w:autoSpaceDE w:val="0"/>
        <w:autoSpaceDN w:val="0"/>
        <w:adjustRightInd w:val="0"/>
        <w:snapToGrid w:val="0"/>
        <w:spacing w:before="162" w:line="224" w:lineRule="auto"/>
        <w:ind w:left="2894"/>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5"/>
          <w:kern w:val="0"/>
          <w:sz w:val="31"/>
          <w:szCs w:val="31"/>
          <w:lang w:val="en-US" w:eastAsia="en-US" w:bidi="ar-SA"/>
        </w:rPr>
        <w:t>采购需求</w:t>
      </w:r>
    </w:p>
    <w:p w14:paraId="0730CB0E">
      <w:pPr>
        <w:widowControl/>
        <w:kinsoku w:val="0"/>
        <w:autoSpaceDE w:val="0"/>
        <w:autoSpaceDN w:val="0"/>
        <w:adjustRightInd w:val="0"/>
        <w:snapToGrid w:val="0"/>
        <w:spacing w:line="469" w:lineRule="auto"/>
        <w:jc w:val="left"/>
        <w:textAlignment w:val="baseline"/>
        <w:rPr>
          <w:rFonts w:ascii="Arial" w:hAnsi="Arial" w:eastAsia="Arial" w:cs="Arial"/>
          <w:snapToGrid w:val="0"/>
          <w:color w:val="000000"/>
          <w:kern w:val="0"/>
          <w:sz w:val="21"/>
          <w:szCs w:val="21"/>
          <w:lang w:eastAsia="en-US"/>
        </w:rPr>
      </w:pPr>
    </w:p>
    <w:p w14:paraId="255E5E8E">
      <w:pPr>
        <w:kinsoku w:val="0"/>
        <w:autoSpaceDE w:val="0"/>
        <w:autoSpaceDN w:val="0"/>
        <w:adjustRightInd w:val="0"/>
        <w:snapToGrid w:val="0"/>
        <w:spacing w:before="97" w:line="219" w:lineRule="auto"/>
        <w:ind w:left="2915"/>
        <w:jc w:val="left"/>
        <w:textAlignment w:val="baseline"/>
        <w:rPr>
          <w:rFonts w:ascii="宋体" w:hAnsi="宋体" w:eastAsia="宋体" w:cs="宋体"/>
          <w:snapToGrid w:val="0"/>
          <w:color w:val="000000"/>
          <w:kern w:val="0"/>
          <w:sz w:val="30"/>
          <w:szCs w:val="30"/>
          <w:lang w:val="en-US" w:eastAsia="en-US" w:bidi="ar-SA"/>
        </w:rPr>
      </w:pPr>
      <w:r>
        <w:rPr>
          <w:rFonts w:ascii="宋体" w:hAnsi="宋体" w:eastAsia="宋体" w:cs="宋体"/>
          <w:b/>
          <w:bCs/>
          <w:snapToGrid w:val="0"/>
          <w:color w:val="000000"/>
          <w:spacing w:val="49"/>
          <w:kern w:val="0"/>
          <w:sz w:val="30"/>
          <w:szCs w:val="30"/>
          <w:lang w:val="en-US" w:eastAsia="en-US" w:bidi="ar-SA"/>
        </w:rPr>
        <w:t>第一节服务要求</w:t>
      </w:r>
    </w:p>
    <w:p w14:paraId="1DD3F296">
      <w:pPr>
        <w:widowControl/>
        <w:kinsoku w:val="0"/>
        <w:autoSpaceDE w:val="0"/>
        <w:autoSpaceDN w:val="0"/>
        <w:adjustRightInd w:val="0"/>
        <w:snapToGrid w:val="0"/>
        <w:spacing w:line="240" w:lineRule="auto"/>
        <w:jc w:val="left"/>
        <w:textAlignment w:val="baseline"/>
        <w:rPr>
          <w:rFonts w:hint="eastAsia" w:ascii="宋体" w:hAnsi="宋体" w:eastAsia="Arial" w:cs="Arial"/>
          <w:b/>
          <w:bCs/>
          <w:snapToGrid w:val="0"/>
          <w:color w:val="000000"/>
          <w:kern w:val="0"/>
          <w:szCs w:val="21"/>
          <w:lang w:eastAsia="en-US"/>
        </w:rPr>
      </w:pPr>
    </w:p>
    <w:p w14:paraId="3060BC3B">
      <w:pPr>
        <w:widowControl/>
        <w:kinsoku w:val="0"/>
        <w:autoSpaceDE w:val="0"/>
        <w:autoSpaceDN w:val="0"/>
        <w:adjustRightInd w:val="0"/>
        <w:snapToGrid w:val="0"/>
        <w:spacing w:before="0" w:beforeAutospacing="0" w:after="0" w:afterAutospacing="0" w:line="360" w:lineRule="auto"/>
        <w:ind w:firstLine="420" w:firstLineChars="200"/>
        <w:jc w:val="both"/>
        <w:textAlignment w:val="baseline"/>
        <w:rPr>
          <w:rFonts w:hint="eastAsia" w:ascii="宋体" w:hAnsi="宋体" w:eastAsia="Arial" w:cs="宋体"/>
          <w:b/>
          <w:snapToGrid w:val="0"/>
          <w:color w:val="000000"/>
          <w:kern w:val="2"/>
          <w:sz w:val="21"/>
          <w:szCs w:val="21"/>
          <w:lang w:val="en-US" w:eastAsia="en-US" w:bidi="ar-SA"/>
        </w:rPr>
      </w:pPr>
      <w:r>
        <w:rPr>
          <w:rFonts w:hint="eastAsia" w:ascii="宋体" w:hAnsi="宋体" w:eastAsia="Arial" w:cs="宋体"/>
          <w:b/>
          <w:snapToGrid w:val="0"/>
          <w:color w:val="000000"/>
          <w:kern w:val="2"/>
          <w:sz w:val="21"/>
          <w:szCs w:val="21"/>
          <w:lang w:val="en-US" w:eastAsia="en-US" w:bidi="ar-SA"/>
        </w:rPr>
        <w:t>一、项目概况</w:t>
      </w:r>
    </w:p>
    <w:p w14:paraId="334CF26F">
      <w:pPr>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 w:val="0"/>
          <w:bCs w:val="0"/>
          <w:snapToGrid w:val="0"/>
          <w:color w:val="000000"/>
          <w:kern w:val="2"/>
          <w:sz w:val="21"/>
          <w:szCs w:val="21"/>
          <w:lang w:val="en-US" w:eastAsia="zh-CN" w:bidi="ar-SA"/>
        </w:rPr>
      </w:pPr>
      <w:r>
        <w:rPr>
          <w:rFonts w:hint="eastAsia" w:ascii="宋体" w:hAnsi="宋体" w:eastAsia="Arial" w:cs="宋体"/>
          <w:b w:val="0"/>
          <w:bCs w:val="0"/>
          <w:iCs/>
          <w:snapToGrid w:val="0"/>
          <w:color w:val="000000"/>
          <w:kern w:val="0"/>
          <w:sz w:val="21"/>
          <w:szCs w:val="21"/>
          <w:lang w:val="en-US" w:eastAsia="zh-CN" w:bidi="ar-SA"/>
        </w:rPr>
        <w:t>1、项目名称：雁峰区天马山街道办事处2026年环卫市场化作业服务外包政府采购项目</w:t>
      </w:r>
      <w:r>
        <w:rPr>
          <w:rFonts w:hint="eastAsia" w:ascii="宋体" w:hAnsi="宋体" w:eastAsia="Arial" w:cs="宋体"/>
          <w:b w:val="0"/>
          <w:bCs w:val="0"/>
          <w:snapToGrid w:val="0"/>
          <w:color w:val="000000"/>
          <w:kern w:val="2"/>
          <w:sz w:val="21"/>
          <w:szCs w:val="21"/>
          <w:lang w:val="en-US" w:eastAsia="zh-CN" w:bidi="ar-SA"/>
        </w:rPr>
        <w:t>。</w:t>
      </w:r>
    </w:p>
    <w:p w14:paraId="3689EDEF">
      <w:pPr>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snapToGrid w:val="0"/>
          <w:color w:val="000000"/>
          <w:kern w:val="2"/>
          <w:sz w:val="21"/>
          <w:szCs w:val="21"/>
          <w:lang w:val="en-US" w:eastAsia="zh-CN" w:bidi="ar-SA"/>
        </w:rPr>
      </w:pPr>
      <w:r>
        <w:rPr>
          <w:rFonts w:hint="eastAsia" w:ascii="宋体" w:hAnsi="宋体" w:eastAsia="Arial" w:cs="宋体"/>
          <w:snapToGrid w:val="0"/>
          <w:color w:val="000000"/>
          <w:kern w:val="2"/>
          <w:sz w:val="21"/>
          <w:szCs w:val="21"/>
          <w:lang w:val="en-US" w:eastAsia="zh-CN" w:bidi="ar-SA"/>
        </w:rPr>
        <w:t>2、服务面积：约261472.9平方米。</w:t>
      </w:r>
    </w:p>
    <w:p w14:paraId="39E3168D">
      <w:pPr>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snapToGrid w:val="0"/>
          <w:color w:val="000000"/>
          <w:kern w:val="2"/>
          <w:sz w:val="21"/>
          <w:szCs w:val="21"/>
          <w:lang w:val="en-US" w:eastAsia="zh-CN" w:bidi="ar-SA"/>
        </w:rPr>
      </w:pPr>
      <w:r>
        <w:rPr>
          <w:rFonts w:hint="eastAsia" w:ascii="宋体" w:hAnsi="宋体" w:eastAsia="Arial" w:cs="宋体"/>
          <w:snapToGrid w:val="0"/>
          <w:color w:val="000000"/>
          <w:kern w:val="2"/>
          <w:sz w:val="21"/>
          <w:szCs w:val="21"/>
          <w:lang w:val="en-US" w:eastAsia="zh-CN" w:bidi="ar-SA"/>
        </w:rPr>
        <w:t>3、服务期限：一年，具体实施服务开始时间以甲乙双方约定的时间为准。</w:t>
      </w:r>
      <w:bookmarkStart w:id="0" w:name="_GoBack"/>
      <w:bookmarkEnd w:id="0"/>
    </w:p>
    <w:p w14:paraId="0440D09E">
      <w:pPr>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
          <w:bCs/>
          <w:snapToGrid w:val="0"/>
          <w:color w:val="auto"/>
          <w:kern w:val="0"/>
          <w:sz w:val="21"/>
          <w:szCs w:val="21"/>
          <w:lang w:val="en-US" w:eastAsia="zh-CN" w:bidi="ar-SA"/>
        </w:rPr>
      </w:pPr>
      <w:r>
        <w:rPr>
          <w:rFonts w:hint="eastAsia" w:ascii="宋体" w:hAnsi="宋体" w:eastAsia="Arial" w:cs="宋体"/>
          <w:b/>
          <w:bCs/>
          <w:snapToGrid w:val="0"/>
          <w:color w:val="auto"/>
          <w:kern w:val="0"/>
          <w:sz w:val="21"/>
          <w:szCs w:val="21"/>
          <w:lang w:val="en-US" w:eastAsia="zh-CN" w:bidi="ar-SA"/>
        </w:rPr>
        <w:t>二、作业内容概括</w:t>
      </w:r>
    </w:p>
    <w:p w14:paraId="408C0271">
      <w:pPr>
        <w:keepNext w:val="0"/>
        <w:keepLines w:val="0"/>
        <w:pageBreakBefore w:val="0"/>
        <w:widowControl w:val="0"/>
        <w:kinsoku/>
        <w:wordWrap/>
        <w:overflowPunct/>
        <w:topLinePunct w:val="0"/>
        <w:autoSpaceDE/>
        <w:autoSpaceDN/>
        <w:bidi w:val="0"/>
        <w:adjustRightInd/>
        <w:snapToGrid w:val="0"/>
        <w:spacing w:after="0" w:line="360" w:lineRule="auto"/>
        <w:ind w:firstLine="422" w:firstLineChars="200"/>
        <w:jc w:val="left"/>
        <w:textAlignment w:val="auto"/>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333333"/>
          <w:kern w:val="0"/>
          <w:sz w:val="21"/>
          <w:szCs w:val="21"/>
          <w:shd w:val="clear" w:color="auto" w:fill="FFFFFF"/>
          <w:lang w:val="en-US" w:eastAsia="en-US" w:bidi="ar-SA"/>
        </w:rPr>
        <w:t>（一）服务路段人员安排情况介绍</w:t>
      </w:r>
    </w:p>
    <w:p w14:paraId="71BFC7B4">
      <w:pPr>
        <w:keepNext w:val="0"/>
        <w:keepLines w:val="0"/>
        <w:pageBreakBefore w:val="0"/>
        <w:widowControl w:val="0"/>
        <w:kinsoku/>
        <w:wordWrap/>
        <w:overflowPunct/>
        <w:topLinePunct w:val="0"/>
        <w:autoSpaceDE/>
        <w:autoSpaceDN/>
        <w:bidi w:val="0"/>
        <w:adjustRightInd/>
        <w:snapToGrid w:val="0"/>
        <w:spacing w:line="360" w:lineRule="auto"/>
        <w:ind w:firstLine="210" w:firstLineChars="100"/>
        <w:jc w:val="left"/>
        <w:textAlignment w:val="auto"/>
        <w:rPr>
          <w:rFonts w:hint="eastAsia" w:ascii="宋体" w:hAnsi="宋体" w:eastAsia="Arial" w:cs="宋体"/>
          <w:snapToGrid w:val="0"/>
          <w:color w:val="000000"/>
          <w:kern w:val="0"/>
          <w:sz w:val="21"/>
          <w:szCs w:val="21"/>
          <w:lang w:eastAsia="zh-CN"/>
        </w:rPr>
      </w:pPr>
      <w:r>
        <w:rPr>
          <w:rFonts w:hint="eastAsia" w:ascii="宋体" w:hAnsi="宋体" w:eastAsia="Arial" w:cs="宋体"/>
          <w:snapToGrid w:val="0"/>
          <w:color w:val="000000"/>
          <w:kern w:val="0"/>
          <w:sz w:val="21"/>
          <w:szCs w:val="21"/>
          <w:lang w:eastAsia="zh-CN"/>
        </w:rPr>
        <w:t>肖家山卫生网格：总计大扫3人，保洁</w:t>
      </w:r>
      <w:r>
        <w:rPr>
          <w:rFonts w:hint="eastAsia" w:ascii="宋体" w:hAnsi="宋体" w:eastAsia="Arial" w:cs="宋体"/>
          <w:snapToGrid w:val="0"/>
          <w:color w:val="000000"/>
          <w:kern w:val="0"/>
          <w:sz w:val="21"/>
          <w:szCs w:val="21"/>
          <w:lang w:val="en-US" w:eastAsia="zh-CN"/>
        </w:rPr>
        <w:t>5</w:t>
      </w:r>
      <w:r>
        <w:rPr>
          <w:rFonts w:hint="eastAsia" w:ascii="宋体" w:hAnsi="宋体" w:eastAsia="Arial" w:cs="宋体"/>
          <w:snapToGrid w:val="0"/>
          <w:color w:val="000000"/>
          <w:kern w:val="0"/>
          <w:sz w:val="21"/>
          <w:szCs w:val="21"/>
          <w:lang w:eastAsia="zh-CN"/>
        </w:rPr>
        <w:t>人，清运2人，合计</w:t>
      </w:r>
      <w:r>
        <w:rPr>
          <w:rFonts w:hint="eastAsia" w:ascii="宋体" w:hAnsi="宋体" w:eastAsia="Arial" w:cs="宋体"/>
          <w:snapToGrid w:val="0"/>
          <w:color w:val="000000"/>
          <w:kern w:val="0"/>
          <w:sz w:val="21"/>
          <w:szCs w:val="21"/>
          <w:lang w:val="en-US" w:eastAsia="zh-CN"/>
        </w:rPr>
        <w:t>10</w:t>
      </w:r>
      <w:r>
        <w:rPr>
          <w:rFonts w:hint="eastAsia" w:ascii="宋体" w:hAnsi="宋体" w:eastAsia="Arial" w:cs="宋体"/>
          <w:snapToGrid w:val="0"/>
          <w:color w:val="000000"/>
          <w:kern w:val="0"/>
          <w:sz w:val="21"/>
          <w:szCs w:val="21"/>
          <w:lang w:eastAsia="zh-CN"/>
        </w:rPr>
        <w:t>人。</w:t>
      </w:r>
    </w:p>
    <w:tbl>
      <w:tblPr>
        <w:tblStyle w:val="2"/>
        <w:tblpPr w:leftFromText="180" w:rightFromText="180" w:vertAnchor="text" w:horzAnchor="page" w:tblpX="1663" w:tblpY="26"/>
        <w:tblOverlap w:val="never"/>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9"/>
        <w:gridCol w:w="1485"/>
        <w:gridCol w:w="1409"/>
        <w:gridCol w:w="1484"/>
        <w:gridCol w:w="1381"/>
      </w:tblGrid>
      <w:tr w14:paraId="5346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3579" w:type="dxa"/>
            <w:noWrap w:val="0"/>
            <w:vAlign w:val="center"/>
          </w:tcPr>
          <w:p w14:paraId="20342F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区域</w:t>
            </w:r>
          </w:p>
        </w:tc>
        <w:tc>
          <w:tcPr>
            <w:tcW w:w="1485" w:type="dxa"/>
            <w:noWrap w:val="0"/>
            <w:vAlign w:val="center"/>
          </w:tcPr>
          <w:p w14:paraId="7AA6DA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val="en-US" w:eastAsia="zh-CN"/>
              </w:rPr>
              <w:t>面积（㎡）</w:t>
            </w:r>
          </w:p>
        </w:tc>
        <w:tc>
          <w:tcPr>
            <w:tcW w:w="1409" w:type="dxa"/>
            <w:noWrap w:val="0"/>
            <w:vAlign w:val="center"/>
          </w:tcPr>
          <w:p w14:paraId="32E4D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大扫人数</w:t>
            </w:r>
          </w:p>
        </w:tc>
        <w:tc>
          <w:tcPr>
            <w:tcW w:w="1484" w:type="dxa"/>
            <w:noWrap w:val="0"/>
            <w:vAlign w:val="center"/>
          </w:tcPr>
          <w:p w14:paraId="4FF43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保洁人数</w:t>
            </w:r>
          </w:p>
        </w:tc>
        <w:tc>
          <w:tcPr>
            <w:tcW w:w="1381" w:type="dxa"/>
            <w:noWrap w:val="0"/>
            <w:vAlign w:val="center"/>
          </w:tcPr>
          <w:p w14:paraId="63DDB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eastAsia="en-US"/>
              </w:rPr>
              <w:t>清运人数</w:t>
            </w:r>
          </w:p>
        </w:tc>
      </w:tr>
      <w:tr w14:paraId="6F0D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3579" w:type="dxa"/>
            <w:noWrap w:val="0"/>
            <w:vAlign w:val="center"/>
          </w:tcPr>
          <w:p w14:paraId="3C203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新华花园-广场路A巷</w:t>
            </w:r>
          </w:p>
        </w:tc>
        <w:tc>
          <w:tcPr>
            <w:tcW w:w="1485" w:type="dxa"/>
            <w:vMerge w:val="restart"/>
            <w:noWrap w:val="0"/>
            <w:vAlign w:val="center"/>
          </w:tcPr>
          <w:p w14:paraId="17876B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val="en-US" w:eastAsia="zh-CN"/>
              </w:rPr>
              <w:t>47960.42</w:t>
            </w:r>
          </w:p>
        </w:tc>
        <w:tc>
          <w:tcPr>
            <w:tcW w:w="1409" w:type="dxa"/>
            <w:noWrap w:val="0"/>
            <w:vAlign w:val="center"/>
          </w:tcPr>
          <w:p w14:paraId="6BFEDB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484" w:type="dxa"/>
            <w:noWrap w:val="0"/>
            <w:vAlign w:val="center"/>
          </w:tcPr>
          <w:p w14:paraId="2A0DBA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81" w:type="dxa"/>
            <w:vMerge w:val="restart"/>
            <w:noWrap w:val="0"/>
            <w:vAlign w:val="center"/>
          </w:tcPr>
          <w:p w14:paraId="790BEB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2</w:t>
            </w:r>
          </w:p>
        </w:tc>
      </w:tr>
      <w:tr w14:paraId="2AD1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3579" w:type="dxa"/>
            <w:noWrap w:val="0"/>
            <w:vAlign w:val="center"/>
          </w:tcPr>
          <w:p w14:paraId="31B752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天马山巷-天马山路29号</w:t>
            </w:r>
          </w:p>
        </w:tc>
        <w:tc>
          <w:tcPr>
            <w:tcW w:w="1485" w:type="dxa"/>
            <w:vMerge w:val="continue"/>
            <w:noWrap w:val="0"/>
            <w:vAlign w:val="center"/>
          </w:tcPr>
          <w:p w14:paraId="1870F8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2893" w:type="dxa"/>
            <w:gridSpan w:val="2"/>
            <w:noWrap w:val="0"/>
            <w:vAlign w:val="center"/>
          </w:tcPr>
          <w:p w14:paraId="1AC67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81" w:type="dxa"/>
            <w:vMerge w:val="continue"/>
            <w:noWrap w:val="0"/>
            <w:vAlign w:val="center"/>
          </w:tcPr>
          <w:p w14:paraId="30B397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r w14:paraId="598D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3579" w:type="dxa"/>
            <w:noWrap w:val="0"/>
            <w:vAlign w:val="center"/>
          </w:tcPr>
          <w:p w14:paraId="77BE30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25公司家属区</w:t>
            </w:r>
          </w:p>
        </w:tc>
        <w:tc>
          <w:tcPr>
            <w:tcW w:w="1485" w:type="dxa"/>
            <w:vMerge w:val="continue"/>
            <w:noWrap w:val="0"/>
            <w:vAlign w:val="center"/>
          </w:tcPr>
          <w:p w14:paraId="3B0717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1409" w:type="dxa"/>
            <w:noWrap w:val="0"/>
            <w:vAlign w:val="center"/>
          </w:tcPr>
          <w:p w14:paraId="3E1A4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484" w:type="dxa"/>
            <w:noWrap w:val="0"/>
            <w:vAlign w:val="center"/>
          </w:tcPr>
          <w:p w14:paraId="4BBCB4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81" w:type="dxa"/>
            <w:vMerge w:val="continue"/>
            <w:noWrap w:val="0"/>
            <w:vAlign w:val="center"/>
          </w:tcPr>
          <w:p w14:paraId="4814E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r w14:paraId="0BA5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579" w:type="dxa"/>
            <w:noWrap w:val="0"/>
            <w:vAlign w:val="center"/>
          </w:tcPr>
          <w:p w14:paraId="79EC1A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广场路</w:t>
            </w:r>
          </w:p>
        </w:tc>
        <w:tc>
          <w:tcPr>
            <w:tcW w:w="1485" w:type="dxa"/>
            <w:vMerge w:val="continue"/>
            <w:noWrap w:val="0"/>
            <w:vAlign w:val="center"/>
          </w:tcPr>
          <w:p w14:paraId="311FA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1409" w:type="dxa"/>
            <w:noWrap w:val="0"/>
            <w:vAlign w:val="center"/>
          </w:tcPr>
          <w:p w14:paraId="6A6934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484" w:type="dxa"/>
            <w:noWrap w:val="0"/>
            <w:vAlign w:val="center"/>
          </w:tcPr>
          <w:p w14:paraId="3D0E74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1</w:t>
            </w:r>
          </w:p>
        </w:tc>
        <w:tc>
          <w:tcPr>
            <w:tcW w:w="1381" w:type="dxa"/>
            <w:vMerge w:val="continue"/>
            <w:noWrap w:val="0"/>
            <w:vAlign w:val="center"/>
          </w:tcPr>
          <w:p w14:paraId="21A82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r w14:paraId="0C68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579" w:type="dxa"/>
            <w:noWrap w:val="0"/>
            <w:vAlign w:val="center"/>
          </w:tcPr>
          <w:p w14:paraId="290FB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zh-CN"/>
              </w:rPr>
              <w:t>天马小苑</w:t>
            </w:r>
          </w:p>
        </w:tc>
        <w:tc>
          <w:tcPr>
            <w:tcW w:w="1485" w:type="dxa"/>
            <w:vMerge w:val="continue"/>
            <w:noWrap w:val="0"/>
            <w:vAlign w:val="center"/>
          </w:tcPr>
          <w:p w14:paraId="2EADB8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2893" w:type="dxa"/>
            <w:gridSpan w:val="2"/>
            <w:noWrap w:val="0"/>
            <w:vAlign w:val="center"/>
          </w:tcPr>
          <w:p w14:paraId="3B699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1381" w:type="dxa"/>
            <w:vMerge w:val="continue"/>
            <w:noWrap w:val="0"/>
            <w:vAlign w:val="center"/>
          </w:tcPr>
          <w:p w14:paraId="144C8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bl>
    <w:p w14:paraId="14B32334">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Arial" w:cs="宋体"/>
          <w:snapToGrid w:val="0"/>
          <w:color w:val="000000"/>
          <w:kern w:val="0"/>
          <w:sz w:val="21"/>
          <w:szCs w:val="21"/>
          <w:lang w:eastAsia="en-US"/>
        </w:rPr>
      </w:pPr>
    </w:p>
    <w:tbl>
      <w:tblPr>
        <w:tblStyle w:val="2"/>
        <w:tblpPr w:leftFromText="180" w:rightFromText="180" w:vertAnchor="text" w:horzAnchor="page" w:tblpX="1640" w:tblpY="590"/>
        <w:tblOverlap w:val="never"/>
        <w:tblW w:w="9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8"/>
        <w:gridCol w:w="1477"/>
        <w:gridCol w:w="1369"/>
        <w:gridCol w:w="1527"/>
        <w:gridCol w:w="1367"/>
      </w:tblGrid>
      <w:tr w14:paraId="17A5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578" w:type="dxa"/>
            <w:noWrap w:val="0"/>
            <w:vAlign w:val="center"/>
          </w:tcPr>
          <w:p w14:paraId="0A0E84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区域</w:t>
            </w:r>
          </w:p>
        </w:tc>
        <w:tc>
          <w:tcPr>
            <w:tcW w:w="1477" w:type="dxa"/>
            <w:noWrap w:val="0"/>
            <w:vAlign w:val="center"/>
          </w:tcPr>
          <w:p w14:paraId="0107CD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val="en-US" w:eastAsia="zh-CN"/>
              </w:rPr>
              <w:t>面积（㎡）</w:t>
            </w:r>
          </w:p>
        </w:tc>
        <w:tc>
          <w:tcPr>
            <w:tcW w:w="1369" w:type="dxa"/>
            <w:noWrap w:val="0"/>
            <w:vAlign w:val="center"/>
          </w:tcPr>
          <w:p w14:paraId="6870B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大扫人数</w:t>
            </w:r>
          </w:p>
        </w:tc>
        <w:tc>
          <w:tcPr>
            <w:tcW w:w="1527" w:type="dxa"/>
            <w:noWrap w:val="0"/>
            <w:vAlign w:val="center"/>
          </w:tcPr>
          <w:p w14:paraId="549825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保洁人数</w:t>
            </w:r>
          </w:p>
        </w:tc>
        <w:tc>
          <w:tcPr>
            <w:tcW w:w="1367" w:type="dxa"/>
            <w:noWrap w:val="0"/>
            <w:vAlign w:val="center"/>
          </w:tcPr>
          <w:p w14:paraId="3B84DC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清运人数</w:t>
            </w:r>
          </w:p>
        </w:tc>
      </w:tr>
      <w:tr w14:paraId="7F47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78" w:type="dxa"/>
            <w:noWrap w:val="0"/>
            <w:vAlign w:val="center"/>
          </w:tcPr>
          <w:p w14:paraId="0CEDD3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50大院，十中坪，雁城路，天马山南路63号</w:t>
            </w:r>
          </w:p>
        </w:tc>
        <w:tc>
          <w:tcPr>
            <w:tcW w:w="1477" w:type="dxa"/>
            <w:vMerge w:val="restart"/>
            <w:noWrap w:val="0"/>
            <w:vAlign w:val="center"/>
          </w:tcPr>
          <w:p w14:paraId="57B08A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zh-CN"/>
              </w:rPr>
              <w:t>45156.55</w:t>
            </w:r>
          </w:p>
        </w:tc>
        <w:tc>
          <w:tcPr>
            <w:tcW w:w="1369" w:type="dxa"/>
            <w:noWrap w:val="0"/>
            <w:vAlign w:val="center"/>
          </w:tcPr>
          <w:p w14:paraId="49EB44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527" w:type="dxa"/>
            <w:noWrap w:val="0"/>
            <w:vAlign w:val="center"/>
          </w:tcPr>
          <w:p w14:paraId="1E2F9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67" w:type="dxa"/>
            <w:vMerge w:val="restart"/>
            <w:noWrap w:val="0"/>
            <w:vAlign w:val="center"/>
          </w:tcPr>
          <w:p w14:paraId="1725C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1</w:t>
            </w:r>
          </w:p>
        </w:tc>
      </w:tr>
      <w:tr w14:paraId="364E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3578" w:type="dxa"/>
            <w:noWrap w:val="0"/>
            <w:vAlign w:val="center"/>
          </w:tcPr>
          <w:p w14:paraId="532420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先锋路105号</w:t>
            </w:r>
          </w:p>
        </w:tc>
        <w:tc>
          <w:tcPr>
            <w:tcW w:w="1477" w:type="dxa"/>
            <w:vMerge w:val="continue"/>
            <w:noWrap w:val="0"/>
            <w:vAlign w:val="center"/>
          </w:tcPr>
          <w:p w14:paraId="062A0B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1369" w:type="dxa"/>
            <w:noWrap w:val="0"/>
            <w:vAlign w:val="center"/>
          </w:tcPr>
          <w:p w14:paraId="6A2620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527" w:type="dxa"/>
            <w:noWrap w:val="0"/>
            <w:vAlign w:val="center"/>
          </w:tcPr>
          <w:p w14:paraId="53CEF2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67" w:type="dxa"/>
            <w:vMerge w:val="continue"/>
            <w:noWrap w:val="0"/>
            <w:vAlign w:val="center"/>
          </w:tcPr>
          <w:p w14:paraId="4073AB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r w14:paraId="58BC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78" w:type="dxa"/>
            <w:noWrap w:val="0"/>
            <w:vAlign w:val="center"/>
          </w:tcPr>
          <w:p w14:paraId="7ED211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先锋路97号，环城南路171号-环城南路156号</w:t>
            </w:r>
          </w:p>
        </w:tc>
        <w:tc>
          <w:tcPr>
            <w:tcW w:w="1477" w:type="dxa"/>
            <w:vMerge w:val="continue"/>
            <w:noWrap w:val="0"/>
            <w:vAlign w:val="center"/>
          </w:tcPr>
          <w:p w14:paraId="769C01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1369" w:type="dxa"/>
            <w:noWrap w:val="0"/>
            <w:vAlign w:val="center"/>
          </w:tcPr>
          <w:p w14:paraId="24A0FF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527" w:type="dxa"/>
            <w:noWrap w:val="0"/>
            <w:vAlign w:val="center"/>
          </w:tcPr>
          <w:p w14:paraId="53CAE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67" w:type="dxa"/>
            <w:vMerge w:val="continue"/>
            <w:noWrap w:val="0"/>
            <w:vAlign w:val="center"/>
          </w:tcPr>
          <w:p w14:paraId="5C6F56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r w14:paraId="1E70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3578" w:type="dxa"/>
            <w:noWrap w:val="0"/>
            <w:vAlign w:val="center"/>
          </w:tcPr>
          <w:p w14:paraId="714E2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环城南路92号-120号-五一文</w:t>
            </w:r>
          </w:p>
        </w:tc>
        <w:tc>
          <w:tcPr>
            <w:tcW w:w="1477" w:type="dxa"/>
            <w:vMerge w:val="continue"/>
            <w:noWrap w:val="0"/>
            <w:vAlign w:val="center"/>
          </w:tcPr>
          <w:p w14:paraId="164CE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c>
          <w:tcPr>
            <w:tcW w:w="1369" w:type="dxa"/>
            <w:noWrap w:val="0"/>
            <w:vAlign w:val="center"/>
          </w:tcPr>
          <w:p w14:paraId="231C1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527" w:type="dxa"/>
            <w:noWrap w:val="0"/>
            <w:vAlign w:val="center"/>
          </w:tcPr>
          <w:p w14:paraId="3A473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367" w:type="dxa"/>
            <w:vMerge w:val="continue"/>
            <w:noWrap w:val="0"/>
            <w:vAlign w:val="center"/>
          </w:tcPr>
          <w:p w14:paraId="2DE3C3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Arial" w:cs="宋体"/>
                <w:snapToGrid w:val="0"/>
                <w:color w:val="000000"/>
                <w:kern w:val="0"/>
                <w:sz w:val="21"/>
                <w:szCs w:val="21"/>
                <w:lang w:eastAsia="en-US"/>
              </w:rPr>
            </w:pPr>
          </w:p>
        </w:tc>
      </w:tr>
    </w:tbl>
    <w:p w14:paraId="7DE040D1">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Arial" w:cs="宋体"/>
          <w:snapToGrid w:val="0"/>
          <w:color w:val="000000"/>
          <w:kern w:val="0"/>
          <w:sz w:val="21"/>
          <w:szCs w:val="21"/>
          <w:lang w:eastAsia="zh-CN"/>
        </w:rPr>
      </w:pPr>
      <w:r>
        <w:rPr>
          <w:rFonts w:hint="eastAsia" w:ascii="宋体" w:hAnsi="宋体" w:eastAsia="Arial" w:cs="宋体"/>
          <w:snapToGrid w:val="0"/>
          <w:color w:val="000000"/>
          <w:kern w:val="0"/>
          <w:sz w:val="21"/>
          <w:szCs w:val="21"/>
          <w:lang w:eastAsia="en-US"/>
        </w:rPr>
        <w:t>岳屏社区卫生网格：总计大扫4人，保洁4人，清运1人，合计9人</w:t>
      </w:r>
      <w:r>
        <w:rPr>
          <w:rFonts w:hint="eastAsia" w:ascii="宋体" w:hAnsi="宋体" w:eastAsia="Arial" w:cs="宋体"/>
          <w:snapToGrid w:val="0"/>
          <w:color w:val="000000"/>
          <w:kern w:val="0"/>
          <w:sz w:val="21"/>
          <w:szCs w:val="21"/>
          <w:lang w:eastAsia="zh-CN"/>
        </w:rPr>
        <w:t>。</w:t>
      </w:r>
    </w:p>
    <w:p w14:paraId="60C12696">
      <w:pPr>
        <w:widowControl/>
        <w:kinsoku w:val="0"/>
        <w:autoSpaceDE w:val="0"/>
        <w:autoSpaceDN w:val="0"/>
        <w:adjustRightInd w:val="0"/>
        <w:snapToGrid w:val="0"/>
        <w:spacing w:line="360" w:lineRule="auto"/>
        <w:ind w:firstLine="210" w:firstLineChars="100"/>
        <w:jc w:val="left"/>
        <w:textAlignment w:val="baseline"/>
        <w:rPr>
          <w:rFonts w:hint="eastAsia" w:ascii="宋体" w:hAnsi="宋体" w:eastAsia="Arial" w:cs="宋体"/>
          <w:snapToGrid w:val="0"/>
          <w:color w:val="000000"/>
          <w:kern w:val="0"/>
          <w:sz w:val="21"/>
          <w:szCs w:val="21"/>
          <w:lang w:eastAsia="en-US"/>
        </w:rPr>
      </w:pPr>
    </w:p>
    <w:p w14:paraId="182D4CB2">
      <w:pPr>
        <w:keepNext w:val="0"/>
        <w:keepLines w:val="0"/>
        <w:pageBreakBefore w:val="0"/>
        <w:widowControl w:val="0"/>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snapToGrid w:val="0"/>
          <w:color w:val="000000"/>
          <w:kern w:val="0"/>
          <w:sz w:val="21"/>
          <w:szCs w:val="21"/>
          <w:lang w:eastAsia="zh-CN"/>
        </w:rPr>
      </w:pPr>
      <w:r>
        <w:rPr>
          <w:rFonts w:hint="eastAsia" w:ascii="宋体" w:hAnsi="宋体" w:eastAsia="Arial" w:cs="宋体"/>
          <w:snapToGrid w:val="0"/>
          <w:color w:val="000000"/>
          <w:kern w:val="0"/>
          <w:sz w:val="21"/>
          <w:szCs w:val="21"/>
          <w:lang w:eastAsia="en-US"/>
        </w:rPr>
        <w:t>胜利山社区卫生网格：大扫4人，保洁</w:t>
      </w:r>
      <w:r>
        <w:rPr>
          <w:rFonts w:hint="eastAsia" w:ascii="宋体" w:hAnsi="宋体" w:eastAsia="宋体" w:cs="宋体"/>
          <w:snapToGrid w:val="0"/>
          <w:color w:val="000000"/>
          <w:kern w:val="0"/>
          <w:sz w:val="21"/>
          <w:szCs w:val="21"/>
          <w:lang w:val="en-US" w:eastAsia="zh-CN"/>
        </w:rPr>
        <w:t>6</w:t>
      </w:r>
      <w:r>
        <w:rPr>
          <w:rFonts w:hint="eastAsia" w:ascii="宋体" w:hAnsi="宋体" w:eastAsia="Arial" w:cs="宋体"/>
          <w:snapToGrid w:val="0"/>
          <w:color w:val="000000"/>
          <w:kern w:val="0"/>
          <w:sz w:val="21"/>
          <w:szCs w:val="21"/>
          <w:lang w:eastAsia="en-US"/>
        </w:rPr>
        <w:t>人，清运1人，合计</w:t>
      </w:r>
      <w:r>
        <w:rPr>
          <w:rFonts w:hint="eastAsia" w:ascii="宋体" w:hAnsi="宋体" w:eastAsia="宋体" w:cs="宋体"/>
          <w:snapToGrid w:val="0"/>
          <w:color w:val="000000"/>
          <w:kern w:val="0"/>
          <w:sz w:val="21"/>
          <w:szCs w:val="21"/>
          <w:lang w:val="en-US" w:eastAsia="zh-CN"/>
        </w:rPr>
        <w:t>11</w:t>
      </w:r>
      <w:r>
        <w:rPr>
          <w:rFonts w:hint="eastAsia" w:ascii="宋体" w:hAnsi="宋体" w:eastAsia="Arial" w:cs="宋体"/>
          <w:snapToGrid w:val="0"/>
          <w:color w:val="000000"/>
          <w:kern w:val="0"/>
          <w:sz w:val="21"/>
          <w:szCs w:val="21"/>
          <w:lang w:eastAsia="en-US"/>
        </w:rPr>
        <w:t>人</w:t>
      </w:r>
      <w:r>
        <w:rPr>
          <w:rFonts w:hint="eastAsia" w:ascii="宋体" w:hAnsi="宋体" w:eastAsia="Arial" w:cs="宋体"/>
          <w:snapToGrid w:val="0"/>
          <w:color w:val="000000"/>
          <w:kern w:val="0"/>
          <w:sz w:val="21"/>
          <w:szCs w:val="21"/>
          <w:lang w:eastAsia="zh-CN"/>
        </w:rPr>
        <w:t>。</w:t>
      </w:r>
    </w:p>
    <w:tbl>
      <w:tblPr>
        <w:tblStyle w:val="2"/>
        <w:tblpPr w:leftFromText="180" w:rightFromText="180" w:vertAnchor="text" w:horzAnchor="page" w:tblpX="1638" w:tblpY="171"/>
        <w:tblOverlap w:val="never"/>
        <w:tblW w:w="9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9"/>
        <w:gridCol w:w="1451"/>
        <w:gridCol w:w="1362"/>
        <w:gridCol w:w="1524"/>
        <w:gridCol w:w="1515"/>
      </w:tblGrid>
      <w:tr w14:paraId="11AB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469" w:type="dxa"/>
            <w:noWrap w:val="0"/>
            <w:vAlign w:val="center"/>
          </w:tcPr>
          <w:p w14:paraId="536BCFF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区域</w:t>
            </w:r>
          </w:p>
        </w:tc>
        <w:tc>
          <w:tcPr>
            <w:tcW w:w="1451" w:type="dxa"/>
            <w:noWrap w:val="0"/>
            <w:vAlign w:val="center"/>
          </w:tcPr>
          <w:p w14:paraId="2216EF9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Arial" w:cs="宋体"/>
                <w:snapToGrid w:val="0"/>
                <w:color w:val="000000"/>
                <w:kern w:val="0"/>
                <w:sz w:val="21"/>
                <w:szCs w:val="21"/>
                <w:lang w:val="en-US" w:eastAsia="zh-CN"/>
              </w:rPr>
              <w:t>面积（㎡）</w:t>
            </w:r>
          </w:p>
        </w:tc>
        <w:tc>
          <w:tcPr>
            <w:tcW w:w="1362" w:type="dxa"/>
            <w:noWrap w:val="0"/>
            <w:vAlign w:val="center"/>
          </w:tcPr>
          <w:p w14:paraId="52540A6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大扫人数</w:t>
            </w:r>
          </w:p>
        </w:tc>
        <w:tc>
          <w:tcPr>
            <w:tcW w:w="1524" w:type="dxa"/>
            <w:noWrap w:val="0"/>
            <w:vAlign w:val="center"/>
          </w:tcPr>
          <w:p w14:paraId="2A0CD57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保洁人数</w:t>
            </w:r>
          </w:p>
        </w:tc>
        <w:tc>
          <w:tcPr>
            <w:tcW w:w="1515" w:type="dxa"/>
            <w:noWrap w:val="0"/>
            <w:vAlign w:val="center"/>
          </w:tcPr>
          <w:p w14:paraId="601B5E9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清运人数</w:t>
            </w:r>
          </w:p>
        </w:tc>
      </w:tr>
      <w:tr w14:paraId="72B5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469" w:type="dxa"/>
            <w:noWrap w:val="0"/>
            <w:vAlign w:val="center"/>
          </w:tcPr>
          <w:p w14:paraId="6D35133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胜利山社区，月形山，锅炉厂院</w:t>
            </w:r>
          </w:p>
        </w:tc>
        <w:tc>
          <w:tcPr>
            <w:tcW w:w="1451" w:type="dxa"/>
            <w:vMerge w:val="restart"/>
            <w:noWrap w:val="0"/>
            <w:vAlign w:val="center"/>
          </w:tcPr>
          <w:p w14:paraId="61641C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zh-CN"/>
              </w:rPr>
              <w:t>73615.27</w:t>
            </w:r>
          </w:p>
        </w:tc>
        <w:tc>
          <w:tcPr>
            <w:tcW w:w="1362" w:type="dxa"/>
            <w:noWrap w:val="0"/>
            <w:vAlign w:val="center"/>
          </w:tcPr>
          <w:p w14:paraId="3494F37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2</w:t>
            </w:r>
          </w:p>
        </w:tc>
        <w:tc>
          <w:tcPr>
            <w:tcW w:w="1524" w:type="dxa"/>
            <w:noWrap w:val="0"/>
            <w:vAlign w:val="center"/>
          </w:tcPr>
          <w:p w14:paraId="38DF8F2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515" w:type="dxa"/>
            <w:vMerge w:val="restart"/>
            <w:noWrap w:val="0"/>
            <w:vAlign w:val="center"/>
          </w:tcPr>
          <w:p w14:paraId="4AF41B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1</w:t>
            </w:r>
          </w:p>
        </w:tc>
      </w:tr>
      <w:tr w14:paraId="4054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469" w:type="dxa"/>
            <w:noWrap w:val="0"/>
            <w:vAlign w:val="center"/>
          </w:tcPr>
          <w:p w14:paraId="6827D15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肖家山1号-二路口</w:t>
            </w:r>
          </w:p>
        </w:tc>
        <w:tc>
          <w:tcPr>
            <w:tcW w:w="1451" w:type="dxa"/>
            <w:vMerge w:val="continue"/>
            <w:noWrap w:val="0"/>
            <w:vAlign w:val="center"/>
          </w:tcPr>
          <w:p w14:paraId="73AFF4C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1362" w:type="dxa"/>
            <w:noWrap w:val="0"/>
            <w:vAlign w:val="center"/>
          </w:tcPr>
          <w:p w14:paraId="0FB48B4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2</w:t>
            </w:r>
          </w:p>
        </w:tc>
        <w:tc>
          <w:tcPr>
            <w:tcW w:w="1524" w:type="dxa"/>
            <w:noWrap w:val="0"/>
            <w:vAlign w:val="center"/>
          </w:tcPr>
          <w:p w14:paraId="5E5B7C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1</w:t>
            </w:r>
          </w:p>
        </w:tc>
        <w:tc>
          <w:tcPr>
            <w:tcW w:w="1515" w:type="dxa"/>
            <w:vMerge w:val="continue"/>
            <w:noWrap w:val="0"/>
            <w:vAlign w:val="center"/>
          </w:tcPr>
          <w:p w14:paraId="7CA222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2CDD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469" w:type="dxa"/>
            <w:noWrap w:val="0"/>
            <w:vAlign w:val="center"/>
          </w:tcPr>
          <w:p w14:paraId="5847133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雁城路周边，粮运家属区</w:t>
            </w:r>
          </w:p>
        </w:tc>
        <w:tc>
          <w:tcPr>
            <w:tcW w:w="1451" w:type="dxa"/>
            <w:vMerge w:val="continue"/>
            <w:noWrap w:val="0"/>
            <w:vAlign w:val="center"/>
          </w:tcPr>
          <w:p w14:paraId="08B967D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86" w:type="dxa"/>
            <w:gridSpan w:val="2"/>
            <w:noWrap w:val="0"/>
            <w:vAlign w:val="center"/>
          </w:tcPr>
          <w:p w14:paraId="2613AD7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2</w:t>
            </w:r>
          </w:p>
        </w:tc>
        <w:tc>
          <w:tcPr>
            <w:tcW w:w="1515" w:type="dxa"/>
            <w:vMerge w:val="continue"/>
            <w:noWrap w:val="0"/>
            <w:vAlign w:val="center"/>
          </w:tcPr>
          <w:p w14:paraId="6521F4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2811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469" w:type="dxa"/>
            <w:noWrap w:val="0"/>
            <w:vAlign w:val="center"/>
          </w:tcPr>
          <w:p w14:paraId="4F7EDFE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天马山南路60-古建公司</w:t>
            </w:r>
          </w:p>
        </w:tc>
        <w:tc>
          <w:tcPr>
            <w:tcW w:w="1451" w:type="dxa"/>
            <w:vMerge w:val="continue"/>
            <w:noWrap w:val="0"/>
            <w:vAlign w:val="center"/>
          </w:tcPr>
          <w:p w14:paraId="52F6B1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86" w:type="dxa"/>
            <w:gridSpan w:val="2"/>
            <w:noWrap w:val="0"/>
            <w:vAlign w:val="center"/>
          </w:tcPr>
          <w:p w14:paraId="126401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2</w:t>
            </w:r>
          </w:p>
        </w:tc>
        <w:tc>
          <w:tcPr>
            <w:tcW w:w="1515" w:type="dxa"/>
            <w:vMerge w:val="continue"/>
            <w:noWrap w:val="0"/>
            <w:vAlign w:val="center"/>
          </w:tcPr>
          <w:p w14:paraId="4718844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bl>
    <w:p w14:paraId="3FD01C48">
      <w:pPr>
        <w:widowControl/>
        <w:kinsoku w:val="0"/>
        <w:autoSpaceDE w:val="0"/>
        <w:autoSpaceDN w:val="0"/>
        <w:adjustRightInd w:val="0"/>
        <w:snapToGrid w:val="0"/>
        <w:spacing w:line="360" w:lineRule="auto"/>
        <w:jc w:val="left"/>
        <w:textAlignment w:val="baseline"/>
        <w:rPr>
          <w:rFonts w:hint="eastAsia" w:ascii="宋体" w:hAnsi="宋体" w:eastAsia="Arial" w:cs="宋体"/>
          <w:snapToGrid w:val="0"/>
          <w:color w:val="000000"/>
          <w:kern w:val="0"/>
          <w:sz w:val="21"/>
          <w:szCs w:val="21"/>
          <w:lang w:eastAsia="en-US"/>
        </w:rPr>
      </w:pPr>
    </w:p>
    <w:p w14:paraId="5EDC715A">
      <w:pPr>
        <w:widowControl/>
        <w:kinsoku w:val="0"/>
        <w:autoSpaceDE w:val="0"/>
        <w:autoSpaceDN w:val="0"/>
        <w:adjustRightInd w:val="0"/>
        <w:snapToGrid w:val="0"/>
        <w:spacing w:line="360" w:lineRule="auto"/>
        <w:ind w:firstLine="210" w:firstLineChars="100"/>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Arial" w:cs="宋体"/>
          <w:snapToGrid w:val="0"/>
          <w:color w:val="000000"/>
          <w:kern w:val="0"/>
          <w:sz w:val="21"/>
          <w:szCs w:val="21"/>
          <w:lang w:eastAsia="zh-CN"/>
        </w:rPr>
        <w:t>苏眼井社区卫生网格：大扫</w:t>
      </w:r>
      <w:r>
        <w:rPr>
          <w:rFonts w:hint="eastAsia" w:ascii="宋体" w:hAnsi="宋体" w:eastAsia="Arial" w:cs="宋体"/>
          <w:snapToGrid w:val="0"/>
          <w:color w:val="000000"/>
          <w:kern w:val="0"/>
          <w:sz w:val="21"/>
          <w:szCs w:val="21"/>
          <w:lang w:val="en-US" w:eastAsia="zh-CN"/>
        </w:rPr>
        <w:t>3</w:t>
      </w:r>
      <w:r>
        <w:rPr>
          <w:rFonts w:hint="eastAsia" w:ascii="宋体" w:hAnsi="宋体" w:eastAsia="Arial" w:cs="宋体"/>
          <w:snapToGrid w:val="0"/>
          <w:color w:val="000000"/>
          <w:kern w:val="0"/>
          <w:sz w:val="21"/>
          <w:szCs w:val="21"/>
          <w:lang w:eastAsia="zh-CN"/>
        </w:rPr>
        <w:t>，保洁</w:t>
      </w:r>
      <w:r>
        <w:rPr>
          <w:rFonts w:hint="eastAsia" w:ascii="宋体" w:hAnsi="宋体" w:eastAsia="Arial" w:cs="宋体"/>
          <w:snapToGrid w:val="0"/>
          <w:color w:val="000000"/>
          <w:kern w:val="0"/>
          <w:sz w:val="21"/>
          <w:szCs w:val="21"/>
          <w:lang w:val="en-US" w:eastAsia="zh-CN"/>
        </w:rPr>
        <w:t>7</w:t>
      </w:r>
      <w:r>
        <w:rPr>
          <w:rFonts w:hint="eastAsia" w:ascii="宋体" w:hAnsi="宋体" w:eastAsia="Arial" w:cs="宋体"/>
          <w:snapToGrid w:val="0"/>
          <w:color w:val="000000"/>
          <w:kern w:val="0"/>
          <w:sz w:val="21"/>
          <w:szCs w:val="21"/>
          <w:lang w:eastAsia="zh-CN"/>
        </w:rPr>
        <w:t>人，清运</w:t>
      </w:r>
      <w:r>
        <w:rPr>
          <w:rFonts w:hint="eastAsia" w:ascii="宋体" w:hAnsi="宋体" w:eastAsia="Arial" w:cs="宋体"/>
          <w:snapToGrid w:val="0"/>
          <w:color w:val="000000"/>
          <w:kern w:val="0"/>
          <w:sz w:val="21"/>
          <w:szCs w:val="21"/>
          <w:lang w:val="en-US" w:eastAsia="zh-CN"/>
        </w:rPr>
        <w:t>2</w:t>
      </w:r>
      <w:r>
        <w:rPr>
          <w:rFonts w:hint="eastAsia" w:ascii="宋体" w:hAnsi="宋体" w:eastAsia="Arial" w:cs="宋体"/>
          <w:snapToGrid w:val="0"/>
          <w:color w:val="000000"/>
          <w:kern w:val="0"/>
          <w:sz w:val="21"/>
          <w:szCs w:val="21"/>
          <w:lang w:eastAsia="zh-CN"/>
        </w:rPr>
        <w:t>人，合计</w:t>
      </w:r>
      <w:r>
        <w:rPr>
          <w:rFonts w:hint="eastAsia" w:ascii="宋体" w:hAnsi="宋体" w:eastAsia="Arial" w:cs="宋体"/>
          <w:snapToGrid w:val="0"/>
          <w:color w:val="000000"/>
          <w:kern w:val="0"/>
          <w:sz w:val="21"/>
          <w:szCs w:val="21"/>
          <w:lang w:val="en-US" w:eastAsia="zh-CN"/>
        </w:rPr>
        <w:t>12</w:t>
      </w:r>
      <w:r>
        <w:rPr>
          <w:rFonts w:hint="eastAsia" w:ascii="宋体" w:hAnsi="宋体" w:eastAsia="Arial" w:cs="宋体"/>
          <w:snapToGrid w:val="0"/>
          <w:color w:val="000000"/>
          <w:kern w:val="0"/>
          <w:sz w:val="21"/>
          <w:szCs w:val="21"/>
          <w:lang w:eastAsia="zh-CN"/>
        </w:rPr>
        <w:t>人。</w:t>
      </w:r>
    </w:p>
    <w:tbl>
      <w:tblPr>
        <w:tblStyle w:val="2"/>
        <w:tblW w:w="9352"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7"/>
        <w:gridCol w:w="1443"/>
        <w:gridCol w:w="1330"/>
        <w:gridCol w:w="1473"/>
        <w:gridCol w:w="1799"/>
      </w:tblGrid>
      <w:tr w14:paraId="6138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307" w:type="dxa"/>
            <w:noWrap w:val="0"/>
            <w:vAlign w:val="center"/>
          </w:tcPr>
          <w:p w14:paraId="77213A4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区域</w:t>
            </w:r>
          </w:p>
        </w:tc>
        <w:tc>
          <w:tcPr>
            <w:tcW w:w="1443" w:type="dxa"/>
            <w:noWrap w:val="0"/>
            <w:vAlign w:val="center"/>
          </w:tcPr>
          <w:p w14:paraId="5B04BBB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val="en-US" w:eastAsia="zh-CN"/>
              </w:rPr>
              <w:t>面积（㎡）</w:t>
            </w:r>
          </w:p>
        </w:tc>
        <w:tc>
          <w:tcPr>
            <w:tcW w:w="1330" w:type="dxa"/>
            <w:noWrap w:val="0"/>
            <w:vAlign w:val="center"/>
          </w:tcPr>
          <w:p w14:paraId="2643FD3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大扫人数</w:t>
            </w:r>
          </w:p>
        </w:tc>
        <w:tc>
          <w:tcPr>
            <w:tcW w:w="1473" w:type="dxa"/>
            <w:noWrap w:val="0"/>
            <w:vAlign w:val="center"/>
          </w:tcPr>
          <w:p w14:paraId="6F4FC4B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保洁人数</w:t>
            </w:r>
          </w:p>
        </w:tc>
        <w:tc>
          <w:tcPr>
            <w:tcW w:w="1799" w:type="dxa"/>
            <w:noWrap w:val="0"/>
            <w:vAlign w:val="center"/>
          </w:tcPr>
          <w:p w14:paraId="04E69E8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清运人数</w:t>
            </w:r>
          </w:p>
        </w:tc>
      </w:tr>
      <w:tr w14:paraId="7464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307" w:type="dxa"/>
            <w:noWrap w:val="0"/>
            <w:vAlign w:val="center"/>
          </w:tcPr>
          <w:p w14:paraId="15554CF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苏眼井社区院</w:t>
            </w:r>
          </w:p>
        </w:tc>
        <w:tc>
          <w:tcPr>
            <w:tcW w:w="1443" w:type="dxa"/>
            <w:vMerge w:val="restart"/>
            <w:noWrap w:val="0"/>
            <w:vAlign w:val="center"/>
          </w:tcPr>
          <w:p w14:paraId="4840280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val="en-US" w:eastAsia="zh-CN"/>
              </w:rPr>
              <w:t>94740.66</w:t>
            </w:r>
          </w:p>
        </w:tc>
        <w:tc>
          <w:tcPr>
            <w:tcW w:w="1330" w:type="dxa"/>
            <w:noWrap w:val="0"/>
            <w:vAlign w:val="center"/>
          </w:tcPr>
          <w:p w14:paraId="2F168FE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1</w:t>
            </w:r>
          </w:p>
        </w:tc>
        <w:tc>
          <w:tcPr>
            <w:tcW w:w="1473" w:type="dxa"/>
            <w:noWrap w:val="0"/>
            <w:vAlign w:val="center"/>
          </w:tcPr>
          <w:p w14:paraId="16ECA19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1</w:t>
            </w:r>
          </w:p>
        </w:tc>
        <w:tc>
          <w:tcPr>
            <w:tcW w:w="1799" w:type="dxa"/>
            <w:vMerge w:val="restart"/>
            <w:noWrap w:val="0"/>
            <w:vAlign w:val="center"/>
          </w:tcPr>
          <w:p w14:paraId="4091FA5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2</w:t>
            </w:r>
          </w:p>
        </w:tc>
      </w:tr>
      <w:tr w14:paraId="7607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3307" w:type="dxa"/>
            <w:noWrap w:val="0"/>
            <w:vAlign w:val="center"/>
          </w:tcPr>
          <w:p w14:paraId="139EEAD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苏眼井路</w:t>
            </w:r>
          </w:p>
        </w:tc>
        <w:tc>
          <w:tcPr>
            <w:tcW w:w="1443" w:type="dxa"/>
            <w:vMerge w:val="continue"/>
            <w:noWrap w:val="0"/>
            <w:vAlign w:val="center"/>
          </w:tcPr>
          <w:p w14:paraId="36F3BC7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1330" w:type="dxa"/>
            <w:noWrap w:val="0"/>
            <w:vAlign w:val="center"/>
          </w:tcPr>
          <w:p w14:paraId="52A1667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2</w:t>
            </w:r>
          </w:p>
        </w:tc>
        <w:tc>
          <w:tcPr>
            <w:tcW w:w="1473" w:type="dxa"/>
            <w:noWrap w:val="0"/>
            <w:vAlign w:val="center"/>
          </w:tcPr>
          <w:p w14:paraId="35A5862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1</w:t>
            </w:r>
          </w:p>
        </w:tc>
        <w:tc>
          <w:tcPr>
            <w:tcW w:w="1799" w:type="dxa"/>
            <w:vMerge w:val="continue"/>
            <w:noWrap w:val="0"/>
            <w:vAlign w:val="center"/>
          </w:tcPr>
          <w:p w14:paraId="26C2E0C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569E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307" w:type="dxa"/>
            <w:noWrap w:val="0"/>
            <w:vAlign w:val="center"/>
          </w:tcPr>
          <w:p w14:paraId="5E75ABA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大西门巷，二轻局，鸿都广场</w:t>
            </w:r>
          </w:p>
        </w:tc>
        <w:tc>
          <w:tcPr>
            <w:tcW w:w="1443" w:type="dxa"/>
            <w:vMerge w:val="continue"/>
            <w:noWrap w:val="0"/>
            <w:vAlign w:val="center"/>
          </w:tcPr>
          <w:p w14:paraId="71DD2A3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03" w:type="dxa"/>
            <w:gridSpan w:val="2"/>
            <w:noWrap w:val="0"/>
            <w:vAlign w:val="center"/>
          </w:tcPr>
          <w:p w14:paraId="6644FB0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1799" w:type="dxa"/>
            <w:vMerge w:val="continue"/>
            <w:noWrap w:val="0"/>
            <w:vAlign w:val="center"/>
          </w:tcPr>
          <w:p w14:paraId="79872EF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6754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307" w:type="dxa"/>
            <w:noWrap w:val="0"/>
            <w:vAlign w:val="center"/>
          </w:tcPr>
          <w:p w14:paraId="314D8B6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市志巷--神龙酒店</w:t>
            </w:r>
          </w:p>
        </w:tc>
        <w:tc>
          <w:tcPr>
            <w:tcW w:w="1443" w:type="dxa"/>
            <w:vMerge w:val="continue"/>
            <w:noWrap w:val="0"/>
            <w:vAlign w:val="center"/>
          </w:tcPr>
          <w:p w14:paraId="0BD1B49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03" w:type="dxa"/>
            <w:gridSpan w:val="2"/>
            <w:noWrap w:val="0"/>
            <w:vAlign w:val="center"/>
          </w:tcPr>
          <w:p w14:paraId="0BB1424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1799" w:type="dxa"/>
            <w:vMerge w:val="continue"/>
            <w:noWrap w:val="0"/>
            <w:vAlign w:val="center"/>
          </w:tcPr>
          <w:p w14:paraId="5F9A6F3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46A9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307" w:type="dxa"/>
            <w:noWrap w:val="0"/>
            <w:vAlign w:val="center"/>
          </w:tcPr>
          <w:p w14:paraId="2D0E4A2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25公司</w:t>
            </w:r>
          </w:p>
        </w:tc>
        <w:tc>
          <w:tcPr>
            <w:tcW w:w="1443" w:type="dxa"/>
            <w:vMerge w:val="continue"/>
            <w:noWrap w:val="0"/>
            <w:vAlign w:val="center"/>
          </w:tcPr>
          <w:p w14:paraId="6B2A680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03" w:type="dxa"/>
            <w:gridSpan w:val="2"/>
            <w:noWrap w:val="0"/>
            <w:vAlign w:val="center"/>
          </w:tcPr>
          <w:p w14:paraId="3B26014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1799" w:type="dxa"/>
            <w:vMerge w:val="continue"/>
            <w:noWrap w:val="0"/>
            <w:vAlign w:val="center"/>
          </w:tcPr>
          <w:p w14:paraId="24BD83F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2166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307" w:type="dxa"/>
            <w:noWrap w:val="0"/>
            <w:vAlign w:val="center"/>
          </w:tcPr>
          <w:p w14:paraId="0961355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zh-CN"/>
              </w:rPr>
              <w:t>环境监测站院内</w:t>
            </w:r>
          </w:p>
        </w:tc>
        <w:tc>
          <w:tcPr>
            <w:tcW w:w="1443" w:type="dxa"/>
            <w:vMerge w:val="continue"/>
            <w:noWrap w:val="0"/>
            <w:vAlign w:val="center"/>
          </w:tcPr>
          <w:p w14:paraId="69841DA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03" w:type="dxa"/>
            <w:gridSpan w:val="2"/>
            <w:noWrap w:val="0"/>
            <w:vAlign w:val="center"/>
          </w:tcPr>
          <w:p w14:paraId="2DE6FAC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1799" w:type="dxa"/>
            <w:vMerge w:val="continue"/>
            <w:noWrap w:val="0"/>
            <w:vAlign w:val="center"/>
          </w:tcPr>
          <w:p w14:paraId="000C7E0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r w14:paraId="73C7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307" w:type="dxa"/>
            <w:noWrap w:val="0"/>
            <w:vAlign w:val="center"/>
          </w:tcPr>
          <w:p w14:paraId="189C4E6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zh-CN"/>
              </w:rPr>
              <w:t>广电家属院</w:t>
            </w:r>
          </w:p>
        </w:tc>
        <w:tc>
          <w:tcPr>
            <w:tcW w:w="1443" w:type="dxa"/>
            <w:vMerge w:val="continue"/>
            <w:noWrap w:val="0"/>
            <w:vAlign w:val="center"/>
          </w:tcPr>
          <w:p w14:paraId="41E3432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c>
          <w:tcPr>
            <w:tcW w:w="2803" w:type="dxa"/>
            <w:gridSpan w:val="2"/>
            <w:noWrap w:val="0"/>
            <w:vAlign w:val="center"/>
          </w:tcPr>
          <w:p w14:paraId="68B6843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w:t>
            </w:r>
          </w:p>
        </w:tc>
        <w:tc>
          <w:tcPr>
            <w:tcW w:w="1799" w:type="dxa"/>
            <w:vMerge w:val="continue"/>
            <w:noWrap w:val="0"/>
            <w:vAlign w:val="center"/>
          </w:tcPr>
          <w:p w14:paraId="6F91DDF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Arial" w:cs="宋体"/>
                <w:snapToGrid w:val="0"/>
                <w:color w:val="000000"/>
                <w:kern w:val="0"/>
                <w:sz w:val="21"/>
                <w:szCs w:val="21"/>
                <w:lang w:eastAsia="en-US"/>
              </w:rPr>
            </w:pPr>
          </w:p>
        </w:tc>
      </w:tr>
    </w:tbl>
    <w:p w14:paraId="25C75248">
      <w:pPr>
        <w:numPr>
          <w:ilvl w:val="0"/>
          <w:numId w:val="1"/>
        </w:numPr>
        <w:kinsoku w:val="0"/>
        <w:autoSpaceDE w:val="0"/>
        <w:autoSpaceDN w:val="0"/>
        <w:adjustRightInd w:val="0"/>
        <w:snapToGrid w:val="0"/>
        <w:spacing w:after="0" w:line="360" w:lineRule="auto"/>
        <w:ind w:firstLine="420"/>
        <w:jc w:val="left"/>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snapToGrid w:val="0"/>
          <w:color w:val="000000"/>
          <w:kern w:val="0"/>
          <w:sz w:val="21"/>
          <w:szCs w:val="21"/>
          <w:lang w:val="en-US" w:eastAsia="en-US" w:bidi="ar-SA"/>
        </w:rPr>
        <w:t>作业内容</w:t>
      </w:r>
    </w:p>
    <w:p w14:paraId="16039340">
      <w:pPr>
        <w:kinsoku w:val="0"/>
        <w:autoSpaceDE w:val="0"/>
        <w:autoSpaceDN w:val="0"/>
        <w:adjustRightInd w:val="0"/>
        <w:snapToGrid w:val="0"/>
        <w:spacing w:after="0" w:line="360" w:lineRule="auto"/>
        <w:ind w:firstLine="422" w:firstLineChars="200"/>
        <w:jc w:val="left"/>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kern w:val="0"/>
          <w:sz w:val="21"/>
          <w:szCs w:val="21"/>
          <w:lang w:val="en-US" w:eastAsia="en-US" w:bidi="ar-SA"/>
        </w:rPr>
        <w:t>清扫保洁内容:</w:t>
      </w:r>
      <w:r>
        <w:rPr>
          <w:rFonts w:hint="eastAsia" w:ascii="宋体" w:hAnsi="宋体" w:eastAsia="宋体" w:cs="宋体"/>
          <w:snapToGrid w:val="0"/>
          <w:color w:val="000000"/>
          <w:kern w:val="0"/>
          <w:sz w:val="21"/>
          <w:szCs w:val="21"/>
          <w:lang w:val="en-US" w:eastAsia="en-US" w:bidi="ar-SA"/>
        </w:rPr>
        <w:t>使用清扫保洁工具（人工清扫、机械清扫、人工配合水洗车冲扫、洒水降尘）清扫路面尘土、杂物，维护道路整洁。具体内容如下：</w:t>
      </w:r>
    </w:p>
    <w:p w14:paraId="0F6D648F">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bCs/>
          <w:snapToGrid w:val="0"/>
          <w:color w:val="000000"/>
          <w:kern w:val="0"/>
          <w:sz w:val="21"/>
          <w:szCs w:val="21"/>
          <w:lang w:eastAsia="en-US"/>
        </w:rPr>
        <w:t>1、对承包路段车道、人行道路面的清扫保洁，按规定的时间内全面完成普扫任务，然后转入全天候巡回保洁；</w:t>
      </w:r>
    </w:p>
    <w:p w14:paraId="4A10E9EF">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bCs/>
          <w:snapToGrid w:val="0"/>
          <w:color w:val="000000"/>
          <w:kern w:val="0"/>
          <w:sz w:val="21"/>
          <w:szCs w:val="21"/>
          <w:lang w:eastAsia="en-US"/>
        </w:rPr>
        <w:t>2、快、慢车道的机械化清扫作业，道路冲洗和洒水降尘作业，立面保洁；</w:t>
      </w:r>
    </w:p>
    <w:p w14:paraId="022F1FAF">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bCs/>
          <w:snapToGrid w:val="0"/>
          <w:color w:val="000000"/>
          <w:kern w:val="0"/>
          <w:sz w:val="21"/>
          <w:szCs w:val="21"/>
          <w:lang w:eastAsia="en-US"/>
        </w:rPr>
        <w:t>3、道路快慢车道之间及人行道上绿化带的卫生保洁；</w:t>
      </w:r>
    </w:p>
    <w:p w14:paraId="18D50968">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bCs/>
          <w:snapToGrid w:val="0"/>
          <w:color w:val="000000"/>
          <w:kern w:val="0"/>
          <w:sz w:val="21"/>
          <w:szCs w:val="21"/>
          <w:lang w:eastAsia="en-US"/>
        </w:rPr>
        <w:t>4、道路保洁范围内各种垃圾、杂草、杂物的清理和运输；</w:t>
      </w:r>
    </w:p>
    <w:p w14:paraId="7BBBEF60">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kern w:val="0"/>
          <w:sz w:val="21"/>
          <w:szCs w:val="21"/>
          <w:lang w:eastAsia="zh-CN"/>
        </w:rPr>
      </w:pPr>
      <w:r>
        <w:rPr>
          <w:rFonts w:hint="eastAsia" w:ascii="宋体" w:hAnsi="宋体" w:eastAsia="Arial" w:cs="宋体"/>
          <w:snapToGrid w:val="0"/>
          <w:color w:val="000000"/>
          <w:kern w:val="0"/>
          <w:sz w:val="21"/>
          <w:szCs w:val="21"/>
          <w:lang w:eastAsia="en-US"/>
        </w:rPr>
        <w:t>5、道路保洁范围内的牛皮癣清除</w:t>
      </w:r>
      <w:r>
        <w:rPr>
          <w:rFonts w:hint="eastAsia" w:ascii="宋体" w:hAnsi="宋体" w:eastAsia="Arial" w:cs="宋体"/>
          <w:snapToGrid w:val="0"/>
          <w:color w:val="000000"/>
          <w:kern w:val="0"/>
          <w:sz w:val="21"/>
          <w:szCs w:val="21"/>
          <w:lang w:eastAsia="zh-CN"/>
        </w:rPr>
        <w:t>；</w:t>
      </w:r>
    </w:p>
    <w:p w14:paraId="3EE57773">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6、</w:t>
      </w:r>
      <w:r>
        <w:rPr>
          <w:rFonts w:hint="eastAsia" w:ascii="宋体" w:hAnsi="宋体" w:eastAsia="Arial" w:cs="宋体"/>
          <w:bCs/>
          <w:snapToGrid w:val="0"/>
          <w:color w:val="000000"/>
          <w:kern w:val="0"/>
          <w:sz w:val="21"/>
          <w:szCs w:val="21"/>
          <w:lang w:eastAsia="en-US"/>
        </w:rPr>
        <w:t xml:space="preserve">道路果皮箱、垃圾容器清理保洁和维护，及时清理不得外溢； </w:t>
      </w:r>
    </w:p>
    <w:p w14:paraId="61E63717">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bCs/>
          <w:snapToGrid w:val="0"/>
          <w:color w:val="000000"/>
          <w:kern w:val="0"/>
          <w:sz w:val="21"/>
          <w:szCs w:val="21"/>
          <w:lang w:eastAsia="en-US"/>
        </w:rPr>
        <w:t>7、积极参与配合各种活动（大检查）及节假日环境卫生保障；</w:t>
      </w:r>
    </w:p>
    <w:p w14:paraId="23F0C56F">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Cs/>
          <w:snapToGrid w:val="0"/>
          <w:color w:val="000000"/>
          <w:kern w:val="0"/>
          <w:sz w:val="21"/>
          <w:szCs w:val="21"/>
          <w:lang w:eastAsia="en-US"/>
        </w:rPr>
      </w:pPr>
      <w:r>
        <w:rPr>
          <w:rFonts w:hint="eastAsia" w:ascii="宋体" w:hAnsi="宋体" w:eastAsia="Arial" w:cs="宋体"/>
          <w:bCs/>
          <w:snapToGrid w:val="0"/>
          <w:color w:val="000000"/>
          <w:kern w:val="0"/>
          <w:sz w:val="21"/>
          <w:szCs w:val="21"/>
          <w:lang w:eastAsia="en-US"/>
        </w:rPr>
        <w:t>8、配合各级部门的检查考核工作，并对存在的问题认真落实整改；</w:t>
      </w:r>
    </w:p>
    <w:p w14:paraId="071636D7">
      <w:pPr>
        <w:kinsoku w:val="0"/>
        <w:autoSpaceDE w:val="0"/>
        <w:autoSpaceDN w:val="0"/>
        <w:adjustRightInd w:val="0"/>
        <w:snapToGrid w:val="0"/>
        <w:spacing w:after="0" w:line="360" w:lineRule="auto"/>
        <w:ind w:left="420"/>
        <w:jc w:val="left"/>
        <w:textAlignment w:val="baseline"/>
        <w:rPr>
          <w:rFonts w:hint="eastAsia" w:ascii="宋体" w:hAnsi="宋体" w:eastAsia="宋体" w:cs="宋体"/>
          <w:b/>
          <w:snapToGrid w:val="0"/>
          <w:color w:val="000000"/>
          <w:kern w:val="0"/>
          <w:sz w:val="21"/>
          <w:szCs w:val="21"/>
          <w:lang w:val="en-US" w:eastAsia="en-US" w:bidi="ar-SA"/>
        </w:rPr>
      </w:pPr>
      <w:r>
        <w:rPr>
          <w:rFonts w:hint="eastAsia" w:ascii="宋体" w:hAnsi="宋体" w:eastAsia="宋体" w:cs="宋体"/>
          <w:b/>
          <w:snapToGrid w:val="0"/>
          <w:color w:val="000000"/>
          <w:kern w:val="0"/>
          <w:sz w:val="21"/>
          <w:szCs w:val="21"/>
          <w:lang w:val="en-US" w:eastAsia="en-US" w:bidi="ar-SA"/>
        </w:rPr>
        <w:t>（三）服务标准</w:t>
      </w:r>
    </w:p>
    <w:p w14:paraId="565AB9B2">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
          <w:bCs/>
          <w:snapToGrid w:val="0"/>
          <w:color w:val="000000"/>
          <w:kern w:val="0"/>
          <w:sz w:val="21"/>
          <w:szCs w:val="21"/>
          <w:lang w:eastAsia="en-US"/>
        </w:rPr>
      </w:pPr>
      <w:r>
        <w:rPr>
          <w:rFonts w:hint="eastAsia" w:ascii="宋体" w:hAnsi="宋体" w:eastAsia="Arial" w:cs="宋体"/>
          <w:b/>
          <w:bCs/>
          <w:snapToGrid w:val="0"/>
          <w:color w:val="000000"/>
          <w:kern w:val="0"/>
          <w:sz w:val="21"/>
          <w:szCs w:val="21"/>
          <w:lang w:eastAsia="en-US"/>
        </w:rPr>
        <w:t>1、清扫保洁</w:t>
      </w:r>
    </w:p>
    <w:p w14:paraId="10BA5F13">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
          <w:snapToGrid w:val="0"/>
          <w:color w:val="000000"/>
          <w:kern w:val="0"/>
          <w:sz w:val="21"/>
          <w:szCs w:val="21"/>
          <w:lang w:eastAsia="en-US"/>
        </w:rPr>
      </w:pPr>
      <w:r>
        <w:rPr>
          <w:rFonts w:hint="eastAsia" w:ascii="宋体" w:hAnsi="宋体" w:eastAsia="Arial" w:cs="宋体"/>
          <w:b/>
          <w:snapToGrid w:val="0"/>
          <w:color w:val="000000"/>
          <w:kern w:val="0"/>
          <w:sz w:val="21"/>
          <w:szCs w:val="21"/>
          <w:lang w:eastAsia="en-US"/>
        </w:rPr>
        <w:t>（1）清扫保洁时间要求</w:t>
      </w:r>
    </w:p>
    <w:p w14:paraId="4CD81545">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 xml:space="preserve">一：大扫时间：早上4点30-7点30完毕，中午12点30-2点前完毕。 </w:t>
      </w:r>
    </w:p>
    <w:p w14:paraId="2A489D05">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
          <w:snapToGrid w:val="0"/>
          <w:color w:val="000000"/>
          <w:kern w:val="0"/>
          <w:sz w:val="21"/>
          <w:szCs w:val="21"/>
          <w:lang w:eastAsia="en-US"/>
        </w:rPr>
      </w:pPr>
      <w:r>
        <w:rPr>
          <w:rFonts w:hint="eastAsia" w:ascii="宋体" w:hAnsi="宋体" w:eastAsia="Arial" w:cs="宋体"/>
          <w:snapToGrid w:val="0"/>
          <w:color w:val="000000"/>
          <w:kern w:val="0"/>
          <w:sz w:val="21"/>
          <w:szCs w:val="21"/>
          <w:lang w:eastAsia="en-US"/>
        </w:rPr>
        <w:t>二：保洁时间：早上7点30-12点，下午2点-6点。</w:t>
      </w:r>
    </w:p>
    <w:p w14:paraId="6EC8FD77">
      <w:pPr>
        <w:widowControl/>
        <w:kinsoku w:val="0"/>
        <w:autoSpaceDE w:val="0"/>
        <w:autoSpaceDN w:val="0"/>
        <w:adjustRightInd w:val="0"/>
        <w:snapToGrid w:val="0"/>
        <w:spacing w:line="360" w:lineRule="auto"/>
        <w:ind w:firstLine="420" w:firstLineChars="200"/>
        <w:jc w:val="left"/>
        <w:textAlignment w:val="baseline"/>
        <w:rPr>
          <w:rFonts w:hint="eastAsia" w:ascii="宋体" w:hAnsi="宋体" w:eastAsia="Arial" w:cs="宋体"/>
          <w:b/>
          <w:snapToGrid w:val="0"/>
          <w:color w:val="000000"/>
          <w:kern w:val="0"/>
          <w:sz w:val="21"/>
          <w:szCs w:val="21"/>
          <w:lang w:eastAsia="en-US"/>
        </w:rPr>
      </w:pPr>
      <w:r>
        <w:rPr>
          <w:rFonts w:hint="eastAsia" w:ascii="宋体" w:hAnsi="宋体" w:eastAsia="Arial" w:cs="宋体"/>
          <w:b/>
          <w:snapToGrid w:val="0"/>
          <w:color w:val="000000"/>
          <w:kern w:val="0"/>
          <w:sz w:val="21"/>
          <w:szCs w:val="21"/>
          <w:lang w:eastAsia="en-US"/>
        </w:rPr>
        <w:t>2、城区道路人工清扫保洁作业要求</w:t>
      </w:r>
    </w:p>
    <w:p w14:paraId="61FDA9CB">
      <w:pPr>
        <w:widowControl w:val="0"/>
        <w:spacing w:line="360" w:lineRule="auto"/>
        <w:ind w:firstLine="422" w:firstLineChars="200"/>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作业质量标准</w:t>
      </w:r>
    </w:p>
    <w:p w14:paraId="486FDF95">
      <w:pPr>
        <w:widowControl w:val="0"/>
        <w:spacing w:line="360" w:lineRule="auto"/>
        <w:ind w:firstLine="411" w:firstLineChars="196"/>
        <w:jc w:val="both"/>
        <w:rPr>
          <w:rFonts w:hint="eastAsia" w:ascii="宋体" w:hAnsi="宋体" w:eastAsia="宋体" w:cs="宋体"/>
          <w:b/>
          <w:bCs/>
          <w:kern w:val="2"/>
          <w:sz w:val="21"/>
          <w:szCs w:val="21"/>
          <w:lang w:val="en-US" w:eastAsia="zh-CN" w:bidi="ar-SA"/>
        </w:rPr>
      </w:pPr>
      <w:r>
        <w:rPr>
          <w:rFonts w:hint="eastAsia" w:ascii="宋体" w:hAnsi="宋体" w:eastAsia="宋体" w:cs="宋体"/>
          <w:bCs/>
          <w:kern w:val="2"/>
          <w:sz w:val="21"/>
          <w:szCs w:val="21"/>
          <w:lang w:val="en-US" w:eastAsia="zh-CN" w:bidi="ar-SA"/>
        </w:rPr>
        <w:t>社区公共卫生区域清扫保洁要求是“五无五净”。五无：无卫生死角，无堆积物料，无果皮纸屑，无砖瓦土石，无积存污水。五净：路面净，沟眼净，树穴净，边角净，垃圾收集容器净</w:t>
      </w:r>
      <w:r>
        <w:rPr>
          <w:rFonts w:hint="eastAsia" w:ascii="宋体" w:hAnsi="宋体" w:eastAsia="宋体" w:cs="宋体"/>
          <w:b/>
          <w:bCs/>
          <w:kern w:val="2"/>
          <w:sz w:val="21"/>
          <w:szCs w:val="21"/>
          <w:lang w:val="en-US" w:eastAsia="zh-CN" w:bidi="ar-SA"/>
        </w:rPr>
        <w:t>。</w:t>
      </w:r>
    </w:p>
    <w:p w14:paraId="01AC2E92">
      <w:pPr>
        <w:widowControl w:val="0"/>
        <w:spacing w:line="360" w:lineRule="auto"/>
        <w:ind w:firstLine="411" w:firstLineChars="196"/>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1：做好区域范围内清洗保洁工作，工作时间段要对保洁区进行巡查保洁。</w:t>
      </w:r>
    </w:p>
    <w:p w14:paraId="4C2DE797">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2：在保洁时间内，路面废弃物应符合下列规定。主要道路有色垃圾滞留路面时间不得超过20分钟，包含果皮、纸屑塑膜、烟蒂、痰迹、乱张贴画、污水及其他垃圾。</w:t>
      </w:r>
    </w:p>
    <w:p w14:paraId="36885291">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3：路牙、人行道、花基周围不得有明显的泥沙(长2米以上)，洒落在主车道上的余泥沙石，在发现后2小时内要及时清理干净；树池上的沙石不得扫在人行道上。</w:t>
      </w:r>
    </w:p>
    <w:p w14:paraId="25EA32D9">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4：要保证雨井盖口不堵塞。</w:t>
      </w:r>
    </w:p>
    <w:p w14:paraId="78BAB751">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5：道路路面、花岗岩路牙石要保持原色。人行道、道路不得漏扫、反扫。垃圾应归拢、归堆并清除彻底。</w:t>
      </w:r>
    </w:p>
    <w:p w14:paraId="3FCE8194">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6：垃圾桶桶体整洁，无积存垃圾、无垃圾满溢、周围地面清洁，要做到摆放正确；清洁清洗时间按清扫作业时间完成，并做好箱内垃圾的日清，保证无臭，外表清洁、无积尘、无乱涂、乱画、乱张贴。</w:t>
      </w:r>
    </w:p>
    <w:p w14:paraId="68AD7C83">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7：垃圾应倾倒在规定地点的垃圾容器内，不得焚烧垃圾、树叶。落叶旺季做到及时清扫，并按指定地点堆放和转运树叶。</w:t>
      </w:r>
    </w:p>
    <w:p w14:paraId="130C450B">
      <w:pPr>
        <w:widowControl w:val="0"/>
        <w:spacing w:line="360" w:lineRule="auto"/>
        <w:ind w:firstLine="422"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牛皮癣作业要求及标准</w:t>
      </w:r>
    </w:p>
    <w:p w14:paraId="1938683B">
      <w:pPr>
        <w:widowControl/>
        <w:spacing w:line="360" w:lineRule="auto"/>
        <w:ind w:firstLine="420" w:firstLineChars="20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r>
        <w:rPr>
          <w:rFonts w:hint="eastAsia" w:ascii="宋体" w:hAnsi="宋体" w:eastAsia="宋体" w:cs="宋体"/>
          <w:kern w:val="2"/>
          <w:sz w:val="21"/>
          <w:szCs w:val="21"/>
          <w:lang w:val="en-US" w:eastAsia="zh-CN" w:bidi="ar-SA"/>
        </w:rPr>
        <w:t>确保每天10时前做好服务区域内的“牛皮癣”第一遍清理。</w:t>
      </w:r>
    </w:p>
    <w:p w14:paraId="555DD2B9">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2：对表面为光滑板材上的“牛皮癣”使用化学物品全面清洗，不得使用涂料。</w:t>
      </w:r>
    </w:p>
    <w:p w14:paraId="4EC20578">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对表面为不同颜色的涂料或水泥墙面上“牛皮癣”要使用相近颜色进行复原，按照“色差一致、形状统一、干净整洁、协调美观”的要求，做到基本无色差。“色差一致”就是根据建筑物、构筑物、各类管线及其他市政公共设施表面不同颜色，使用与原颜色相近或基本一致的涂料，最大限度地将污染处恢复原来的色泽；“形状统一”就是对清洗保洁的被污染处表面要求有统一的覆盖形状（四方形、长方形），并有完整的轮廓；“干净整洁”就是对要涂刷的覆盖面，按照“一刮、二铲、三粉刷”的程序操作，力求达到整体干净整洁；“协调美观”就是力求使整治覆盖后的表面在“色、形、洁”的方面与周边环境协调和谐，有一定的美观。</w:t>
      </w:r>
    </w:p>
    <w:p w14:paraId="62A681EC">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4：采用涂料进行粉刷覆盖的“牛皮癣”要保证清除覆盖后，不会因雨水冲刷、涂料过稀滴落、涂料结块开裂等原因造成涂料脱落，“牛皮癣”重新泛出。</w:t>
      </w:r>
    </w:p>
    <w:p w14:paraId="4ECE27A3">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对张贴式的城市“牛皮癣”应当清理干净，不得遗留明显的张贴痕迹，在清洗保洁时应当尽量做到不损坏建筑物、构筑物、树木、管线及其他市政公用设施，确有损坏的，要及时采取相应补救措施，恢复原样。</w:t>
      </w:r>
    </w:p>
    <w:p w14:paraId="22CD8145">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6：接到服务范围反映“牛皮癣”问题的投诉或新闻舆论批评后，必须在1小时内及时处理完毕并反馈信息。</w:t>
      </w:r>
    </w:p>
    <w:p w14:paraId="12F036D3">
      <w:pPr>
        <w:widowControl w:val="0"/>
        <w:spacing w:line="360" w:lineRule="auto"/>
        <w:ind w:firstLine="422"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堆物和建筑垃圾要求及标准</w:t>
      </w:r>
    </w:p>
    <w:p w14:paraId="304939F2">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1：及时发现及时处理。</w:t>
      </w:r>
    </w:p>
    <w:p w14:paraId="19F92A6E">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2：有业主丢弃的如未找到业主，必须在24小时内处理完毕。</w:t>
      </w:r>
    </w:p>
    <w:p w14:paraId="4714C464">
      <w:pPr>
        <w:widowControl w:val="0"/>
        <w:spacing w:line="360" w:lineRule="auto"/>
        <w:ind w:firstLine="422"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生活垃圾处置要求及标准</w:t>
      </w:r>
    </w:p>
    <w:p w14:paraId="6217D171">
      <w:pPr>
        <w:widowControl w:val="0"/>
        <w:spacing w:line="36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1：日产日清。单位和居民的生活垃圾应按时清除，无积压，不腐烂发臭。店铺产生的垃圾应及时清除，不影响道路卫生和市容市貌。</w:t>
      </w:r>
    </w:p>
    <w:p w14:paraId="49A341F7">
      <w:pPr>
        <w:keepNext w:val="0"/>
        <w:keepLines w:val="0"/>
        <w:pageBreakBefore w:val="0"/>
        <w:widowControl/>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kern w:val="0"/>
          <w:sz w:val="21"/>
          <w:szCs w:val="21"/>
          <w:lang w:eastAsia="en-US"/>
        </w:rPr>
        <w:t>2：清扫转运车外观整洁，实行密闭运输，无破损，无垃圾满溢，车厢外无吊挂，降低垃圾运输过程中对环境的污染。</w:t>
      </w:r>
    </w:p>
    <w:p w14:paraId="0359AC02">
      <w:pPr>
        <w:keepNext w:val="0"/>
        <w:keepLines w:val="0"/>
        <w:pageBreakBefore w:val="0"/>
        <w:widowControl/>
        <w:kinsoku/>
        <w:wordWrap/>
        <w:overflowPunct/>
        <w:topLinePunct w:val="0"/>
        <w:autoSpaceDE/>
        <w:autoSpaceDN/>
        <w:bidi w:val="0"/>
        <w:adjustRightInd/>
        <w:snapToGrid/>
        <w:spacing w:line="460" w:lineRule="exact"/>
        <w:ind w:firstLine="422" w:firstLineChars="200"/>
        <w:jc w:val="left"/>
        <w:textAlignment w:val="auto"/>
        <w:rPr>
          <w:rFonts w:hint="eastAsia" w:ascii="宋体" w:hAnsi="宋体" w:eastAsia="宋体" w:cs="宋体"/>
          <w:b/>
          <w:snapToGrid w:val="0"/>
          <w:color w:val="000000"/>
          <w:kern w:val="0"/>
          <w:sz w:val="21"/>
          <w:szCs w:val="21"/>
          <w:lang w:val="en-US" w:eastAsia="zh-CN" w:bidi="ar-SA"/>
        </w:rPr>
      </w:pPr>
      <w:r>
        <w:rPr>
          <w:rFonts w:hint="eastAsia" w:ascii="宋体" w:hAnsi="宋体" w:eastAsia="宋体" w:cs="宋体"/>
          <w:b/>
          <w:snapToGrid w:val="0"/>
          <w:color w:val="000000"/>
          <w:kern w:val="0"/>
          <w:sz w:val="21"/>
          <w:szCs w:val="21"/>
          <w:lang w:val="en-US" w:eastAsia="zh-CN" w:bidi="ar-SA"/>
        </w:rPr>
        <w:t>（四）人员配置要求</w:t>
      </w:r>
    </w:p>
    <w:p w14:paraId="1D5D52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本项目清扫保洁人员的最低配备要求需满足服务路段人员安排的标准，原有的清扫保洁人员按个人意愿移交中标人，中标人无条件接收并做好善后工作，并在半年内不得无故开除。清扫保洁人员首次进入年龄不得超过45岁，工作最高年龄不得超过65岁。清扫保洁人员不违反法律、法规、工作责任心强。中标人对各类岗位的员工不得随意更换，在新的员工未到岗之前，原来的岗位不得缺岗。</w:t>
      </w:r>
    </w:p>
    <w:p w14:paraId="7B1AF11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napToGrid w:val="0"/>
          <w:color w:val="000000"/>
          <w:kern w:val="0"/>
          <w:sz w:val="21"/>
          <w:szCs w:val="21"/>
          <w:lang w:val="en-US" w:eastAsia="zh-CN" w:bidi="ar-SA"/>
        </w:rPr>
      </w:pPr>
      <w:r>
        <w:rPr>
          <w:rFonts w:hint="eastAsia" w:ascii="宋体" w:hAnsi="宋体" w:eastAsia="宋体" w:cs="宋体"/>
          <w:b/>
          <w:snapToGrid w:val="0"/>
          <w:color w:val="000000"/>
          <w:kern w:val="0"/>
          <w:sz w:val="21"/>
          <w:szCs w:val="21"/>
          <w:lang w:val="en-US" w:eastAsia="zh-CN" w:bidi="ar-SA"/>
        </w:rPr>
        <w:t>（五）、设备设施要求</w:t>
      </w:r>
    </w:p>
    <w:p w14:paraId="53E977E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1、环卫作业所需的一切劳保用品、环卫设施、设备管护等费用均由中标人负责购买及配置。</w:t>
      </w:r>
    </w:p>
    <w:p w14:paraId="243E9DC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2、采购人提供的环卫设施达到使用年限，中标人应及时以书面形式告知采购人，采购人核定后予以封存或报废，在合同履行期间，环卫设施设备如到报废期，一律由中标人添置，费用由中标人负责。</w:t>
      </w:r>
    </w:p>
    <w:p w14:paraId="3317A89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3、采购人移交的垃圾收集容器(桶)，中标人在作业期间需保持同等数量，遗失或损坏应及时无偿补齐。合同期滿，中标人应如数归还由业主单位提供使用的环卫设施及设备，若造成损坏或数量不足的，中标人需按新购价赔偿采购人。</w:t>
      </w:r>
    </w:p>
    <w:p w14:paraId="60EE2BC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若中标人不履行责任的，采购人可扣减相关费用后再行付款，由此造成的损失由中标人自行负责。</w:t>
      </w:r>
    </w:p>
    <w:p w14:paraId="584EF872">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 xml:space="preserve">（六）、安全保障 </w:t>
      </w:r>
    </w:p>
    <w:p w14:paraId="6D5E0B0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1、中标人应建立健全安全生产管理制度，落实安全生产责任人，并有完整的作业和检查记录。 </w:t>
      </w:r>
    </w:p>
    <w:p w14:paraId="759D6B6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2、清洁工人上班必须穿工作服、安全反光背心，佩戴反光安全标识。作业时注意避让车辆、行人，确保安全。 </w:t>
      </w:r>
    </w:p>
    <w:p w14:paraId="7563A50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3、保洁作业队必须对每名新进职工进行安全教育培训、岗位技能培训和技术交底。新进职工岗位技能考核合格后，方可上岗作业。 </w:t>
      </w:r>
    </w:p>
    <w:p w14:paraId="1CCE460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3、保洁作业队必须每月至少对所属职工开展二次安全教育培训，各班组长必须在每日开工前对所属职工开展“班前”安全教育。 </w:t>
      </w:r>
    </w:p>
    <w:p w14:paraId="31B007A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4、作业前，作业人员应对作业工具进行全面检查。 </w:t>
      </w:r>
    </w:p>
    <w:p w14:paraId="28FEA1C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6、在夜间、清晨、恶劣天气（降雨、雾霾、沙尘暴、降雪、雾天等)等能见度较低时间段作业时，作业人员、手推车、电动保洁车必须开启警示爆闪灯。 </w:t>
      </w:r>
    </w:p>
    <w:p w14:paraId="705E125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7、人员聚堆作业、清理路面污染物、水冲洗作业、保洁车辆(手推车、保洁垃圾收集车等)停车作业和清冰雪作业时必须设置警示标志，作业人员、保洁车辆必须在安全警示区域内作业。 </w:t>
      </w:r>
    </w:p>
    <w:p w14:paraId="562BE60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8、道路作业应合理安排作业时间和方式，避开上下班高峰时段；清扫机动车道、绿化分隔栏时要设置醒目的警示标志，同时做好安全防护工作。 </w:t>
      </w:r>
    </w:p>
    <w:p w14:paraId="46E2DC1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9、使用手推车、电动保洁车等作业工具车时，须在非机动车道上顺向推行或低速行驶，停车时做好楔掩，防止溜车。收工后，手推车、电动保洁车应停放在指定地点，不得随意停放影响交通。 </w:t>
      </w:r>
    </w:p>
    <w:p w14:paraId="53ED13F1">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 xml:space="preserve">（七）、文明作业 </w:t>
      </w:r>
    </w:p>
    <w:p w14:paraId="6679E2F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1、作业要文明、安全、整洁、有序，防止造成二次污染，最大限度地减少对公众生产生活的影响。 </w:t>
      </w:r>
    </w:p>
    <w:p w14:paraId="0B648CC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2、清扫作业期间，清扫工具要整齐摆放在不影响交通和市容的地方。 </w:t>
      </w:r>
    </w:p>
    <w:p w14:paraId="49B3319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3、人工清扫要尽量采用捡拾或小笤帚清扫的方式，避免扬尘。 </w:t>
      </w:r>
    </w:p>
    <w:p w14:paraId="3466A45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4、清扫作业时要随扫随收，及时清理，把垃圾倒入密闭容器内。 </w:t>
      </w:r>
    </w:p>
    <w:p w14:paraId="28AA93F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5、严禁焚烧树叶、秸秆及各类垃圾。 </w:t>
      </w:r>
    </w:p>
    <w:p w14:paraId="62C71CE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6、道路大面积污染需要集中清理时，及时向交警部门反映，按规定设置安全警示标志。 </w:t>
      </w:r>
    </w:p>
    <w:p w14:paraId="55CF0D5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7、保洁人员在上岗作业时，必须保持着装整洁，不得蓬头垢面。 </w:t>
      </w:r>
    </w:p>
    <w:p w14:paraId="2DCB063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8、职工上岗作业，要注意行人和来往车辆，作业时不扬尘、不扰民、礼貌待人。 </w:t>
      </w:r>
    </w:p>
    <w:p w14:paraId="34F1171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9、严格遵守工作时间和请假制度，作业过程中不得串岗、脱岗、扎堆聊天、干私活等，杜绝无人守岗、提前离岗或在岗休息。 </w:t>
      </w:r>
    </w:p>
    <w:p w14:paraId="3A43422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10、清洁过程中，密切关注周边人流状况，避让过往行人、车辆。 </w:t>
      </w:r>
    </w:p>
    <w:p w14:paraId="4AA9469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11、人流量高峰期或人员密集场所，不得使用大扫把进行普扫。 </w:t>
      </w:r>
    </w:p>
    <w:p w14:paraId="4353569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12、在不影响工作的前提下，对过往行人的询问尽可能予以善意解答和指引，做到文明有礼。 </w:t>
      </w:r>
    </w:p>
    <w:p w14:paraId="25A5FF9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13、注意文明清扫，切勿将扫把提起过高，离地尽量不要超过20厘米，避免尘土飞扬，造成空气污染，影响过往游客。 </w:t>
      </w:r>
    </w:p>
    <w:p w14:paraId="3ED725F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14、对工作认真负责，爱护、保管好清洁工具，切勿随便摆放，作业结束后及时清理，保持整洁。 </w:t>
      </w:r>
    </w:p>
    <w:p w14:paraId="0DB4D579">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 xml:space="preserve">（八）监管措施 </w:t>
      </w:r>
    </w:p>
    <w:p w14:paraId="2B8A3E6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天马山街道和雁峰区城市管理和综合执法局作为环卫业务考核评分的主体，街道成立环卫作业考核领导小组和环卫所作为考核部门，具体负责环卫业务考核的组织、协调、监督及统计工作。 </w:t>
      </w:r>
    </w:p>
    <w:p w14:paraId="4CE487B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 xml:space="preserve">（九）、工作职责 </w:t>
      </w:r>
    </w:p>
    <w:p w14:paraId="72A51F6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1、严格遵照区委、区政府的工作要求以及《衡阳市城乡治理标准化》。在接受市城市办、街道、市行政执法局、市环卫处考核的同时，必须接受区内六级考核，即区环卫所质检考核、街道质检考核、区城管局质检考核、区城市办考核、区委区政府督查室考核、区领导考核的方式，</w:t>
      </w:r>
      <w:r>
        <w:rPr>
          <w:rFonts w:hint="eastAsia" w:ascii="宋体" w:hAnsi="宋体" w:eastAsia="宋体" w:cs="宋体"/>
          <w:b/>
          <w:bCs/>
          <w:snapToGrid w:val="0"/>
          <w:color w:val="000000"/>
          <w:kern w:val="0"/>
          <w:sz w:val="21"/>
          <w:szCs w:val="21"/>
          <w:lang w:val="en-US" w:eastAsia="zh-CN" w:bidi="ar"/>
        </w:rPr>
        <w:t>接受街道、城管局（环卫所）</w:t>
      </w:r>
      <w:r>
        <w:rPr>
          <w:rFonts w:hint="eastAsia" w:ascii="宋体" w:hAnsi="宋体" w:eastAsia="宋体" w:cs="宋体"/>
          <w:snapToGrid w:val="0"/>
          <w:color w:val="000000"/>
          <w:kern w:val="0"/>
          <w:sz w:val="21"/>
          <w:szCs w:val="21"/>
          <w:lang w:val="en-US" w:eastAsia="zh-CN" w:bidi="ar"/>
        </w:rPr>
        <w:t xml:space="preserve">组织专门工作机构、人员，对环卫工作的作业质量进行督查考核评比。 </w:t>
      </w:r>
    </w:p>
    <w:p w14:paraId="66DF66E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2、</w:t>
      </w:r>
      <w:r>
        <w:rPr>
          <w:rFonts w:hint="eastAsia" w:ascii="宋体" w:hAnsi="宋体" w:eastAsia="宋体" w:cs="宋体"/>
          <w:b/>
          <w:bCs/>
          <w:snapToGrid w:val="0"/>
          <w:color w:val="000000"/>
          <w:kern w:val="0"/>
          <w:sz w:val="21"/>
          <w:szCs w:val="21"/>
          <w:lang w:val="en-US" w:eastAsia="zh-CN" w:bidi="ar"/>
        </w:rPr>
        <w:t>接受街道、城管局（环卫所）</w:t>
      </w:r>
      <w:r>
        <w:rPr>
          <w:rFonts w:hint="eastAsia" w:ascii="宋体" w:hAnsi="宋体" w:eastAsia="宋体" w:cs="宋体"/>
          <w:b w:val="0"/>
          <w:bCs w:val="0"/>
          <w:snapToGrid w:val="0"/>
          <w:color w:val="000000"/>
          <w:kern w:val="0"/>
          <w:sz w:val="21"/>
          <w:szCs w:val="21"/>
          <w:lang w:val="en-US" w:eastAsia="zh-CN" w:bidi="ar"/>
        </w:rPr>
        <w:t>对</w:t>
      </w:r>
      <w:r>
        <w:rPr>
          <w:rFonts w:hint="eastAsia" w:ascii="宋体" w:hAnsi="宋体" w:eastAsia="宋体" w:cs="宋体"/>
          <w:snapToGrid w:val="0"/>
          <w:color w:val="000000"/>
          <w:kern w:val="0"/>
          <w:sz w:val="21"/>
          <w:szCs w:val="21"/>
          <w:lang w:val="en-US" w:eastAsia="zh-CN" w:bidi="ar"/>
        </w:rPr>
        <w:t xml:space="preserve">环卫作业的日常督导及监管，及不定期抽查街道环卫管理台账资料和质检员督查记录，对环卫市场化公司负责的“四外”（垃圾外倒、门店外扫、摊担外摆、门店外堆）、“五小店”（废品店、修理店、早餐夜市、鲜花水果店、维修加工店）、社区“门前三包”、建筑垃圾（装修垃圾）管理情况进行监管。 </w:t>
      </w:r>
    </w:p>
    <w:p w14:paraId="2DB8A30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3、及时将群众投诉举报和媒体曝光的社区环卫作业质量问题反馈给街道（社区、村），落实责任，对问题整改情况进行跟踪督查督办。 </w:t>
      </w:r>
    </w:p>
    <w:p w14:paraId="0B53533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4、严格按《衡阳市城区环境卫生工作考核细则》及《雁峰区环卫所标准化作业督查评分细则》规定完成辖区内的环卫作业任务。 </w:t>
      </w:r>
    </w:p>
    <w:p w14:paraId="3366A4E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5、负责整治社区内“四外”行为，规范对“五小店，管理，加强对居民、门店经营业主环卫意识宣传，落实“门前三包”责任。 </w:t>
      </w:r>
    </w:p>
    <w:p w14:paraId="11FDAAF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6、落实市、区政府及相关职能部门交办的整改事项。 </w:t>
      </w:r>
    </w:p>
    <w:p w14:paraId="0101B51C">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 xml:space="preserve">（十）、考核评分方式 </w:t>
      </w:r>
    </w:p>
    <w:p w14:paraId="6F73001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依据市城市办、市行政执法局、市环卫处、区城市办相应考核成绩通报及街道、环卫所考核部门根据《衡阳市城区环境卫生工作考核细则》及《雁峰区环卫所标准化作业督查评分细则》，采用百分比综合评分机制，对考核评分对象进行考核评分；即街道考核部门的日常督查及专项考核评分在综合评分机制中占比40%（含社区考核评分）、城管局（环卫所）考核部门的日常督查及专项考核评分在综合评分机制中占比30%，市区两级相应考核成绩评分在综合评分机制中占比20%、电子政务平台考核评分在综合评分机制中占比10%；当月如遇上级领导视察、创文创卫等重大活动出现问题的实行一票否决制。 </w:t>
      </w:r>
    </w:p>
    <w:p w14:paraId="6169848A">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1、日督查。</w:t>
      </w:r>
      <w:r>
        <w:rPr>
          <w:rFonts w:hint="eastAsia" w:ascii="宋体" w:hAnsi="宋体" w:eastAsia="宋体" w:cs="宋体"/>
          <w:snapToGrid w:val="0"/>
          <w:color w:val="000000"/>
          <w:kern w:val="0"/>
          <w:sz w:val="21"/>
          <w:szCs w:val="21"/>
          <w:lang w:val="en-US" w:eastAsia="zh-CN" w:bidi="ar"/>
        </w:rPr>
        <w:t>由街道、区环卫所质检股督查人员每天对考核评分对象进行日常督查。将督查中发现的问题及时反馈给考核评分对象【</w:t>
      </w:r>
      <w:r>
        <w:rPr>
          <w:rFonts w:hint="eastAsia" w:ascii="宋体" w:hAnsi="宋体" w:eastAsia="宋体" w:cs="宋体"/>
          <w:b/>
          <w:bCs/>
          <w:snapToGrid w:val="0"/>
          <w:color w:val="000000"/>
          <w:kern w:val="0"/>
          <w:sz w:val="21"/>
          <w:szCs w:val="21"/>
          <w:lang w:val="en-US" w:eastAsia="zh-CN" w:bidi="ar"/>
        </w:rPr>
        <w:t>中标人</w:t>
      </w:r>
      <w:r>
        <w:rPr>
          <w:rFonts w:hint="eastAsia" w:ascii="宋体" w:hAnsi="宋体" w:eastAsia="宋体" w:cs="宋体"/>
          <w:snapToGrid w:val="0"/>
          <w:color w:val="000000"/>
          <w:kern w:val="0"/>
          <w:sz w:val="21"/>
          <w:szCs w:val="21"/>
          <w:lang w:val="en-US" w:eastAsia="zh-CN" w:bidi="ar"/>
        </w:rPr>
        <w:t>必须指定专人</w:t>
      </w:r>
      <w:r>
        <w:rPr>
          <w:rFonts w:hint="eastAsia" w:ascii="宋体" w:hAnsi="宋体" w:eastAsia="宋体" w:cs="宋体"/>
          <w:b/>
          <w:bCs/>
          <w:snapToGrid w:val="0"/>
          <w:color w:val="000000"/>
          <w:kern w:val="0"/>
          <w:sz w:val="21"/>
          <w:szCs w:val="21"/>
          <w:lang w:val="en-US" w:eastAsia="zh-CN" w:bidi="ar"/>
        </w:rPr>
        <w:t>（专干）</w:t>
      </w:r>
      <w:r>
        <w:rPr>
          <w:rFonts w:hint="eastAsia" w:ascii="宋体" w:hAnsi="宋体" w:eastAsia="宋体" w:cs="宋体"/>
          <w:snapToGrid w:val="0"/>
          <w:color w:val="000000"/>
          <w:kern w:val="0"/>
          <w:sz w:val="21"/>
          <w:szCs w:val="21"/>
          <w:lang w:val="en-US" w:eastAsia="zh-CN" w:bidi="ar"/>
        </w:rPr>
        <w:t xml:space="preserve">负责及对接】，督促整改，确保效果。街道和区环卫所可以一起日督查，也可以分别进行日督查。 </w:t>
      </w:r>
    </w:p>
    <w:p w14:paraId="2E9EEA17">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2、专项考核。</w:t>
      </w:r>
      <w:r>
        <w:rPr>
          <w:rFonts w:hint="eastAsia" w:ascii="宋体" w:hAnsi="宋体" w:eastAsia="宋体" w:cs="宋体"/>
          <w:snapToGrid w:val="0"/>
          <w:color w:val="000000"/>
          <w:kern w:val="0"/>
          <w:sz w:val="21"/>
          <w:szCs w:val="21"/>
          <w:lang w:val="en-US" w:eastAsia="zh-CN" w:bidi="ar"/>
        </w:rPr>
        <w:t xml:space="preserve">由街道、区环卫所组织，专项考核为不定期考核，每周一至二次，考核内容为道路清扫保洁、道路清洗、垃圾清运、环卫设施管护等环卫作业工种。街道和区环卫所可以一起专项考核，也可以分别进行专项考核。 </w:t>
      </w:r>
    </w:p>
    <w:p w14:paraId="361AE221">
      <w:pPr>
        <w:keepNext w:val="0"/>
        <w:keepLines w:val="0"/>
        <w:pageBreakBefore w:val="0"/>
        <w:widowControl w:val="0"/>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3、月度考核。</w:t>
      </w:r>
      <w:r>
        <w:rPr>
          <w:rFonts w:hint="eastAsia" w:ascii="宋体" w:hAnsi="宋体" w:eastAsia="宋体" w:cs="宋体"/>
          <w:snapToGrid w:val="0"/>
          <w:color w:val="000000"/>
          <w:kern w:val="0"/>
          <w:sz w:val="21"/>
          <w:szCs w:val="21"/>
          <w:lang w:val="en-US" w:eastAsia="zh-CN" w:bidi="ar"/>
        </w:rPr>
        <w:t xml:space="preserve">月度考核为定期通知综合考核，每月组织一次，原则上在市环卫处月度综合考核的前一天，由区环卫所统一组织，考核人员由区环卫所分管质检的领导和区环卫所质检股抽调人员组成，街道配合，对所有环卫管理及作业内容进行全面考核。 </w:t>
      </w:r>
    </w:p>
    <w:p w14:paraId="38FF61AB">
      <w:pPr>
        <w:keepNext w:val="0"/>
        <w:keepLines w:val="0"/>
        <w:pageBreakBefore w:val="0"/>
        <w:widowControl w:val="0"/>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4、其他监督考核。</w:t>
      </w:r>
      <w:r>
        <w:rPr>
          <w:rFonts w:hint="eastAsia" w:ascii="宋体" w:hAnsi="宋体" w:eastAsia="宋体" w:cs="宋体"/>
          <w:snapToGrid w:val="0"/>
          <w:color w:val="000000"/>
          <w:kern w:val="0"/>
          <w:sz w:val="21"/>
          <w:szCs w:val="21"/>
          <w:lang w:val="en-US" w:eastAsia="zh-CN" w:bidi="ar"/>
        </w:rPr>
        <w:t xml:space="preserve">其他监督考核包括市数字化监管考核；上级领导视察、重大活动、专项活动中发现的问题；领导交办的事项不按要求落实的；媒体曝光的；市民投诉经查属实不妥善处理的。 </w:t>
      </w:r>
    </w:p>
    <w:p w14:paraId="68419E85">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b/>
          <w:bCs/>
          <w:snapToGrid w:val="0"/>
          <w:color w:val="000000"/>
          <w:kern w:val="0"/>
          <w:sz w:val="21"/>
          <w:szCs w:val="21"/>
          <w:lang w:val="en-US" w:eastAsia="zh-CN" w:bidi="ar"/>
        </w:rPr>
        <w:t xml:space="preserve">（十）、惩戒办法 </w:t>
      </w:r>
    </w:p>
    <w:p w14:paraId="30F8B41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1、考评实行百分倒扣制，按200元/分标准实行扣款。 </w:t>
      </w:r>
    </w:p>
    <w:p w14:paraId="4C99C85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2、月度考核成绩70分(含)以上为达标，低于70分为不达标，不达标每次处</w:t>
      </w:r>
      <w:r>
        <w:rPr>
          <w:rFonts w:hint="eastAsia" w:ascii="宋体" w:hAnsi="宋体" w:eastAsia="宋体" w:cs="宋体"/>
          <w:b/>
          <w:bCs/>
          <w:snapToGrid w:val="0"/>
          <w:color w:val="000000"/>
          <w:kern w:val="0"/>
          <w:sz w:val="21"/>
          <w:szCs w:val="21"/>
          <w:lang w:val="en-US" w:eastAsia="zh-CN" w:bidi="ar"/>
        </w:rPr>
        <w:t>10000元-20000</w:t>
      </w:r>
      <w:r>
        <w:rPr>
          <w:rFonts w:hint="eastAsia" w:ascii="宋体" w:hAnsi="宋体" w:eastAsia="宋体" w:cs="宋体"/>
          <w:snapToGrid w:val="0"/>
          <w:color w:val="000000"/>
          <w:kern w:val="0"/>
          <w:sz w:val="21"/>
          <w:szCs w:val="21"/>
          <w:lang w:val="en-US" w:eastAsia="zh-CN" w:bidi="ar"/>
        </w:rPr>
        <w:t xml:space="preserve">元罚款。 </w:t>
      </w:r>
    </w:p>
    <w:p w14:paraId="7725870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3、付款比例:月度考核得分在90分(含)以上100%付款；月度考核得分在80分-89分按90%比例付款；月度考核得分在70分-79分按80%付款；月度考核得分在70分以下按70%付款。 </w:t>
      </w:r>
    </w:p>
    <w:p w14:paraId="644AF84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4、在迎接重大活动出现失误、重要会议中被点名批评的，每次处</w:t>
      </w:r>
      <w:r>
        <w:rPr>
          <w:rFonts w:hint="eastAsia" w:ascii="宋体" w:hAnsi="宋体" w:eastAsia="宋体" w:cs="宋体"/>
          <w:b/>
          <w:bCs/>
          <w:snapToGrid w:val="0"/>
          <w:color w:val="000000"/>
          <w:kern w:val="0"/>
          <w:sz w:val="21"/>
          <w:szCs w:val="21"/>
          <w:lang w:val="en-US" w:eastAsia="zh-CN" w:bidi="ar"/>
        </w:rPr>
        <w:t>3000元- 10000</w:t>
      </w:r>
      <w:r>
        <w:rPr>
          <w:rFonts w:hint="eastAsia" w:ascii="宋体" w:hAnsi="宋体" w:eastAsia="宋体" w:cs="宋体"/>
          <w:snapToGrid w:val="0"/>
          <w:color w:val="000000"/>
          <w:kern w:val="0"/>
          <w:sz w:val="21"/>
          <w:szCs w:val="21"/>
          <w:lang w:val="en-US" w:eastAsia="zh-CN" w:bidi="ar"/>
        </w:rPr>
        <w:t xml:space="preserve">元罚款，采购人约谈和责令中标人整改。 </w:t>
      </w:r>
    </w:p>
    <w:p w14:paraId="3739DAE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kern w:val="0"/>
          <w:sz w:val="21"/>
          <w:szCs w:val="21"/>
          <w:lang w:val="en-US" w:eastAsia="zh-CN" w:bidi="ar"/>
        </w:rPr>
        <w:t xml:space="preserve">5、连续2个月考核得分低于70分，采购人约谈和责令中标人整改，服务期内2次得分在70分以下的中标人要终止合同并退出。 </w:t>
      </w:r>
    </w:p>
    <w:p w14:paraId="0F85A82D">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snapToGrid w:val="0"/>
          <w:color w:val="000000"/>
          <w:kern w:val="0"/>
          <w:sz w:val="21"/>
          <w:szCs w:val="21"/>
          <w:lang w:val="en-US" w:eastAsia="zh-CN" w:bidi="ar"/>
        </w:rPr>
      </w:pPr>
      <w:r>
        <w:rPr>
          <w:rFonts w:hint="eastAsia" w:ascii="宋体" w:hAnsi="宋体" w:eastAsia="宋体" w:cs="宋体"/>
          <w:b/>
          <w:bCs/>
          <w:snapToGrid w:val="0"/>
          <w:color w:val="000000"/>
          <w:kern w:val="0"/>
          <w:sz w:val="21"/>
          <w:szCs w:val="21"/>
          <w:lang w:val="en-US" w:eastAsia="zh-CN" w:bidi="ar"/>
        </w:rPr>
        <w:t>街道（社区）环卫管理考核扣分标准</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5931"/>
        <w:gridCol w:w="1397"/>
      </w:tblGrid>
      <w:tr w14:paraId="4325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noWrap w:val="0"/>
            <w:vAlign w:val="center"/>
          </w:tcPr>
          <w:p w14:paraId="3F871336">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vertAlign w:val="baseline"/>
                <w:lang w:eastAsia="en-US"/>
              </w:rPr>
            </w:pPr>
            <w:r>
              <w:rPr>
                <w:rFonts w:hint="eastAsia" w:ascii="Arial" w:hAnsi="Arial" w:eastAsia="Arial" w:cs="Arial"/>
                <w:b/>
                <w:bCs/>
                <w:snapToGrid w:val="0"/>
                <w:color w:val="000000"/>
                <w:kern w:val="0"/>
                <w:sz w:val="21"/>
                <w:szCs w:val="21"/>
                <w:vertAlign w:val="baseline"/>
                <w:lang w:eastAsia="en-US"/>
              </w:rPr>
              <w:t>考核项目</w:t>
            </w:r>
          </w:p>
        </w:tc>
        <w:tc>
          <w:tcPr>
            <w:tcW w:w="6323" w:type="dxa"/>
            <w:noWrap w:val="0"/>
            <w:vAlign w:val="center"/>
          </w:tcPr>
          <w:p w14:paraId="07915582">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vertAlign w:val="baseline"/>
                <w:lang w:eastAsia="en-US"/>
              </w:rPr>
            </w:pPr>
            <w:r>
              <w:rPr>
                <w:rFonts w:hint="eastAsia" w:ascii="Arial" w:hAnsi="Arial" w:eastAsia="Arial" w:cs="Arial"/>
                <w:b/>
                <w:bCs/>
                <w:snapToGrid w:val="0"/>
                <w:color w:val="000000"/>
                <w:kern w:val="0"/>
                <w:sz w:val="21"/>
                <w:szCs w:val="21"/>
                <w:vertAlign w:val="baseline"/>
                <w:lang w:eastAsia="en-US"/>
              </w:rPr>
              <w:t>具体内容</w:t>
            </w:r>
          </w:p>
        </w:tc>
        <w:tc>
          <w:tcPr>
            <w:tcW w:w="1463" w:type="dxa"/>
            <w:noWrap w:val="0"/>
            <w:vAlign w:val="center"/>
          </w:tcPr>
          <w:p w14:paraId="6F7B484F">
            <w:pPr>
              <w:widowControl/>
              <w:kinsoku w:val="0"/>
              <w:autoSpaceDE w:val="0"/>
              <w:autoSpaceDN w:val="0"/>
              <w:adjustRightInd w:val="0"/>
              <w:snapToGrid w:val="0"/>
              <w:spacing w:line="240" w:lineRule="auto"/>
              <w:jc w:val="center"/>
              <w:textAlignment w:val="baseline"/>
              <w:rPr>
                <w:rFonts w:ascii="Arial" w:hAnsi="Arial" w:eastAsia="Arial" w:cs="Arial"/>
                <w:b/>
                <w:bCs/>
                <w:snapToGrid w:val="0"/>
                <w:color w:val="000000"/>
                <w:kern w:val="0"/>
                <w:sz w:val="21"/>
                <w:szCs w:val="21"/>
                <w:vertAlign w:val="baseline"/>
                <w:lang w:eastAsia="en-US"/>
              </w:rPr>
            </w:pPr>
            <w:r>
              <w:rPr>
                <w:rFonts w:hint="eastAsia" w:ascii="Arial" w:hAnsi="Arial" w:eastAsia="Arial" w:cs="Arial"/>
                <w:b/>
                <w:bCs/>
                <w:snapToGrid w:val="0"/>
                <w:color w:val="000000"/>
                <w:kern w:val="0"/>
                <w:sz w:val="21"/>
                <w:szCs w:val="21"/>
                <w:vertAlign w:val="baseline"/>
                <w:lang w:eastAsia="en-US"/>
              </w:rPr>
              <w:t>扣分标准</w:t>
            </w:r>
          </w:p>
        </w:tc>
      </w:tr>
      <w:tr w14:paraId="3A25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restart"/>
            <w:noWrap w:val="0"/>
            <w:vAlign w:val="center"/>
          </w:tcPr>
          <w:p w14:paraId="1714822B">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队伍建设</w:t>
            </w:r>
          </w:p>
        </w:tc>
        <w:tc>
          <w:tcPr>
            <w:tcW w:w="6323" w:type="dxa"/>
            <w:noWrap w:val="0"/>
            <w:vAlign w:val="center"/>
          </w:tcPr>
          <w:p w14:paraId="238980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1、环卫管理专干不确定的</w:t>
            </w:r>
          </w:p>
        </w:tc>
        <w:tc>
          <w:tcPr>
            <w:tcW w:w="1463" w:type="dxa"/>
            <w:noWrap w:val="0"/>
            <w:vAlign w:val="center"/>
          </w:tcPr>
          <w:p w14:paraId="271C3FBE">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4F91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235" w:type="dxa"/>
            <w:vMerge w:val="continue"/>
            <w:noWrap w:val="0"/>
            <w:vAlign w:val="center"/>
          </w:tcPr>
          <w:p w14:paraId="27E5BFF2">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5DCE21B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2、需现场整改，管理专干通讯不畅或不按规定时间到现场的，每次</w:t>
            </w:r>
          </w:p>
        </w:tc>
        <w:tc>
          <w:tcPr>
            <w:tcW w:w="1463" w:type="dxa"/>
            <w:noWrap w:val="0"/>
            <w:vAlign w:val="center"/>
          </w:tcPr>
          <w:p w14:paraId="0A56F63F">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0014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235" w:type="dxa"/>
            <w:vMerge w:val="continue"/>
            <w:noWrap w:val="0"/>
            <w:vAlign w:val="center"/>
          </w:tcPr>
          <w:p w14:paraId="79AE9F35">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2F2CA1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3、因服务态度差，工作不到位，与服务对象发生冲突，负主要责任的，每次</w:t>
            </w:r>
          </w:p>
        </w:tc>
        <w:tc>
          <w:tcPr>
            <w:tcW w:w="1463" w:type="dxa"/>
            <w:noWrap w:val="0"/>
            <w:vAlign w:val="center"/>
          </w:tcPr>
          <w:p w14:paraId="203991A6">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054B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0B08EDBE">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095C47C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4</w:t>
            </w:r>
            <w:r>
              <w:rPr>
                <w:rFonts w:hint="eastAsia" w:ascii="Arial" w:hAnsi="Arial" w:eastAsia="Arial" w:cs="Arial"/>
                <w:snapToGrid w:val="0"/>
                <w:color w:val="000000"/>
                <w:kern w:val="0"/>
                <w:sz w:val="21"/>
                <w:szCs w:val="21"/>
                <w:vertAlign w:val="baseline"/>
                <w:lang w:eastAsia="zh-CN"/>
              </w:rPr>
              <w:t>、</w:t>
            </w:r>
            <w:r>
              <w:rPr>
                <w:rFonts w:hint="eastAsia" w:ascii="Arial" w:hAnsi="Arial" w:eastAsia="Arial" w:cs="Arial"/>
                <w:snapToGrid w:val="0"/>
                <w:color w:val="000000"/>
                <w:kern w:val="0"/>
                <w:sz w:val="21"/>
                <w:szCs w:val="21"/>
                <w:vertAlign w:val="baseline"/>
                <w:lang w:eastAsia="en-US"/>
              </w:rPr>
              <w:t>不按要求着工作服或缺岗，每人每次</w:t>
            </w:r>
          </w:p>
        </w:tc>
        <w:tc>
          <w:tcPr>
            <w:tcW w:w="1463" w:type="dxa"/>
            <w:noWrap w:val="0"/>
            <w:vAlign w:val="center"/>
          </w:tcPr>
          <w:p w14:paraId="64FCFBE3">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27AE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restart"/>
            <w:noWrap w:val="0"/>
            <w:vAlign w:val="center"/>
          </w:tcPr>
          <w:p w14:paraId="6ABEACE0">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门店、摊担、渣土堆物管理</w:t>
            </w:r>
          </w:p>
        </w:tc>
        <w:tc>
          <w:tcPr>
            <w:tcW w:w="6323" w:type="dxa"/>
            <w:noWrap w:val="0"/>
            <w:vAlign w:val="center"/>
          </w:tcPr>
          <w:p w14:paraId="3189E3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1、门店外扫、营业垃圾乱堆放，每处</w:t>
            </w:r>
          </w:p>
        </w:tc>
        <w:tc>
          <w:tcPr>
            <w:tcW w:w="1463" w:type="dxa"/>
            <w:noWrap w:val="0"/>
            <w:vAlign w:val="center"/>
          </w:tcPr>
          <w:p w14:paraId="1902AF3C">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0.5</w:t>
            </w:r>
          </w:p>
        </w:tc>
      </w:tr>
      <w:tr w14:paraId="3674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trPr>
        <w:tc>
          <w:tcPr>
            <w:tcW w:w="1235" w:type="dxa"/>
            <w:vMerge w:val="continue"/>
            <w:noWrap w:val="0"/>
            <w:vAlign w:val="center"/>
          </w:tcPr>
          <w:p w14:paraId="565B381A">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3138DA1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2、整治“四外”不到位，每处</w:t>
            </w:r>
          </w:p>
        </w:tc>
        <w:tc>
          <w:tcPr>
            <w:tcW w:w="1463" w:type="dxa"/>
            <w:noWrap w:val="0"/>
            <w:vAlign w:val="center"/>
          </w:tcPr>
          <w:p w14:paraId="204D7748">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3051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2563E750">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7D0D9CD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3、整治“四小店”不到位，每处</w:t>
            </w:r>
          </w:p>
        </w:tc>
        <w:tc>
          <w:tcPr>
            <w:tcW w:w="1463" w:type="dxa"/>
            <w:noWrap w:val="0"/>
            <w:vAlign w:val="center"/>
          </w:tcPr>
          <w:p w14:paraId="4246BB44">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38C1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5CBE5360">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05597D7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4、有物主杂物乱堆，每处</w:t>
            </w:r>
          </w:p>
        </w:tc>
        <w:tc>
          <w:tcPr>
            <w:tcW w:w="1463" w:type="dxa"/>
            <w:noWrap w:val="0"/>
            <w:vAlign w:val="center"/>
          </w:tcPr>
          <w:p w14:paraId="0381D25E">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0.5</w:t>
            </w:r>
          </w:p>
        </w:tc>
      </w:tr>
      <w:tr w14:paraId="0D17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79AD5071">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790EAEF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5、有物主建筑渣土在地面散体堆放，每处</w:t>
            </w:r>
          </w:p>
        </w:tc>
        <w:tc>
          <w:tcPr>
            <w:tcW w:w="1463" w:type="dxa"/>
            <w:noWrap w:val="0"/>
            <w:vAlign w:val="center"/>
          </w:tcPr>
          <w:p w14:paraId="43DE0858">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0.5</w:t>
            </w:r>
          </w:p>
        </w:tc>
      </w:tr>
      <w:tr w14:paraId="6670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766309B8">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6034B23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6、有物主建筑渣土袋装落地 48 小时内未清理，每处</w:t>
            </w:r>
          </w:p>
        </w:tc>
        <w:tc>
          <w:tcPr>
            <w:tcW w:w="1463" w:type="dxa"/>
            <w:noWrap w:val="0"/>
            <w:vAlign w:val="center"/>
          </w:tcPr>
          <w:p w14:paraId="3D04639E">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1DA3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restart"/>
            <w:noWrap w:val="0"/>
            <w:vAlign w:val="center"/>
          </w:tcPr>
          <w:p w14:paraId="046D836D">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专项活动</w:t>
            </w:r>
          </w:p>
        </w:tc>
        <w:tc>
          <w:tcPr>
            <w:tcW w:w="6323" w:type="dxa"/>
            <w:noWrap w:val="0"/>
            <w:vAlign w:val="center"/>
          </w:tcPr>
          <w:p w14:paraId="14591D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1、媒体曝光，经调查属责任事件的，每次</w:t>
            </w:r>
          </w:p>
        </w:tc>
        <w:tc>
          <w:tcPr>
            <w:tcW w:w="1463" w:type="dxa"/>
            <w:noWrap w:val="0"/>
            <w:vAlign w:val="center"/>
          </w:tcPr>
          <w:p w14:paraId="745A6EBC">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2</w:t>
            </w:r>
          </w:p>
        </w:tc>
      </w:tr>
      <w:tr w14:paraId="2B25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71DB8197">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274E9C7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2、居民投诉或举报，经调查属实，每件</w:t>
            </w:r>
          </w:p>
        </w:tc>
        <w:tc>
          <w:tcPr>
            <w:tcW w:w="1463" w:type="dxa"/>
            <w:noWrap w:val="0"/>
            <w:vAlign w:val="center"/>
          </w:tcPr>
          <w:p w14:paraId="0AAFE7CD">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7FB2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35" w:type="dxa"/>
            <w:vMerge w:val="continue"/>
            <w:noWrap w:val="0"/>
            <w:vAlign w:val="center"/>
          </w:tcPr>
          <w:p w14:paraId="197132CE">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30BE54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3、对省检、领导视察等重大事项因工作不到位造成负面影响的，每次</w:t>
            </w:r>
          </w:p>
        </w:tc>
        <w:tc>
          <w:tcPr>
            <w:tcW w:w="1463" w:type="dxa"/>
            <w:noWrap w:val="0"/>
            <w:vAlign w:val="center"/>
          </w:tcPr>
          <w:p w14:paraId="1DFC2616">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2</w:t>
            </w:r>
          </w:p>
        </w:tc>
      </w:tr>
      <w:tr w14:paraId="5E86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restart"/>
            <w:noWrap w:val="0"/>
            <w:vAlign w:val="center"/>
          </w:tcPr>
          <w:p w14:paraId="1110298F">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资料台账</w:t>
            </w:r>
          </w:p>
        </w:tc>
        <w:tc>
          <w:tcPr>
            <w:tcW w:w="6323" w:type="dxa"/>
            <w:noWrap w:val="0"/>
            <w:vAlign w:val="center"/>
          </w:tcPr>
          <w:p w14:paraId="5829EBA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1、没有督查督办记录</w:t>
            </w:r>
          </w:p>
        </w:tc>
        <w:tc>
          <w:tcPr>
            <w:tcW w:w="1463" w:type="dxa"/>
            <w:noWrap w:val="0"/>
            <w:vAlign w:val="center"/>
          </w:tcPr>
          <w:p w14:paraId="19386A1C">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0D08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1CB61237">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6BC1302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2、每月 5 日前未报送上月督查考核扣分情况的，每次</w:t>
            </w:r>
          </w:p>
        </w:tc>
        <w:tc>
          <w:tcPr>
            <w:tcW w:w="1463" w:type="dxa"/>
            <w:noWrap w:val="0"/>
            <w:vAlign w:val="center"/>
          </w:tcPr>
          <w:p w14:paraId="10B6F536">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5FF3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6063B44F">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6A17E0D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3、其它台账资料不齐全</w:t>
            </w:r>
          </w:p>
        </w:tc>
        <w:tc>
          <w:tcPr>
            <w:tcW w:w="1463" w:type="dxa"/>
            <w:noWrap w:val="0"/>
            <w:vAlign w:val="center"/>
          </w:tcPr>
          <w:p w14:paraId="2C5F0F93">
            <w:pPr>
              <w:widowControl/>
              <w:kinsoku w:val="0"/>
              <w:autoSpaceDE w:val="0"/>
              <w:autoSpaceDN w:val="0"/>
              <w:adjustRightInd w:val="0"/>
              <w:snapToGrid w:val="0"/>
              <w:spacing w:line="240" w:lineRule="auto"/>
              <w:jc w:val="center"/>
              <w:textAlignment w:val="baseline"/>
              <w:rPr>
                <w:rFonts w:hint="eastAsia"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1</w:t>
            </w:r>
          </w:p>
        </w:tc>
      </w:tr>
      <w:tr w14:paraId="5F90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restart"/>
            <w:noWrap w:val="0"/>
            <w:vAlign w:val="center"/>
          </w:tcPr>
          <w:p w14:paraId="1F5359DF">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清扫、清运、清洗</w:t>
            </w:r>
          </w:p>
        </w:tc>
        <w:tc>
          <w:tcPr>
            <w:tcW w:w="6323" w:type="dxa"/>
            <w:noWrap w:val="0"/>
            <w:vAlign w:val="center"/>
          </w:tcPr>
          <w:p w14:paraId="4AB0230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1、垃圾清运不及时，每处</w:t>
            </w:r>
          </w:p>
        </w:tc>
        <w:tc>
          <w:tcPr>
            <w:tcW w:w="1463" w:type="dxa"/>
            <w:noWrap w:val="0"/>
            <w:vAlign w:val="center"/>
          </w:tcPr>
          <w:p w14:paraId="3548D3F6">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0.5</w:t>
            </w:r>
          </w:p>
        </w:tc>
      </w:tr>
      <w:tr w14:paraId="6571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4703AB35">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1CD767B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2、垃圾清扫不及时，每处</w:t>
            </w:r>
          </w:p>
        </w:tc>
        <w:tc>
          <w:tcPr>
            <w:tcW w:w="1463" w:type="dxa"/>
            <w:noWrap w:val="0"/>
            <w:vAlign w:val="center"/>
          </w:tcPr>
          <w:p w14:paraId="39D07FD9">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0.2</w:t>
            </w:r>
          </w:p>
        </w:tc>
      </w:tr>
      <w:tr w14:paraId="5623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1CBCC284">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1C8201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3、牛皮癣清理不及时，每处</w:t>
            </w:r>
          </w:p>
        </w:tc>
        <w:tc>
          <w:tcPr>
            <w:tcW w:w="1463" w:type="dxa"/>
            <w:noWrap w:val="0"/>
            <w:vAlign w:val="center"/>
          </w:tcPr>
          <w:p w14:paraId="5D2B4120">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0.2</w:t>
            </w:r>
          </w:p>
        </w:tc>
      </w:tr>
      <w:tr w14:paraId="6C26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6055546C">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2809577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4、垃圾桶清洗不及时，每处</w:t>
            </w:r>
          </w:p>
        </w:tc>
        <w:tc>
          <w:tcPr>
            <w:tcW w:w="1463" w:type="dxa"/>
            <w:noWrap w:val="0"/>
            <w:vAlign w:val="center"/>
          </w:tcPr>
          <w:p w14:paraId="361E5D54">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val="en-US" w:eastAsia="zh-CN"/>
              </w:rPr>
              <w:t>0.2</w:t>
            </w:r>
          </w:p>
        </w:tc>
      </w:tr>
      <w:tr w14:paraId="2714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28837061">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5C7DED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5、地面油污清洗不及时，每处</w:t>
            </w:r>
          </w:p>
        </w:tc>
        <w:tc>
          <w:tcPr>
            <w:tcW w:w="1463" w:type="dxa"/>
            <w:noWrap w:val="0"/>
            <w:vAlign w:val="center"/>
          </w:tcPr>
          <w:p w14:paraId="7C592017">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val="en-US" w:eastAsia="zh-CN"/>
              </w:rPr>
              <w:t>0.2</w:t>
            </w:r>
          </w:p>
        </w:tc>
      </w:tr>
      <w:tr w14:paraId="535D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6F0739A4">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0D4A4DD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6、二阳台清理不及时，每处</w:t>
            </w:r>
          </w:p>
        </w:tc>
        <w:tc>
          <w:tcPr>
            <w:tcW w:w="1463" w:type="dxa"/>
            <w:noWrap w:val="0"/>
            <w:vAlign w:val="center"/>
          </w:tcPr>
          <w:p w14:paraId="2370FC51">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val="en-US" w:eastAsia="zh-CN"/>
              </w:rPr>
              <w:t>0.2</w:t>
            </w:r>
          </w:p>
        </w:tc>
      </w:tr>
      <w:tr w14:paraId="37E1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35" w:type="dxa"/>
            <w:vMerge w:val="continue"/>
            <w:noWrap w:val="0"/>
            <w:vAlign w:val="center"/>
          </w:tcPr>
          <w:p w14:paraId="419C67F4">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2A4388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7、垃圾运输车洒漏，每次</w:t>
            </w:r>
          </w:p>
        </w:tc>
        <w:tc>
          <w:tcPr>
            <w:tcW w:w="1463" w:type="dxa"/>
            <w:noWrap w:val="0"/>
            <w:vAlign w:val="center"/>
          </w:tcPr>
          <w:p w14:paraId="2E8AB066">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0.5</w:t>
            </w:r>
          </w:p>
        </w:tc>
      </w:tr>
      <w:tr w14:paraId="45AE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235" w:type="dxa"/>
            <w:vMerge w:val="continue"/>
            <w:noWrap w:val="0"/>
            <w:vAlign w:val="center"/>
          </w:tcPr>
          <w:p w14:paraId="109C3E90">
            <w:pPr>
              <w:widowControl/>
              <w:kinsoku w:val="0"/>
              <w:autoSpaceDE w:val="0"/>
              <w:autoSpaceDN w:val="0"/>
              <w:adjustRightInd w:val="0"/>
              <w:snapToGrid w:val="0"/>
              <w:spacing w:line="240" w:lineRule="auto"/>
              <w:jc w:val="center"/>
              <w:textAlignment w:val="baseline"/>
              <w:rPr>
                <w:rFonts w:ascii="Arial" w:hAnsi="Arial" w:eastAsia="Arial" w:cs="Arial"/>
                <w:snapToGrid w:val="0"/>
                <w:color w:val="000000"/>
                <w:kern w:val="0"/>
                <w:sz w:val="21"/>
                <w:szCs w:val="21"/>
                <w:vertAlign w:val="baseline"/>
                <w:lang w:eastAsia="en-US"/>
              </w:rPr>
            </w:pPr>
          </w:p>
        </w:tc>
        <w:tc>
          <w:tcPr>
            <w:tcW w:w="6323" w:type="dxa"/>
            <w:noWrap w:val="0"/>
            <w:vAlign w:val="center"/>
          </w:tcPr>
          <w:p w14:paraId="3AB0689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vertAlign w:val="baseline"/>
                <w:lang w:eastAsia="en-US"/>
              </w:rPr>
            </w:pPr>
            <w:r>
              <w:rPr>
                <w:rFonts w:hint="eastAsia" w:ascii="Arial" w:hAnsi="Arial" w:eastAsia="Arial" w:cs="Arial"/>
                <w:snapToGrid w:val="0"/>
                <w:color w:val="000000"/>
                <w:kern w:val="0"/>
                <w:sz w:val="21"/>
                <w:szCs w:val="21"/>
                <w:vertAlign w:val="baseline"/>
                <w:lang w:eastAsia="en-US"/>
              </w:rPr>
              <w:t>8、作业车辆脏，每次</w:t>
            </w:r>
          </w:p>
        </w:tc>
        <w:tc>
          <w:tcPr>
            <w:tcW w:w="1463" w:type="dxa"/>
            <w:noWrap w:val="0"/>
            <w:vAlign w:val="center"/>
          </w:tcPr>
          <w:p w14:paraId="12F92A22">
            <w:pPr>
              <w:widowControl/>
              <w:kinsoku w:val="0"/>
              <w:autoSpaceDE w:val="0"/>
              <w:autoSpaceDN w:val="0"/>
              <w:adjustRightInd w:val="0"/>
              <w:snapToGrid w:val="0"/>
              <w:spacing w:line="240" w:lineRule="auto"/>
              <w:jc w:val="center"/>
              <w:textAlignment w:val="baseline"/>
              <w:rPr>
                <w:rFonts w:hint="default" w:ascii="Arial" w:hAnsi="Arial" w:eastAsia="宋体" w:cs="Arial"/>
                <w:snapToGrid w:val="0"/>
                <w:color w:val="000000"/>
                <w:kern w:val="0"/>
                <w:sz w:val="21"/>
                <w:szCs w:val="21"/>
                <w:vertAlign w:val="baseline"/>
                <w:lang w:val="en-US" w:eastAsia="zh-CN"/>
              </w:rPr>
            </w:pPr>
            <w:r>
              <w:rPr>
                <w:rFonts w:hint="eastAsia" w:ascii="Arial" w:hAnsi="Arial" w:eastAsia="Arial" w:cs="Arial"/>
                <w:snapToGrid w:val="0"/>
                <w:color w:val="000000"/>
                <w:kern w:val="0"/>
                <w:sz w:val="21"/>
                <w:szCs w:val="21"/>
                <w:vertAlign w:val="baseline"/>
                <w:lang w:val="en-US" w:eastAsia="zh-CN"/>
              </w:rPr>
              <w:t>0.5</w:t>
            </w:r>
          </w:p>
        </w:tc>
      </w:tr>
      <w:tr w14:paraId="3C3F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021" w:type="dxa"/>
            <w:gridSpan w:val="3"/>
            <w:noWrap w:val="0"/>
            <w:vAlign w:val="center"/>
          </w:tcPr>
          <w:p w14:paraId="5598FF73">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 w:val="21"/>
                <w:szCs w:val="21"/>
                <w:vertAlign w:val="baseline"/>
                <w:lang w:val="en-US" w:eastAsia="zh-CN"/>
              </w:rPr>
            </w:pPr>
            <w:r>
              <w:rPr>
                <w:rFonts w:hint="eastAsia" w:ascii="宋体" w:hAnsi="宋体" w:eastAsia="宋体" w:cs="宋体"/>
                <w:snapToGrid w:val="0"/>
                <w:color w:val="auto"/>
                <w:kern w:val="0"/>
                <w:sz w:val="21"/>
                <w:szCs w:val="21"/>
                <w:highlight w:val="none"/>
                <w:lang w:val="en-US" w:eastAsia="zh-CN"/>
              </w:rPr>
              <w:t>督查发现问题整改不及时每项加倍扣分，好人好事被媒体正面报道的每次加5分。</w:t>
            </w:r>
          </w:p>
        </w:tc>
      </w:tr>
    </w:tbl>
    <w:p w14:paraId="63C33F44">
      <w:pPr>
        <w:widowControl/>
        <w:kinsoku w:val="0"/>
        <w:autoSpaceDE w:val="0"/>
        <w:autoSpaceDN w:val="0"/>
        <w:adjustRightInd w:val="0"/>
        <w:snapToGrid w:val="0"/>
        <w:spacing w:line="500" w:lineRule="exact"/>
        <w:ind w:firstLine="420" w:firstLineChars="200"/>
        <w:jc w:val="left"/>
        <w:textAlignment w:val="baseline"/>
        <w:rPr>
          <w:rFonts w:ascii="宋体" w:hAnsi="宋体" w:eastAsia="Arial" w:cs="Arial"/>
          <w:b/>
          <w:bCs/>
          <w:snapToGrid w:val="0"/>
          <w:color w:val="000000"/>
          <w:kern w:val="0"/>
          <w:szCs w:val="21"/>
          <w:lang w:eastAsia="en-US"/>
        </w:rPr>
      </w:pPr>
    </w:p>
    <w:p w14:paraId="62F16E20">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spacing w:val="-7"/>
          <w:kern w:val="0"/>
          <w:sz w:val="28"/>
          <w:szCs w:val="28"/>
          <w:lang w:eastAsia="en-US"/>
        </w:rPr>
      </w:pPr>
    </w:p>
    <w:p w14:paraId="0B02B978">
      <w:pPr>
        <w:widowControl/>
        <w:kinsoku w:val="0"/>
        <w:autoSpaceDE w:val="0"/>
        <w:autoSpaceDN w:val="0"/>
        <w:adjustRightInd w:val="0"/>
        <w:snapToGrid w:val="0"/>
        <w:spacing w:line="240" w:lineRule="auto"/>
        <w:jc w:val="left"/>
        <w:textAlignment w:val="baseline"/>
        <w:rPr>
          <w:rFonts w:ascii="Arial" w:hAnsi="Arial" w:eastAsia="Arial" w:cs="Arial"/>
          <w:b/>
          <w:bCs/>
          <w:snapToGrid w:val="0"/>
          <w:color w:val="000000"/>
          <w:spacing w:val="-7"/>
          <w:kern w:val="0"/>
          <w:sz w:val="28"/>
          <w:szCs w:val="28"/>
          <w:lang w:eastAsia="en-US"/>
        </w:rPr>
      </w:pPr>
      <w:r>
        <w:rPr>
          <w:rFonts w:ascii="Arial" w:hAnsi="Arial" w:eastAsia="Arial" w:cs="Arial"/>
          <w:b/>
          <w:bCs/>
          <w:snapToGrid w:val="0"/>
          <w:color w:val="000000"/>
          <w:spacing w:val="-7"/>
          <w:kern w:val="0"/>
          <w:sz w:val="28"/>
          <w:szCs w:val="28"/>
          <w:lang w:eastAsia="en-US"/>
        </w:rPr>
        <w:br w:type="page"/>
      </w:r>
    </w:p>
    <w:p w14:paraId="125FCF70">
      <w:pPr>
        <w:kinsoku w:val="0"/>
        <w:autoSpaceDE w:val="0"/>
        <w:autoSpaceDN w:val="0"/>
        <w:adjustRightInd w:val="0"/>
        <w:snapToGrid w:val="0"/>
        <w:spacing w:before="181" w:line="220" w:lineRule="auto"/>
        <w:ind w:left="3638"/>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第二节</w:t>
      </w:r>
      <w:r>
        <w:rPr>
          <w:rFonts w:ascii="宋体" w:hAnsi="宋体" w:eastAsia="宋体" w:cs="宋体"/>
          <w:snapToGrid w:val="0"/>
          <w:color w:val="000000"/>
          <w:spacing w:val="23"/>
          <w:kern w:val="0"/>
          <w:sz w:val="28"/>
          <w:szCs w:val="28"/>
          <w:lang w:val="en-US" w:eastAsia="en-US" w:bidi="ar-SA"/>
        </w:rPr>
        <w:t xml:space="preserve"> </w:t>
      </w:r>
      <w:r>
        <w:rPr>
          <w:rFonts w:ascii="宋体" w:hAnsi="宋体" w:eastAsia="宋体" w:cs="宋体"/>
          <w:b/>
          <w:bCs/>
          <w:snapToGrid w:val="0"/>
          <w:color w:val="000000"/>
          <w:spacing w:val="-7"/>
          <w:kern w:val="0"/>
          <w:sz w:val="28"/>
          <w:szCs w:val="28"/>
          <w:lang w:val="en-US" w:eastAsia="en-US" w:bidi="ar-SA"/>
        </w:rPr>
        <w:t>商务要求</w:t>
      </w:r>
    </w:p>
    <w:p w14:paraId="5239E3FA">
      <w:pPr>
        <w:kinsoku w:val="0"/>
        <w:autoSpaceDE w:val="0"/>
        <w:autoSpaceDN w:val="0"/>
        <w:adjustRightInd w:val="0"/>
        <w:snapToGrid w:val="0"/>
        <w:spacing w:before="309" w:line="219" w:lineRule="auto"/>
        <w:ind w:left="542"/>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30"/>
          <w:kern w:val="0"/>
          <w:sz w:val="21"/>
          <w:szCs w:val="21"/>
          <w:lang w:val="en-US" w:eastAsia="en-US" w:bidi="ar-SA"/>
        </w:rPr>
        <w:t>一</w:t>
      </w:r>
      <w:r>
        <w:rPr>
          <w:rFonts w:ascii="宋体" w:hAnsi="宋体" w:eastAsia="宋体" w:cs="宋体"/>
          <w:snapToGrid w:val="0"/>
          <w:color w:val="000000"/>
          <w:spacing w:val="-30"/>
          <w:kern w:val="0"/>
          <w:sz w:val="21"/>
          <w:szCs w:val="21"/>
          <w:lang w:val="en-US" w:eastAsia="en-US" w:bidi="ar-SA"/>
        </w:rPr>
        <w:t xml:space="preserve"> </w:t>
      </w:r>
      <w:r>
        <w:rPr>
          <w:rFonts w:ascii="宋体" w:hAnsi="宋体" w:eastAsia="宋体" w:cs="宋体"/>
          <w:b/>
          <w:bCs/>
          <w:snapToGrid w:val="0"/>
          <w:color w:val="000000"/>
          <w:spacing w:val="30"/>
          <w:kern w:val="0"/>
          <w:sz w:val="21"/>
          <w:szCs w:val="21"/>
          <w:lang w:val="en-US" w:eastAsia="en-US" w:bidi="ar-SA"/>
        </w:rPr>
        <w:t>、</w:t>
      </w:r>
      <w:r>
        <w:rPr>
          <w:rFonts w:ascii="宋体" w:hAnsi="宋体" w:eastAsia="宋体" w:cs="宋体"/>
          <w:snapToGrid w:val="0"/>
          <w:color w:val="000000"/>
          <w:spacing w:val="-46"/>
          <w:kern w:val="0"/>
          <w:sz w:val="21"/>
          <w:szCs w:val="21"/>
          <w:lang w:val="en-US" w:eastAsia="en-US" w:bidi="ar-SA"/>
        </w:rPr>
        <w:t xml:space="preserve"> </w:t>
      </w:r>
      <w:r>
        <w:rPr>
          <w:rFonts w:ascii="宋体" w:hAnsi="宋体" w:eastAsia="宋体" w:cs="宋体"/>
          <w:b/>
          <w:bCs/>
          <w:snapToGrid w:val="0"/>
          <w:color w:val="000000"/>
          <w:spacing w:val="30"/>
          <w:kern w:val="0"/>
          <w:sz w:val="21"/>
          <w:szCs w:val="21"/>
          <w:lang w:val="en-US" w:eastAsia="en-US" w:bidi="ar-SA"/>
        </w:rPr>
        <w:t>主要商务要求</w:t>
      </w:r>
    </w:p>
    <w:tbl>
      <w:tblPr>
        <w:tblStyle w:val="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701"/>
        <w:gridCol w:w="6370"/>
      </w:tblGrid>
      <w:tr w14:paraId="0FDB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532" w:type="dxa"/>
            <w:noWrap w:val="0"/>
            <w:tcMar>
              <w:top w:w="0" w:type="dxa"/>
              <w:left w:w="108" w:type="dxa"/>
              <w:bottom w:w="0" w:type="dxa"/>
              <w:right w:w="108" w:type="dxa"/>
            </w:tcMar>
            <w:vAlign w:val="center"/>
          </w:tcPr>
          <w:p w14:paraId="720619A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Arial" w:cs="宋体"/>
                <w:snapToGrid w:val="0"/>
                <w:color w:val="auto"/>
                <w:spacing w:val="30"/>
                <w:kern w:val="0"/>
                <w:sz w:val="21"/>
                <w:szCs w:val="21"/>
                <w:lang w:eastAsia="en-US"/>
              </w:rPr>
            </w:pPr>
            <w:r>
              <w:rPr>
                <w:rFonts w:hint="eastAsia" w:ascii="宋体" w:hAnsi="宋体" w:eastAsia="Arial" w:cs="宋体"/>
                <w:snapToGrid w:val="0"/>
                <w:color w:val="auto"/>
                <w:spacing w:val="30"/>
                <w:kern w:val="0"/>
                <w:sz w:val="21"/>
                <w:szCs w:val="21"/>
                <w:lang w:eastAsia="en-US"/>
              </w:rPr>
              <w:t>履行合同的时间、地点及方式</w:t>
            </w:r>
          </w:p>
        </w:tc>
        <w:tc>
          <w:tcPr>
            <w:tcW w:w="5970" w:type="dxa"/>
            <w:noWrap w:val="0"/>
            <w:tcMar>
              <w:top w:w="0" w:type="dxa"/>
              <w:left w:w="108" w:type="dxa"/>
              <w:bottom w:w="0" w:type="dxa"/>
              <w:right w:w="108" w:type="dxa"/>
            </w:tcMar>
            <w:vAlign w:val="center"/>
          </w:tcPr>
          <w:p w14:paraId="35FA48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1"/>
                <w:szCs w:val="21"/>
                <w:lang w:eastAsia="en-US"/>
              </w:rPr>
            </w:pPr>
            <w:r>
              <w:rPr>
                <w:rFonts w:hint="eastAsia" w:ascii="宋体" w:hAnsi="宋体" w:eastAsia="宋体" w:cs="宋体"/>
                <w:snapToGrid w:val="0"/>
                <w:color w:val="auto"/>
                <w:kern w:val="0"/>
                <w:sz w:val="21"/>
                <w:szCs w:val="21"/>
                <w:lang w:eastAsia="en-US"/>
              </w:rPr>
              <w:t>服务时间:履行合同期限：</w:t>
            </w:r>
            <w:r>
              <w:rPr>
                <w:rFonts w:hint="eastAsia" w:ascii="宋体" w:hAnsi="宋体" w:eastAsia="宋体" w:cs="宋体"/>
                <w:snapToGrid w:val="0"/>
                <w:color w:val="auto"/>
                <w:kern w:val="0"/>
                <w:sz w:val="21"/>
                <w:szCs w:val="21"/>
                <w:lang w:val="en-US" w:eastAsia="zh-CN"/>
              </w:rPr>
              <w:t>一</w:t>
            </w:r>
            <w:r>
              <w:rPr>
                <w:rFonts w:hint="eastAsia" w:ascii="宋体" w:hAnsi="宋体" w:eastAsia="宋体" w:cs="宋体"/>
                <w:snapToGrid w:val="0"/>
                <w:color w:val="auto"/>
                <w:kern w:val="0"/>
                <w:sz w:val="21"/>
                <w:szCs w:val="21"/>
                <w:lang w:eastAsia="en-US"/>
              </w:rPr>
              <w:t>年，具体实施服务开始时间以甲乙双方约定的时间为准。</w:t>
            </w:r>
          </w:p>
          <w:p w14:paraId="6CF56B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1"/>
                <w:szCs w:val="21"/>
                <w:lang w:eastAsia="zh-CN"/>
              </w:rPr>
            </w:pPr>
            <w:r>
              <w:rPr>
                <w:rFonts w:hint="eastAsia" w:ascii="宋体" w:hAnsi="宋体" w:eastAsia="宋体" w:cs="宋体"/>
                <w:snapToGrid w:val="0"/>
                <w:color w:val="auto"/>
                <w:kern w:val="0"/>
                <w:sz w:val="21"/>
                <w:szCs w:val="21"/>
                <w:lang w:eastAsia="en-US"/>
              </w:rPr>
              <w:t>服务地点:</w:t>
            </w:r>
            <w:r>
              <w:rPr>
                <w:rFonts w:hint="eastAsia" w:ascii="宋体" w:hAnsi="宋体" w:eastAsia="宋体" w:cs="宋体"/>
                <w:snapToGrid w:val="0"/>
                <w:color w:val="auto"/>
                <w:kern w:val="0"/>
                <w:sz w:val="21"/>
                <w:szCs w:val="21"/>
                <w:lang w:val="en-US" w:eastAsia="zh-CN"/>
              </w:rPr>
              <w:t>采购单位指定地点</w:t>
            </w:r>
            <w:r>
              <w:rPr>
                <w:rFonts w:hint="eastAsia" w:ascii="宋体" w:hAnsi="宋体" w:eastAsia="宋体" w:cs="宋体"/>
                <w:snapToGrid w:val="0"/>
                <w:color w:val="auto"/>
                <w:kern w:val="0"/>
                <w:sz w:val="21"/>
                <w:szCs w:val="21"/>
                <w:lang w:eastAsia="en-US"/>
              </w:rPr>
              <w:t>。</w:t>
            </w:r>
          </w:p>
          <w:p w14:paraId="135654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Arial" w:cs="宋体"/>
                <w:snapToGrid w:val="0"/>
                <w:color w:val="auto"/>
                <w:spacing w:val="30"/>
                <w:kern w:val="0"/>
                <w:sz w:val="21"/>
                <w:szCs w:val="21"/>
                <w:lang w:eastAsia="en-US"/>
              </w:rPr>
            </w:pPr>
            <w:r>
              <w:rPr>
                <w:rFonts w:hint="eastAsia" w:ascii="宋体" w:hAnsi="宋体" w:eastAsia="宋体" w:cs="宋体"/>
                <w:snapToGrid w:val="0"/>
                <w:color w:val="auto"/>
                <w:kern w:val="0"/>
                <w:sz w:val="21"/>
                <w:szCs w:val="21"/>
                <w:lang w:eastAsia="en-US"/>
              </w:rPr>
              <w:t>服务方式:按合同约定。</w:t>
            </w:r>
          </w:p>
        </w:tc>
      </w:tr>
      <w:tr w14:paraId="531D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8" w:hRule="atLeast"/>
          <w:jc w:val="center"/>
        </w:trPr>
        <w:tc>
          <w:tcPr>
            <w:tcW w:w="2532" w:type="dxa"/>
            <w:noWrap w:val="0"/>
            <w:tcMar>
              <w:top w:w="0" w:type="dxa"/>
              <w:left w:w="108" w:type="dxa"/>
              <w:bottom w:w="0" w:type="dxa"/>
              <w:right w:w="108" w:type="dxa"/>
            </w:tcMar>
            <w:vAlign w:val="center"/>
          </w:tcPr>
          <w:p w14:paraId="230157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Arial" w:cs="宋体"/>
                <w:snapToGrid w:val="0"/>
                <w:color w:val="auto"/>
                <w:kern w:val="0"/>
                <w:sz w:val="21"/>
                <w:szCs w:val="21"/>
                <w:lang w:eastAsia="en-US"/>
              </w:rPr>
            </w:pPr>
            <w:r>
              <w:rPr>
                <w:rFonts w:hint="eastAsia" w:ascii="宋体" w:hAnsi="宋体" w:eastAsia="Arial" w:cs="宋体"/>
                <w:snapToGrid w:val="0"/>
                <w:color w:val="auto"/>
                <w:spacing w:val="30"/>
                <w:kern w:val="0"/>
                <w:sz w:val="21"/>
                <w:szCs w:val="21"/>
                <w:lang w:eastAsia="en-US"/>
              </w:rPr>
              <w:t>服务期</w:t>
            </w:r>
          </w:p>
        </w:tc>
        <w:tc>
          <w:tcPr>
            <w:tcW w:w="5970" w:type="dxa"/>
            <w:noWrap w:val="0"/>
            <w:tcMar>
              <w:top w:w="0" w:type="dxa"/>
              <w:left w:w="108" w:type="dxa"/>
              <w:bottom w:w="0" w:type="dxa"/>
              <w:right w:w="108" w:type="dxa"/>
            </w:tcMar>
            <w:vAlign w:val="center"/>
          </w:tcPr>
          <w:p w14:paraId="697C613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1"/>
                <w:szCs w:val="21"/>
                <w:lang w:eastAsia="zh-CN"/>
              </w:rPr>
            </w:pPr>
            <w:r>
              <w:rPr>
                <w:rFonts w:hint="eastAsia" w:ascii="宋体" w:hAnsi="宋体" w:eastAsia="Arial" w:cs="宋体"/>
                <w:snapToGrid w:val="0"/>
                <w:color w:val="auto"/>
                <w:kern w:val="0"/>
                <w:sz w:val="21"/>
                <w:szCs w:val="21"/>
                <w:lang w:val="en-US" w:eastAsia="zh-CN"/>
              </w:rPr>
              <w:t>一</w:t>
            </w:r>
            <w:r>
              <w:rPr>
                <w:rFonts w:hint="eastAsia" w:ascii="宋体" w:hAnsi="宋体" w:eastAsia="Arial" w:cs="宋体"/>
                <w:snapToGrid w:val="0"/>
                <w:color w:val="auto"/>
                <w:kern w:val="0"/>
                <w:sz w:val="21"/>
                <w:szCs w:val="21"/>
                <w:lang w:eastAsia="en-US"/>
              </w:rPr>
              <w:t>年</w:t>
            </w:r>
            <w:r>
              <w:rPr>
                <w:rFonts w:hint="eastAsia" w:ascii="宋体" w:hAnsi="宋体" w:eastAsia="宋体" w:cs="宋体"/>
                <w:snapToGrid w:val="0"/>
                <w:color w:val="auto"/>
                <w:kern w:val="0"/>
                <w:sz w:val="21"/>
                <w:szCs w:val="21"/>
                <w:lang w:eastAsia="en-US"/>
              </w:rPr>
              <w:t>，具体实施服务开始时间以甲乙双方约定的时间为准</w:t>
            </w:r>
            <w:r>
              <w:rPr>
                <w:rFonts w:hint="eastAsia" w:ascii="宋体" w:hAnsi="宋体" w:eastAsia="宋体" w:cs="宋体"/>
                <w:snapToGrid w:val="0"/>
                <w:color w:val="auto"/>
                <w:kern w:val="0"/>
                <w:sz w:val="21"/>
                <w:szCs w:val="21"/>
                <w:lang w:eastAsia="zh-CN"/>
              </w:rPr>
              <w:t>。</w:t>
            </w:r>
          </w:p>
        </w:tc>
      </w:tr>
      <w:tr w14:paraId="564A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2532" w:type="dxa"/>
            <w:noWrap w:val="0"/>
            <w:tcMar>
              <w:top w:w="0" w:type="dxa"/>
              <w:left w:w="108" w:type="dxa"/>
              <w:bottom w:w="0" w:type="dxa"/>
              <w:right w:w="108" w:type="dxa"/>
            </w:tcMar>
            <w:vAlign w:val="center"/>
          </w:tcPr>
          <w:p w14:paraId="0A15AC5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Arial" w:cs="宋体"/>
                <w:snapToGrid w:val="0"/>
                <w:color w:val="auto"/>
                <w:spacing w:val="30"/>
                <w:kern w:val="0"/>
                <w:sz w:val="21"/>
                <w:szCs w:val="21"/>
                <w:lang w:eastAsia="en-US"/>
              </w:rPr>
            </w:pPr>
            <w:r>
              <w:rPr>
                <w:rFonts w:hint="eastAsia" w:ascii="宋体" w:hAnsi="宋体" w:eastAsia="Arial" w:cs="宋体"/>
                <w:snapToGrid w:val="0"/>
                <w:color w:val="auto"/>
                <w:spacing w:val="30"/>
                <w:kern w:val="0"/>
                <w:sz w:val="21"/>
                <w:szCs w:val="21"/>
                <w:lang w:eastAsia="en-US"/>
              </w:rPr>
              <w:t>响应时间</w:t>
            </w:r>
          </w:p>
        </w:tc>
        <w:tc>
          <w:tcPr>
            <w:tcW w:w="5970" w:type="dxa"/>
            <w:noWrap w:val="0"/>
            <w:tcMar>
              <w:top w:w="0" w:type="dxa"/>
              <w:left w:w="108" w:type="dxa"/>
              <w:bottom w:w="0" w:type="dxa"/>
              <w:right w:w="108" w:type="dxa"/>
            </w:tcMar>
            <w:vAlign w:val="center"/>
          </w:tcPr>
          <w:p w14:paraId="51BEB30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spacing w:val="30"/>
                <w:kern w:val="0"/>
                <w:sz w:val="21"/>
                <w:szCs w:val="21"/>
                <w:lang w:eastAsia="zh-CN"/>
              </w:rPr>
            </w:pPr>
            <w:r>
              <w:rPr>
                <w:rFonts w:hint="eastAsia" w:ascii="宋体" w:hAnsi="宋体" w:eastAsia="宋体" w:cs="宋体"/>
                <w:snapToGrid w:val="0"/>
                <w:color w:val="auto"/>
                <w:spacing w:val="0"/>
                <w:kern w:val="0"/>
                <w:sz w:val="21"/>
                <w:szCs w:val="21"/>
                <w:lang w:eastAsia="zh-CN"/>
              </w:rPr>
              <w:t>服务期内需提供7*24小时的服务响应</w:t>
            </w:r>
          </w:p>
        </w:tc>
      </w:tr>
      <w:tr w14:paraId="04C2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532" w:type="dxa"/>
            <w:noWrap w:val="0"/>
            <w:tcMar>
              <w:top w:w="0" w:type="dxa"/>
              <w:left w:w="108" w:type="dxa"/>
              <w:bottom w:w="0" w:type="dxa"/>
              <w:right w:w="108" w:type="dxa"/>
            </w:tcMar>
            <w:vAlign w:val="center"/>
          </w:tcPr>
          <w:p w14:paraId="3FFB08F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1"/>
                <w:szCs w:val="21"/>
                <w:lang w:eastAsia="en-US"/>
              </w:rPr>
            </w:pPr>
            <w:r>
              <w:rPr>
                <w:rFonts w:hint="eastAsia" w:ascii="宋体" w:hAnsi="宋体" w:eastAsia="宋体" w:cs="宋体"/>
                <w:snapToGrid w:val="0"/>
                <w:color w:val="auto"/>
                <w:kern w:val="0"/>
                <w:sz w:val="21"/>
                <w:szCs w:val="21"/>
                <w:lang w:eastAsia="en-US"/>
              </w:rPr>
              <w:t>合同价款支付方式和条件</w:t>
            </w:r>
          </w:p>
        </w:tc>
        <w:tc>
          <w:tcPr>
            <w:tcW w:w="5970" w:type="dxa"/>
            <w:noWrap w:val="0"/>
            <w:tcMar>
              <w:top w:w="0" w:type="dxa"/>
              <w:left w:w="108" w:type="dxa"/>
              <w:bottom w:w="0" w:type="dxa"/>
              <w:right w:w="108" w:type="dxa"/>
            </w:tcMar>
            <w:vAlign w:val="center"/>
          </w:tcPr>
          <w:p w14:paraId="7B13AE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1"/>
                <w:szCs w:val="21"/>
                <w:lang w:eastAsia="zh-CN"/>
              </w:rPr>
            </w:pPr>
            <w:r>
              <w:rPr>
                <w:rFonts w:hint="eastAsia" w:ascii="宋体" w:hAnsi="宋体" w:eastAsia="宋体" w:cs="宋体"/>
                <w:snapToGrid w:val="0"/>
                <w:color w:val="auto"/>
                <w:kern w:val="0"/>
                <w:sz w:val="21"/>
                <w:szCs w:val="21"/>
                <w:lang w:eastAsia="zh-CN"/>
              </w:rPr>
              <w:t>服务费以按月支付的方式付款。根据当月的考核结果，在次月10号前支付给中标人上一个月的服务费，具体</w:t>
            </w:r>
            <w:r>
              <w:rPr>
                <w:rFonts w:hint="eastAsia" w:ascii="宋体" w:hAnsi="宋体" w:eastAsia="宋体" w:cs="宋体"/>
                <w:snapToGrid w:val="0"/>
                <w:color w:val="auto"/>
                <w:kern w:val="0"/>
                <w:sz w:val="21"/>
                <w:szCs w:val="21"/>
                <w:lang w:val="en-US" w:eastAsia="zh-CN"/>
              </w:rPr>
              <w:t>甲乙双方</w:t>
            </w:r>
            <w:r>
              <w:rPr>
                <w:rFonts w:hint="eastAsia" w:ascii="宋体" w:hAnsi="宋体" w:eastAsia="宋体" w:cs="宋体"/>
                <w:snapToGrid w:val="0"/>
                <w:color w:val="auto"/>
                <w:kern w:val="0"/>
                <w:sz w:val="21"/>
                <w:szCs w:val="21"/>
                <w:lang w:eastAsia="zh-CN"/>
              </w:rPr>
              <w:t>合同</w:t>
            </w:r>
            <w:r>
              <w:rPr>
                <w:rFonts w:hint="eastAsia" w:ascii="宋体" w:hAnsi="宋体" w:eastAsia="宋体" w:cs="宋体"/>
                <w:snapToGrid w:val="0"/>
                <w:color w:val="auto"/>
                <w:kern w:val="0"/>
                <w:sz w:val="21"/>
                <w:szCs w:val="21"/>
                <w:lang w:val="en-US" w:eastAsia="zh-CN"/>
              </w:rPr>
              <w:t>约定</w:t>
            </w:r>
            <w:r>
              <w:rPr>
                <w:rFonts w:hint="eastAsia" w:ascii="宋体" w:hAnsi="宋体" w:eastAsia="宋体" w:cs="宋体"/>
                <w:snapToGrid w:val="0"/>
                <w:color w:val="auto"/>
                <w:kern w:val="0"/>
                <w:sz w:val="21"/>
                <w:szCs w:val="21"/>
                <w:lang w:eastAsia="zh-CN"/>
              </w:rPr>
              <w:t>。</w:t>
            </w:r>
          </w:p>
        </w:tc>
      </w:tr>
      <w:tr w14:paraId="0A4A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532" w:type="dxa"/>
            <w:noWrap w:val="0"/>
            <w:tcMar>
              <w:top w:w="0" w:type="dxa"/>
              <w:left w:w="108" w:type="dxa"/>
              <w:bottom w:w="0" w:type="dxa"/>
              <w:right w:w="108" w:type="dxa"/>
            </w:tcMar>
            <w:vAlign w:val="center"/>
          </w:tcPr>
          <w:p w14:paraId="47A815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Arial" w:cs="宋体"/>
                <w:snapToGrid w:val="0"/>
                <w:color w:val="auto"/>
                <w:kern w:val="0"/>
                <w:sz w:val="21"/>
                <w:szCs w:val="21"/>
                <w:lang w:eastAsia="en-US"/>
              </w:rPr>
            </w:pPr>
            <w:r>
              <w:rPr>
                <w:rFonts w:hint="eastAsia" w:ascii="宋体" w:hAnsi="宋体" w:eastAsia="Arial" w:cs="宋体"/>
                <w:snapToGrid w:val="0"/>
                <w:color w:val="auto"/>
                <w:spacing w:val="30"/>
                <w:kern w:val="0"/>
                <w:sz w:val="21"/>
                <w:szCs w:val="21"/>
                <w:lang w:eastAsia="en-US"/>
              </w:rPr>
              <w:t>伴随服务</w:t>
            </w:r>
          </w:p>
        </w:tc>
        <w:tc>
          <w:tcPr>
            <w:tcW w:w="5970" w:type="dxa"/>
            <w:noWrap w:val="0"/>
            <w:tcMar>
              <w:top w:w="0" w:type="dxa"/>
              <w:left w:w="108" w:type="dxa"/>
              <w:bottom w:w="0" w:type="dxa"/>
              <w:right w:w="108" w:type="dxa"/>
            </w:tcMar>
            <w:vAlign w:val="center"/>
          </w:tcPr>
          <w:p w14:paraId="267D2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1"/>
                <w:szCs w:val="21"/>
                <w:lang w:val="en-US" w:eastAsia="zh-CN"/>
              </w:rPr>
            </w:pPr>
            <w:r>
              <w:rPr>
                <w:rFonts w:hint="eastAsia" w:ascii="宋体" w:hAnsi="宋体" w:eastAsia="Arial" w:cs="宋体"/>
                <w:snapToGrid w:val="0"/>
                <w:color w:val="auto"/>
                <w:spacing w:val="30"/>
                <w:kern w:val="0"/>
                <w:sz w:val="21"/>
                <w:szCs w:val="21"/>
                <w:lang w:eastAsia="zh-CN"/>
              </w:rPr>
              <w:t>详见采购需求。</w:t>
            </w:r>
          </w:p>
        </w:tc>
      </w:tr>
      <w:tr w14:paraId="0BA7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532" w:type="dxa"/>
            <w:noWrap w:val="0"/>
            <w:tcMar>
              <w:top w:w="0" w:type="dxa"/>
              <w:left w:w="108" w:type="dxa"/>
              <w:bottom w:w="0" w:type="dxa"/>
              <w:right w:w="108" w:type="dxa"/>
            </w:tcMar>
            <w:vAlign w:val="center"/>
          </w:tcPr>
          <w:p w14:paraId="761517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Arial" w:cs="宋体"/>
                <w:snapToGrid w:val="0"/>
                <w:color w:val="auto"/>
                <w:spacing w:val="30"/>
                <w:kern w:val="0"/>
                <w:sz w:val="21"/>
                <w:szCs w:val="21"/>
                <w:lang w:eastAsia="en-US"/>
              </w:rPr>
            </w:pPr>
            <w:r>
              <w:rPr>
                <w:rFonts w:hint="eastAsia" w:ascii="宋体" w:hAnsi="宋体" w:eastAsia="Arial" w:cs="宋体"/>
                <w:snapToGrid w:val="0"/>
                <w:color w:val="auto"/>
                <w:spacing w:val="30"/>
                <w:kern w:val="0"/>
                <w:sz w:val="21"/>
                <w:szCs w:val="21"/>
                <w:lang w:eastAsia="en-US"/>
              </w:rPr>
              <w:t>解决争议的方式</w:t>
            </w:r>
          </w:p>
        </w:tc>
        <w:tc>
          <w:tcPr>
            <w:tcW w:w="5970" w:type="dxa"/>
            <w:noWrap w:val="0"/>
            <w:tcMar>
              <w:top w:w="0" w:type="dxa"/>
              <w:left w:w="108" w:type="dxa"/>
              <w:bottom w:w="0" w:type="dxa"/>
              <w:right w:w="108" w:type="dxa"/>
            </w:tcMar>
            <w:vAlign w:val="center"/>
          </w:tcPr>
          <w:p w14:paraId="2D2E52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Arial" w:cs="宋体"/>
                <w:snapToGrid w:val="0"/>
                <w:color w:val="auto"/>
                <w:spacing w:val="30"/>
                <w:kern w:val="0"/>
                <w:sz w:val="21"/>
                <w:szCs w:val="21"/>
                <w:lang w:eastAsia="en-US"/>
              </w:rPr>
            </w:pPr>
            <w:r>
              <w:rPr>
                <w:rFonts w:hint="eastAsia" w:ascii="宋体" w:hAnsi="宋体" w:eastAsia="Arial" w:cs="宋体"/>
                <w:bCs/>
                <w:snapToGrid w:val="0"/>
                <w:color w:val="auto"/>
                <w:kern w:val="0"/>
                <w:sz w:val="21"/>
                <w:szCs w:val="21"/>
                <w:lang w:eastAsia="en-US"/>
              </w:rPr>
              <w:t>☑</w:t>
            </w:r>
            <w:r>
              <w:rPr>
                <w:rFonts w:hint="eastAsia" w:ascii="宋体" w:hAnsi="宋体" w:eastAsia="Arial" w:cs="宋体"/>
                <w:snapToGrid w:val="0"/>
                <w:color w:val="auto"/>
                <w:kern w:val="0"/>
                <w:sz w:val="21"/>
                <w:szCs w:val="21"/>
                <w:lang w:eastAsia="en-US"/>
              </w:rPr>
              <w:t xml:space="preserve">仲裁  </w:t>
            </w:r>
            <w:r>
              <w:rPr>
                <w:rFonts w:hint="eastAsia" w:ascii="宋体" w:hAnsi="宋体" w:eastAsia="Arial" w:cs="宋体"/>
                <w:bCs/>
                <w:snapToGrid w:val="0"/>
                <w:color w:val="auto"/>
                <w:kern w:val="0"/>
                <w:sz w:val="21"/>
                <w:szCs w:val="21"/>
                <w:lang w:eastAsia="en-US"/>
              </w:rPr>
              <w:t>□</w:t>
            </w:r>
            <w:r>
              <w:rPr>
                <w:rFonts w:hint="eastAsia" w:ascii="宋体" w:hAnsi="宋体" w:eastAsia="Arial" w:cs="宋体"/>
                <w:snapToGrid w:val="0"/>
                <w:color w:val="auto"/>
                <w:kern w:val="0"/>
                <w:sz w:val="21"/>
                <w:szCs w:val="21"/>
                <w:lang w:eastAsia="en-US"/>
              </w:rPr>
              <w:t>诉讼</w:t>
            </w:r>
          </w:p>
        </w:tc>
      </w:tr>
      <w:tr w14:paraId="178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532" w:type="dxa"/>
            <w:noWrap w:val="0"/>
            <w:tcMar>
              <w:top w:w="0" w:type="dxa"/>
              <w:left w:w="108" w:type="dxa"/>
              <w:bottom w:w="0" w:type="dxa"/>
              <w:right w:w="108" w:type="dxa"/>
            </w:tcMar>
            <w:vAlign w:val="center"/>
          </w:tcPr>
          <w:p w14:paraId="1B5A12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Arial" w:cs="宋体"/>
                <w:snapToGrid w:val="0"/>
                <w:color w:val="auto"/>
                <w:spacing w:val="30"/>
                <w:kern w:val="0"/>
                <w:sz w:val="21"/>
                <w:szCs w:val="21"/>
                <w:lang w:eastAsia="en-US"/>
              </w:rPr>
            </w:pPr>
            <w:r>
              <w:rPr>
                <w:rFonts w:hint="eastAsia" w:ascii="宋体" w:hAnsi="宋体" w:eastAsia="Arial" w:cs="宋体"/>
                <w:snapToGrid w:val="0"/>
                <w:color w:val="auto"/>
                <w:spacing w:val="30"/>
                <w:kern w:val="0"/>
                <w:sz w:val="21"/>
                <w:szCs w:val="21"/>
                <w:lang w:eastAsia="en-US"/>
              </w:rPr>
              <w:t>合同未尽事项</w:t>
            </w:r>
          </w:p>
        </w:tc>
        <w:tc>
          <w:tcPr>
            <w:tcW w:w="5970" w:type="dxa"/>
            <w:noWrap w:val="0"/>
            <w:tcMar>
              <w:top w:w="0" w:type="dxa"/>
              <w:left w:w="108" w:type="dxa"/>
              <w:bottom w:w="0" w:type="dxa"/>
              <w:right w:w="108" w:type="dxa"/>
            </w:tcMar>
            <w:vAlign w:val="center"/>
          </w:tcPr>
          <w:p w14:paraId="54FFB78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spacing w:val="30"/>
                <w:kern w:val="0"/>
                <w:sz w:val="21"/>
                <w:szCs w:val="21"/>
                <w:lang w:eastAsia="zh-CN"/>
              </w:rPr>
            </w:pPr>
            <w:r>
              <w:rPr>
                <w:rFonts w:hint="eastAsia" w:ascii="宋体" w:hAnsi="宋体" w:eastAsia="Arial" w:cs="宋体"/>
                <w:snapToGrid w:val="0"/>
                <w:color w:val="auto"/>
                <w:spacing w:val="30"/>
                <w:kern w:val="0"/>
                <w:sz w:val="21"/>
                <w:szCs w:val="21"/>
                <w:lang w:eastAsia="en-US"/>
              </w:rPr>
              <w:t>另行约定</w:t>
            </w:r>
            <w:r>
              <w:rPr>
                <w:rFonts w:hint="eastAsia" w:ascii="宋体" w:hAnsi="宋体" w:eastAsia="Arial" w:cs="宋体"/>
                <w:snapToGrid w:val="0"/>
                <w:color w:val="auto"/>
                <w:spacing w:val="30"/>
                <w:kern w:val="0"/>
                <w:sz w:val="21"/>
                <w:szCs w:val="21"/>
                <w:lang w:eastAsia="zh-CN"/>
              </w:rPr>
              <w:t>。</w:t>
            </w:r>
          </w:p>
        </w:tc>
      </w:tr>
    </w:tbl>
    <w:p w14:paraId="7C8C38C6">
      <w:pPr>
        <w:widowControl/>
        <w:kinsoku w:val="0"/>
        <w:autoSpaceDE w:val="0"/>
        <w:autoSpaceDN w:val="0"/>
        <w:adjustRightInd w:val="0"/>
        <w:snapToGrid w:val="0"/>
        <w:spacing w:line="147" w:lineRule="exact"/>
        <w:jc w:val="left"/>
        <w:textAlignment w:val="baseline"/>
        <w:rPr>
          <w:rFonts w:ascii="Arial" w:hAnsi="Arial" w:eastAsia="Arial" w:cs="Arial"/>
          <w:snapToGrid w:val="0"/>
          <w:color w:val="000000"/>
          <w:kern w:val="0"/>
          <w:sz w:val="21"/>
          <w:szCs w:val="21"/>
          <w:lang w:eastAsia="en-US"/>
        </w:rPr>
      </w:pPr>
    </w:p>
    <w:p w14:paraId="12F273DA">
      <w:pPr>
        <w:widowControl/>
        <w:kinsoku w:val="0"/>
        <w:autoSpaceDE w:val="0"/>
        <w:autoSpaceDN w:val="0"/>
        <w:adjustRightInd w:val="0"/>
        <w:snapToGrid w:val="0"/>
        <w:spacing w:line="395" w:lineRule="auto"/>
        <w:jc w:val="left"/>
        <w:textAlignment w:val="baseline"/>
        <w:rPr>
          <w:rFonts w:ascii="Arial" w:hAnsi="Arial" w:eastAsia="Arial" w:cs="Arial"/>
          <w:snapToGrid w:val="0"/>
          <w:color w:val="000000"/>
          <w:kern w:val="0"/>
          <w:sz w:val="21"/>
          <w:szCs w:val="21"/>
          <w:lang w:eastAsia="en-US"/>
        </w:rPr>
      </w:pPr>
    </w:p>
    <w:p w14:paraId="2CED4D39">
      <w:pPr>
        <w:kinsoku w:val="0"/>
        <w:autoSpaceDE w:val="0"/>
        <w:autoSpaceDN w:val="0"/>
        <w:adjustRightInd w:val="0"/>
        <w:snapToGrid w:val="0"/>
        <w:spacing w:before="78" w:line="220" w:lineRule="auto"/>
        <w:ind w:left="542"/>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5"/>
          <w:kern w:val="0"/>
          <w:sz w:val="21"/>
          <w:szCs w:val="21"/>
          <w:lang w:val="en-US" w:eastAsia="en-US" w:bidi="ar-SA"/>
        </w:rPr>
        <w:t>二、其他要求</w:t>
      </w:r>
    </w:p>
    <w:p w14:paraId="69C164ED">
      <w:r>
        <w:rPr>
          <w:rFonts w:ascii="宋体" w:hAnsi="宋体" w:eastAsia="宋体" w:cs="宋体"/>
          <w:snapToGrid w:val="0"/>
          <w:color w:val="000000"/>
          <w:spacing w:val="-3"/>
          <w:kern w:val="0"/>
          <w:sz w:val="21"/>
          <w:szCs w:val="21"/>
          <w:lang w:val="en-US" w:eastAsia="en-US" w:bidi="ar-SA"/>
        </w:rPr>
        <w:t>本项目不组织现场踏勘，如投标人在投标前需踏勘现场，请各</w:t>
      </w:r>
      <w:r>
        <w:rPr>
          <w:rFonts w:ascii="宋体" w:hAnsi="宋体" w:eastAsia="宋体" w:cs="宋体"/>
          <w:snapToGrid w:val="0"/>
          <w:color w:val="000000"/>
          <w:spacing w:val="-4"/>
          <w:kern w:val="0"/>
          <w:sz w:val="21"/>
          <w:szCs w:val="21"/>
          <w:lang w:val="en-US" w:eastAsia="en-US" w:bidi="ar-SA"/>
        </w:rPr>
        <w:t>投标人自行踏</w:t>
      </w:r>
      <w:r>
        <w:rPr>
          <w:rFonts w:ascii="宋体" w:hAnsi="宋体" w:eastAsia="宋体" w:cs="宋体"/>
          <w:snapToGrid w:val="0"/>
          <w:color w:val="000000"/>
          <w:kern w:val="0"/>
          <w:sz w:val="21"/>
          <w:szCs w:val="21"/>
          <w:lang w:val="en-US" w:eastAsia="en-US" w:bidi="ar-SA"/>
        </w:rPr>
        <w:t xml:space="preserve"> </w:t>
      </w:r>
      <w:r>
        <w:rPr>
          <w:rFonts w:ascii="宋体" w:hAnsi="宋体" w:eastAsia="宋体" w:cs="宋体"/>
          <w:snapToGrid w:val="0"/>
          <w:color w:val="000000"/>
          <w:spacing w:val="-1"/>
          <w:kern w:val="0"/>
          <w:sz w:val="21"/>
          <w:szCs w:val="21"/>
          <w:lang w:val="en-US" w:eastAsia="en-US" w:bidi="ar-SA"/>
        </w:rPr>
        <w:t>勘现场，有关费用自理，踏勘期间发生的意外自负。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modern"/>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76D43"/>
    <w:multiLevelType w:val="singleLevel"/>
    <w:tmpl w:val="B1F76D4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B3250"/>
    <w:rsid w:val="133B3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2026-09-03T07:02:00Z</dcterms:created>
  <dc:creator>Administrator</dc:creator>
  <cp:lastModifiedBy>Administrator</cp:lastModifiedBy>
  <dcterms:modified xsi:type="dcterms:W3CDTF">2026-09-03T07:03:35Z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B68FA88E4D9247E5B57A4C80285E8311_11</vt:lpwstr>
  </property>
  <property fmtid="{D5CDD505-2E9C-101B-9397-08002B2CF9AE}" pid="4" name="KSOTemplateDocerSaveRecord">
    <vt:lpwstr>eyJoZGlkIjoiMWMzYmRkZGI5ODZkMjcwNTBjNGQ0ODNiNmIwODA0MTMiLCJ1c2VySWQiOiIyMjMxNzg4NzEifQ==</vt:lpwstr>
  </property>
</Properties>
</file>