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86147">
      <w:pPr>
        <w:keepNext w:val="0"/>
        <w:keepLines w:val="0"/>
        <w:pageBreakBefore w:val="0"/>
        <w:widowControl w:val="0"/>
        <w:tabs>
          <w:tab w:val="left" w:pos="0"/>
        </w:tabs>
        <w:kinsoku/>
        <w:wordWrap/>
        <w:overflowPunct/>
        <w:topLinePunct w:val="0"/>
        <w:bidi w:val="0"/>
        <w:spacing w:line="480" w:lineRule="exact"/>
        <w:ind w:firstLine="488" w:firstLineChars="152"/>
        <w:jc w:val="center"/>
        <w:textAlignment w:val="auto"/>
        <w:rPr>
          <w:rFonts w:hint="eastAsia" w:ascii="宋体" w:hAnsi="宋体" w:eastAsia="宋体" w:cs="宋体"/>
          <w:color w:val="auto"/>
          <w:szCs w:val="21"/>
          <w:highlight w:val="none"/>
          <w:lang w:eastAsia="zh-CN"/>
        </w:rPr>
      </w:pPr>
      <w:bookmarkStart w:id="0" w:name="_Hlk80622048"/>
      <w:r>
        <w:rPr>
          <w:rFonts w:hint="eastAsia" w:ascii="宋体" w:hAnsi="宋体" w:eastAsia="宋体" w:cs="宋体"/>
          <w:b/>
          <w:color w:val="auto"/>
          <w:sz w:val="32"/>
          <w:szCs w:val="32"/>
          <w:highlight w:val="none"/>
          <w:lang w:eastAsia="zh-CN"/>
        </w:rPr>
        <w:t>第四章 采购需求</w:t>
      </w:r>
    </w:p>
    <w:bookmarkEnd w:id="0"/>
    <w:p w14:paraId="2F26BB68">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一、采购项目名称：湘阴县2026年受污染耕地安全利用项目叶面阻控剂和生石灰采购及施撒服务</w:t>
      </w:r>
    </w:p>
    <w:p w14:paraId="12F96AF1">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 xml:space="preserve">二、项目预算金额：2076000元  </w:t>
      </w:r>
    </w:p>
    <w:p w14:paraId="58548AE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宋体" w:hAnsi="宋体" w:eastAsia="宋体" w:cs="宋体"/>
          <w:b/>
          <w:bCs/>
          <w:color w:val="auto"/>
          <w:kern w:val="0"/>
          <w:sz w:val="22"/>
          <w:szCs w:val="22"/>
          <w:highlight w:val="none"/>
          <w:lang w:val="en-US" w:eastAsia="zh-CN" w:bidi="ar"/>
        </w:rPr>
        <w:t>三</w:t>
      </w:r>
      <w:r>
        <w:rPr>
          <w:rFonts w:hint="eastAsia" w:ascii="仿宋" w:hAnsi="仿宋" w:eastAsia="仿宋" w:cs="仿宋"/>
          <w:b/>
          <w:bCs/>
          <w:color w:val="auto"/>
          <w:kern w:val="0"/>
          <w:sz w:val="22"/>
          <w:szCs w:val="22"/>
          <w:highlight w:val="none"/>
          <w:lang w:val="en-US" w:eastAsia="zh-CN" w:bidi="ar"/>
        </w:rPr>
        <w:t xml:space="preserve">、项目工作目标 </w:t>
      </w:r>
    </w:p>
    <w:p w14:paraId="137558E3">
      <w:pPr>
        <w:keepNext w:val="0"/>
        <w:keepLines w:val="0"/>
        <w:widowControl/>
        <w:suppressLineNumbers w:val="0"/>
        <w:spacing w:line="360" w:lineRule="auto"/>
        <w:jc w:val="left"/>
        <w:rPr>
          <w:rFonts w:hint="eastAsia" w:ascii="仿宋" w:hAnsi="仿宋" w:eastAsia="仿宋" w:cs="仿宋"/>
          <w:b/>
          <w:bCs/>
          <w:color w:val="auto"/>
          <w:sz w:val="22"/>
          <w:szCs w:val="22"/>
          <w:highlight w:val="none"/>
          <w:lang w:val="en-US" w:eastAsia="zh-CN"/>
        </w:rPr>
      </w:pPr>
      <w:r>
        <w:rPr>
          <w:rFonts w:hint="eastAsia" w:ascii="仿宋" w:hAnsi="仿宋" w:eastAsia="仿宋" w:cs="仿宋"/>
          <w:b/>
          <w:bCs/>
          <w:color w:val="auto"/>
          <w:sz w:val="22"/>
          <w:szCs w:val="22"/>
          <w:highlight w:val="none"/>
          <w:lang w:val="en-US" w:eastAsia="zh-CN"/>
        </w:rPr>
        <w:t>1、采购内容</w:t>
      </w:r>
    </w:p>
    <w:p w14:paraId="5F5F379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采购</w:t>
      </w:r>
      <w:r>
        <w:rPr>
          <w:rFonts w:hint="eastAsia" w:ascii="仿宋" w:hAnsi="仿宋" w:eastAsia="仿宋" w:cs="仿宋"/>
          <w:color w:val="auto"/>
          <w:sz w:val="22"/>
          <w:szCs w:val="22"/>
          <w:highlight w:val="none"/>
        </w:rPr>
        <w:t>叶面阻控剂</w:t>
      </w:r>
      <w:r>
        <w:rPr>
          <w:rFonts w:hint="eastAsia" w:ascii="仿宋" w:hAnsi="仿宋" w:eastAsia="仿宋" w:cs="仿宋"/>
          <w:color w:val="auto"/>
          <w:sz w:val="22"/>
          <w:szCs w:val="22"/>
          <w:highlight w:val="none"/>
          <w:lang w:val="en-US" w:eastAsia="zh-CN"/>
        </w:rPr>
        <w:t>能完成3万亩的产品推荐量（登记用量或试验最佳单位面积使用量*3万亩*2次），产品形态为水溶性固体或液体（采购货物及撒施作业价格不得高于50元/亩）。采购生石灰480吨，用量为100公斤/亩（采购货物及撒施作业价格不得高于120元/亩）。</w:t>
      </w:r>
    </w:p>
    <w:p w14:paraId="4B225685">
      <w:pPr>
        <w:pStyle w:val="2"/>
        <w:spacing w:line="360" w:lineRule="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湘阴县2026年受污染耕地安全利用工作方案》(湘阴农联[2026]8号)要求，湘阴县2026年受污染耕地安全利用项目计划8月下旬-9月中旬在5个乡镇12个村安全利用区晚稻实施3万亩叶面阻控剂技术措施;计划晚稻，鹤龙湖镇2个村实施生石灰施撒措施。</w:t>
      </w:r>
    </w:p>
    <w:p w14:paraId="4780358D">
      <w:pPr>
        <w:keepNext w:val="0"/>
        <w:keepLines w:val="0"/>
        <w:widowControl/>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2、采购需求</w:t>
      </w:r>
    </w:p>
    <w:p w14:paraId="518E2011">
      <w:pPr>
        <w:keepNext w:val="0"/>
        <w:keepLines w:val="0"/>
        <w:pageBreakBefore w:val="0"/>
        <w:widowControl/>
        <w:suppressLineNumbers w:val="0"/>
        <w:kinsoku/>
        <w:wordWrap/>
        <w:overflowPunct/>
        <w:topLinePunct w:val="0"/>
        <w:autoSpaceDE/>
        <w:autoSpaceDN/>
        <w:bidi w:val="0"/>
        <w:adjustRightInd/>
        <w:snapToGrid/>
        <w:spacing w:line="360" w:lineRule="auto"/>
        <w:ind w:firstLine="442" w:firstLineChars="200"/>
        <w:jc w:val="left"/>
        <w:textAlignment w:val="auto"/>
        <w:rPr>
          <w:rFonts w:hint="default"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（1）货物采购需求</w:t>
      </w:r>
    </w:p>
    <w:p w14:paraId="0CA6B0AA">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所投叶面阻控剂产品为中量元素水溶性肥，则产品指标应符合《中量元素水溶性肥料》标准（NY/T266-2012）；所投叶面阻控剂产品为含硅水溶性肥料，则产品指标应符合《含硅水溶性肥料》标准（NY/T3829-2021）；所投叶面阻控剂产品为微量元素水溶性肥，则产品指标应符合《微量元素水溶性肥料》标准（NY 1428-2010）。具体如下：</w:t>
      </w:r>
    </w:p>
    <w:p w14:paraId="07168855">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中量元素（或含硅）水溶肥指标要求：产品总含量≥10%（100g/L），钠元素（Na）＜10%（100g/L），且不超过硅元素的50%，水不溶物≤1%（或10g/L），PH（1:250倍稀释）5.5-11.5，固体产品水分≤3.0%；如含钾，K₂O≥2.0%(20g/L）；</w:t>
      </w:r>
    </w:p>
    <w:p w14:paraId="4FF50094">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b）微量元素水溶肥指标要求：产品总含量≥10%（100g/L），水不溶物≤5%（或50g/L），PH（1:250倍稀释）3.0-10.0，固体产品水分≤6.0%；如含钼（Mo），Mo≤1%（或10g/L）。</w:t>
      </w:r>
    </w:p>
    <w:p w14:paraId="7270643E">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B：所投生石灰产品应符合相关的农业行业标准《HNZ141-2017 镉污染稻田安全利用石灰施用技术规程》。具体如下：</w:t>
      </w:r>
    </w:p>
    <w:p w14:paraId="03330DDF">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外观要求：要求过2.0毫米（10目筛）的占比不低于80%；b）氧化钙（CaO）含量≥70%；c）汞（Hg）含量≤2mg/kg；d）砷（As）含量≤10mg/kg；e）镉（Cd）含量≤3mg/kg；f）铅（Pb）含量≤50mg/kg；g）铬（Cr）含量≤50mg/kg；h）水分≤5%；i）包装要求：生石灰产品按25公斤/袋（允许±0.5公斤/袋偏差）的标准进行包装。</w:t>
      </w:r>
    </w:p>
    <w:p w14:paraId="27CC7A46">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C：所投叶面阻控剂产品已在水稻上做过田间试验，并达到稻米降镉幅度30%（含）以上，提供近三年在科研院所（校）或县级及以上农业主管部门出具的试验报告。</w:t>
      </w:r>
    </w:p>
    <w:p w14:paraId="4A6AE749">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D：所投叶面阻控剂产品具有农业农村部正式（不含临时的）登记的“中量元素肥料（含硅水溶性肥料、微量元素）”（产品通用名称），或者农业农村部的备案号，登记作物须包含水稻。</w:t>
      </w:r>
    </w:p>
    <w:p w14:paraId="26EB5B38">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E：所投生石灰和叶面阻控剂产品必须提供具有检测资质的第三方检测机构历年或近一年的产品质量检验报告，产品重金属限量指标符合《水溶肥料汞、砷、镉、铅、铬的限量要求》（NY1110-2010）。</w:t>
      </w:r>
    </w:p>
    <w:p w14:paraId="7D94E1E5">
      <w:pPr>
        <w:keepNext w:val="0"/>
        <w:keepLines w:val="0"/>
        <w:widowControl/>
        <w:numPr>
          <w:ilvl w:val="0"/>
          <w:numId w:val="1"/>
        </w:numPr>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施撒作业需求</w:t>
      </w:r>
    </w:p>
    <w:p w14:paraId="487335C8">
      <w:pPr>
        <w:keepNext w:val="0"/>
        <w:keepLines w:val="0"/>
        <w:widowControl/>
        <w:numPr>
          <w:ilvl w:val="0"/>
          <w:numId w:val="0"/>
        </w:numPr>
        <w:suppressLineNumbers w:val="0"/>
        <w:spacing w:line="360" w:lineRule="auto"/>
        <w:ind w:firstLine="440" w:firstLineChars="200"/>
        <w:jc w:val="left"/>
        <w:rPr>
          <w:rFonts w:hint="default"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叶面阻控剂采用植保无人机喷施的方式，在水稻分蘖末期和孕穗期叶面均匀喷施，亩用量不少于150ml/次，作业面积3万亩*2次；生石灰采用石灰施撒机进行作业，作业面积0.48万亩*1次。具体施用时间以中标人提供的详细方案经采购人确认后为准。</w:t>
      </w:r>
    </w:p>
    <w:p w14:paraId="2C4CDDDE">
      <w:pPr>
        <w:keepNext w:val="0"/>
        <w:keepLines w:val="0"/>
        <w:widowControl/>
        <w:suppressLineNumbers w:val="0"/>
        <w:spacing w:line="360" w:lineRule="auto"/>
        <w:jc w:val="left"/>
        <w:rPr>
          <w:rFonts w:hint="eastAsia" w:ascii="仿宋" w:hAnsi="仿宋" w:eastAsia="仿宋" w:cs="仿宋"/>
          <w:b/>
          <w:bCs/>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四、项目要求 </w:t>
      </w:r>
    </w:p>
    <w:p w14:paraId="1F41C4E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本项目投标总报价应包括成本费、履行合同所有相关项目所需的费用、投标人用于本项目的投标、管理、生产、利润及税金等一切费用。在实际供应过程中中标企业不得以任何理由向上调整中标价格，投标人应充分考虑在采购期内由于市场物价变动而导致的风险。 </w:t>
      </w:r>
    </w:p>
    <w:p w14:paraId="3DB4FE5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2、投标人所投报价应体现单价和总价，各包的总价不得高于各包的最高限价，否则投标无效。 </w:t>
      </w:r>
    </w:p>
    <w:p w14:paraId="166377B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3、产品质量保证：中标产品必须严格按照企业标准、行业标准要求生产。保证所供产品均为原厂全新正品，包装标签标识符合国家有关肥料产品包装要求，独立包装。规格为500毫升至1升。 </w:t>
      </w:r>
    </w:p>
    <w:p w14:paraId="5D6A0AB3">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4、根据项目实施情况，如未完成当年晚稻实施任务的，可延续到第二年早稻完成实施。 </w:t>
      </w:r>
    </w:p>
    <w:p w14:paraId="2482078B">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五、质量控制： </w:t>
      </w:r>
    </w:p>
    <w:p w14:paraId="1062C18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外观、数量：中标成交供应商在货物运抵项目所在乡镇后，由采购人代表、乡镇（村、社区）代表一起共同对产品数量、外观进行清点验收。对数量短缺、外观破损、溢漏货物，供应商应在规定时间内予以更换、补齐，否则采购人有权拒绝验收签字； 由此造成的损失由中标方承担。 </w:t>
      </w:r>
    </w:p>
    <w:p w14:paraId="672C55A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2、质量抽检：由采购人代表、项目乡镇代表、供应商代表共同对货物进行随机取样，并送第三方检验机构进行检测，检测费用由中标供应商承担。因检测质量不合格所产生的一切后果均由中标供应商承担。 </w:t>
      </w:r>
    </w:p>
    <w:p w14:paraId="1CB68334">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3、喷施作业：中标方作业期间，须接受采购人技术指导和监督，严格按照操作规程进行作业服务。 </w:t>
      </w:r>
    </w:p>
    <w:p w14:paraId="5F79E736">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六、验收要求</w:t>
      </w:r>
      <w:r>
        <w:rPr>
          <w:rFonts w:hint="eastAsia" w:ascii="仿宋" w:hAnsi="仿宋" w:eastAsia="仿宋" w:cs="仿宋"/>
          <w:color w:val="auto"/>
          <w:kern w:val="0"/>
          <w:sz w:val="22"/>
          <w:szCs w:val="22"/>
          <w:highlight w:val="none"/>
          <w:lang w:val="en-US" w:eastAsia="zh-CN" w:bidi="ar"/>
        </w:rPr>
        <w:t xml:space="preserve">： </w:t>
      </w:r>
    </w:p>
    <w:p w14:paraId="0EAF3689">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产品质量检验流程：中标人到货后，采购人和中标人共同按照国家或行业相关标准进行抽样送检。产品抽检结果与服务验收意见作为今后同类产品招评标的重要依据。采样送样工作，经双方同意可委托第三方机构进行检测，分批次抽检，所涉费用由中标人负责。 </w:t>
      </w:r>
    </w:p>
    <w:p w14:paraId="01436305">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2、检验结果应用：叶面阻控剂的各项技术指标应严格按照第四章采购需求中叶面阻控剂产品技术参数要求达标，不达标的视为不合格，则需在供货期限内及时补送该批次同等数量的合格产品。 </w:t>
      </w:r>
    </w:p>
    <w:p w14:paraId="647C7FE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项目验收按招标文件要求：项目产品因包装质量达不到招标要求而验收不合格，由中标人返工直至合格，有关返工、再行验收，以及给采购人造成的损失等费用由中标人承担。连续两次项目验收不合格的，采购人可终止合同，由此带来的一切损失由中标人承担。 </w:t>
      </w:r>
    </w:p>
    <w:p w14:paraId="1649BF7E">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 xml:space="preserve">4、中标人在合同规定的时间将任务完成后，由中标人提出验收申请，采购人按照程序组织乡镇依照招标文件上的相关服务要求、有关指标和合同条款进行现场验收。 </w:t>
      </w:r>
    </w:p>
    <w:p w14:paraId="159F7EA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5、喷施区域耕地稻谷抽检合格率达93%以上。 </w:t>
      </w:r>
    </w:p>
    <w:p w14:paraId="38C985D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七、售后服务： </w:t>
      </w:r>
    </w:p>
    <w:p w14:paraId="7A03BE8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投标人除提供合格产品外，还必须制定并提交详细、操作性强的产品施用技术服务实施方案。 </w:t>
      </w:r>
    </w:p>
    <w:p w14:paraId="719BDD7C">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八、台账资料要求</w:t>
      </w:r>
      <w:r>
        <w:rPr>
          <w:rFonts w:hint="eastAsia" w:ascii="仿宋" w:hAnsi="仿宋" w:eastAsia="仿宋" w:cs="仿宋"/>
          <w:color w:val="auto"/>
          <w:kern w:val="0"/>
          <w:sz w:val="22"/>
          <w:szCs w:val="22"/>
          <w:highlight w:val="none"/>
          <w:lang w:val="en-US" w:eastAsia="zh-CN" w:bidi="ar"/>
        </w:rPr>
        <w:t>：</w:t>
      </w:r>
    </w:p>
    <w:p w14:paraId="163C89E8">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中标成交供应商须按照招标文件和采购合同要求做好实施台账。包括产品合格证、检验报告、实施作业图片、植保无人机和石灰施撒机实施数据以及采购人、乡镇、村（社区）三级签字盖章签收单等资料。 </w:t>
      </w:r>
    </w:p>
    <w:p w14:paraId="1986D292">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九、付款方式 </w:t>
      </w:r>
    </w:p>
    <w:p w14:paraId="7D8472BF">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按规定程序验收合格后，按照实际交货数量与施用面积结算，支付项目价款的80%，质保期满一年后付清项目价款的20%，具体时间以财政支付为准。 </w:t>
      </w:r>
    </w:p>
    <w:p w14:paraId="5C93A33F">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十、其他要求： </w:t>
      </w:r>
    </w:p>
    <w:p w14:paraId="2E87B3BE">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1、在项目实施过程中，如出现安全事故均由中标人自行承担。 </w:t>
      </w:r>
    </w:p>
    <w:p w14:paraId="1B4156F7">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2、中标后，中标人在合同签订前将评分办法中所涉产品的肥料登记证、生石灰合格证、质量检验报告、试验报告、业绩、证书等资料的原件扫描件加盖持有人公章的原件交至采购人核查，不能提供者视为虚假响应，中标无效，顺延第二中标候选人。</w:t>
      </w:r>
    </w:p>
    <w:p w14:paraId="03E045DD">
      <w:pPr>
        <w:ind w:firstLine="482" w:firstLineChars="200"/>
        <w:rPr>
          <w:rFonts w:hint="eastAsia" w:ascii="仿宋" w:hAnsi="仿宋" w:eastAsia="仿宋" w:cs="仿宋"/>
          <w:b/>
          <w:bCs/>
          <w:color w:val="auto"/>
          <w:kern w:val="0"/>
          <w:sz w:val="24"/>
          <w:szCs w:val="24"/>
          <w:u w:val="none" w:color="000000"/>
          <w:lang w:val="en-US" w:eastAsia="zh-CN"/>
        </w:rPr>
      </w:pPr>
    </w:p>
    <w:p w14:paraId="260D5884">
      <w:pPr>
        <w:rPr>
          <w:rFonts w:hint="eastAsia" w:ascii="Times New Roman" w:hAnsi="Times New Roman" w:eastAsia="宋体" w:cs="Times New Roman"/>
          <w:b/>
          <w:bCs/>
          <w:color w:val="auto"/>
        </w:rPr>
      </w:pPr>
    </w:p>
    <w:p w14:paraId="65B82BAC">
      <w:r>
        <w:drawing>
          <wp:inline distT="0" distB="0" distL="114300" distR="114300">
            <wp:extent cx="9364345" cy="5656580"/>
            <wp:effectExtent l="0" t="0" r="127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rot="16200000">
                      <a:off x="0" y="0"/>
                      <a:ext cx="9364345" cy="5656580"/>
                    </a:xfrm>
                    <a:prstGeom prst="rect">
                      <a:avLst/>
                    </a:prstGeom>
                    <a:noFill/>
                    <a:ln>
                      <a:noFill/>
                    </a:ln>
                  </pic:spPr>
                </pic:pic>
              </a:graphicData>
            </a:graphic>
          </wp:inline>
        </w:draw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1A8E87"/>
    <w:multiLevelType w:val="singleLevel"/>
    <w:tmpl w:val="FB1A8E8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F55FF"/>
    <w:rsid w:val="40CF5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spacing w:after="120"/>
      <w:ind w:firstLine="420" w:firstLineChars="100"/>
      <w:jc w:val="both"/>
    </w:pPr>
    <w:rPr>
      <w:rFonts w:ascii="Times New Roman" w:hAnsi="Times New Roman" w:eastAsia="宋体" w:cs="Times New Roman"/>
      <w:kern w:val="0"/>
      <w:sz w:val="20"/>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2026-08-03T01:05:00Z</dcterms:created>
  <dc:creator>Administrator</dc:creator>
  <cp:lastModifiedBy>Administrator</cp:lastModifiedBy>
  <dcterms:modified xsi:type="dcterms:W3CDTF">2026-08-03T01:06:10Z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6A91719B59FB4BDBBAA638CAD67AF63E_11</vt:lpwstr>
  </property>
  <property fmtid="{D5CDD505-2E9C-101B-9397-08002B2CF9AE}" pid="4" name="KSOTemplateDocerSaveRecord">
    <vt:lpwstr>eyJoZGlkIjoiOWE2YzFhYjZiNTdlNjM1Nzk3NGRlOWU0NWJlODdlYjQiLCJ1c2VySWQiOiI3NDU3NTc3MDYifQ==</vt:lpwstr>
  </property>
</Properties>
</file>