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738A3">
      <w:pPr>
        <w:keepNext w:val="0"/>
        <w:keepLines w:val="0"/>
        <w:widowControl/>
        <w:suppressLineNumbers w:val="0"/>
        <w:kinsoku/>
        <w:autoSpaceDE/>
        <w:autoSpaceDN/>
        <w:adjustRightInd/>
        <w:snapToGrid/>
        <w:spacing w:line="240" w:lineRule="auto"/>
        <w:jc w:val="center"/>
        <w:textAlignment w:val="auto"/>
        <w:rPr>
          <w:rFonts w:hint="eastAsia" w:ascii="楷体" w:hAnsi="楷体" w:eastAsia="楷体" w:cs="楷体"/>
          <w:b/>
          <w:bCs/>
          <w:snapToGrid/>
          <w:color w:val="000000"/>
          <w:kern w:val="0"/>
          <w:sz w:val="36"/>
          <w:szCs w:val="36"/>
          <w:lang w:val="en-US" w:eastAsia="zh-CN" w:bidi="ar"/>
        </w:rPr>
      </w:pPr>
      <w:r>
        <w:rPr>
          <w:rFonts w:hint="eastAsia" w:ascii="楷体" w:hAnsi="楷体" w:eastAsia="楷体" w:cs="楷体"/>
          <w:b/>
          <w:bCs/>
          <w:snapToGrid/>
          <w:color w:val="000000"/>
          <w:kern w:val="0"/>
          <w:sz w:val="36"/>
          <w:szCs w:val="36"/>
          <w:lang w:val="en-US" w:eastAsia="zh-CN" w:bidi="ar"/>
        </w:rPr>
        <w:t>采购需求</w:t>
      </w:r>
    </w:p>
    <w:p w14:paraId="64ED5CB5">
      <w:pPr>
        <w:widowControl w:val="0"/>
        <w:kinsoku/>
        <w:autoSpaceDE/>
        <w:autoSpaceDN/>
        <w:adjustRightInd/>
        <w:snapToGrid/>
        <w:spacing w:line="240" w:lineRule="auto"/>
        <w:jc w:val="both"/>
        <w:textAlignment w:val="auto"/>
        <w:rPr>
          <w:rFonts w:hint="eastAsia" w:ascii="Calibri" w:hAnsi="Calibri" w:eastAsia="宋体" w:cs="Times New Roman"/>
          <w:snapToGrid/>
          <w:kern w:val="2"/>
          <w:szCs w:val="24"/>
          <w:lang w:eastAsia="zh-CN"/>
        </w:rPr>
      </w:pPr>
    </w:p>
    <w:p w14:paraId="4C866F63">
      <w:pPr>
        <w:widowControl w:val="0"/>
        <w:kinsoku/>
        <w:autoSpaceDE/>
        <w:autoSpaceDN/>
        <w:adjustRightInd/>
        <w:snapToGrid/>
        <w:spacing w:line="360" w:lineRule="auto"/>
        <w:jc w:val="both"/>
        <w:textAlignment w:val="auto"/>
        <w:rPr>
          <w:rFonts w:hint="eastAsia" w:ascii="宋体" w:hAnsi="宋体" w:eastAsia="宋体" w:cs="宋体"/>
          <w:snapToGrid/>
          <w:kern w:val="2"/>
          <w:sz w:val="24"/>
          <w:szCs w:val="24"/>
          <w:lang w:eastAsia="zh-CN"/>
        </w:rPr>
      </w:pPr>
      <w:r>
        <w:rPr>
          <w:rFonts w:hint="eastAsia" w:ascii="Calibri" w:hAnsi="Calibri" w:eastAsia="宋体" w:cs="Times New Roman"/>
          <w:snapToGrid/>
          <w:kern w:val="2"/>
          <w:szCs w:val="24"/>
          <w:lang w:eastAsia="zh-CN"/>
        </w:rPr>
        <w:t>一</w:t>
      </w:r>
      <w:r>
        <w:rPr>
          <w:rFonts w:hint="eastAsia" w:ascii="宋体" w:hAnsi="宋体" w:eastAsia="宋体" w:cs="宋体"/>
          <w:snapToGrid/>
          <w:kern w:val="2"/>
          <w:sz w:val="24"/>
          <w:szCs w:val="24"/>
          <w:lang w:eastAsia="zh-CN"/>
        </w:rPr>
        <w:t>、项目名称：</w:t>
      </w:r>
      <w:r>
        <w:rPr>
          <w:rFonts w:hint="eastAsia" w:ascii="宋体" w:hAnsi="宋体" w:eastAsia="宋体" w:cs="宋体"/>
          <w:snapToGrid/>
          <w:kern w:val="2"/>
          <w:sz w:val="24"/>
          <w:szCs w:val="24"/>
          <w:lang w:val="en-US" w:eastAsia="zh-CN"/>
        </w:rPr>
        <w:t>龙山县桂塘镇王道溪村村部至王家寨道路提质改造项目</w:t>
      </w:r>
    </w:p>
    <w:p w14:paraId="51574D8E">
      <w:pPr>
        <w:widowControl w:val="0"/>
        <w:numPr>
          <w:ilvl w:val="0"/>
          <w:numId w:val="1"/>
        </w:numPr>
        <w:kinsoku/>
        <w:autoSpaceDE/>
        <w:autoSpaceDN/>
        <w:adjustRightInd/>
        <w:snapToGrid/>
        <w:spacing w:line="360" w:lineRule="auto"/>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项目概况：</w:t>
      </w:r>
    </w:p>
    <w:tbl>
      <w:tblPr>
        <w:tblStyle w:val="3"/>
        <w:tblpPr w:leftFromText="180" w:rightFromText="180" w:vertAnchor="text" w:horzAnchor="page" w:tblpX="1845" w:tblpY="1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1578"/>
        <w:gridCol w:w="1903"/>
        <w:gridCol w:w="4042"/>
      </w:tblGrid>
      <w:tr w14:paraId="35A1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center"/>
          </w:tcPr>
          <w:p w14:paraId="57FD9779">
            <w:pPr>
              <w:widowControl w:val="0"/>
              <w:kinsoku/>
              <w:autoSpaceDE/>
              <w:autoSpaceDN/>
              <w:adjustRightInd/>
              <w:snapToGrid/>
              <w:spacing w:line="360" w:lineRule="auto"/>
              <w:jc w:val="center"/>
              <w:textAlignment w:val="auto"/>
              <w:rPr>
                <w:rFonts w:hint="eastAsia" w:ascii="宋体" w:hAnsi="宋体" w:eastAsia="宋体" w:cs="宋体"/>
                <w:snapToGrid/>
                <w:kern w:val="2"/>
                <w:sz w:val="24"/>
                <w:szCs w:val="24"/>
                <w:vertAlign w:val="baseline"/>
                <w:lang w:eastAsia="zh-CN"/>
              </w:rPr>
            </w:pPr>
            <w:r>
              <w:rPr>
                <w:rFonts w:hint="eastAsia" w:ascii="宋体" w:hAnsi="宋体" w:eastAsia="宋体" w:cs="宋体"/>
                <w:snapToGrid/>
                <w:kern w:val="2"/>
                <w:sz w:val="24"/>
                <w:szCs w:val="24"/>
                <w:lang w:eastAsia="zh-CN"/>
              </w:rPr>
              <w:t>序号</w:t>
            </w:r>
          </w:p>
        </w:tc>
        <w:tc>
          <w:tcPr>
            <w:tcW w:w="1584" w:type="dxa"/>
            <w:noWrap w:val="0"/>
            <w:vAlign w:val="center"/>
          </w:tcPr>
          <w:p w14:paraId="152711CC">
            <w:pPr>
              <w:widowControl w:val="0"/>
              <w:kinsoku/>
              <w:autoSpaceDE/>
              <w:autoSpaceDN/>
              <w:adjustRightInd/>
              <w:snapToGrid/>
              <w:spacing w:line="360" w:lineRule="auto"/>
              <w:jc w:val="center"/>
              <w:textAlignment w:val="auto"/>
              <w:rPr>
                <w:rFonts w:hint="eastAsia" w:ascii="宋体" w:hAnsi="宋体" w:eastAsia="宋体" w:cs="宋体"/>
                <w:snapToGrid/>
                <w:kern w:val="2"/>
                <w:sz w:val="24"/>
                <w:szCs w:val="24"/>
                <w:vertAlign w:val="baseline"/>
                <w:lang w:eastAsia="zh-CN"/>
              </w:rPr>
            </w:pPr>
            <w:r>
              <w:rPr>
                <w:rFonts w:hint="eastAsia" w:ascii="宋体" w:hAnsi="宋体" w:eastAsia="宋体" w:cs="宋体"/>
                <w:snapToGrid/>
                <w:kern w:val="2"/>
                <w:sz w:val="24"/>
                <w:szCs w:val="24"/>
                <w:lang w:eastAsia="zh-CN"/>
              </w:rPr>
              <w:t>建设地点</w:t>
            </w:r>
          </w:p>
        </w:tc>
        <w:tc>
          <w:tcPr>
            <w:tcW w:w="1908" w:type="dxa"/>
            <w:noWrap w:val="0"/>
            <w:vAlign w:val="center"/>
          </w:tcPr>
          <w:p w14:paraId="5CBBAE28">
            <w:pPr>
              <w:widowControl w:val="0"/>
              <w:kinsoku/>
              <w:autoSpaceDE/>
              <w:autoSpaceDN/>
              <w:adjustRightInd/>
              <w:snapToGrid/>
              <w:spacing w:line="360" w:lineRule="auto"/>
              <w:jc w:val="center"/>
              <w:textAlignment w:val="auto"/>
              <w:rPr>
                <w:rFonts w:hint="eastAsia" w:ascii="宋体" w:hAnsi="宋体" w:eastAsia="宋体" w:cs="宋体"/>
                <w:snapToGrid/>
                <w:kern w:val="2"/>
                <w:sz w:val="24"/>
                <w:szCs w:val="24"/>
                <w:vertAlign w:val="baseline"/>
                <w:lang w:eastAsia="zh-CN"/>
              </w:rPr>
            </w:pPr>
            <w:r>
              <w:rPr>
                <w:rFonts w:hint="eastAsia" w:ascii="宋体" w:hAnsi="宋体" w:eastAsia="宋体" w:cs="宋体"/>
                <w:snapToGrid/>
                <w:kern w:val="2"/>
                <w:sz w:val="24"/>
                <w:szCs w:val="24"/>
                <w:lang w:eastAsia="zh-CN"/>
              </w:rPr>
              <w:t>道路总长</w:t>
            </w:r>
          </w:p>
        </w:tc>
        <w:tc>
          <w:tcPr>
            <w:tcW w:w="4058" w:type="dxa"/>
            <w:noWrap w:val="0"/>
            <w:vAlign w:val="center"/>
          </w:tcPr>
          <w:p w14:paraId="4CAABAE9">
            <w:pPr>
              <w:widowControl w:val="0"/>
              <w:kinsoku/>
              <w:autoSpaceDE/>
              <w:autoSpaceDN/>
              <w:adjustRightInd/>
              <w:snapToGrid/>
              <w:spacing w:line="360" w:lineRule="auto"/>
              <w:jc w:val="center"/>
              <w:textAlignment w:val="auto"/>
              <w:rPr>
                <w:rFonts w:hint="eastAsia" w:ascii="宋体" w:hAnsi="宋体" w:eastAsia="宋体" w:cs="宋体"/>
                <w:snapToGrid/>
                <w:kern w:val="2"/>
                <w:sz w:val="24"/>
                <w:szCs w:val="24"/>
                <w:vertAlign w:val="baseline"/>
                <w:lang w:eastAsia="zh-CN"/>
              </w:rPr>
            </w:pPr>
            <w:r>
              <w:rPr>
                <w:rFonts w:hint="eastAsia" w:ascii="宋体" w:hAnsi="宋体" w:eastAsia="宋体" w:cs="宋体"/>
                <w:snapToGrid/>
                <w:kern w:val="2"/>
                <w:sz w:val="24"/>
                <w:szCs w:val="24"/>
                <w:lang w:eastAsia="zh-CN"/>
              </w:rPr>
              <w:t>施工内容</w:t>
            </w:r>
          </w:p>
        </w:tc>
      </w:tr>
      <w:tr w14:paraId="164C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center"/>
          </w:tcPr>
          <w:p w14:paraId="0D868F4B">
            <w:pPr>
              <w:widowControl w:val="0"/>
              <w:kinsoku/>
              <w:autoSpaceDE/>
              <w:autoSpaceDN/>
              <w:adjustRightInd/>
              <w:snapToGrid/>
              <w:spacing w:line="360" w:lineRule="auto"/>
              <w:jc w:val="center"/>
              <w:textAlignment w:val="auto"/>
              <w:rPr>
                <w:rFonts w:hint="eastAsia" w:ascii="宋体" w:hAnsi="宋体" w:eastAsia="宋体" w:cs="宋体"/>
                <w:snapToGrid/>
                <w:kern w:val="2"/>
                <w:sz w:val="24"/>
                <w:szCs w:val="24"/>
                <w:vertAlign w:val="baseline"/>
                <w:lang w:val="en-US" w:eastAsia="zh-CN"/>
              </w:rPr>
            </w:pPr>
            <w:r>
              <w:rPr>
                <w:rFonts w:hint="eastAsia" w:ascii="宋体" w:hAnsi="宋体" w:eastAsia="宋体" w:cs="宋体"/>
                <w:snapToGrid/>
                <w:kern w:val="2"/>
                <w:sz w:val="24"/>
                <w:szCs w:val="24"/>
                <w:vertAlign w:val="baseline"/>
                <w:lang w:val="en-US" w:eastAsia="zh-CN"/>
              </w:rPr>
              <w:t>1</w:t>
            </w:r>
          </w:p>
        </w:tc>
        <w:tc>
          <w:tcPr>
            <w:tcW w:w="1584" w:type="dxa"/>
            <w:noWrap w:val="0"/>
            <w:vAlign w:val="center"/>
          </w:tcPr>
          <w:p w14:paraId="53CAF22B">
            <w:pPr>
              <w:widowControl w:val="0"/>
              <w:kinsoku/>
              <w:autoSpaceDE/>
              <w:autoSpaceDN/>
              <w:adjustRightInd/>
              <w:snapToGrid/>
              <w:spacing w:line="360" w:lineRule="auto"/>
              <w:jc w:val="center"/>
              <w:textAlignment w:val="auto"/>
              <w:rPr>
                <w:rFonts w:hint="eastAsia" w:ascii="宋体" w:hAnsi="宋体" w:eastAsia="宋体" w:cs="宋体"/>
                <w:snapToGrid/>
                <w:kern w:val="2"/>
                <w:sz w:val="24"/>
                <w:szCs w:val="24"/>
                <w:vertAlign w:val="baseline"/>
                <w:lang w:eastAsia="zh-CN"/>
              </w:rPr>
            </w:pPr>
            <w:r>
              <w:rPr>
                <w:rFonts w:hint="eastAsia" w:ascii="宋体" w:hAnsi="宋体" w:eastAsia="宋体" w:cs="宋体"/>
                <w:snapToGrid/>
                <w:kern w:val="2"/>
                <w:sz w:val="24"/>
                <w:szCs w:val="24"/>
                <w:lang w:val="en-US" w:eastAsia="zh-CN"/>
              </w:rPr>
              <w:t>龙山县桂塘镇王道溪村</w:t>
            </w:r>
          </w:p>
        </w:tc>
        <w:tc>
          <w:tcPr>
            <w:tcW w:w="1908" w:type="dxa"/>
            <w:noWrap w:val="0"/>
            <w:vAlign w:val="center"/>
          </w:tcPr>
          <w:p w14:paraId="0CF230D3">
            <w:pPr>
              <w:widowControl w:val="0"/>
              <w:kinsoku/>
              <w:autoSpaceDE/>
              <w:autoSpaceDN/>
              <w:adjustRightInd/>
              <w:snapToGrid/>
              <w:spacing w:line="360" w:lineRule="auto"/>
              <w:jc w:val="center"/>
              <w:textAlignment w:val="auto"/>
              <w:rPr>
                <w:rFonts w:hint="eastAsia" w:ascii="宋体" w:hAnsi="宋体" w:eastAsia="宋体" w:cs="宋体"/>
                <w:snapToGrid/>
                <w:kern w:val="2"/>
                <w:sz w:val="24"/>
                <w:szCs w:val="24"/>
                <w:vertAlign w:val="baseline"/>
                <w:lang w:eastAsia="zh-CN"/>
              </w:rPr>
            </w:pPr>
            <w:r>
              <w:rPr>
                <w:rFonts w:hint="eastAsia" w:ascii="宋体" w:hAnsi="宋体" w:eastAsia="宋体" w:cs="宋体"/>
                <w:snapToGrid/>
                <w:color w:val="000000"/>
                <w:kern w:val="0"/>
                <w:sz w:val="24"/>
                <w:szCs w:val="24"/>
                <w:lang w:val="en-US" w:eastAsia="zh-CN" w:bidi="ar"/>
              </w:rPr>
              <w:t>道路全长3.835km</w:t>
            </w:r>
          </w:p>
        </w:tc>
        <w:tc>
          <w:tcPr>
            <w:tcW w:w="4058" w:type="dxa"/>
            <w:noWrap w:val="0"/>
            <w:vAlign w:val="center"/>
          </w:tcPr>
          <w:p w14:paraId="1D7F40CF">
            <w:pPr>
              <w:widowControl w:val="0"/>
              <w:kinsoku/>
              <w:autoSpaceDE/>
              <w:autoSpaceDN/>
              <w:adjustRightInd/>
              <w:snapToGrid/>
              <w:spacing w:line="360" w:lineRule="auto"/>
              <w:jc w:val="left"/>
              <w:textAlignment w:val="auto"/>
              <w:rPr>
                <w:rFonts w:hint="eastAsia" w:ascii="宋体" w:hAnsi="宋体" w:eastAsia="宋体" w:cs="宋体"/>
                <w:snapToGrid/>
                <w:kern w:val="2"/>
                <w:sz w:val="24"/>
                <w:szCs w:val="24"/>
                <w:vertAlign w:val="baseline"/>
                <w:lang w:eastAsia="zh-CN"/>
              </w:rPr>
            </w:pPr>
            <w:r>
              <w:rPr>
                <w:rFonts w:hint="eastAsia" w:ascii="宋体" w:hAnsi="宋体" w:eastAsia="宋体" w:cs="宋体"/>
                <w:snapToGrid/>
                <w:color w:val="000000"/>
                <w:kern w:val="0"/>
                <w:sz w:val="24"/>
                <w:szCs w:val="24"/>
                <w:lang w:val="en-US" w:eastAsia="zh-CN" w:bidi="ar"/>
              </w:rPr>
              <w:t>建设主要内容包括沥青砼路面硬化及配套工程。旧路面处理1255m、水稳层1255m2、路面刨铣16373m2、沥青砼面层16373m2、粘层16373m2、0.5m砼圆管涵42m、沉沙井11个、砼排水沟278m。</w:t>
            </w:r>
          </w:p>
        </w:tc>
      </w:tr>
    </w:tbl>
    <w:p w14:paraId="3D0E8B22">
      <w:pPr>
        <w:widowControl w:val="0"/>
        <w:kinsoku/>
        <w:autoSpaceDE/>
        <w:autoSpaceDN/>
        <w:adjustRightInd/>
        <w:snapToGrid/>
        <w:spacing w:line="360" w:lineRule="auto"/>
        <w:jc w:val="both"/>
        <w:textAlignment w:val="auto"/>
        <w:rPr>
          <w:rFonts w:hint="eastAsia" w:ascii="宋体" w:hAnsi="宋体" w:eastAsia="宋体" w:cs="宋体"/>
          <w:snapToGrid/>
          <w:kern w:val="2"/>
          <w:sz w:val="24"/>
          <w:szCs w:val="24"/>
          <w:lang w:eastAsia="zh-CN"/>
        </w:rPr>
      </w:pPr>
    </w:p>
    <w:p w14:paraId="23C81DD6">
      <w:pPr>
        <w:widowControl w:val="0"/>
        <w:kinsoku/>
        <w:autoSpaceDE/>
        <w:autoSpaceDN/>
        <w:adjustRightInd/>
        <w:snapToGrid/>
        <w:spacing w:line="360" w:lineRule="auto"/>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三、报价要求：</w:t>
      </w:r>
    </w:p>
    <w:p w14:paraId="54A4EA4C">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1、本次招标采用费用包干方式进行招标，投标人报价不得超过最高限价，否则视为不响应采购文件。</w:t>
      </w:r>
    </w:p>
    <w:p w14:paraId="2DE611CF">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投标人应根据项目总体要求和实施情况，详细列明项目所需的各项费用，以及在服务实施中应缴纳的一切税费、管理费、保险费、培训、材料、机械、人工、财务等所有费用。如一旦中标，在项目实施中出现任何费用遗漏，均由成交供应商负责，采购单位不再支付任何费用。</w:t>
      </w:r>
    </w:p>
    <w:p w14:paraId="5AFF5C84">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3、供应商根据应根据现行适用的规定和标准制定报价清单。</w:t>
      </w:r>
    </w:p>
    <w:p w14:paraId="6B1C6CA3">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4、第一轮报价（响应文件中的报价），应在响应文件分项报价表中进行清单报价；最终报价时，只需提供总报价，不要求提供清单报价。中标（成交）供应商在签订合同前，提供成交价格的清单报价文件纸质版2份、电子档（造价软件原始格式）1份给采购人。</w:t>
      </w:r>
    </w:p>
    <w:p w14:paraId="04841AE9">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5、安全生产费及暂列金额按采购人提供的工程量清单中的数字填报</w:t>
      </w:r>
      <w:r>
        <w:rPr>
          <w:rFonts w:hint="eastAsia" w:ascii="宋体" w:hAnsi="宋体" w:eastAsia="宋体" w:cs="宋体"/>
          <w:snapToGrid/>
          <w:kern w:val="2"/>
          <w:sz w:val="24"/>
          <w:szCs w:val="24"/>
          <w:lang w:val="en-US" w:eastAsia="zh-CN"/>
        </w:rPr>
        <w:t>(如有)</w:t>
      </w:r>
      <w:r>
        <w:rPr>
          <w:rFonts w:hint="eastAsia" w:ascii="宋体" w:hAnsi="宋体" w:eastAsia="宋体" w:cs="宋体"/>
          <w:snapToGrid/>
          <w:kern w:val="2"/>
          <w:sz w:val="24"/>
          <w:szCs w:val="24"/>
          <w:lang w:eastAsia="zh-CN"/>
        </w:rPr>
        <w:t>。</w:t>
      </w:r>
    </w:p>
    <w:p w14:paraId="242BA8A4">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6、该工程量清单未包含的费用，请投标供应商在报价时除考虑该工程量清单所需的费用，还需考虑工程量清单以外需增加的费用。</w:t>
      </w:r>
    </w:p>
    <w:p w14:paraId="671EDCAA">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7、工程量清单及图纸见附件。</w:t>
      </w:r>
    </w:p>
    <w:p w14:paraId="54269E88">
      <w:pPr>
        <w:widowControl w:val="0"/>
        <w:kinsoku/>
        <w:autoSpaceDE/>
        <w:autoSpaceDN/>
        <w:adjustRightInd/>
        <w:snapToGrid/>
        <w:spacing w:line="360" w:lineRule="auto"/>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四、工程要求</w:t>
      </w:r>
    </w:p>
    <w:p w14:paraId="0FDB9A98">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kern w:val="2"/>
          <w:sz w:val="24"/>
          <w:szCs w:val="24"/>
          <w:lang w:eastAsia="zh-CN"/>
        </w:rPr>
        <w:t>1、工期</w:t>
      </w:r>
      <w:r>
        <w:rPr>
          <w:rFonts w:hint="eastAsia" w:ascii="宋体" w:hAnsi="宋体" w:eastAsia="宋体" w:cs="宋体"/>
          <w:snapToGrid/>
          <w:color w:val="auto"/>
          <w:kern w:val="2"/>
          <w:sz w:val="24"/>
          <w:szCs w:val="24"/>
          <w:highlight w:val="none"/>
          <w:lang w:eastAsia="zh-CN"/>
        </w:rPr>
        <w:t xml:space="preserve">要求：自开工之日起 </w:t>
      </w:r>
      <w:r>
        <w:rPr>
          <w:rFonts w:hint="eastAsia" w:ascii="宋体" w:hAnsi="宋体" w:eastAsia="宋体" w:cs="宋体"/>
          <w:snapToGrid/>
          <w:color w:val="auto"/>
          <w:kern w:val="2"/>
          <w:sz w:val="24"/>
          <w:szCs w:val="24"/>
          <w:highlight w:val="none"/>
          <w:lang w:val="en-US" w:eastAsia="zh-CN"/>
        </w:rPr>
        <w:t>120日历天</w:t>
      </w:r>
      <w:r>
        <w:rPr>
          <w:rFonts w:hint="eastAsia" w:ascii="宋体" w:hAnsi="宋体" w:eastAsia="宋体" w:cs="宋体"/>
          <w:snapToGrid/>
          <w:color w:val="auto"/>
          <w:kern w:val="2"/>
          <w:sz w:val="24"/>
          <w:szCs w:val="24"/>
          <w:highlight w:val="none"/>
          <w:lang w:eastAsia="zh-CN"/>
        </w:rPr>
        <w:t>；</w:t>
      </w:r>
    </w:p>
    <w:p w14:paraId="50EB546E">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2、质量标准：合格工程；</w:t>
      </w:r>
    </w:p>
    <w:p w14:paraId="0AAAF180">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3、保修要求：自实际交工日期起 2 年，保修期间进场维修，保证无偿修理完好。</w:t>
      </w:r>
    </w:p>
    <w:p w14:paraId="3ACECF33">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4、缺陷责任期：自实际交工日期起 1 年；</w:t>
      </w:r>
    </w:p>
    <w:p w14:paraId="05390718">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5、质保金：</w:t>
      </w:r>
      <w:r>
        <w:rPr>
          <w:rFonts w:ascii="仿宋" w:hAnsi="仿宋" w:eastAsia="仿宋" w:cs="仿宋"/>
          <w:color w:val="auto"/>
          <w:spacing w:val="-1"/>
          <w:sz w:val="24"/>
          <w:szCs w:val="24"/>
          <w:highlight w:val="none"/>
        </w:rPr>
        <w:t>工程价款结算总额的</w:t>
      </w:r>
      <w:r>
        <w:rPr>
          <w:rFonts w:ascii="仿宋" w:hAnsi="仿宋" w:eastAsia="仿宋" w:cs="仿宋"/>
          <w:color w:val="auto"/>
          <w:spacing w:val="-1"/>
          <w:sz w:val="24"/>
          <w:szCs w:val="24"/>
          <w:highlight w:val="none"/>
          <w:u w:val="single" w:color="auto"/>
        </w:rPr>
        <w:t xml:space="preserve">  3  </w:t>
      </w:r>
      <w:r>
        <w:rPr>
          <w:rFonts w:ascii="仿宋" w:hAnsi="仿宋" w:eastAsia="仿宋" w:cs="仿宋"/>
          <w:color w:val="auto"/>
          <w:spacing w:val="-1"/>
          <w:sz w:val="24"/>
          <w:szCs w:val="24"/>
          <w:highlight w:val="none"/>
        </w:rPr>
        <w:t>%</w:t>
      </w:r>
      <w:r>
        <w:rPr>
          <w:rFonts w:hint="eastAsia" w:ascii="宋体" w:hAnsi="宋体" w:eastAsia="宋体" w:cs="宋体"/>
          <w:snapToGrid/>
          <w:color w:val="auto"/>
          <w:kern w:val="2"/>
          <w:sz w:val="24"/>
          <w:szCs w:val="24"/>
          <w:highlight w:val="none"/>
          <w:lang w:eastAsia="zh-CN"/>
        </w:rPr>
        <w:t>；</w:t>
      </w:r>
    </w:p>
    <w:p w14:paraId="532F23A7">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6、农民工工资保证金：合同价的 1.5%；</w:t>
      </w:r>
    </w:p>
    <w:p w14:paraId="6E4AE99B">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7、逾期交工违约金：1000 元/天。</w:t>
      </w:r>
    </w:p>
    <w:p w14:paraId="6920CA66">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五、施工要求</w:t>
      </w:r>
    </w:p>
    <w:p w14:paraId="7718C83A">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1、建筑材料运输、保管及保险</w:t>
      </w:r>
    </w:p>
    <w:p w14:paraId="09CA6338">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1.1 成交供应商负责建筑材料到施工地点的全部运输，包括装卸及现场搬运等；</w:t>
      </w:r>
    </w:p>
    <w:p w14:paraId="7ED1920D">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1.2 成交供应商负责建筑材料在施工地点的保管，直至项目验收合格；</w:t>
      </w:r>
    </w:p>
    <w:p w14:paraId="5B294505">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1.3 成交供应商负责其派出的施工人员的人身意外保险。</w:t>
      </w:r>
    </w:p>
    <w:p w14:paraId="1EAD49E5">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2、施工组织</w:t>
      </w:r>
    </w:p>
    <w:p w14:paraId="035D1255">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2.1 施工项目部关键岗位人员（包括采购文件中已拟任的），在签订合同前向采购人提供完整施工项目部关键岗位名单。项目部关键岗位人员安排应符合相关规定的最低要求，确保持证上岗且无其他在建项目。</w:t>
      </w:r>
    </w:p>
    <w:p w14:paraId="14AB14B0">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2.2 成交供应商须加强施工的组织管理，所有施工人员须遵守文明安全施工的有关规章制度持证上岗。 施工期间，应接受采购人或采购委托的监理单位的监督管理，遵守有关规定；</w:t>
      </w:r>
    </w:p>
    <w:p w14:paraId="745599D2">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2.3 成交供应商应保证项目团队稳定，没有经采购人同意不得随意调换关键岗位人员。签订合同前要求调换响应文件中拟定关键岗位人员的，采购人有权不予签订采购合同，并由成交人承担由此产生的一切损失；</w:t>
      </w:r>
    </w:p>
    <w:p w14:paraId="499C397D">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2.4 项目实施具体地点和范围及相关资料由采购人提供和确认。</w:t>
      </w:r>
    </w:p>
    <w:p w14:paraId="2AE905E4">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3、施工验收</w:t>
      </w:r>
    </w:p>
    <w:p w14:paraId="674711A8">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所有工程完工后，采购人将组织验收小组(由相关职能部门组成)根据本项目竞争性磋商文件及供应商响应文件进行项目审核验收事宜。</w:t>
      </w:r>
    </w:p>
    <w:p w14:paraId="6A1B2750">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4、成交供应商在施工前的准备、施工过程中、施工完毕验收全过程中应积极配合采购人完成工程相关工作。</w:t>
      </w:r>
    </w:p>
    <w:p w14:paraId="113EA0C4">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5、未尽事宜以国家、省、本地、行业规定为准。</w:t>
      </w:r>
    </w:p>
    <w:p w14:paraId="0C6527B3">
      <w:pPr>
        <w:widowControl w:val="0"/>
        <w:kinsoku/>
        <w:autoSpaceDE/>
        <w:autoSpaceDN/>
        <w:adjustRightInd/>
        <w:snapToGrid/>
        <w:spacing w:line="360" w:lineRule="auto"/>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六、其他</w:t>
      </w:r>
    </w:p>
    <w:p w14:paraId="29E71790">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1、支付方式：按合同约定</w:t>
      </w:r>
    </w:p>
    <w:p w14:paraId="1E929FEC">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成交供商签订合同时由法人代表或授权项目经理携带营业执照副本、行政主管部门颁发的资质证书、有效安全生产许可证、施工项目部关键岗位人员证书原件与采购人签订合同，如不上述要求提供原件，采购人有权拒绝与其签订合同。</w:t>
      </w:r>
    </w:p>
    <w:p w14:paraId="53BF3129">
      <w:pPr>
        <w:ind w:firstLine="480" w:firstLineChars="200"/>
      </w:pPr>
      <w:bookmarkStart w:id="0" w:name="_GoBack"/>
      <w:bookmarkEnd w:id="0"/>
      <w:r>
        <w:rPr>
          <w:rFonts w:hint="eastAsia" w:ascii="宋体" w:hAnsi="宋体" w:eastAsia="宋体" w:cs="宋体"/>
          <w:snapToGrid/>
          <w:kern w:val="2"/>
          <w:sz w:val="24"/>
          <w:szCs w:val="24"/>
          <w:lang w:eastAsia="zh-CN"/>
        </w:rPr>
        <w:t>3、其他未尽事宜，由采购人与成交供应商双方协商在合同中约定。</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0F74B5"/>
    <w:multiLevelType w:val="singleLevel"/>
    <w:tmpl w:val="790F74B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BA2155"/>
    <w:rsid w:val="23BA2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2026-10-19T09:04:00Z</dcterms:created>
  <dc:creator>高高</dc:creator>
  <cp:lastModifiedBy>高高</cp:lastModifiedBy>
  <dcterms:modified xsi:type="dcterms:W3CDTF">2026-10-19T09:05:51Z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F1CEB4483DC24C66B1CB3E70D7966E89_11</vt:lpwstr>
  </property>
  <property fmtid="{D5CDD505-2E9C-101B-9397-08002B2CF9AE}" pid="4" name="KSOTemplateDocerSaveRecord">
    <vt:lpwstr>eyJoZGlkIjoiOWRkYWI1MjYzZWM1OWNkMGNkYTdhZmI3ZDMwZjIwZDEiLCJ1c2VySWQiOiIyMjA4OTI0NDMifQ==</vt:lpwstr>
  </property>
</Properties>
</file>