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A4E3E">
      <w:pPr>
        <w:keepNext w:val="0"/>
        <w:keepLines w:val="0"/>
        <w:pageBreakBefore w:val="0"/>
        <w:kinsoku/>
        <w:wordWrap/>
        <w:overflowPunct/>
        <w:topLinePunct w:val="0"/>
        <w:bidi w:val="0"/>
        <w:jc w:val="right"/>
        <w:textAlignment w:val="auto"/>
        <w:outlineLvl w:val="9"/>
        <w:rPr>
          <w:rFonts w:hint="eastAsia" w:ascii="新宋体" w:hAnsi="新宋体" w:eastAsia="新宋体" w:cs="新宋体"/>
          <w:color w:val="auto"/>
          <w:sz w:val="24"/>
          <w:highlight w:val="none"/>
          <w:lang w:eastAsia="zh-CN"/>
        </w:rPr>
      </w:pPr>
      <w:r>
        <w:rPr>
          <w:rFonts w:hint="eastAsia" w:ascii="新宋体" w:hAnsi="新宋体" w:eastAsia="新宋体" w:cs="新宋体"/>
          <w:color w:val="auto"/>
          <w:sz w:val="24"/>
          <w:highlight w:val="none"/>
          <w:lang w:eastAsia="zh-CN"/>
        </w:rPr>
        <w:pict>
          <v:shape id="_x0000_i1025" o:spt="75" alt="1629354636(1)" type="#_x0000_t75" style="height:113.4pt;width:116.2pt;" filled="f" o:preferrelative="t" stroked="f" coordsize="21600,21600">
            <v:path/>
            <v:fill on="f" focussize="0,0"/>
            <v:stroke on="f"/>
            <v:imagedata r:id="rId14" o:title="1629354636(1)"/>
            <o:lock v:ext="edit" aspectratio="t"/>
            <w10:wrap type="none"/>
            <w10:anchorlock/>
          </v:shape>
        </w:pict>
      </w:r>
    </w:p>
    <w:p w14:paraId="1CCFC8E6">
      <w:pPr>
        <w:keepNext w:val="0"/>
        <w:keepLines w:val="0"/>
        <w:pageBreakBefore w:val="0"/>
        <w:tabs>
          <w:tab w:val="left" w:pos="9390"/>
        </w:tabs>
        <w:kinsoku/>
        <w:wordWrap/>
        <w:overflowPunct/>
        <w:topLinePunct w:val="0"/>
        <w:bidi w:val="0"/>
        <w:jc w:val="left"/>
        <w:textAlignment w:val="auto"/>
        <w:outlineLvl w:val="9"/>
        <w:rPr>
          <w:rFonts w:hint="eastAsia" w:ascii="新宋体" w:hAnsi="新宋体" w:eastAsia="新宋体" w:cs="新宋体"/>
          <w:color w:val="auto"/>
          <w:sz w:val="24"/>
          <w:highlight w:val="none"/>
        </w:rPr>
      </w:pPr>
    </w:p>
    <w:p w14:paraId="730D9ADA">
      <w:pPr>
        <w:keepNext w:val="0"/>
        <w:keepLines w:val="0"/>
        <w:pageBreakBefore w:val="0"/>
        <w:kinsoku/>
        <w:wordWrap/>
        <w:overflowPunct/>
        <w:topLinePunct w:val="0"/>
        <w:bidi w:val="0"/>
        <w:jc w:val="center"/>
        <w:textAlignment w:val="auto"/>
        <w:outlineLvl w:val="9"/>
        <w:rPr>
          <w:rFonts w:hint="eastAsia" w:ascii="新宋体" w:hAnsi="新宋体" w:eastAsia="新宋体" w:cs="新宋体"/>
          <w:b/>
          <w:bCs/>
          <w:color w:val="auto"/>
          <w:sz w:val="84"/>
          <w:highlight w:val="none"/>
          <w:lang w:eastAsia="zh-CN"/>
        </w:rPr>
      </w:pPr>
      <w:r>
        <w:rPr>
          <w:rFonts w:hint="eastAsia" w:ascii="新宋体" w:hAnsi="新宋体" w:eastAsia="新宋体" w:cs="新宋体"/>
          <w:b/>
          <w:bCs/>
          <w:color w:val="auto"/>
          <w:sz w:val="84"/>
          <w:highlight w:val="none"/>
          <w:lang w:eastAsia="zh-CN"/>
        </w:rPr>
        <w:t>政府采购</w:t>
      </w:r>
    </w:p>
    <w:p w14:paraId="28BFB16B">
      <w:pPr>
        <w:keepNext w:val="0"/>
        <w:keepLines w:val="0"/>
        <w:pageBreakBefore w:val="0"/>
        <w:kinsoku/>
        <w:wordWrap/>
        <w:overflowPunct/>
        <w:topLinePunct w:val="0"/>
        <w:bidi w:val="0"/>
        <w:jc w:val="center"/>
        <w:textAlignment w:val="auto"/>
        <w:outlineLvl w:val="9"/>
        <w:rPr>
          <w:rFonts w:hint="eastAsia" w:ascii="新宋体" w:hAnsi="新宋体" w:eastAsia="新宋体" w:cs="新宋体"/>
          <w:b/>
          <w:bCs/>
          <w:color w:val="auto"/>
          <w:sz w:val="84"/>
          <w:highlight w:val="none"/>
          <w:lang w:eastAsia="zh-CN"/>
        </w:rPr>
      </w:pPr>
      <w:r>
        <w:rPr>
          <w:rFonts w:hint="eastAsia" w:ascii="新宋体" w:hAnsi="新宋体" w:eastAsia="新宋体" w:cs="新宋体"/>
          <w:b/>
          <w:bCs/>
          <w:color w:val="auto"/>
          <w:sz w:val="84"/>
          <w:highlight w:val="none"/>
          <w:lang w:eastAsia="zh-CN"/>
        </w:rPr>
        <w:t>招标文件</w:t>
      </w:r>
    </w:p>
    <w:p w14:paraId="63E5AAF3">
      <w:pPr>
        <w:keepNext w:val="0"/>
        <w:keepLines w:val="0"/>
        <w:pageBreakBefore w:val="0"/>
        <w:tabs>
          <w:tab w:val="left" w:pos="9390"/>
        </w:tabs>
        <w:kinsoku/>
        <w:wordWrap/>
        <w:overflowPunct/>
        <w:topLinePunct w:val="0"/>
        <w:bidi w:val="0"/>
        <w:jc w:val="left"/>
        <w:textAlignment w:val="auto"/>
        <w:outlineLvl w:val="9"/>
        <w:rPr>
          <w:rFonts w:hint="eastAsia" w:ascii="新宋体" w:hAnsi="新宋体" w:eastAsia="新宋体" w:cs="新宋体"/>
          <w:color w:val="auto"/>
          <w:sz w:val="24"/>
          <w:highlight w:val="none"/>
          <w:lang w:eastAsia="zh-CN"/>
        </w:rPr>
      </w:pPr>
    </w:p>
    <w:p w14:paraId="2E3400B3">
      <w:pPr>
        <w:keepNext w:val="0"/>
        <w:keepLines w:val="0"/>
        <w:pageBreakBefore w:val="0"/>
        <w:tabs>
          <w:tab w:val="left" w:pos="9390"/>
        </w:tabs>
        <w:kinsoku/>
        <w:wordWrap/>
        <w:overflowPunct/>
        <w:topLinePunct w:val="0"/>
        <w:bidi w:val="0"/>
        <w:jc w:val="left"/>
        <w:textAlignment w:val="auto"/>
        <w:outlineLvl w:val="9"/>
        <w:rPr>
          <w:rFonts w:hint="eastAsia" w:ascii="新宋体" w:hAnsi="新宋体" w:eastAsia="新宋体" w:cs="新宋体"/>
          <w:color w:val="auto"/>
          <w:sz w:val="24"/>
          <w:highlight w:val="none"/>
          <w:lang w:eastAsia="zh-CN"/>
        </w:rPr>
      </w:pPr>
    </w:p>
    <w:p w14:paraId="31941323">
      <w:pPr>
        <w:keepNext w:val="0"/>
        <w:keepLines w:val="0"/>
        <w:pageBreakBefore w:val="0"/>
        <w:tabs>
          <w:tab w:val="left" w:pos="9390"/>
        </w:tabs>
        <w:kinsoku/>
        <w:wordWrap/>
        <w:overflowPunct/>
        <w:topLinePunct w:val="0"/>
        <w:bidi w:val="0"/>
        <w:jc w:val="left"/>
        <w:textAlignment w:val="auto"/>
        <w:outlineLvl w:val="9"/>
        <w:rPr>
          <w:rFonts w:hint="eastAsia" w:ascii="新宋体" w:hAnsi="新宋体" w:eastAsia="新宋体" w:cs="新宋体"/>
          <w:color w:val="auto"/>
          <w:sz w:val="24"/>
          <w:highlight w:val="none"/>
          <w:lang w:eastAsia="zh-CN"/>
        </w:rPr>
      </w:pPr>
    </w:p>
    <w:p w14:paraId="790F0690">
      <w:pPr>
        <w:pStyle w:val="24"/>
        <w:pageBreakBefore w:val="0"/>
        <w:kinsoku/>
        <w:overflowPunct/>
        <w:topLinePunct w:val="0"/>
        <w:bidi w:val="0"/>
        <w:ind w:left="0" w:leftChars="0" w:firstLine="0" w:firstLineChars="0"/>
        <w:textAlignment w:val="auto"/>
        <w:outlineLvl w:val="9"/>
        <w:rPr>
          <w:rFonts w:hint="eastAsia" w:ascii="新宋体" w:hAnsi="新宋体" w:eastAsia="新宋体" w:cs="新宋体"/>
          <w:color w:val="auto"/>
          <w:sz w:val="24"/>
          <w:highlight w:val="none"/>
          <w:lang w:eastAsia="zh-CN"/>
        </w:rPr>
      </w:pPr>
    </w:p>
    <w:p w14:paraId="64FFCE4B">
      <w:pPr>
        <w:pageBreakBefore w:val="0"/>
        <w:kinsoku/>
        <w:overflowPunct/>
        <w:topLinePunct w:val="0"/>
        <w:bidi w:val="0"/>
        <w:textAlignment w:val="auto"/>
        <w:outlineLvl w:val="9"/>
        <w:rPr>
          <w:rFonts w:hint="eastAsia" w:ascii="新宋体" w:hAnsi="新宋体" w:eastAsia="新宋体" w:cs="新宋体"/>
          <w:color w:val="auto"/>
          <w:highlight w:val="none"/>
          <w:lang w:eastAsia="zh-CN"/>
        </w:rPr>
      </w:pPr>
    </w:p>
    <w:p w14:paraId="6F5173A8">
      <w:pPr>
        <w:keepNext w:val="0"/>
        <w:keepLines w:val="0"/>
        <w:pageBreakBefore w:val="0"/>
        <w:tabs>
          <w:tab w:val="left" w:pos="9390"/>
        </w:tabs>
        <w:kinsoku/>
        <w:wordWrap/>
        <w:overflowPunct/>
        <w:topLinePunct w:val="0"/>
        <w:bidi w:val="0"/>
        <w:jc w:val="left"/>
        <w:textAlignment w:val="auto"/>
        <w:outlineLvl w:val="9"/>
        <w:rPr>
          <w:rFonts w:hint="eastAsia" w:ascii="新宋体" w:hAnsi="新宋体" w:eastAsia="新宋体" w:cs="新宋体"/>
          <w:color w:val="auto"/>
          <w:sz w:val="24"/>
          <w:highlight w:val="none"/>
          <w:lang w:eastAsia="zh-CN"/>
        </w:rPr>
      </w:pPr>
    </w:p>
    <w:tbl>
      <w:tblPr>
        <w:tblStyle w:val="27"/>
        <w:tblW w:w="40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292"/>
        <w:gridCol w:w="3689"/>
        <w:gridCol w:w="1096"/>
      </w:tblGrid>
      <w:tr w14:paraId="03FE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288" w:type="pct"/>
            <w:tcBorders>
              <w:top w:val="nil"/>
              <w:left w:val="nil"/>
              <w:bottom w:val="nil"/>
              <w:right w:val="nil"/>
            </w:tcBorders>
            <w:noWrap w:val="0"/>
            <w:vAlign w:val="bottom"/>
          </w:tcPr>
          <w:p w14:paraId="7C87066B">
            <w:pPr>
              <w:pStyle w:val="1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distribute"/>
              <w:textAlignment w:val="auto"/>
              <w:outlineLvl w:val="9"/>
              <w:rPr>
                <w:rFonts w:hint="eastAsia" w:ascii="新宋体" w:hAnsi="新宋体" w:eastAsia="新宋体" w:cs="新宋体"/>
                <w:b/>
                <w:bCs/>
                <w:color w:val="auto"/>
                <w:sz w:val="24"/>
                <w:szCs w:val="24"/>
                <w:highlight w:val="none"/>
                <w:u w:val="none"/>
                <w:vertAlign w:val="baseline"/>
              </w:rPr>
            </w:pPr>
            <w:r>
              <w:rPr>
                <w:rFonts w:hint="eastAsia" w:ascii="新宋体" w:hAnsi="新宋体" w:eastAsia="新宋体" w:cs="新宋体"/>
                <w:b/>
                <w:color w:val="auto"/>
                <w:sz w:val="24"/>
                <w:szCs w:val="24"/>
                <w:highlight w:val="none"/>
                <w:u w:val="none"/>
              </w:rPr>
              <w:t>采购项目名称</w:t>
            </w:r>
          </w:p>
        </w:tc>
        <w:tc>
          <w:tcPr>
            <w:tcW w:w="213" w:type="pct"/>
            <w:tcBorders>
              <w:top w:val="nil"/>
              <w:left w:val="nil"/>
              <w:bottom w:val="nil"/>
              <w:right w:val="nil"/>
            </w:tcBorders>
            <w:noWrap w:val="0"/>
            <w:vAlign w:val="bottom"/>
          </w:tcPr>
          <w:p w14:paraId="4672D111">
            <w:pPr>
              <w:pStyle w:val="1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color w:val="auto"/>
                <w:sz w:val="24"/>
                <w:szCs w:val="24"/>
                <w:highlight w:val="none"/>
                <w:u w:val="none"/>
                <w:vertAlign w:val="baseline"/>
              </w:rPr>
            </w:pPr>
            <w:r>
              <w:rPr>
                <w:rFonts w:hint="eastAsia" w:ascii="新宋体" w:hAnsi="新宋体" w:eastAsia="新宋体" w:cs="新宋体"/>
                <w:b/>
                <w:color w:val="auto"/>
                <w:sz w:val="24"/>
                <w:szCs w:val="24"/>
                <w:highlight w:val="none"/>
                <w:u w:val="none"/>
              </w:rPr>
              <w:t>：</w:t>
            </w:r>
          </w:p>
        </w:tc>
        <w:tc>
          <w:tcPr>
            <w:tcW w:w="3497" w:type="pct"/>
            <w:gridSpan w:val="2"/>
            <w:vMerge w:val="restart"/>
            <w:tcBorders>
              <w:top w:val="nil"/>
              <w:left w:val="nil"/>
              <w:right w:val="nil"/>
            </w:tcBorders>
            <w:noWrap w:val="0"/>
            <w:vAlign w:val="bottom"/>
          </w:tcPr>
          <w:p w14:paraId="46408A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outlineLvl w:val="9"/>
              <w:rPr>
                <w:rFonts w:hint="default" w:ascii="新宋体" w:hAnsi="新宋体" w:eastAsia="新宋体" w:cs="新宋体"/>
                <w:b/>
                <w:bCs/>
                <w:color w:val="auto"/>
                <w:sz w:val="22"/>
                <w:szCs w:val="22"/>
                <w:highlight w:val="none"/>
                <w:u w:val="none"/>
                <w:vertAlign w:val="baseline"/>
                <w:lang w:val="en-US" w:eastAsia="zh-CN"/>
              </w:rPr>
            </w:pPr>
            <w:r>
              <w:rPr>
                <w:rFonts w:hint="eastAsia" w:ascii="新宋体" w:hAnsi="新宋体" w:eastAsia="新宋体" w:cs="新宋体"/>
                <w:b/>
                <w:bCs/>
                <w:color w:val="auto"/>
                <w:spacing w:val="0"/>
                <w:w w:val="100"/>
                <w:sz w:val="24"/>
                <w:szCs w:val="24"/>
                <w:highlight w:val="none"/>
                <w:u w:val="none"/>
                <w:vertAlign w:val="baseline"/>
                <w:lang w:eastAsia="zh-CN"/>
              </w:rPr>
              <w:t>湘西自治州农业农村局2026年州本级高素质农民培育项目</w:t>
            </w:r>
          </w:p>
        </w:tc>
      </w:tr>
      <w:tr w14:paraId="0A5B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exact"/>
          <w:jc w:val="center"/>
        </w:trPr>
        <w:tc>
          <w:tcPr>
            <w:tcW w:w="1288" w:type="pct"/>
            <w:tcBorders>
              <w:top w:val="nil"/>
              <w:left w:val="nil"/>
              <w:bottom w:val="nil"/>
              <w:right w:val="nil"/>
            </w:tcBorders>
            <w:noWrap w:val="0"/>
            <w:vAlign w:val="bottom"/>
          </w:tcPr>
          <w:p w14:paraId="5DADBD90">
            <w:pPr>
              <w:pStyle w:val="1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distribute"/>
              <w:textAlignment w:val="auto"/>
              <w:outlineLvl w:val="9"/>
              <w:rPr>
                <w:rFonts w:hint="eastAsia" w:ascii="新宋体" w:hAnsi="新宋体" w:eastAsia="新宋体" w:cs="新宋体"/>
                <w:b/>
                <w:color w:val="auto"/>
                <w:sz w:val="24"/>
                <w:szCs w:val="24"/>
                <w:highlight w:val="none"/>
                <w:u w:val="none"/>
              </w:rPr>
            </w:pPr>
          </w:p>
        </w:tc>
        <w:tc>
          <w:tcPr>
            <w:tcW w:w="213" w:type="pct"/>
            <w:tcBorders>
              <w:top w:val="nil"/>
              <w:left w:val="nil"/>
              <w:bottom w:val="nil"/>
              <w:right w:val="nil"/>
            </w:tcBorders>
            <w:noWrap w:val="0"/>
            <w:vAlign w:val="bottom"/>
          </w:tcPr>
          <w:p w14:paraId="633BB162">
            <w:pPr>
              <w:pStyle w:val="1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color w:val="auto"/>
                <w:sz w:val="24"/>
                <w:szCs w:val="24"/>
                <w:highlight w:val="none"/>
                <w:u w:val="none"/>
              </w:rPr>
            </w:pPr>
          </w:p>
        </w:tc>
        <w:tc>
          <w:tcPr>
            <w:tcW w:w="3497" w:type="pct"/>
            <w:gridSpan w:val="2"/>
            <w:vMerge w:val="continue"/>
            <w:tcBorders>
              <w:left w:val="nil"/>
              <w:bottom w:val="nil"/>
              <w:right w:val="nil"/>
            </w:tcBorders>
            <w:noWrap w:val="0"/>
            <w:vAlign w:val="bottom"/>
          </w:tcPr>
          <w:p w14:paraId="7AC113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distribute"/>
              <w:textAlignment w:val="auto"/>
              <w:outlineLvl w:val="9"/>
              <w:rPr>
                <w:rFonts w:hint="eastAsia" w:ascii="新宋体" w:hAnsi="新宋体" w:eastAsia="新宋体" w:cs="新宋体"/>
                <w:b/>
                <w:bCs/>
                <w:color w:val="auto"/>
                <w:spacing w:val="0"/>
                <w:w w:val="100"/>
                <w:sz w:val="24"/>
                <w:szCs w:val="24"/>
                <w:highlight w:val="none"/>
                <w:u w:val="none"/>
                <w:vertAlign w:val="baseline"/>
                <w:lang w:eastAsia="zh-CN"/>
              </w:rPr>
            </w:pPr>
          </w:p>
        </w:tc>
      </w:tr>
      <w:tr w14:paraId="49C7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exact"/>
          <w:jc w:val="center"/>
        </w:trPr>
        <w:tc>
          <w:tcPr>
            <w:tcW w:w="1288" w:type="pct"/>
            <w:tcBorders>
              <w:top w:val="nil"/>
              <w:left w:val="nil"/>
              <w:bottom w:val="nil"/>
              <w:right w:val="nil"/>
            </w:tcBorders>
            <w:noWrap w:val="0"/>
            <w:vAlign w:val="bottom"/>
          </w:tcPr>
          <w:p w14:paraId="393377E6">
            <w:pPr>
              <w:pStyle w:val="1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distribute"/>
              <w:textAlignment w:val="auto"/>
              <w:outlineLvl w:val="9"/>
              <w:rPr>
                <w:rFonts w:hint="eastAsia" w:ascii="新宋体" w:hAnsi="新宋体" w:eastAsia="新宋体" w:cs="新宋体"/>
                <w:b/>
                <w:bCs/>
                <w:color w:val="auto"/>
                <w:sz w:val="24"/>
                <w:szCs w:val="24"/>
                <w:highlight w:val="none"/>
                <w:u w:val="none"/>
                <w:vertAlign w:val="baseline"/>
                <w:lang w:eastAsia="zh-CN"/>
              </w:rPr>
            </w:pPr>
            <w:r>
              <w:rPr>
                <w:rFonts w:hint="eastAsia" w:ascii="新宋体" w:hAnsi="新宋体" w:eastAsia="新宋体" w:cs="新宋体"/>
                <w:b/>
                <w:color w:val="auto"/>
                <w:sz w:val="24"/>
                <w:szCs w:val="24"/>
                <w:highlight w:val="none"/>
                <w:u w:val="none"/>
                <w:lang w:eastAsia="zh-CN"/>
              </w:rPr>
              <w:t>政府采购计划编号</w:t>
            </w:r>
          </w:p>
        </w:tc>
        <w:tc>
          <w:tcPr>
            <w:tcW w:w="213" w:type="pct"/>
            <w:tcBorders>
              <w:top w:val="nil"/>
              <w:left w:val="nil"/>
              <w:bottom w:val="nil"/>
              <w:right w:val="nil"/>
            </w:tcBorders>
            <w:noWrap w:val="0"/>
            <w:vAlign w:val="bottom"/>
          </w:tcPr>
          <w:p w14:paraId="0963B71D">
            <w:pPr>
              <w:pStyle w:val="1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color w:val="auto"/>
                <w:sz w:val="24"/>
                <w:szCs w:val="24"/>
                <w:highlight w:val="none"/>
                <w:u w:val="none"/>
                <w:vertAlign w:val="baseline"/>
              </w:rPr>
            </w:pPr>
            <w:r>
              <w:rPr>
                <w:rFonts w:hint="eastAsia" w:ascii="新宋体" w:hAnsi="新宋体" w:eastAsia="新宋体" w:cs="新宋体"/>
                <w:b/>
                <w:color w:val="auto"/>
                <w:sz w:val="24"/>
                <w:szCs w:val="24"/>
                <w:highlight w:val="none"/>
                <w:u w:val="none"/>
              </w:rPr>
              <w:t>：</w:t>
            </w:r>
          </w:p>
        </w:tc>
        <w:tc>
          <w:tcPr>
            <w:tcW w:w="3497" w:type="pct"/>
            <w:gridSpan w:val="2"/>
            <w:tcBorders>
              <w:top w:val="nil"/>
              <w:left w:val="nil"/>
              <w:bottom w:val="nil"/>
              <w:right w:val="nil"/>
            </w:tcBorders>
            <w:noWrap w:val="0"/>
            <w:vAlign w:val="bottom"/>
          </w:tcPr>
          <w:p w14:paraId="62E62F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outlineLvl w:val="9"/>
              <w:rPr>
                <w:rFonts w:hint="eastAsia" w:ascii="新宋体" w:hAnsi="新宋体" w:eastAsia="新宋体" w:cs="新宋体"/>
                <w:b/>
                <w:color w:val="auto"/>
                <w:sz w:val="24"/>
                <w:szCs w:val="24"/>
                <w:highlight w:val="none"/>
                <w:u w:val="none"/>
                <w:lang w:eastAsia="zh-CN"/>
              </w:rPr>
            </w:pPr>
            <w:r>
              <w:rPr>
                <w:rFonts w:hint="eastAsia" w:ascii="新宋体" w:hAnsi="新宋体" w:eastAsia="新宋体" w:cs="新宋体"/>
                <w:b/>
                <w:color w:val="auto"/>
                <w:sz w:val="24"/>
                <w:szCs w:val="24"/>
                <w:highlight w:val="none"/>
                <w:u w:val="none"/>
                <w:lang w:eastAsia="zh-CN"/>
              </w:rPr>
              <w:t>包</w:t>
            </w:r>
            <w:r>
              <w:rPr>
                <w:rFonts w:hint="eastAsia" w:ascii="新宋体" w:hAnsi="新宋体" w:eastAsia="新宋体" w:cs="新宋体"/>
                <w:b/>
                <w:color w:val="auto"/>
                <w:sz w:val="24"/>
                <w:szCs w:val="24"/>
                <w:highlight w:val="none"/>
                <w:u w:val="none"/>
                <w:lang w:val="en-US" w:eastAsia="zh-CN"/>
              </w:rPr>
              <w:t>1：</w:t>
            </w:r>
            <w:r>
              <w:rPr>
                <w:rFonts w:hint="eastAsia" w:ascii="新宋体" w:hAnsi="新宋体" w:eastAsia="新宋体" w:cs="新宋体"/>
                <w:b/>
                <w:color w:val="auto"/>
                <w:sz w:val="24"/>
                <w:szCs w:val="24"/>
                <w:highlight w:val="none"/>
                <w:u w:val="none"/>
                <w:lang w:eastAsia="zh-CN"/>
              </w:rPr>
              <w:t>（2026）433100000004-1</w:t>
            </w:r>
          </w:p>
          <w:p w14:paraId="34E94E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outlineLvl w:val="9"/>
              <w:rPr>
                <w:rFonts w:hint="eastAsia" w:ascii="新宋体" w:hAnsi="新宋体" w:eastAsia="新宋体" w:cs="新宋体"/>
                <w:b/>
                <w:color w:val="auto"/>
                <w:sz w:val="24"/>
                <w:szCs w:val="24"/>
                <w:highlight w:val="none"/>
                <w:u w:val="none"/>
                <w:lang w:eastAsia="zh-CN"/>
              </w:rPr>
            </w:pPr>
            <w:r>
              <w:rPr>
                <w:rFonts w:hint="eastAsia" w:ascii="新宋体" w:hAnsi="新宋体" w:eastAsia="新宋体" w:cs="新宋体"/>
                <w:b/>
                <w:color w:val="auto"/>
                <w:sz w:val="24"/>
                <w:szCs w:val="24"/>
                <w:highlight w:val="none"/>
                <w:u w:val="none"/>
                <w:lang w:eastAsia="zh-CN"/>
              </w:rPr>
              <w:t>包</w:t>
            </w:r>
            <w:r>
              <w:rPr>
                <w:rFonts w:hint="eastAsia" w:ascii="新宋体" w:hAnsi="新宋体" w:eastAsia="新宋体" w:cs="新宋体"/>
                <w:b/>
                <w:color w:val="auto"/>
                <w:sz w:val="24"/>
                <w:szCs w:val="24"/>
                <w:highlight w:val="none"/>
                <w:u w:val="none"/>
                <w:lang w:val="en-US" w:eastAsia="zh-CN"/>
              </w:rPr>
              <w:t>2：</w:t>
            </w:r>
            <w:r>
              <w:rPr>
                <w:rFonts w:hint="eastAsia" w:ascii="新宋体" w:hAnsi="新宋体" w:eastAsia="新宋体" w:cs="新宋体"/>
                <w:b/>
                <w:color w:val="auto"/>
                <w:sz w:val="24"/>
                <w:szCs w:val="24"/>
                <w:highlight w:val="none"/>
                <w:u w:val="none"/>
                <w:lang w:eastAsia="zh-CN"/>
              </w:rPr>
              <w:t>（2026）433100000004-2</w:t>
            </w:r>
          </w:p>
          <w:p w14:paraId="1C6D9B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outlineLvl w:val="9"/>
              <w:rPr>
                <w:rFonts w:hint="default" w:ascii="新宋体" w:hAnsi="新宋体" w:eastAsia="新宋体" w:cs="新宋体"/>
                <w:b/>
                <w:color w:val="auto"/>
                <w:sz w:val="24"/>
                <w:szCs w:val="24"/>
                <w:highlight w:val="none"/>
                <w:u w:val="none"/>
                <w:lang w:val="en-US" w:eastAsia="zh-CN"/>
              </w:rPr>
            </w:pPr>
            <w:r>
              <w:rPr>
                <w:rFonts w:hint="eastAsia" w:ascii="新宋体" w:hAnsi="新宋体" w:eastAsia="新宋体" w:cs="新宋体"/>
                <w:b/>
                <w:color w:val="auto"/>
                <w:sz w:val="24"/>
                <w:szCs w:val="24"/>
                <w:highlight w:val="none"/>
                <w:u w:val="none"/>
                <w:lang w:eastAsia="zh-CN"/>
              </w:rPr>
              <w:t>包</w:t>
            </w:r>
            <w:r>
              <w:rPr>
                <w:rFonts w:hint="eastAsia" w:ascii="新宋体" w:hAnsi="新宋体" w:eastAsia="新宋体" w:cs="新宋体"/>
                <w:b/>
                <w:color w:val="auto"/>
                <w:sz w:val="24"/>
                <w:szCs w:val="24"/>
                <w:highlight w:val="none"/>
                <w:u w:val="none"/>
                <w:lang w:val="en-US" w:eastAsia="zh-CN"/>
              </w:rPr>
              <w:t>3：</w:t>
            </w:r>
            <w:r>
              <w:rPr>
                <w:rFonts w:hint="eastAsia" w:ascii="新宋体" w:hAnsi="新宋体" w:eastAsia="新宋体" w:cs="新宋体"/>
                <w:b/>
                <w:color w:val="auto"/>
                <w:sz w:val="24"/>
                <w:szCs w:val="24"/>
                <w:highlight w:val="none"/>
                <w:u w:val="none"/>
                <w:lang w:eastAsia="zh-CN"/>
              </w:rPr>
              <w:t>（2026）433100000004-3</w:t>
            </w:r>
          </w:p>
        </w:tc>
      </w:tr>
      <w:tr w14:paraId="3EDC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288" w:type="pct"/>
            <w:tcBorders>
              <w:top w:val="nil"/>
              <w:left w:val="nil"/>
              <w:bottom w:val="nil"/>
              <w:right w:val="nil"/>
            </w:tcBorders>
            <w:noWrap w:val="0"/>
            <w:vAlign w:val="bottom"/>
          </w:tcPr>
          <w:p w14:paraId="133DC5A7">
            <w:pPr>
              <w:pStyle w:val="1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distribute"/>
              <w:textAlignment w:val="auto"/>
              <w:outlineLvl w:val="9"/>
              <w:rPr>
                <w:rFonts w:hint="eastAsia" w:ascii="新宋体" w:hAnsi="新宋体" w:eastAsia="新宋体" w:cs="新宋体"/>
                <w:b/>
                <w:bCs/>
                <w:color w:val="auto"/>
                <w:sz w:val="24"/>
                <w:szCs w:val="24"/>
                <w:highlight w:val="none"/>
                <w:u w:val="none"/>
                <w:vertAlign w:val="baseline"/>
              </w:rPr>
            </w:pPr>
            <w:r>
              <w:rPr>
                <w:rFonts w:hint="eastAsia" w:ascii="新宋体" w:hAnsi="新宋体" w:eastAsia="新宋体" w:cs="新宋体"/>
                <w:b/>
                <w:color w:val="auto"/>
                <w:sz w:val="24"/>
                <w:szCs w:val="24"/>
                <w:highlight w:val="none"/>
                <w:u w:val="none"/>
              </w:rPr>
              <w:t>采购代理编号</w:t>
            </w:r>
          </w:p>
        </w:tc>
        <w:tc>
          <w:tcPr>
            <w:tcW w:w="213" w:type="pct"/>
            <w:tcBorders>
              <w:top w:val="nil"/>
              <w:left w:val="nil"/>
              <w:bottom w:val="nil"/>
              <w:right w:val="nil"/>
            </w:tcBorders>
            <w:noWrap w:val="0"/>
            <w:vAlign w:val="bottom"/>
          </w:tcPr>
          <w:p w14:paraId="12A3C815">
            <w:pPr>
              <w:pStyle w:val="1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color w:val="auto"/>
                <w:sz w:val="24"/>
                <w:szCs w:val="24"/>
                <w:highlight w:val="none"/>
                <w:u w:val="none"/>
                <w:vertAlign w:val="baseline"/>
              </w:rPr>
            </w:pPr>
            <w:r>
              <w:rPr>
                <w:rFonts w:hint="eastAsia" w:ascii="新宋体" w:hAnsi="新宋体" w:eastAsia="新宋体" w:cs="新宋体"/>
                <w:b/>
                <w:color w:val="auto"/>
                <w:sz w:val="24"/>
                <w:szCs w:val="24"/>
                <w:highlight w:val="none"/>
                <w:u w:val="none"/>
              </w:rPr>
              <w:t>：</w:t>
            </w:r>
          </w:p>
        </w:tc>
        <w:tc>
          <w:tcPr>
            <w:tcW w:w="3497" w:type="pct"/>
            <w:gridSpan w:val="2"/>
            <w:tcBorders>
              <w:top w:val="nil"/>
              <w:left w:val="nil"/>
              <w:bottom w:val="nil"/>
              <w:right w:val="nil"/>
            </w:tcBorders>
            <w:noWrap w:val="0"/>
            <w:vAlign w:val="bottom"/>
          </w:tcPr>
          <w:p w14:paraId="03B474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outlineLvl w:val="9"/>
              <w:rPr>
                <w:rFonts w:hint="eastAsia" w:ascii="新宋体" w:hAnsi="新宋体" w:eastAsia="新宋体" w:cs="新宋体"/>
                <w:b/>
                <w:color w:val="auto"/>
                <w:sz w:val="24"/>
                <w:szCs w:val="24"/>
                <w:highlight w:val="none"/>
                <w:u w:val="none"/>
                <w:lang w:val="en-US" w:eastAsia="zh-CN"/>
              </w:rPr>
            </w:pPr>
            <w:r>
              <w:rPr>
                <w:rFonts w:hint="eastAsia" w:ascii="新宋体" w:hAnsi="新宋体" w:eastAsia="新宋体" w:cs="新宋体"/>
                <w:b/>
                <w:color w:val="auto"/>
                <w:sz w:val="24"/>
                <w:szCs w:val="24"/>
                <w:highlight w:val="none"/>
                <w:u w:val="none"/>
                <w:lang w:val="en-US" w:eastAsia="zh-CN"/>
              </w:rPr>
              <w:t>HNDRCG-2026-026</w:t>
            </w:r>
          </w:p>
        </w:tc>
      </w:tr>
      <w:tr w14:paraId="38D3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288" w:type="pct"/>
            <w:tcBorders>
              <w:top w:val="nil"/>
              <w:left w:val="nil"/>
              <w:bottom w:val="nil"/>
              <w:right w:val="nil"/>
            </w:tcBorders>
            <w:noWrap w:val="0"/>
            <w:vAlign w:val="bottom"/>
          </w:tcPr>
          <w:p w14:paraId="19B8E0B1">
            <w:pPr>
              <w:pStyle w:val="1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distribute"/>
              <w:textAlignment w:val="auto"/>
              <w:outlineLvl w:val="9"/>
              <w:rPr>
                <w:rFonts w:hint="eastAsia" w:ascii="新宋体" w:hAnsi="新宋体" w:eastAsia="新宋体" w:cs="新宋体"/>
                <w:b/>
                <w:bCs/>
                <w:color w:val="auto"/>
                <w:sz w:val="24"/>
                <w:szCs w:val="24"/>
                <w:highlight w:val="none"/>
                <w:u w:val="none"/>
                <w:vertAlign w:val="baseline"/>
              </w:rPr>
            </w:pPr>
            <w:r>
              <w:rPr>
                <w:rFonts w:hint="eastAsia" w:ascii="新宋体" w:hAnsi="新宋体" w:eastAsia="新宋体" w:cs="新宋体"/>
                <w:b/>
                <w:color w:val="auto"/>
                <w:sz w:val="24"/>
                <w:szCs w:val="24"/>
                <w:highlight w:val="none"/>
                <w:u w:val="none"/>
              </w:rPr>
              <w:t>采购人</w:t>
            </w:r>
          </w:p>
        </w:tc>
        <w:tc>
          <w:tcPr>
            <w:tcW w:w="213" w:type="pct"/>
            <w:tcBorders>
              <w:top w:val="nil"/>
              <w:left w:val="nil"/>
              <w:bottom w:val="nil"/>
              <w:right w:val="nil"/>
            </w:tcBorders>
            <w:noWrap w:val="0"/>
            <w:vAlign w:val="bottom"/>
          </w:tcPr>
          <w:p w14:paraId="2DFCC34B">
            <w:pPr>
              <w:pStyle w:val="1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color w:val="auto"/>
                <w:sz w:val="24"/>
                <w:szCs w:val="24"/>
                <w:highlight w:val="none"/>
                <w:u w:val="none"/>
                <w:vertAlign w:val="baseline"/>
              </w:rPr>
            </w:pPr>
            <w:r>
              <w:rPr>
                <w:rFonts w:hint="eastAsia" w:ascii="新宋体" w:hAnsi="新宋体" w:eastAsia="新宋体" w:cs="新宋体"/>
                <w:b/>
                <w:color w:val="auto"/>
                <w:sz w:val="24"/>
                <w:szCs w:val="24"/>
                <w:highlight w:val="none"/>
                <w:u w:val="none"/>
              </w:rPr>
              <w:t>：</w:t>
            </w:r>
          </w:p>
        </w:tc>
        <w:tc>
          <w:tcPr>
            <w:tcW w:w="3497" w:type="pct"/>
            <w:gridSpan w:val="2"/>
            <w:tcBorders>
              <w:top w:val="nil"/>
              <w:left w:val="nil"/>
              <w:bottom w:val="nil"/>
              <w:right w:val="nil"/>
            </w:tcBorders>
            <w:noWrap w:val="0"/>
            <w:vAlign w:val="bottom"/>
          </w:tcPr>
          <w:p w14:paraId="06862E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outlineLvl w:val="9"/>
              <w:rPr>
                <w:rFonts w:hint="eastAsia" w:ascii="新宋体" w:hAnsi="新宋体" w:eastAsia="新宋体" w:cs="新宋体"/>
                <w:b/>
                <w:color w:val="auto"/>
                <w:sz w:val="24"/>
                <w:szCs w:val="24"/>
                <w:highlight w:val="none"/>
                <w:u w:val="none"/>
                <w:lang w:eastAsia="zh-CN"/>
              </w:rPr>
            </w:pPr>
            <w:r>
              <w:rPr>
                <w:rFonts w:hint="eastAsia" w:ascii="新宋体" w:hAnsi="新宋体" w:eastAsia="新宋体" w:cs="新宋体"/>
                <w:b/>
                <w:color w:val="auto"/>
                <w:sz w:val="24"/>
                <w:szCs w:val="24"/>
                <w:highlight w:val="none"/>
                <w:u w:val="none"/>
                <w:lang w:eastAsia="zh-CN"/>
              </w:rPr>
              <w:t>湘西土家族苗族自治州农业农村局</w:t>
            </w:r>
          </w:p>
        </w:tc>
      </w:tr>
      <w:tr w14:paraId="091C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288" w:type="pct"/>
            <w:tcBorders>
              <w:top w:val="nil"/>
              <w:left w:val="nil"/>
              <w:bottom w:val="nil"/>
              <w:right w:val="nil"/>
            </w:tcBorders>
            <w:noWrap w:val="0"/>
            <w:vAlign w:val="bottom"/>
          </w:tcPr>
          <w:p w14:paraId="6A2A5CA6">
            <w:pPr>
              <w:pStyle w:val="1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distribute"/>
              <w:textAlignment w:val="auto"/>
              <w:outlineLvl w:val="9"/>
              <w:rPr>
                <w:rFonts w:hint="eastAsia" w:ascii="新宋体" w:hAnsi="新宋体" w:eastAsia="新宋体" w:cs="新宋体"/>
                <w:b/>
                <w:bCs/>
                <w:color w:val="auto"/>
                <w:sz w:val="24"/>
                <w:szCs w:val="24"/>
                <w:highlight w:val="none"/>
                <w:u w:val="none"/>
                <w:vertAlign w:val="baseline"/>
              </w:rPr>
            </w:pPr>
            <w:r>
              <w:rPr>
                <w:rFonts w:hint="eastAsia" w:ascii="新宋体" w:hAnsi="新宋体" w:eastAsia="新宋体" w:cs="新宋体"/>
                <w:b/>
                <w:color w:val="auto"/>
                <w:sz w:val="24"/>
                <w:szCs w:val="24"/>
                <w:highlight w:val="none"/>
                <w:u w:val="none"/>
              </w:rPr>
              <w:t>采购代理机构</w:t>
            </w:r>
          </w:p>
        </w:tc>
        <w:tc>
          <w:tcPr>
            <w:tcW w:w="213" w:type="pct"/>
            <w:tcBorders>
              <w:top w:val="nil"/>
              <w:left w:val="nil"/>
              <w:bottom w:val="nil"/>
              <w:right w:val="nil"/>
            </w:tcBorders>
            <w:noWrap w:val="0"/>
            <w:vAlign w:val="bottom"/>
          </w:tcPr>
          <w:p w14:paraId="06F07F19">
            <w:pPr>
              <w:pStyle w:val="1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color w:val="auto"/>
                <w:sz w:val="24"/>
                <w:szCs w:val="24"/>
                <w:highlight w:val="none"/>
                <w:u w:val="none"/>
                <w:vertAlign w:val="baseline"/>
              </w:rPr>
            </w:pPr>
            <w:r>
              <w:rPr>
                <w:rFonts w:hint="eastAsia" w:ascii="新宋体" w:hAnsi="新宋体" w:eastAsia="新宋体" w:cs="新宋体"/>
                <w:b/>
                <w:color w:val="auto"/>
                <w:sz w:val="24"/>
                <w:szCs w:val="24"/>
                <w:highlight w:val="none"/>
                <w:u w:val="none"/>
              </w:rPr>
              <w:t>：</w:t>
            </w:r>
          </w:p>
        </w:tc>
        <w:tc>
          <w:tcPr>
            <w:tcW w:w="2696" w:type="pct"/>
            <w:tcBorders>
              <w:top w:val="nil"/>
              <w:left w:val="nil"/>
              <w:bottom w:val="nil"/>
              <w:right w:val="nil"/>
            </w:tcBorders>
            <w:noWrap w:val="0"/>
            <w:vAlign w:val="bottom"/>
          </w:tcPr>
          <w:p w14:paraId="7E9C70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outlineLvl w:val="9"/>
              <w:rPr>
                <w:rFonts w:hint="eastAsia" w:ascii="新宋体" w:hAnsi="新宋体" w:eastAsia="新宋体" w:cs="新宋体"/>
                <w:b/>
                <w:bCs/>
                <w:color w:val="auto"/>
                <w:sz w:val="24"/>
                <w:szCs w:val="24"/>
                <w:highlight w:val="none"/>
                <w:u w:val="none"/>
                <w:vertAlign w:val="baseline"/>
              </w:rPr>
            </w:pPr>
            <w:r>
              <w:rPr>
                <w:rFonts w:hint="eastAsia" w:ascii="新宋体" w:hAnsi="新宋体" w:eastAsia="新宋体" w:cs="新宋体"/>
                <w:b/>
                <w:color w:val="auto"/>
                <w:sz w:val="24"/>
                <w:szCs w:val="24"/>
                <w:highlight w:val="none"/>
                <w:u w:val="none"/>
              </w:rPr>
              <w:t>湖南大锐工程项目管理有限公司</w:t>
            </w:r>
          </w:p>
        </w:tc>
        <w:tc>
          <w:tcPr>
            <w:tcW w:w="801" w:type="pct"/>
            <w:tcBorders>
              <w:top w:val="nil"/>
              <w:left w:val="nil"/>
              <w:bottom w:val="nil"/>
              <w:right w:val="nil"/>
            </w:tcBorders>
            <w:noWrap w:val="0"/>
            <w:vAlign w:val="bottom"/>
          </w:tcPr>
          <w:p w14:paraId="640D77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outlineLvl w:val="9"/>
              <w:rPr>
                <w:rFonts w:hint="eastAsia" w:ascii="新宋体" w:hAnsi="新宋体" w:eastAsia="新宋体" w:cs="新宋体"/>
                <w:b/>
                <w:color w:val="auto"/>
                <w:sz w:val="24"/>
                <w:szCs w:val="24"/>
                <w:highlight w:val="none"/>
                <w:u w:val="none"/>
              </w:rPr>
            </w:pPr>
          </w:p>
        </w:tc>
      </w:tr>
    </w:tbl>
    <w:p w14:paraId="6897F7C0">
      <w:pPr>
        <w:keepNext w:val="0"/>
        <w:keepLines w:val="0"/>
        <w:pageBreakBefore w:val="0"/>
        <w:kinsoku/>
        <w:wordWrap/>
        <w:overflowPunct/>
        <w:topLinePunct w:val="0"/>
        <w:bidi w:val="0"/>
        <w:jc w:val="left"/>
        <w:textAlignment w:val="auto"/>
        <w:outlineLvl w:val="9"/>
        <w:rPr>
          <w:rFonts w:hint="eastAsia" w:ascii="新宋体" w:hAnsi="新宋体" w:eastAsia="新宋体" w:cs="新宋体"/>
          <w:color w:val="auto"/>
          <w:sz w:val="24"/>
          <w:highlight w:val="none"/>
          <w:lang w:val="en-US" w:eastAsia="zh-CN"/>
        </w:rPr>
      </w:pPr>
      <w:r>
        <w:rPr>
          <w:rFonts w:hint="eastAsia" w:ascii="新宋体" w:hAnsi="新宋体" w:eastAsia="新宋体" w:cs="新宋体"/>
          <w:color w:val="auto"/>
          <w:sz w:val="24"/>
          <w:highlight w:val="none"/>
          <w:lang w:val="en-US" w:eastAsia="zh-CN"/>
        </w:rPr>
        <w:t>.</w:t>
      </w:r>
    </w:p>
    <w:p w14:paraId="0C7E8077">
      <w:pPr>
        <w:pStyle w:val="24"/>
        <w:pageBreakBefore w:val="0"/>
        <w:kinsoku/>
        <w:overflowPunct/>
        <w:topLinePunct w:val="0"/>
        <w:bidi w:val="0"/>
        <w:textAlignment w:val="auto"/>
        <w:outlineLvl w:val="9"/>
        <w:rPr>
          <w:rFonts w:hint="eastAsia" w:ascii="新宋体" w:hAnsi="新宋体" w:eastAsia="新宋体" w:cs="新宋体"/>
          <w:color w:val="auto"/>
          <w:sz w:val="24"/>
          <w:highlight w:val="none"/>
          <w:lang w:val="en-US" w:eastAsia="zh-CN"/>
        </w:rPr>
      </w:pPr>
    </w:p>
    <w:p w14:paraId="07924256">
      <w:pPr>
        <w:pageBreakBefore w:val="0"/>
        <w:kinsoku/>
        <w:overflowPunct/>
        <w:topLinePunct w:val="0"/>
        <w:bidi w:val="0"/>
        <w:textAlignment w:val="auto"/>
        <w:outlineLvl w:val="9"/>
        <w:rPr>
          <w:rFonts w:hint="eastAsia" w:ascii="新宋体" w:hAnsi="新宋体" w:eastAsia="新宋体" w:cs="新宋体"/>
          <w:color w:val="auto"/>
          <w:sz w:val="24"/>
          <w:highlight w:val="none"/>
          <w:lang w:val="en-US" w:eastAsia="zh-CN"/>
        </w:rPr>
      </w:pPr>
    </w:p>
    <w:tbl>
      <w:tblPr>
        <w:tblStyle w:val="27"/>
        <w:tblW w:w="0" w:type="auto"/>
        <w:tblInd w:w="26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29"/>
      </w:tblGrid>
      <w:tr w14:paraId="1597F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4029" w:type="dxa"/>
            <w:noWrap w:val="0"/>
            <w:vAlign w:val="top"/>
          </w:tcPr>
          <w:p w14:paraId="25FBA14C">
            <w:pPr>
              <w:pStyle w:val="24"/>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ind w:left="0" w:leftChars="0" w:right="0" w:firstLine="0" w:firstLineChars="0"/>
              <w:jc w:val="distribute"/>
              <w:textAlignment w:val="auto"/>
              <w:outlineLvl w:val="9"/>
              <w:rPr>
                <w:rFonts w:hint="eastAsia" w:ascii="新宋体" w:hAnsi="新宋体" w:eastAsia="新宋体" w:cs="新宋体"/>
                <w:color w:val="auto"/>
                <w:highlight w:val="none"/>
                <w:vertAlign w:val="baseline"/>
                <w:lang w:eastAsia="zh-CN"/>
              </w:rPr>
            </w:pPr>
            <w:r>
              <w:rPr>
                <w:rFonts w:hint="eastAsia" w:ascii="新宋体" w:hAnsi="新宋体" w:eastAsia="新宋体" w:cs="新宋体"/>
                <w:b/>
                <w:bCs/>
                <w:color w:val="auto"/>
                <w:sz w:val="28"/>
                <w:szCs w:val="22"/>
                <w:highlight w:val="none"/>
                <w:u w:val="none"/>
                <w:lang w:eastAsia="zh-CN"/>
              </w:rPr>
              <w:t>日期：二○二</w:t>
            </w:r>
            <w:r>
              <w:rPr>
                <w:rFonts w:hint="eastAsia" w:ascii="新宋体" w:hAnsi="新宋体" w:eastAsia="新宋体" w:cs="新宋体"/>
                <w:b/>
                <w:bCs/>
                <w:color w:val="auto"/>
                <w:sz w:val="28"/>
                <w:szCs w:val="22"/>
                <w:highlight w:val="none"/>
                <w:u w:val="none"/>
                <w:lang w:val="en-US" w:eastAsia="zh-CN"/>
              </w:rPr>
              <w:t>六</w:t>
            </w:r>
            <w:r>
              <w:rPr>
                <w:rFonts w:hint="eastAsia" w:ascii="新宋体" w:hAnsi="新宋体" w:eastAsia="新宋体" w:cs="新宋体"/>
                <w:b/>
                <w:bCs/>
                <w:color w:val="auto"/>
                <w:sz w:val="28"/>
                <w:szCs w:val="22"/>
                <w:highlight w:val="none"/>
                <w:u w:val="none"/>
                <w:lang w:eastAsia="zh-CN"/>
              </w:rPr>
              <w:t>年</w:t>
            </w:r>
            <w:r>
              <w:rPr>
                <w:rFonts w:hint="eastAsia" w:ascii="新宋体" w:hAnsi="新宋体" w:eastAsia="新宋体" w:cs="新宋体"/>
                <w:b/>
                <w:bCs/>
                <w:color w:val="auto"/>
                <w:sz w:val="28"/>
                <w:szCs w:val="22"/>
                <w:highlight w:val="none"/>
                <w:u w:val="none"/>
                <w:lang w:val="en-US" w:eastAsia="zh-CN"/>
              </w:rPr>
              <w:t>八</w:t>
            </w:r>
            <w:r>
              <w:rPr>
                <w:rFonts w:hint="eastAsia" w:ascii="新宋体" w:hAnsi="新宋体" w:eastAsia="新宋体" w:cs="新宋体"/>
                <w:b/>
                <w:bCs/>
                <w:color w:val="auto"/>
                <w:sz w:val="28"/>
                <w:szCs w:val="22"/>
                <w:highlight w:val="none"/>
                <w:u w:val="none"/>
                <w:lang w:eastAsia="zh-CN"/>
              </w:rPr>
              <w:t>月</w:t>
            </w:r>
          </w:p>
        </w:tc>
      </w:tr>
    </w:tbl>
    <w:p w14:paraId="5E4C696E">
      <w:pPr>
        <w:pStyle w:val="12"/>
        <w:pageBreakBefore w:val="0"/>
        <w:kinsoku/>
        <w:overflowPunct/>
        <w:topLinePunct w:val="0"/>
        <w:bidi w:val="0"/>
        <w:adjustRightInd w:val="0"/>
        <w:snapToGrid w:val="0"/>
        <w:spacing w:line="240" w:lineRule="atLeast"/>
        <w:jc w:val="both"/>
        <w:textAlignment w:val="auto"/>
        <w:outlineLvl w:val="9"/>
        <w:rPr>
          <w:rFonts w:hint="eastAsia" w:ascii="新宋体" w:hAnsi="新宋体" w:eastAsia="新宋体" w:cs="新宋体"/>
          <w:color w:val="auto"/>
          <w:highlight w:val="none"/>
        </w:rPr>
      </w:pPr>
    </w:p>
    <w:p w14:paraId="5FC7667B">
      <w:pPr>
        <w:pStyle w:val="12"/>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b/>
          <w:color w:val="auto"/>
          <w:spacing w:val="160"/>
          <w:sz w:val="36"/>
          <w:szCs w:val="36"/>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14:paraId="246D996E">
      <w:pPr>
        <w:pStyle w:val="12"/>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b/>
          <w:color w:val="auto"/>
          <w:spacing w:val="160"/>
          <w:sz w:val="36"/>
          <w:szCs w:val="36"/>
          <w:highlight w:val="none"/>
        </w:rPr>
      </w:pPr>
      <w:r>
        <w:rPr>
          <w:rFonts w:hint="eastAsia" w:ascii="新宋体" w:hAnsi="新宋体" w:eastAsia="新宋体" w:cs="新宋体"/>
          <w:b/>
          <w:color w:val="auto"/>
          <w:spacing w:val="160"/>
          <w:sz w:val="36"/>
          <w:szCs w:val="36"/>
          <w:highlight w:val="none"/>
        </w:rPr>
        <w:t>目录</w:t>
      </w:r>
    </w:p>
    <w:sdt>
      <w:sdtPr>
        <w:rPr>
          <w:rFonts w:ascii="宋体" w:hAnsi="宋体" w:eastAsia="宋体" w:cs="Times New Roman"/>
          <w:color w:val="auto"/>
          <w:kern w:val="2"/>
          <w:sz w:val="21"/>
          <w:szCs w:val="24"/>
          <w:lang w:val="en-US" w:eastAsia="zh-CN" w:bidi="ar-SA"/>
        </w:rPr>
        <w:id w:val="147469791"/>
        <w15:color w:val="DBDBDB"/>
        <w:docPartObj>
          <w:docPartGallery w:val="Table of Contents"/>
          <w:docPartUnique/>
        </w:docPartObj>
      </w:sdtPr>
      <w:sdtEndPr>
        <w:rPr>
          <w:rFonts w:hint="eastAsia" w:ascii="Calibri" w:hAnsi="Calibri" w:eastAsia="宋体" w:cs="Times New Roman"/>
          <w:color w:val="auto"/>
          <w:kern w:val="2"/>
          <w:sz w:val="21"/>
          <w:szCs w:val="21"/>
          <w:lang w:val="en-US" w:eastAsia="zh-CN" w:bidi="ar-SA"/>
        </w:rPr>
      </w:sdtEndPr>
      <w:sdtContent>
        <w:p w14:paraId="320D3195">
          <w:pPr>
            <w:spacing w:before="0" w:beforeLines="0" w:after="0" w:afterLines="0" w:line="240" w:lineRule="auto"/>
            <w:ind w:left="0" w:leftChars="0" w:right="0" w:rightChars="0" w:firstLine="0" w:firstLineChars="0"/>
            <w:jc w:val="center"/>
            <w:rPr>
              <w:color w:val="auto"/>
            </w:rPr>
          </w:pPr>
          <w:r>
            <w:rPr>
              <w:rFonts w:ascii="宋体" w:hAnsi="宋体" w:eastAsia="宋体"/>
              <w:color w:val="auto"/>
              <w:sz w:val="21"/>
            </w:rPr>
            <w:t>目录</w:t>
          </w:r>
        </w:p>
        <w:p w14:paraId="6D2B6E4C">
          <w:pPr>
            <w:pStyle w:val="18"/>
            <w:tabs>
              <w:tab w:val="right" w:leader="dot" w:pos="9638"/>
            </w:tabs>
            <w:rPr>
              <w:color w:val="auto"/>
            </w:rPr>
          </w:pPr>
          <w:r>
            <w:rPr>
              <w:rFonts w:hint="eastAsia" w:ascii="Calibri" w:hAnsi="Calibri" w:eastAsia="宋体" w:cs="Times New Roman"/>
              <w:color w:val="auto"/>
              <w:kern w:val="2"/>
              <w:sz w:val="21"/>
              <w:szCs w:val="21"/>
              <w:lang w:val="en-US" w:eastAsia="zh-CN" w:bidi="ar-SA"/>
            </w:rPr>
            <w:fldChar w:fldCharType="begin"/>
          </w:r>
          <w:r>
            <w:rPr>
              <w:rFonts w:hint="eastAsia" w:ascii="Calibri" w:hAnsi="Calibri" w:eastAsia="宋体" w:cs="Times New Roman"/>
              <w:color w:val="auto"/>
              <w:kern w:val="2"/>
              <w:sz w:val="21"/>
              <w:szCs w:val="21"/>
              <w:lang w:val="en-US" w:eastAsia="zh-CN" w:bidi="ar-SA"/>
            </w:rPr>
            <w:instrText xml:space="preserve">TOC \o "1-2" \h \u </w:instrText>
          </w:r>
          <w:r>
            <w:rPr>
              <w:rFonts w:hint="eastAsia" w:ascii="Calibri" w:hAnsi="Calibri" w:eastAsia="宋体" w:cs="Times New Roman"/>
              <w:color w:val="auto"/>
              <w:kern w:val="2"/>
              <w:sz w:val="21"/>
              <w:szCs w:val="21"/>
              <w:lang w:val="en-US" w:eastAsia="zh-CN" w:bidi="ar-SA"/>
            </w:rPr>
            <w:fldChar w:fldCharType="separate"/>
          </w:r>
          <w:r>
            <w:rPr>
              <w:rFonts w:hint="eastAsia" w:ascii="Calibri" w:hAnsi="Calibri" w:eastAsia="宋体" w:cs="Times New Roman"/>
              <w:color w:val="auto"/>
              <w:kern w:val="2"/>
              <w:szCs w:val="21"/>
              <w:lang w:val="en-US" w:eastAsia="zh-CN" w:bidi="ar-SA"/>
            </w:rPr>
            <w:fldChar w:fldCharType="begin"/>
          </w:r>
          <w:r>
            <w:rPr>
              <w:rFonts w:hint="eastAsia" w:ascii="Calibri" w:hAnsi="Calibri" w:eastAsia="宋体" w:cs="Times New Roman"/>
              <w:color w:val="auto"/>
              <w:kern w:val="2"/>
              <w:szCs w:val="21"/>
              <w:lang w:val="en-US" w:eastAsia="zh-CN" w:bidi="ar-SA"/>
            </w:rPr>
            <w:instrText xml:space="preserve"> HYPERLINK \l _Toc24721 </w:instrText>
          </w:r>
          <w:r>
            <w:rPr>
              <w:rFonts w:hint="eastAsia" w:ascii="Calibri" w:hAnsi="Calibri" w:eastAsia="宋体" w:cs="Times New Roman"/>
              <w:color w:val="auto"/>
              <w:kern w:val="2"/>
              <w:szCs w:val="21"/>
              <w:lang w:val="en-US" w:eastAsia="zh-CN" w:bidi="ar-SA"/>
            </w:rPr>
            <w:fldChar w:fldCharType="separate"/>
          </w:r>
          <w:r>
            <w:rPr>
              <w:rFonts w:hint="eastAsia" w:ascii="新宋体" w:hAnsi="新宋体" w:eastAsia="新宋体" w:cs="新宋体"/>
              <w:bCs/>
              <w:color w:val="auto"/>
              <w:szCs w:val="32"/>
              <w:highlight w:val="none"/>
            </w:rPr>
            <w:t>第一章 投标邀请（公开招标）</w:t>
          </w:r>
          <w:r>
            <w:rPr>
              <w:color w:val="auto"/>
            </w:rPr>
            <w:tab/>
          </w:r>
          <w:r>
            <w:rPr>
              <w:color w:val="auto"/>
            </w:rPr>
            <w:fldChar w:fldCharType="begin"/>
          </w:r>
          <w:r>
            <w:rPr>
              <w:color w:val="auto"/>
            </w:rPr>
            <w:instrText xml:space="preserve"> PAGEREF _Toc24721 \h </w:instrText>
          </w:r>
          <w:r>
            <w:rPr>
              <w:color w:val="auto"/>
            </w:rPr>
            <w:fldChar w:fldCharType="separate"/>
          </w:r>
          <w:r>
            <w:rPr>
              <w:color w:val="auto"/>
            </w:rPr>
            <w:t>3</w:t>
          </w:r>
          <w:r>
            <w:rPr>
              <w:color w:val="auto"/>
            </w:rPr>
            <w:fldChar w:fldCharType="end"/>
          </w:r>
          <w:r>
            <w:rPr>
              <w:rFonts w:hint="eastAsia" w:ascii="Calibri" w:hAnsi="Calibri" w:eastAsia="宋体" w:cs="Times New Roman"/>
              <w:color w:val="auto"/>
              <w:kern w:val="2"/>
              <w:szCs w:val="21"/>
              <w:lang w:val="en-US" w:eastAsia="zh-CN" w:bidi="ar-SA"/>
            </w:rPr>
            <w:fldChar w:fldCharType="end"/>
          </w:r>
        </w:p>
        <w:p w14:paraId="2ABCD751">
          <w:pPr>
            <w:pStyle w:val="18"/>
            <w:tabs>
              <w:tab w:val="right" w:leader="dot" w:pos="9638"/>
            </w:tabs>
            <w:rPr>
              <w:color w:val="auto"/>
            </w:rPr>
          </w:pPr>
          <w:r>
            <w:rPr>
              <w:rFonts w:hint="eastAsia" w:ascii="Calibri" w:hAnsi="Calibri" w:eastAsia="宋体" w:cs="Times New Roman"/>
              <w:color w:val="auto"/>
              <w:kern w:val="2"/>
              <w:szCs w:val="21"/>
              <w:lang w:val="en-US" w:eastAsia="zh-CN" w:bidi="ar-SA"/>
            </w:rPr>
            <w:fldChar w:fldCharType="begin"/>
          </w:r>
          <w:r>
            <w:rPr>
              <w:rFonts w:hint="eastAsia" w:ascii="Calibri" w:hAnsi="Calibri" w:eastAsia="宋体" w:cs="Times New Roman"/>
              <w:color w:val="auto"/>
              <w:kern w:val="2"/>
              <w:szCs w:val="21"/>
              <w:lang w:val="en-US" w:eastAsia="zh-CN" w:bidi="ar-SA"/>
            </w:rPr>
            <w:instrText xml:space="preserve"> HYPERLINK \l _Toc21537 </w:instrText>
          </w:r>
          <w:r>
            <w:rPr>
              <w:rFonts w:hint="eastAsia" w:ascii="Calibri" w:hAnsi="Calibri" w:eastAsia="宋体" w:cs="Times New Roman"/>
              <w:color w:val="auto"/>
              <w:kern w:val="2"/>
              <w:szCs w:val="21"/>
              <w:lang w:val="en-US" w:eastAsia="zh-CN" w:bidi="ar-SA"/>
            </w:rPr>
            <w:fldChar w:fldCharType="separate"/>
          </w:r>
          <w:r>
            <w:rPr>
              <w:rFonts w:hint="eastAsia" w:ascii="新宋体" w:hAnsi="新宋体" w:eastAsia="新宋体" w:cs="新宋体"/>
              <w:color w:val="auto"/>
              <w:szCs w:val="32"/>
              <w:highlight w:val="none"/>
            </w:rPr>
            <w:t>第二章 投标须知</w:t>
          </w:r>
          <w:r>
            <w:rPr>
              <w:color w:val="auto"/>
            </w:rPr>
            <w:tab/>
          </w:r>
          <w:r>
            <w:rPr>
              <w:color w:val="auto"/>
            </w:rPr>
            <w:fldChar w:fldCharType="begin"/>
          </w:r>
          <w:r>
            <w:rPr>
              <w:color w:val="auto"/>
            </w:rPr>
            <w:instrText xml:space="preserve"> PAGEREF _Toc21537 \h </w:instrText>
          </w:r>
          <w:r>
            <w:rPr>
              <w:color w:val="auto"/>
            </w:rPr>
            <w:fldChar w:fldCharType="separate"/>
          </w:r>
          <w:r>
            <w:rPr>
              <w:color w:val="auto"/>
            </w:rPr>
            <w:t>7</w:t>
          </w:r>
          <w:r>
            <w:rPr>
              <w:color w:val="auto"/>
            </w:rPr>
            <w:fldChar w:fldCharType="end"/>
          </w:r>
          <w:r>
            <w:rPr>
              <w:rFonts w:hint="eastAsia" w:ascii="Calibri" w:hAnsi="Calibri" w:eastAsia="宋体" w:cs="Times New Roman"/>
              <w:color w:val="auto"/>
              <w:kern w:val="2"/>
              <w:szCs w:val="21"/>
              <w:lang w:val="en-US" w:eastAsia="zh-CN" w:bidi="ar-SA"/>
            </w:rPr>
            <w:fldChar w:fldCharType="end"/>
          </w:r>
        </w:p>
        <w:p w14:paraId="4DB7DEAE">
          <w:pPr>
            <w:pStyle w:val="20"/>
            <w:tabs>
              <w:tab w:val="right" w:leader="dot" w:pos="9638"/>
            </w:tabs>
            <w:rPr>
              <w:color w:val="auto"/>
            </w:rPr>
          </w:pPr>
          <w:r>
            <w:rPr>
              <w:rFonts w:hint="eastAsia" w:ascii="Calibri" w:hAnsi="Calibri" w:eastAsia="宋体" w:cs="Times New Roman"/>
              <w:color w:val="auto"/>
              <w:kern w:val="2"/>
              <w:szCs w:val="21"/>
              <w:lang w:val="en-US" w:eastAsia="zh-CN" w:bidi="ar-SA"/>
            </w:rPr>
            <w:fldChar w:fldCharType="begin"/>
          </w:r>
          <w:r>
            <w:rPr>
              <w:rFonts w:hint="eastAsia" w:ascii="Calibri" w:hAnsi="Calibri" w:eastAsia="宋体" w:cs="Times New Roman"/>
              <w:color w:val="auto"/>
              <w:kern w:val="2"/>
              <w:szCs w:val="21"/>
              <w:lang w:val="en-US" w:eastAsia="zh-CN" w:bidi="ar-SA"/>
            </w:rPr>
            <w:instrText xml:space="preserve"> HYPERLINK \l _Toc21689 </w:instrText>
          </w:r>
          <w:r>
            <w:rPr>
              <w:rFonts w:hint="eastAsia" w:ascii="Calibri" w:hAnsi="Calibri" w:eastAsia="宋体" w:cs="Times New Roman"/>
              <w:color w:val="auto"/>
              <w:kern w:val="2"/>
              <w:szCs w:val="21"/>
              <w:lang w:val="en-US" w:eastAsia="zh-CN" w:bidi="ar-SA"/>
            </w:rPr>
            <w:fldChar w:fldCharType="separate"/>
          </w:r>
          <w:r>
            <w:rPr>
              <w:rFonts w:hint="eastAsia" w:ascii="新宋体" w:hAnsi="新宋体" w:eastAsia="新宋体" w:cs="新宋体"/>
              <w:bCs/>
              <w:color w:val="auto"/>
              <w:szCs w:val="28"/>
              <w:highlight w:val="none"/>
            </w:rPr>
            <w:t>第一节 投标须知前附表</w:t>
          </w:r>
          <w:r>
            <w:rPr>
              <w:color w:val="auto"/>
            </w:rPr>
            <w:tab/>
          </w:r>
          <w:r>
            <w:rPr>
              <w:color w:val="auto"/>
            </w:rPr>
            <w:fldChar w:fldCharType="begin"/>
          </w:r>
          <w:r>
            <w:rPr>
              <w:color w:val="auto"/>
            </w:rPr>
            <w:instrText xml:space="preserve"> PAGEREF _Toc21689 \h </w:instrText>
          </w:r>
          <w:r>
            <w:rPr>
              <w:color w:val="auto"/>
            </w:rPr>
            <w:fldChar w:fldCharType="separate"/>
          </w:r>
          <w:r>
            <w:rPr>
              <w:color w:val="auto"/>
            </w:rPr>
            <w:t>7</w:t>
          </w:r>
          <w:r>
            <w:rPr>
              <w:color w:val="auto"/>
            </w:rPr>
            <w:fldChar w:fldCharType="end"/>
          </w:r>
          <w:r>
            <w:rPr>
              <w:rFonts w:hint="eastAsia" w:ascii="Calibri" w:hAnsi="Calibri" w:eastAsia="宋体" w:cs="Times New Roman"/>
              <w:color w:val="auto"/>
              <w:kern w:val="2"/>
              <w:szCs w:val="21"/>
              <w:lang w:val="en-US" w:eastAsia="zh-CN" w:bidi="ar-SA"/>
            </w:rPr>
            <w:fldChar w:fldCharType="end"/>
          </w:r>
        </w:p>
        <w:p w14:paraId="2F14683E">
          <w:pPr>
            <w:pStyle w:val="20"/>
            <w:tabs>
              <w:tab w:val="right" w:leader="dot" w:pos="9638"/>
            </w:tabs>
            <w:rPr>
              <w:color w:val="auto"/>
            </w:rPr>
          </w:pPr>
          <w:r>
            <w:rPr>
              <w:rFonts w:hint="eastAsia" w:ascii="Calibri" w:hAnsi="Calibri" w:eastAsia="宋体" w:cs="Times New Roman"/>
              <w:color w:val="auto"/>
              <w:kern w:val="2"/>
              <w:szCs w:val="21"/>
              <w:lang w:val="en-US" w:eastAsia="zh-CN" w:bidi="ar-SA"/>
            </w:rPr>
            <w:fldChar w:fldCharType="begin"/>
          </w:r>
          <w:r>
            <w:rPr>
              <w:rFonts w:hint="eastAsia" w:ascii="Calibri" w:hAnsi="Calibri" w:eastAsia="宋体" w:cs="Times New Roman"/>
              <w:color w:val="auto"/>
              <w:kern w:val="2"/>
              <w:szCs w:val="21"/>
              <w:lang w:val="en-US" w:eastAsia="zh-CN" w:bidi="ar-SA"/>
            </w:rPr>
            <w:instrText xml:space="preserve"> HYPERLINK \l _Toc7437 </w:instrText>
          </w:r>
          <w:r>
            <w:rPr>
              <w:rFonts w:hint="eastAsia" w:ascii="Calibri" w:hAnsi="Calibri" w:eastAsia="宋体" w:cs="Times New Roman"/>
              <w:color w:val="auto"/>
              <w:kern w:val="2"/>
              <w:szCs w:val="21"/>
              <w:lang w:val="en-US" w:eastAsia="zh-CN" w:bidi="ar-SA"/>
            </w:rPr>
            <w:fldChar w:fldCharType="separate"/>
          </w:r>
          <w:r>
            <w:rPr>
              <w:rFonts w:hint="eastAsia" w:ascii="新宋体" w:hAnsi="新宋体" w:eastAsia="新宋体" w:cs="新宋体"/>
              <w:bCs/>
              <w:color w:val="auto"/>
              <w:szCs w:val="28"/>
              <w:highlight w:val="none"/>
            </w:rPr>
            <w:t>第二节 投标须知</w:t>
          </w:r>
          <w:r>
            <w:rPr>
              <w:color w:val="auto"/>
            </w:rPr>
            <w:tab/>
          </w:r>
          <w:r>
            <w:rPr>
              <w:color w:val="auto"/>
            </w:rPr>
            <w:fldChar w:fldCharType="begin"/>
          </w:r>
          <w:r>
            <w:rPr>
              <w:color w:val="auto"/>
            </w:rPr>
            <w:instrText xml:space="preserve"> PAGEREF _Toc7437 \h </w:instrText>
          </w:r>
          <w:r>
            <w:rPr>
              <w:color w:val="auto"/>
            </w:rPr>
            <w:fldChar w:fldCharType="separate"/>
          </w:r>
          <w:r>
            <w:rPr>
              <w:color w:val="auto"/>
            </w:rPr>
            <w:t>10</w:t>
          </w:r>
          <w:r>
            <w:rPr>
              <w:color w:val="auto"/>
            </w:rPr>
            <w:fldChar w:fldCharType="end"/>
          </w:r>
          <w:r>
            <w:rPr>
              <w:rFonts w:hint="eastAsia" w:ascii="Calibri" w:hAnsi="Calibri" w:eastAsia="宋体" w:cs="Times New Roman"/>
              <w:color w:val="auto"/>
              <w:kern w:val="2"/>
              <w:szCs w:val="21"/>
              <w:lang w:val="en-US" w:eastAsia="zh-CN" w:bidi="ar-SA"/>
            </w:rPr>
            <w:fldChar w:fldCharType="end"/>
          </w:r>
        </w:p>
        <w:p w14:paraId="20B96DA3">
          <w:pPr>
            <w:pStyle w:val="20"/>
            <w:tabs>
              <w:tab w:val="right" w:leader="dot" w:pos="9638"/>
            </w:tabs>
            <w:ind w:left="0" w:leftChars="0" w:firstLine="0" w:firstLineChars="0"/>
            <w:rPr>
              <w:color w:val="auto"/>
            </w:rPr>
          </w:pPr>
          <w:r>
            <w:rPr>
              <w:rFonts w:hint="eastAsia" w:ascii="Calibri" w:hAnsi="Calibri" w:eastAsia="宋体" w:cs="Times New Roman"/>
              <w:color w:val="auto"/>
              <w:kern w:val="2"/>
              <w:szCs w:val="21"/>
              <w:lang w:val="en-US" w:eastAsia="zh-CN" w:bidi="ar-SA"/>
            </w:rPr>
            <w:fldChar w:fldCharType="begin"/>
          </w:r>
          <w:r>
            <w:rPr>
              <w:rFonts w:hint="eastAsia" w:ascii="Calibri" w:hAnsi="Calibri" w:eastAsia="宋体" w:cs="Times New Roman"/>
              <w:color w:val="auto"/>
              <w:kern w:val="2"/>
              <w:szCs w:val="21"/>
              <w:lang w:val="en-US" w:eastAsia="zh-CN" w:bidi="ar-SA"/>
            </w:rPr>
            <w:instrText xml:space="preserve"> HYPERLINK \l _Toc4585 </w:instrText>
          </w:r>
          <w:r>
            <w:rPr>
              <w:rFonts w:hint="eastAsia" w:ascii="Calibri" w:hAnsi="Calibri" w:eastAsia="宋体" w:cs="Times New Roman"/>
              <w:color w:val="auto"/>
              <w:kern w:val="2"/>
              <w:szCs w:val="21"/>
              <w:lang w:val="en-US" w:eastAsia="zh-CN" w:bidi="ar-SA"/>
            </w:rPr>
            <w:fldChar w:fldCharType="separate"/>
          </w:r>
          <w:r>
            <w:rPr>
              <w:rFonts w:hint="eastAsia" w:ascii="新宋体" w:hAnsi="新宋体" w:eastAsia="新宋体" w:cs="新宋体"/>
              <w:bCs/>
              <w:color w:val="auto"/>
              <w:szCs w:val="32"/>
              <w:highlight w:val="none"/>
            </w:rPr>
            <w:t>第三</w:t>
          </w:r>
          <w:r>
            <w:rPr>
              <w:rFonts w:hint="eastAsia" w:ascii="新宋体" w:hAnsi="新宋体" w:eastAsia="新宋体" w:cs="新宋体"/>
              <w:bCs/>
              <w:color w:val="auto"/>
              <w:szCs w:val="32"/>
              <w:highlight w:val="none"/>
              <w:lang w:eastAsia="zh-CN"/>
            </w:rPr>
            <w:t>章</w:t>
          </w:r>
          <w:r>
            <w:rPr>
              <w:rFonts w:hint="eastAsia" w:ascii="新宋体" w:hAnsi="新宋体" w:eastAsia="新宋体" w:cs="新宋体"/>
              <w:bCs/>
              <w:color w:val="auto"/>
              <w:szCs w:val="32"/>
              <w:highlight w:val="none"/>
            </w:rPr>
            <w:t xml:space="preserve"> 资格审查</w:t>
          </w:r>
          <w:r>
            <w:rPr>
              <w:color w:val="auto"/>
            </w:rPr>
            <w:tab/>
          </w:r>
          <w:r>
            <w:rPr>
              <w:color w:val="auto"/>
            </w:rPr>
            <w:fldChar w:fldCharType="begin"/>
          </w:r>
          <w:r>
            <w:rPr>
              <w:color w:val="auto"/>
            </w:rPr>
            <w:instrText xml:space="preserve"> PAGEREF _Toc4585 \h </w:instrText>
          </w:r>
          <w:r>
            <w:rPr>
              <w:color w:val="auto"/>
            </w:rPr>
            <w:fldChar w:fldCharType="separate"/>
          </w:r>
          <w:r>
            <w:rPr>
              <w:color w:val="auto"/>
            </w:rPr>
            <w:t>22</w:t>
          </w:r>
          <w:r>
            <w:rPr>
              <w:color w:val="auto"/>
            </w:rPr>
            <w:fldChar w:fldCharType="end"/>
          </w:r>
          <w:r>
            <w:rPr>
              <w:rFonts w:hint="eastAsia" w:ascii="Calibri" w:hAnsi="Calibri" w:eastAsia="宋体" w:cs="Times New Roman"/>
              <w:color w:val="auto"/>
              <w:kern w:val="2"/>
              <w:szCs w:val="21"/>
              <w:lang w:val="en-US" w:eastAsia="zh-CN" w:bidi="ar-SA"/>
            </w:rPr>
            <w:fldChar w:fldCharType="end"/>
          </w:r>
        </w:p>
        <w:p w14:paraId="1DC746B9">
          <w:pPr>
            <w:pStyle w:val="18"/>
            <w:tabs>
              <w:tab w:val="right" w:leader="dot" w:pos="9638"/>
            </w:tabs>
            <w:rPr>
              <w:color w:val="auto"/>
            </w:rPr>
          </w:pPr>
          <w:r>
            <w:rPr>
              <w:rFonts w:hint="eastAsia" w:ascii="Calibri" w:hAnsi="Calibri" w:eastAsia="宋体" w:cs="Times New Roman"/>
              <w:color w:val="auto"/>
              <w:kern w:val="2"/>
              <w:szCs w:val="21"/>
              <w:lang w:val="en-US" w:eastAsia="zh-CN" w:bidi="ar-SA"/>
            </w:rPr>
            <w:fldChar w:fldCharType="begin"/>
          </w:r>
          <w:r>
            <w:rPr>
              <w:rFonts w:hint="eastAsia" w:ascii="Calibri" w:hAnsi="Calibri" w:eastAsia="宋体" w:cs="Times New Roman"/>
              <w:color w:val="auto"/>
              <w:kern w:val="2"/>
              <w:szCs w:val="21"/>
              <w:lang w:val="en-US" w:eastAsia="zh-CN" w:bidi="ar-SA"/>
            </w:rPr>
            <w:instrText xml:space="preserve"> HYPERLINK \l _Toc1340 </w:instrText>
          </w:r>
          <w:r>
            <w:rPr>
              <w:rFonts w:hint="eastAsia" w:ascii="Calibri" w:hAnsi="Calibri" w:eastAsia="宋体" w:cs="Times New Roman"/>
              <w:color w:val="auto"/>
              <w:kern w:val="2"/>
              <w:szCs w:val="21"/>
              <w:lang w:val="en-US" w:eastAsia="zh-CN" w:bidi="ar-SA"/>
            </w:rPr>
            <w:fldChar w:fldCharType="separate"/>
          </w:r>
          <w:r>
            <w:rPr>
              <w:rFonts w:hint="eastAsia" w:ascii="新宋体" w:hAnsi="新宋体" w:eastAsia="新宋体" w:cs="新宋体"/>
              <w:color w:val="auto"/>
              <w:sz w:val="22"/>
              <w:szCs w:val="28"/>
              <w:highlight w:val="none"/>
            </w:rPr>
            <w:t>第四章 评标方法及标准</w:t>
          </w:r>
          <w:r>
            <w:rPr>
              <w:color w:val="auto"/>
            </w:rPr>
            <w:tab/>
          </w:r>
          <w:r>
            <w:rPr>
              <w:color w:val="auto"/>
            </w:rPr>
            <w:fldChar w:fldCharType="begin"/>
          </w:r>
          <w:r>
            <w:rPr>
              <w:color w:val="auto"/>
            </w:rPr>
            <w:instrText xml:space="preserve"> PAGEREF _Toc1340 \h </w:instrText>
          </w:r>
          <w:r>
            <w:rPr>
              <w:color w:val="auto"/>
            </w:rPr>
            <w:fldChar w:fldCharType="separate"/>
          </w:r>
          <w:r>
            <w:rPr>
              <w:color w:val="auto"/>
            </w:rPr>
            <w:t>25</w:t>
          </w:r>
          <w:r>
            <w:rPr>
              <w:color w:val="auto"/>
            </w:rPr>
            <w:fldChar w:fldCharType="end"/>
          </w:r>
          <w:r>
            <w:rPr>
              <w:rFonts w:hint="eastAsia" w:ascii="Calibri" w:hAnsi="Calibri" w:eastAsia="宋体" w:cs="Times New Roman"/>
              <w:color w:val="auto"/>
              <w:kern w:val="2"/>
              <w:szCs w:val="21"/>
              <w:lang w:val="en-US" w:eastAsia="zh-CN" w:bidi="ar-SA"/>
            </w:rPr>
            <w:fldChar w:fldCharType="end"/>
          </w:r>
        </w:p>
        <w:p w14:paraId="3BA636B6">
          <w:pPr>
            <w:pStyle w:val="20"/>
            <w:tabs>
              <w:tab w:val="right" w:leader="dot" w:pos="9638"/>
            </w:tabs>
            <w:rPr>
              <w:color w:val="auto"/>
            </w:rPr>
          </w:pPr>
          <w:r>
            <w:rPr>
              <w:rFonts w:hint="eastAsia" w:ascii="Calibri" w:hAnsi="Calibri" w:eastAsia="宋体" w:cs="Times New Roman"/>
              <w:color w:val="auto"/>
              <w:kern w:val="2"/>
              <w:szCs w:val="21"/>
              <w:lang w:val="en-US" w:eastAsia="zh-CN" w:bidi="ar-SA"/>
            </w:rPr>
            <w:fldChar w:fldCharType="begin"/>
          </w:r>
          <w:r>
            <w:rPr>
              <w:rFonts w:hint="eastAsia" w:ascii="Calibri" w:hAnsi="Calibri" w:eastAsia="宋体" w:cs="Times New Roman"/>
              <w:color w:val="auto"/>
              <w:kern w:val="2"/>
              <w:szCs w:val="21"/>
              <w:lang w:val="en-US" w:eastAsia="zh-CN" w:bidi="ar-SA"/>
            </w:rPr>
            <w:instrText xml:space="preserve"> HYPERLINK \l _Toc17211 </w:instrText>
          </w:r>
          <w:r>
            <w:rPr>
              <w:rFonts w:hint="eastAsia" w:ascii="Calibri" w:hAnsi="Calibri" w:eastAsia="宋体" w:cs="Times New Roman"/>
              <w:color w:val="auto"/>
              <w:kern w:val="2"/>
              <w:szCs w:val="21"/>
              <w:lang w:val="en-US" w:eastAsia="zh-CN" w:bidi="ar-SA"/>
            </w:rPr>
            <w:fldChar w:fldCharType="separate"/>
          </w:r>
          <w:r>
            <w:rPr>
              <w:rFonts w:hint="eastAsia" w:ascii="新宋体" w:hAnsi="新宋体" w:eastAsia="新宋体" w:cs="新宋体"/>
              <w:bCs/>
              <w:color w:val="auto"/>
              <w:szCs w:val="28"/>
              <w:highlight w:val="none"/>
            </w:rPr>
            <w:t>第一节 评标方法及标准前附表</w:t>
          </w:r>
          <w:r>
            <w:rPr>
              <w:color w:val="auto"/>
            </w:rPr>
            <w:tab/>
          </w:r>
          <w:r>
            <w:rPr>
              <w:color w:val="auto"/>
            </w:rPr>
            <w:fldChar w:fldCharType="begin"/>
          </w:r>
          <w:r>
            <w:rPr>
              <w:color w:val="auto"/>
            </w:rPr>
            <w:instrText xml:space="preserve"> PAGEREF _Toc17211 \h </w:instrText>
          </w:r>
          <w:r>
            <w:rPr>
              <w:color w:val="auto"/>
            </w:rPr>
            <w:fldChar w:fldCharType="separate"/>
          </w:r>
          <w:r>
            <w:rPr>
              <w:color w:val="auto"/>
            </w:rPr>
            <w:t>26</w:t>
          </w:r>
          <w:r>
            <w:rPr>
              <w:color w:val="auto"/>
            </w:rPr>
            <w:fldChar w:fldCharType="end"/>
          </w:r>
          <w:r>
            <w:rPr>
              <w:rFonts w:hint="eastAsia" w:ascii="Calibri" w:hAnsi="Calibri" w:eastAsia="宋体" w:cs="Times New Roman"/>
              <w:color w:val="auto"/>
              <w:kern w:val="2"/>
              <w:szCs w:val="21"/>
              <w:lang w:val="en-US" w:eastAsia="zh-CN" w:bidi="ar-SA"/>
            </w:rPr>
            <w:fldChar w:fldCharType="end"/>
          </w:r>
        </w:p>
        <w:p w14:paraId="78809BBD">
          <w:pPr>
            <w:pStyle w:val="20"/>
            <w:tabs>
              <w:tab w:val="right" w:leader="dot" w:pos="9638"/>
            </w:tabs>
            <w:rPr>
              <w:color w:val="auto"/>
            </w:rPr>
          </w:pPr>
          <w:r>
            <w:rPr>
              <w:rFonts w:hint="eastAsia" w:ascii="Calibri" w:hAnsi="Calibri" w:eastAsia="宋体" w:cs="Times New Roman"/>
              <w:color w:val="auto"/>
              <w:kern w:val="2"/>
              <w:szCs w:val="21"/>
              <w:lang w:val="en-US" w:eastAsia="zh-CN" w:bidi="ar-SA"/>
            </w:rPr>
            <w:fldChar w:fldCharType="begin"/>
          </w:r>
          <w:r>
            <w:rPr>
              <w:rFonts w:hint="eastAsia" w:ascii="Calibri" w:hAnsi="Calibri" w:eastAsia="宋体" w:cs="Times New Roman"/>
              <w:color w:val="auto"/>
              <w:kern w:val="2"/>
              <w:szCs w:val="21"/>
              <w:lang w:val="en-US" w:eastAsia="zh-CN" w:bidi="ar-SA"/>
            </w:rPr>
            <w:instrText xml:space="preserve"> HYPERLINK \l _Toc22595 </w:instrText>
          </w:r>
          <w:r>
            <w:rPr>
              <w:rFonts w:hint="eastAsia" w:ascii="Calibri" w:hAnsi="Calibri" w:eastAsia="宋体" w:cs="Times New Roman"/>
              <w:color w:val="auto"/>
              <w:kern w:val="2"/>
              <w:szCs w:val="21"/>
              <w:lang w:val="en-US" w:eastAsia="zh-CN" w:bidi="ar-SA"/>
            </w:rPr>
            <w:fldChar w:fldCharType="separate"/>
          </w:r>
          <w:r>
            <w:rPr>
              <w:rFonts w:hint="eastAsia" w:ascii="新宋体" w:hAnsi="新宋体" w:eastAsia="新宋体" w:cs="新宋体"/>
              <w:bCs/>
              <w:color w:val="auto"/>
              <w:szCs w:val="28"/>
              <w:highlight w:val="none"/>
            </w:rPr>
            <w:t>第二节 评标方法及标准</w:t>
          </w:r>
          <w:r>
            <w:rPr>
              <w:color w:val="auto"/>
            </w:rPr>
            <w:tab/>
          </w:r>
          <w:r>
            <w:rPr>
              <w:color w:val="auto"/>
            </w:rPr>
            <w:fldChar w:fldCharType="begin"/>
          </w:r>
          <w:r>
            <w:rPr>
              <w:color w:val="auto"/>
            </w:rPr>
            <w:instrText xml:space="preserve"> PAGEREF _Toc22595 \h </w:instrText>
          </w:r>
          <w:r>
            <w:rPr>
              <w:color w:val="auto"/>
            </w:rPr>
            <w:fldChar w:fldCharType="separate"/>
          </w:r>
          <w:r>
            <w:rPr>
              <w:color w:val="auto"/>
            </w:rPr>
            <w:t>28</w:t>
          </w:r>
          <w:r>
            <w:rPr>
              <w:color w:val="auto"/>
            </w:rPr>
            <w:fldChar w:fldCharType="end"/>
          </w:r>
          <w:r>
            <w:rPr>
              <w:rFonts w:hint="eastAsia" w:ascii="Calibri" w:hAnsi="Calibri" w:eastAsia="宋体" w:cs="Times New Roman"/>
              <w:color w:val="auto"/>
              <w:kern w:val="2"/>
              <w:szCs w:val="21"/>
              <w:lang w:val="en-US" w:eastAsia="zh-CN" w:bidi="ar-SA"/>
            </w:rPr>
            <w:fldChar w:fldCharType="end"/>
          </w:r>
        </w:p>
        <w:p w14:paraId="0AD9D07F">
          <w:pPr>
            <w:pStyle w:val="20"/>
            <w:tabs>
              <w:tab w:val="right" w:leader="dot" w:pos="9638"/>
            </w:tabs>
            <w:rPr>
              <w:color w:val="auto"/>
            </w:rPr>
          </w:pPr>
          <w:r>
            <w:rPr>
              <w:rFonts w:hint="eastAsia" w:ascii="Calibri" w:hAnsi="Calibri" w:eastAsia="宋体" w:cs="Times New Roman"/>
              <w:color w:val="auto"/>
              <w:kern w:val="2"/>
              <w:szCs w:val="21"/>
              <w:lang w:val="en-US" w:eastAsia="zh-CN" w:bidi="ar-SA"/>
            </w:rPr>
            <w:fldChar w:fldCharType="begin"/>
          </w:r>
          <w:r>
            <w:rPr>
              <w:rFonts w:hint="eastAsia" w:ascii="Calibri" w:hAnsi="Calibri" w:eastAsia="宋体" w:cs="Times New Roman"/>
              <w:color w:val="auto"/>
              <w:kern w:val="2"/>
              <w:szCs w:val="21"/>
              <w:lang w:val="en-US" w:eastAsia="zh-CN" w:bidi="ar-SA"/>
            </w:rPr>
            <w:instrText xml:space="preserve"> HYPERLINK \l _Toc10060 </w:instrText>
          </w:r>
          <w:r>
            <w:rPr>
              <w:rFonts w:hint="eastAsia" w:ascii="Calibri" w:hAnsi="Calibri" w:eastAsia="宋体" w:cs="Times New Roman"/>
              <w:color w:val="auto"/>
              <w:kern w:val="2"/>
              <w:szCs w:val="21"/>
              <w:lang w:val="en-US" w:eastAsia="zh-CN" w:bidi="ar-SA"/>
            </w:rPr>
            <w:fldChar w:fldCharType="separate"/>
          </w:r>
          <w:r>
            <w:rPr>
              <w:rFonts w:hint="eastAsia" w:ascii="新宋体" w:hAnsi="新宋体" w:eastAsia="新宋体" w:cs="新宋体"/>
              <w:bCs/>
              <w:color w:val="auto"/>
              <w:szCs w:val="28"/>
              <w:highlight w:val="none"/>
            </w:rPr>
            <w:t>第三节 投标文件的符合性审查</w:t>
          </w:r>
          <w:r>
            <w:rPr>
              <w:color w:val="auto"/>
            </w:rPr>
            <w:tab/>
          </w:r>
          <w:r>
            <w:rPr>
              <w:color w:val="auto"/>
            </w:rPr>
            <w:fldChar w:fldCharType="begin"/>
          </w:r>
          <w:r>
            <w:rPr>
              <w:color w:val="auto"/>
            </w:rPr>
            <w:instrText xml:space="preserve"> PAGEREF _Toc10060 \h </w:instrText>
          </w:r>
          <w:r>
            <w:rPr>
              <w:color w:val="auto"/>
            </w:rPr>
            <w:fldChar w:fldCharType="separate"/>
          </w:r>
          <w:r>
            <w:rPr>
              <w:color w:val="auto"/>
            </w:rPr>
            <w:t>31</w:t>
          </w:r>
          <w:r>
            <w:rPr>
              <w:color w:val="auto"/>
            </w:rPr>
            <w:fldChar w:fldCharType="end"/>
          </w:r>
          <w:r>
            <w:rPr>
              <w:rFonts w:hint="eastAsia" w:ascii="Calibri" w:hAnsi="Calibri" w:eastAsia="宋体" w:cs="Times New Roman"/>
              <w:color w:val="auto"/>
              <w:kern w:val="2"/>
              <w:szCs w:val="21"/>
              <w:lang w:val="en-US" w:eastAsia="zh-CN" w:bidi="ar-SA"/>
            </w:rPr>
            <w:fldChar w:fldCharType="end"/>
          </w:r>
        </w:p>
        <w:p w14:paraId="53112414">
          <w:pPr>
            <w:pStyle w:val="20"/>
            <w:tabs>
              <w:tab w:val="right" w:leader="dot" w:pos="9638"/>
            </w:tabs>
            <w:rPr>
              <w:color w:val="auto"/>
            </w:rPr>
          </w:pPr>
          <w:r>
            <w:rPr>
              <w:rFonts w:hint="eastAsia" w:ascii="Calibri" w:hAnsi="Calibri" w:eastAsia="宋体" w:cs="Times New Roman"/>
              <w:color w:val="auto"/>
              <w:kern w:val="2"/>
              <w:szCs w:val="21"/>
              <w:lang w:val="en-US" w:eastAsia="zh-CN" w:bidi="ar-SA"/>
            </w:rPr>
            <w:fldChar w:fldCharType="begin"/>
          </w:r>
          <w:r>
            <w:rPr>
              <w:rFonts w:hint="eastAsia" w:ascii="Calibri" w:hAnsi="Calibri" w:eastAsia="宋体" w:cs="Times New Roman"/>
              <w:color w:val="auto"/>
              <w:kern w:val="2"/>
              <w:szCs w:val="21"/>
              <w:lang w:val="en-US" w:eastAsia="zh-CN" w:bidi="ar-SA"/>
            </w:rPr>
            <w:instrText xml:space="preserve"> HYPERLINK \l _Toc24127 </w:instrText>
          </w:r>
          <w:r>
            <w:rPr>
              <w:rFonts w:hint="eastAsia" w:ascii="Calibri" w:hAnsi="Calibri" w:eastAsia="宋体" w:cs="Times New Roman"/>
              <w:color w:val="auto"/>
              <w:kern w:val="2"/>
              <w:szCs w:val="21"/>
              <w:lang w:val="en-US" w:eastAsia="zh-CN" w:bidi="ar-SA"/>
            </w:rPr>
            <w:fldChar w:fldCharType="separate"/>
          </w:r>
          <w:r>
            <w:rPr>
              <w:rFonts w:hint="eastAsia" w:ascii="新宋体" w:hAnsi="新宋体" w:eastAsia="新宋体" w:cs="新宋体"/>
              <w:bCs/>
              <w:color w:val="auto"/>
              <w:szCs w:val="28"/>
              <w:highlight w:val="none"/>
            </w:rPr>
            <w:t>第四节 投标文件的比较与评价（综合评分法）</w:t>
          </w:r>
          <w:r>
            <w:rPr>
              <w:color w:val="auto"/>
            </w:rPr>
            <w:tab/>
          </w:r>
          <w:r>
            <w:rPr>
              <w:color w:val="auto"/>
            </w:rPr>
            <w:fldChar w:fldCharType="begin"/>
          </w:r>
          <w:r>
            <w:rPr>
              <w:color w:val="auto"/>
            </w:rPr>
            <w:instrText xml:space="preserve"> PAGEREF _Toc24127 \h </w:instrText>
          </w:r>
          <w:r>
            <w:rPr>
              <w:color w:val="auto"/>
            </w:rPr>
            <w:fldChar w:fldCharType="separate"/>
          </w:r>
          <w:r>
            <w:rPr>
              <w:color w:val="auto"/>
            </w:rPr>
            <w:t>35</w:t>
          </w:r>
          <w:r>
            <w:rPr>
              <w:color w:val="auto"/>
            </w:rPr>
            <w:fldChar w:fldCharType="end"/>
          </w:r>
          <w:r>
            <w:rPr>
              <w:rFonts w:hint="eastAsia" w:ascii="Calibri" w:hAnsi="Calibri" w:eastAsia="宋体" w:cs="Times New Roman"/>
              <w:color w:val="auto"/>
              <w:kern w:val="2"/>
              <w:szCs w:val="21"/>
              <w:lang w:val="en-US" w:eastAsia="zh-CN" w:bidi="ar-SA"/>
            </w:rPr>
            <w:fldChar w:fldCharType="end"/>
          </w:r>
        </w:p>
        <w:p w14:paraId="38CEF3D2">
          <w:pPr>
            <w:pStyle w:val="18"/>
            <w:tabs>
              <w:tab w:val="right" w:leader="dot" w:pos="9638"/>
            </w:tabs>
            <w:rPr>
              <w:color w:val="auto"/>
            </w:rPr>
          </w:pPr>
          <w:r>
            <w:rPr>
              <w:rFonts w:hint="eastAsia" w:ascii="Calibri" w:hAnsi="Calibri" w:eastAsia="宋体" w:cs="Times New Roman"/>
              <w:color w:val="auto"/>
              <w:kern w:val="2"/>
              <w:szCs w:val="21"/>
              <w:lang w:val="en-US" w:eastAsia="zh-CN" w:bidi="ar-SA"/>
            </w:rPr>
            <w:fldChar w:fldCharType="begin"/>
          </w:r>
          <w:r>
            <w:rPr>
              <w:rFonts w:hint="eastAsia" w:ascii="Calibri" w:hAnsi="Calibri" w:eastAsia="宋体" w:cs="Times New Roman"/>
              <w:color w:val="auto"/>
              <w:kern w:val="2"/>
              <w:szCs w:val="21"/>
              <w:lang w:val="en-US" w:eastAsia="zh-CN" w:bidi="ar-SA"/>
            </w:rPr>
            <w:instrText xml:space="preserve"> HYPERLINK \l _Toc8687 </w:instrText>
          </w:r>
          <w:r>
            <w:rPr>
              <w:rFonts w:hint="eastAsia" w:ascii="Calibri" w:hAnsi="Calibri" w:eastAsia="宋体" w:cs="Times New Roman"/>
              <w:color w:val="auto"/>
              <w:kern w:val="2"/>
              <w:szCs w:val="21"/>
              <w:lang w:val="en-US" w:eastAsia="zh-CN" w:bidi="ar-SA"/>
            </w:rPr>
            <w:fldChar w:fldCharType="separate"/>
          </w:r>
          <w:r>
            <w:rPr>
              <w:rFonts w:hint="eastAsia" w:ascii="新宋体" w:hAnsi="新宋体" w:eastAsia="新宋体" w:cs="新宋体"/>
              <w:bCs/>
              <w:color w:val="auto"/>
              <w:szCs w:val="32"/>
              <w:highlight w:val="none"/>
              <w:lang w:eastAsia="zh-CN"/>
            </w:rPr>
            <w:t>第五章</w:t>
          </w:r>
          <w:r>
            <w:rPr>
              <w:rFonts w:hint="eastAsia" w:ascii="新宋体" w:hAnsi="新宋体" w:eastAsia="新宋体" w:cs="新宋体"/>
              <w:bCs/>
              <w:color w:val="auto"/>
              <w:szCs w:val="32"/>
              <w:highlight w:val="none"/>
              <w:lang w:val="en-US" w:eastAsia="zh-CN"/>
            </w:rPr>
            <w:t xml:space="preserve"> </w:t>
          </w:r>
          <w:r>
            <w:rPr>
              <w:rFonts w:hint="eastAsia" w:ascii="新宋体" w:hAnsi="新宋体" w:eastAsia="新宋体" w:cs="新宋体"/>
              <w:bCs/>
              <w:color w:val="auto"/>
              <w:szCs w:val="32"/>
              <w:highlight w:val="none"/>
            </w:rPr>
            <w:t>采购需求</w:t>
          </w:r>
          <w:r>
            <w:rPr>
              <w:color w:val="auto"/>
            </w:rPr>
            <w:tab/>
          </w:r>
          <w:r>
            <w:rPr>
              <w:color w:val="auto"/>
            </w:rPr>
            <w:fldChar w:fldCharType="begin"/>
          </w:r>
          <w:r>
            <w:rPr>
              <w:color w:val="auto"/>
            </w:rPr>
            <w:instrText xml:space="preserve"> PAGEREF _Toc8687 \h </w:instrText>
          </w:r>
          <w:r>
            <w:rPr>
              <w:color w:val="auto"/>
            </w:rPr>
            <w:fldChar w:fldCharType="separate"/>
          </w:r>
          <w:r>
            <w:rPr>
              <w:color w:val="auto"/>
            </w:rPr>
            <w:t>41</w:t>
          </w:r>
          <w:r>
            <w:rPr>
              <w:color w:val="auto"/>
            </w:rPr>
            <w:fldChar w:fldCharType="end"/>
          </w:r>
          <w:r>
            <w:rPr>
              <w:rFonts w:hint="eastAsia" w:ascii="Calibri" w:hAnsi="Calibri" w:eastAsia="宋体" w:cs="Times New Roman"/>
              <w:color w:val="auto"/>
              <w:kern w:val="2"/>
              <w:szCs w:val="21"/>
              <w:lang w:val="en-US" w:eastAsia="zh-CN" w:bidi="ar-SA"/>
            </w:rPr>
            <w:fldChar w:fldCharType="end"/>
          </w:r>
        </w:p>
        <w:p w14:paraId="64214DF0">
          <w:pPr>
            <w:pStyle w:val="18"/>
            <w:tabs>
              <w:tab w:val="right" w:leader="dot" w:pos="9638"/>
            </w:tabs>
            <w:rPr>
              <w:color w:val="auto"/>
            </w:rPr>
          </w:pPr>
          <w:r>
            <w:rPr>
              <w:rFonts w:hint="eastAsia" w:ascii="Calibri" w:hAnsi="Calibri" w:eastAsia="宋体" w:cs="Times New Roman"/>
              <w:color w:val="auto"/>
              <w:kern w:val="2"/>
              <w:szCs w:val="21"/>
              <w:lang w:val="en-US" w:eastAsia="zh-CN" w:bidi="ar-SA"/>
            </w:rPr>
            <w:fldChar w:fldCharType="begin"/>
          </w:r>
          <w:r>
            <w:rPr>
              <w:rFonts w:hint="eastAsia" w:ascii="Calibri" w:hAnsi="Calibri" w:eastAsia="宋体" w:cs="Times New Roman"/>
              <w:color w:val="auto"/>
              <w:kern w:val="2"/>
              <w:szCs w:val="21"/>
              <w:lang w:val="en-US" w:eastAsia="zh-CN" w:bidi="ar-SA"/>
            </w:rPr>
            <w:instrText xml:space="preserve"> HYPERLINK \l _Toc24376 </w:instrText>
          </w:r>
          <w:r>
            <w:rPr>
              <w:rFonts w:hint="eastAsia" w:ascii="Calibri" w:hAnsi="Calibri" w:eastAsia="宋体" w:cs="Times New Roman"/>
              <w:color w:val="auto"/>
              <w:kern w:val="2"/>
              <w:szCs w:val="21"/>
              <w:lang w:val="en-US" w:eastAsia="zh-CN" w:bidi="ar-SA"/>
            </w:rPr>
            <w:fldChar w:fldCharType="separate"/>
          </w:r>
          <w:r>
            <w:rPr>
              <w:rFonts w:hint="eastAsia" w:ascii="新宋体" w:hAnsi="新宋体" w:eastAsia="新宋体" w:cs="新宋体"/>
              <w:color w:val="auto"/>
              <w:szCs w:val="32"/>
              <w:highlight w:val="none"/>
            </w:rPr>
            <w:t>第六章 政府采购合同</w:t>
          </w:r>
          <w:r>
            <w:rPr>
              <w:rFonts w:hint="eastAsia" w:ascii="新宋体" w:hAnsi="新宋体" w:eastAsia="新宋体" w:cs="新宋体"/>
              <w:color w:val="auto"/>
              <w:szCs w:val="32"/>
              <w:highlight w:val="none"/>
              <w:lang w:eastAsia="zh-CN"/>
            </w:rPr>
            <w:t>（参考）</w:t>
          </w:r>
          <w:r>
            <w:rPr>
              <w:color w:val="auto"/>
            </w:rPr>
            <w:tab/>
          </w:r>
          <w:r>
            <w:rPr>
              <w:color w:val="auto"/>
            </w:rPr>
            <w:fldChar w:fldCharType="begin"/>
          </w:r>
          <w:r>
            <w:rPr>
              <w:color w:val="auto"/>
            </w:rPr>
            <w:instrText xml:space="preserve"> PAGEREF _Toc24376 \h </w:instrText>
          </w:r>
          <w:r>
            <w:rPr>
              <w:color w:val="auto"/>
            </w:rPr>
            <w:fldChar w:fldCharType="separate"/>
          </w:r>
          <w:r>
            <w:rPr>
              <w:color w:val="auto"/>
            </w:rPr>
            <w:t>60</w:t>
          </w:r>
          <w:r>
            <w:rPr>
              <w:color w:val="auto"/>
            </w:rPr>
            <w:fldChar w:fldCharType="end"/>
          </w:r>
          <w:r>
            <w:rPr>
              <w:rFonts w:hint="eastAsia" w:ascii="Calibri" w:hAnsi="Calibri" w:eastAsia="宋体" w:cs="Times New Roman"/>
              <w:color w:val="auto"/>
              <w:kern w:val="2"/>
              <w:szCs w:val="21"/>
              <w:lang w:val="en-US" w:eastAsia="zh-CN" w:bidi="ar-SA"/>
            </w:rPr>
            <w:fldChar w:fldCharType="end"/>
          </w:r>
        </w:p>
        <w:p w14:paraId="55F6656E">
          <w:pPr>
            <w:pStyle w:val="18"/>
            <w:tabs>
              <w:tab w:val="right" w:leader="dot" w:pos="9638"/>
            </w:tabs>
            <w:rPr>
              <w:color w:val="auto"/>
            </w:rPr>
          </w:pPr>
          <w:r>
            <w:rPr>
              <w:rFonts w:hint="eastAsia" w:ascii="Calibri" w:hAnsi="Calibri" w:eastAsia="宋体" w:cs="Times New Roman"/>
              <w:color w:val="auto"/>
              <w:kern w:val="2"/>
              <w:szCs w:val="21"/>
              <w:lang w:val="en-US" w:eastAsia="zh-CN" w:bidi="ar-SA"/>
            </w:rPr>
            <w:fldChar w:fldCharType="begin"/>
          </w:r>
          <w:r>
            <w:rPr>
              <w:rFonts w:hint="eastAsia" w:ascii="Calibri" w:hAnsi="Calibri" w:eastAsia="宋体" w:cs="Times New Roman"/>
              <w:color w:val="auto"/>
              <w:kern w:val="2"/>
              <w:szCs w:val="21"/>
              <w:lang w:val="en-US" w:eastAsia="zh-CN" w:bidi="ar-SA"/>
            </w:rPr>
            <w:instrText xml:space="preserve"> HYPERLINK \l _Toc2177 </w:instrText>
          </w:r>
          <w:r>
            <w:rPr>
              <w:rFonts w:hint="eastAsia" w:ascii="Calibri" w:hAnsi="Calibri" w:eastAsia="宋体" w:cs="Times New Roman"/>
              <w:color w:val="auto"/>
              <w:kern w:val="2"/>
              <w:szCs w:val="21"/>
              <w:lang w:val="en-US" w:eastAsia="zh-CN" w:bidi="ar-SA"/>
            </w:rPr>
            <w:fldChar w:fldCharType="separate"/>
          </w:r>
          <w:r>
            <w:rPr>
              <w:rFonts w:hint="eastAsia" w:ascii="新宋体" w:hAnsi="新宋体" w:eastAsia="新宋体" w:cs="新宋体"/>
              <w:color w:val="auto"/>
              <w:szCs w:val="32"/>
              <w:highlight w:val="none"/>
            </w:rPr>
            <w:t>第七章 投标文件的组成</w:t>
          </w:r>
          <w:r>
            <w:rPr>
              <w:color w:val="auto"/>
            </w:rPr>
            <w:tab/>
          </w:r>
          <w:r>
            <w:rPr>
              <w:color w:val="auto"/>
            </w:rPr>
            <w:fldChar w:fldCharType="begin"/>
          </w:r>
          <w:r>
            <w:rPr>
              <w:color w:val="auto"/>
            </w:rPr>
            <w:instrText xml:space="preserve"> PAGEREF _Toc2177 \h </w:instrText>
          </w:r>
          <w:r>
            <w:rPr>
              <w:color w:val="auto"/>
            </w:rPr>
            <w:fldChar w:fldCharType="separate"/>
          </w:r>
          <w:r>
            <w:rPr>
              <w:color w:val="auto"/>
            </w:rPr>
            <w:t>64</w:t>
          </w:r>
          <w:r>
            <w:rPr>
              <w:color w:val="auto"/>
            </w:rPr>
            <w:fldChar w:fldCharType="end"/>
          </w:r>
          <w:r>
            <w:rPr>
              <w:rFonts w:hint="eastAsia" w:ascii="Calibri" w:hAnsi="Calibri" w:eastAsia="宋体" w:cs="Times New Roman"/>
              <w:color w:val="auto"/>
              <w:kern w:val="2"/>
              <w:szCs w:val="21"/>
              <w:lang w:val="en-US" w:eastAsia="zh-CN" w:bidi="ar-SA"/>
            </w:rPr>
            <w:fldChar w:fldCharType="end"/>
          </w:r>
        </w:p>
        <w:p w14:paraId="78D44EDE">
          <w:pPr>
            <w:pStyle w:val="33"/>
            <w:rPr>
              <w:rFonts w:hint="eastAsia" w:ascii="Calibri" w:hAnsi="Calibri" w:eastAsia="宋体" w:cs="Times New Roman"/>
              <w:color w:val="auto"/>
              <w:kern w:val="2"/>
              <w:sz w:val="21"/>
              <w:szCs w:val="21"/>
              <w:lang w:val="en-US" w:eastAsia="zh-CN" w:bidi="ar-SA"/>
            </w:rPr>
          </w:pPr>
          <w:r>
            <w:rPr>
              <w:rFonts w:hint="eastAsia" w:ascii="Calibri" w:hAnsi="Calibri" w:eastAsia="宋体" w:cs="Times New Roman"/>
              <w:color w:val="auto"/>
              <w:kern w:val="2"/>
              <w:szCs w:val="21"/>
              <w:lang w:val="en-US" w:eastAsia="zh-CN" w:bidi="ar-SA"/>
            </w:rPr>
            <w:fldChar w:fldCharType="end"/>
          </w:r>
        </w:p>
      </w:sdtContent>
    </w:sdt>
    <w:p w14:paraId="0ED5D0A8">
      <w:pPr>
        <w:pStyle w:val="33"/>
        <w:rPr>
          <w:rFonts w:hint="eastAsia" w:ascii="Calibri" w:hAnsi="Calibri" w:eastAsia="宋体" w:cs="Times New Roman"/>
          <w:color w:val="auto"/>
          <w:kern w:val="2"/>
          <w:sz w:val="21"/>
          <w:szCs w:val="21"/>
          <w:lang w:val="en-US" w:eastAsia="zh-CN" w:bidi="ar-SA"/>
        </w:rPr>
      </w:pPr>
    </w:p>
    <w:p w14:paraId="2D10A9FE">
      <w:pPr>
        <w:rPr>
          <w:rFonts w:hint="eastAsia"/>
          <w:color w:val="auto"/>
          <w:highlight w:val="none"/>
        </w:rPr>
      </w:pPr>
      <w:r>
        <w:rPr>
          <w:rFonts w:hint="eastAsia"/>
          <w:color w:val="auto"/>
          <w:highlight w:val="none"/>
        </w:rPr>
        <w:br w:type="page"/>
      </w:r>
    </w:p>
    <w:p w14:paraId="72D32845">
      <w:pPr>
        <w:pStyle w:val="33"/>
        <w:rPr>
          <w:rFonts w:hint="eastAsia"/>
          <w:color w:val="auto"/>
          <w:highlight w:val="none"/>
        </w:rPr>
      </w:pPr>
    </w:p>
    <w:p w14:paraId="00CA0273">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新宋体" w:hAnsi="新宋体" w:eastAsia="新宋体" w:cs="新宋体"/>
          <w:b/>
          <w:bCs/>
          <w:color w:val="auto"/>
          <w:sz w:val="32"/>
          <w:szCs w:val="32"/>
          <w:highlight w:val="none"/>
        </w:rPr>
      </w:pPr>
      <w:bookmarkStart w:id="0" w:name="_Toc27845"/>
      <w:bookmarkStart w:id="1" w:name="_Toc20734"/>
      <w:bookmarkStart w:id="2" w:name="_Toc24721"/>
      <w:bookmarkStart w:id="3" w:name="_Toc16820"/>
      <w:bookmarkStart w:id="4" w:name="_Toc4051"/>
      <w:bookmarkStart w:id="5" w:name="_Toc29861"/>
      <w:bookmarkStart w:id="6" w:name="_Toc21000471"/>
      <w:bookmarkStart w:id="7" w:name="_Toc34720698"/>
      <w:bookmarkStart w:id="8" w:name="_Toc20816073"/>
      <w:bookmarkStart w:id="9" w:name="_Toc35421027"/>
      <w:bookmarkStart w:id="10" w:name="_Toc20642243"/>
      <w:bookmarkStart w:id="11" w:name="_Toc20988241"/>
      <w:bookmarkStart w:id="12" w:name="_Toc21001314"/>
      <w:bookmarkStart w:id="13" w:name="_Toc53472201"/>
      <w:r>
        <w:rPr>
          <w:rFonts w:hint="eastAsia" w:ascii="新宋体" w:hAnsi="新宋体" w:eastAsia="新宋体" w:cs="新宋体"/>
          <w:b/>
          <w:bCs/>
          <w:color w:val="auto"/>
          <w:sz w:val="32"/>
          <w:szCs w:val="32"/>
          <w:highlight w:val="none"/>
        </w:rPr>
        <w:t>第一章 投标邀请（公开招标）</w:t>
      </w:r>
      <w:bookmarkEnd w:id="0"/>
      <w:bookmarkEnd w:id="1"/>
      <w:bookmarkEnd w:id="2"/>
      <w:bookmarkEnd w:id="3"/>
      <w:bookmarkEnd w:id="4"/>
      <w:bookmarkEnd w:id="5"/>
    </w:p>
    <w:p w14:paraId="2C5A7895">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u w:val="single"/>
        </w:rPr>
      </w:pPr>
    </w:p>
    <w:p w14:paraId="1EBBE3F3">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u w:val="single"/>
          <w:lang w:eastAsia="zh-CN"/>
        </w:rPr>
        <w:t>湘西土家族苗族自治州农业农村局</w:t>
      </w:r>
      <w:r>
        <w:rPr>
          <w:rFonts w:hint="eastAsia" w:ascii="新宋体" w:hAnsi="新宋体" w:eastAsia="新宋体" w:cs="新宋体"/>
          <w:color w:val="auto"/>
          <w:szCs w:val="21"/>
          <w:highlight w:val="none"/>
        </w:rPr>
        <w:t>（采购人名称）的</w:t>
      </w:r>
      <w:r>
        <w:rPr>
          <w:rFonts w:hint="eastAsia" w:ascii="新宋体" w:hAnsi="新宋体" w:eastAsia="新宋体" w:cs="新宋体"/>
          <w:color w:val="auto"/>
          <w:szCs w:val="21"/>
          <w:highlight w:val="none"/>
          <w:u w:val="single"/>
          <w:lang w:eastAsia="zh-CN"/>
        </w:rPr>
        <w:t>湘西自治州农业农村局2026年州本级高素质农民培育项目</w:t>
      </w:r>
      <w:r>
        <w:rPr>
          <w:rFonts w:hint="eastAsia" w:ascii="新宋体" w:hAnsi="新宋体" w:eastAsia="新宋体" w:cs="新宋体"/>
          <w:color w:val="auto"/>
          <w:szCs w:val="21"/>
          <w:highlight w:val="none"/>
        </w:rPr>
        <w:t>(项目名称)进行公开招标采购，现邀请合格投标人参加投标。</w:t>
      </w:r>
    </w:p>
    <w:p w14:paraId="7AD3C4BA">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outlineLvl w:val="9"/>
        <w:rPr>
          <w:rFonts w:hint="eastAsia" w:ascii="新宋体" w:hAnsi="新宋体" w:eastAsia="新宋体" w:cs="新宋体"/>
          <w:b/>
          <w:color w:val="auto"/>
          <w:szCs w:val="21"/>
          <w:highlight w:val="none"/>
        </w:rPr>
      </w:pPr>
      <w:r>
        <w:rPr>
          <w:rFonts w:hint="eastAsia" w:ascii="新宋体" w:hAnsi="新宋体" w:eastAsia="新宋体" w:cs="新宋体"/>
          <w:b/>
          <w:color w:val="auto"/>
          <w:szCs w:val="21"/>
          <w:highlight w:val="none"/>
        </w:rPr>
        <w:t>一、采购项目基本信息</w:t>
      </w:r>
    </w:p>
    <w:p w14:paraId="1A91AEB1">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rPr>
        <w:t>1、采购项目名称：</w:t>
      </w:r>
      <w:r>
        <w:rPr>
          <w:rFonts w:hint="eastAsia" w:ascii="新宋体" w:hAnsi="新宋体" w:eastAsia="新宋体" w:cs="新宋体"/>
          <w:color w:val="auto"/>
          <w:szCs w:val="21"/>
          <w:highlight w:val="none"/>
          <w:u w:val="single"/>
          <w:lang w:eastAsia="zh-CN"/>
        </w:rPr>
        <w:t>湘西自治州农业农村局2026年州本级高素质农民培育项目</w:t>
      </w:r>
    </w:p>
    <w:p w14:paraId="5B171682">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lang w:val="en-US" w:eastAsia="zh-CN"/>
        </w:rPr>
      </w:pPr>
      <w:r>
        <w:rPr>
          <w:rFonts w:hint="eastAsia" w:ascii="新宋体" w:hAnsi="新宋体" w:eastAsia="新宋体" w:cs="新宋体"/>
          <w:color w:val="auto"/>
          <w:szCs w:val="21"/>
          <w:highlight w:val="none"/>
        </w:rPr>
        <w:t>2、政府采购计划编号：</w:t>
      </w:r>
      <w:r>
        <w:rPr>
          <w:rFonts w:hint="eastAsia" w:ascii="新宋体" w:hAnsi="新宋体" w:eastAsia="新宋体" w:cs="新宋体"/>
          <w:color w:val="auto"/>
          <w:szCs w:val="21"/>
          <w:highlight w:val="none"/>
          <w:u w:val="single"/>
          <w:lang w:eastAsia="zh-CN"/>
        </w:rPr>
        <w:t>包</w:t>
      </w:r>
      <w:r>
        <w:rPr>
          <w:rFonts w:hint="eastAsia" w:ascii="新宋体" w:hAnsi="新宋体" w:eastAsia="新宋体" w:cs="新宋体"/>
          <w:color w:val="auto"/>
          <w:szCs w:val="21"/>
          <w:highlight w:val="none"/>
          <w:u w:val="single"/>
          <w:lang w:val="en-US" w:eastAsia="zh-CN"/>
        </w:rPr>
        <w:t>1：</w:t>
      </w:r>
      <w:r>
        <w:rPr>
          <w:rFonts w:hint="eastAsia" w:ascii="新宋体" w:hAnsi="新宋体" w:eastAsia="新宋体" w:cs="新宋体"/>
          <w:color w:val="auto"/>
          <w:szCs w:val="21"/>
          <w:highlight w:val="none"/>
          <w:u w:val="single"/>
          <w:lang w:eastAsia="zh-CN"/>
        </w:rPr>
        <w:t>（2026）433100000004-1，包</w:t>
      </w:r>
      <w:r>
        <w:rPr>
          <w:rFonts w:hint="eastAsia" w:ascii="新宋体" w:hAnsi="新宋体" w:eastAsia="新宋体" w:cs="新宋体"/>
          <w:color w:val="auto"/>
          <w:szCs w:val="21"/>
          <w:highlight w:val="none"/>
          <w:u w:val="single"/>
          <w:lang w:val="en-US" w:eastAsia="zh-CN"/>
        </w:rPr>
        <w:t>2：</w:t>
      </w:r>
      <w:r>
        <w:rPr>
          <w:rFonts w:hint="eastAsia" w:ascii="新宋体" w:hAnsi="新宋体" w:eastAsia="新宋体" w:cs="新宋体"/>
          <w:color w:val="auto"/>
          <w:szCs w:val="21"/>
          <w:highlight w:val="none"/>
          <w:u w:val="single"/>
          <w:lang w:eastAsia="zh-CN"/>
        </w:rPr>
        <w:t>（2026）433100000004-2，包</w:t>
      </w:r>
      <w:r>
        <w:rPr>
          <w:rFonts w:hint="eastAsia" w:ascii="新宋体" w:hAnsi="新宋体" w:eastAsia="新宋体" w:cs="新宋体"/>
          <w:color w:val="auto"/>
          <w:szCs w:val="21"/>
          <w:highlight w:val="none"/>
          <w:u w:val="single"/>
          <w:lang w:val="en-US" w:eastAsia="zh-CN"/>
        </w:rPr>
        <w:t>3：</w:t>
      </w:r>
      <w:r>
        <w:rPr>
          <w:rFonts w:hint="eastAsia" w:ascii="新宋体" w:hAnsi="新宋体" w:eastAsia="新宋体" w:cs="新宋体"/>
          <w:color w:val="auto"/>
          <w:szCs w:val="21"/>
          <w:highlight w:val="none"/>
          <w:u w:val="single"/>
          <w:lang w:eastAsia="zh-CN"/>
        </w:rPr>
        <w:t>（2026）433100000004-3</w:t>
      </w:r>
      <w:r>
        <w:rPr>
          <w:rFonts w:hint="eastAsia" w:ascii="新宋体" w:hAnsi="新宋体" w:eastAsia="新宋体" w:cs="新宋体"/>
          <w:color w:val="auto"/>
          <w:szCs w:val="21"/>
          <w:highlight w:val="none"/>
          <w:u w:val="single"/>
          <w:lang w:val="en-US" w:eastAsia="zh-CN"/>
        </w:rPr>
        <w:t>。</w:t>
      </w:r>
    </w:p>
    <w:p w14:paraId="0F5199AD">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i/>
          <w:color w:val="auto"/>
          <w:szCs w:val="21"/>
          <w:highlight w:val="none"/>
          <w:lang w:val="en-US" w:eastAsia="zh-CN"/>
        </w:rPr>
      </w:pPr>
      <w:r>
        <w:rPr>
          <w:rFonts w:hint="eastAsia" w:ascii="新宋体" w:hAnsi="新宋体" w:eastAsia="新宋体" w:cs="新宋体"/>
          <w:color w:val="auto"/>
          <w:szCs w:val="21"/>
          <w:highlight w:val="none"/>
        </w:rPr>
        <w:t>3、</w:t>
      </w:r>
      <w:r>
        <w:rPr>
          <w:rFonts w:hint="eastAsia" w:ascii="新宋体" w:hAnsi="新宋体" w:eastAsia="新宋体" w:cs="新宋体"/>
          <w:color w:val="auto"/>
          <w:szCs w:val="21"/>
          <w:highlight w:val="none"/>
          <w:lang w:eastAsia="zh-CN"/>
        </w:rPr>
        <w:t>委托代理编号</w:t>
      </w:r>
      <w:r>
        <w:rPr>
          <w:rFonts w:hint="eastAsia" w:ascii="新宋体" w:hAnsi="新宋体" w:eastAsia="新宋体" w:cs="新宋体"/>
          <w:color w:val="auto"/>
          <w:szCs w:val="21"/>
          <w:highlight w:val="none"/>
        </w:rPr>
        <w:t>：</w:t>
      </w:r>
      <w:r>
        <w:rPr>
          <w:rFonts w:hint="eastAsia" w:ascii="新宋体" w:hAnsi="新宋体" w:eastAsia="新宋体" w:cs="新宋体"/>
          <w:color w:val="auto"/>
          <w:szCs w:val="21"/>
          <w:highlight w:val="none"/>
          <w:u w:val="single"/>
          <w:lang w:val="en-US" w:eastAsia="zh-CN"/>
        </w:rPr>
        <w:t>HNDRCG-2026-026</w:t>
      </w:r>
    </w:p>
    <w:p w14:paraId="0F7ED940">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bCs/>
          <w:color w:val="auto"/>
          <w:szCs w:val="21"/>
          <w:highlight w:val="none"/>
          <w:lang w:val="en-US" w:eastAsia="zh-CN"/>
        </w:rPr>
      </w:pPr>
      <w:r>
        <w:rPr>
          <w:rFonts w:hint="eastAsia" w:ascii="新宋体" w:hAnsi="新宋体" w:eastAsia="新宋体" w:cs="新宋体"/>
          <w:bCs/>
          <w:color w:val="auto"/>
          <w:szCs w:val="21"/>
          <w:highlight w:val="none"/>
        </w:rPr>
        <w:t>4、</w:t>
      </w:r>
      <w:r>
        <w:rPr>
          <w:rFonts w:hint="eastAsia" w:ascii="新宋体" w:hAnsi="新宋体" w:eastAsia="新宋体" w:cs="新宋体"/>
          <w:bCs/>
          <w:color w:val="auto"/>
          <w:szCs w:val="21"/>
          <w:highlight w:val="none"/>
          <w:u w:val="single"/>
          <w:lang w:val="en-US" w:eastAsia="zh-CN"/>
        </w:rPr>
        <w:t>采购项目预算：1500000.00元</w:t>
      </w:r>
    </w:p>
    <w:p w14:paraId="6A932CB2">
      <w:pPr>
        <w:pageBreakBefore w:val="0"/>
        <w:kinsoku/>
        <w:overflowPunct/>
        <w:topLinePunct w:val="0"/>
        <w:bidi w:val="0"/>
        <w:adjustRightInd w:val="0"/>
        <w:snapToGrid w:val="0"/>
        <w:spacing w:line="360" w:lineRule="auto"/>
        <w:ind w:firstLine="630" w:firstLineChars="300"/>
        <w:textAlignment w:val="auto"/>
        <w:outlineLvl w:val="9"/>
        <w:rPr>
          <w:rFonts w:hint="eastAsia" w:ascii="新宋体" w:hAnsi="新宋体" w:eastAsia="新宋体" w:cs="新宋体"/>
          <w:bCs/>
          <w:color w:val="auto"/>
          <w:szCs w:val="21"/>
          <w:highlight w:val="none"/>
          <w:u w:val="single"/>
          <w:lang w:val="en-US" w:eastAsia="zh-CN"/>
        </w:rPr>
      </w:pPr>
      <w:r>
        <w:rPr>
          <w:rFonts w:hint="eastAsia" w:ascii="新宋体" w:hAnsi="新宋体" w:eastAsia="新宋体" w:cs="新宋体"/>
          <w:iCs/>
          <w:color w:val="auto"/>
          <w:szCs w:val="21"/>
          <w:highlight w:val="none"/>
        </w:rPr>
        <w:sym w:font="Wingdings" w:char="00A8"/>
      </w:r>
      <w:r>
        <w:rPr>
          <w:rFonts w:hint="eastAsia" w:ascii="新宋体" w:hAnsi="新宋体" w:eastAsia="新宋体" w:cs="新宋体"/>
          <w:iCs/>
          <w:color w:val="auto"/>
          <w:szCs w:val="21"/>
          <w:highlight w:val="none"/>
        </w:rPr>
        <w:t>支持</w:t>
      </w:r>
      <w:r>
        <w:rPr>
          <w:rFonts w:hint="eastAsia" w:ascii="新宋体" w:hAnsi="新宋体" w:eastAsia="新宋体" w:cs="新宋体"/>
          <w:bCs/>
          <w:color w:val="auto"/>
          <w:szCs w:val="21"/>
          <w:highlight w:val="none"/>
        </w:rPr>
        <w:t>预付款，预付比例：</w:t>
      </w:r>
      <w:r>
        <w:rPr>
          <w:rFonts w:hint="eastAsia" w:ascii="新宋体" w:hAnsi="新宋体" w:eastAsia="新宋体" w:cs="新宋体"/>
          <w:bCs/>
          <w:color w:val="auto"/>
          <w:szCs w:val="21"/>
          <w:highlight w:val="none"/>
          <w:u w:val="single"/>
        </w:rPr>
        <w:t xml:space="preserve"> </w:t>
      </w:r>
      <w:r>
        <w:rPr>
          <w:rFonts w:hint="eastAsia" w:ascii="新宋体" w:hAnsi="新宋体" w:eastAsia="新宋体" w:cs="新宋体"/>
          <w:bCs/>
          <w:color w:val="auto"/>
          <w:szCs w:val="21"/>
          <w:highlight w:val="none"/>
          <w:u w:val="single"/>
          <w:lang w:val="en-US" w:eastAsia="zh-CN"/>
        </w:rPr>
        <w:t xml:space="preserve">/ </w:t>
      </w:r>
    </w:p>
    <w:p w14:paraId="3F128C58">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u w:val="single"/>
          <w:lang w:eastAsia="zh-CN"/>
        </w:rPr>
      </w:pPr>
      <w:r>
        <w:rPr>
          <w:rFonts w:hint="eastAsia" w:ascii="新宋体" w:hAnsi="新宋体" w:eastAsia="新宋体" w:cs="新宋体"/>
          <w:bCs/>
          <w:color w:val="auto"/>
          <w:szCs w:val="21"/>
          <w:highlight w:val="none"/>
        </w:rPr>
        <w:t>5、本项目</w:t>
      </w:r>
      <w:r>
        <w:rPr>
          <w:rFonts w:hint="eastAsia" w:ascii="新宋体" w:hAnsi="新宋体" w:eastAsia="新宋体" w:cs="新宋体"/>
          <w:color w:val="auto"/>
          <w:szCs w:val="21"/>
          <w:highlight w:val="none"/>
        </w:rPr>
        <w:t>对应的中小企业划分标准所属行业：</w:t>
      </w:r>
      <w:r>
        <w:rPr>
          <w:rFonts w:hint="eastAsia" w:ascii="新宋体" w:hAnsi="新宋体" w:eastAsia="新宋体" w:cs="新宋体"/>
          <w:color w:val="auto"/>
          <w:szCs w:val="21"/>
          <w:highlight w:val="none"/>
          <w:u w:val="single"/>
          <w:lang w:eastAsia="zh-CN"/>
        </w:rPr>
        <w:t>其他未列明行业</w:t>
      </w:r>
    </w:p>
    <w:p w14:paraId="624EC534">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bCs/>
          <w:color w:val="auto"/>
          <w:szCs w:val="21"/>
          <w:highlight w:val="none"/>
          <w:u w:val="single"/>
        </w:rPr>
      </w:pPr>
      <w:r>
        <w:rPr>
          <w:rFonts w:hint="eastAsia" w:ascii="新宋体" w:hAnsi="新宋体" w:eastAsia="新宋体" w:cs="新宋体"/>
          <w:bCs/>
          <w:color w:val="auto"/>
          <w:szCs w:val="21"/>
          <w:highlight w:val="none"/>
        </w:rPr>
        <w:t>6、评标方法：</w:t>
      </w:r>
      <w:r>
        <w:rPr>
          <w:rFonts w:hint="eastAsia" w:ascii="宋体" w:hAnsi="宋体" w:eastAsia="宋体" w:cs="宋体"/>
          <w:bCs/>
          <w:iCs/>
          <w:color w:val="auto"/>
          <w:szCs w:val="21"/>
          <w:highlight w:val="none"/>
          <w:lang w:eastAsia="zh-CN"/>
        </w:rPr>
        <w:t>█</w:t>
      </w:r>
      <w:r>
        <w:rPr>
          <w:rFonts w:hint="eastAsia" w:ascii="新宋体" w:hAnsi="新宋体" w:eastAsia="新宋体" w:cs="新宋体"/>
          <w:iCs/>
          <w:color w:val="auto"/>
          <w:szCs w:val="21"/>
          <w:highlight w:val="none"/>
        </w:rPr>
        <w:t>综合评分法 □最低评标价法</w:t>
      </w:r>
    </w:p>
    <w:p w14:paraId="24056228">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bCs/>
          <w:color w:val="auto"/>
          <w:szCs w:val="21"/>
          <w:highlight w:val="none"/>
          <w:u w:val="single"/>
        </w:rPr>
      </w:pPr>
      <w:r>
        <w:rPr>
          <w:rFonts w:hint="eastAsia" w:ascii="新宋体" w:hAnsi="新宋体" w:eastAsia="新宋体" w:cs="新宋体"/>
          <w:bCs/>
          <w:color w:val="auto"/>
          <w:szCs w:val="21"/>
          <w:highlight w:val="none"/>
        </w:rPr>
        <w:t>7、合同定价方式：</w:t>
      </w:r>
      <w:r>
        <w:rPr>
          <w:rFonts w:hint="eastAsia" w:ascii="宋体" w:hAnsi="宋体" w:eastAsia="宋体" w:cs="宋体"/>
          <w:bCs/>
          <w:iCs/>
          <w:color w:val="auto"/>
          <w:szCs w:val="21"/>
          <w:highlight w:val="none"/>
          <w:lang w:eastAsia="zh-CN"/>
        </w:rPr>
        <w:t>█</w:t>
      </w:r>
      <w:r>
        <w:rPr>
          <w:rFonts w:hint="eastAsia" w:ascii="新宋体" w:hAnsi="新宋体" w:eastAsia="新宋体" w:cs="新宋体"/>
          <w:iCs/>
          <w:color w:val="auto"/>
          <w:szCs w:val="21"/>
          <w:highlight w:val="none"/>
        </w:rPr>
        <w:t>固定总价 □固定单价 □成本补偿 □绩效激励</w:t>
      </w:r>
    </w:p>
    <w:p w14:paraId="04EC3493">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bCs/>
          <w:color w:val="auto"/>
          <w:szCs w:val="21"/>
          <w:highlight w:val="none"/>
          <w:u w:val="single"/>
          <w:lang w:eastAsia="zh-CN"/>
        </w:rPr>
      </w:pPr>
      <w:r>
        <w:rPr>
          <w:rFonts w:hint="eastAsia" w:ascii="新宋体" w:hAnsi="新宋体" w:eastAsia="新宋体" w:cs="新宋体"/>
          <w:bCs/>
          <w:color w:val="auto"/>
          <w:szCs w:val="21"/>
          <w:highlight w:val="none"/>
        </w:rPr>
        <w:t>8、合同履行期限：</w:t>
      </w:r>
      <w:r>
        <w:rPr>
          <w:rFonts w:hint="eastAsia" w:ascii="新宋体" w:hAnsi="新宋体" w:eastAsia="新宋体" w:cs="新宋体"/>
          <w:bCs/>
          <w:color w:val="auto"/>
          <w:szCs w:val="21"/>
          <w:highlight w:val="none"/>
          <w:u w:val="single"/>
          <w:lang w:val="en-US" w:eastAsia="zh-CN"/>
        </w:rPr>
        <w:t>初定为2026年12月20日前结课，具体时间以实际合同签订时间为准。</w:t>
      </w:r>
    </w:p>
    <w:p w14:paraId="228EB911">
      <w:pPr>
        <w:pStyle w:val="31"/>
        <w:pageBreakBefore w:val="0"/>
        <w:kinsoku/>
        <w:overflowPunct/>
        <w:topLinePunct w:val="0"/>
        <w:bidi w:val="0"/>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bCs/>
          <w:color w:val="auto"/>
          <w:kern w:val="2"/>
          <w:sz w:val="21"/>
          <w:szCs w:val="21"/>
          <w:highlight w:val="none"/>
          <w:lang w:val="en-US" w:eastAsia="zh-CN" w:bidi="ar-SA"/>
        </w:rPr>
        <w:t>9、</w:t>
      </w:r>
      <w:r>
        <w:rPr>
          <w:rFonts w:hint="eastAsia" w:ascii="新宋体" w:hAnsi="新宋体" w:eastAsia="新宋体" w:cs="新宋体"/>
          <w:color w:val="auto"/>
          <w:sz w:val="21"/>
          <w:szCs w:val="21"/>
          <w:highlight w:val="none"/>
        </w:rPr>
        <w:t>本项目分阶段要求投标人提供以下保证：</w:t>
      </w:r>
    </w:p>
    <w:p w14:paraId="6DF4C194">
      <w:pPr>
        <w:pStyle w:val="31"/>
        <w:pageBreakBefore w:val="0"/>
        <w:kinsoku/>
        <w:overflowPunct/>
        <w:topLinePunct w:val="0"/>
        <w:bidi w:val="0"/>
        <w:spacing w:line="360" w:lineRule="auto"/>
        <w:textAlignment w:val="auto"/>
        <w:outlineLvl w:val="9"/>
        <w:rPr>
          <w:rFonts w:hint="eastAsia" w:ascii="新宋体" w:hAnsi="新宋体" w:eastAsia="新宋体" w:cs="新宋体"/>
          <w:iCs/>
          <w:color w:val="auto"/>
          <w:sz w:val="21"/>
          <w:szCs w:val="21"/>
          <w:highlight w:val="none"/>
          <w:lang w:eastAsia="zh-CN"/>
        </w:rPr>
      </w:pPr>
      <w:r>
        <w:rPr>
          <w:rFonts w:hint="eastAsia" w:ascii="新宋体" w:hAnsi="新宋体" w:eastAsia="新宋体" w:cs="新宋体"/>
          <w:iCs/>
          <w:color w:val="auto"/>
          <w:sz w:val="21"/>
          <w:szCs w:val="21"/>
          <w:highlight w:val="none"/>
        </w:rPr>
        <w:t>□</w:t>
      </w:r>
      <w:r>
        <w:rPr>
          <w:rFonts w:hint="eastAsia" w:ascii="新宋体" w:hAnsi="新宋体" w:eastAsia="新宋体" w:cs="新宋体"/>
          <w:color w:val="auto"/>
          <w:sz w:val="21"/>
          <w:szCs w:val="21"/>
          <w:highlight w:val="none"/>
        </w:rPr>
        <w:t>投标保证金</w:t>
      </w:r>
      <w:r>
        <w:rPr>
          <w:rFonts w:hint="eastAsia" w:ascii="新宋体" w:hAnsi="新宋体" w:eastAsia="新宋体" w:cs="新宋体"/>
          <w:color w:val="auto"/>
          <w:sz w:val="21"/>
          <w:szCs w:val="21"/>
          <w:highlight w:val="none"/>
          <w:lang w:eastAsia="zh-CN"/>
        </w:rPr>
        <w:t>：</w:t>
      </w:r>
      <w:r>
        <w:rPr>
          <w:rFonts w:hint="eastAsia" w:ascii="新宋体" w:hAnsi="新宋体" w:eastAsia="新宋体" w:cs="新宋体"/>
          <w:iCs/>
          <w:color w:val="auto"/>
          <w:sz w:val="21"/>
          <w:szCs w:val="21"/>
          <w:highlight w:val="none"/>
        </w:rPr>
        <w:t>采购项目预算的</w:t>
      </w:r>
      <w:r>
        <w:rPr>
          <w:rFonts w:hint="eastAsia" w:ascii="新宋体" w:hAnsi="新宋体" w:eastAsia="新宋体" w:cs="新宋体"/>
          <w:iCs/>
          <w:color w:val="auto"/>
          <w:sz w:val="21"/>
          <w:szCs w:val="21"/>
          <w:highlight w:val="none"/>
          <w:u w:val="single"/>
          <w:lang w:val="en-US" w:eastAsia="zh-CN"/>
        </w:rPr>
        <w:t xml:space="preserve"> / </w:t>
      </w:r>
      <w:r>
        <w:rPr>
          <w:rFonts w:hint="eastAsia" w:ascii="新宋体" w:hAnsi="新宋体" w:eastAsia="新宋体" w:cs="新宋体"/>
          <w:iCs/>
          <w:color w:val="auto"/>
          <w:sz w:val="21"/>
          <w:szCs w:val="21"/>
          <w:highlight w:val="none"/>
        </w:rPr>
        <w:t>%</w:t>
      </w:r>
      <w:r>
        <w:rPr>
          <w:rFonts w:hint="eastAsia" w:ascii="新宋体" w:hAnsi="新宋体" w:eastAsia="新宋体" w:cs="新宋体"/>
          <w:color w:val="auto"/>
          <w:sz w:val="21"/>
          <w:szCs w:val="21"/>
          <w:highlight w:val="none"/>
          <w:lang w:eastAsia="zh-CN"/>
        </w:rPr>
        <w:t>；</w:t>
      </w:r>
    </w:p>
    <w:p w14:paraId="4690951D">
      <w:pPr>
        <w:pStyle w:val="31"/>
        <w:pageBreakBefore w:val="0"/>
        <w:kinsoku/>
        <w:overflowPunct/>
        <w:topLinePunct w:val="0"/>
        <w:bidi w:val="0"/>
        <w:spacing w:line="360" w:lineRule="auto"/>
        <w:ind w:left="0" w:leftChars="0" w:firstLine="420" w:firstLineChars="200"/>
        <w:textAlignment w:val="auto"/>
        <w:outlineLvl w:val="9"/>
        <w:rPr>
          <w:rFonts w:hint="eastAsia" w:ascii="新宋体" w:hAnsi="新宋体" w:eastAsia="新宋体" w:cs="新宋体"/>
          <w:iCs/>
          <w:color w:val="auto"/>
          <w:sz w:val="21"/>
          <w:szCs w:val="21"/>
          <w:highlight w:val="none"/>
          <w:lang w:eastAsia="zh-CN"/>
        </w:rPr>
      </w:pPr>
      <w:r>
        <w:rPr>
          <w:rFonts w:hint="eastAsia" w:ascii="新宋体" w:hAnsi="新宋体" w:eastAsia="新宋体" w:cs="新宋体"/>
          <w:iCs/>
          <w:color w:val="auto"/>
          <w:sz w:val="21"/>
          <w:szCs w:val="21"/>
          <w:highlight w:val="none"/>
          <w:lang w:eastAsia="zh-CN"/>
        </w:rPr>
        <w:t>□</w:t>
      </w:r>
      <w:r>
        <w:rPr>
          <w:rFonts w:hint="eastAsia" w:ascii="新宋体" w:hAnsi="新宋体" w:eastAsia="新宋体" w:cs="新宋体"/>
          <w:color w:val="auto"/>
          <w:sz w:val="21"/>
          <w:szCs w:val="21"/>
          <w:highlight w:val="none"/>
        </w:rPr>
        <w:t>履约保证金</w:t>
      </w:r>
      <w:r>
        <w:rPr>
          <w:rFonts w:hint="eastAsia" w:ascii="新宋体" w:hAnsi="新宋体" w:eastAsia="新宋体" w:cs="新宋体"/>
          <w:color w:val="auto"/>
          <w:sz w:val="21"/>
          <w:szCs w:val="21"/>
          <w:highlight w:val="none"/>
          <w:lang w:eastAsia="zh-CN"/>
        </w:rPr>
        <w:t>：</w:t>
      </w:r>
      <w:r>
        <w:rPr>
          <w:rFonts w:hint="eastAsia" w:ascii="新宋体" w:hAnsi="新宋体" w:eastAsia="新宋体" w:cs="新宋体"/>
          <w:iCs/>
          <w:color w:val="auto"/>
          <w:sz w:val="21"/>
          <w:szCs w:val="21"/>
          <w:highlight w:val="none"/>
        </w:rPr>
        <w:t>中标金额的</w:t>
      </w:r>
      <w:r>
        <w:rPr>
          <w:rFonts w:hint="eastAsia" w:ascii="新宋体" w:hAnsi="新宋体" w:eastAsia="新宋体" w:cs="新宋体"/>
          <w:iCs/>
          <w:color w:val="auto"/>
          <w:sz w:val="21"/>
          <w:szCs w:val="21"/>
          <w:highlight w:val="none"/>
          <w:u w:val="single"/>
          <w:lang w:val="en-US" w:eastAsia="zh-CN"/>
        </w:rPr>
        <w:t xml:space="preserve"> /  </w:t>
      </w:r>
      <w:r>
        <w:rPr>
          <w:rFonts w:hint="eastAsia" w:ascii="新宋体" w:hAnsi="新宋体" w:eastAsia="新宋体" w:cs="新宋体"/>
          <w:iCs/>
          <w:color w:val="auto"/>
          <w:sz w:val="21"/>
          <w:szCs w:val="21"/>
          <w:highlight w:val="none"/>
        </w:rPr>
        <w:t>%</w:t>
      </w:r>
      <w:r>
        <w:rPr>
          <w:rFonts w:hint="eastAsia" w:ascii="新宋体" w:hAnsi="新宋体" w:eastAsia="新宋体" w:cs="新宋体"/>
          <w:color w:val="auto"/>
          <w:sz w:val="21"/>
          <w:szCs w:val="21"/>
          <w:highlight w:val="none"/>
          <w:lang w:eastAsia="zh-CN"/>
        </w:rPr>
        <w:t>；</w:t>
      </w:r>
    </w:p>
    <w:p w14:paraId="60229689">
      <w:pPr>
        <w:pStyle w:val="31"/>
        <w:pageBreakBefore w:val="0"/>
        <w:kinsoku/>
        <w:overflowPunct/>
        <w:topLinePunct w:val="0"/>
        <w:bidi w:val="0"/>
        <w:spacing w:line="360" w:lineRule="auto"/>
        <w:textAlignment w:val="auto"/>
        <w:outlineLvl w:val="9"/>
        <w:rPr>
          <w:rFonts w:hint="eastAsia" w:ascii="新宋体" w:hAnsi="新宋体" w:eastAsia="新宋体" w:cs="新宋体"/>
          <w:iCs/>
          <w:color w:val="auto"/>
          <w:sz w:val="21"/>
          <w:szCs w:val="21"/>
          <w:highlight w:val="none"/>
          <w:lang w:eastAsia="zh-CN"/>
        </w:rPr>
      </w:pPr>
      <w:r>
        <w:rPr>
          <w:rFonts w:hint="eastAsia" w:ascii="新宋体" w:hAnsi="新宋体" w:eastAsia="新宋体" w:cs="新宋体"/>
          <w:iCs/>
          <w:color w:val="auto"/>
          <w:sz w:val="21"/>
          <w:szCs w:val="21"/>
          <w:highlight w:val="none"/>
          <w:lang w:eastAsia="zh-CN"/>
        </w:rPr>
        <w:t>□</w:t>
      </w:r>
      <w:r>
        <w:rPr>
          <w:rFonts w:hint="eastAsia" w:ascii="新宋体" w:hAnsi="新宋体" w:eastAsia="新宋体" w:cs="新宋体"/>
          <w:iCs/>
          <w:color w:val="auto"/>
          <w:sz w:val="21"/>
          <w:szCs w:val="21"/>
          <w:highlight w:val="none"/>
        </w:rPr>
        <w:t>预付款保证金</w:t>
      </w:r>
      <w:r>
        <w:rPr>
          <w:rFonts w:hint="eastAsia" w:ascii="新宋体" w:hAnsi="新宋体" w:eastAsia="新宋体" w:cs="新宋体"/>
          <w:iCs/>
          <w:color w:val="auto"/>
          <w:sz w:val="21"/>
          <w:szCs w:val="21"/>
          <w:highlight w:val="none"/>
          <w:lang w:eastAsia="zh-CN"/>
        </w:rPr>
        <w:t>：</w:t>
      </w:r>
      <w:r>
        <w:rPr>
          <w:rFonts w:hint="eastAsia" w:ascii="新宋体" w:hAnsi="新宋体" w:eastAsia="新宋体" w:cs="新宋体"/>
          <w:iCs/>
          <w:color w:val="auto"/>
          <w:sz w:val="21"/>
          <w:szCs w:val="21"/>
          <w:highlight w:val="none"/>
        </w:rPr>
        <w:t>预付款的</w:t>
      </w:r>
      <w:r>
        <w:rPr>
          <w:rFonts w:hint="eastAsia" w:ascii="新宋体" w:hAnsi="新宋体" w:eastAsia="新宋体" w:cs="新宋体"/>
          <w:iCs/>
          <w:color w:val="auto"/>
          <w:sz w:val="21"/>
          <w:szCs w:val="21"/>
          <w:highlight w:val="none"/>
          <w:u w:val="single"/>
          <w:lang w:val="en-US" w:eastAsia="zh-CN"/>
        </w:rPr>
        <w:t xml:space="preserve"> / </w:t>
      </w:r>
      <w:r>
        <w:rPr>
          <w:rFonts w:hint="eastAsia" w:ascii="新宋体" w:hAnsi="新宋体" w:eastAsia="新宋体" w:cs="新宋体"/>
          <w:iCs/>
          <w:color w:val="auto"/>
          <w:sz w:val="21"/>
          <w:szCs w:val="21"/>
          <w:highlight w:val="none"/>
        </w:rPr>
        <w:t>%</w:t>
      </w:r>
      <w:r>
        <w:rPr>
          <w:rFonts w:hint="eastAsia" w:ascii="新宋体" w:hAnsi="新宋体" w:eastAsia="新宋体" w:cs="新宋体"/>
          <w:iCs/>
          <w:color w:val="auto"/>
          <w:sz w:val="21"/>
          <w:szCs w:val="21"/>
          <w:highlight w:val="none"/>
          <w:lang w:eastAsia="zh-CN"/>
        </w:rPr>
        <w:t>；</w:t>
      </w:r>
    </w:p>
    <w:p w14:paraId="3F17A9CC">
      <w:pPr>
        <w:pStyle w:val="31"/>
        <w:pageBreakBefore w:val="0"/>
        <w:kinsoku/>
        <w:overflowPunct/>
        <w:topLinePunct w:val="0"/>
        <w:bidi w:val="0"/>
        <w:spacing w:line="360" w:lineRule="auto"/>
        <w:textAlignment w:val="auto"/>
        <w:outlineLvl w:val="9"/>
        <w:rPr>
          <w:rFonts w:hint="eastAsia" w:ascii="新宋体" w:hAnsi="新宋体" w:eastAsia="新宋体" w:cs="新宋体"/>
          <w:iCs/>
          <w:color w:val="auto"/>
          <w:sz w:val="21"/>
          <w:szCs w:val="21"/>
          <w:highlight w:val="none"/>
          <w:lang w:eastAsia="zh-CN"/>
        </w:rPr>
      </w:pPr>
      <w:r>
        <w:rPr>
          <w:rFonts w:hint="eastAsia" w:ascii="新宋体" w:hAnsi="新宋体" w:eastAsia="新宋体" w:cs="新宋体"/>
          <w:iCs/>
          <w:color w:val="auto"/>
          <w:sz w:val="21"/>
          <w:szCs w:val="21"/>
          <w:highlight w:val="none"/>
        </w:rPr>
        <w:t>□质量保证金</w:t>
      </w:r>
      <w:r>
        <w:rPr>
          <w:rFonts w:hint="eastAsia" w:ascii="新宋体" w:hAnsi="新宋体" w:eastAsia="新宋体" w:cs="新宋体"/>
          <w:iCs/>
          <w:color w:val="auto"/>
          <w:sz w:val="21"/>
          <w:szCs w:val="21"/>
          <w:highlight w:val="none"/>
          <w:lang w:eastAsia="zh-CN"/>
        </w:rPr>
        <w:t>：</w:t>
      </w:r>
      <w:r>
        <w:rPr>
          <w:rFonts w:hint="eastAsia" w:ascii="新宋体" w:hAnsi="新宋体" w:eastAsia="新宋体" w:cs="新宋体"/>
          <w:iCs/>
          <w:color w:val="auto"/>
          <w:sz w:val="21"/>
          <w:szCs w:val="21"/>
          <w:highlight w:val="none"/>
        </w:rPr>
        <w:t>合同金额的</w:t>
      </w:r>
      <w:r>
        <w:rPr>
          <w:rFonts w:hint="eastAsia" w:ascii="新宋体" w:hAnsi="新宋体" w:eastAsia="新宋体" w:cs="新宋体"/>
          <w:iCs/>
          <w:color w:val="auto"/>
          <w:sz w:val="21"/>
          <w:szCs w:val="21"/>
          <w:highlight w:val="none"/>
          <w:u w:val="single"/>
          <w:lang w:val="en-US" w:eastAsia="zh-CN"/>
        </w:rPr>
        <w:t xml:space="preserve"> / </w:t>
      </w:r>
      <w:r>
        <w:rPr>
          <w:rFonts w:hint="eastAsia" w:ascii="新宋体" w:hAnsi="新宋体" w:eastAsia="新宋体" w:cs="新宋体"/>
          <w:iCs/>
          <w:color w:val="auto"/>
          <w:sz w:val="21"/>
          <w:szCs w:val="21"/>
          <w:highlight w:val="none"/>
        </w:rPr>
        <w:t>%</w:t>
      </w:r>
      <w:r>
        <w:rPr>
          <w:rFonts w:hint="eastAsia" w:ascii="新宋体" w:hAnsi="新宋体" w:eastAsia="新宋体" w:cs="新宋体"/>
          <w:iCs/>
          <w:color w:val="auto"/>
          <w:sz w:val="21"/>
          <w:szCs w:val="21"/>
          <w:highlight w:val="none"/>
          <w:lang w:eastAsia="zh-CN"/>
        </w:rPr>
        <w:t>。</w:t>
      </w:r>
    </w:p>
    <w:p w14:paraId="3ACAD10E">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outlineLvl w:val="9"/>
        <w:rPr>
          <w:rFonts w:hint="eastAsia" w:ascii="新宋体" w:hAnsi="新宋体" w:eastAsia="新宋体" w:cs="新宋体"/>
          <w:b/>
          <w:color w:val="auto"/>
          <w:szCs w:val="21"/>
          <w:highlight w:val="none"/>
        </w:rPr>
      </w:pPr>
      <w:r>
        <w:rPr>
          <w:rFonts w:hint="eastAsia" w:ascii="新宋体" w:hAnsi="新宋体" w:eastAsia="新宋体" w:cs="新宋体"/>
          <w:b/>
          <w:color w:val="auto"/>
          <w:szCs w:val="21"/>
          <w:highlight w:val="none"/>
        </w:rPr>
        <w:t>二、采购人的采购需求</w:t>
      </w:r>
    </w:p>
    <w:tbl>
      <w:tblPr>
        <w:tblStyle w:val="26"/>
        <w:tblW w:w="50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2440"/>
        <w:gridCol w:w="1294"/>
        <w:gridCol w:w="1440"/>
        <w:gridCol w:w="933"/>
        <w:gridCol w:w="547"/>
        <w:gridCol w:w="1202"/>
        <w:gridCol w:w="744"/>
        <w:gridCol w:w="744"/>
      </w:tblGrid>
      <w:tr w14:paraId="0F3D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298" w:type="pct"/>
            <w:noWrap w:val="0"/>
            <w:vAlign w:val="center"/>
          </w:tcPr>
          <w:p w14:paraId="1E2B171A">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rPr>
              <w:t>包</w:t>
            </w:r>
            <w:r>
              <w:rPr>
                <w:rFonts w:hint="eastAsia" w:ascii="新宋体" w:hAnsi="新宋体" w:eastAsia="新宋体" w:cs="新宋体"/>
                <w:color w:val="auto"/>
                <w:szCs w:val="21"/>
                <w:highlight w:val="none"/>
                <w:lang w:eastAsia="zh-CN"/>
              </w:rPr>
              <w:t>号</w:t>
            </w:r>
          </w:p>
        </w:tc>
        <w:tc>
          <w:tcPr>
            <w:tcW w:w="1227" w:type="pct"/>
            <w:noWrap w:val="0"/>
            <w:vAlign w:val="center"/>
          </w:tcPr>
          <w:p w14:paraId="7084AF8F">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eastAsia="zh-CN"/>
              </w:rPr>
              <w:t>包名称</w:t>
            </w:r>
          </w:p>
        </w:tc>
        <w:tc>
          <w:tcPr>
            <w:tcW w:w="651" w:type="pct"/>
            <w:noWrap w:val="0"/>
            <w:vAlign w:val="center"/>
          </w:tcPr>
          <w:p w14:paraId="013E336C">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eastAsia="zh-CN"/>
              </w:rPr>
              <w:t>最高限价（元）</w:t>
            </w:r>
          </w:p>
        </w:tc>
        <w:tc>
          <w:tcPr>
            <w:tcW w:w="724" w:type="pct"/>
            <w:noWrap w:val="0"/>
            <w:vAlign w:val="center"/>
          </w:tcPr>
          <w:p w14:paraId="1736D0AD">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eastAsia="zh-CN"/>
              </w:rPr>
              <w:t>标的名称</w:t>
            </w:r>
          </w:p>
        </w:tc>
        <w:tc>
          <w:tcPr>
            <w:tcW w:w="469" w:type="pct"/>
            <w:noWrap w:val="0"/>
            <w:vAlign w:val="center"/>
          </w:tcPr>
          <w:p w14:paraId="43EB7E14">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简要技术要求</w:t>
            </w:r>
          </w:p>
        </w:tc>
        <w:tc>
          <w:tcPr>
            <w:tcW w:w="275" w:type="pct"/>
            <w:noWrap w:val="0"/>
            <w:vAlign w:val="center"/>
          </w:tcPr>
          <w:p w14:paraId="7E9E6DF8">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color w:val="auto"/>
                <w:kern w:val="0"/>
                <w:szCs w:val="21"/>
                <w:highlight w:val="none"/>
              </w:rPr>
            </w:pPr>
            <w:r>
              <w:rPr>
                <w:rFonts w:hint="eastAsia" w:ascii="新宋体" w:hAnsi="新宋体" w:eastAsia="新宋体" w:cs="新宋体"/>
                <w:color w:val="auto"/>
                <w:szCs w:val="21"/>
                <w:highlight w:val="none"/>
              </w:rPr>
              <w:t>数量</w:t>
            </w:r>
          </w:p>
        </w:tc>
        <w:tc>
          <w:tcPr>
            <w:tcW w:w="604" w:type="pct"/>
            <w:noWrap w:val="0"/>
            <w:vAlign w:val="center"/>
          </w:tcPr>
          <w:p w14:paraId="48F64417">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eastAsia="zh-CN"/>
              </w:rPr>
              <w:t>标的预算（元）</w:t>
            </w:r>
          </w:p>
        </w:tc>
        <w:tc>
          <w:tcPr>
            <w:tcW w:w="374" w:type="pct"/>
            <w:noWrap w:val="0"/>
            <w:vAlign w:val="center"/>
          </w:tcPr>
          <w:p w14:paraId="18AB5F18">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节能产品</w:t>
            </w:r>
          </w:p>
        </w:tc>
        <w:tc>
          <w:tcPr>
            <w:tcW w:w="374" w:type="pct"/>
            <w:noWrap w:val="0"/>
            <w:vAlign w:val="center"/>
          </w:tcPr>
          <w:p w14:paraId="65C3AB95">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进口产品</w:t>
            </w:r>
          </w:p>
        </w:tc>
      </w:tr>
      <w:tr w14:paraId="3FA5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298" w:type="pct"/>
            <w:noWrap w:val="0"/>
            <w:vAlign w:val="center"/>
          </w:tcPr>
          <w:p w14:paraId="11264F1E">
            <w:pPr>
              <w:pStyle w:val="3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val="0"/>
                <w:bCs/>
                <w:color w:val="auto"/>
                <w:szCs w:val="21"/>
                <w:highlight w:val="none"/>
                <w:lang w:eastAsia="zh-CN"/>
              </w:rPr>
            </w:pPr>
            <w:r>
              <w:rPr>
                <w:rFonts w:hint="eastAsia" w:ascii="新宋体" w:hAnsi="新宋体" w:eastAsia="新宋体" w:cs="新宋体"/>
                <w:b w:val="0"/>
                <w:bCs/>
                <w:color w:val="auto"/>
                <w:highlight w:val="none"/>
                <w:vertAlign w:val="baseline"/>
                <w:lang w:eastAsia="zh-CN"/>
              </w:rPr>
              <w:t>包</w:t>
            </w:r>
            <w:r>
              <w:rPr>
                <w:rFonts w:hint="eastAsia" w:ascii="新宋体" w:hAnsi="新宋体" w:eastAsia="新宋体" w:cs="新宋体"/>
                <w:b w:val="0"/>
                <w:bCs/>
                <w:color w:val="auto"/>
                <w:highlight w:val="none"/>
                <w:vertAlign w:val="baseline"/>
                <w:lang w:val="en-US" w:eastAsia="zh-CN"/>
              </w:rPr>
              <w:t>1</w:t>
            </w:r>
          </w:p>
        </w:tc>
        <w:tc>
          <w:tcPr>
            <w:tcW w:w="1227" w:type="pct"/>
            <w:noWrap w:val="0"/>
            <w:vAlign w:val="center"/>
          </w:tcPr>
          <w:p w14:paraId="432ABE8B">
            <w:pPr>
              <w:pStyle w:val="3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val="0"/>
                <w:bCs/>
                <w:color w:val="auto"/>
                <w:highlight w:val="none"/>
                <w:vertAlign w:val="baseline"/>
                <w:lang w:eastAsia="zh-CN"/>
              </w:rPr>
            </w:pPr>
            <w:r>
              <w:rPr>
                <w:rFonts w:hint="eastAsia" w:ascii="新宋体" w:hAnsi="新宋体" w:eastAsia="新宋体" w:cs="新宋体"/>
                <w:b w:val="0"/>
                <w:bCs/>
                <w:color w:val="auto"/>
                <w:highlight w:val="none"/>
                <w:vertAlign w:val="baseline"/>
                <w:lang w:eastAsia="zh-CN"/>
              </w:rPr>
              <w:t>湘西自治州农业农村局2026年州本级高素质农民培育项目（农业经理人培训班）</w:t>
            </w:r>
          </w:p>
        </w:tc>
        <w:tc>
          <w:tcPr>
            <w:tcW w:w="651" w:type="pct"/>
            <w:noWrap w:val="0"/>
            <w:vAlign w:val="center"/>
          </w:tcPr>
          <w:p w14:paraId="0B9D1252">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default" w:ascii="新宋体" w:hAnsi="新宋体" w:eastAsia="新宋体" w:cs="新宋体"/>
                <w:b w:val="0"/>
                <w:bCs/>
                <w:color w:val="auto"/>
                <w:szCs w:val="21"/>
                <w:highlight w:val="none"/>
                <w:lang w:val="en-US" w:eastAsia="zh-CN"/>
              </w:rPr>
            </w:pPr>
            <w:r>
              <w:rPr>
                <w:rFonts w:hint="eastAsia" w:ascii="新宋体" w:hAnsi="新宋体" w:eastAsia="新宋体" w:cs="新宋体"/>
                <w:bCs/>
                <w:color w:val="auto"/>
                <w:szCs w:val="21"/>
                <w:highlight w:val="none"/>
                <w:u w:val="none"/>
                <w:lang w:val="en-US" w:eastAsia="zh-CN"/>
              </w:rPr>
              <w:t>500000.00</w:t>
            </w:r>
          </w:p>
        </w:tc>
        <w:tc>
          <w:tcPr>
            <w:tcW w:w="724" w:type="pct"/>
            <w:noWrap w:val="0"/>
            <w:vAlign w:val="center"/>
          </w:tcPr>
          <w:p w14:paraId="05D1FF3F">
            <w:pPr>
              <w:pStyle w:val="3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val="0"/>
                <w:bCs/>
                <w:color w:val="auto"/>
                <w:szCs w:val="21"/>
                <w:highlight w:val="none"/>
                <w:lang w:eastAsia="zh-CN"/>
              </w:rPr>
            </w:pPr>
            <w:r>
              <w:rPr>
                <w:rFonts w:hint="eastAsia" w:ascii="新宋体" w:hAnsi="新宋体" w:eastAsia="新宋体" w:cs="新宋体"/>
                <w:b w:val="0"/>
                <w:bCs/>
                <w:color w:val="auto"/>
                <w:highlight w:val="none"/>
                <w:vertAlign w:val="baseline"/>
                <w:lang w:eastAsia="zh-CN"/>
              </w:rPr>
              <w:t>农业经理人培训班</w:t>
            </w:r>
          </w:p>
        </w:tc>
        <w:tc>
          <w:tcPr>
            <w:tcW w:w="469" w:type="pct"/>
            <w:noWrap w:val="0"/>
            <w:vAlign w:val="center"/>
          </w:tcPr>
          <w:p w14:paraId="3C9B2095">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eastAsia="zh-CN"/>
              </w:rPr>
              <w:t>详见采购需求</w:t>
            </w:r>
          </w:p>
        </w:tc>
        <w:tc>
          <w:tcPr>
            <w:tcW w:w="275" w:type="pct"/>
            <w:noWrap w:val="0"/>
            <w:vAlign w:val="center"/>
          </w:tcPr>
          <w:p w14:paraId="1D5B1D00">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szCs w:val="21"/>
                <w:highlight w:val="none"/>
                <w:lang w:val="en-US" w:eastAsia="zh-CN"/>
              </w:rPr>
            </w:pPr>
            <w:r>
              <w:rPr>
                <w:rFonts w:hint="eastAsia" w:ascii="新宋体" w:hAnsi="新宋体" w:eastAsia="新宋体" w:cs="新宋体"/>
                <w:color w:val="auto"/>
                <w:szCs w:val="21"/>
                <w:highlight w:val="none"/>
                <w:lang w:val="en-US" w:eastAsia="zh-CN"/>
              </w:rPr>
              <w:t>1</w:t>
            </w:r>
          </w:p>
        </w:tc>
        <w:tc>
          <w:tcPr>
            <w:tcW w:w="604" w:type="pct"/>
            <w:noWrap w:val="0"/>
            <w:vAlign w:val="center"/>
          </w:tcPr>
          <w:p w14:paraId="47091C60">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default" w:ascii="新宋体" w:hAnsi="新宋体" w:eastAsia="新宋体" w:cs="新宋体"/>
                <w:color w:val="auto"/>
                <w:szCs w:val="21"/>
                <w:highlight w:val="none"/>
                <w:u w:val="none"/>
                <w:lang w:val="en-US"/>
              </w:rPr>
            </w:pPr>
            <w:r>
              <w:rPr>
                <w:rFonts w:hint="eastAsia" w:ascii="新宋体" w:hAnsi="新宋体" w:eastAsia="新宋体" w:cs="新宋体"/>
                <w:bCs/>
                <w:color w:val="auto"/>
                <w:szCs w:val="21"/>
                <w:highlight w:val="none"/>
                <w:u w:val="none"/>
                <w:lang w:val="en-US" w:eastAsia="zh-CN"/>
              </w:rPr>
              <w:t>500000.00</w:t>
            </w:r>
          </w:p>
        </w:tc>
        <w:tc>
          <w:tcPr>
            <w:tcW w:w="374" w:type="pct"/>
            <w:noWrap w:val="0"/>
            <w:vAlign w:val="center"/>
          </w:tcPr>
          <w:p w14:paraId="63B31EE7">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iCs/>
                <w:color w:val="auto"/>
                <w:szCs w:val="21"/>
                <w:highlight w:val="none"/>
              </w:rPr>
              <w:t>□</w:t>
            </w:r>
          </w:p>
        </w:tc>
        <w:tc>
          <w:tcPr>
            <w:tcW w:w="374" w:type="pct"/>
            <w:noWrap w:val="0"/>
            <w:vAlign w:val="center"/>
          </w:tcPr>
          <w:p w14:paraId="19EAC0AA">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iCs/>
                <w:color w:val="auto"/>
                <w:szCs w:val="21"/>
                <w:highlight w:val="none"/>
              </w:rPr>
              <w:t>□</w:t>
            </w:r>
          </w:p>
        </w:tc>
      </w:tr>
      <w:tr w14:paraId="4A0B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298" w:type="pct"/>
            <w:noWrap w:val="0"/>
            <w:vAlign w:val="center"/>
          </w:tcPr>
          <w:p w14:paraId="4C5EBEFC">
            <w:pPr>
              <w:pStyle w:val="3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val="0"/>
                <w:bCs/>
                <w:color w:val="auto"/>
                <w:szCs w:val="21"/>
                <w:highlight w:val="none"/>
                <w:lang w:eastAsia="zh-CN"/>
              </w:rPr>
            </w:pPr>
            <w:r>
              <w:rPr>
                <w:rFonts w:hint="eastAsia" w:ascii="新宋体" w:hAnsi="新宋体" w:eastAsia="新宋体" w:cs="新宋体"/>
                <w:b w:val="0"/>
                <w:bCs/>
                <w:color w:val="auto"/>
                <w:highlight w:val="none"/>
                <w:vertAlign w:val="baseline"/>
                <w:lang w:eastAsia="zh-CN"/>
              </w:rPr>
              <w:t>包</w:t>
            </w:r>
            <w:r>
              <w:rPr>
                <w:rFonts w:hint="eastAsia" w:ascii="新宋体" w:hAnsi="新宋体" w:eastAsia="新宋体" w:cs="新宋体"/>
                <w:b w:val="0"/>
                <w:bCs/>
                <w:color w:val="auto"/>
                <w:highlight w:val="none"/>
                <w:vertAlign w:val="baseline"/>
                <w:lang w:val="en-US" w:eastAsia="zh-CN"/>
              </w:rPr>
              <w:t>2</w:t>
            </w:r>
          </w:p>
        </w:tc>
        <w:tc>
          <w:tcPr>
            <w:tcW w:w="1227" w:type="pct"/>
            <w:noWrap w:val="0"/>
            <w:vAlign w:val="center"/>
          </w:tcPr>
          <w:p w14:paraId="25DD7A12">
            <w:pPr>
              <w:pStyle w:val="3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val="0"/>
                <w:bCs/>
                <w:color w:val="auto"/>
                <w:highlight w:val="none"/>
                <w:vertAlign w:val="baseline"/>
                <w:lang w:eastAsia="zh-CN"/>
              </w:rPr>
            </w:pPr>
            <w:r>
              <w:rPr>
                <w:rFonts w:hint="eastAsia" w:ascii="新宋体" w:hAnsi="新宋体" w:eastAsia="新宋体" w:cs="新宋体"/>
                <w:b w:val="0"/>
                <w:bCs/>
                <w:color w:val="auto"/>
                <w:highlight w:val="none"/>
                <w:vertAlign w:val="baseline"/>
                <w:lang w:eastAsia="zh-CN"/>
              </w:rPr>
              <w:t>湘西自治州农业农村局2026年州本级高素质农民培育项目（农产品经纪人培训班和茶叶龙头企业负责人培训班）</w:t>
            </w:r>
          </w:p>
        </w:tc>
        <w:tc>
          <w:tcPr>
            <w:tcW w:w="651" w:type="pct"/>
            <w:noWrap w:val="0"/>
            <w:vAlign w:val="center"/>
          </w:tcPr>
          <w:p w14:paraId="282509D5">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default" w:ascii="新宋体" w:hAnsi="新宋体" w:eastAsia="新宋体" w:cs="新宋体"/>
                <w:b w:val="0"/>
                <w:bCs/>
                <w:color w:val="auto"/>
                <w:szCs w:val="21"/>
                <w:highlight w:val="none"/>
                <w:lang w:val="en-US" w:eastAsia="zh-CN"/>
              </w:rPr>
            </w:pPr>
            <w:r>
              <w:rPr>
                <w:rFonts w:hint="eastAsia" w:ascii="新宋体" w:hAnsi="新宋体" w:eastAsia="新宋体" w:cs="新宋体"/>
                <w:bCs/>
                <w:color w:val="auto"/>
                <w:szCs w:val="21"/>
                <w:highlight w:val="none"/>
                <w:u w:val="none"/>
                <w:lang w:val="en-US" w:eastAsia="zh-CN"/>
              </w:rPr>
              <w:t>560000.00</w:t>
            </w:r>
          </w:p>
        </w:tc>
        <w:tc>
          <w:tcPr>
            <w:tcW w:w="724" w:type="pct"/>
            <w:noWrap w:val="0"/>
            <w:vAlign w:val="center"/>
          </w:tcPr>
          <w:p w14:paraId="4AE29EF2">
            <w:pPr>
              <w:pStyle w:val="3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val="0"/>
                <w:bCs/>
                <w:color w:val="auto"/>
                <w:szCs w:val="21"/>
                <w:highlight w:val="none"/>
                <w:lang w:eastAsia="zh-CN"/>
              </w:rPr>
            </w:pPr>
            <w:r>
              <w:rPr>
                <w:rFonts w:hint="eastAsia" w:ascii="新宋体" w:hAnsi="新宋体" w:eastAsia="新宋体" w:cs="新宋体"/>
                <w:b w:val="0"/>
                <w:bCs/>
                <w:color w:val="auto"/>
                <w:highlight w:val="none"/>
                <w:vertAlign w:val="baseline"/>
                <w:lang w:eastAsia="zh-CN"/>
              </w:rPr>
              <w:t>农产品经纪人培训班和茶叶龙头企业负责人培训班</w:t>
            </w:r>
          </w:p>
        </w:tc>
        <w:tc>
          <w:tcPr>
            <w:tcW w:w="469" w:type="pct"/>
            <w:noWrap w:val="0"/>
            <w:vAlign w:val="center"/>
          </w:tcPr>
          <w:p w14:paraId="67F33B59">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eastAsia="zh-CN"/>
              </w:rPr>
              <w:t>详见采购需求</w:t>
            </w:r>
          </w:p>
        </w:tc>
        <w:tc>
          <w:tcPr>
            <w:tcW w:w="275" w:type="pct"/>
            <w:noWrap w:val="0"/>
            <w:vAlign w:val="center"/>
          </w:tcPr>
          <w:p w14:paraId="48F0A7C0">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szCs w:val="21"/>
                <w:highlight w:val="none"/>
                <w:lang w:val="en-US" w:eastAsia="zh-CN"/>
              </w:rPr>
            </w:pPr>
            <w:r>
              <w:rPr>
                <w:rFonts w:hint="eastAsia" w:ascii="新宋体" w:hAnsi="新宋体" w:eastAsia="新宋体" w:cs="新宋体"/>
                <w:color w:val="auto"/>
                <w:szCs w:val="21"/>
                <w:highlight w:val="none"/>
                <w:lang w:val="en-US" w:eastAsia="zh-CN"/>
              </w:rPr>
              <w:t>1</w:t>
            </w:r>
          </w:p>
        </w:tc>
        <w:tc>
          <w:tcPr>
            <w:tcW w:w="604" w:type="pct"/>
            <w:noWrap w:val="0"/>
            <w:vAlign w:val="center"/>
          </w:tcPr>
          <w:p w14:paraId="683D392C">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bCs/>
                <w:color w:val="auto"/>
                <w:szCs w:val="21"/>
                <w:highlight w:val="none"/>
                <w:u w:val="none"/>
                <w:lang w:val="en-US" w:eastAsia="zh-CN"/>
              </w:rPr>
            </w:pPr>
            <w:r>
              <w:rPr>
                <w:rFonts w:hint="eastAsia" w:ascii="新宋体" w:hAnsi="新宋体" w:eastAsia="新宋体" w:cs="新宋体"/>
                <w:bCs/>
                <w:color w:val="auto"/>
                <w:szCs w:val="21"/>
                <w:highlight w:val="none"/>
                <w:u w:val="none"/>
                <w:lang w:val="en-US" w:eastAsia="zh-CN"/>
              </w:rPr>
              <w:t>560000.00</w:t>
            </w:r>
          </w:p>
        </w:tc>
        <w:tc>
          <w:tcPr>
            <w:tcW w:w="374" w:type="pct"/>
            <w:noWrap w:val="0"/>
            <w:vAlign w:val="center"/>
          </w:tcPr>
          <w:p w14:paraId="2B4F066A">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iCs/>
                <w:color w:val="auto"/>
                <w:szCs w:val="21"/>
                <w:highlight w:val="none"/>
              </w:rPr>
            </w:pPr>
            <w:r>
              <w:rPr>
                <w:rFonts w:hint="eastAsia" w:ascii="新宋体" w:hAnsi="新宋体" w:eastAsia="新宋体" w:cs="新宋体"/>
                <w:iCs/>
                <w:color w:val="auto"/>
                <w:szCs w:val="21"/>
                <w:highlight w:val="none"/>
              </w:rPr>
              <w:t>□</w:t>
            </w:r>
          </w:p>
        </w:tc>
        <w:tc>
          <w:tcPr>
            <w:tcW w:w="374" w:type="pct"/>
            <w:noWrap w:val="0"/>
            <w:vAlign w:val="center"/>
          </w:tcPr>
          <w:p w14:paraId="39F0DDFC">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iCs/>
                <w:color w:val="auto"/>
                <w:szCs w:val="21"/>
                <w:highlight w:val="none"/>
              </w:rPr>
            </w:pPr>
            <w:r>
              <w:rPr>
                <w:rFonts w:hint="eastAsia" w:ascii="新宋体" w:hAnsi="新宋体" w:eastAsia="新宋体" w:cs="新宋体"/>
                <w:iCs/>
                <w:color w:val="auto"/>
                <w:szCs w:val="21"/>
                <w:highlight w:val="none"/>
              </w:rPr>
              <w:t>□</w:t>
            </w:r>
          </w:p>
        </w:tc>
      </w:tr>
      <w:tr w14:paraId="79DB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298" w:type="pct"/>
            <w:noWrap w:val="0"/>
            <w:vAlign w:val="center"/>
          </w:tcPr>
          <w:p w14:paraId="6CA770F3">
            <w:pPr>
              <w:pStyle w:val="3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val="0"/>
                <w:bCs/>
                <w:color w:val="auto"/>
                <w:szCs w:val="21"/>
                <w:highlight w:val="none"/>
                <w:lang w:eastAsia="zh-CN"/>
              </w:rPr>
            </w:pPr>
            <w:r>
              <w:rPr>
                <w:rFonts w:hint="eastAsia" w:ascii="新宋体" w:hAnsi="新宋体" w:eastAsia="新宋体" w:cs="新宋体"/>
                <w:b w:val="0"/>
                <w:bCs/>
                <w:color w:val="auto"/>
                <w:highlight w:val="none"/>
                <w:vertAlign w:val="baseline"/>
                <w:lang w:eastAsia="zh-CN"/>
              </w:rPr>
              <w:t>包</w:t>
            </w:r>
            <w:r>
              <w:rPr>
                <w:rFonts w:hint="eastAsia" w:ascii="新宋体" w:hAnsi="新宋体" w:eastAsia="新宋体" w:cs="新宋体"/>
                <w:b w:val="0"/>
                <w:bCs/>
                <w:color w:val="auto"/>
                <w:highlight w:val="none"/>
                <w:vertAlign w:val="baseline"/>
                <w:lang w:val="en-US" w:eastAsia="zh-CN"/>
              </w:rPr>
              <w:t>3</w:t>
            </w:r>
          </w:p>
        </w:tc>
        <w:tc>
          <w:tcPr>
            <w:tcW w:w="1227" w:type="pct"/>
            <w:noWrap w:val="0"/>
            <w:vAlign w:val="center"/>
          </w:tcPr>
          <w:p w14:paraId="49A5A238">
            <w:pPr>
              <w:pStyle w:val="3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val="0"/>
                <w:bCs/>
                <w:color w:val="auto"/>
                <w:highlight w:val="none"/>
                <w:vertAlign w:val="baseline"/>
                <w:lang w:eastAsia="zh-CN"/>
              </w:rPr>
            </w:pPr>
            <w:r>
              <w:rPr>
                <w:rFonts w:hint="eastAsia" w:ascii="新宋体" w:hAnsi="新宋体" w:eastAsia="新宋体" w:cs="新宋体"/>
                <w:b w:val="0"/>
                <w:bCs/>
                <w:color w:val="auto"/>
                <w:highlight w:val="none"/>
                <w:vertAlign w:val="baseline"/>
                <w:lang w:eastAsia="zh-CN"/>
              </w:rPr>
              <w:t>湘西自治州农业农村局2026年州本级高素质农民培育项目（乡风文明培训班和数智技术应用培训班）</w:t>
            </w:r>
          </w:p>
        </w:tc>
        <w:tc>
          <w:tcPr>
            <w:tcW w:w="651" w:type="pct"/>
            <w:noWrap w:val="0"/>
            <w:vAlign w:val="center"/>
          </w:tcPr>
          <w:p w14:paraId="28CDEAE1">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default" w:ascii="新宋体" w:hAnsi="新宋体" w:eastAsia="新宋体" w:cs="新宋体"/>
                <w:b w:val="0"/>
                <w:bCs/>
                <w:color w:val="auto"/>
                <w:szCs w:val="21"/>
                <w:highlight w:val="none"/>
                <w:lang w:val="en-US" w:eastAsia="zh-CN"/>
              </w:rPr>
            </w:pPr>
            <w:r>
              <w:rPr>
                <w:rFonts w:hint="eastAsia" w:ascii="新宋体" w:hAnsi="新宋体" w:eastAsia="新宋体" w:cs="新宋体"/>
                <w:bCs/>
                <w:color w:val="auto"/>
                <w:szCs w:val="21"/>
                <w:highlight w:val="none"/>
                <w:u w:val="none"/>
                <w:lang w:val="en-US" w:eastAsia="zh-CN"/>
              </w:rPr>
              <w:t>440000.00</w:t>
            </w:r>
          </w:p>
        </w:tc>
        <w:tc>
          <w:tcPr>
            <w:tcW w:w="724" w:type="pct"/>
            <w:noWrap w:val="0"/>
            <w:vAlign w:val="center"/>
          </w:tcPr>
          <w:p w14:paraId="0B561D32">
            <w:pPr>
              <w:pStyle w:val="3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val="0"/>
                <w:bCs/>
                <w:color w:val="auto"/>
                <w:szCs w:val="21"/>
                <w:highlight w:val="none"/>
                <w:lang w:eastAsia="zh-CN"/>
              </w:rPr>
            </w:pPr>
            <w:r>
              <w:rPr>
                <w:rFonts w:hint="eastAsia" w:ascii="新宋体" w:hAnsi="新宋体" w:eastAsia="新宋体" w:cs="新宋体"/>
                <w:b w:val="0"/>
                <w:bCs/>
                <w:color w:val="auto"/>
                <w:highlight w:val="none"/>
                <w:vertAlign w:val="baseline"/>
                <w:lang w:eastAsia="zh-CN"/>
              </w:rPr>
              <w:t>乡风文明培训班和数智技术应用培训班</w:t>
            </w:r>
          </w:p>
        </w:tc>
        <w:tc>
          <w:tcPr>
            <w:tcW w:w="469" w:type="pct"/>
            <w:noWrap w:val="0"/>
            <w:vAlign w:val="center"/>
          </w:tcPr>
          <w:p w14:paraId="44279B6E">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eastAsia="zh-CN"/>
              </w:rPr>
              <w:t>详见采购需求</w:t>
            </w:r>
          </w:p>
        </w:tc>
        <w:tc>
          <w:tcPr>
            <w:tcW w:w="275" w:type="pct"/>
            <w:noWrap w:val="0"/>
            <w:vAlign w:val="center"/>
          </w:tcPr>
          <w:p w14:paraId="70BF8BFC">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szCs w:val="21"/>
                <w:highlight w:val="none"/>
                <w:lang w:val="en-US" w:eastAsia="zh-CN"/>
              </w:rPr>
            </w:pPr>
            <w:r>
              <w:rPr>
                <w:rFonts w:hint="eastAsia" w:ascii="新宋体" w:hAnsi="新宋体" w:eastAsia="新宋体" w:cs="新宋体"/>
                <w:color w:val="auto"/>
                <w:szCs w:val="21"/>
                <w:highlight w:val="none"/>
                <w:lang w:val="en-US" w:eastAsia="zh-CN"/>
              </w:rPr>
              <w:t>1</w:t>
            </w:r>
          </w:p>
        </w:tc>
        <w:tc>
          <w:tcPr>
            <w:tcW w:w="604" w:type="pct"/>
            <w:noWrap w:val="0"/>
            <w:vAlign w:val="center"/>
          </w:tcPr>
          <w:p w14:paraId="01625384">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bCs/>
                <w:color w:val="auto"/>
                <w:szCs w:val="21"/>
                <w:highlight w:val="none"/>
                <w:u w:val="none"/>
                <w:lang w:val="en-US" w:eastAsia="zh-CN"/>
              </w:rPr>
            </w:pPr>
            <w:r>
              <w:rPr>
                <w:rFonts w:hint="eastAsia" w:ascii="新宋体" w:hAnsi="新宋体" w:eastAsia="新宋体" w:cs="新宋体"/>
                <w:bCs/>
                <w:color w:val="auto"/>
                <w:szCs w:val="21"/>
                <w:highlight w:val="none"/>
                <w:u w:val="none"/>
                <w:lang w:val="en-US" w:eastAsia="zh-CN"/>
              </w:rPr>
              <w:t>440000.00</w:t>
            </w:r>
          </w:p>
        </w:tc>
        <w:tc>
          <w:tcPr>
            <w:tcW w:w="374" w:type="pct"/>
            <w:noWrap w:val="0"/>
            <w:vAlign w:val="center"/>
          </w:tcPr>
          <w:p w14:paraId="70E37820">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iCs/>
                <w:color w:val="auto"/>
                <w:szCs w:val="21"/>
                <w:highlight w:val="none"/>
              </w:rPr>
            </w:pPr>
            <w:r>
              <w:rPr>
                <w:rFonts w:hint="eastAsia" w:ascii="新宋体" w:hAnsi="新宋体" w:eastAsia="新宋体" w:cs="新宋体"/>
                <w:iCs/>
                <w:color w:val="auto"/>
                <w:szCs w:val="21"/>
                <w:highlight w:val="none"/>
              </w:rPr>
              <w:t>□</w:t>
            </w:r>
          </w:p>
        </w:tc>
        <w:tc>
          <w:tcPr>
            <w:tcW w:w="374" w:type="pct"/>
            <w:noWrap w:val="0"/>
            <w:vAlign w:val="center"/>
          </w:tcPr>
          <w:p w14:paraId="68E632A7">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iCs/>
                <w:color w:val="auto"/>
                <w:szCs w:val="21"/>
                <w:highlight w:val="none"/>
              </w:rPr>
            </w:pPr>
            <w:r>
              <w:rPr>
                <w:rFonts w:hint="eastAsia" w:ascii="新宋体" w:hAnsi="新宋体" w:eastAsia="新宋体" w:cs="新宋体"/>
                <w:iCs/>
                <w:color w:val="auto"/>
                <w:szCs w:val="21"/>
                <w:highlight w:val="none"/>
              </w:rPr>
              <w:t>□</w:t>
            </w:r>
          </w:p>
        </w:tc>
      </w:tr>
    </w:tbl>
    <w:p w14:paraId="56AB5CB1">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说明：</w:t>
      </w:r>
    </w:p>
    <w:p w14:paraId="4243C02E">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lang w:val="en-US" w:eastAsia="zh-CN"/>
        </w:rPr>
        <w:t>1.</w:t>
      </w:r>
      <w:r>
        <w:rPr>
          <w:rFonts w:hint="eastAsia" w:ascii="新宋体" w:hAnsi="新宋体" w:eastAsia="新宋体" w:cs="新宋体"/>
          <w:color w:val="auto"/>
          <w:szCs w:val="21"/>
          <w:highlight w:val="none"/>
        </w:rPr>
        <w:t>节能产品实行</w:t>
      </w:r>
      <w:r>
        <w:rPr>
          <w:rFonts w:hint="eastAsia" w:ascii="新宋体" w:hAnsi="新宋体" w:eastAsia="新宋体" w:cs="新宋体"/>
          <w:iCs/>
          <w:color w:val="auto"/>
          <w:szCs w:val="21"/>
          <w:highlight w:val="none"/>
        </w:rPr>
        <w:t>强制采购的</w:t>
      </w:r>
      <w:r>
        <w:rPr>
          <w:rFonts w:hint="eastAsia" w:ascii="新宋体" w:hAnsi="新宋体" w:eastAsia="新宋体" w:cs="新宋体"/>
          <w:color w:val="auto"/>
          <w:szCs w:val="21"/>
          <w:highlight w:val="none"/>
        </w:rPr>
        <w:t>，需提供国家认证机构出具的、处于有效期内的节能产品证书。</w:t>
      </w:r>
    </w:p>
    <w:p w14:paraId="75EDAEE0">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lang w:val="en-US" w:eastAsia="zh-CN"/>
        </w:rPr>
        <w:t>2.</w:t>
      </w:r>
      <w:r>
        <w:rPr>
          <w:rFonts w:hint="eastAsia" w:ascii="新宋体" w:hAnsi="新宋体" w:eastAsia="新宋体" w:cs="新宋体"/>
          <w:color w:val="auto"/>
          <w:szCs w:val="21"/>
          <w:highlight w:val="none"/>
        </w:rPr>
        <w:t>同意购买进口产品的，不限制满足采购需求的国内产品参与投标。</w:t>
      </w:r>
    </w:p>
    <w:p w14:paraId="5AB094A1">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outlineLvl w:val="9"/>
        <w:rPr>
          <w:rFonts w:hint="eastAsia" w:ascii="新宋体" w:hAnsi="新宋体" w:eastAsia="新宋体" w:cs="新宋体"/>
          <w:b/>
          <w:color w:val="auto"/>
          <w:szCs w:val="21"/>
          <w:highlight w:val="none"/>
        </w:rPr>
      </w:pPr>
      <w:r>
        <w:rPr>
          <w:rFonts w:hint="eastAsia" w:ascii="新宋体" w:hAnsi="新宋体" w:eastAsia="新宋体" w:cs="新宋体"/>
          <w:b/>
          <w:color w:val="auto"/>
          <w:szCs w:val="21"/>
          <w:highlight w:val="none"/>
        </w:rPr>
        <w:t>三、采购项目需落实的政府采购政策：</w:t>
      </w:r>
    </w:p>
    <w:p w14:paraId="43A103F7">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1、</w:t>
      </w:r>
      <w:r>
        <w:rPr>
          <w:rFonts w:hint="eastAsia" w:ascii="新宋体" w:hAnsi="新宋体" w:eastAsia="新宋体" w:cs="新宋体"/>
          <w:color w:val="auto"/>
          <w:szCs w:val="21"/>
          <w:highlight w:val="none"/>
          <w:lang w:val="en-US" w:eastAsia="zh-CN"/>
        </w:rPr>
        <w:t>优先采购：</w:t>
      </w:r>
      <w:r>
        <w:rPr>
          <w:rFonts w:hint="eastAsia" w:ascii="新宋体" w:hAnsi="新宋体" w:eastAsia="新宋体" w:cs="新宋体"/>
          <w:color w:val="auto"/>
          <w:szCs w:val="21"/>
          <w:highlight w:val="none"/>
        </w:rPr>
        <w:t>节能产品、</w:t>
      </w:r>
      <w:r>
        <w:rPr>
          <w:rFonts w:hint="eastAsia" w:ascii="新宋体" w:hAnsi="新宋体" w:eastAsia="新宋体" w:cs="新宋体"/>
          <w:color w:val="auto"/>
          <w:szCs w:val="21"/>
          <w:highlight w:val="none"/>
          <w:lang w:val="en-US" w:eastAsia="zh-CN"/>
        </w:rPr>
        <w:t>环境标志产品、</w:t>
      </w:r>
      <w:r>
        <w:rPr>
          <w:rFonts w:hint="eastAsia" w:ascii="新宋体" w:hAnsi="新宋体" w:eastAsia="新宋体" w:cs="新宋体"/>
          <w:color w:val="auto"/>
          <w:szCs w:val="21"/>
          <w:highlight w:val="none"/>
        </w:rPr>
        <w:t>两型产品享受加分或价格折扣。</w:t>
      </w:r>
    </w:p>
    <w:p w14:paraId="798D687C">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lang w:val="en-US" w:eastAsia="zh-CN"/>
        </w:rPr>
      </w:pPr>
      <w:r>
        <w:rPr>
          <w:rFonts w:hint="eastAsia" w:ascii="新宋体" w:hAnsi="新宋体" w:eastAsia="新宋体" w:cs="新宋体"/>
          <w:color w:val="auto"/>
          <w:szCs w:val="21"/>
          <w:highlight w:val="none"/>
        </w:rPr>
        <w:t>2、</w:t>
      </w:r>
      <w:r>
        <w:rPr>
          <w:rFonts w:hint="eastAsia" w:ascii="新宋体" w:hAnsi="新宋体" w:eastAsia="新宋体" w:cs="新宋体"/>
          <w:color w:val="auto"/>
          <w:szCs w:val="21"/>
          <w:highlight w:val="none"/>
          <w:lang w:val="en-US" w:eastAsia="zh-CN"/>
        </w:rPr>
        <w:t>支持中小企业：中小企业享受预留采购份额或价格折扣。</w:t>
      </w:r>
    </w:p>
    <w:p w14:paraId="4FF91656">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outlineLvl w:val="9"/>
        <w:rPr>
          <w:rFonts w:hint="eastAsia" w:ascii="新宋体" w:hAnsi="新宋体" w:eastAsia="新宋体" w:cs="新宋体"/>
          <w:b/>
          <w:color w:val="auto"/>
          <w:szCs w:val="21"/>
          <w:highlight w:val="none"/>
        </w:rPr>
      </w:pPr>
      <w:r>
        <w:rPr>
          <w:rFonts w:hint="eastAsia" w:ascii="新宋体" w:hAnsi="新宋体" w:eastAsia="新宋体" w:cs="新宋体"/>
          <w:b/>
          <w:color w:val="auto"/>
          <w:szCs w:val="21"/>
          <w:highlight w:val="none"/>
        </w:rPr>
        <w:t>四、投标人的资格要求：</w:t>
      </w:r>
    </w:p>
    <w:p w14:paraId="0EF59ADA">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1、投标人的基本资格条件：投标人必须是在中华人民共和国境内注册登记的法人、其他组织或者自然人，且应当符合《政府采购法》第二十二条第一款的规定。</w:t>
      </w:r>
    </w:p>
    <w:p w14:paraId="62CB7C72">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2、落实政府采购政策需满足的资格要求：</w:t>
      </w:r>
    </w:p>
    <w:p w14:paraId="5EEC57EA">
      <w:pPr>
        <w:pageBreakBefore w:val="0"/>
        <w:kinsoku/>
        <w:overflowPunct/>
        <w:topLinePunct w:val="0"/>
        <w:bidi w:val="0"/>
        <w:adjustRightInd w:val="0"/>
        <w:snapToGrid w:val="0"/>
        <w:spacing w:line="360" w:lineRule="auto"/>
        <w:ind w:firstLine="630" w:firstLineChars="3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iCs/>
          <w:color w:val="auto"/>
          <w:szCs w:val="21"/>
          <w:highlight w:val="none"/>
          <w:lang w:eastAsia="zh-CN"/>
        </w:rPr>
        <w:t>□</w:t>
      </w:r>
      <w:r>
        <w:rPr>
          <w:rFonts w:hint="eastAsia" w:ascii="新宋体" w:hAnsi="新宋体" w:eastAsia="新宋体" w:cs="新宋体"/>
          <w:iCs/>
          <w:color w:val="auto"/>
          <w:szCs w:val="21"/>
          <w:highlight w:val="none"/>
          <w:lang w:val="en-US" w:eastAsia="zh-CN"/>
        </w:rPr>
        <w:t>专门面向</w:t>
      </w:r>
      <w:r>
        <w:rPr>
          <w:rFonts w:hint="eastAsia" w:ascii="新宋体" w:hAnsi="新宋体" w:eastAsia="新宋体" w:cs="新宋体"/>
          <w:bCs/>
          <w:color w:val="auto"/>
          <w:szCs w:val="21"/>
          <w:highlight w:val="none"/>
          <w:lang w:eastAsia="zh-CN"/>
        </w:rPr>
        <w:t>：</w:t>
      </w:r>
      <w:r>
        <w:rPr>
          <w:rFonts w:hint="eastAsia" w:ascii="新宋体" w:hAnsi="新宋体" w:eastAsia="新宋体" w:cs="新宋体"/>
          <w:iCs/>
          <w:color w:val="auto"/>
          <w:szCs w:val="21"/>
          <w:highlight w:val="none"/>
          <w:lang w:eastAsia="zh-CN"/>
        </w:rPr>
        <w:t>□</w:t>
      </w:r>
      <w:r>
        <w:rPr>
          <w:rFonts w:hint="eastAsia" w:ascii="新宋体" w:hAnsi="新宋体" w:eastAsia="新宋体" w:cs="新宋体"/>
          <w:iCs/>
          <w:color w:val="auto"/>
          <w:szCs w:val="21"/>
          <w:highlight w:val="none"/>
        </w:rPr>
        <w:t>中</w:t>
      </w:r>
      <w:r>
        <w:rPr>
          <w:rFonts w:hint="eastAsia" w:ascii="新宋体" w:hAnsi="新宋体" w:eastAsia="新宋体" w:cs="新宋体"/>
          <w:iCs/>
          <w:color w:val="auto"/>
          <w:szCs w:val="21"/>
          <w:highlight w:val="none"/>
          <w:lang w:val="en-US" w:eastAsia="zh-CN"/>
        </w:rPr>
        <w:t>小</w:t>
      </w:r>
      <w:r>
        <w:rPr>
          <w:rFonts w:hint="eastAsia" w:ascii="新宋体" w:hAnsi="新宋体" w:eastAsia="新宋体" w:cs="新宋体"/>
          <w:iCs/>
          <w:color w:val="auto"/>
          <w:szCs w:val="21"/>
          <w:highlight w:val="none"/>
        </w:rPr>
        <w:t xml:space="preserve">企业  </w:t>
      </w:r>
      <w:r>
        <w:rPr>
          <w:rFonts w:hint="eastAsia" w:ascii="新宋体" w:hAnsi="新宋体" w:eastAsia="新宋体" w:cs="新宋体"/>
          <w:iCs/>
          <w:color w:val="auto"/>
          <w:szCs w:val="21"/>
          <w:highlight w:val="none"/>
          <w:lang w:eastAsia="zh-CN"/>
        </w:rPr>
        <w:t>□</w:t>
      </w:r>
      <w:r>
        <w:rPr>
          <w:rFonts w:hint="eastAsia" w:ascii="新宋体" w:hAnsi="新宋体" w:eastAsia="新宋体" w:cs="新宋体"/>
          <w:iCs/>
          <w:color w:val="auto"/>
          <w:szCs w:val="21"/>
          <w:highlight w:val="none"/>
        </w:rPr>
        <w:t xml:space="preserve">小微企业 </w:t>
      </w:r>
      <w:r>
        <w:rPr>
          <w:rFonts w:hint="eastAsia" w:ascii="新宋体" w:hAnsi="新宋体" w:eastAsia="新宋体" w:cs="新宋体"/>
          <w:iCs/>
          <w:color w:val="auto"/>
          <w:szCs w:val="21"/>
          <w:highlight w:val="none"/>
          <w:lang w:eastAsia="zh-CN"/>
        </w:rPr>
        <w:t>□</w:t>
      </w:r>
      <w:r>
        <w:rPr>
          <w:rFonts w:hint="eastAsia" w:ascii="新宋体" w:hAnsi="新宋体" w:eastAsia="新宋体" w:cs="新宋体"/>
          <w:iCs/>
          <w:color w:val="auto"/>
          <w:szCs w:val="21"/>
          <w:highlight w:val="none"/>
        </w:rPr>
        <w:t xml:space="preserve">监狱企业 </w:t>
      </w:r>
      <w:r>
        <w:rPr>
          <w:rFonts w:hint="eastAsia" w:ascii="新宋体" w:hAnsi="新宋体" w:eastAsia="新宋体" w:cs="新宋体"/>
          <w:iCs/>
          <w:color w:val="auto"/>
          <w:szCs w:val="21"/>
          <w:highlight w:val="none"/>
          <w:lang w:eastAsia="zh-CN"/>
        </w:rPr>
        <w:t>□</w:t>
      </w:r>
      <w:r>
        <w:rPr>
          <w:rFonts w:hint="eastAsia" w:ascii="新宋体" w:hAnsi="新宋体" w:eastAsia="新宋体" w:cs="新宋体"/>
          <w:iCs/>
          <w:color w:val="auto"/>
          <w:szCs w:val="21"/>
          <w:highlight w:val="none"/>
        </w:rPr>
        <w:t>福利性单位。</w:t>
      </w:r>
    </w:p>
    <w:p w14:paraId="233CC566">
      <w:pPr>
        <w:pageBreakBefore w:val="0"/>
        <w:kinsoku/>
        <w:overflowPunct/>
        <w:topLinePunct w:val="0"/>
        <w:bidi w:val="0"/>
        <w:adjustRightInd w:val="0"/>
        <w:snapToGrid w:val="0"/>
        <w:spacing w:line="360" w:lineRule="auto"/>
        <w:ind w:firstLine="630" w:firstLineChars="300"/>
        <w:textAlignment w:val="auto"/>
        <w:outlineLvl w:val="9"/>
        <w:rPr>
          <w:rFonts w:hint="eastAsia" w:ascii="新宋体" w:hAnsi="新宋体" w:eastAsia="新宋体" w:cs="新宋体"/>
          <w:bCs/>
          <w:color w:val="auto"/>
          <w:szCs w:val="21"/>
          <w:highlight w:val="none"/>
        </w:rPr>
      </w:pPr>
      <w:r>
        <w:rPr>
          <w:rFonts w:hint="eastAsia" w:ascii="新宋体" w:hAnsi="新宋体" w:eastAsia="新宋体" w:cs="新宋体"/>
          <w:iCs/>
          <w:color w:val="auto"/>
          <w:szCs w:val="21"/>
          <w:highlight w:val="none"/>
        </w:rPr>
        <w:t>□强制</w:t>
      </w:r>
      <w:r>
        <w:rPr>
          <w:rFonts w:hint="eastAsia" w:ascii="新宋体" w:hAnsi="新宋体" w:eastAsia="新宋体" w:cs="新宋体"/>
          <w:bCs/>
          <w:color w:val="auto"/>
          <w:szCs w:val="21"/>
          <w:highlight w:val="none"/>
        </w:rPr>
        <w:t>分包</w:t>
      </w:r>
      <w:r>
        <w:rPr>
          <w:rFonts w:hint="eastAsia" w:ascii="新宋体" w:hAnsi="新宋体" w:eastAsia="新宋体" w:cs="新宋体"/>
          <w:bCs/>
          <w:color w:val="auto"/>
          <w:szCs w:val="21"/>
          <w:highlight w:val="none"/>
          <w:lang w:eastAsia="zh-CN"/>
        </w:rPr>
        <w:t>：</w:t>
      </w:r>
      <w:r>
        <w:rPr>
          <w:rFonts w:hint="eastAsia" w:ascii="新宋体" w:hAnsi="新宋体" w:eastAsia="新宋体" w:cs="新宋体"/>
          <w:bCs/>
          <w:color w:val="auto"/>
          <w:szCs w:val="21"/>
          <w:highlight w:val="none"/>
        </w:rPr>
        <w:t>大型企业应将采购份额</w:t>
      </w:r>
      <w:r>
        <w:rPr>
          <w:rFonts w:hint="eastAsia" w:ascii="新宋体" w:hAnsi="新宋体" w:eastAsia="新宋体" w:cs="新宋体"/>
          <w:bCs/>
          <w:color w:val="auto"/>
          <w:szCs w:val="21"/>
          <w:highlight w:val="none"/>
          <w:lang w:val="en-US" w:eastAsia="zh-CN"/>
        </w:rPr>
        <w:t>的</w:t>
      </w:r>
      <w:r>
        <w:rPr>
          <w:rFonts w:hint="eastAsia" w:ascii="新宋体" w:hAnsi="新宋体" w:eastAsia="新宋体" w:cs="新宋体"/>
          <w:bCs/>
          <w:color w:val="auto"/>
          <w:szCs w:val="21"/>
          <w:highlight w:val="none"/>
          <w:u w:val="single"/>
          <w:lang w:val="en-US" w:eastAsia="zh-CN"/>
        </w:rPr>
        <w:t xml:space="preserve">  /  </w:t>
      </w:r>
      <w:r>
        <w:rPr>
          <w:rFonts w:hint="eastAsia" w:ascii="新宋体" w:hAnsi="新宋体" w:eastAsia="新宋体" w:cs="新宋体"/>
          <w:bCs/>
          <w:color w:val="auto"/>
          <w:szCs w:val="21"/>
          <w:highlight w:val="none"/>
        </w:rPr>
        <w:t>%分包给中小企业。</w:t>
      </w:r>
    </w:p>
    <w:p w14:paraId="083C9829">
      <w:pPr>
        <w:pageBreakBefore w:val="0"/>
        <w:numPr>
          <w:ilvl w:val="0"/>
          <w:numId w:val="1"/>
        </w:numPr>
        <w:kinsoku/>
        <w:overflowPunct/>
        <w:topLinePunct w:val="0"/>
        <w:bidi w:val="0"/>
        <w:adjustRightInd w:val="0"/>
        <w:snapToGrid w:val="0"/>
        <w:spacing w:line="360" w:lineRule="auto"/>
        <w:ind w:firstLine="420" w:firstLineChars="200"/>
        <w:textAlignment w:val="auto"/>
        <w:outlineLvl w:val="9"/>
        <w:rPr>
          <w:rFonts w:hint="eastAsia" w:ascii="Times New Roman" w:hAnsi="Times New Roman" w:eastAsia="宋体" w:cs="Times New Roman"/>
          <w:b/>
          <w:bCs/>
          <w:color w:val="auto"/>
          <w:highlight w:val="none"/>
          <w:lang w:val="en-US" w:eastAsia="zh-CN"/>
        </w:rPr>
      </w:pPr>
      <w:r>
        <w:rPr>
          <w:rFonts w:hint="eastAsia" w:ascii="新宋体" w:hAnsi="新宋体" w:eastAsia="新宋体" w:cs="新宋体"/>
          <w:color w:val="auto"/>
          <w:szCs w:val="21"/>
          <w:highlight w:val="none"/>
        </w:rPr>
        <w:t>采购项目的特定资格条件</w:t>
      </w:r>
      <w:r>
        <w:rPr>
          <w:rFonts w:hint="eastAsia" w:ascii="新宋体" w:hAnsi="新宋体" w:eastAsia="新宋体" w:cs="新宋体"/>
          <w:color w:val="auto"/>
          <w:szCs w:val="21"/>
          <w:highlight w:val="none"/>
          <w:lang w:eastAsia="zh-CN"/>
        </w:rPr>
        <w:t>：</w:t>
      </w:r>
    </w:p>
    <w:p w14:paraId="04268342">
      <w:pPr>
        <w:pageBreakBefore w:val="0"/>
        <w:kinsoku/>
        <w:overflowPunct/>
        <w:topLinePunct w:val="0"/>
        <w:bidi w:val="0"/>
        <w:adjustRightInd w:val="0"/>
        <w:snapToGrid w:val="0"/>
        <w:spacing w:line="360" w:lineRule="auto"/>
        <w:ind w:firstLine="420" w:firstLineChars="200"/>
        <w:textAlignment w:val="auto"/>
        <w:outlineLvl w:val="9"/>
        <w:rPr>
          <w:rFonts w:hint="default" w:ascii="新宋体" w:hAnsi="新宋体" w:eastAsia="新宋体" w:cs="新宋体"/>
          <w:color w:val="auto"/>
          <w:szCs w:val="21"/>
          <w:highlight w:val="none"/>
          <w:lang w:val="en-US" w:eastAsia="zh-CN"/>
        </w:rPr>
      </w:pPr>
      <w:r>
        <w:rPr>
          <w:rFonts w:hint="eastAsia" w:ascii="新宋体" w:hAnsi="新宋体" w:eastAsia="新宋体" w:cs="新宋体"/>
          <w:color w:val="auto"/>
          <w:szCs w:val="21"/>
          <w:highlight w:val="none"/>
          <w:lang w:val="en-US" w:eastAsia="zh-CN"/>
        </w:rPr>
        <w:t>包1：无，包2：无，包3：无。</w:t>
      </w:r>
    </w:p>
    <w:p w14:paraId="46495266">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4、单位负责人为同一人或者存在直接控股、管理关系的不同投标人，不得参加同一合同项下的政府采购活动。</w:t>
      </w:r>
    </w:p>
    <w:p w14:paraId="702D229B">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5、为本采购项目提供整体设计、规范编制或者项目管理、监理、检测等服务的，不得再参加此项目的其他采购活动。</w:t>
      </w:r>
    </w:p>
    <w:p w14:paraId="11EA4921">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6、列入失信被执行人、重大税收违法失信主体名单</w:t>
      </w:r>
      <w:r>
        <w:rPr>
          <w:rFonts w:hint="eastAsia" w:ascii="新宋体" w:hAnsi="新宋体" w:eastAsia="新宋体" w:cs="新宋体"/>
          <w:color w:val="auto"/>
          <w:szCs w:val="21"/>
          <w:highlight w:val="none"/>
          <w:lang w:eastAsia="zh-CN"/>
        </w:rPr>
        <w:t>、</w:t>
      </w:r>
      <w:r>
        <w:rPr>
          <w:rFonts w:hint="eastAsia" w:ascii="新宋体" w:hAnsi="新宋体" w:eastAsia="新宋体" w:cs="新宋体"/>
          <w:color w:val="auto"/>
          <w:szCs w:val="21"/>
          <w:highlight w:val="none"/>
        </w:rPr>
        <w:t>政府采购严重违法失信行为记录名单的，拒绝其参与政府采购活动。</w:t>
      </w:r>
    </w:p>
    <w:p w14:paraId="26A6F0F5">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7、联合体投标。本次招标</w:t>
      </w:r>
      <w:r>
        <w:rPr>
          <w:rFonts w:hint="eastAsia" w:ascii="新宋体" w:hAnsi="新宋体" w:eastAsia="新宋体" w:cs="新宋体"/>
          <w:color w:val="auto"/>
          <w:szCs w:val="21"/>
          <w:highlight w:val="none"/>
          <w:u w:val="single"/>
        </w:rPr>
        <w:t>不接受</w:t>
      </w:r>
      <w:r>
        <w:rPr>
          <w:rFonts w:hint="eastAsia" w:ascii="新宋体" w:hAnsi="新宋体" w:eastAsia="新宋体" w:cs="新宋体"/>
          <w:color w:val="auto"/>
          <w:szCs w:val="21"/>
          <w:highlight w:val="none"/>
        </w:rPr>
        <w:t>(接受或不接受)联合体投标。</w:t>
      </w:r>
    </w:p>
    <w:p w14:paraId="04290C09">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outlineLvl w:val="9"/>
        <w:rPr>
          <w:rFonts w:hint="eastAsia" w:ascii="新宋体" w:hAnsi="新宋体" w:eastAsia="新宋体" w:cs="新宋体"/>
          <w:b/>
          <w:color w:val="auto"/>
          <w:szCs w:val="21"/>
          <w:highlight w:val="none"/>
        </w:rPr>
      </w:pPr>
      <w:r>
        <w:rPr>
          <w:rFonts w:hint="eastAsia" w:ascii="新宋体" w:hAnsi="新宋体" w:eastAsia="新宋体" w:cs="新宋体"/>
          <w:b/>
          <w:color w:val="auto"/>
          <w:szCs w:val="21"/>
          <w:highlight w:val="none"/>
        </w:rPr>
        <w:t>五、获取招标文件的时间、期限、地点及方式</w:t>
      </w:r>
    </w:p>
    <w:p w14:paraId="5AB0B466">
      <w:pPr>
        <w:keepNext w:val="0"/>
        <w:keepLines w:val="0"/>
        <w:pageBreakBefore w:val="0"/>
        <w:widowControl w:val="0"/>
        <w:tabs>
          <w:tab w:val="left" w:pos="4700"/>
          <w:tab w:val="left" w:pos="6000"/>
          <w:tab w:val="left" w:pos="7160"/>
          <w:tab w:val="left" w:pos="8520"/>
        </w:tabs>
        <w:kinsoku/>
        <w:wordWrap/>
        <w:overflowPunct/>
        <w:topLinePunct w:val="0"/>
        <w:autoSpaceDE w:val="0"/>
        <w:autoSpaceDN w:val="0"/>
        <w:bidi w:val="0"/>
        <w:adjustRightInd w:val="0"/>
        <w:snapToGrid w:val="0"/>
        <w:spacing w:line="360" w:lineRule="auto"/>
        <w:ind w:right="0" w:firstLine="420" w:firstLineChars="200"/>
        <w:jc w:val="left"/>
        <w:textAlignment w:val="auto"/>
        <w:outlineLvl w:val="9"/>
        <w:rPr>
          <w:rFonts w:hint="eastAsia" w:ascii="新宋体" w:hAnsi="新宋体" w:eastAsia="新宋体" w:cs="新宋体"/>
          <w:color w:val="auto"/>
          <w:spacing w:val="0"/>
          <w:w w:val="100"/>
          <w:kern w:val="0"/>
          <w:sz w:val="21"/>
          <w:szCs w:val="21"/>
          <w:highlight w:val="none"/>
        </w:rPr>
      </w:pPr>
      <w:r>
        <w:rPr>
          <w:rFonts w:hint="eastAsia" w:ascii="新宋体" w:hAnsi="新宋体" w:eastAsia="新宋体" w:cs="新宋体"/>
          <w:color w:val="auto"/>
          <w:spacing w:val="0"/>
          <w:w w:val="100"/>
          <w:kern w:val="0"/>
          <w:sz w:val="21"/>
          <w:szCs w:val="21"/>
          <w:highlight w:val="none"/>
        </w:rPr>
        <w:t>1、本项目实行电子交易，有意参加投标者</w:t>
      </w:r>
      <w:r>
        <w:rPr>
          <w:rFonts w:hint="eastAsia" w:ascii="新宋体" w:hAnsi="新宋体" w:eastAsia="新宋体" w:cs="新宋体"/>
          <w:color w:val="auto"/>
          <w:spacing w:val="0"/>
          <w:w w:val="100"/>
          <w:kern w:val="0"/>
          <w:sz w:val="21"/>
          <w:szCs w:val="21"/>
          <w:highlight w:val="none"/>
          <w:lang w:eastAsia="zh-CN"/>
        </w:rPr>
        <w:t>，请于</w:t>
      </w:r>
      <w:r>
        <w:rPr>
          <w:rFonts w:hint="eastAsia" w:ascii="新宋体" w:hAnsi="新宋体" w:eastAsia="新宋体" w:cs="新宋体"/>
          <w:b/>
          <w:bCs/>
          <w:color w:val="auto"/>
          <w:spacing w:val="0"/>
          <w:w w:val="100"/>
          <w:kern w:val="0"/>
          <w:sz w:val="21"/>
          <w:szCs w:val="21"/>
          <w:highlight w:val="yellow"/>
          <w:lang w:val="en-US" w:eastAsia="zh-CN"/>
        </w:rPr>
        <w:t>2026</w:t>
      </w:r>
      <w:r>
        <w:rPr>
          <w:rFonts w:hint="eastAsia" w:ascii="新宋体" w:hAnsi="新宋体" w:eastAsia="新宋体" w:cs="新宋体"/>
          <w:b/>
          <w:bCs/>
          <w:color w:val="auto"/>
          <w:spacing w:val="0"/>
          <w:w w:val="100"/>
          <w:kern w:val="0"/>
          <w:sz w:val="21"/>
          <w:szCs w:val="21"/>
          <w:highlight w:val="yellow"/>
        </w:rPr>
        <w:t>年</w:t>
      </w:r>
      <w:r>
        <w:rPr>
          <w:rFonts w:hint="eastAsia" w:ascii="新宋体" w:hAnsi="新宋体" w:eastAsia="新宋体" w:cs="新宋体"/>
          <w:b/>
          <w:bCs/>
          <w:color w:val="auto"/>
          <w:spacing w:val="0"/>
          <w:w w:val="100"/>
          <w:kern w:val="0"/>
          <w:sz w:val="21"/>
          <w:szCs w:val="21"/>
          <w:highlight w:val="yellow"/>
          <w:lang w:val="en-US" w:eastAsia="zh-CN"/>
        </w:rPr>
        <w:t>8</w:t>
      </w:r>
      <w:r>
        <w:rPr>
          <w:rFonts w:hint="eastAsia" w:ascii="新宋体" w:hAnsi="新宋体" w:eastAsia="新宋体" w:cs="新宋体"/>
          <w:b/>
          <w:bCs/>
          <w:color w:val="auto"/>
          <w:spacing w:val="0"/>
          <w:w w:val="100"/>
          <w:kern w:val="0"/>
          <w:sz w:val="21"/>
          <w:szCs w:val="21"/>
          <w:highlight w:val="yellow"/>
        </w:rPr>
        <w:t>月</w:t>
      </w:r>
      <w:r>
        <w:rPr>
          <w:rFonts w:hint="eastAsia" w:ascii="新宋体" w:hAnsi="新宋体" w:eastAsia="新宋体" w:cs="新宋体"/>
          <w:b/>
          <w:bCs/>
          <w:color w:val="auto"/>
          <w:spacing w:val="0"/>
          <w:w w:val="100"/>
          <w:kern w:val="0"/>
          <w:sz w:val="21"/>
          <w:szCs w:val="21"/>
          <w:highlight w:val="yellow"/>
          <w:lang w:val="en-US" w:eastAsia="zh-CN"/>
        </w:rPr>
        <w:t>28</w:t>
      </w:r>
      <w:r>
        <w:rPr>
          <w:rFonts w:hint="eastAsia" w:ascii="新宋体" w:hAnsi="新宋体" w:eastAsia="新宋体" w:cs="新宋体"/>
          <w:b/>
          <w:bCs/>
          <w:color w:val="auto"/>
          <w:spacing w:val="0"/>
          <w:w w:val="100"/>
          <w:kern w:val="0"/>
          <w:sz w:val="21"/>
          <w:szCs w:val="21"/>
          <w:highlight w:val="yellow"/>
        </w:rPr>
        <w:t>日</w:t>
      </w:r>
      <w:r>
        <w:rPr>
          <w:rFonts w:hint="eastAsia" w:ascii="新宋体" w:hAnsi="新宋体" w:eastAsia="新宋体" w:cs="新宋体"/>
          <w:b/>
          <w:bCs/>
          <w:color w:val="auto"/>
          <w:spacing w:val="0"/>
          <w:w w:val="100"/>
          <w:kern w:val="0"/>
          <w:sz w:val="21"/>
          <w:szCs w:val="21"/>
          <w:highlight w:val="yellow"/>
          <w:lang w:eastAsia="zh-CN"/>
        </w:rPr>
        <w:t>至</w:t>
      </w:r>
      <w:r>
        <w:rPr>
          <w:rFonts w:hint="eastAsia" w:ascii="新宋体" w:hAnsi="新宋体" w:eastAsia="新宋体" w:cs="新宋体"/>
          <w:b/>
          <w:bCs/>
          <w:color w:val="auto"/>
          <w:spacing w:val="0"/>
          <w:w w:val="100"/>
          <w:kern w:val="0"/>
          <w:sz w:val="21"/>
          <w:szCs w:val="21"/>
          <w:highlight w:val="yellow"/>
          <w:lang w:val="en-US" w:eastAsia="zh-CN"/>
        </w:rPr>
        <w:t>2026</w:t>
      </w:r>
      <w:r>
        <w:rPr>
          <w:rFonts w:hint="eastAsia" w:ascii="新宋体" w:hAnsi="新宋体" w:eastAsia="新宋体" w:cs="新宋体"/>
          <w:b/>
          <w:bCs/>
          <w:color w:val="auto"/>
          <w:spacing w:val="0"/>
          <w:w w:val="100"/>
          <w:kern w:val="0"/>
          <w:sz w:val="21"/>
          <w:szCs w:val="21"/>
          <w:highlight w:val="yellow"/>
        </w:rPr>
        <w:t>年</w:t>
      </w:r>
      <w:r>
        <w:rPr>
          <w:rFonts w:hint="eastAsia" w:ascii="新宋体" w:hAnsi="新宋体" w:eastAsia="新宋体" w:cs="新宋体"/>
          <w:b/>
          <w:bCs/>
          <w:color w:val="auto"/>
          <w:spacing w:val="0"/>
          <w:w w:val="100"/>
          <w:kern w:val="0"/>
          <w:sz w:val="21"/>
          <w:szCs w:val="21"/>
          <w:highlight w:val="yellow"/>
          <w:lang w:val="en-US" w:eastAsia="zh-CN"/>
        </w:rPr>
        <w:t>9</w:t>
      </w:r>
      <w:r>
        <w:rPr>
          <w:rFonts w:hint="eastAsia" w:ascii="新宋体" w:hAnsi="新宋体" w:eastAsia="新宋体" w:cs="新宋体"/>
          <w:b/>
          <w:bCs/>
          <w:color w:val="auto"/>
          <w:spacing w:val="0"/>
          <w:w w:val="100"/>
          <w:kern w:val="0"/>
          <w:sz w:val="21"/>
          <w:szCs w:val="21"/>
          <w:highlight w:val="yellow"/>
        </w:rPr>
        <w:t>月</w:t>
      </w:r>
      <w:r>
        <w:rPr>
          <w:rFonts w:hint="eastAsia" w:ascii="新宋体" w:hAnsi="新宋体" w:eastAsia="新宋体" w:cs="新宋体"/>
          <w:b/>
          <w:bCs/>
          <w:color w:val="auto"/>
          <w:spacing w:val="0"/>
          <w:w w:val="100"/>
          <w:kern w:val="0"/>
          <w:sz w:val="21"/>
          <w:szCs w:val="21"/>
          <w:highlight w:val="yellow"/>
          <w:lang w:val="en-US" w:eastAsia="zh-CN"/>
        </w:rPr>
        <w:t>16</w:t>
      </w:r>
      <w:r>
        <w:rPr>
          <w:rFonts w:hint="eastAsia" w:ascii="新宋体" w:hAnsi="新宋体" w:eastAsia="新宋体" w:cs="新宋体"/>
          <w:b/>
          <w:bCs/>
          <w:color w:val="auto"/>
          <w:spacing w:val="0"/>
          <w:w w:val="100"/>
          <w:kern w:val="0"/>
          <w:sz w:val="21"/>
          <w:szCs w:val="21"/>
          <w:highlight w:val="yellow"/>
        </w:rPr>
        <w:t>日止</w:t>
      </w:r>
      <w:r>
        <w:rPr>
          <w:rFonts w:hint="eastAsia" w:ascii="新宋体" w:hAnsi="新宋体" w:eastAsia="新宋体" w:cs="新宋体"/>
          <w:color w:val="auto"/>
          <w:spacing w:val="0"/>
          <w:w w:val="100"/>
          <w:kern w:val="0"/>
          <w:sz w:val="21"/>
          <w:szCs w:val="21"/>
          <w:highlight w:val="none"/>
        </w:rPr>
        <w:t>(北京时间)；登陆登录</w:t>
      </w:r>
      <w:r>
        <w:rPr>
          <w:rFonts w:hint="eastAsia" w:ascii="新宋体" w:hAnsi="新宋体" w:eastAsia="新宋体" w:cs="新宋体"/>
          <w:color w:val="auto"/>
          <w:spacing w:val="0"/>
          <w:w w:val="100"/>
          <w:kern w:val="0"/>
          <w:sz w:val="21"/>
          <w:szCs w:val="21"/>
          <w:highlight w:val="none"/>
          <w:lang w:eastAsia="zh-CN"/>
        </w:rPr>
        <w:t>“</w:t>
      </w:r>
      <w:r>
        <w:rPr>
          <w:rFonts w:hint="eastAsia" w:ascii="新宋体" w:hAnsi="新宋体" w:eastAsia="新宋体" w:cs="新宋体"/>
          <w:color w:val="auto"/>
          <w:spacing w:val="0"/>
          <w:w w:val="100"/>
          <w:kern w:val="0"/>
          <w:sz w:val="21"/>
          <w:szCs w:val="21"/>
          <w:highlight w:val="none"/>
        </w:rPr>
        <w:t>中国湖南政府采购网（http://www.ccgp-hunan.gov.cn）</w:t>
      </w:r>
      <w:r>
        <w:rPr>
          <w:rFonts w:hint="eastAsia" w:ascii="新宋体" w:hAnsi="新宋体" w:eastAsia="新宋体" w:cs="新宋体"/>
          <w:color w:val="auto"/>
          <w:spacing w:val="0"/>
          <w:w w:val="100"/>
          <w:kern w:val="0"/>
          <w:sz w:val="21"/>
          <w:szCs w:val="21"/>
          <w:highlight w:val="none"/>
          <w:lang w:eastAsia="zh-CN"/>
        </w:rPr>
        <w:t>”</w:t>
      </w:r>
      <w:r>
        <w:rPr>
          <w:rFonts w:hint="eastAsia" w:ascii="新宋体" w:hAnsi="新宋体" w:eastAsia="新宋体" w:cs="新宋体"/>
          <w:color w:val="auto"/>
          <w:spacing w:val="0"/>
          <w:w w:val="100"/>
          <w:kern w:val="0"/>
          <w:sz w:val="21"/>
          <w:szCs w:val="21"/>
          <w:highlight w:val="none"/>
        </w:rPr>
        <w:t>或</w:t>
      </w:r>
      <w:r>
        <w:rPr>
          <w:rFonts w:hint="eastAsia" w:ascii="新宋体" w:hAnsi="新宋体" w:eastAsia="新宋体" w:cs="新宋体"/>
          <w:color w:val="auto"/>
          <w:spacing w:val="0"/>
          <w:w w:val="100"/>
          <w:kern w:val="0"/>
          <w:sz w:val="21"/>
          <w:szCs w:val="21"/>
          <w:highlight w:val="none"/>
          <w:lang w:eastAsia="zh-CN"/>
        </w:rPr>
        <w:t>“</w:t>
      </w:r>
      <w:r>
        <w:rPr>
          <w:rFonts w:hint="eastAsia" w:ascii="新宋体" w:hAnsi="新宋体" w:eastAsia="新宋体" w:cs="新宋体"/>
          <w:color w:val="auto"/>
          <w:spacing w:val="0"/>
          <w:w w:val="100"/>
          <w:kern w:val="0"/>
          <w:sz w:val="21"/>
          <w:szCs w:val="21"/>
          <w:highlight w:val="none"/>
        </w:rPr>
        <w:t>湘西州公共资源交易网（http://ggzyjy.xxz.gov.cn）</w:t>
      </w:r>
      <w:r>
        <w:rPr>
          <w:rFonts w:hint="eastAsia" w:ascii="新宋体" w:hAnsi="新宋体" w:eastAsia="新宋体" w:cs="新宋体"/>
          <w:color w:val="auto"/>
          <w:spacing w:val="0"/>
          <w:w w:val="100"/>
          <w:kern w:val="0"/>
          <w:sz w:val="21"/>
          <w:szCs w:val="21"/>
          <w:highlight w:val="none"/>
          <w:lang w:eastAsia="zh-CN"/>
        </w:rPr>
        <w:t>”</w:t>
      </w:r>
      <w:r>
        <w:rPr>
          <w:rFonts w:hint="eastAsia" w:ascii="新宋体" w:hAnsi="新宋体" w:eastAsia="新宋体" w:cs="新宋体"/>
          <w:color w:val="auto"/>
          <w:spacing w:val="0"/>
          <w:w w:val="100"/>
          <w:kern w:val="0"/>
          <w:sz w:val="21"/>
          <w:szCs w:val="21"/>
          <w:highlight w:val="none"/>
        </w:rPr>
        <w:t>获取电子版招标文件</w:t>
      </w:r>
    </w:p>
    <w:p w14:paraId="4841E066">
      <w:pPr>
        <w:keepNext w:val="0"/>
        <w:keepLines w:val="0"/>
        <w:pageBreakBefore w:val="0"/>
        <w:widowControl w:val="0"/>
        <w:tabs>
          <w:tab w:val="left" w:pos="4700"/>
          <w:tab w:val="left" w:pos="6000"/>
          <w:tab w:val="left" w:pos="7160"/>
          <w:tab w:val="left" w:pos="8520"/>
        </w:tabs>
        <w:kinsoku/>
        <w:wordWrap w:val="0"/>
        <w:overflowPunct/>
        <w:topLinePunct w:val="0"/>
        <w:autoSpaceDE w:val="0"/>
        <w:autoSpaceDN w:val="0"/>
        <w:bidi w:val="0"/>
        <w:adjustRightInd w:val="0"/>
        <w:snapToGrid w:val="0"/>
        <w:spacing w:line="360" w:lineRule="auto"/>
        <w:ind w:right="0" w:firstLine="420" w:firstLineChars="200"/>
        <w:jc w:val="left"/>
        <w:textAlignment w:val="auto"/>
        <w:outlineLvl w:val="9"/>
        <w:rPr>
          <w:rFonts w:hint="eastAsia" w:ascii="新宋体" w:hAnsi="新宋体" w:eastAsia="新宋体" w:cs="新宋体"/>
          <w:color w:val="auto"/>
          <w:spacing w:val="0"/>
          <w:w w:val="100"/>
          <w:kern w:val="0"/>
          <w:sz w:val="21"/>
          <w:szCs w:val="21"/>
          <w:highlight w:val="none"/>
        </w:rPr>
      </w:pPr>
      <w:r>
        <w:rPr>
          <w:rFonts w:hint="eastAsia" w:ascii="新宋体" w:hAnsi="新宋体" w:eastAsia="新宋体" w:cs="新宋体"/>
          <w:color w:val="auto"/>
          <w:spacing w:val="0"/>
          <w:w w:val="100"/>
          <w:kern w:val="0"/>
          <w:sz w:val="21"/>
          <w:szCs w:val="21"/>
          <w:highlight w:val="none"/>
        </w:rPr>
        <w:t>2、方式：登录</w:t>
      </w:r>
      <w:r>
        <w:rPr>
          <w:rFonts w:hint="eastAsia" w:ascii="新宋体" w:hAnsi="新宋体" w:eastAsia="新宋体" w:cs="新宋体"/>
          <w:color w:val="auto"/>
          <w:spacing w:val="0"/>
          <w:w w:val="100"/>
          <w:kern w:val="0"/>
          <w:sz w:val="21"/>
          <w:szCs w:val="21"/>
          <w:highlight w:val="none"/>
          <w:lang w:eastAsia="zh-CN"/>
        </w:rPr>
        <w:t>“</w:t>
      </w:r>
      <w:r>
        <w:rPr>
          <w:rFonts w:hint="eastAsia" w:ascii="新宋体" w:hAnsi="新宋体" w:eastAsia="新宋体" w:cs="新宋体"/>
          <w:color w:val="auto"/>
          <w:spacing w:val="0"/>
          <w:w w:val="100"/>
          <w:kern w:val="0"/>
          <w:sz w:val="21"/>
          <w:szCs w:val="21"/>
          <w:highlight w:val="none"/>
        </w:rPr>
        <w:t>中国湖南政府采购网（http://www.ccgp-hunan.gov.cn/portal_city.jsp?areaCode=xxz</w:t>
      </w:r>
      <w:r>
        <w:rPr>
          <w:rFonts w:hint="eastAsia" w:ascii="新宋体" w:hAnsi="新宋体" w:eastAsia="新宋体" w:cs="新宋体"/>
          <w:color w:val="auto"/>
          <w:spacing w:val="0"/>
          <w:w w:val="100"/>
          <w:kern w:val="0"/>
          <w:sz w:val="21"/>
          <w:szCs w:val="21"/>
          <w:highlight w:val="none"/>
          <w:lang w:eastAsia="zh-CN"/>
        </w:rPr>
        <w:t>）”</w:t>
      </w:r>
      <w:r>
        <w:rPr>
          <w:rFonts w:hint="eastAsia" w:ascii="新宋体" w:hAnsi="新宋体" w:eastAsia="新宋体" w:cs="新宋体"/>
          <w:color w:val="auto"/>
          <w:spacing w:val="0"/>
          <w:w w:val="100"/>
          <w:kern w:val="0"/>
          <w:sz w:val="21"/>
          <w:szCs w:val="21"/>
          <w:highlight w:val="none"/>
        </w:rPr>
        <w:t>查看政府采购公告→附件→下载电子招标文件，或者登陆</w:t>
      </w:r>
      <w:r>
        <w:rPr>
          <w:rFonts w:hint="eastAsia" w:ascii="新宋体" w:hAnsi="新宋体" w:eastAsia="新宋体" w:cs="新宋体"/>
          <w:color w:val="auto"/>
          <w:spacing w:val="0"/>
          <w:w w:val="100"/>
          <w:kern w:val="0"/>
          <w:sz w:val="21"/>
          <w:szCs w:val="21"/>
          <w:highlight w:val="none"/>
          <w:lang w:eastAsia="zh-CN"/>
        </w:rPr>
        <w:t>“湘西州公共资源交易网</w:t>
      </w:r>
      <w:r>
        <w:rPr>
          <w:rFonts w:hint="eastAsia" w:ascii="新宋体" w:hAnsi="新宋体" w:eastAsia="新宋体" w:cs="新宋体"/>
          <w:color w:val="auto"/>
          <w:spacing w:val="0"/>
          <w:w w:val="100"/>
          <w:kern w:val="0"/>
          <w:sz w:val="21"/>
          <w:szCs w:val="21"/>
          <w:highlight w:val="none"/>
        </w:rPr>
        <w:t>（http://ggzyjy.xxz.gov.cn）</w:t>
      </w:r>
      <w:r>
        <w:rPr>
          <w:rFonts w:hint="eastAsia" w:ascii="新宋体" w:hAnsi="新宋体" w:eastAsia="新宋体" w:cs="新宋体"/>
          <w:color w:val="auto"/>
          <w:spacing w:val="0"/>
          <w:w w:val="100"/>
          <w:kern w:val="0"/>
          <w:sz w:val="21"/>
          <w:szCs w:val="21"/>
          <w:highlight w:val="none"/>
          <w:lang w:eastAsia="zh-CN"/>
        </w:rPr>
        <w:t>”</w:t>
      </w:r>
      <w:r>
        <w:rPr>
          <w:rFonts w:hint="eastAsia" w:ascii="新宋体" w:hAnsi="新宋体" w:eastAsia="新宋体" w:cs="新宋体"/>
          <w:color w:val="auto"/>
          <w:spacing w:val="0"/>
          <w:w w:val="100"/>
          <w:kern w:val="0"/>
          <w:sz w:val="21"/>
          <w:szCs w:val="21"/>
          <w:highlight w:val="none"/>
        </w:rPr>
        <w:t>→点击“一站式”综合服务系统（CA证书登录）→点击“招标代理/招标方/投标方/转(出)让方/竞买方”→点击“采购业务-填写投标信息”菜单，进入页面→点击“操作”按钮，进入到投标信息完善详情页面：填写项目负责人，点击我要投标→点击“采购业务-采购公告及文件下载”菜单，进入页面→点击“领取”下载按钮，进入详细页面→点击“下载招标文件”按钮，进入文件详细页面进行电子招标文件下载。</w:t>
      </w:r>
    </w:p>
    <w:p w14:paraId="24B7959C">
      <w:pPr>
        <w:keepNext w:val="0"/>
        <w:keepLines w:val="0"/>
        <w:pageBreakBefore w:val="0"/>
        <w:widowControl w:val="0"/>
        <w:tabs>
          <w:tab w:val="left" w:pos="4700"/>
          <w:tab w:val="left" w:pos="6000"/>
          <w:tab w:val="left" w:pos="7160"/>
          <w:tab w:val="left" w:pos="8520"/>
        </w:tabs>
        <w:kinsoku/>
        <w:wordWrap w:val="0"/>
        <w:overflowPunct/>
        <w:topLinePunct w:val="0"/>
        <w:autoSpaceDE w:val="0"/>
        <w:autoSpaceDN w:val="0"/>
        <w:bidi w:val="0"/>
        <w:adjustRightInd w:val="0"/>
        <w:snapToGrid w:val="0"/>
        <w:spacing w:line="360" w:lineRule="auto"/>
        <w:ind w:right="0" w:firstLine="422" w:firstLineChars="200"/>
        <w:jc w:val="left"/>
        <w:textAlignment w:val="auto"/>
        <w:outlineLvl w:val="9"/>
        <w:rPr>
          <w:rFonts w:hint="eastAsia" w:ascii="新宋体" w:hAnsi="新宋体" w:eastAsia="新宋体" w:cs="新宋体"/>
          <w:b/>
          <w:bCs/>
          <w:color w:val="auto"/>
          <w:spacing w:val="0"/>
          <w:w w:val="100"/>
          <w:kern w:val="0"/>
          <w:sz w:val="21"/>
          <w:szCs w:val="21"/>
          <w:highlight w:val="none"/>
        </w:rPr>
      </w:pPr>
      <w:r>
        <w:rPr>
          <w:rFonts w:hint="eastAsia" w:ascii="新宋体" w:hAnsi="新宋体" w:eastAsia="新宋体" w:cs="新宋体"/>
          <w:b/>
          <w:bCs/>
          <w:color w:val="auto"/>
          <w:spacing w:val="0"/>
          <w:w w:val="100"/>
          <w:kern w:val="0"/>
          <w:sz w:val="21"/>
          <w:szCs w:val="21"/>
          <w:highlight w:val="none"/>
        </w:rPr>
        <w:t>备注:以上2种途径均可获取采购文件，但投标</w:t>
      </w:r>
      <w:r>
        <w:rPr>
          <w:rFonts w:hint="eastAsia" w:ascii="新宋体" w:hAnsi="新宋体" w:eastAsia="新宋体" w:cs="新宋体"/>
          <w:b/>
          <w:bCs/>
          <w:color w:val="auto"/>
          <w:spacing w:val="0"/>
          <w:w w:val="100"/>
          <w:kern w:val="0"/>
          <w:sz w:val="21"/>
          <w:szCs w:val="21"/>
          <w:highlight w:val="none"/>
          <w:lang w:val="en-US" w:eastAsia="zh-CN"/>
        </w:rPr>
        <w:t>人</w:t>
      </w:r>
      <w:r>
        <w:rPr>
          <w:rFonts w:hint="eastAsia" w:ascii="新宋体" w:hAnsi="新宋体" w:eastAsia="新宋体" w:cs="新宋体"/>
          <w:b/>
          <w:bCs/>
          <w:color w:val="auto"/>
          <w:spacing w:val="0"/>
          <w:w w:val="100"/>
          <w:kern w:val="0"/>
          <w:sz w:val="21"/>
          <w:szCs w:val="21"/>
          <w:highlight w:val="none"/>
        </w:rPr>
        <w:t>须登陆“</w:t>
      </w:r>
      <w:r>
        <w:rPr>
          <w:rFonts w:hint="eastAsia" w:ascii="新宋体" w:hAnsi="新宋体" w:eastAsia="新宋体" w:cs="新宋体"/>
          <w:b/>
          <w:bCs/>
          <w:color w:val="auto"/>
          <w:spacing w:val="0"/>
          <w:w w:val="100"/>
          <w:kern w:val="0"/>
          <w:sz w:val="21"/>
          <w:szCs w:val="21"/>
          <w:highlight w:val="none"/>
          <w:lang w:eastAsia="zh-CN"/>
        </w:rPr>
        <w:t>湘西州公共资源交易网</w:t>
      </w:r>
      <w:r>
        <w:rPr>
          <w:rFonts w:hint="eastAsia" w:ascii="新宋体" w:hAnsi="新宋体" w:eastAsia="新宋体" w:cs="新宋体"/>
          <w:b/>
          <w:bCs/>
          <w:color w:val="auto"/>
          <w:spacing w:val="0"/>
          <w:w w:val="100"/>
          <w:kern w:val="0"/>
          <w:sz w:val="21"/>
          <w:szCs w:val="21"/>
          <w:highlight w:val="none"/>
        </w:rPr>
        <w:t>”</w:t>
      </w:r>
      <w:r>
        <w:rPr>
          <w:rFonts w:hint="eastAsia" w:ascii="宋体" w:hAnsi="宋体" w:eastAsia="宋体" w:cs="宋体"/>
          <w:b/>
          <w:bCs/>
          <w:color w:val="000000"/>
          <w:spacing w:val="0"/>
          <w:w w:val="100"/>
          <w:kern w:val="0"/>
          <w:sz w:val="22"/>
          <w:szCs w:val="22"/>
          <w:highlight w:val="none"/>
        </w:rPr>
        <w:t>完成点击我要投标</w:t>
      </w:r>
      <w:r>
        <w:rPr>
          <w:rFonts w:hint="eastAsia" w:ascii="宋体" w:hAnsi="宋体" w:eastAsia="宋体" w:cs="宋体"/>
          <w:b/>
          <w:bCs/>
          <w:color w:val="000000"/>
          <w:spacing w:val="0"/>
          <w:w w:val="100"/>
          <w:position w:val="0"/>
          <w:sz w:val="22"/>
          <w:szCs w:val="22"/>
          <w:highlight w:val="none"/>
        </w:rPr>
        <w:t>以及下载电子</w:t>
      </w:r>
      <w:r>
        <w:rPr>
          <w:rFonts w:hint="eastAsia" w:ascii="宋体" w:hAnsi="宋体" w:eastAsia="宋体" w:cs="宋体"/>
          <w:b/>
          <w:bCs/>
          <w:color w:val="000000"/>
          <w:spacing w:val="0"/>
          <w:w w:val="100"/>
          <w:position w:val="0"/>
          <w:sz w:val="22"/>
          <w:szCs w:val="22"/>
          <w:highlight w:val="none"/>
          <w:lang w:eastAsia="zh-CN"/>
        </w:rPr>
        <w:t>格式招标</w:t>
      </w:r>
      <w:r>
        <w:rPr>
          <w:rFonts w:hint="eastAsia" w:ascii="宋体" w:hAnsi="宋体" w:eastAsia="宋体" w:cs="宋体"/>
          <w:b/>
          <w:bCs/>
          <w:color w:val="000000"/>
          <w:spacing w:val="0"/>
          <w:w w:val="100"/>
          <w:position w:val="0"/>
          <w:sz w:val="22"/>
          <w:szCs w:val="22"/>
          <w:highlight w:val="none"/>
        </w:rPr>
        <w:t>文件的操作</w:t>
      </w:r>
      <w:r>
        <w:rPr>
          <w:rFonts w:hint="eastAsia" w:ascii="宋体" w:hAnsi="宋体" w:eastAsia="宋体" w:cs="宋体"/>
          <w:b/>
          <w:bCs/>
          <w:color w:val="000000"/>
          <w:spacing w:val="0"/>
          <w:w w:val="100"/>
          <w:kern w:val="0"/>
          <w:sz w:val="22"/>
          <w:szCs w:val="22"/>
          <w:highlight w:val="none"/>
        </w:rPr>
        <w:t>，</w:t>
      </w:r>
      <w:r>
        <w:rPr>
          <w:rFonts w:hint="eastAsia" w:ascii="宋体" w:hAnsi="宋体" w:eastAsia="宋体" w:cs="宋体"/>
          <w:b/>
          <w:bCs/>
          <w:color w:val="000000"/>
          <w:spacing w:val="0"/>
          <w:w w:val="100"/>
          <w:kern w:val="0"/>
          <w:sz w:val="22"/>
          <w:szCs w:val="22"/>
          <w:highlight w:val="none"/>
          <w:lang w:eastAsia="zh-CN"/>
        </w:rPr>
        <w:t>只能用对应包号的电子招标文件制作电子投标文件，</w:t>
      </w:r>
      <w:r>
        <w:rPr>
          <w:rFonts w:hint="eastAsia" w:ascii="宋体" w:hAnsi="宋体" w:eastAsia="宋体" w:cs="宋体"/>
          <w:b/>
          <w:bCs/>
          <w:color w:val="000000"/>
          <w:spacing w:val="0"/>
          <w:w w:val="100"/>
          <w:kern w:val="0"/>
          <w:sz w:val="22"/>
          <w:szCs w:val="22"/>
          <w:highlight w:val="none"/>
        </w:rPr>
        <w:t>否则将会影响投标。</w:t>
      </w:r>
    </w:p>
    <w:p w14:paraId="43F12621">
      <w:pPr>
        <w:keepNext w:val="0"/>
        <w:keepLines w:val="0"/>
        <w:pageBreakBefore w:val="0"/>
        <w:widowControl w:val="0"/>
        <w:tabs>
          <w:tab w:val="left" w:pos="4700"/>
          <w:tab w:val="left" w:pos="6000"/>
          <w:tab w:val="left" w:pos="7160"/>
          <w:tab w:val="left" w:pos="8520"/>
        </w:tabs>
        <w:kinsoku/>
        <w:wordWrap w:val="0"/>
        <w:overflowPunct/>
        <w:topLinePunct w:val="0"/>
        <w:autoSpaceDE w:val="0"/>
        <w:autoSpaceDN w:val="0"/>
        <w:bidi w:val="0"/>
        <w:adjustRightInd w:val="0"/>
        <w:snapToGrid w:val="0"/>
        <w:spacing w:line="360" w:lineRule="auto"/>
        <w:ind w:right="0" w:firstLine="420" w:firstLineChars="200"/>
        <w:jc w:val="left"/>
        <w:textAlignment w:val="auto"/>
        <w:outlineLvl w:val="9"/>
        <w:rPr>
          <w:rFonts w:hint="eastAsia" w:ascii="新宋体" w:hAnsi="新宋体" w:eastAsia="新宋体" w:cs="新宋体"/>
          <w:color w:val="auto"/>
          <w:highlight w:val="none"/>
        </w:rPr>
      </w:pPr>
      <w:r>
        <w:rPr>
          <w:rFonts w:hint="eastAsia" w:ascii="新宋体" w:hAnsi="新宋体" w:eastAsia="新宋体" w:cs="新宋体"/>
          <w:color w:val="auto"/>
          <w:spacing w:val="0"/>
          <w:w w:val="100"/>
          <w:kern w:val="0"/>
          <w:sz w:val="21"/>
          <w:szCs w:val="21"/>
          <w:highlight w:val="none"/>
          <w:lang w:val="en-US" w:eastAsia="zh-CN"/>
        </w:rPr>
        <w:t>3</w:t>
      </w:r>
      <w:r>
        <w:rPr>
          <w:rFonts w:hint="eastAsia" w:ascii="新宋体" w:hAnsi="新宋体" w:eastAsia="新宋体" w:cs="新宋体"/>
          <w:color w:val="auto"/>
          <w:spacing w:val="0"/>
          <w:w w:val="100"/>
          <w:kern w:val="0"/>
          <w:sz w:val="21"/>
          <w:szCs w:val="21"/>
          <w:highlight w:val="none"/>
        </w:rPr>
        <w:t>、各投标</w:t>
      </w:r>
      <w:r>
        <w:rPr>
          <w:rFonts w:hint="eastAsia" w:ascii="新宋体" w:hAnsi="新宋体" w:eastAsia="新宋体" w:cs="新宋体"/>
          <w:color w:val="auto"/>
          <w:spacing w:val="0"/>
          <w:w w:val="100"/>
          <w:kern w:val="0"/>
          <w:sz w:val="21"/>
          <w:szCs w:val="21"/>
          <w:highlight w:val="none"/>
          <w:lang w:val="en-US" w:eastAsia="zh-CN"/>
        </w:rPr>
        <w:t>人</w:t>
      </w:r>
      <w:r>
        <w:rPr>
          <w:rFonts w:hint="eastAsia" w:ascii="新宋体" w:hAnsi="新宋体" w:eastAsia="新宋体" w:cs="新宋体"/>
          <w:color w:val="auto"/>
          <w:spacing w:val="0"/>
          <w:w w:val="100"/>
          <w:kern w:val="0"/>
          <w:sz w:val="21"/>
          <w:szCs w:val="21"/>
          <w:highlight w:val="none"/>
        </w:rPr>
        <w:t>自行在以上网站下载或查阅采购相关文件和资料等，恕不另行通知，如有遗漏采购代理机构概不负责。</w:t>
      </w:r>
    </w:p>
    <w:p w14:paraId="56A26C33">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outlineLvl w:val="9"/>
        <w:rPr>
          <w:rFonts w:hint="eastAsia" w:ascii="新宋体" w:hAnsi="新宋体" w:eastAsia="新宋体" w:cs="新宋体"/>
          <w:b/>
          <w:color w:val="auto"/>
          <w:szCs w:val="21"/>
          <w:highlight w:val="none"/>
        </w:rPr>
      </w:pPr>
      <w:r>
        <w:rPr>
          <w:rFonts w:hint="eastAsia" w:ascii="新宋体" w:hAnsi="新宋体" w:eastAsia="新宋体" w:cs="新宋体"/>
          <w:b/>
          <w:color w:val="auto"/>
          <w:szCs w:val="21"/>
          <w:highlight w:val="none"/>
        </w:rPr>
        <w:t>六、投标截止时间、开标时间及地点</w:t>
      </w:r>
    </w:p>
    <w:p w14:paraId="31CC068B">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1、提交投标文件的截止时间</w:t>
      </w:r>
      <w:r>
        <w:rPr>
          <w:rFonts w:hint="eastAsia" w:ascii="新宋体" w:hAnsi="新宋体" w:eastAsia="新宋体" w:cs="新宋体"/>
          <w:color w:val="auto"/>
          <w:szCs w:val="21"/>
          <w:highlight w:val="none"/>
          <w:lang w:eastAsia="zh-CN"/>
        </w:rPr>
        <w:t>（同开标时间）</w:t>
      </w:r>
      <w:r>
        <w:rPr>
          <w:rFonts w:hint="eastAsia" w:ascii="新宋体" w:hAnsi="新宋体" w:eastAsia="新宋体" w:cs="新宋体"/>
          <w:color w:val="auto"/>
          <w:szCs w:val="21"/>
          <w:highlight w:val="none"/>
        </w:rPr>
        <w:t>：</w:t>
      </w:r>
      <w:r>
        <w:rPr>
          <w:rFonts w:hint="eastAsia" w:ascii="新宋体" w:hAnsi="新宋体" w:eastAsia="新宋体" w:cs="新宋体"/>
          <w:b/>
          <w:bCs/>
          <w:color w:val="auto"/>
          <w:szCs w:val="21"/>
          <w:highlight w:val="yellow"/>
          <w:u w:val="single"/>
          <w:lang w:val="en-US" w:eastAsia="zh-CN"/>
        </w:rPr>
        <w:t>2026</w:t>
      </w:r>
      <w:r>
        <w:rPr>
          <w:rFonts w:hint="eastAsia" w:ascii="新宋体" w:hAnsi="新宋体" w:eastAsia="新宋体" w:cs="新宋体"/>
          <w:b/>
          <w:bCs/>
          <w:color w:val="auto"/>
          <w:szCs w:val="21"/>
          <w:highlight w:val="yellow"/>
        </w:rPr>
        <w:t>年</w:t>
      </w:r>
      <w:r>
        <w:rPr>
          <w:rFonts w:hint="eastAsia" w:ascii="新宋体" w:hAnsi="新宋体" w:eastAsia="新宋体" w:cs="新宋体"/>
          <w:b/>
          <w:bCs/>
          <w:color w:val="auto"/>
          <w:szCs w:val="21"/>
          <w:highlight w:val="yellow"/>
          <w:u w:val="single"/>
          <w:lang w:val="en-US" w:eastAsia="zh-CN"/>
        </w:rPr>
        <w:t>9</w:t>
      </w:r>
      <w:r>
        <w:rPr>
          <w:rFonts w:hint="eastAsia" w:ascii="新宋体" w:hAnsi="新宋体" w:eastAsia="新宋体" w:cs="新宋体"/>
          <w:b/>
          <w:bCs/>
          <w:color w:val="auto"/>
          <w:szCs w:val="21"/>
          <w:highlight w:val="yellow"/>
        </w:rPr>
        <w:t>月</w:t>
      </w:r>
      <w:r>
        <w:rPr>
          <w:rFonts w:hint="eastAsia" w:ascii="新宋体" w:hAnsi="新宋体" w:eastAsia="新宋体" w:cs="新宋体"/>
          <w:b/>
          <w:bCs/>
          <w:color w:val="auto"/>
          <w:szCs w:val="21"/>
          <w:highlight w:val="yellow"/>
          <w:u w:val="single"/>
          <w:lang w:val="en-US" w:eastAsia="zh-CN"/>
        </w:rPr>
        <w:t>17</w:t>
      </w:r>
      <w:r>
        <w:rPr>
          <w:rFonts w:hint="eastAsia" w:ascii="新宋体" w:hAnsi="新宋体" w:eastAsia="新宋体" w:cs="新宋体"/>
          <w:b/>
          <w:bCs/>
          <w:color w:val="auto"/>
          <w:szCs w:val="21"/>
          <w:highlight w:val="yellow"/>
        </w:rPr>
        <w:t>日</w:t>
      </w:r>
      <w:r>
        <w:rPr>
          <w:rFonts w:hint="eastAsia" w:ascii="新宋体" w:hAnsi="新宋体" w:eastAsia="新宋体" w:cs="新宋体"/>
          <w:b/>
          <w:bCs/>
          <w:color w:val="auto"/>
          <w:szCs w:val="21"/>
          <w:highlight w:val="none"/>
          <w:u w:val="single"/>
          <w:lang w:val="en-US" w:eastAsia="zh-CN"/>
        </w:rPr>
        <w:t>9</w:t>
      </w:r>
      <w:r>
        <w:rPr>
          <w:rFonts w:hint="eastAsia" w:ascii="新宋体" w:hAnsi="新宋体" w:eastAsia="新宋体" w:cs="新宋体"/>
          <w:b/>
          <w:bCs/>
          <w:color w:val="auto"/>
          <w:szCs w:val="21"/>
          <w:highlight w:val="none"/>
        </w:rPr>
        <w:t>时</w:t>
      </w:r>
      <w:r>
        <w:rPr>
          <w:rFonts w:hint="eastAsia" w:ascii="新宋体" w:hAnsi="新宋体" w:eastAsia="新宋体" w:cs="新宋体"/>
          <w:b/>
          <w:bCs/>
          <w:color w:val="auto"/>
          <w:szCs w:val="21"/>
          <w:highlight w:val="none"/>
          <w:u w:val="single"/>
          <w:lang w:val="en-US" w:eastAsia="zh-CN"/>
        </w:rPr>
        <w:t>00</w:t>
      </w:r>
      <w:r>
        <w:rPr>
          <w:rFonts w:hint="eastAsia" w:ascii="新宋体" w:hAnsi="新宋体" w:eastAsia="新宋体" w:cs="新宋体"/>
          <w:b/>
          <w:bCs/>
          <w:color w:val="auto"/>
          <w:szCs w:val="21"/>
          <w:highlight w:val="none"/>
        </w:rPr>
        <w:t>分</w:t>
      </w:r>
      <w:r>
        <w:rPr>
          <w:rFonts w:hint="eastAsia" w:ascii="新宋体" w:hAnsi="新宋体" w:eastAsia="新宋体" w:cs="新宋体"/>
          <w:color w:val="auto"/>
          <w:szCs w:val="21"/>
          <w:highlight w:val="none"/>
        </w:rPr>
        <w:t>（北京时间）；请投标人登录</w:t>
      </w:r>
      <w:r>
        <w:rPr>
          <w:rFonts w:hint="eastAsia" w:ascii="新宋体" w:hAnsi="新宋体" w:eastAsia="新宋体" w:cs="新宋体"/>
          <w:color w:val="auto"/>
          <w:szCs w:val="21"/>
          <w:highlight w:val="none"/>
          <w:lang w:eastAsia="zh-CN"/>
        </w:rPr>
        <w:t>“湘西州公共资源交易网</w:t>
      </w:r>
      <w:r>
        <w:rPr>
          <w:rFonts w:hint="eastAsia" w:ascii="新宋体" w:hAnsi="新宋体" w:eastAsia="新宋体" w:cs="新宋体"/>
          <w:color w:val="auto"/>
          <w:szCs w:val="21"/>
          <w:highlight w:val="none"/>
        </w:rPr>
        <w:t>(http://ggzyjy.xxz.gov.cn)</w:t>
      </w:r>
      <w:r>
        <w:rPr>
          <w:rFonts w:hint="eastAsia" w:ascii="新宋体" w:hAnsi="新宋体" w:eastAsia="新宋体" w:cs="新宋体"/>
          <w:color w:val="auto"/>
          <w:szCs w:val="21"/>
          <w:highlight w:val="none"/>
          <w:lang w:eastAsia="zh-CN"/>
        </w:rPr>
        <w:t>”</w:t>
      </w:r>
      <w:r>
        <w:rPr>
          <w:rFonts w:hint="eastAsia" w:ascii="新宋体" w:hAnsi="新宋体" w:eastAsia="新宋体" w:cs="新宋体"/>
          <w:color w:val="auto"/>
          <w:szCs w:val="21"/>
          <w:highlight w:val="none"/>
        </w:rPr>
        <w:t>下载电子投标文件制作工具编制投标文件，投标人应在投标</w:t>
      </w:r>
      <w:r>
        <w:rPr>
          <w:rFonts w:hint="eastAsia" w:ascii="新宋体" w:hAnsi="新宋体" w:eastAsia="新宋体" w:cs="新宋体"/>
          <w:color w:val="auto"/>
          <w:szCs w:val="21"/>
          <w:highlight w:val="none"/>
          <w:lang w:eastAsia="zh-CN"/>
        </w:rPr>
        <w:t>截止</w:t>
      </w:r>
      <w:r>
        <w:rPr>
          <w:rFonts w:hint="eastAsia" w:ascii="新宋体" w:hAnsi="新宋体" w:eastAsia="新宋体" w:cs="新宋体"/>
          <w:color w:val="auto"/>
          <w:szCs w:val="21"/>
          <w:highlight w:val="none"/>
        </w:rPr>
        <w:t>时间前通过电子招标投标交易平台上传数据电文形式的电子投标文件。逾期递交的投标文件，电子招标投标交易平台予以拒收。</w:t>
      </w:r>
    </w:p>
    <w:p w14:paraId="41D2DB8B">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highlight w:val="none"/>
        </w:rPr>
      </w:pPr>
      <w:r>
        <w:rPr>
          <w:rFonts w:hint="eastAsia" w:ascii="新宋体" w:hAnsi="新宋体" w:eastAsia="新宋体" w:cs="新宋体"/>
          <w:color w:val="auto"/>
          <w:szCs w:val="21"/>
          <w:highlight w:val="none"/>
        </w:rPr>
        <w:t>2、投标地点：</w:t>
      </w:r>
      <w:r>
        <w:rPr>
          <w:rFonts w:hint="eastAsia" w:ascii="新宋体" w:hAnsi="新宋体" w:eastAsia="新宋体" w:cs="新宋体"/>
          <w:color w:val="auto"/>
          <w:szCs w:val="21"/>
          <w:highlight w:val="none"/>
          <w:lang w:eastAsia="zh-CN"/>
        </w:rPr>
        <w:t>湘西州公共资源交易网</w:t>
      </w:r>
      <w:r>
        <w:rPr>
          <w:rFonts w:hint="eastAsia" w:ascii="新宋体" w:hAnsi="新宋体" w:eastAsia="新宋体" w:cs="新宋体"/>
          <w:color w:val="auto"/>
          <w:szCs w:val="21"/>
          <w:highlight w:val="none"/>
          <w:u w:val="single"/>
        </w:rPr>
        <w:t xml:space="preserve">(http://ggzyjy.xxz.gov.cn) </w:t>
      </w:r>
    </w:p>
    <w:p w14:paraId="0AF59CBE">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u w:val="single"/>
          <w:lang w:val="en-US" w:eastAsia="zh-CN"/>
        </w:rPr>
      </w:pPr>
      <w:r>
        <w:rPr>
          <w:rFonts w:hint="eastAsia" w:ascii="新宋体" w:hAnsi="新宋体" w:eastAsia="新宋体" w:cs="新宋体"/>
          <w:color w:val="auto"/>
          <w:szCs w:val="21"/>
          <w:highlight w:val="none"/>
        </w:rPr>
        <w:t>3、开标地点：</w:t>
      </w:r>
      <w:r>
        <w:rPr>
          <w:rFonts w:hint="eastAsia" w:ascii="新宋体" w:hAnsi="新宋体" w:eastAsia="新宋体" w:cs="新宋体"/>
          <w:b/>
          <w:bCs/>
          <w:color w:val="auto"/>
          <w:szCs w:val="21"/>
          <w:highlight w:val="none"/>
          <w:u w:val="single"/>
        </w:rPr>
        <w:t>湘西</w:t>
      </w:r>
      <w:r>
        <w:rPr>
          <w:rFonts w:hint="eastAsia" w:ascii="新宋体" w:hAnsi="新宋体" w:eastAsia="新宋体" w:cs="新宋体"/>
          <w:b/>
          <w:bCs/>
          <w:color w:val="auto"/>
          <w:szCs w:val="21"/>
          <w:highlight w:val="none"/>
          <w:u w:val="single"/>
          <w:lang w:eastAsia="zh-CN"/>
        </w:rPr>
        <w:t>州</w:t>
      </w:r>
      <w:r>
        <w:rPr>
          <w:rFonts w:hint="eastAsia" w:ascii="新宋体" w:hAnsi="新宋体" w:eastAsia="新宋体" w:cs="新宋体"/>
          <w:b/>
          <w:bCs/>
          <w:color w:val="auto"/>
          <w:szCs w:val="21"/>
          <w:highlight w:val="none"/>
          <w:u w:val="single"/>
        </w:rPr>
        <w:t>公共资源交易网</w:t>
      </w:r>
      <w:r>
        <w:rPr>
          <w:rFonts w:hint="eastAsia" w:ascii="新宋体" w:hAnsi="新宋体" w:eastAsia="新宋体" w:cs="新宋体"/>
          <w:b/>
          <w:bCs/>
          <w:color w:val="auto"/>
          <w:szCs w:val="21"/>
          <w:highlight w:val="yellow"/>
          <w:u w:val="single"/>
          <w:lang w:eastAsia="zh-CN"/>
        </w:rPr>
        <w:t>不见面开标室</w:t>
      </w:r>
      <w:r>
        <w:rPr>
          <w:rFonts w:hint="eastAsia" w:ascii="新宋体" w:hAnsi="新宋体" w:eastAsia="新宋体" w:cs="新宋体"/>
          <w:b/>
          <w:bCs/>
          <w:color w:val="auto"/>
          <w:szCs w:val="21"/>
          <w:highlight w:val="yellow"/>
          <w:u w:val="single"/>
          <w:lang w:val="en-US" w:eastAsia="zh-CN"/>
        </w:rPr>
        <w:t xml:space="preserve">二 </w:t>
      </w:r>
      <w:r>
        <w:rPr>
          <w:rFonts w:hint="eastAsia" w:ascii="新宋体" w:hAnsi="新宋体" w:eastAsia="新宋体" w:cs="新宋体"/>
          <w:color w:val="auto"/>
          <w:szCs w:val="21"/>
          <w:highlight w:val="yellow"/>
          <w:u w:val="single"/>
        </w:rPr>
        <w:t>(</w:t>
      </w:r>
      <w:r>
        <w:rPr>
          <w:rFonts w:hint="eastAsia" w:ascii="新宋体" w:hAnsi="新宋体" w:eastAsia="新宋体" w:cs="新宋体"/>
          <w:color w:val="auto"/>
          <w:szCs w:val="21"/>
          <w:highlight w:val="none"/>
          <w:u w:val="single"/>
        </w:rPr>
        <w:t>http://xxzggzyjy.cn/BidOpening/bidopeninghallaction/hall/login)</w:t>
      </w:r>
      <w:r>
        <w:rPr>
          <w:rFonts w:hint="eastAsia" w:ascii="新宋体" w:hAnsi="新宋体" w:eastAsia="新宋体" w:cs="新宋体"/>
          <w:color w:val="auto"/>
          <w:szCs w:val="21"/>
          <w:highlight w:val="none"/>
          <w:u w:val="single"/>
          <w:lang w:val="en-US" w:eastAsia="zh-CN"/>
        </w:rPr>
        <w:t xml:space="preserve"> </w:t>
      </w:r>
    </w:p>
    <w:p w14:paraId="5E4435AD">
      <w:pPr>
        <w:pStyle w:val="24"/>
        <w:keepNext w:val="0"/>
        <w:keepLines w:val="0"/>
        <w:pageBreakBefore w:val="0"/>
        <w:widowControl w:val="0"/>
        <w:kinsoku/>
        <w:wordWrap/>
        <w:overflowPunct/>
        <w:topLinePunct w:val="0"/>
        <w:autoSpaceDE/>
        <w:autoSpaceDN/>
        <w:bidi w:val="0"/>
        <w:adjustRightInd/>
        <w:snapToGrid/>
        <w:spacing w:line="360" w:lineRule="auto"/>
        <w:ind w:left="0" w:leftChars="0"/>
        <w:jc w:val="left"/>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4、电子投标文件的解密截止时间：发起解密指令后30分钟，请投标人确保投标文件如期解密，投标文件在解密时限内未解密或解密失败，视为撤销其投标文件，开标继续进行。</w:t>
      </w:r>
    </w:p>
    <w:p w14:paraId="3074BC42">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outlineLvl w:val="9"/>
        <w:rPr>
          <w:rFonts w:hint="eastAsia" w:ascii="新宋体" w:hAnsi="新宋体" w:eastAsia="新宋体" w:cs="新宋体"/>
          <w:b/>
          <w:color w:val="auto"/>
          <w:szCs w:val="21"/>
          <w:highlight w:val="none"/>
        </w:rPr>
      </w:pPr>
      <w:r>
        <w:rPr>
          <w:rFonts w:hint="eastAsia" w:ascii="新宋体" w:hAnsi="新宋体" w:eastAsia="新宋体" w:cs="新宋体"/>
          <w:b/>
          <w:color w:val="auto"/>
          <w:szCs w:val="21"/>
          <w:highlight w:val="none"/>
        </w:rPr>
        <w:t>七、公告期限：</w:t>
      </w:r>
    </w:p>
    <w:p w14:paraId="00366620">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1、本招标公告在</w:t>
      </w:r>
      <w:r>
        <w:rPr>
          <w:rFonts w:hint="eastAsia" w:ascii="新宋体" w:hAnsi="新宋体" w:eastAsia="新宋体" w:cs="新宋体"/>
          <w:color w:val="auto"/>
          <w:szCs w:val="21"/>
          <w:highlight w:val="none"/>
          <w:lang w:eastAsia="zh-CN"/>
        </w:rPr>
        <w:t>“</w:t>
      </w:r>
      <w:r>
        <w:rPr>
          <w:rFonts w:hint="eastAsia" w:ascii="新宋体" w:hAnsi="新宋体" w:eastAsia="新宋体" w:cs="新宋体"/>
          <w:color w:val="auto"/>
          <w:szCs w:val="21"/>
          <w:highlight w:val="none"/>
        </w:rPr>
        <w:t>中国湖南政府采购网（www.ccgp-hunan.gov.cn）</w:t>
      </w:r>
      <w:r>
        <w:rPr>
          <w:rFonts w:hint="eastAsia" w:ascii="新宋体" w:hAnsi="新宋体" w:eastAsia="新宋体" w:cs="新宋体"/>
          <w:color w:val="auto"/>
          <w:szCs w:val="21"/>
          <w:highlight w:val="none"/>
          <w:lang w:eastAsia="zh-CN"/>
        </w:rPr>
        <w:t>”</w:t>
      </w:r>
      <w:r>
        <w:rPr>
          <w:rFonts w:hint="eastAsia" w:ascii="新宋体" w:hAnsi="新宋体" w:eastAsia="新宋体" w:cs="新宋体"/>
          <w:color w:val="auto"/>
          <w:szCs w:val="21"/>
          <w:highlight w:val="none"/>
        </w:rPr>
        <w:t>发布。公告期限从本招标公告发布之日起5个工作日。</w:t>
      </w:r>
    </w:p>
    <w:p w14:paraId="10C593BF">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2、在其他媒体发布的招标公告，公告内容以本招标公告指定媒体发布的公告为准；公告期限自本招标公告指定媒体最先发布公告之日起算。</w:t>
      </w:r>
    </w:p>
    <w:p w14:paraId="6E2AE1C1">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outlineLvl w:val="9"/>
        <w:rPr>
          <w:rFonts w:hint="eastAsia" w:ascii="新宋体" w:hAnsi="新宋体" w:eastAsia="新宋体" w:cs="新宋体"/>
          <w:b/>
          <w:color w:val="auto"/>
          <w:szCs w:val="21"/>
          <w:highlight w:val="none"/>
        </w:rPr>
      </w:pPr>
      <w:r>
        <w:rPr>
          <w:rFonts w:hint="eastAsia" w:ascii="新宋体" w:hAnsi="新宋体" w:eastAsia="新宋体" w:cs="新宋体"/>
          <w:b/>
          <w:color w:val="auto"/>
          <w:szCs w:val="21"/>
          <w:highlight w:val="none"/>
          <w:lang w:eastAsia="zh-CN"/>
        </w:rPr>
        <w:t>八、</w:t>
      </w:r>
      <w:r>
        <w:rPr>
          <w:rFonts w:hint="eastAsia" w:ascii="新宋体" w:hAnsi="新宋体" w:eastAsia="新宋体" w:cs="新宋体"/>
          <w:b/>
          <w:color w:val="auto"/>
          <w:szCs w:val="21"/>
          <w:highlight w:val="none"/>
        </w:rPr>
        <w:t>询问及质疑：</w:t>
      </w:r>
    </w:p>
    <w:p w14:paraId="4865F802">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1、投标人对政府采购活动事项如有疑问的，可以向采购人、采购代理机构提出询问。采购人、采购代理机构将在3个工作日内作出答复。</w:t>
      </w:r>
    </w:p>
    <w:p w14:paraId="4C458406">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2、投标人对电子交易平台办理CA证书、操作等如有疑问，请咨询电子交易平台服务机构。</w:t>
      </w:r>
    </w:p>
    <w:p w14:paraId="3786EF3D">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3、潜在投标人认为招标文件或招标公告使自己的合法权益受到损害的，可以在收到招标文件之日或招标公告期限届满之日起7个工作日内，按《湖南省财政厅关于印发＜政府采购质疑答复和投诉处理操作规程＞的通知》</w:t>
      </w:r>
      <w:r>
        <w:rPr>
          <w:rFonts w:hint="eastAsia" w:ascii="新宋体" w:hAnsi="新宋体" w:eastAsia="新宋体" w:cs="新宋体"/>
          <w:color w:val="auto"/>
          <w:szCs w:val="21"/>
          <w:highlight w:val="none"/>
          <w:lang w:eastAsia="zh-CN"/>
        </w:rPr>
        <w:t>(湘财购〔2024〕67号</w:t>
      </w:r>
      <w:r>
        <w:rPr>
          <w:rFonts w:hint="eastAsia" w:ascii="新宋体" w:hAnsi="新宋体" w:eastAsia="新宋体" w:cs="新宋体"/>
          <w:color w:val="auto"/>
          <w:szCs w:val="21"/>
          <w:highlight w:val="none"/>
        </w:rPr>
        <w:t>)规定，以纸质书面形式向采购人、采购代理机构</w:t>
      </w:r>
      <w:r>
        <w:rPr>
          <w:rFonts w:hint="eastAsia" w:ascii="新宋体" w:hAnsi="新宋体" w:eastAsia="新宋体" w:cs="新宋体"/>
          <w:color w:val="auto"/>
          <w:szCs w:val="21"/>
          <w:highlight w:val="none"/>
          <w:lang w:eastAsia="zh-CN"/>
        </w:rPr>
        <w:t>一次性提出针对同一采购程序环节的</w:t>
      </w:r>
      <w:r>
        <w:rPr>
          <w:rFonts w:hint="eastAsia" w:ascii="新宋体" w:hAnsi="新宋体" w:eastAsia="新宋体" w:cs="新宋体"/>
          <w:color w:val="auto"/>
          <w:szCs w:val="21"/>
          <w:highlight w:val="none"/>
        </w:rPr>
        <w:t>质疑。</w:t>
      </w:r>
    </w:p>
    <w:p w14:paraId="0834C4C7">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outlineLvl w:val="9"/>
        <w:rPr>
          <w:rFonts w:hint="eastAsia" w:ascii="新宋体" w:hAnsi="新宋体" w:eastAsia="新宋体" w:cs="新宋体"/>
          <w:b/>
          <w:color w:val="auto"/>
          <w:szCs w:val="21"/>
          <w:highlight w:val="none"/>
          <w:lang w:val="en-US" w:eastAsia="zh-CN"/>
        </w:rPr>
      </w:pPr>
      <w:r>
        <w:rPr>
          <w:rFonts w:hint="eastAsia" w:ascii="新宋体" w:hAnsi="新宋体" w:eastAsia="新宋体" w:cs="新宋体"/>
          <w:b/>
          <w:color w:val="auto"/>
          <w:szCs w:val="21"/>
          <w:highlight w:val="none"/>
          <w:lang w:eastAsia="zh-CN"/>
        </w:rPr>
        <w:t>九、</w:t>
      </w:r>
      <w:r>
        <w:rPr>
          <w:rFonts w:hint="eastAsia" w:ascii="新宋体" w:hAnsi="新宋体" w:eastAsia="新宋体" w:cs="新宋体"/>
          <w:b/>
          <w:color w:val="auto"/>
          <w:szCs w:val="21"/>
          <w:highlight w:val="none"/>
          <w:lang w:val="en-US" w:eastAsia="zh-CN"/>
        </w:rPr>
        <w:t>投标说明</w:t>
      </w:r>
    </w:p>
    <w:p w14:paraId="4C08AB9E">
      <w:pPr>
        <w:pageBreakBefore w:val="0"/>
        <w:tabs>
          <w:tab w:val="left" w:pos="4700"/>
          <w:tab w:val="left" w:pos="6000"/>
          <w:tab w:val="left" w:pos="7160"/>
          <w:tab w:val="left" w:pos="8520"/>
        </w:tabs>
        <w:kinsoku/>
        <w:overflowPunct/>
        <w:topLinePunct w:val="0"/>
        <w:autoSpaceDE w:val="0"/>
        <w:autoSpaceDN w:val="0"/>
        <w:bidi w:val="0"/>
        <w:adjustRightInd w:val="0"/>
        <w:snapToGrid w:val="0"/>
        <w:spacing w:line="360" w:lineRule="auto"/>
        <w:ind w:right="-23" w:firstLine="420" w:firstLineChars="200"/>
        <w:jc w:val="left"/>
        <w:textAlignment w:val="auto"/>
        <w:outlineLvl w:val="9"/>
        <w:rPr>
          <w:rFonts w:hint="eastAsia" w:ascii="新宋体" w:hAnsi="新宋体" w:eastAsia="新宋体" w:cs="新宋体"/>
          <w:color w:val="auto"/>
          <w:szCs w:val="21"/>
          <w:highlight w:val="none"/>
          <w:lang w:val="en-US" w:eastAsia="zh-CN"/>
        </w:rPr>
      </w:pPr>
      <w:r>
        <w:rPr>
          <w:rFonts w:hint="eastAsia" w:ascii="新宋体" w:hAnsi="新宋体" w:eastAsia="新宋体" w:cs="新宋体"/>
          <w:color w:val="auto"/>
          <w:szCs w:val="21"/>
          <w:highlight w:val="none"/>
          <w:lang w:val="en-US" w:eastAsia="zh-CN"/>
        </w:rPr>
        <w:t>1、本公告选项：</w:t>
      </w:r>
      <w:r>
        <w:rPr>
          <w:rFonts w:hint="eastAsia" w:ascii="宋体" w:hAnsi="宋体" w:eastAsia="宋体" w:cs="宋体"/>
          <w:bCs/>
          <w:iCs/>
          <w:color w:val="auto"/>
          <w:szCs w:val="21"/>
          <w:highlight w:val="none"/>
          <w:lang w:eastAsia="zh-CN"/>
        </w:rPr>
        <w:t>█</w:t>
      </w:r>
      <w:r>
        <w:rPr>
          <w:rFonts w:hint="eastAsia" w:ascii="新宋体" w:hAnsi="新宋体" w:eastAsia="新宋体" w:cs="新宋体"/>
          <w:color w:val="auto"/>
          <w:szCs w:val="21"/>
          <w:highlight w:val="none"/>
          <w:lang w:val="en-US" w:eastAsia="zh-CN"/>
        </w:rPr>
        <w:t>表示选择，</w:t>
      </w:r>
      <w:r>
        <w:rPr>
          <w:rFonts w:hint="eastAsia" w:ascii="新宋体" w:hAnsi="新宋体" w:eastAsia="新宋体" w:cs="新宋体"/>
          <w:iCs/>
          <w:color w:val="auto"/>
          <w:szCs w:val="21"/>
          <w:highlight w:val="none"/>
        </w:rPr>
        <w:t>□</w:t>
      </w:r>
      <w:r>
        <w:rPr>
          <w:rFonts w:hint="eastAsia" w:ascii="新宋体" w:hAnsi="新宋体" w:eastAsia="新宋体" w:cs="新宋体"/>
          <w:color w:val="auto"/>
          <w:szCs w:val="21"/>
          <w:highlight w:val="none"/>
          <w:lang w:val="en-US" w:eastAsia="zh-CN"/>
        </w:rPr>
        <w:t>表示未选择。</w:t>
      </w:r>
    </w:p>
    <w:p w14:paraId="59ABF3BF">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b w:val="0"/>
          <w:bCs/>
          <w:color w:val="auto"/>
          <w:szCs w:val="21"/>
          <w:highlight w:val="none"/>
        </w:rPr>
      </w:pPr>
      <w:r>
        <w:rPr>
          <w:rFonts w:hint="eastAsia" w:ascii="新宋体" w:hAnsi="新宋体" w:eastAsia="新宋体" w:cs="新宋体"/>
          <w:b w:val="0"/>
          <w:bCs/>
          <w:color w:val="auto"/>
          <w:szCs w:val="21"/>
          <w:highlight w:val="none"/>
          <w:lang w:val="en-US" w:eastAsia="zh-CN"/>
        </w:rPr>
        <w:t>2、</w:t>
      </w:r>
      <w:r>
        <w:rPr>
          <w:rFonts w:hint="eastAsia" w:ascii="新宋体" w:hAnsi="新宋体" w:eastAsia="新宋体" w:cs="新宋体"/>
          <w:b w:val="0"/>
          <w:bCs/>
          <w:color w:val="auto"/>
          <w:szCs w:val="21"/>
          <w:highlight w:val="none"/>
        </w:rPr>
        <w:t>投标人参与政府采购活动，无需向采购人、代理机构、交易平台缴纳任何费用。</w:t>
      </w:r>
    </w:p>
    <w:p w14:paraId="66B5DA98">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outlineLvl w:val="9"/>
        <w:rPr>
          <w:rFonts w:hint="eastAsia" w:ascii="新宋体" w:hAnsi="新宋体" w:eastAsia="新宋体" w:cs="新宋体"/>
          <w:b/>
          <w:color w:val="auto"/>
          <w:szCs w:val="21"/>
          <w:highlight w:val="none"/>
          <w:lang w:eastAsia="zh-CN"/>
        </w:rPr>
      </w:pPr>
      <w:r>
        <w:rPr>
          <w:rFonts w:hint="eastAsia" w:ascii="新宋体" w:hAnsi="新宋体" w:eastAsia="新宋体" w:cs="新宋体"/>
          <w:b/>
          <w:color w:val="auto"/>
          <w:szCs w:val="21"/>
          <w:highlight w:val="none"/>
          <w:lang w:eastAsia="zh-CN"/>
        </w:rPr>
        <w:t>十、其他补充事宜：</w:t>
      </w:r>
    </w:p>
    <w:p w14:paraId="3D0A7AF2">
      <w:pPr>
        <w:pStyle w:val="24"/>
        <w:keepNext w:val="0"/>
        <w:keepLines w:val="0"/>
        <w:pageBreakBefore w:val="0"/>
        <w:widowControl w:val="0"/>
        <w:kinsoku/>
        <w:wordWrap/>
        <w:overflowPunct/>
        <w:topLinePunct w:val="0"/>
        <w:autoSpaceDE/>
        <w:autoSpaceDN/>
        <w:bidi w:val="0"/>
        <w:adjustRightInd/>
        <w:snapToGrid/>
        <w:spacing w:after="0" w:line="360" w:lineRule="auto"/>
        <w:ind w:left="0" w:leftChars="0"/>
        <w:jc w:val="left"/>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eastAsia="zh-CN"/>
        </w:rPr>
        <w:t>1、本项目为电子招投标项目，参与投标均须使用CA数字证书登陆进行操作，具体办理流程详见“湘西州公共资源交易网(http://ggzyjy.xxz.gov.cn)”“服务导航”菜单“CA办理指南”。数字证书(含电子印章)有关业务流程或电话咨询:0743-8523032。</w:t>
      </w:r>
    </w:p>
    <w:p w14:paraId="5E5D42B3">
      <w:pPr>
        <w:pStyle w:val="24"/>
        <w:keepNext w:val="0"/>
        <w:keepLines w:val="0"/>
        <w:pageBreakBefore w:val="0"/>
        <w:widowControl w:val="0"/>
        <w:kinsoku/>
        <w:wordWrap/>
        <w:overflowPunct/>
        <w:topLinePunct w:val="0"/>
        <w:autoSpaceDE/>
        <w:autoSpaceDN/>
        <w:bidi w:val="0"/>
        <w:adjustRightInd/>
        <w:snapToGrid/>
        <w:spacing w:after="0" w:line="360" w:lineRule="auto"/>
        <w:ind w:left="0" w:leftChars="0"/>
        <w:jc w:val="left"/>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eastAsia="zh-CN"/>
        </w:rPr>
        <w:t>2、电子响应文件通过数字证书进行加密并签章。未按要求加密和数字证书认证的响应文件，交易平台将无法接受。未在《湘西自治州公共资源交易中心》下载采购文件的，将不能上传电子响应文件。</w:t>
      </w:r>
    </w:p>
    <w:p w14:paraId="164E78E2">
      <w:pPr>
        <w:pStyle w:val="24"/>
        <w:keepNext w:val="0"/>
        <w:keepLines w:val="0"/>
        <w:pageBreakBefore w:val="0"/>
        <w:widowControl w:val="0"/>
        <w:kinsoku/>
        <w:wordWrap/>
        <w:overflowPunct/>
        <w:topLinePunct w:val="0"/>
        <w:autoSpaceDE/>
        <w:autoSpaceDN/>
        <w:bidi w:val="0"/>
        <w:adjustRightInd/>
        <w:snapToGrid/>
        <w:spacing w:after="0" w:line="360" w:lineRule="auto"/>
        <w:ind w:left="0" w:leftChars="0"/>
        <w:jc w:val="left"/>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val="en-US" w:eastAsia="zh-CN"/>
        </w:rPr>
        <w:t>3、</w:t>
      </w:r>
      <w:r>
        <w:rPr>
          <w:rFonts w:hint="eastAsia" w:ascii="新宋体" w:hAnsi="新宋体" w:eastAsia="新宋体" w:cs="新宋体"/>
          <w:color w:val="auto"/>
          <w:szCs w:val="21"/>
          <w:highlight w:val="none"/>
          <w:lang w:eastAsia="zh-CN"/>
        </w:rPr>
        <w:t>由于对网上招投标操作不熟悉或自身电脑、个人网络等原因导致不能在投标截止时间之前完成电子投标文件上传的，相应责任由投标人自行承担。在使用系统过程中有疑问或困难请及时向软件公司咨询，联系方式：0743-8523902。建议投标人至少在指定开标时间前一个工作日(非自然日)加密上传投标(响应)文件模拟解密等操作,如遇到故障技术支持有足够时间协助处理,非工作时间将无法及时提供技术支持，敬请谅解。</w:t>
      </w:r>
    </w:p>
    <w:p w14:paraId="3CCE7A81">
      <w:pPr>
        <w:pStyle w:val="24"/>
        <w:keepNext w:val="0"/>
        <w:keepLines w:val="0"/>
        <w:pageBreakBefore w:val="0"/>
        <w:widowControl w:val="0"/>
        <w:kinsoku/>
        <w:wordWrap/>
        <w:overflowPunct/>
        <w:topLinePunct w:val="0"/>
        <w:autoSpaceDE/>
        <w:autoSpaceDN/>
        <w:bidi w:val="0"/>
        <w:adjustRightInd/>
        <w:snapToGrid/>
        <w:spacing w:after="0" w:line="360" w:lineRule="auto"/>
        <w:ind w:left="0" w:leftChars="0"/>
        <w:jc w:val="left"/>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val="en-US" w:eastAsia="zh-CN"/>
        </w:rPr>
        <w:t>4、</w:t>
      </w:r>
      <w:r>
        <w:rPr>
          <w:rFonts w:hint="eastAsia" w:ascii="新宋体" w:hAnsi="新宋体" w:eastAsia="新宋体" w:cs="新宋体"/>
          <w:color w:val="auto"/>
          <w:szCs w:val="21"/>
          <w:highlight w:val="none"/>
          <w:lang w:eastAsia="zh-CN"/>
        </w:rPr>
        <w:t>开标时如出现网络故障、技术故障等情形而影响招投标活动，采购人可采取项目延期、延长电子投标文件解密时间等相应措施，以保障招投标活动的公开、公平和公正，投标人不得对此持有异议。</w:t>
      </w:r>
    </w:p>
    <w:p w14:paraId="1468FBE2">
      <w:pPr>
        <w:pStyle w:val="24"/>
        <w:keepNext w:val="0"/>
        <w:keepLines w:val="0"/>
        <w:pageBreakBefore w:val="0"/>
        <w:widowControl w:val="0"/>
        <w:kinsoku/>
        <w:wordWrap/>
        <w:overflowPunct/>
        <w:topLinePunct w:val="0"/>
        <w:autoSpaceDE/>
        <w:autoSpaceDN/>
        <w:bidi w:val="0"/>
        <w:adjustRightInd/>
        <w:snapToGrid/>
        <w:spacing w:after="0" w:line="360" w:lineRule="auto"/>
        <w:ind w:left="0" w:leftChars="0"/>
        <w:jc w:val="left"/>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val="en-US" w:eastAsia="zh-CN"/>
        </w:rPr>
        <w:t>5、</w:t>
      </w:r>
      <w:r>
        <w:rPr>
          <w:rFonts w:hint="eastAsia" w:ascii="新宋体" w:hAnsi="新宋体" w:eastAsia="新宋体" w:cs="新宋体"/>
          <w:color w:val="auto"/>
          <w:szCs w:val="21"/>
          <w:highlight w:val="none"/>
          <w:lang w:eastAsia="zh-CN"/>
        </w:rPr>
        <w:t>投标人须自行完成电子投标文件解密，因投标人自身原因未在规定时间内完成解密或无法解密的投标文件视为撤销其投标文件，后果由投标人自行承担。</w:t>
      </w:r>
    </w:p>
    <w:p w14:paraId="4A7F7297">
      <w:pPr>
        <w:pStyle w:val="24"/>
        <w:keepNext w:val="0"/>
        <w:keepLines w:val="0"/>
        <w:pageBreakBefore w:val="0"/>
        <w:widowControl w:val="0"/>
        <w:kinsoku/>
        <w:wordWrap/>
        <w:overflowPunct/>
        <w:topLinePunct w:val="0"/>
        <w:autoSpaceDE/>
        <w:autoSpaceDN/>
        <w:bidi w:val="0"/>
        <w:adjustRightInd/>
        <w:snapToGrid/>
        <w:spacing w:after="0" w:line="360" w:lineRule="auto"/>
        <w:ind w:left="0" w:leftChars="0"/>
        <w:jc w:val="left"/>
        <w:textAlignment w:val="auto"/>
        <w:outlineLvl w:val="9"/>
        <w:rPr>
          <w:rFonts w:hint="eastAsia" w:ascii="新宋体" w:hAnsi="新宋体" w:eastAsia="新宋体" w:cs="新宋体"/>
          <w:color w:val="auto"/>
          <w:szCs w:val="21"/>
          <w:highlight w:val="none"/>
          <w:lang w:val="en-US" w:eastAsia="zh-CN"/>
        </w:rPr>
      </w:pPr>
      <w:r>
        <w:rPr>
          <w:rFonts w:hint="eastAsia" w:ascii="新宋体" w:hAnsi="新宋体" w:eastAsia="新宋体" w:cs="新宋体"/>
          <w:color w:val="auto"/>
          <w:szCs w:val="21"/>
          <w:highlight w:val="none"/>
          <w:lang w:val="en-US" w:eastAsia="zh-CN"/>
        </w:rPr>
        <w:t>6、各投标人提交的投标文件本身含有计算机病毒或非完整文件等无法参与开评标等招投标活动的，后果自负。</w:t>
      </w:r>
    </w:p>
    <w:p w14:paraId="0602F03D">
      <w:pPr>
        <w:pStyle w:val="25"/>
        <w:keepNext w:val="0"/>
        <w:keepLines w:val="0"/>
        <w:pageBreakBefore w:val="0"/>
        <w:wordWrap/>
        <w:overflowPunct/>
        <w:topLinePunct w:val="0"/>
        <w:bidi w:val="0"/>
        <w:adjustRightInd w:val="0"/>
        <w:snapToGrid w:val="0"/>
        <w:spacing w:line="360" w:lineRule="auto"/>
        <w:outlineLvl w:val="9"/>
        <w:rPr>
          <w:rFonts w:hint="default" w:ascii="新宋体" w:hAnsi="新宋体" w:eastAsia="新宋体" w:cs="新宋体"/>
          <w:b/>
          <w:bCs/>
          <w:snapToGrid/>
          <w:color w:val="auto"/>
          <w:kern w:val="2"/>
          <w:sz w:val="21"/>
          <w:szCs w:val="21"/>
          <w:highlight w:val="none"/>
          <w:lang w:val="en-US" w:eastAsia="zh-CN" w:bidi="ar-SA"/>
        </w:rPr>
      </w:pPr>
      <w:r>
        <w:rPr>
          <w:rFonts w:hint="eastAsia" w:ascii="新宋体" w:hAnsi="新宋体" w:eastAsia="新宋体" w:cs="新宋体"/>
          <w:b/>
          <w:bCs/>
          <w:snapToGrid/>
          <w:color w:val="auto"/>
          <w:kern w:val="2"/>
          <w:sz w:val="21"/>
          <w:szCs w:val="21"/>
          <w:highlight w:val="none"/>
          <w:lang w:val="en-US" w:eastAsia="zh-CN" w:bidi="ar-SA"/>
        </w:rPr>
        <w:t>7、本项目共分为三个包，投标单位参与本项目的投标，可以同时对一个或多个包进行投标，按包分别制作投标文件，分包上传投标文件，根据项目的实际情况对每包单独报价，每个投标单位可取得一个或多个包的中标资格。</w:t>
      </w:r>
    </w:p>
    <w:p w14:paraId="6154D96B">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outlineLvl w:val="9"/>
        <w:rPr>
          <w:rFonts w:hint="eastAsia" w:ascii="新宋体" w:hAnsi="新宋体" w:eastAsia="新宋体" w:cs="新宋体"/>
          <w:b/>
          <w:color w:val="auto"/>
          <w:szCs w:val="21"/>
          <w:highlight w:val="none"/>
          <w:lang w:eastAsia="zh-CN"/>
        </w:rPr>
      </w:pPr>
      <w:r>
        <w:rPr>
          <w:rFonts w:hint="eastAsia" w:ascii="新宋体" w:hAnsi="新宋体" w:eastAsia="新宋体" w:cs="新宋体"/>
          <w:b/>
          <w:color w:val="auto"/>
          <w:szCs w:val="21"/>
          <w:highlight w:val="none"/>
          <w:lang w:eastAsia="zh-CN"/>
        </w:rPr>
        <w:t>十一、采购人、采购代理机构的名称、地址和联系方法</w:t>
      </w:r>
    </w:p>
    <w:p w14:paraId="69C8BEE6">
      <w:pPr>
        <w:pageBreakBefore w:val="0"/>
        <w:kinsoku/>
        <w:overflowPunct/>
        <w:topLinePunct w:val="0"/>
        <w:bidi w:val="0"/>
        <w:adjustRightInd w:val="0"/>
        <w:snapToGrid w:val="0"/>
        <w:spacing w:line="360" w:lineRule="auto"/>
        <w:ind w:firstLine="413" w:firstLineChars="196"/>
        <w:textAlignment w:val="auto"/>
        <w:outlineLvl w:val="9"/>
        <w:rPr>
          <w:rFonts w:hint="eastAsia" w:ascii="新宋体" w:hAnsi="新宋体" w:eastAsia="新宋体" w:cs="新宋体"/>
          <w:b/>
          <w:bCs/>
          <w:color w:val="auto"/>
          <w:szCs w:val="21"/>
          <w:highlight w:val="none"/>
        </w:rPr>
      </w:pPr>
      <w:r>
        <w:rPr>
          <w:rFonts w:hint="eastAsia" w:ascii="新宋体" w:hAnsi="新宋体" w:eastAsia="新宋体" w:cs="新宋体"/>
          <w:b/>
          <w:bCs/>
          <w:color w:val="auto"/>
          <w:szCs w:val="21"/>
          <w:highlight w:val="none"/>
        </w:rPr>
        <w:t>1</w:t>
      </w:r>
      <w:r>
        <w:rPr>
          <w:rFonts w:hint="eastAsia" w:ascii="新宋体" w:hAnsi="新宋体" w:eastAsia="新宋体" w:cs="新宋体"/>
          <w:color w:val="auto"/>
          <w:szCs w:val="21"/>
          <w:highlight w:val="none"/>
        </w:rPr>
        <w:t>、</w:t>
      </w:r>
      <w:r>
        <w:rPr>
          <w:rFonts w:hint="eastAsia" w:ascii="新宋体" w:hAnsi="新宋体" w:eastAsia="新宋体" w:cs="新宋体"/>
          <w:b/>
          <w:bCs/>
          <w:color w:val="auto"/>
          <w:szCs w:val="21"/>
          <w:highlight w:val="none"/>
        </w:rPr>
        <w:t>采购人信息</w:t>
      </w:r>
    </w:p>
    <w:p w14:paraId="0429AF7D">
      <w:pPr>
        <w:pageBreakBefore w:val="0"/>
        <w:kinsoku/>
        <w:overflowPunct/>
        <w:topLinePunct w:val="0"/>
        <w:bidi w:val="0"/>
        <w:adjustRightInd w:val="0"/>
        <w:snapToGrid w:val="0"/>
        <w:spacing w:line="360" w:lineRule="auto"/>
        <w:ind w:firstLine="411" w:firstLineChars="196"/>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rPr>
        <w:t>（1）</w:t>
      </w:r>
      <w:r>
        <w:rPr>
          <w:rFonts w:hint="eastAsia" w:ascii="新宋体" w:hAnsi="新宋体" w:eastAsia="新宋体" w:cs="新宋体"/>
          <w:bCs/>
          <w:color w:val="auto"/>
          <w:szCs w:val="21"/>
          <w:highlight w:val="none"/>
        </w:rPr>
        <w:t>名  称：</w:t>
      </w:r>
      <w:r>
        <w:rPr>
          <w:rFonts w:hint="eastAsia" w:ascii="新宋体" w:hAnsi="新宋体" w:eastAsia="新宋体" w:cs="新宋体"/>
          <w:color w:val="auto"/>
          <w:szCs w:val="21"/>
          <w:highlight w:val="none"/>
          <w:u w:val="single"/>
          <w:lang w:eastAsia="zh-CN"/>
        </w:rPr>
        <w:t>湘西土家族苗族自治州农业农村局</w:t>
      </w:r>
    </w:p>
    <w:p w14:paraId="255A3940">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rPr>
        <w:t>（2）地  址：</w:t>
      </w:r>
      <w:r>
        <w:rPr>
          <w:rFonts w:hint="eastAsia" w:ascii="新宋体" w:hAnsi="新宋体" w:eastAsia="新宋体" w:cs="新宋体"/>
          <w:color w:val="auto"/>
          <w:szCs w:val="21"/>
          <w:highlight w:val="none"/>
          <w:u w:val="single"/>
          <w:lang w:eastAsia="zh-CN"/>
        </w:rPr>
        <w:t>湖南省吉首市世纪大道1号</w:t>
      </w:r>
    </w:p>
    <w:p w14:paraId="2BCDB454">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rPr>
        <w:t>（3）联系人：</w:t>
      </w:r>
      <w:r>
        <w:rPr>
          <w:rFonts w:hint="eastAsia" w:ascii="新宋体" w:hAnsi="新宋体" w:eastAsia="新宋体" w:cs="新宋体"/>
          <w:color w:val="auto"/>
          <w:szCs w:val="21"/>
          <w:highlight w:val="none"/>
          <w:u w:val="single"/>
          <w:lang w:val="en-US" w:eastAsia="zh-CN"/>
        </w:rPr>
        <w:t>黄怀东</w:t>
      </w:r>
    </w:p>
    <w:p w14:paraId="60ED9372">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lang w:val="en-US" w:eastAsia="zh-CN"/>
        </w:rPr>
      </w:pPr>
      <w:r>
        <w:rPr>
          <w:rFonts w:hint="eastAsia" w:ascii="新宋体" w:hAnsi="新宋体" w:eastAsia="新宋体" w:cs="新宋体"/>
          <w:color w:val="auto"/>
          <w:szCs w:val="21"/>
          <w:highlight w:val="none"/>
        </w:rPr>
        <w:t>（4）邮  编：</w:t>
      </w:r>
      <w:r>
        <w:rPr>
          <w:rFonts w:hint="eastAsia" w:ascii="新宋体" w:hAnsi="新宋体" w:eastAsia="新宋体" w:cs="新宋体"/>
          <w:color w:val="auto"/>
          <w:szCs w:val="21"/>
          <w:highlight w:val="none"/>
          <w:u w:val="single"/>
          <w:lang w:val="en-US" w:eastAsia="zh-CN"/>
        </w:rPr>
        <w:t>416000</w:t>
      </w:r>
    </w:p>
    <w:p w14:paraId="594E3D06">
      <w:pPr>
        <w:pageBreakBefore w:val="0"/>
        <w:kinsoku/>
        <w:overflowPunct/>
        <w:topLinePunct w:val="0"/>
        <w:bidi w:val="0"/>
        <w:adjustRightInd w:val="0"/>
        <w:snapToGrid w:val="0"/>
        <w:spacing w:line="360" w:lineRule="auto"/>
        <w:ind w:firstLine="420" w:firstLineChars="200"/>
        <w:textAlignment w:val="auto"/>
        <w:outlineLvl w:val="9"/>
        <w:rPr>
          <w:rFonts w:hint="default" w:ascii="新宋体" w:hAnsi="新宋体" w:eastAsia="新宋体" w:cs="新宋体"/>
          <w:color w:val="auto"/>
          <w:szCs w:val="21"/>
          <w:highlight w:val="none"/>
          <w:lang w:val="en-US"/>
        </w:rPr>
      </w:pPr>
      <w:r>
        <w:rPr>
          <w:rFonts w:hint="eastAsia" w:ascii="新宋体" w:hAnsi="新宋体" w:eastAsia="新宋体" w:cs="新宋体"/>
          <w:color w:val="auto"/>
          <w:szCs w:val="21"/>
          <w:highlight w:val="none"/>
        </w:rPr>
        <w:t>（5）电  话：</w:t>
      </w:r>
      <w:r>
        <w:rPr>
          <w:rFonts w:hint="eastAsia" w:ascii="新宋体" w:hAnsi="新宋体" w:eastAsia="新宋体" w:cs="新宋体"/>
          <w:color w:val="auto"/>
          <w:szCs w:val="21"/>
          <w:highlight w:val="none"/>
          <w:u w:val="single"/>
          <w:lang w:val="en-US" w:eastAsia="zh-CN"/>
        </w:rPr>
        <w:t>13974370109</w:t>
      </w:r>
    </w:p>
    <w:p w14:paraId="32BBEF88">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（6）电子邮箱：</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u w:val="single"/>
          <w:lang w:val="en-US" w:eastAsia="zh-CN"/>
        </w:rPr>
        <w:t>/</w:t>
      </w:r>
      <w:r>
        <w:rPr>
          <w:rFonts w:hint="eastAsia" w:ascii="新宋体" w:hAnsi="新宋体" w:eastAsia="新宋体" w:cs="新宋体"/>
          <w:color w:val="auto"/>
          <w:szCs w:val="21"/>
          <w:highlight w:val="none"/>
          <w:u w:val="single"/>
        </w:rPr>
        <w:t xml:space="preserve"> </w:t>
      </w:r>
    </w:p>
    <w:p w14:paraId="7BF8B201">
      <w:pPr>
        <w:pageBreakBefore w:val="0"/>
        <w:kinsoku/>
        <w:overflowPunct/>
        <w:topLinePunct w:val="0"/>
        <w:bidi w:val="0"/>
        <w:adjustRightInd w:val="0"/>
        <w:snapToGrid w:val="0"/>
        <w:spacing w:line="360" w:lineRule="auto"/>
        <w:ind w:firstLine="413" w:firstLineChars="196"/>
        <w:textAlignment w:val="auto"/>
        <w:outlineLvl w:val="9"/>
        <w:rPr>
          <w:rFonts w:hint="eastAsia" w:ascii="新宋体" w:hAnsi="新宋体" w:eastAsia="新宋体" w:cs="新宋体"/>
          <w:b/>
          <w:bCs/>
          <w:color w:val="auto"/>
          <w:szCs w:val="21"/>
          <w:highlight w:val="none"/>
        </w:rPr>
      </w:pPr>
      <w:r>
        <w:rPr>
          <w:rFonts w:hint="eastAsia" w:ascii="新宋体" w:hAnsi="新宋体" w:eastAsia="新宋体" w:cs="新宋体"/>
          <w:b/>
          <w:bCs/>
          <w:color w:val="auto"/>
          <w:szCs w:val="21"/>
          <w:highlight w:val="none"/>
        </w:rPr>
        <w:t>2</w:t>
      </w:r>
      <w:r>
        <w:rPr>
          <w:rFonts w:hint="eastAsia" w:ascii="新宋体" w:hAnsi="新宋体" w:eastAsia="新宋体" w:cs="新宋体"/>
          <w:color w:val="auto"/>
          <w:szCs w:val="21"/>
          <w:highlight w:val="none"/>
        </w:rPr>
        <w:t>、</w:t>
      </w:r>
      <w:r>
        <w:rPr>
          <w:rFonts w:hint="eastAsia" w:ascii="新宋体" w:hAnsi="新宋体" w:eastAsia="新宋体" w:cs="新宋体"/>
          <w:b/>
          <w:bCs/>
          <w:color w:val="auto"/>
          <w:szCs w:val="21"/>
          <w:highlight w:val="none"/>
        </w:rPr>
        <w:t>采购代理机构信息</w:t>
      </w:r>
    </w:p>
    <w:p w14:paraId="72DA56F4">
      <w:pPr>
        <w:pageBreakBefore w:val="0"/>
        <w:kinsoku/>
        <w:overflowPunct/>
        <w:topLinePunct w:val="0"/>
        <w:bidi w:val="0"/>
        <w:adjustRightInd w:val="0"/>
        <w:snapToGrid w:val="0"/>
        <w:spacing w:line="360" w:lineRule="auto"/>
        <w:ind w:firstLine="411" w:firstLineChars="196"/>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（1）</w:t>
      </w:r>
      <w:r>
        <w:rPr>
          <w:rFonts w:hint="eastAsia" w:ascii="新宋体" w:hAnsi="新宋体" w:eastAsia="新宋体" w:cs="新宋体"/>
          <w:bCs/>
          <w:color w:val="auto"/>
          <w:szCs w:val="21"/>
          <w:highlight w:val="none"/>
        </w:rPr>
        <w:t>名  称：</w:t>
      </w:r>
      <w:r>
        <w:rPr>
          <w:rFonts w:hint="eastAsia" w:ascii="新宋体" w:hAnsi="新宋体" w:eastAsia="新宋体" w:cs="新宋体"/>
          <w:color w:val="auto"/>
          <w:szCs w:val="21"/>
          <w:highlight w:val="none"/>
          <w:u w:val="single"/>
        </w:rPr>
        <w:t>湖南大锐工程项目管理有限公司</w:t>
      </w:r>
    </w:p>
    <w:p w14:paraId="1D5F6FD7">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（2）地  址：</w:t>
      </w:r>
      <w:r>
        <w:rPr>
          <w:rFonts w:hint="eastAsia" w:ascii="新宋体" w:hAnsi="新宋体" w:eastAsia="新宋体" w:cs="新宋体"/>
          <w:color w:val="auto"/>
          <w:szCs w:val="21"/>
          <w:highlight w:val="none"/>
          <w:u w:val="single"/>
        </w:rPr>
        <w:t>湖南省湘西高新区湘西金融中心B座20层</w:t>
      </w:r>
    </w:p>
    <w:p w14:paraId="031AED0D">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lang w:val="en-US" w:eastAsia="zh-CN"/>
        </w:rPr>
      </w:pPr>
      <w:r>
        <w:rPr>
          <w:rFonts w:hint="eastAsia" w:ascii="新宋体" w:hAnsi="新宋体" w:eastAsia="新宋体" w:cs="新宋体"/>
          <w:color w:val="auto"/>
          <w:szCs w:val="21"/>
          <w:highlight w:val="none"/>
        </w:rPr>
        <w:t>（3）联系人：</w:t>
      </w:r>
      <w:r>
        <w:rPr>
          <w:rFonts w:hint="eastAsia" w:ascii="新宋体" w:hAnsi="新宋体" w:eastAsia="新宋体" w:cs="新宋体"/>
          <w:color w:val="auto"/>
          <w:szCs w:val="21"/>
          <w:highlight w:val="none"/>
          <w:u w:val="single"/>
        </w:rPr>
        <w:t>杨天地</w:t>
      </w:r>
      <w:r>
        <w:rPr>
          <w:rFonts w:hint="eastAsia" w:ascii="新宋体" w:hAnsi="新宋体" w:eastAsia="新宋体" w:cs="新宋体"/>
          <w:color w:val="auto"/>
          <w:szCs w:val="21"/>
          <w:highlight w:val="none"/>
          <w:u w:val="single"/>
          <w:lang w:val="en-US" w:eastAsia="zh-CN"/>
        </w:rPr>
        <w:t xml:space="preserve">   陈涵</w:t>
      </w:r>
    </w:p>
    <w:p w14:paraId="456B4EB0">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lang w:val="en-US" w:eastAsia="zh-CN"/>
        </w:rPr>
      </w:pPr>
      <w:r>
        <w:rPr>
          <w:rFonts w:hint="eastAsia" w:ascii="新宋体" w:hAnsi="新宋体" w:eastAsia="新宋体" w:cs="新宋体"/>
          <w:color w:val="auto"/>
          <w:szCs w:val="21"/>
          <w:highlight w:val="none"/>
        </w:rPr>
        <w:t>（4）邮  编：</w:t>
      </w:r>
      <w:r>
        <w:rPr>
          <w:rFonts w:hint="eastAsia" w:ascii="新宋体" w:hAnsi="新宋体" w:eastAsia="新宋体" w:cs="新宋体"/>
          <w:color w:val="auto"/>
          <w:szCs w:val="21"/>
          <w:highlight w:val="none"/>
          <w:u w:val="single"/>
          <w:lang w:val="en-US" w:eastAsia="zh-CN"/>
        </w:rPr>
        <w:t>416000</w:t>
      </w:r>
    </w:p>
    <w:p w14:paraId="6A686445">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（5）电  话：</w:t>
      </w:r>
      <w:r>
        <w:rPr>
          <w:rFonts w:hint="eastAsia" w:ascii="新宋体" w:hAnsi="新宋体" w:eastAsia="新宋体" w:cs="新宋体"/>
          <w:color w:val="auto"/>
          <w:szCs w:val="21"/>
          <w:highlight w:val="none"/>
          <w:u w:val="single"/>
          <w:lang w:eastAsia="zh-CN"/>
        </w:rPr>
        <w:t>15074309569</w:t>
      </w:r>
      <w:r>
        <w:rPr>
          <w:rFonts w:hint="eastAsia" w:ascii="新宋体" w:hAnsi="新宋体" w:eastAsia="新宋体" w:cs="新宋体"/>
          <w:color w:val="auto"/>
          <w:szCs w:val="21"/>
          <w:highlight w:val="none"/>
        </w:rPr>
        <w:t xml:space="preserve"> </w:t>
      </w:r>
    </w:p>
    <w:p w14:paraId="05CAA352">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u w:val="single"/>
          <w:lang w:val="en-US" w:eastAsia="zh-CN"/>
        </w:rPr>
      </w:pPr>
      <w:r>
        <w:rPr>
          <w:rFonts w:hint="eastAsia" w:ascii="新宋体" w:hAnsi="新宋体" w:eastAsia="新宋体" w:cs="新宋体"/>
          <w:color w:val="auto"/>
          <w:szCs w:val="21"/>
          <w:highlight w:val="none"/>
        </w:rPr>
        <w:t>（6）电子邮箱：</w:t>
      </w:r>
      <w:r>
        <w:rPr>
          <w:rFonts w:hint="eastAsia" w:ascii="新宋体" w:hAnsi="新宋体" w:eastAsia="新宋体" w:cs="新宋体"/>
          <w:color w:val="auto"/>
          <w:szCs w:val="21"/>
          <w:highlight w:val="none"/>
          <w:u w:val="single"/>
          <w:lang w:val="en-US" w:eastAsia="zh-CN"/>
        </w:rPr>
        <w:t>/</w:t>
      </w:r>
    </w:p>
    <w:p w14:paraId="480E82E5">
      <w:pPr>
        <w:pStyle w:val="31"/>
        <w:pageBreakBefore w:val="0"/>
        <w:kinsoku/>
        <w:overflowPunct/>
        <w:topLinePunct w:val="0"/>
        <w:bidi w:val="0"/>
        <w:spacing w:line="360" w:lineRule="auto"/>
        <w:ind w:firstLine="422"/>
        <w:textAlignment w:val="auto"/>
        <w:outlineLvl w:val="9"/>
        <w:rPr>
          <w:rFonts w:hint="eastAsia" w:ascii="新宋体" w:hAnsi="新宋体" w:eastAsia="新宋体" w:cs="新宋体"/>
          <w:b/>
          <w:bCs/>
          <w:color w:val="auto"/>
          <w:kern w:val="0"/>
          <w:position w:val="-1"/>
          <w:highlight w:val="none"/>
        </w:rPr>
      </w:pPr>
      <w:r>
        <w:rPr>
          <w:rFonts w:hint="eastAsia" w:ascii="新宋体" w:hAnsi="新宋体" w:eastAsia="新宋体" w:cs="新宋体"/>
          <w:b/>
          <w:bCs/>
          <w:color w:val="auto"/>
          <w:kern w:val="0"/>
          <w:position w:val="-1"/>
          <w:highlight w:val="none"/>
        </w:rPr>
        <w:t>3、电子交易平台服务机构信息</w:t>
      </w:r>
    </w:p>
    <w:p w14:paraId="64A177CA">
      <w:pPr>
        <w:pageBreakBefore w:val="0"/>
        <w:kinsoku/>
        <w:overflowPunct/>
        <w:topLinePunct w:val="0"/>
        <w:bidi w:val="0"/>
        <w:adjustRightInd w:val="0"/>
        <w:snapToGrid w:val="0"/>
        <w:spacing w:line="360" w:lineRule="auto"/>
        <w:ind w:firstLine="411" w:firstLineChars="196"/>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（1）</w:t>
      </w:r>
      <w:r>
        <w:rPr>
          <w:rFonts w:hint="eastAsia" w:ascii="新宋体" w:hAnsi="新宋体" w:eastAsia="新宋体" w:cs="新宋体"/>
          <w:bCs/>
          <w:color w:val="auto"/>
          <w:szCs w:val="21"/>
          <w:highlight w:val="none"/>
        </w:rPr>
        <w:t>名  称：</w:t>
      </w:r>
      <w:r>
        <w:rPr>
          <w:rFonts w:hint="eastAsia" w:ascii="新宋体" w:hAnsi="新宋体" w:eastAsia="新宋体" w:cs="新宋体"/>
          <w:color w:val="auto"/>
          <w:szCs w:val="21"/>
          <w:highlight w:val="none"/>
          <w:u w:val="single"/>
        </w:rPr>
        <w:t>湘西自治州公共资源交易平台</w:t>
      </w:r>
    </w:p>
    <w:p w14:paraId="77DE54D6">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（2）联系人：</w:t>
      </w:r>
      <w:r>
        <w:rPr>
          <w:rFonts w:hint="eastAsia" w:ascii="新宋体" w:hAnsi="新宋体" w:eastAsia="新宋体" w:cs="新宋体"/>
          <w:color w:val="auto"/>
          <w:szCs w:val="21"/>
          <w:highlight w:val="none"/>
          <w:u w:val="single"/>
          <w:lang w:eastAsia="zh-CN"/>
        </w:rPr>
        <w:t>软件技术人员</w:t>
      </w:r>
      <w:r>
        <w:rPr>
          <w:rFonts w:hint="eastAsia" w:ascii="新宋体" w:hAnsi="新宋体" w:eastAsia="新宋体" w:cs="新宋体"/>
          <w:color w:val="auto"/>
          <w:szCs w:val="21"/>
          <w:highlight w:val="none"/>
        </w:rPr>
        <w:t xml:space="preserve"> </w:t>
      </w:r>
    </w:p>
    <w:p w14:paraId="5B86910E">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lang w:val="en-US" w:eastAsia="zh-CN"/>
        </w:rPr>
      </w:pPr>
      <w:r>
        <w:rPr>
          <w:rFonts w:hint="eastAsia" w:ascii="新宋体" w:hAnsi="新宋体" w:eastAsia="新宋体" w:cs="新宋体"/>
          <w:color w:val="auto"/>
          <w:szCs w:val="21"/>
          <w:highlight w:val="none"/>
        </w:rPr>
        <w:t>（3）电  话：</w:t>
      </w:r>
      <w:r>
        <w:rPr>
          <w:rFonts w:hint="eastAsia" w:ascii="新宋体" w:hAnsi="新宋体" w:eastAsia="新宋体" w:cs="新宋体"/>
          <w:color w:val="auto"/>
          <w:szCs w:val="21"/>
          <w:highlight w:val="none"/>
          <w:u w:val="single"/>
          <w:lang w:val="en-US" w:eastAsia="zh-CN"/>
        </w:rPr>
        <w:t>0743-8523902</w:t>
      </w:r>
    </w:p>
    <w:p w14:paraId="2E944B27">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u w:val="single"/>
        </w:rPr>
      </w:pPr>
      <w:r>
        <w:rPr>
          <w:rFonts w:hint="eastAsia" w:ascii="新宋体" w:hAnsi="新宋体" w:eastAsia="新宋体" w:cs="新宋体"/>
          <w:color w:val="auto"/>
          <w:szCs w:val="21"/>
          <w:highlight w:val="none"/>
        </w:rPr>
        <w:t>（4）电子邮箱：</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u w:val="single"/>
          <w:lang w:val="en-US" w:eastAsia="zh-CN"/>
        </w:rPr>
        <w:t>/</w:t>
      </w:r>
      <w:r>
        <w:rPr>
          <w:rFonts w:hint="eastAsia" w:ascii="新宋体" w:hAnsi="新宋体" w:eastAsia="新宋体" w:cs="新宋体"/>
          <w:color w:val="auto"/>
          <w:szCs w:val="21"/>
          <w:highlight w:val="none"/>
          <w:u w:val="single"/>
        </w:rPr>
        <w:t xml:space="preserve"> </w:t>
      </w:r>
    </w:p>
    <w:p w14:paraId="5B4DD6D3">
      <w:pPr>
        <w:pageBreakBefore w:val="0"/>
        <w:kinsoku/>
        <w:overflowPunct/>
        <w:topLinePunct w:val="0"/>
        <w:bidi w:val="0"/>
        <w:adjustRightInd w:val="0"/>
        <w:snapToGrid w:val="0"/>
        <w:spacing w:line="360" w:lineRule="auto"/>
        <w:ind w:firstLine="420" w:firstLineChars="200"/>
        <w:jc w:val="center"/>
        <w:textAlignment w:val="auto"/>
        <w:outlineLvl w:val="0"/>
        <w:rPr>
          <w:rFonts w:hint="eastAsia" w:ascii="新宋体" w:hAnsi="新宋体" w:eastAsia="新宋体" w:cs="新宋体"/>
          <w:b/>
          <w:color w:val="auto"/>
          <w:spacing w:val="100"/>
          <w:sz w:val="32"/>
          <w:szCs w:val="32"/>
          <w:highlight w:val="none"/>
        </w:rPr>
      </w:pPr>
      <w:r>
        <w:rPr>
          <w:rFonts w:hint="eastAsia" w:ascii="新宋体" w:hAnsi="新宋体" w:eastAsia="新宋体" w:cs="新宋体"/>
          <w:color w:val="auto"/>
          <w:szCs w:val="21"/>
          <w:highlight w:val="none"/>
          <w:u w:val="single"/>
        </w:rPr>
        <w:br w:type="page"/>
      </w:r>
      <w:bookmarkStart w:id="14" w:name="_Toc228"/>
      <w:bookmarkStart w:id="15" w:name="_Toc5798"/>
      <w:bookmarkStart w:id="16" w:name="_Toc17688"/>
      <w:bookmarkStart w:id="17" w:name="_Toc21537"/>
      <w:bookmarkStart w:id="18" w:name="_Toc19385"/>
      <w:r>
        <w:rPr>
          <w:rFonts w:hint="eastAsia" w:ascii="新宋体" w:hAnsi="新宋体" w:eastAsia="新宋体" w:cs="新宋体"/>
          <w:b/>
          <w:color w:val="auto"/>
          <w:sz w:val="32"/>
          <w:szCs w:val="32"/>
          <w:highlight w:val="none"/>
        </w:rPr>
        <w:t>第二章 投标须知</w:t>
      </w:r>
      <w:bookmarkEnd w:id="6"/>
      <w:bookmarkEnd w:id="7"/>
      <w:bookmarkEnd w:id="8"/>
      <w:bookmarkEnd w:id="9"/>
      <w:bookmarkEnd w:id="10"/>
      <w:bookmarkEnd w:id="11"/>
      <w:bookmarkEnd w:id="12"/>
      <w:bookmarkEnd w:id="13"/>
      <w:bookmarkEnd w:id="14"/>
      <w:bookmarkEnd w:id="15"/>
      <w:bookmarkEnd w:id="16"/>
      <w:bookmarkEnd w:id="17"/>
      <w:bookmarkEnd w:id="18"/>
    </w:p>
    <w:p w14:paraId="3DF5C286">
      <w:pPr>
        <w:keepNext w:val="0"/>
        <w:keepLines w:val="0"/>
        <w:pageBreakBefore w:val="0"/>
        <w:widowControl w:val="0"/>
        <w:kinsoku/>
        <w:wordWrap/>
        <w:overflowPunct/>
        <w:topLinePunct w:val="0"/>
        <w:autoSpaceDE/>
        <w:autoSpaceDN/>
        <w:bidi w:val="0"/>
        <w:adjustRightInd w:val="0"/>
        <w:snapToGrid w:val="0"/>
        <w:jc w:val="center"/>
        <w:textAlignment w:val="auto"/>
        <w:outlineLvl w:val="1"/>
        <w:rPr>
          <w:rFonts w:hint="eastAsia" w:ascii="新宋体" w:hAnsi="新宋体" w:eastAsia="新宋体" w:cs="新宋体"/>
          <w:b/>
          <w:bCs/>
          <w:color w:val="auto"/>
          <w:spacing w:val="100"/>
          <w:sz w:val="28"/>
          <w:szCs w:val="28"/>
          <w:highlight w:val="none"/>
        </w:rPr>
      </w:pPr>
      <w:bookmarkStart w:id="19" w:name="_Toc3588"/>
      <w:bookmarkStart w:id="20" w:name="_Toc1588"/>
      <w:bookmarkStart w:id="21" w:name="_Toc29297"/>
      <w:bookmarkStart w:id="22" w:name="_Toc4898"/>
      <w:bookmarkStart w:id="23" w:name="_Toc4093"/>
      <w:bookmarkStart w:id="24" w:name="_Toc27682"/>
      <w:bookmarkStart w:id="25" w:name="_Toc21689"/>
      <w:r>
        <w:rPr>
          <w:rFonts w:hint="eastAsia" w:ascii="新宋体" w:hAnsi="新宋体" w:eastAsia="新宋体" w:cs="新宋体"/>
          <w:b/>
          <w:bCs/>
          <w:color w:val="auto"/>
          <w:sz w:val="28"/>
          <w:szCs w:val="28"/>
          <w:highlight w:val="none"/>
        </w:rPr>
        <w:t>第一节 投标须知前附表</w:t>
      </w:r>
      <w:bookmarkEnd w:id="19"/>
      <w:bookmarkEnd w:id="20"/>
      <w:bookmarkEnd w:id="21"/>
      <w:bookmarkEnd w:id="22"/>
      <w:bookmarkEnd w:id="23"/>
      <w:bookmarkEnd w:id="24"/>
      <w:bookmarkEnd w:id="25"/>
    </w:p>
    <w:p w14:paraId="0CBF7250">
      <w:pPr>
        <w:keepNext w:val="0"/>
        <w:keepLines w:val="0"/>
        <w:pageBreakBefore w:val="0"/>
        <w:widowControl w:val="0"/>
        <w:kinsoku/>
        <w:wordWrap/>
        <w:overflowPunct/>
        <w:topLinePunct w:val="0"/>
        <w:autoSpaceDE/>
        <w:autoSpaceDN/>
        <w:bidi w:val="0"/>
        <w:adjustRightInd w:val="0"/>
        <w:snapToGrid w:val="0"/>
        <w:spacing w:before="63" w:beforeLines="20" w:after="63" w:afterLines="20" w:line="240" w:lineRule="auto"/>
        <w:ind w:right="0" w:rightChars="0"/>
        <w:jc w:val="left"/>
        <w:textAlignment w:val="auto"/>
        <w:outlineLvl w:val="9"/>
        <w:rPr>
          <w:rFonts w:hint="eastAsia" w:ascii="新宋体" w:hAnsi="新宋体" w:eastAsia="新宋体" w:cs="新宋体"/>
          <w:i/>
          <w:color w:val="auto"/>
          <w:szCs w:val="21"/>
          <w:highlight w:val="none"/>
        </w:rPr>
      </w:pPr>
      <w:r>
        <w:rPr>
          <w:rFonts w:hint="eastAsia" w:ascii="新宋体" w:hAnsi="新宋体" w:eastAsia="新宋体" w:cs="新宋体"/>
          <w:i w:val="0"/>
          <w:iCs/>
          <w:color w:val="auto"/>
          <w:szCs w:val="21"/>
          <w:highlight w:val="none"/>
        </w:rPr>
        <w:t>注：本项目启用的条款在“编列内容规定”栏内以“</w:t>
      </w:r>
      <w:r>
        <w:rPr>
          <w:rFonts w:hint="eastAsia" w:ascii="新宋体" w:hAnsi="新宋体" w:eastAsia="新宋体" w:cs="新宋体"/>
          <w:iCs/>
          <w:color w:val="auto"/>
          <w:szCs w:val="21"/>
          <w:highlight w:val="none"/>
        </w:rPr>
        <w:t>■</w:t>
      </w:r>
      <w:r>
        <w:rPr>
          <w:rFonts w:hint="eastAsia" w:ascii="新宋体" w:hAnsi="新宋体" w:eastAsia="新宋体" w:cs="新宋体"/>
          <w:i w:val="0"/>
          <w:iCs/>
          <w:color w:val="auto"/>
          <w:szCs w:val="21"/>
          <w:highlight w:val="none"/>
        </w:rPr>
        <w:t>”标注。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8"/>
        <w:gridCol w:w="2285"/>
        <w:gridCol w:w="5877"/>
      </w:tblGrid>
      <w:tr w14:paraId="1C97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857" w:type="pct"/>
            <w:noWrap w:val="0"/>
            <w:vAlign w:val="center"/>
          </w:tcPr>
          <w:p w14:paraId="6C1C9EDC">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条款号</w:t>
            </w:r>
          </w:p>
        </w:tc>
        <w:tc>
          <w:tcPr>
            <w:tcW w:w="1160" w:type="pct"/>
            <w:noWrap w:val="0"/>
            <w:vAlign w:val="center"/>
          </w:tcPr>
          <w:p w14:paraId="3A556EC2">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条款名称</w:t>
            </w:r>
          </w:p>
        </w:tc>
        <w:tc>
          <w:tcPr>
            <w:tcW w:w="2982" w:type="pct"/>
            <w:noWrap w:val="0"/>
            <w:vAlign w:val="center"/>
          </w:tcPr>
          <w:p w14:paraId="3E954533">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编列内容规定</w:t>
            </w:r>
          </w:p>
        </w:tc>
      </w:tr>
      <w:tr w14:paraId="234F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000" w:type="pct"/>
            <w:gridSpan w:val="3"/>
            <w:noWrap w:val="0"/>
            <w:vAlign w:val="center"/>
          </w:tcPr>
          <w:p w14:paraId="4B70C840">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b/>
                <w:color w:val="auto"/>
                <w:sz w:val="22"/>
                <w:szCs w:val="22"/>
                <w:highlight w:val="none"/>
              </w:rPr>
              <w:t>一、说明</w:t>
            </w:r>
          </w:p>
        </w:tc>
      </w:tr>
      <w:tr w14:paraId="07A3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857" w:type="pct"/>
            <w:noWrap w:val="0"/>
            <w:vAlign w:val="center"/>
          </w:tcPr>
          <w:p w14:paraId="361ED654">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第1.1款</w:t>
            </w:r>
          </w:p>
        </w:tc>
        <w:tc>
          <w:tcPr>
            <w:tcW w:w="1160" w:type="pct"/>
            <w:noWrap w:val="0"/>
            <w:vAlign w:val="center"/>
          </w:tcPr>
          <w:p w14:paraId="5E37064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采购项目</w:t>
            </w:r>
          </w:p>
        </w:tc>
        <w:tc>
          <w:tcPr>
            <w:tcW w:w="2982" w:type="pct"/>
            <w:noWrap w:val="0"/>
            <w:vAlign w:val="center"/>
          </w:tcPr>
          <w:p w14:paraId="5002D3FF">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eastAsia="zh-CN"/>
              </w:rPr>
              <w:t>湘西自治州农业农村局2026年州本级高素质农民培育项目</w:t>
            </w:r>
          </w:p>
        </w:tc>
      </w:tr>
      <w:tr w14:paraId="0F523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7" w:type="pct"/>
            <w:noWrap w:val="0"/>
            <w:vAlign w:val="center"/>
          </w:tcPr>
          <w:p w14:paraId="5CD62EAD">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第1.2款</w:t>
            </w:r>
          </w:p>
        </w:tc>
        <w:tc>
          <w:tcPr>
            <w:tcW w:w="1160" w:type="pct"/>
            <w:noWrap w:val="0"/>
            <w:vAlign w:val="center"/>
          </w:tcPr>
          <w:p w14:paraId="59EC21B9">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是否预留采购份额</w:t>
            </w:r>
          </w:p>
        </w:tc>
        <w:tc>
          <w:tcPr>
            <w:tcW w:w="2982" w:type="pct"/>
            <w:noWrap w:val="0"/>
            <w:vAlign w:val="center"/>
          </w:tcPr>
          <w:p w14:paraId="2FA72292">
            <w:pPr>
              <w:keepNext w:val="0"/>
              <w:keepLines w:val="0"/>
              <w:pageBreakBefore w:val="0"/>
              <w:widowControl w:val="0"/>
              <w:suppressLineNumbers w:val="0"/>
              <w:kinsoku/>
              <w:overflowPunct/>
              <w:topLinePunct w:val="0"/>
              <w:autoSpaceDE/>
              <w:autoSpaceDN/>
              <w:bidi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iCs/>
                <w:color w:val="auto"/>
                <w:sz w:val="22"/>
                <w:szCs w:val="22"/>
                <w:highlight w:val="none"/>
              </w:rPr>
              <w:t>□</w:t>
            </w:r>
            <w:r>
              <w:rPr>
                <w:rFonts w:hint="eastAsia" w:ascii="新宋体" w:hAnsi="新宋体" w:eastAsia="新宋体" w:cs="新宋体"/>
                <w:iCs/>
                <w:color w:val="auto"/>
                <w:sz w:val="22"/>
                <w:szCs w:val="22"/>
                <w:highlight w:val="none"/>
                <w:lang w:eastAsia="zh-CN"/>
              </w:rPr>
              <w:t>是</w:t>
            </w:r>
          </w:p>
          <w:p w14:paraId="4CD6DF89">
            <w:pPr>
              <w:keepNext w:val="0"/>
              <w:keepLines w:val="0"/>
              <w:pageBreakBefore w:val="0"/>
              <w:widowControl w:val="0"/>
              <w:suppressLineNumbers w:val="0"/>
              <w:kinsoku/>
              <w:overflowPunct/>
              <w:topLinePunct w:val="0"/>
              <w:autoSpaceDE/>
              <w:autoSpaceDN/>
              <w:bidi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iCs/>
                <w:color w:val="auto"/>
                <w:sz w:val="22"/>
                <w:szCs w:val="22"/>
                <w:highlight w:val="none"/>
              </w:rPr>
              <w:t>■</w:t>
            </w:r>
            <w:r>
              <w:rPr>
                <w:rFonts w:hint="eastAsia" w:ascii="新宋体" w:hAnsi="新宋体" w:eastAsia="新宋体" w:cs="新宋体"/>
                <w:iCs/>
                <w:color w:val="auto"/>
                <w:sz w:val="22"/>
                <w:szCs w:val="22"/>
                <w:highlight w:val="none"/>
                <w:lang w:eastAsia="zh-CN"/>
              </w:rPr>
              <w:t>否</w:t>
            </w:r>
          </w:p>
        </w:tc>
      </w:tr>
      <w:tr w14:paraId="0B28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857" w:type="pct"/>
            <w:noWrap w:val="0"/>
            <w:vAlign w:val="center"/>
          </w:tcPr>
          <w:p w14:paraId="1B1F3A8B">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第2.1</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4ECE88C9">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采购项目联系人姓名和电话</w:t>
            </w:r>
          </w:p>
        </w:tc>
        <w:tc>
          <w:tcPr>
            <w:tcW w:w="2982" w:type="pct"/>
            <w:noWrap w:val="0"/>
            <w:vAlign w:val="center"/>
          </w:tcPr>
          <w:p w14:paraId="5282E726">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eastAsia="zh-CN"/>
              </w:rPr>
              <w:t>详见“第一章</w:t>
            </w:r>
            <w:r>
              <w:rPr>
                <w:rFonts w:hint="eastAsia" w:ascii="新宋体" w:hAnsi="新宋体" w:eastAsia="新宋体" w:cs="新宋体"/>
                <w:color w:val="auto"/>
                <w:sz w:val="22"/>
                <w:szCs w:val="22"/>
                <w:highlight w:val="none"/>
                <w:lang w:val="en-US" w:eastAsia="zh-CN"/>
              </w:rPr>
              <w:t xml:space="preserve"> </w:t>
            </w:r>
            <w:r>
              <w:rPr>
                <w:rFonts w:hint="eastAsia" w:ascii="新宋体" w:hAnsi="新宋体" w:eastAsia="新宋体" w:cs="新宋体"/>
                <w:color w:val="auto"/>
                <w:sz w:val="22"/>
                <w:szCs w:val="22"/>
                <w:highlight w:val="none"/>
                <w:lang w:eastAsia="zh-CN"/>
              </w:rPr>
              <w:t>投标邀请”</w:t>
            </w:r>
          </w:p>
        </w:tc>
      </w:tr>
      <w:tr w14:paraId="6B05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7" w:type="pct"/>
            <w:noWrap w:val="0"/>
            <w:vAlign w:val="center"/>
          </w:tcPr>
          <w:p w14:paraId="62743F5C">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第2.2</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0F76617A">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采购人名称、地址、电话、联系人</w:t>
            </w:r>
          </w:p>
        </w:tc>
        <w:tc>
          <w:tcPr>
            <w:tcW w:w="2982" w:type="pct"/>
            <w:noWrap w:val="0"/>
            <w:vAlign w:val="center"/>
          </w:tcPr>
          <w:p w14:paraId="12AE88D3">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eastAsia="zh-CN"/>
              </w:rPr>
              <w:t>详见“第一章</w:t>
            </w:r>
            <w:r>
              <w:rPr>
                <w:rFonts w:hint="eastAsia" w:ascii="新宋体" w:hAnsi="新宋体" w:eastAsia="新宋体" w:cs="新宋体"/>
                <w:color w:val="auto"/>
                <w:sz w:val="22"/>
                <w:szCs w:val="22"/>
                <w:highlight w:val="none"/>
                <w:lang w:val="en-US" w:eastAsia="zh-CN"/>
              </w:rPr>
              <w:t xml:space="preserve"> </w:t>
            </w:r>
            <w:r>
              <w:rPr>
                <w:rFonts w:hint="eastAsia" w:ascii="新宋体" w:hAnsi="新宋体" w:eastAsia="新宋体" w:cs="新宋体"/>
                <w:color w:val="auto"/>
                <w:sz w:val="22"/>
                <w:szCs w:val="22"/>
                <w:highlight w:val="none"/>
                <w:lang w:eastAsia="zh-CN"/>
              </w:rPr>
              <w:t>投标邀请”</w:t>
            </w:r>
          </w:p>
        </w:tc>
      </w:tr>
      <w:tr w14:paraId="5426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7" w:type="pct"/>
            <w:noWrap w:val="0"/>
            <w:vAlign w:val="center"/>
          </w:tcPr>
          <w:p w14:paraId="66442DC4">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第2.3</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255A9F3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采购代理机构名称、地址、电话、联系人</w:t>
            </w:r>
          </w:p>
        </w:tc>
        <w:tc>
          <w:tcPr>
            <w:tcW w:w="2982" w:type="pct"/>
            <w:noWrap w:val="0"/>
            <w:vAlign w:val="center"/>
          </w:tcPr>
          <w:p w14:paraId="4BE92EF9">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eastAsia="zh-CN"/>
              </w:rPr>
              <w:t>详见“第一章</w:t>
            </w:r>
            <w:r>
              <w:rPr>
                <w:rFonts w:hint="eastAsia" w:ascii="新宋体" w:hAnsi="新宋体" w:eastAsia="新宋体" w:cs="新宋体"/>
                <w:color w:val="auto"/>
                <w:sz w:val="22"/>
                <w:szCs w:val="22"/>
                <w:highlight w:val="none"/>
                <w:lang w:val="en-US" w:eastAsia="zh-CN"/>
              </w:rPr>
              <w:t xml:space="preserve"> </w:t>
            </w:r>
            <w:r>
              <w:rPr>
                <w:rFonts w:hint="eastAsia" w:ascii="新宋体" w:hAnsi="新宋体" w:eastAsia="新宋体" w:cs="新宋体"/>
                <w:color w:val="auto"/>
                <w:sz w:val="22"/>
                <w:szCs w:val="22"/>
                <w:highlight w:val="none"/>
                <w:lang w:eastAsia="zh-CN"/>
              </w:rPr>
              <w:t>投标邀请”</w:t>
            </w:r>
          </w:p>
        </w:tc>
      </w:tr>
      <w:tr w14:paraId="2BC72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857" w:type="pct"/>
            <w:noWrap w:val="0"/>
            <w:vAlign w:val="center"/>
          </w:tcPr>
          <w:p w14:paraId="4EEA3043">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第3.1</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7850CCD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投标人资格条件</w:t>
            </w:r>
          </w:p>
        </w:tc>
        <w:tc>
          <w:tcPr>
            <w:tcW w:w="2982" w:type="pct"/>
            <w:noWrap w:val="0"/>
            <w:vAlign w:val="center"/>
          </w:tcPr>
          <w:p w14:paraId="25B2CD32">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eastAsia="zh-CN"/>
              </w:rPr>
              <w:t>详见“第一章</w:t>
            </w:r>
            <w:r>
              <w:rPr>
                <w:rFonts w:hint="eastAsia" w:ascii="新宋体" w:hAnsi="新宋体" w:eastAsia="新宋体" w:cs="新宋体"/>
                <w:color w:val="auto"/>
                <w:sz w:val="22"/>
                <w:szCs w:val="22"/>
                <w:highlight w:val="none"/>
                <w:lang w:val="en-US" w:eastAsia="zh-CN"/>
              </w:rPr>
              <w:t xml:space="preserve"> </w:t>
            </w:r>
            <w:r>
              <w:rPr>
                <w:rFonts w:hint="eastAsia" w:ascii="新宋体" w:hAnsi="新宋体" w:eastAsia="新宋体" w:cs="新宋体"/>
                <w:color w:val="auto"/>
                <w:sz w:val="22"/>
                <w:szCs w:val="22"/>
                <w:highlight w:val="none"/>
                <w:lang w:eastAsia="zh-CN"/>
              </w:rPr>
              <w:t>投标邀请”</w:t>
            </w:r>
          </w:p>
        </w:tc>
      </w:tr>
      <w:tr w14:paraId="0245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7" w:type="pct"/>
            <w:noWrap w:val="0"/>
            <w:vAlign w:val="center"/>
          </w:tcPr>
          <w:p w14:paraId="2BB3A19F">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第3.2</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5328A09B">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接受联合体形式投标</w:t>
            </w:r>
          </w:p>
        </w:tc>
        <w:tc>
          <w:tcPr>
            <w:tcW w:w="2982" w:type="pct"/>
            <w:noWrap w:val="0"/>
            <w:vAlign w:val="center"/>
          </w:tcPr>
          <w:p w14:paraId="7F3C3B17">
            <w:pPr>
              <w:keepNext w:val="0"/>
              <w:keepLines w:val="0"/>
              <w:pageBreakBefore w:val="0"/>
              <w:widowControl w:val="0"/>
              <w:suppressLineNumbers w:val="0"/>
              <w:kinsoku/>
              <w:overflowPunct/>
              <w:topLinePunct w:val="0"/>
              <w:autoSpaceDE/>
              <w:autoSpaceDN/>
              <w:bidi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iCs/>
                <w:color w:val="auto"/>
                <w:sz w:val="22"/>
                <w:szCs w:val="22"/>
                <w:highlight w:val="none"/>
              </w:rPr>
              <w:t>□</w:t>
            </w:r>
            <w:r>
              <w:rPr>
                <w:rFonts w:hint="eastAsia" w:ascii="新宋体" w:hAnsi="新宋体" w:eastAsia="新宋体" w:cs="新宋体"/>
                <w:iCs/>
                <w:color w:val="auto"/>
                <w:sz w:val="22"/>
                <w:szCs w:val="22"/>
                <w:highlight w:val="none"/>
                <w:lang w:eastAsia="zh-CN"/>
              </w:rPr>
              <w:t>接受</w:t>
            </w:r>
          </w:p>
          <w:p w14:paraId="2528290C">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iCs/>
                <w:color w:val="auto"/>
                <w:sz w:val="22"/>
                <w:szCs w:val="22"/>
                <w:highlight w:val="none"/>
              </w:rPr>
              <w:t>■</w:t>
            </w:r>
            <w:r>
              <w:rPr>
                <w:rFonts w:hint="eastAsia" w:ascii="新宋体" w:hAnsi="新宋体" w:eastAsia="新宋体" w:cs="新宋体"/>
                <w:iCs/>
                <w:color w:val="auto"/>
                <w:sz w:val="22"/>
                <w:szCs w:val="22"/>
                <w:highlight w:val="none"/>
                <w:lang w:eastAsia="zh-CN"/>
              </w:rPr>
              <w:t>不接受</w:t>
            </w:r>
          </w:p>
        </w:tc>
      </w:tr>
      <w:tr w14:paraId="6F87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7" w:type="pct"/>
            <w:noWrap w:val="0"/>
            <w:vAlign w:val="center"/>
          </w:tcPr>
          <w:p w14:paraId="1BB20396">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第5.1</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03D0E8CD">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招标文件提供期限</w:t>
            </w:r>
          </w:p>
        </w:tc>
        <w:tc>
          <w:tcPr>
            <w:tcW w:w="2982" w:type="pct"/>
            <w:noWrap w:val="0"/>
            <w:vAlign w:val="center"/>
          </w:tcPr>
          <w:p w14:paraId="16ACF63B">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eastAsia="zh-CN"/>
              </w:rPr>
              <w:t>详见“第一章</w:t>
            </w:r>
            <w:r>
              <w:rPr>
                <w:rFonts w:hint="eastAsia" w:ascii="新宋体" w:hAnsi="新宋体" w:eastAsia="新宋体" w:cs="新宋体"/>
                <w:color w:val="auto"/>
                <w:sz w:val="22"/>
                <w:szCs w:val="22"/>
                <w:highlight w:val="none"/>
                <w:lang w:val="en-US" w:eastAsia="zh-CN"/>
              </w:rPr>
              <w:t xml:space="preserve"> </w:t>
            </w:r>
            <w:r>
              <w:rPr>
                <w:rFonts w:hint="eastAsia" w:ascii="新宋体" w:hAnsi="新宋体" w:eastAsia="新宋体" w:cs="新宋体"/>
                <w:color w:val="auto"/>
                <w:sz w:val="22"/>
                <w:szCs w:val="22"/>
                <w:highlight w:val="none"/>
                <w:lang w:eastAsia="zh-CN"/>
              </w:rPr>
              <w:t>投标邀请”</w:t>
            </w:r>
          </w:p>
        </w:tc>
      </w:tr>
      <w:tr w14:paraId="6CC5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7" w:type="pct"/>
            <w:noWrap w:val="0"/>
            <w:vAlign w:val="center"/>
          </w:tcPr>
          <w:p w14:paraId="54706BA7">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第5.2</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3DB5605A">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组织现场考察或者召开答疑会</w:t>
            </w:r>
          </w:p>
        </w:tc>
        <w:tc>
          <w:tcPr>
            <w:tcW w:w="2982" w:type="pct"/>
            <w:noWrap w:val="0"/>
            <w:vAlign w:val="center"/>
          </w:tcPr>
          <w:p w14:paraId="050A75D2">
            <w:pPr>
              <w:keepNext w:val="0"/>
              <w:keepLines w:val="0"/>
              <w:pageBreakBefore w:val="0"/>
              <w:widowControl w:val="0"/>
              <w:suppressLineNumbers w:val="0"/>
              <w:kinsoku/>
              <w:overflowPunct/>
              <w:topLinePunct w:val="0"/>
              <w:autoSpaceDE/>
              <w:autoSpaceDN/>
              <w:bidi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iCs/>
                <w:color w:val="auto"/>
                <w:sz w:val="22"/>
                <w:szCs w:val="22"/>
                <w:highlight w:val="none"/>
              </w:rPr>
              <w:t>□</w:t>
            </w:r>
            <w:r>
              <w:rPr>
                <w:rFonts w:hint="eastAsia" w:ascii="新宋体" w:hAnsi="新宋体" w:eastAsia="新宋体" w:cs="新宋体"/>
                <w:iCs/>
                <w:color w:val="auto"/>
                <w:sz w:val="22"/>
                <w:szCs w:val="22"/>
                <w:highlight w:val="none"/>
                <w:lang w:eastAsia="zh-CN"/>
              </w:rPr>
              <w:t>组织</w:t>
            </w:r>
          </w:p>
          <w:p w14:paraId="70B7766F">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iCs/>
                <w:color w:val="auto"/>
                <w:sz w:val="22"/>
                <w:szCs w:val="22"/>
                <w:highlight w:val="none"/>
              </w:rPr>
              <w:t>■</w:t>
            </w:r>
            <w:r>
              <w:rPr>
                <w:rFonts w:hint="eastAsia" w:ascii="新宋体" w:hAnsi="新宋体" w:eastAsia="新宋体" w:cs="新宋体"/>
                <w:iCs/>
                <w:color w:val="auto"/>
                <w:sz w:val="22"/>
                <w:szCs w:val="22"/>
                <w:highlight w:val="none"/>
                <w:lang w:eastAsia="zh-CN"/>
              </w:rPr>
              <w:t>不组织</w:t>
            </w:r>
          </w:p>
        </w:tc>
      </w:tr>
      <w:tr w14:paraId="3AE00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5000" w:type="pct"/>
            <w:gridSpan w:val="3"/>
            <w:noWrap w:val="0"/>
            <w:vAlign w:val="center"/>
          </w:tcPr>
          <w:p w14:paraId="0C05D91B">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二、招标文件</w:t>
            </w:r>
          </w:p>
        </w:tc>
      </w:tr>
      <w:tr w14:paraId="0A6D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57" w:type="pct"/>
            <w:noWrap w:val="0"/>
            <w:vAlign w:val="center"/>
          </w:tcPr>
          <w:p w14:paraId="00286B0F">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第7.4</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299A5E6F">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非实质性偏离的范围和幅度</w:t>
            </w:r>
          </w:p>
        </w:tc>
        <w:tc>
          <w:tcPr>
            <w:tcW w:w="2982" w:type="pct"/>
            <w:noWrap w:val="0"/>
            <w:vAlign w:val="center"/>
          </w:tcPr>
          <w:p w14:paraId="70788B63">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本项目不适用</w:t>
            </w:r>
          </w:p>
        </w:tc>
      </w:tr>
      <w:tr w14:paraId="54035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857" w:type="pct"/>
            <w:noWrap w:val="0"/>
            <w:vAlign w:val="center"/>
          </w:tcPr>
          <w:p w14:paraId="6DDE99B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第9.1</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062D78C6">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招标公告指定媒体</w:t>
            </w:r>
          </w:p>
        </w:tc>
        <w:tc>
          <w:tcPr>
            <w:tcW w:w="2982" w:type="pct"/>
            <w:noWrap w:val="0"/>
            <w:vAlign w:val="center"/>
          </w:tcPr>
          <w:p w14:paraId="6C4D7E1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eastAsia="zh-CN"/>
              </w:rPr>
              <w:t>中国湖南政府采购网（http://www.ccgp-hunan.gov.cn/）</w:t>
            </w:r>
          </w:p>
          <w:p w14:paraId="04CDA81A">
            <w:pPr>
              <w:pStyle w:val="24"/>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eastAsia="zh-CN"/>
              </w:rPr>
              <w:t>湘西州公共资源交易网（</w:t>
            </w:r>
            <w:r>
              <w:rPr>
                <w:rFonts w:hint="eastAsia" w:ascii="新宋体" w:hAnsi="新宋体" w:eastAsia="新宋体" w:cs="新宋体"/>
                <w:color w:val="auto"/>
                <w:sz w:val="22"/>
                <w:szCs w:val="22"/>
                <w:highlight w:val="none"/>
              </w:rPr>
              <w:t>http://ggzyjy.xxz.gov.cn</w:t>
            </w:r>
            <w:r>
              <w:rPr>
                <w:rFonts w:hint="eastAsia" w:ascii="新宋体" w:hAnsi="新宋体" w:eastAsia="新宋体" w:cs="新宋体"/>
                <w:color w:val="auto"/>
                <w:sz w:val="22"/>
                <w:szCs w:val="22"/>
                <w:highlight w:val="none"/>
                <w:lang w:eastAsia="zh-CN"/>
              </w:rPr>
              <w:t>）</w:t>
            </w:r>
          </w:p>
        </w:tc>
      </w:tr>
      <w:tr w14:paraId="596F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5000" w:type="pct"/>
            <w:gridSpan w:val="3"/>
            <w:noWrap w:val="0"/>
            <w:vAlign w:val="center"/>
          </w:tcPr>
          <w:p w14:paraId="5066023F">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b/>
                <w:color w:val="auto"/>
                <w:sz w:val="22"/>
                <w:szCs w:val="22"/>
                <w:highlight w:val="none"/>
              </w:rPr>
              <w:t>三、投标文件</w:t>
            </w:r>
          </w:p>
        </w:tc>
      </w:tr>
      <w:tr w14:paraId="1372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857" w:type="pct"/>
            <w:noWrap w:val="0"/>
            <w:vAlign w:val="center"/>
          </w:tcPr>
          <w:p w14:paraId="2C212DBA">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第13.2</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72F76FF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采购</w:t>
            </w:r>
            <w:r>
              <w:rPr>
                <w:rFonts w:hint="eastAsia" w:ascii="新宋体" w:hAnsi="新宋体" w:eastAsia="新宋体" w:cs="新宋体"/>
                <w:color w:val="auto"/>
                <w:sz w:val="22"/>
                <w:szCs w:val="22"/>
                <w:highlight w:val="none"/>
                <w:lang w:val="en-US" w:eastAsia="zh-CN"/>
              </w:rPr>
              <w:t>项目</w:t>
            </w:r>
            <w:r>
              <w:rPr>
                <w:rFonts w:hint="eastAsia" w:ascii="新宋体" w:hAnsi="新宋体" w:eastAsia="新宋体" w:cs="新宋体"/>
                <w:color w:val="auto"/>
                <w:sz w:val="22"/>
                <w:szCs w:val="22"/>
                <w:highlight w:val="none"/>
              </w:rPr>
              <w:t>预算</w:t>
            </w:r>
          </w:p>
        </w:tc>
        <w:tc>
          <w:tcPr>
            <w:tcW w:w="2982" w:type="pct"/>
            <w:noWrap w:val="0"/>
            <w:vAlign w:val="center"/>
          </w:tcPr>
          <w:p w14:paraId="37DFB298">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eastAsia="zh-CN"/>
              </w:rPr>
              <w:t>采购预算</w:t>
            </w:r>
            <w:r>
              <w:rPr>
                <w:rFonts w:hint="eastAsia" w:ascii="新宋体" w:hAnsi="新宋体" w:eastAsia="新宋体" w:cs="新宋体"/>
                <w:color w:val="auto"/>
                <w:sz w:val="22"/>
                <w:szCs w:val="22"/>
                <w:highlight w:val="none"/>
              </w:rPr>
              <w:t>：</w:t>
            </w:r>
            <w:r>
              <w:rPr>
                <w:rFonts w:hint="eastAsia" w:ascii="新宋体" w:hAnsi="新宋体" w:eastAsia="新宋体" w:cs="新宋体"/>
                <w:color w:val="auto"/>
                <w:sz w:val="22"/>
                <w:szCs w:val="22"/>
                <w:highlight w:val="none"/>
                <w:lang w:val="en-US" w:eastAsia="zh-CN"/>
              </w:rPr>
              <w:t>1500000.00元</w:t>
            </w:r>
            <w:r>
              <w:rPr>
                <w:rFonts w:hint="eastAsia" w:ascii="新宋体" w:hAnsi="新宋体" w:eastAsia="新宋体" w:cs="新宋体"/>
                <w:color w:val="auto"/>
                <w:kern w:val="0"/>
                <w:sz w:val="22"/>
                <w:szCs w:val="22"/>
                <w:highlight w:val="none"/>
              </w:rPr>
              <w:t>，</w:t>
            </w:r>
          </w:p>
          <w:p w14:paraId="49D41918">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本项目投标报价不得超过</w:t>
            </w:r>
            <w:r>
              <w:rPr>
                <w:rFonts w:hint="eastAsia" w:ascii="新宋体" w:hAnsi="新宋体" w:eastAsia="新宋体" w:cs="新宋体"/>
                <w:color w:val="auto"/>
                <w:sz w:val="22"/>
                <w:szCs w:val="22"/>
                <w:highlight w:val="none"/>
                <w:lang w:eastAsia="zh-CN"/>
              </w:rPr>
              <w:t>各包的</w:t>
            </w:r>
            <w:r>
              <w:rPr>
                <w:rFonts w:hint="eastAsia" w:ascii="新宋体" w:hAnsi="新宋体" w:eastAsia="新宋体" w:cs="新宋体"/>
                <w:color w:val="auto"/>
                <w:sz w:val="22"/>
                <w:szCs w:val="22"/>
                <w:highlight w:val="none"/>
              </w:rPr>
              <w:t>最高限价</w:t>
            </w:r>
            <w:r>
              <w:rPr>
                <w:rFonts w:hint="eastAsia" w:ascii="新宋体" w:hAnsi="新宋体" w:eastAsia="新宋体" w:cs="新宋体"/>
                <w:color w:val="auto"/>
                <w:sz w:val="22"/>
                <w:szCs w:val="22"/>
                <w:highlight w:val="none"/>
                <w:lang w:eastAsia="zh-CN"/>
              </w:rPr>
              <w:t>（详见采购需求）</w:t>
            </w:r>
            <w:r>
              <w:rPr>
                <w:rFonts w:hint="eastAsia" w:ascii="新宋体" w:hAnsi="新宋体" w:eastAsia="新宋体" w:cs="新宋体"/>
                <w:color w:val="auto"/>
                <w:sz w:val="22"/>
                <w:szCs w:val="22"/>
                <w:highlight w:val="none"/>
              </w:rPr>
              <w:t>，否则将视为无效投标。</w:t>
            </w:r>
          </w:p>
        </w:tc>
      </w:tr>
      <w:tr w14:paraId="6C80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857" w:type="pct"/>
            <w:noWrap w:val="0"/>
            <w:vAlign w:val="center"/>
          </w:tcPr>
          <w:p w14:paraId="24B6972D">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第13.8款</w:t>
            </w:r>
          </w:p>
        </w:tc>
        <w:tc>
          <w:tcPr>
            <w:tcW w:w="1160" w:type="pct"/>
            <w:noWrap w:val="0"/>
            <w:vAlign w:val="center"/>
          </w:tcPr>
          <w:p w14:paraId="1B2E766C">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投标报价的其他要求</w:t>
            </w:r>
          </w:p>
        </w:tc>
        <w:tc>
          <w:tcPr>
            <w:tcW w:w="2982" w:type="pct"/>
            <w:noWrap w:val="0"/>
            <w:vAlign w:val="center"/>
          </w:tcPr>
          <w:p w14:paraId="4A7B9E83">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val="en-US" w:eastAsia="zh-CN"/>
              </w:rPr>
              <w:t>投标人应以招标文件规定的技术服务要求、责任范围和合同条件为基础，按第五章采购需求的有关规定进行投标报价。</w:t>
            </w:r>
          </w:p>
        </w:tc>
      </w:tr>
      <w:tr w14:paraId="043E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857" w:type="pct"/>
            <w:noWrap w:val="0"/>
            <w:vAlign w:val="center"/>
          </w:tcPr>
          <w:p w14:paraId="6D61D1E6">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第14.1款</w:t>
            </w:r>
          </w:p>
        </w:tc>
        <w:tc>
          <w:tcPr>
            <w:tcW w:w="1160" w:type="pct"/>
            <w:noWrap w:val="0"/>
            <w:vAlign w:val="center"/>
          </w:tcPr>
          <w:p w14:paraId="44CDB7B3">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color w:val="auto"/>
                <w:sz w:val="22"/>
                <w:szCs w:val="22"/>
                <w:highlight w:val="none"/>
              </w:rPr>
              <w:t>投标人应提供资格审查资料</w:t>
            </w:r>
          </w:p>
        </w:tc>
        <w:tc>
          <w:tcPr>
            <w:tcW w:w="2982" w:type="pct"/>
            <w:noWrap w:val="0"/>
            <w:vAlign w:val="center"/>
          </w:tcPr>
          <w:p w14:paraId="7C372CFD">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eastAsia="zh-CN"/>
              </w:rPr>
              <w:t>详见“第三章</w:t>
            </w:r>
            <w:r>
              <w:rPr>
                <w:rFonts w:hint="eastAsia" w:ascii="新宋体" w:hAnsi="新宋体" w:eastAsia="新宋体" w:cs="新宋体"/>
                <w:color w:val="auto"/>
                <w:sz w:val="22"/>
                <w:szCs w:val="22"/>
                <w:highlight w:val="none"/>
                <w:lang w:val="en-US" w:eastAsia="zh-CN"/>
              </w:rPr>
              <w:t xml:space="preserve"> </w:t>
            </w:r>
            <w:r>
              <w:rPr>
                <w:rFonts w:hint="eastAsia" w:ascii="新宋体" w:hAnsi="新宋体" w:eastAsia="新宋体" w:cs="新宋体"/>
                <w:color w:val="auto"/>
                <w:sz w:val="22"/>
                <w:szCs w:val="22"/>
                <w:highlight w:val="none"/>
                <w:lang w:eastAsia="zh-CN"/>
              </w:rPr>
              <w:t>资格审查表”要求提交材料</w:t>
            </w:r>
          </w:p>
        </w:tc>
      </w:tr>
      <w:tr w14:paraId="2EB1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57" w:type="pct"/>
            <w:noWrap w:val="0"/>
            <w:vAlign w:val="center"/>
          </w:tcPr>
          <w:p w14:paraId="680B839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第16.1</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56299D8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投标有效期</w:t>
            </w:r>
          </w:p>
        </w:tc>
        <w:tc>
          <w:tcPr>
            <w:tcW w:w="2982" w:type="pct"/>
            <w:noWrap w:val="0"/>
            <w:vAlign w:val="center"/>
          </w:tcPr>
          <w:p w14:paraId="6DCE96C8">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color w:val="auto"/>
                <w:sz w:val="22"/>
                <w:szCs w:val="22"/>
                <w:highlight w:val="none"/>
                <w:lang w:eastAsia="zh-CN"/>
              </w:rPr>
              <w:t>自投标文件递交截止之日起</w:t>
            </w:r>
            <w:r>
              <w:rPr>
                <w:rFonts w:hint="eastAsia" w:ascii="新宋体" w:hAnsi="新宋体" w:eastAsia="新宋体" w:cs="新宋体"/>
                <w:color w:val="auto"/>
                <w:sz w:val="22"/>
                <w:szCs w:val="22"/>
                <w:highlight w:val="none"/>
              </w:rPr>
              <w:t>90日（日历日）</w:t>
            </w:r>
          </w:p>
        </w:tc>
      </w:tr>
      <w:tr w14:paraId="2A97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857" w:type="pct"/>
            <w:noWrap w:val="0"/>
            <w:vAlign w:val="center"/>
          </w:tcPr>
          <w:p w14:paraId="3BBE4915">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第17.1</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1C7FA94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投标保证金</w:t>
            </w:r>
          </w:p>
        </w:tc>
        <w:tc>
          <w:tcPr>
            <w:tcW w:w="2982" w:type="pct"/>
            <w:noWrap w:val="0"/>
            <w:vAlign w:val="center"/>
          </w:tcPr>
          <w:p w14:paraId="426C1A8A">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本项目不要求提交</w:t>
            </w:r>
          </w:p>
        </w:tc>
      </w:tr>
      <w:tr w14:paraId="63FB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857" w:type="pct"/>
            <w:noWrap w:val="0"/>
            <w:vAlign w:val="center"/>
          </w:tcPr>
          <w:p w14:paraId="2157686F">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第18.1</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423F7E2A">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bCs/>
                <w:color w:val="auto"/>
                <w:sz w:val="22"/>
                <w:szCs w:val="22"/>
                <w:highlight w:val="none"/>
              </w:rPr>
              <w:t>分包</w:t>
            </w:r>
          </w:p>
        </w:tc>
        <w:tc>
          <w:tcPr>
            <w:tcW w:w="2982" w:type="pct"/>
            <w:noWrap w:val="0"/>
            <w:vAlign w:val="center"/>
          </w:tcPr>
          <w:p w14:paraId="2FD789CC">
            <w:pPr>
              <w:keepNext w:val="0"/>
              <w:keepLines w:val="0"/>
              <w:pageBreakBefore w:val="0"/>
              <w:widowControl w:val="0"/>
              <w:suppressLineNumbers w:val="0"/>
              <w:kinsoku/>
              <w:overflowPunct/>
              <w:topLinePunct w:val="0"/>
              <w:autoSpaceDE/>
              <w:autoSpaceDN/>
              <w:bidi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iCs/>
                <w:color w:val="auto"/>
                <w:sz w:val="22"/>
                <w:szCs w:val="22"/>
                <w:highlight w:val="none"/>
              </w:rPr>
              <w:t>□</w:t>
            </w:r>
            <w:r>
              <w:rPr>
                <w:rFonts w:hint="eastAsia" w:ascii="新宋体" w:hAnsi="新宋体" w:eastAsia="新宋体" w:cs="新宋体"/>
                <w:iCs/>
                <w:color w:val="auto"/>
                <w:sz w:val="22"/>
                <w:szCs w:val="22"/>
                <w:highlight w:val="none"/>
                <w:lang w:eastAsia="zh-CN"/>
              </w:rPr>
              <w:t>允许</w:t>
            </w:r>
          </w:p>
          <w:p w14:paraId="2442D70D">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iCs/>
                <w:color w:val="auto"/>
                <w:sz w:val="22"/>
                <w:szCs w:val="22"/>
                <w:highlight w:val="none"/>
              </w:rPr>
              <w:t>■</w:t>
            </w:r>
            <w:r>
              <w:rPr>
                <w:rFonts w:hint="eastAsia" w:ascii="新宋体" w:hAnsi="新宋体" w:eastAsia="新宋体" w:cs="新宋体"/>
                <w:iCs/>
                <w:color w:val="auto"/>
                <w:sz w:val="22"/>
                <w:szCs w:val="22"/>
                <w:highlight w:val="none"/>
                <w:lang w:eastAsia="zh-CN"/>
              </w:rPr>
              <w:t>不允许</w:t>
            </w:r>
          </w:p>
        </w:tc>
      </w:tr>
      <w:tr w14:paraId="32BD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857" w:type="pct"/>
            <w:noWrap w:val="0"/>
            <w:vAlign w:val="center"/>
          </w:tcPr>
          <w:p w14:paraId="108B2FD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第19.1</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5293605B">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投标文件分数</w:t>
            </w:r>
          </w:p>
        </w:tc>
        <w:tc>
          <w:tcPr>
            <w:tcW w:w="2982" w:type="pct"/>
            <w:noWrap w:val="0"/>
            <w:vAlign w:val="center"/>
          </w:tcPr>
          <w:p w14:paraId="3E77DC0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color w:val="auto"/>
                <w:sz w:val="22"/>
                <w:szCs w:val="22"/>
                <w:highlight w:val="none"/>
              </w:rPr>
              <w:t>在</w:t>
            </w:r>
            <w:r>
              <w:rPr>
                <w:rFonts w:hint="eastAsia" w:ascii="新宋体" w:hAnsi="新宋体" w:eastAsia="新宋体" w:cs="新宋体"/>
                <w:color w:val="auto"/>
                <w:sz w:val="22"/>
                <w:szCs w:val="22"/>
                <w:highlight w:val="none"/>
                <w:lang w:eastAsia="zh-CN"/>
              </w:rPr>
              <w:t>湘西州公共资源</w:t>
            </w:r>
            <w:r>
              <w:rPr>
                <w:rFonts w:hint="eastAsia" w:ascii="新宋体" w:hAnsi="新宋体" w:eastAsia="新宋体" w:cs="新宋体"/>
                <w:color w:val="auto"/>
                <w:sz w:val="22"/>
                <w:szCs w:val="22"/>
                <w:highlight w:val="none"/>
              </w:rPr>
              <w:t>交易中心系统提交电子投标文件一份。</w:t>
            </w:r>
            <w:r>
              <w:rPr>
                <w:rFonts w:hint="eastAsia" w:ascii="新宋体" w:hAnsi="新宋体" w:eastAsia="新宋体" w:cs="新宋体"/>
                <w:color w:val="auto"/>
                <w:sz w:val="22"/>
                <w:szCs w:val="22"/>
                <w:highlight w:val="none"/>
                <w:lang w:eastAsia="zh-CN"/>
              </w:rPr>
              <w:t>（中标人需提供</w:t>
            </w:r>
            <w:r>
              <w:rPr>
                <w:rFonts w:hint="eastAsia" w:ascii="新宋体" w:hAnsi="新宋体" w:eastAsia="新宋体" w:cs="新宋体"/>
                <w:color w:val="auto"/>
                <w:sz w:val="22"/>
                <w:szCs w:val="22"/>
                <w:highlight w:val="none"/>
                <w:lang w:val="en-US" w:eastAsia="zh-CN"/>
              </w:rPr>
              <w:t>2份纸质版投标文件，纸质版投标文件应当与导入电子开标评标系统的电子投标文件内容一致）。</w:t>
            </w:r>
          </w:p>
        </w:tc>
      </w:tr>
      <w:tr w14:paraId="659F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460" w:type="dxa"/>
            <w:noWrap w:val="0"/>
            <w:vAlign w:val="center"/>
          </w:tcPr>
          <w:p w14:paraId="7EAB35F6">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w:t>
            </w:r>
            <w:r>
              <w:rPr>
                <w:rFonts w:hint="eastAsia" w:ascii="新宋体" w:hAnsi="新宋体" w:eastAsia="新宋体" w:cs="新宋体"/>
                <w:color w:val="auto"/>
                <w:sz w:val="22"/>
                <w:szCs w:val="22"/>
                <w:highlight w:val="none"/>
                <w:lang w:val="en-US" w:eastAsia="zh-CN"/>
              </w:rPr>
              <w:t>20</w:t>
            </w:r>
            <w:r>
              <w:rPr>
                <w:rFonts w:hint="eastAsia" w:ascii="新宋体" w:hAnsi="新宋体" w:eastAsia="新宋体" w:cs="新宋体"/>
                <w:color w:val="auto"/>
                <w:sz w:val="22"/>
                <w:szCs w:val="22"/>
                <w:highlight w:val="none"/>
              </w:rPr>
              <w:t>.1</w:t>
            </w:r>
            <w:r>
              <w:rPr>
                <w:rFonts w:hint="eastAsia" w:ascii="新宋体" w:hAnsi="新宋体" w:eastAsia="新宋体" w:cs="新宋体"/>
                <w:color w:val="auto"/>
                <w:kern w:val="0"/>
                <w:sz w:val="22"/>
                <w:szCs w:val="22"/>
                <w:highlight w:val="none"/>
                <w:lang w:val="zh-CN"/>
              </w:rPr>
              <w:t>款</w:t>
            </w:r>
          </w:p>
        </w:tc>
        <w:tc>
          <w:tcPr>
            <w:tcW w:w="1976" w:type="dxa"/>
            <w:noWrap w:val="0"/>
            <w:vAlign w:val="center"/>
          </w:tcPr>
          <w:p w14:paraId="534541AF">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lang w:val="en-US" w:eastAsia="zh-CN"/>
              </w:rPr>
              <w:t>投标文件加密</w:t>
            </w:r>
          </w:p>
        </w:tc>
        <w:tc>
          <w:tcPr>
            <w:tcW w:w="5083" w:type="dxa"/>
            <w:noWrap w:val="0"/>
            <w:vAlign w:val="center"/>
          </w:tcPr>
          <w:p w14:paraId="65068A40">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lang w:val="en-US" w:eastAsia="zh-CN"/>
              </w:rPr>
              <w:t>电子交易系统自动加密</w:t>
            </w:r>
          </w:p>
        </w:tc>
      </w:tr>
      <w:tr w14:paraId="2336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000" w:type="pct"/>
            <w:gridSpan w:val="3"/>
            <w:noWrap w:val="0"/>
            <w:vAlign w:val="center"/>
          </w:tcPr>
          <w:p w14:paraId="761BB83F">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color w:val="auto"/>
                <w:sz w:val="22"/>
                <w:szCs w:val="22"/>
                <w:highlight w:val="none"/>
              </w:rPr>
              <w:t>四、投标</w:t>
            </w:r>
          </w:p>
        </w:tc>
      </w:tr>
      <w:tr w14:paraId="3CDD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857" w:type="pct"/>
            <w:noWrap w:val="0"/>
            <w:vAlign w:val="center"/>
          </w:tcPr>
          <w:p w14:paraId="3B16760B">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第21.1</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7CEFFCF6">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投标截止时间及投标地点</w:t>
            </w:r>
          </w:p>
        </w:tc>
        <w:tc>
          <w:tcPr>
            <w:tcW w:w="2982" w:type="pct"/>
            <w:noWrap w:val="0"/>
            <w:vAlign w:val="center"/>
          </w:tcPr>
          <w:p w14:paraId="3595F4A5">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bCs/>
                <w:color w:val="auto"/>
                <w:sz w:val="22"/>
                <w:szCs w:val="22"/>
                <w:highlight w:val="none"/>
                <w:lang w:eastAsia="zh-CN"/>
              </w:rPr>
            </w:pPr>
            <w:r>
              <w:rPr>
                <w:rFonts w:hint="eastAsia" w:ascii="新宋体" w:hAnsi="新宋体" w:eastAsia="新宋体" w:cs="新宋体"/>
                <w:color w:val="auto"/>
                <w:sz w:val="22"/>
                <w:szCs w:val="22"/>
                <w:highlight w:val="none"/>
                <w:lang w:eastAsia="zh-CN"/>
              </w:rPr>
              <w:t>详见“第一章</w:t>
            </w:r>
            <w:r>
              <w:rPr>
                <w:rFonts w:hint="eastAsia" w:ascii="新宋体" w:hAnsi="新宋体" w:eastAsia="新宋体" w:cs="新宋体"/>
                <w:color w:val="auto"/>
                <w:sz w:val="22"/>
                <w:szCs w:val="22"/>
                <w:highlight w:val="none"/>
                <w:lang w:val="en-US" w:eastAsia="zh-CN"/>
              </w:rPr>
              <w:t xml:space="preserve"> </w:t>
            </w:r>
            <w:r>
              <w:rPr>
                <w:rFonts w:hint="eastAsia" w:ascii="新宋体" w:hAnsi="新宋体" w:eastAsia="新宋体" w:cs="新宋体"/>
                <w:color w:val="auto"/>
                <w:sz w:val="22"/>
                <w:szCs w:val="22"/>
                <w:highlight w:val="none"/>
                <w:lang w:eastAsia="zh-CN"/>
              </w:rPr>
              <w:t>投标邀请”</w:t>
            </w:r>
          </w:p>
        </w:tc>
      </w:tr>
      <w:tr w14:paraId="0109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857" w:type="pct"/>
            <w:noWrap w:val="0"/>
            <w:vAlign w:val="center"/>
          </w:tcPr>
          <w:p w14:paraId="2537A204">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eastAsia="zh-CN"/>
              </w:rPr>
              <w:t>第</w:t>
            </w:r>
            <w:r>
              <w:rPr>
                <w:rFonts w:hint="eastAsia" w:ascii="新宋体" w:hAnsi="新宋体" w:eastAsia="新宋体" w:cs="新宋体"/>
                <w:color w:val="auto"/>
                <w:sz w:val="22"/>
                <w:szCs w:val="22"/>
                <w:highlight w:val="none"/>
                <w:lang w:val="en-US" w:eastAsia="zh-CN"/>
              </w:rPr>
              <w:t>23.3款</w:t>
            </w:r>
          </w:p>
        </w:tc>
        <w:tc>
          <w:tcPr>
            <w:tcW w:w="1160" w:type="pct"/>
            <w:noWrap w:val="0"/>
            <w:vAlign w:val="center"/>
          </w:tcPr>
          <w:p w14:paraId="240D3B0C">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eastAsia="zh-CN"/>
              </w:rPr>
              <w:t>涉嫌围标、串标情形</w:t>
            </w:r>
          </w:p>
        </w:tc>
        <w:tc>
          <w:tcPr>
            <w:tcW w:w="2982" w:type="pct"/>
            <w:noWrap w:val="0"/>
            <w:vAlign w:val="center"/>
          </w:tcPr>
          <w:p w14:paraId="675423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bCs/>
                <w:color w:val="auto"/>
                <w:sz w:val="22"/>
                <w:szCs w:val="22"/>
                <w:highlight w:val="none"/>
                <w:lang w:eastAsia="zh-CN"/>
              </w:rPr>
            </w:pPr>
            <w:r>
              <w:rPr>
                <w:rFonts w:hint="eastAsia" w:ascii="新宋体" w:hAnsi="新宋体" w:eastAsia="新宋体" w:cs="新宋体"/>
                <w:color w:val="auto"/>
                <w:sz w:val="22"/>
                <w:szCs w:val="22"/>
                <w:highlight w:val="none"/>
                <w:lang w:val="en-US" w:eastAsia="zh-CN"/>
              </w:rPr>
              <w:t>根据湘西自治州公共资源交易中心大数据分析系统异常预警机制，凡出现电子投标文件投标文件制作机器码、文件创建标识码、IP 地址雷同的，均属涉嫌围标、串标情形，有关监管部门将根据异常预警具体情况依法进行处理。</w:t>
            </w:r>
          </w:p>
        </w:tc>
      </w:tr>
      <w:tr w14:paraId="45E0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000" w:type="pct"/>
            <w:gridSpan w:val="3"/>
            <w:noWrap w:val="0"/>
            <w:vAlign w:val="center"/>
          </w:tcPr>
          <w:p w14:paraId="333D4619">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b/>
                <w:bCs/>
                <w:color w:val="auto"/>
                <w:sz w:val="22"/>
                <w:szCs w:val="22"/>
                <w:highlight w:val="none"/>
              </w:rPr>
              <w:t>五、开标、资格审查和评标</w:t>
            </w:r>
          </w:p>
        </w:tc>
      </w:tr>
      <w:tr w14:paraId="677B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857" w:type="pct"/>
            <w:noWrap w:val="0"/>
            <w:vAlign w:val="center"/>
          </w:tcPr>
          <w:p w14:paraId="2733045B">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第24.1</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4E78251F">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bCs/>
                <w:color w:val="auto"/>
                <w:sz w:val="22"/>
                <w:szCs w:val="22"/>
                <w:highlight w:val="none"/>
              </w:rPr>
              <w:t>开标地点</w:t>
            </w:r>
            <w:r>
              <w:rPr>
                <w:rFonts w:hint="eastAsia" w:ascii="新宋体" w:hAnsi="新宋体" w:eastAsia="新宋体" w:cs="新宋体"/>
                <w:color w:val="auto"/>
                <w:sz w:val="22"/>
                <w:szCs w:val="22"/>
                <w:highlight w:val="none"/>
              </w:rPr>
              <w:t xml:space="preserve"> </w:t>
            </w:r>
          </w:p>
        </w:tc>
        <w:tc>
          <w:tcPr>
            <w:tcW w:w="2982" w:type="pct"/>
            <w:noWrap w:val="0"/>
            <w:vAlign w:val="center"/>
          </w:tcPr>
          <w:p w14:paraId="33C5D05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u w:val="none"/>
                <w:lang w:val="en-US"/>
              </w:rPr>
            </w:pPr>
            <w:r>
              <w:rPr>
                <w:rFonts w:hint="eastAsia" w:ascii="新宋体" w:hAnsi="新宋体" w:eastAsia="新宋体" w:cs="新宋体"/>
                <w:b/>
                <w:bCs w:val="0"/>
                <w:color w:val="auto"/>
                <w:sz w:val="22"/>
                <w:szCs w:val="22"/>
                <w:highlight w:val="none"/>
                <w:lang w:eastAsia="zh-CN"/>
              </w:rPr>
              <w:t>湘西州公共资源交易中心网上开标大厅</w:t>
            </w:r>
            <w:r>
              <w:rPr>
                <w:rFonts w:hint="eastAsia" w:ascii="新宋体" w:hAnsi="新宋体" w:eastAsia="新宋体" w:cs="新宋体"/>
                <w:b/>
                <w:bCs w:val="0"/>
                <w:color w:val="auto"/>
                <w:sz w:val="22"/>
                <w:szCs w:val="22"/>
                <w:highlight w:val="yellow"/>
                <w:lang w:eastAsia="zh-CN"/>
              </w:rPr>
              <w:t>（不见面开标室</w:t>
            </w:r>
            <w:r>
              <w:rPr>
                <w:rFonts w:hint="eastAsia" w:ascii="新宋体" w:hAnsi="新宋体" w:eastAsia="新宋体" w:cs="新宋体"/>
                <w:b/>
                <w:bCs w:val="0"/>
                <w:color w:val="auto"/>
                <w:sz w:val="22"/>
                <w:szCs w:val="22"/>
                <w:highlight w:val="yellow"/>
                <w:lang w:val="en-US" w:eastAsia="zh-CN"/>
              </w:rPr>
              <w:t>二</w:t>
            </w:r>
            <w:r>
              <w:rPr>
                <w:rFonts w:hint="eastAsia" w:ascii="新宋体" w:hAnsi="新宋体" w:eastAsia="新宋体" w:cs="新宋体"/>
                <w:b/>
                <w:bCs w:val="0"/>
                <w:color w:val="auto"/>
                <w:sz w:val="22"/>
                <w:szCs w:val="22"/>
                <w:highlight w:val="yellow"/>
                <w:lang w:eastAsia="zh-CN"/>
              </w:rPr>
              <w:t>）</w:t>
            </w:r>
            <w:r>
              <w:rPr>
                <w:rFonts w:hint="eastAsia" w:ascii="新宋体" w:hAnsi="新宋体" w:eastAsia="新宋体" w:cs="新宋体"/>
                <w:bCs/>
                <w:color w:val="auto"/>
                <w:sz w:val="22"/>
                <w:szCs w:val="22"/>
                <w:highlight w:val="none"/>
                <w:lang w:eastAsia="zh-CN"/>
              </w:rPr>
              <w:t>上公开进行开标，所有投标人均应当准时在线参加开标。采购人同时在湘西州公共资源交易中心对应开标室设置线下开标会场。</w:t>
            </w:r>
          </w:p>
        </w:tc>
      </w:tr>
      <w:tr w14:paraId="4669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857" w:type="pct"/>
            <w:noWrap w:val="0"/>
            <w:vAlign w:val="center"/>
          </w:tcPr>
          <w:p w14:paraId="39C5987B">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第24.2</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7B0B032F">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需要宣布的其他内容</w:t>
            </w:r>
          </w:p>
        </w:tc>
        <w:tc>
          <w:tcPr>
            <w:tcW w:w="2982" w:type="pct"/>
            <w:noWrap w:val="0"/>
            <w:vAlign w:val="center"/>
          </w:tcPr>
          <w:p w14:paraId="6067D30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开标一览表</w:t>
            </w:r>
          </w:p>
        </w:tc>
      </w:tr>
      <w:tr w14:paraId="4EF0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5000" w:type="pct"/>
            <w:gridSpan w:val="3"/>
            <w:noWrap w:val="0"/>
            <w:vAlign w:val="center"/>
          </w:tcPr>
          <w:p w14:paraId="4D16144D">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六、中标信息公布</w:t>
            </w:r>
          </w:p>
        </w:tc>
      </w:tr>
      <w:tr w14:paraId="1282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trPr>
        <w:tc>
          <w:tcPr>
            <w:tcW w:w="857" w:type="pct"/>
            <w:noWrap w:val="0"/>
            <w:vAlign w:val="center"/>
          </w:tcPr>
          <w:p w14:paraId="23D513F7">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第28.2</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5CA386CA">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中标候选人并列时确定中标人的方式</w:t>
            </w:r>
          </w:p>
        </w:tc>
        <w:tc>
          <w:tcPr>
            <w:tcW w:w="2982" w:type="pct"/>
            <w:noWrap w:val="0"/>
            <w:vAlign w:val="center"/>
          </w:tcPr>
          <w:p w14:paraId="1CF02BF3">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评标结果按评审后得分由高到低顺序排列。得分相同的，按投标报价由低到高顺序排列。得分且投标报价相同的并列，投标文件满足招标文件全部实质性要求，</w:t>
            </w:r>
            <w:r>
              <w:rPr>
                <w:rFonts w:hint="eastAsia" w:ascii="新宋体" w:hAnsi="新宋体" w:eastAsia="新宋体" w:cs="新宋体"/>
                <w:color w:val="auto"/>
                <w:sz w:val="22"/>
                <w:szCs w:val="22"/>
                <w:highlight w:val="none"/>
                <w:lang w:eastAsia="zh-CN"/>
              </w:rPr>
              <w:t>按照评标方法及标准中技术部分得分从高到低排序，技术部分得分相同的按照评标方法及标准中商务部分从高到底排序，以此类推，若都相同，由采购人自行确定中标人。</w:t>
            </w:r>
          </w:p>
        </w:tc>
      </w:tr>
      <w:tr w14:paraId="38E1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857" w:type="pct"/>
            <w:noWrap w:val="0"/>
            <w:vAlign w:val="center"/>
          </w:tcPr>
          <w:p w14:paraId="6C9FBEE4">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第29</w:t>
            </w:r>
            <w:r>
              <w:rPr>
                <w:rFonts w:hint="eastAsia" w:ascii="新宋体" w:hAnsi="新宋体" w:eastAsia="新宋体" w:cs="新宋体"/>
                <w:color w:val="auto"/>
                <w:sz w:val="22"/>
                <w:szCs w:val="22"/>
                <w:highlight w:val="none"/>
                <w:lang w:val="en-US" w:eastAsia="zh-CN"/>
              </w:rPr>
              <w:t>.5</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7C7542A9">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接收质疑函的联系部门、联系电话和通讯地址</w:t>
            </w:r>
          </w:p>
        </w:tc>
        <w:tc>
          <w:tcPr>
            <w:tcW w:w="2982" w:type="pct"/>
            <w:noWrap w:val="0"/>
            <w:vAlign w:val="center"/>
          </w:tcPr>
          <w:p w14:paraId="483A916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投标人认为采购文件、采购过程、中标或者成交结果使自己的权益受到损害的，应当在知道或者应知其权益受到损害之日起7个工作日内，以书面形式</w:t>
            </w:r>
            <w:r>
              <w:rPr>
                <w:rFonts w:hint="eastAsia" w:ascii="新宋体" w:hAnsi="新宋体" w:eastAsia="新宋体" w:cs="新宋体"/>
                <w:bCs/>
                <w:color w:val="auto"/>
                <w:sz w:val="22"/>
                <w:szCs w:val="22"/>
                <w:highlight w:val="none"/>
                <w:lang w:eastAsia="zh-CN"/>
              </w:rPr>
              <w:t>现场递交方式</w:t>
            </w:r>
            <w:r>
              <w:rPr>
                <w:rFonts w:hint="eastAsia" w:ascii="新宋体" w:hAnsi="新宋体" w:eastAsia="新宋体" w:cs="新宋体"/>
                <w:bCs/>
                <w:color w:val="auto"/>
                <w:sz w:val="22"/>
                <w:szCs w:val="22"/>
                <w:highlight w:val="none"/>
              </w:rPr>
              <w:t>向采购人和采购代理机构一次性提出针对同一采购程序环节的质疑</w:t>
            </w:r>
          </w:p>
          <w:p w14:paraId="24D99CC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1、采购人信息</w:t>
            </w:r>
          </w:p>
          <w:p w14:paraId="6122E82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（1）名  称：湘西土家族苗族自治州农业农村局</w:t>
            </w:r>
          </w:p>
          <w:p w14:paraId="6F10EE82">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（2）地  址：湖南省吉首市世纪大道1号</w:t>
            </w:r>
          </w:p>
          <w:p w14:paraId="73D74D68">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default" w:ascii="新宋体" w:hAnsi="新宋体" w:eastAsia="新宋体" w:cs="新宋体"/>
                <w:bCs/>
                <w:color w:val="auto"/>
                <w:sz w:val="22"/>
                <w:szCs w:val="22"/>
                <w:highlight w:val="none"/>
                <w:lang w:val="en-US" w:eastAsia="zh-CN"/>
              </w:rPr>
            </w:pPr>
            <w:r>
              <w:rPr>
                <w:rFonts w:hint="eastAsia" w:ascii="新宋体" w:hAnsi="新宋体" w:eastAsia="新宋体" w:cs="新宋体"/>
                <w:bCs/>
                <w:color w:val="auto"/>
                <w:sz w:val="22"/>
                <w:szCs w:val="22"/>
                <w:highlight w:val="none"/>
              </w:rPr>
              <w:t>（3）电  话：</w:t>
            </w:r>
            <w:r>
              <w:rPr>
                <w:rFonts w:hint="eastAsia" w:ascii="新宋体" w:hAnsi="新宋体" w:eastAsia="新宋体" w:cs="新宋体"/>
                <w:bCs/>
                <w:color w:val="auto"/>
                <w:sz w:val="22"/>
                <w:szCs w:val="22"/>
                <w:highlight w:val="none"/>
                <w:lang w:val="en-US" w:eastAsia="zh-CN"/>
              </w:rPr>
              <w:t>13974370109</w:t>
            </w:r>
          </w:p>
          <w:p w14:paraId="1130AA3F">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2、采购代理机构信息</w:t>
            </w:r>
          </w:p>
          <w:p w14:paraId="6F9D260F">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bCs/>
                <w:color w:val="auto"/>
                <w:sz w:val="22"/>
                <w:szCs w:val="22"/>
                <w:highlight w:val="none"/>
                <w:lang w:eastAsia="zh-CN"/>
              </w:rPr>
              <w:t>（</w:t>
            </w:r>
            <w:r>
              <w:rPr>
                <w:rFonts w:hint="eastAsia" w:ascii="新宋体" w:hAnsi="新宋体" w:eastAsia="新宋体" w:cs="新宋体"/>
                <w:bCs/>
                <w:color w:val="auto"/>
                <w:sz w:val="22"/>
                <w:szCs w:val="22"/>
                <w:highlight w:val="none"/>
                <w:lang w:val="en-US" w:eastAsia="zh-CN"/>
              </w:rPr>
              <w:t>1</w:t>
            </w:r>
            <w:r>
              <w:rPr>
                <w:rFonts w:hint="eastAsia" w:ascii="新宋体" w:hAnsi="新宋体" w:eastAsia="新宋体" w:cs="新宋体"/>
                <w:bCs/>
                <w:color w:val="auto"/>
                <w:sz w:val="22"/>
                <w:szCs w:val="22"/>
                <w:highlight w:val="none"/>
                <w:lang w:eastAsia="zh-CN"/>
              </w:rPr>
              <w:t>）</w:t>
            </w:r>
            <w:r>
              <w:rPr>
                <w:rFonts w:hint="eastAsia" w:ascii="新宋体" w:hAnsi="新宋体" w:eastAsia="新宋体" w:cs="新宋体"/>
                <w:bCs/>
                <w:color w:val="auto"/>
                <w:sz w:val="22"/>
                <w:szCs w:val="22"/>
                <w:highlight w:val="none"/>
              </w:rPr>
              <w:t>名  称：</w:t>
            </w:r>
            <w:r>
              <w:rPr>
                <w:rFonts w:hint="eastAsia" w:ascii="新宋体" w:hAnsi="新宋体" w:eastAsia="新宋体" w:cs="新宋体"/>
                <w:color w:val="auto"/>
                <w:sz w:val="22"/>
                <w:szCs w:val="22"/>
                <w:highlight w:val="none"/>
              </w:rPr>
              <w:t xml:space="preserve">湖南大锐工程项目管理有限公司       </w:t>
            </w:r>
          </w:p>
          <w:p w14:paraId="426AF18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2</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rPr>
              <w:t>地  址：湖南省湘西高新区湘西金融中心B座20层</w:t>
            </w:r>
          </w:p>
          <w:p w14:paraId="778C272A">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3</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rPr>
              <w:t>电  话：</w:t>
            </w:r>
            <w:r>
              <w:rPr>
                <w:rFonts w:hint="eastAsia" w:ascii="新宋体" w:hAnsi="新宋体" w:eastAsia="新宋体" w:cs="新宋体"/>
                <w:color w:val="auto"/>
                <w:sz w:val="22"/>
                <w:szCs w:val="22"/>
                <w:highlight w:val="none"/>
                <w:lang w:val="en-US" w:eastAsia="zh-CN"/>
              </w:rPr>
              <w:t xml:space="preserve">15074309569 </w:t>
            </w:r>
          </w:p>
        </w:tc>
      </w:tr>
      <w:tr w14:paraId="551C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5000" w:type="pct"/>
            <w:gridSpan w:val="3"/>
            <w:noWrap w:val="0"/>
            <w:vAlign w:val="center"/>
          </w:tcPr>
          <w:p w14:paraId="54D011A7">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b/>
                <w:color w:val="auto"/>
                <w:sz w:val="22"/>
                <w:szCs w:val="22"/>
                <w:highlight w:val="none"/>
              </w:rPr>
              <w:t>七、合同签订</w:t>
            </w:r>
          </w:p>
        </w:tc>
      </w:tr>
      <w:tr w14:paraId="5DF9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7" w:type="pct"/>
            <w:noWrap w:val="0"/>
            <w:vAlign w:val="center"/>
          </w:tcPr>
          <w:p w14:paraId="4273D01D">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第31.1</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537F8AB9">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履约担保</w:t>
            </w:r>
          </w:p>
        </w:tc>
        <w:tc>
          <w:tcPr>
            <w:tcW w:w="2982" w:type="pct"/>
            <w:noWrap w:val="0"/>
            <w:vAlign w:val="center"/>
          </w:tcPr>
          <w:p w14:paraId="67074878">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strike/>
                <w:color w:val="auto"/>
                <w:sz w:val="22"/>
                <w:szCs w:val="22"/>
                <w:highlight w:val="none"/>
                <w:lang w:eastAsia="zh-CN"/>
              </w:rPr>
            </w:pPr>
            <w:r>
              <w:rPr>
                <w:rFonts w:hint="eastAsia" w:ascii="新宋体" w:hAnsi="新宋体" w:eastAsia="新宋体" w:cs="新宋体"/>
                <w:strike w:val="0"/>
                <w:color w:val="auto"/>
                <w:sz w:val="22"/>
                <w:szCs w:val="22"/>
                <w:highlight w:val="none"/>
                <w:lang w:eastAsia="zh-CN"/>
              </w:rPr>
              <w:t>中标金额的10%，签订合同前提交。</w:t>
            </w:r>
          </w:p>
        </w:tc>
      </w:tr>
      <w:tr w14:paraId="7E30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5000" w:type="pct"/>
            <w:gridSpan w:val="3"/>
            <w:noWrap w:val="0"/>
            <w:vAlign w:val="center"/>
          </w:tcPr>
          <w:p w14:paraId="4E02E028">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b/>
                <w:bCs/>
                <w:color w:val="auto"/>
                <w:sz w:val="22"/>
                <w:szCs w:val="22"/>
                <w:highlight w:val="none"/>
                <w:lang w:val="en-US" w:eastAsia="zh-CN"/>
              </w:rPr>
              <w:t>八、政府采购政策</w:t>
            </w:r>
          </w:p>
        </w:tc>
      </w:tr>
      <w:tr w14:paraId="1E45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857" w:type="pct"/>
            <w:noWrap w:val="0"/>
            <w:vAlign w:val="center"/>
          </w:tcPr>
          <w:p w14:paraId="7ED129E7">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第33.8款</w:t>
            </w:r>
          </w:p>
        </w:tc>
        <w:tc>
          <w:tcPr>
            <w:tcW w:w="1160" w:type="pct"/>
            <w:noWrap w:val="0"/>
            <w:vAlign w:val="center"/>
          </w:tcPr>
          <w:p w14:paraId="3B2560E7">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采购进口产品</w:t>
            </w:r>
          </w:p>
        </w:tc>
        <w:tc>
          <w:tcPr>
            <w:tcW w:w="2982" w:type="pct"/>
            <w:noWrap w:val="0"/>
            <w:vAlign w:val="center"/>
          </w:tcPr>
          <w:p w14:paraId="09D8A599">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bCs/>
                <w:color w:val="auto"/>
                <w:kern w:val="0"/>
                <w:sz w:val="22"/>
                <w:szCs w:val="22"/>
                <w:highlight w:val="none"/>
              </w:rPr>
              <w:t>拒绝进口产品参加投标</w:t>
            </w:r>
          </w:p>
        </w:tc>
      </w:tr>
      <w:tr w14:paraId="1CCE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000" w:type="pct"/>
            <w:gridSpan w:val="3"/>
            <w:noWrap w:val="0"/>
            <w:vAlign w:val="center"/>
          </w:tcPr>
          <w:p w14:paraId="386FC7AC">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b/>
                <w:color w:val="auto"/>
                <w:sz w:val="22"/>
                <w:szCs w:val="22"/>
                <w:highlight w:val="none"/>
              </w:rPr>
              <w:t>九、其他规定</w:t>
            </w:r>
          </w:p>
        </w:tc>
      </w:tr>
      <w:tr w14:paraId="0FC4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57" w:type="pct"/>
            <w:noWrap w:val="0"/>
            <w:vAlign w:val="center"/>
          </w:tcPr>
          <w:p w14:paraId="7601CA4C">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sz w:val="22"/>
                <w:szCs w:val="22"/>
                <w:highlight w:val="none"/>
              </w:rPr>
              <w:t>第35.1</w:t>
            </w:r>
            <w:r>
              <w:rPr>
                <w:rFonts w:hint="eastAsia" w:ascii="新宋体" w:hAnsi="新宋体" w:eastAsia="新宋体" w:cs="新宋体"/>
                <w:color w:val="auto"/>
                <w:kern w:val="0"/>
                <w:sz w:val="22"/>
                <w:szCs w:val="22"/>
                <w:highlight w:val="none"/>
                <w:lang w:val="zh-CN"/>
              </w:rPr>
              <w:t>（</w:t>
            </w:r>
            <w:r>
              <w:rPr>
                <w:rFonts w:hint="eastAsia" w:ascii="新宋体" w:hAnsi="新宋体" w:eastAsia="新宋体" w:cs="新宋体"/>
                <w:color w:val="auto"/>
                <w:kern w:val="0"/>
                <w:sz w:val="22"/>
                <w:szCs w:val="22"/>
                <w:highlight w:val="none"/>
              </w:rPr>
              <w:t>1</w:t>
            </w:r>
            <w:r>
              <w:rPr>
                <w:rFonts w:hint="eastAsia" w:ascii="新宋体" w:hAnsi="新宋体" w:eastAsia="新宋体" w:cs="新宋体"/>
                <w:color w:val="auto"/>
                <w:kern w:val="0"/>
                <w:sz w:val="22"/>
                <w:szCs w:val="22"/>
                <w:highlight w:val="none"/>
                <w:lang w:val="zh-CN"/>
              </w:rPr>
              <w:t>）</w:t>
            </w:r>
            <w:r>
              <w:rPr>
                <w:rFonts w:hint="eastAsia" w:ascii="新宋体" w:hAnsi="新宋体" w:eastAsia="新宋体" w:cs="新宋体"/>
                <w:color w:val="auto"/>
                <w:kern w:val="0"/>
                <w:sz w:val="22"/>
                <w:szCs w:val="22"/>
                <w:highlight w:val="none"/>
                <w:lang w:val="en-US" w:eastAsia="zh-CN"/>
              </w:rPr>
              <w:t>项</w:t>
            </w:r>
          </w:p>
        </w:tc>
        <w:tc>
          <w:tcPr>
            <w:tcW w:w="1160" w:type="pct"/>
            <w:noWrap w:val="0"/>
            <w:vAlign w:val="center"/>
          </w:tcPr>
          <w:p w14:paraId="40670EE3">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sz w:val="22"/>
                <w:szCs w:val="22"/>
                <w:highlight w:val="none"/>
              </w:rPr>
              <w:t>合同预付款的支付比例和支付条件</w:t>
            </w:r>
          </w:p>
        </w:tc>
        <w:tc>
          <w:tcPr>
            <w:tcW w:w="2982" w:type="pct"/>
            <w:noWrap w:val="0"/>
            <w:vAlign w:val="center"/>
          </w:tcPr>
          <w:p w14:paraId="7D8C961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val="en-US" w:eastAsia="zh-CN"/>
              </w:rPr>
              <w:t>签订合同时另行约定</w:t>
            </w:r>
          </w:p>
        </w:tc>
      </w:tr>
      <w:tr w14:paraId="3279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57" w:type="pct"/>
            <w:noWrap w:val="0"/>
            <w:vAlign w:val="center"/>
          </w:tcPr>
          <w:p w14:paraId="4D2A6038">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第35.1</w:t>
            </w:r>
            <w:r>
              <w:rPr>
                <w:rFonts w:hint="eastAsia" w:ascii="新宋体" w:hAnsi="新宋体" w:eastAsia="新宋体" w:cs="新宋体"/>
                <w:color w:val="auto"/>
                <w:kern w:val="0"/>
                <w:sz w:val="22"/>
                <w:szCs w:val="22"/>
                <w:highlight w:val="none"/>
                <w:lang w:val="zh-CN"/>
              </w:rPr>
              <w:t>（</w:t>
            </w:r>
            <w:r>
              <w:rPr>
                <w:rFonts w:hint="eastAsia" w:ascii="新宋体" w:hAnsi="新宋体" w:eastAsia="新宋体" w:cs="新宋体"/>
                <w:color w:val="auto"/>
                <w:kern w:val="0"/>
                <w:sz w:val="22"/>
                <w:szCs w:val="22"/>
                <w:highlight w:val="none"/>
              </w:rPr>
              <w:t>2</w:t>
            </w:r>
            <w:r>
              <w:rPr>
                <w:rFonts w:hint="eastAsia" w:ascii="新宋体" w:hAnsi="新宋体" w:eastAsia="新宋体" w:cs="新宋体"/>
                <w:color w:val="auto"/>
                <w:kern w:val="0"/>
                <w:sz w:val="22"/>
                <w:szCs w:val="22"/>
                <w:highlight w:val="none"/>
                <w:lang w:val="zh-CN"/>
              </w:rPr>
              <w:t>）</w:t>
            </w:r>
            <w:r>
              <w:rPr>
                <w:rFonts w:hint="eastAsia" w:ascii="新宋体" w:hAnsi="新宋体" w:eastAsia="新宋体" w:cs="新宋体"/>
                <w:color w:val="auto"/>
                <w:kern w:val="0"/>
                <w:sz w:val="22"/>
                <w:szCs w:val="22"/>
                <w:highlight w:val="none"/>
                <w:lang w:val="en-US" w:eastAsia="zh-CN"/>
              </w:rPr>
              <w:t>项</w:t>
            </w:r>
          </w:p>
        </w:tc>
        <w:tc>
          <w:tcPr>
            <w:tcW w:w="1160" w:type="pct"/>
            <w:noWrap w:val="0"/>
            <w:vAlign w:val="center"/>
          </w:tcPr>
          <w:p w14:paraId="4E40225C">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质量保证金</w:t>
            </w:r>
          </w:p>
        </w:tc>
        <w:tc>
          <w:tcPr>
            <w:tcW w:w="2982" w:type="pct"/>
            <w:noWrap w:val="0"/>
            <w:vAlign w:val="center"/>
          </w:tcPr>
          <w:p w14:paraId="2164AA06">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eastAsia="zh-CN"/>
              </w:rPr>
              <w:t>无</w:t>
            </w:r>
          </w:p>
        </w:tc>
      </w:tr>
      <w:tr w14:paraId="600D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857" w:type="pct"/>
            <w:noWrap w:val="0"/>
            <w:vAlign w:val="center"/>
          </w:tcPr>
          <w:p w14:paraId="386E71A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第35.2</w:t>
            </w:r>
            <w:r>
              <w:rPr>
                <w:rFonts w:hint="eastAsia" w:ascii="新宋体" w:hAnsi="新宋体" w:eastAsia="新宋体" w:cs="新宋体"/>
                <w:color w:val="auto"/>
                <w:kern w:val="0"/>
                <w:sz w:val="22"/>
                <w:szCs w:val="22"/>
                <w:highlight w:val="none"/>
                <w:lang w:val="zh-CN"/>
              </w:rPr>
              <w:t>款</w:t>
            </w:r>
          </w:p>
        </w:tc>
        <w:tc>
          <w:tcPr>
            <w:tcW w:w="1160" w:type="pct"/>
            <w:noWrap w:val="0"/>
            <w:vAlign w:val="center"/>
          </w:tcPr>
          <w:p w14:paraId="0D4A8376">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其他规定</w:t>
            </w:r>
          </w:p>
        </w:tc>
        <w:tc>
          <w:tcPr>
            <w:tcW w:w="2982" w:type="pct"/>
            <w:noWrap w:val="0"/>
            <w:vAlign w:val="center"/>
          </w:tcPr>
          <w:p w14:paraId="4E0594A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1</w:t>
            </w:r>
            <w:r>
              <w:rPr>
                <w:rFonts w:hint="eastAsia" w:ascii="新宋体" w:hAnsi="新宋体" w:eastAsia="新宋体" w:cs="新宋体"/>
                <w:color w:val="auto"/>
                <w:sz w:val="22"/>
                <w:szCs w:val="22"/>
                <w:highlight w:val="none"/>
              </w:rPr>
              <w:t>.</w:t>
            </w:r>
            <w:r>
              <w:rPr>
                <w:rFonts w:hint="eastAsia" w:ascii="新宋体" w:hAnsi="新宋体" w:eastAsia="新宋体" w:cs="新宋体"/>
                <w:color w:val="auto"/>
                <w:sz w:val="22"/>
                <w:szCs w:val="22"/>
                <w:highlight w:val="none"/>
                <w:lang w:eastAsia="zh-CN"/>
              </w:rPr>
              <w:t>中标</w:t>
            </w:r>
            <w:r>
              <w:rPr>
                <w:rFonts w:hint="eastAsia" w:ascii="新宋体" w:hAnsi="新宋体" w:eastAsia="新宋体" w:cs="新宋体"/>
                <w:color w:val="auto"/>
                <w:sz w:val="22"/>
                <w:szCs w:val="22"/>
                <w:highlight w:val="none"/>
              </w:rPr>
              <w:t>人在领取中标通知书时，须递交</w:t>
            </w:r>
            <w:r>
              <w:rPr>
                <w:rFonts w:hint="eastAsia" w:ascii="新宋体" w:hAnsi="新宋体" w:eastAsia="新宋体" w:cs="新宋体"/>
                <w:color w:val="auto"/>
                <w:sz w:val="22"/>
                <w:szCs w:val="22"/>
                <w:highlight w:val="none"/>
                <w:lang w:val="en-US" w:eastAsia="zh-CN"/>
              </w:rPr>
              <w:t>二</w:t>
            </w:r>
            <w:r>
              <w:rPr>
                <w:rFonts w:hint="eastAsia" w:ascii="新宋体" w:hAnsi="新宋体" w:eastAsia="新宋体" w:cs="新宋体"/>
                <w:color w:val="auto"/>
                <w:sz w:val="22"/>
                <w:szCs w:val="22"/>
                <w:highlight w:val="none"/>
              </w:rPr>
              <w:t>份（不分正副本，</w:t>
            </w:r>
            <w:r>
              <w:rPr>
                <w:rFonts w:hint="eastAsia" w:ascii="新宋体" w:hAnsi="新宋体" w:eastAsia="新宋体" w:cs="新宋体"/>
                <w:color w:val="auto"/>
                <w:sz w:val="22"/>
                <w:szCs w:val="22"/>
                <w:highlight w:val="none"/>
                <w:lang w:eastAsia="zh-CN"/>
              </w:rPr>
              <w:t>封面盖红章和骑缝章</w:t>
            </w:r>
            <w:r>
              <w:rPr>
                <w:rFonts w:hint="eastAsia" w:ascii="新宋体" w:hAnsi="新宋体" w:eastAsia="新宋体" w:cs="新宋体"/>
                <w:color w:val="auto"/>
                <w:sz w:val="22"/>
                <w:szCs w:val="22"/>
                <w:highlight w:val="none"/>
              </w:rPr>
              <w:t>）胶装完好的投标文件以供存档，否则不予办理相关手续。</w:t>
            </w:r>
          </w:p>
          <w:p w14:paraId="3EABE1F6">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2、招标代理服务费为人民币：</w:t>
            </w:r>
            <w:r>
              <w:rPr>
                <w:rFonts w:hint="eastAsia" w:ascii="新宋体" w:hAnsi="新宋体" w:eastAsia="新宋体" w:cs="新宋体"/>
                <w:color w:val="auto"/>
                <w:sz w:val="22"/>
                <w:szCs w:val="22"/>
                <w:highlight w:val="none"/>
              </w:rPr>
              <w:t>参照《进一步放开建设项目专业服务价格的通知》（发改价格[2015]299号文件）</w:t>
            </w:r>
            <w:r>
              <w:rPr>
                <w:rFonts w:hint="eastAsia" w:ascii="新宋体" w:hAnsi="新宋体" w:eastAsia="新宋体" w:cs="新宋体"/>
                <w:color w:val="auto"/>
                <w:sz w:val="22"/>
                <w:szCs w:val="22"/>
                <w:highlight w:val="none"/>
                <w:lang w:eastAsia="zh-CN"/>
              </w:rPr>
              <w:t>，按合同约定</w:t>
            </w:r>
            <w:r>
              <w:rPr>
                <w:rFonts w:hint="eastAsia" w:ascii="新宋体" w:hAnsi="新宋体" w:eastAsia="新宋体" w:cs="新宋体"/>
                <w:color w:val="auto"/>
                <w:sz w:val="22"/>
                <w:szCs w:val="22"/>
                <w:highlight w:val="none"/>
                <w:lang w:val="en-US" w:eastAsia="zh-CN"/>
              </w:rPr>
              <w:t>代理费为15000元。</w:t>
            </w:r>
          </w:p>
          <w:p w14:paraId="03779446">
            <w:pPr>
              <w:pStyle w:val="31"/>
              <w:keepNext w:val="0"/>
              <w:keepLines w:val="0"/>
              <w:suppressLineNumbers w:val="0"/>
              <w:spacing w:before="0" w:beforeAutospacing="0" w:after="0" w:afterAutospacing="0"/>
              <w:ind w:left="0" w:leftChars="0" w:right="0" w:firstLine="0" w:firstLineChars="0"/>
              <w:outlineLvl w:val="9"/>
              <w:rPr>
                <w:rFonts w:hint="default"/>
                <w:color w:val="auto"/>
                <w:lang w:val="en-US" w:eastAsia="zh-CN"/>
              </w:rPr>
            </w:pPr>
            <w:r>
              <w:rPr>
                <w:rFonts w:hint="eastAsia" w:ascii="新宋体" w:hAnsi="新宋体" w:eastAsia="新宋体" w:cs="新宋体"/>
                <w:color w:val="auto"/>
                <w:sz w:val="22"/>
                <w:szCs w:val="22"/>
                <w:highlight w:val="none"/>
                <w:lang w:val="en-US" w:eastAsia="zh-CN"/>
              </w:rPr>
              <w:t>3、本项目共分为三个包，投标单位参与本项目的投标，可以同时对一个或多个包进行投标，按包分别制作投标文件，分包上传投标文件，根据项目的实际情况对每包单独报价，每个投标单位可取得一个或多个包的中标资格。</w:t>
            </w:r>
          </w:p>
        </w:tc>
      </w:tr>
    </w:tbl>
    <w:p w14:paraId="388A823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1"/>
        <w:rPr>
          <w:rFonts w:hint="eastAsia" w:ascii="新宋体" w:hAnsi="新宋体" w:eastAsia="新宋体" w:cs="新宋体"/>
          <w:color w:val="auto"/>
          <w:sz w:val="32"/>
          <w:szCs w:val="32"/>
          <w:highlight w:val="none"/>
        </w:rPr>
      </w:pPr>
      <w:r>
        <w:rPr>
          <w:rFonts w:hint="eastAsia" w:ascii="新宋体" w:hAnsi="新宋体" w:eastAsia="新宋体" w:cs="新宋体"/>
          <w:b/>
          <w:color w:val="auto"/>
          <w:szCs w:val="21"/>
          <w:highlight w:val="none"/>
        </w:rPr>
        <w:br w:type="page"/>
      </w:r>
      <w:bookmarkStart w:id="26" w:name="_Toc17427"/>
      <w:bookmarkStart w:id="27" w:name="_Toc24802"/>
      <w:bookmarkStart w:id="28" w:name="_Toc7437"/>
      <w:bookmarkStart w:id="29" w:name="_Toc24311"/>
      <w:bookmarkStart w:id="30" w:name="_Toc1959"/>
      <w:bookmarkStart w:id="31" w:name="_Toc30892"/>
      <w:bookmarkStart w:id="32" w:name="_Toc2310"/>
      <w:r>
        <w:rPr>
          <w:rFonts w:hint="eastAsia" w:ascii="新宋体" w:hAnsi="新宋体" w:eastAsia="新宋体" w:cs="新宋体"/>
          <w:b/>
          <w:bCs/>
          <w:color w:val="auto"/>
          <w:sz w:val="28"/>
          <w:szCs w:val="28"/>
          <w:highlight w:val="none"/>
        </w:rPr>
        <w:t>第二节 投标须知</w:t>
      </w:r>
      <w:bookmarkEnd w:id="26"/>
      <w:bookmarkEnd w:id="27"/>
      <w:bookmarkEnd w:id="28"/>
      <w:bookmarkEnd w:id="29"/>
      <w:bookmarkEnd w:id="30"/>
      <w:bookmarkEnd w:id="31"/>
      <w:bookmarkEnd w:id="32"/>
    </w:p>
    <w:p w14:paraId="7B661A01">
      <w:pPr>
        <w:keepNext w:val="0"/>
        <w:keepLines w:val="0"/>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outlineLvl w:val="9"/>
        <w:rPr>
          <w:rFonts w:hint="eastAsia" w:ascii="新宋体" w:hAnsi="新宋体" w:eastAsia="新宋体" w:cs="新宋体"/>
          <w:b/>
          <w:bCs/>
          <w:color w:val="auto"/>
          <w:sz w:val="22"/>
          <w:szCs w:val="22"/>
          <w:highlight w:val="none"/>
        </w:rPr>
      </w:pPr>
      <w:bookmarkStart w:id="33" w:name="_Toc29574"/>
      <w:bookmarkStart w:id="34" w:name="_Toc2437"/>
      <w:r>
        <w:rPr>
          <w:rFonts w:hint="eastAsia" w:ascii="新宋体" w:hAnsi="新宋体" w:eastAsia="新宋体" w:cs="新宋体"/>
          <w:b/>
          <w:bCs/>
          <w:color w:val="auto"/>
          <w:sz w:val="22"/>
          <w:szCs w:val="22"/>
          <w:highlight w:val="none"/>
        </w:rPr>
        <w:t>一、总则</w:t>
      </w:r>
      <w:bookmarkEnd w:id="33"/>
      <w:bookmarkEnd w:id="34"/>
    </w:p>
    <w:p w14:paraId="1EB3BAA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1. 适用范围</w:t>
      </w:r>
    </w:p>
    <w:p w14:paraId="552941D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1.1本招标文件仅适用于本章第一节</w:t>
      </w:r>
      <w:r>
        <w:rPr>
          <w:rFonts w:hint="eastAsia" w:ascii="新宋体" w:hAnsi="新宋体" w:eastAsia="新宋体" w:cs="新宋体"/>
          <w:b/>
          <w:bCs/>
          <w:color w:val="auto"/>
          <w:sz w:val="22"/>
          <w:szCs w:val="22"/>
          <w:highlight w:val="none"/>
        </w:rPr>
        <w:t>【投标须知前附表】</w:t>
      </w:r>
      <w:r>
        <w:rPr>
          <w:rFonts w:hint="eastAsia" w:ascii="新宋体" w:hAnsi="新宋体" w:eastAsia="新宋体" w:cs="新宋体"/>
          <w:color w:val="auto"/>
          <w:sz w:val="22"/>
          <w:szCs w:val="22"/>
          <w:highlight w:val="none"/>
        </w:rPr>
        <w:t>中所叙述的采购项目。</w:t>
      </w:r>
    </w:p>
    <w:p w14:paraId="36C2F3F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1.2</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规定采购项目或者采购包属于“预留采购份额”的，</w:t>
      </w:r>
      <w:r>
        <w:rPr>
          <w:rFonts w:hint="eastAsia" w:ascii="新宋体" w:hAnsi="新宋体" w:eastAsia="新宋体" w:cs="新宋体"/>
          <w:color w:val="auto"/>
          <w:sz w:val="22"/>
          <w:szCs w:val="22"/>
          <w:highlight w:val="none"/>
          <w:lang w:val="en-US" w:eastAsia="zh-CN"/>
        </w:rPr>
        <w:t>投标人</w:t>
      </w:r>
      <w:r>
        <w:rPr>
          <w:rFonts w:hint="eastAsia" w:ascii="新宋体" w:hAnsi="新宋体" w:eastAsia="新宋体" w:cs="新宋体"/>
          <w:color w:val="auto"/>
          <w:sz w:val="22"/>
          <w:szCs w:val="22"/>
          <w:highlight w:val="none"/>
        </w:rPr>
        <w:t>应当符合本章第33.7款规定，否则，其</w:t>
      </w:r>
      <w:r>
        <w:rPr>
          <w:rFonts w:hint="eastAsia" w:ascii="新宋体" w:hAnsi="新宋体" w:eastAsia="新宋体" w:cs="新宋体"/>
          <w:b/>
          <w:color w:val="auto"/>
          <w:sz w:val="22"/>
          <w:szCs w:val="22"/>
          <w:highlight w:val="none"/>
        </w:rPr>
        <w:t>投标无效</w:t>
      </w:r>
      <w:r>
        <w:rPr>
          <w:rFonts w:hint="eastAsia" w:ascii="新宋体" w:hAnsi="新宋体" w:eastAsia="新宋体" w:cs="新宋体"/>
          <w:color w:val="auto"/>
          <w:sz w:val="22"/>
          <w:szCs w:val="22"/>
          <w:highlight w:val="none"/>
        </w:rPr>
        <w:t>。</w:t>
      </w:r>
    </w:p>
    <w:p w14:paraId="6FEF91A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2. 定义</w:t>
      </w:r>
    </w:p>
    <w:p w14:paraId="303A1EB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2.1采购项目联系人姓名和电话见</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w:t>
      </w:r>
    </w:p>
    <w:p w14:paraId="517E621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2.2采购人名称、地址、电话、联系人见</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w:t>
      </w:r>
    </w:p>
    <w:p w14:paraId="35FAC60D">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2.3采购代理机构名称、地址、电话、联系人见</w:t>
      </w:r>
      <w:r>
        <w:rPr>
          <w:rFonts w:hint="eastAsia" w:ascii="新宋体" w:hAnsi="新宋体" w:eastAsia="新宋体" w:cs="新宋体"/>
          <w:b/>
          <w:color w:val="auto"/>
          <w:sz w:val="22"/>
          <w:szCs w:val="22"/>
          <w:highlight w:val="none"/>
        </w:rPr>
        <w:t>【投标须知前附表】。</w:t>
      </w:r>
    </w:p>
    <w:p w14:paraId="2138205F">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color w:val="auto"/>
          <w:sz w:val="22"/>
          <w:szCs w:val="22"/>
          <w:highlight w:val="none"/>
        </w:rPr>
        <w:t>2.4投标人系指响应招标、参加投标竞争的法人、其他组织或自然人。</w:t>
      </w:r>
    </w:p>
    <w:p w14:paraId="3F8407B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3. 投标人的资格要求</w:t>
      </w:r>
    </w:p>
    <w:p w14:paraId="0BDC913F">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3.1投标人应当符合</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规定的投标人资格条件。</w:t>
      </w:r>
    </w:p>
    <w:p w14:paraId="194A0E9D">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3.2</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规定接受联合体形式投标的，投标人除应符合本章第3.1</w:t>
      </w:r>
      <w:r>
        <w:rPr>
          <w:rFonts w:hint="eastAsia" w:ascii="新宋体" w:hAnsi="新宋体" w:eastAsia="新宋体" w:cs="新宋体"/>
          <w:color w:val="auto"/>
          <w:kern w:val="0"/>
          <w:sz w:val="22"/>
          <w:szCs w:val="22"/>
          <w:highlight w:val="none"/>
          <w:lang w:val="zh-CN"/>
        </w:rPr>
        <w:t>款</w:t>
      </w:r>
      <w:r>
        <w:rPr>
          <w:rFonts w:hint="eastAsia" w:ascii="新宋体" w:hAnsi="新宋体" w:eastAsia="新宋体" w:cs="新宋体"/>
          <w:color w:val="auto"/>
          <w:sz w:val="22"/>
          <w:szCs w:val="22"/>
          <w:highlight w:val="none"/>
        </w:rPr>
        <w:t xml:space="preserve">规定的资格条件外，还应遵守以下规定： </w:t>
      </w:r>
    </w:p>
    <w:p w14:paraId="66CB738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（l）联合体中有同类资质的供应商按照联合体分工承担相同工作的，应当按照资质等级较低的供应商确定资质等级。</w:t>
      </w:r>
    </w:p>
    <w:p w14:paraId="5E1B7B6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（2）联合体各方应按招标文件提供的格式签订联合体协议书，明确联合体牵头人和各方的权利义务、合同工作量比例；</w:t>
      </w:r>
    </w:p>
    <w:p w14:paraId="051A907D">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kern w:val="0"/>
          <w:sz w:val="22"/>
          <w:szCs w:val="22"/>
          <w:highlight w:val="none"/>
          <w:lang w:val="zh-CN"/>
        </w:rPr>
      </w:pPr>
      <w:r>
        <w:rPr>
          <w:rFonts w:hint="eastAsia" w:ascii="新宋体" w:hAnsi="新宋体" w:eastAsia="新宋体" w:cs="新宋体"/>
          <w:color w:val="auto"/>
          <w:sz w:val="22"/>
          <w:szCs w:val="22"/>
          <w:highlight w:val="none"/>
        </w:rPr>
        <w:t>（3）联合体各方签订联合体协议书后，</w:t>
      </w:r>
      <w:r>
        <w:rPr>
          <w:rFonts w:hint="eastAsia" w:ascii="新宋体" w:hAnsi="新宋体" w:eastAsia="新宋体" w:cs="新宋体"/>
          <w:color w:val="auto"/>
          <w:kern w:val="0"/>
          <w:sz w:val="22"/>
          <w:szCs w:val="22"/>
          <w:highlight w:val="none"/>
          <w:lang w:val="zh-CN"/>
        </w:rPr>
        <w:t>不得再单独参加或者与其他投标人组成新的联合体参加同一合同项下的采购活动。</w:t>
      </w:r>
    </w:p>
    <w:p w14:paraId="5F66717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 xml:space="preserve">4. 投标费用 </w:t>
      </w:r>
    </w:p>
    <w:p w14:paraId="6812E35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4.1投标人应自行承担所有参与投标的相关费用，不论投标的结果如何，采购人、采购代理机构均无义务和责任承担这些费用。</w:t>
      </w:r>
    </w:p>
    <w:p w14:paraId="1DB6E7D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5．组织现场考察或者召开答疑会</w:t>
      </w:r>
    </w:p>
    <w:p w14:paraId="5394E09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5.1采购人、采购代理机构可以在</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规定的招标文件提供期限截止后，组织已获取招标文件的潜在投标人现场考察或者召开开标前答疑会。</w:t>
      </w:r>
    </w:p>
    <w:p w14:paraId="2FC0F46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5.2获取招标文件的潜在投标人应按</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规定参加现场考察或者答疑会；如不参加，其风险由其自行承担。</w:t>
      </w:r>
    </w:p>
    <w:p w14:paraId="29A51CBF">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5.3潜在投标人现场考察或者参加答疑会的费用由自己承担，现场考察期间所发生的人身伤害及财产损失由自己负责。</w:t>
      </w:r>
    </w:p>
    <w:p w14:paraId="00CA545B">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5.4采购人、采购代理机构不对投标人据此而做出的推论、理解和结论负责。投标人一旦中标，不得以任何借口，提出额外补偿，或延长合同期限的要求。</w:t>
      </w:r>
    </w:p>
    <w:p w14:paraId="1C2CF661">
      <w:pPr>
        <w:keepNext w:val="0"/>
        <w:keepLines w:val="0"/>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outlineLvl w:val="9"/>
        <w:rPr>
          <w:rFonts w:hint="eastAsia" w:ascii="新宋体" w:hAnsi="新宋体" w:eastAsia="新宋体" w:cs="新宋体"/>
          <w:b/>
          <w:bCs/>
          <w:color w:val="auto"/>
          <w:sz w:val="22"/>
          <w:szCs w:val="22"/>
          <w:highlight w:val="none"/>
        </w:rPr>
      </w:pPr>
      <w:bookmarkStart w:id="35" w:name="_Toc9226"/>
      <w:bookmarkStart w:id="36" w:name="_Toc31407"/>
      <w:r>
        <w:rPr>
          <w:rFonts w:hint="eastAsia" w:ascii="新宋体" w:hAnsi="新宋体" w:eastAsia="新宋体" w:cs="新宋体"/>
          <w:b/>
          <w:bCs/>
          <w:color w:val="auto"/>
          <w:sz w:val="22"/>
          <w:szCs w:val="22"/>
          <w:highlight w:val="none"/>
        </w:rPr>
        <w:t>二、招标文件</w:t>
      </w:r>
      <w:bookmarkEnd w:id="35"/>
      <w:bookmarkEnd w:id="36"/>
    </w:p>
    <w:p w14:paraId="322409EA">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6. 招标文件的构成</w:t>
      </w:r>
    </w:p>
    <w:p w14:paraId="2787E15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6.1 招标文件共七章，各章内容如下：</w:t>
      </w:r>
    </w:p>
    <w:p w14:paraId="6A2EA47F">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第一章 投标邀请</w:t>
      </w:r>
    </w:p>
    <w:p w14:paraId="1EF21DD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第二章 投标须知</w:t>
      </w:r>
    </w:p>
    <w:p w14:paraId="3AB5853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第三章 资格审查</w:t>
      </w:r>
    </w:p>
    <w:p w14:paraId="5C9FFBC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第四章 评标方法及标准</w:t>
      </w:r>
    </w:p>
    <w:p w14:paraId="60973F7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第五章 采购需求</w:t>
      </w:r>
    </w:p>
    <w:p w14:paraId="3D1CCAE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第六章 政府采购合同</w:t>
      </w:r>
    </w:p>
    <w:p w14:paraId="0CD9187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第七章 投标文件的组成</w:t>
      </w:r>
    </w:p>
    <w:p w14:paraId="5554E93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color w:val="auto"/>
          <w:sz w:val="22"/>
          <w:szCs w:val="22"/>
          <w:highlight w:val="none"/>
        </w:rPr>
        <w:t>6.2采购人、采购代理机构在提交投标文件截止时间前对招标文件所作的澄清或者修改，构成招标文件的组成部分。</w:t>
      </w:r>
    </w:p>
    <w:p w14:paraId="071DDC8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7．偏离与实质性响应</w:t>
      </w:r>
    </w:p>
    <w:p w14:paraId="252B3C2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7.1投标人应当按照招标文件的要求编制投标文件。投标文件应当对招标文件提出的要求和条件作出明确响应。</w:t>
      </w:r>
    </w:p>
    <w:p w14:paraId="5E57076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7.2偏离是指投标文件不响应或者不满足招标文件提出的要求和条件，分为实质性偏离和非实质性偏离。</w:t>
      </w:r>
    </w:p>
    <w:p w14:paraId="6C66A97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7.3除法律、法规和招标文件规定的其他投标无效情形外，招标文件中用“★”符号标明的条款为实质性要求和条件，对其中任何一条的偏离，为实质性偏离，</w:t>
      </w:r>
      <w:r>
        <w:rPr>
          <w:rFonts w:hint="eastAsia" w:ascii="新宋体" w:hAnsi="新宋体" w:eastAsia="新宋体" w:cs="新宋体"/>
          <w:b/>
          <w:color w:val="auto"/>
          <w:sz w:val="22"/>
          <w:szCs w:val="22"/>
          <w:highlight w:val="none"/>
        </w:rPr>
        <w:t>其投标无效</w:t>
      </w:r>
      <w:r>
        <w:rPr>
          <w:rFonts w:hint="eastAsia" w:ascii="新宋体" w:hAnsi="新宋体" w:eastAsia="新宋体" w:cs="新宋体"/>
          <w:color w:val="auto"/>
          <w:sz w:val="22"/>
          <w:szCs w:val="22"/>
          <w:highlight w:val="none"/>
        </w:rPr>
        <w:t>。</w:t>
      </w:r>
    </w:p>
    <w:p w14:paraId="5FD621AD">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7.4投标文件偏离招标文件的非实质性要求和条件，为非实质性偏离。非实质性偏离的范围和幅度应当符合</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的规定，</w:t>
      </w:r>
      <w:r>
        <w:rPr>
          <w:rFonts w:hint="eastAsia" w:ascii="新宋体" w:hAnsi="新宋体" w:eastAsia="新宋体" w:cs="新宋体"/>
          <w:b/>
          <w:color w:val="auto"/>
          <w:sz w:val="22"/>
          <w:szCs w:val="22"/>
          <w:highlight w:val="none"/>
        </w:rPr>
        <w:t>否则投标无效</w:t>
      </w:r>
      <w:r>
        <w:rPr>
          <w:rFonts w:hint="eastAsia" w:ascii="新宋体" w:hAnsi="新宋体" w:eastAsia="新宋体" w:cs="新宋体"/>
          <w:color w:val="auto"/>
          <w:sz w:val="22"/>
          <w:szCs w:val="22"/>
          <w:highlight w:val="none"/>
        </w:rPr>
        <w:t>。</w:t>
      </w:r>
    </w:p>
    <w:p w14:paraId="4130D96E">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color w:val="auto"/>
          <w:sz w:val="22"/>
          <w:szCs w:val="22"/>
          <w:highlight w:val="none"/>
        </w:rPr>
        <w:t>8. 询问</w:t>
      </w:r>
    </w:p>
    <w:p w14:paraId="0B97B542">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8.1潜在投标人应仔细阅读和检查招标文件的全部内容。如有疑问，可以向采购人或者采购代理机构提出询问。</w:t>
      </w:r>
    </w:p>
    <w:p w14:paraId="7D04331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9. 招标文件的澄清或者修改</w:t>
      </w:r>
    </w:p>
    <w:p w14:paraId="56B1344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9.1采购人、采购代理机构对已发出的招标文件进行必要澄清或者修改的，将在</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规定的招标公告指定媒体上发布澄清或者修改公告。</w:t>
      </w:r>
    </w:p>
    <w:p w14:paraId="000D1668">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rPr>
        <w:t>9.2澄清或者修改</w:t>
      </w:r>
      <w:r>
        <w:rPr>
          <w:rFonts w:hint="eastAsia" w:ascii="新宋体" w:hAnsi="新宋体" w:eastAsia="新宋体" w:cs="新宋体"/>
          <w:color w:val="auto"/>
          <w:sz w:val="22"/>
          <w:szCs w:val="22"/>
          <w:highlight w:val="none"/>
        </w:rPr>
        <w:t>的</w:t>
      </w:r>
      <w:r>
        <w:rPr>
          <w:rFonts w:hint="eastAsia" w:ascii="新宋体" w:hAnsi="新宋体" w:eastAsia="新宋体" w:cs="新宋体"/>
          <w:color w:val="auto"/>
          <w:kern w:val="0"/>
          <w:sz w:val="22"/>
          <w:szCs w:val="22"/>
          <w:highlight w:val="none"/>
        </w:rPr>
        <w:t>内容可能影响投标文件编制的，采购人、采购代理机构</w:t>
      </w:r>
      <w:r>
        <w:rPr>
          <w:rFonts w:hint="eastAsia" w:ascii="新宋体" w:hAnsi="新宋体" w:eastAsia="新宋体" w:cs="新宋体"/>
          <w:color w:val="auto"/>
          <w:sz w:val="22"/>
          <w:szCs w:val="22"/>
          <w:highlight w:val="none"/>
        </w:rPr>
        <w:t>将</w:t>
      </w:r>
      <w:r>
        <w:rPr>
          <w:rFonts w:hint="eastAsia" w:ascii="新宋体" w:hAnsi="新宋体" w:eastAsia="新宋体" w:cs="新宋体"/>
          <w:color w:val="auto"/>
          <w:kern w:val="0"/>
          <w:sz w:val="22"/>
          <w:szCs w:val="22"/>
          <w:highlight w:val="none"/>
        </w:rPr>
        <w:t>在提交投标文件截止时间15日前，以</w:t>
      </w:r>
      <w:r>
        <w:rPr>
          <w:rFonts w:hint="eastAsia" w:ascii="新宋体" w:hAnsi="新宋体" w:eastAsia="新宋体" w:cs="新宋体"/>
          <w:color w:val="auto"/>
          <w:kern w:val="0"/>
          <w:sz w:val="22"/>
          <w:szCs w:val="22"/>
          <w:highlight w:val="none"/>
          <w:lang w:eastAsia="zh-CN"/>
        </w:rPr>
        <w:t>发布公告</w:t>
      </w:r>
      <w:r>
        <w:rPr>
          <w:rFonts w:hint="eastAsia" w:ascii="新宋体" w:hAnsi="新宋体" w:eastAsia="新宋体" w:cs="新宋体"/>
          <w:color w:val="auto"/>
          <w:kern w:val="0"/>
          <w:sz w:val="22"/>
          <w:szCs w:val="22"/>
          <w:highlight w:val="none"/>
        </w:rPr>
        <w:t>形式通知所有获取招标文件的潜在投标人</w:t>
      </w:r>
      <w:r>
        <w:rPr>
          <w:rFonts w:hint="eastAsia" w:ascii="楷体" w:hAnsi="楷体" w:eastAsia="楷体" w:cs="楷体"/>
          <w:color w:val="auto"/>
          <w:w w:val="100"/>
          <w:sz w:val="24"/>
          <w:szCs w:val="24"/>
          <w:highlight w:val="none"/>
          <w:u w:val="none"/>
        </w:rPr>
        <w:t>；</w:t>
      </w:r>
      <w:r>
        <w:rPr>
          <w:rFonts w:hint="eastAsia" w:ascii="新宋体" w:hAnsi="新宋体" w:eastAsia="新宋体" w:cs="新宋体"/>
          <w:color w:val="auto"/>
          <w:sz w:val="22"/>
          <w:szCs w:val="22"/>
          <w:highlight w:val="none"/>
        </w:rPr>
        <w:t>；不足15日的，将相应延长提交投标文件的截止时间。</w:t>
      </w:r>
    </w:p>
    <w:p w14:paraId="3412D94D">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9.3招标文件的提供期限届满后，获取招标文件的潜在投标人不足3家的，可以顺延提供期限，并在指定媒体上发布更正公告</w:t>
      </w:r>
      <w:r>
        <w:rPr>
          <w:rFonts w:hint="eastAsia" w:ascii="楷体" w:hAnsi="楷体" w:eastAsia="楷体" w:cs="楷体"/>
          <w:color w:val="auto"/>
          <w:w w:val="100"/>
          <w:sz w:val="24"/>
          <w:szCs w:val="24"/>
          <w:highlight w:val="none"/>
          <w:u w:val="none"/>
        </w:rPr>
        <w:t>。</w:t>
      </w:r>
    </w:p>
    <w:p w14:paraId="322109A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9.4 通过电子招标投标交易平台下载招标文件的，请获取招标文件的潜在投标人及时关注招标公告指定媒体发布的澄清或者修改公告，采购人、采购代理机构不再书面通知。</w:t>
      </w:r>
    </w:p>
    <w:p w14:paraId="6847B247">
      <w:pPr>
        <w:keepNext w:val="0"/>
        <w:keepLines w:val="0"/>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outlineLvl w:val="9"/>
        <w:rPr>
          <w:rFonts w:hint="eastAsia" w:ascii="新宋体" w:hAnsi="新宋体" w:eastAsia="新宋体" w:cs="新宋体"/>
          <w:b/>
          <w:bCs/>
          <w:color w:val="auto"/>
          <w:sz w:val="22"/>
          <w:szCs w:val="22"/>
          <w:highlight w:val="none"/>
        </w:rPr>
      </w:pPr>
      <w:bookmarkStart w:id="37" w:name="_Toc1234"/>
      <w:bookmarkStart w:id="38" w:name="_Toc20771"/>
      <w:r>
        <w:rPr>
          <w:rFonts w:hint="eastAsia" w:ascii="新宋体" w:hAnsi="新宋体" w:eastAsia="新宋体" w:cs="新宋体"/>
          <w:b/>
          <w:bCs/>
          <w:color w:val="auto"/>
          <w:sz w:val="22"/>
          <w:szCs w:val="22"/>
          <w:highlight w:val="none"/>
        </w:rPr>
        <w:t>三、投标文件</w:t>
      </w:r>
      <w:bookmarkEnd w:id="37"/>
      <w:bookmarkEnd w:id="38"/>
    </w:p>
    <w:p w14:paraId="18422B8B">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10. 投标语言</w:t>
      </w:r>
    </w:p>
    <w:p w14:paraId="5F5FD40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10.1除专用术语外，投标人提交的投标文件及投标人与采购人、采购代理机构就有关投标的所有来往函电均使用中文。投标人可以提交其它语言的资料，但应附有中文注释，有差异时以中文为准。</w:t>
      </w:r>
    </w:p>
    <w:p w14:paraId="7D7AFFC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bCs/>
          <w:color w:val="auto"/>
          <w:sz w:val="22"/>
          <w:szCs w:val="22"/>
          <w:highlight w:val="none"/>
        </w:rPr>
        <w:t xml:space="preserve">11. </w:t>
      </w:r>
      <w:r>
        <w:rPr>
          <w:rFonts w:hint="eastAsia" w:ascii="新宋体" w:hAnsi="新宋体" w:eastAsia="新宋体" w:cs="新宋体"/>
          <w:b/>
          <w:color w:val="auto"/>
          <w:sz w:val="22"/>
          <w:szCs w:val="22"/>
          <w:highlight w:val="none"/>
        </w:rPr>
        <w:t>计量单位</w:t>
      </w:r>
    </w:p>
    <w:p w14:paraId="6FCE3E5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11.1所有计量均采用中华人民共和国法定计量单位。</w:t>
      </w:r>
    </w:p>
    <w:p w14:paraId="0057F69A">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color w:val="auto"/>
          <w:sz w:val="22"/>
          <w:szCs w:val="22"/>
          <w:highlight w:val="none"/>
        </w:rPr>
        <w:t xml:space="preserve">12. </w:t>
      </w:r>
      <w:r>
        <w:rPr>
          <w:rFonts w:hint="eastAsia" w:ascii="新宋体" w:hAnsi="新宋体" w:eastAsia="新宋体" w:cs="新宋体"/>
          <w:b/>
          <w:bCs/>
          <w:color w:val="auto"/>
          <w:sz w:val="22"/>
          <w:szCs w:val="22"/>
          <w:highlight w:val="none"/>
        </w:rPr>
        <w:t>投标文件的组成</w:t>
      </w:r>
    </w:p>
    <w:p w14:paraId="3C6F879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12.1投标文件由如下内容组成：</w:t>
      </w:r>
    </w:p>
    <w:p w14:paraId="3A1ECB4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 w:val="0"/>
          <w:bCs/>
          <w:color w:val="auto"/>
          <w:sz w:val="22"/>
          <w:szCs w:val="22"/>
          <w:highlight w:val="none"/>
          <w:lang w:val="en-US" w:eastAsia="zh-CN"/>
        </w:rPr>
      </w:pPr>
      <w:r>
        <w:rPr>
          <w:rFonts w:hint="eastAsia" w:ascii="新宋体" w:hAnsi="新宋体" w:eastAsia="新宋体" w:cs="新宋体"/>
          <w:b w:val="0"/>
          <w:bCs/>
          <w:color w:val="auto"/>
          <w:sz w:val="22"/>
          <w:szCs w:val="22"/>
          <w:highlight w:val="none"/>
          <w:lang w:val="en-US" w:eastAsia="zh-CN"/>
        </w:rPr>
        <w:t>详见第七章 投标文件的组成</w:t>
      </w:r>
    </w:p>
    <w:p w14:paraId="4BBC5D4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 w:val="0"/>
          <w:bCs/>
          <w:color w:val="auto"/>
          <w:sz w:val="22"/>
          <w:szCs w:val="22"/>
          <w:highlight w:val="none"/>
        </w:rPr>
      </w:pPr>
      <w:r>
        <w:rPr>
          <w:rFonts w:hint="eastAsia" w:ascii="新宋体" w:hAnsi="新宋体" w:eastAsia="新宋体" w:cs="新宋体"/>
          <w:b w:val="0"/>
          <w:bCs/>
          <w:color w:val="auto"/>
          <w:sz w:val="22"/>
          <w:szCs w:val="22"/>
          <w:highlight w:val="none"/>
        </w:rPr>
        <w:t>12.2</w:t>
      </w:r>
      <w:r>
        <w:rPr>
          <w:rFonts w:hint="eastAsia" w:ascii="新宋体" w:hAnsi="新宋体" w:eastAsia="新宋体" w:cs="新宋体"/>
          <w:b w:val="0"/>
          <w:bCs/>
          <w:color w:val="auto"/>
          <w:sz w:val="22"/>
          <w:szCs w:val="22"/>
          <w:highlight w:val="none"/>
          <w:lang w:val="en-US" w:eastAsia="zh-CN"/>
        </w:rPr>
        <w:t>投标人应按照电子招标文件格式及投标工具编制商务和技术及综合评分表相关资料。否则，由于编制失误所产生的后果，由投标人自行承担。</w:t>
      </w:r>
    </w:p>
    <w:p w14:paraId="501D62E8">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12.3根据《政府采购法》第四十二条的规定，投标人无论中标与否，其投标文件不予退还。</w:t>
      </w:r>
    </w:p>
    <w:p w14:paraId="649C0D5E">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13. 投标报价</w:t>
      </w:r>
    </w:p>
    <w:p w14:paraId="23CA5FF0">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59591010">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13.2投标人的投标报价不得超过采购</w:t>
      </w:r>
      <w:r>
        <w:rPr>
          <w:rFonts w:hint="eastAsia" w:ascii="新宋体" w:hAnsi="新宋体" w:eastAsia="新宋体" w:cs="新宋体"/>
          <w:color w:val="auto"/>
          <w:sz w:val="22"/>
          <w:szCs w:val="22"/>
          <w:highlight w:val="none"/>
          <w:lang w:val="en-US" w:eastAsia="zh-CN"/>
        </w:rPr>
        <w:t>项目</w:t>
      </w:r>
      <w:r>
        <w:rPr>
          <w:rFonts w:hint="eastAsia" w:ascii="新宋体" w:hAnsi="新宋体" w:eastAsia="新宋体" w:cs="新宋体"/>
          <w:color w:val="auto"/>
          <w:sz w:val="22"/>
          <w:szCs w:val="22"/>
          <w:highlight w:val="none"/>
        </w:rPr>
        <w:t>预算，也不得超过最高限价(如果设定)，否则其</w:t>
      </w:r>
      <w:r>
        <w:rPr>
          <w:rFonts w:hint="eastAsia" w:ascii="新宋体" w:hAnsi="新宋体" w:eastAsia="新宋体" w:cs="新宋体"/>
          <w:b/>
          <w:color w:val="auto"/>
          <w:sz w:val="22"/>
          <w:szCs w:val="22"/>
          <w:highlight w:val="none"/>
        </w:rPr>
        <w:t>投标无效</w:t>
      </w:r>
      <w:r>
        <w:rPr>
          <w:rFonts w:hint="eastAsia" w:ascii="新宋体" w:hAnsi="新宋体" w:eastAsia="新宋体" w:cs="新宋体"/>
          <w:color w:val="auto"/>
          <w:sz w:val="22"/>
          <w:szCs w:val="22"/>
          <w:highlight w:val="none"/>
        </w:rPr>
        <w:t>。采购项目预算、最高限价见</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w:t>
      </w:r>
    </w:p>
    <w:p w14:paraId="0B3F30B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13.3 投标人应在分项报价明细表中对每项内容给予详细分项报价。</w:t>
      </w:r>
    </w:p>
    <w:p w14:paraId="7BFD73C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13.4投标人对采购项目内容只允许有一个投标报价，否则其</w:t>
      </w:r>
      <w:r>
        <w:rPr>
          <w:rFonts w:hint="eastAsia" w:ascii="新宋体" w:hAnsi="新宋体" w:eastAsia="新宋体" w:cs="新宋体"/>
          <w:b/>
          <w:color w:val="auto"/>
          <w:sz w:val="22"/>
          <w:szCs w:val="22"/>
          <w:highlight w:val="none"/>
        </w:rPr>
        <w:t>投标无效</w:t>
      </w:r>
      <w:r>
        <w:rPr>
          <w:rFonts w:hint="eastAsia" w:ascii="新宋体" w:hAnsi="新宋体" w:eastAsia="新宋体" w:cs="新宋体"/>
          <w:color w:val="auto"/>
          <w:sz w:val="22"/>
          <w:szCs w:val="22"/>
          <w:highlight w:val="none"/>
        </w:rPr>
        <w:t>。</w:t>
      </w:r>
    </w:p>
    <w:p w14:paraId="1B1AEF6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13.5采购人不接受投标人给予的赠品、回扣或者与采购无关的其他商品、服务。如有赠与行为，其</w:t>
      </w:r>
      <w:r>
        <w:rPr>
          <w:rFonts w:hint="eastAsia" w:ascii="新宋体" w:hAnsi="新宋体" w:eastAsia="新宋体" w:cs="新宋体"/>
          <w:b/>
          <w:color w:val="auto"/>
          <w:sz w:val="22"/>
          <w:szCs w:val="22"/>
          <w:highlight w:val="none"/>
        </w:rPr>
        <w:t>投标无效</w:t>
      </w:r>
      <w:r>
        <w:rPr>
          <w:rFonts w:hint="eastAsia" w:ascii="新宋体" w:hAnsi="新宋体" w:eastAsia="新宋体" w:cs="新宋体"/>
          <w:color w:val="auto"/>
          <w:sz w:val="22"/>
          <w:szCs w:val="22"/>
          <w:highlight w:val="none"/>
        </w:rPr>
        <w:t>。</w:t>
      </w:r>
    </w:p>
    <w:p w14:paraId="34483DAF">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13.6</w:t>
      </w:r>
      <w:r>
        <w:rPr>
          <w:rFonts w:hint="eastAsia" w:ascii="新宋体" w:hAnsi="新宋体" w:eastAsia="新宋体" w:cs="新宋体"/>
          <w:color w:val="auto"/>
          <w:sz w:val="22"/>
          <w:szCs w:val="22"/>
          <w:highlight w:val="none"/>
          <w:lang w:val="en-US" w:eastAsia="zh-CN"/>
        </w:rPr>
        <w:t>采用固定价格定价方式的采购项目，</w:t>
      </w:r>
      <w:r>
        <w:rPr>
          <w:rFonts w:hint="eastAsia" w:ascii="新宋体" w:hAnsi="新宋体" w:eastAsia="新宋体" w:cs="新宋体"/>
          <w:color w:val="auto"/>
          <w:sz w:val="22"/>
          <w:szCs w:val="22"/>
          <w:highlight w:val="none"/>
        </w:rPr>
        <w:t>投标文件中标明的价格在合同执行过程中是固定不变的，不得以任何理由予以变更。任何包含价格调整要求和条件的投标，其</w:t>
      </w:r>
      <w:r>
        <w:rPr>
          <w:rFonts w:hint="eastAsia" w:ascii="新宋体" w:hAnsi="新宋体" w:eastAsia="新宋体" w:cs="新宋体"/>
          <w:b/>
          <w:color w:val="auto"/>
          <w:sz w:val="22"/>
          <w:szCs w:val="22"/>
          <w:highlight w:val="none"/>
        </w:rPr>
        <w:t>投标无效</w:t>
      </w:r>
      <w:r>
        <w:rPr>
          <w:rFonts w:hint="eastAsia" w:ascii="新宋体" w:hAnsi="新宋体" w:eastAsia="新宋体" w:cs="新宋体"/>
          <w:color w:val="auto"/>
          <w:sz w:val="22"/>
          <w:szCs w:val="22"/>
          <w:highlight w:val="none"/>
        </w:rPr>
        <w:t>。</w:t>
      </w:r>
    </w:p>
    <w:p w14:paraId="088D9BC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13.7投标人在投标截止时间前修改“开标一览表”中的投标报价的，应同时修改投标文件“分项</w:t>
      </w:r>
      <w:r>
        <w:rPr>
          <w:rFonts w:hint="eastAsia" w:ascii="新宋体" w:hAnsi="新宋体" w:eastAsia="新宋体" w:cs="新宋体"/>
          <w:color w:val="auto"/>
          <w:sz w:val="22"/>
          <w:szCs w:val="22"/>
          <w:highlight w:val="none"/>
          <w:lang w:val="en-US" w:eastAsia="zh-CN"/>
        </w:rPr>
        <w:t>价格</w:t>
      </w:r>
      <w:r>
        <w:rPr>
          <w:rFonts w:hint="eastAsia" w:ascii="新宋体" w:hAnsi="新宋体" w:eastAsia="新宋体" w:cs="新宋体"/>
          <w:color w:val="auto"/>
          <w:sz w:val="22"/>
          <w:szCs w:val="22"/>
          <w:highlight w:val="none"/>
        </w:rPr>
        <w:t>表”“享受政府采购政策优惠的证明资料”以及“联合体协议书”（如果影响）等相关内容。此修改须符合本章第22.1款的有关要求。</w:t>
      </w:r>
    </w:p>
    <w:p w14:paraId="1012435F">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13.8投标报价的其他要求见</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 xml:space="preserve">。 </w:t>
      </w:r>
    </w:p>
    <w:p w14:paraId="1C242AE2">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color w:val="auto"/>
          <w:sz w:val="22"/>
          <w:szCs w:val="22"/>
          <w:highlight w:val="none"/>
        </w:rPr>
        <w:t xml:space="preserve">14. </w:t>
      </w:r>
      <w:r>
        <w:rPr>
          <w:rFonts w:hint="eastAsia" w:ascii="新宋体" w:hAnsi="新宋体" w:eastAsia="新宋体" w:cs="新宋体"/>
          <w:b/>
          <w:bCs/>
          <w:color w:val="auto"/>
          <w:sz w:val="22"/>
          <w:szCs w:val="22"/>
          <w:highlight w:val="none"/>
        </w:rPr>
        <w:t>投标人的资格证明文件（未进行资格预审的）</w:t>
      </w:r>
    </w:p>
    <w:p w14:paraId="0FC1040D">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14.1除</w:t>
      </w:r>
      <w:r>
        <w:rPr>
          <w:rFonts w:hint="eastAsia" w:ascii="新宋体" w:hAnsi="新宋体" w:eastAsia="新宋体" w:cs="新宋体"/>
          <w:b/>
          <w:bCs/>
          <w:color w:val="auto"/>
          <w:sz w:val="22"/>
          <w:szCs w:val="22"/>
          <w:highlight w:val="none"/>
        </w:rPr>
        <w:t>【投标须知前附表】</w:t>
      </w:r>
      <w:r>
        <w:rPr>
          <w:rFonts w:hint="eastAsia" w:ascii="新宋体" w:hAnsi="新宋体" w:eastAsia="新宋体" w:cs="新宋体"/>
          <w:color w:val="auto"/>
          <w:sz w:val="22"/>
          <w:szCs w:val="22"/>
          <w:highlight w:val="none"/>
        </w:rPr>
        <w:t>另有规定外，投标人应按下列规定提供资格证明文件。</w:t>
      </w:r>
    </w:p>
    <w:p w14:paraId="6B12A7BF">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w:t>
      </w:r>
      <w:r>
        <w:rPr>
          <w:rFonts w:hint="eastAsia" w:ascii="新宋体" w:hAnsi="新宋体" w:eastAsia="新宋体" w:cs="新宋体"/>
          <w:b/>
          <w:bCs/>
          <w:color w:val="auto"/>
          <w:sz w:val="22"/>
          <w:szCs w:val="22"/>
          <w:highlight w:val="none"/>
        </w:rPr>
        <w:t>投标人资格声明(格式)</w:t>
      </w:r>
    </w:p>
    <w:p w14:paraId="588C4F6B">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w:t>
      </w:r>
      <w:r>
        <w:rPr>
          <w:rFonts w:hint="eastAsia" w:ascii="新宋体" w:hAnsi="新宋体" w:eastAsia="新宋体" w:cs="新宋体"/>
          <w:b/>
          <w:bCs/>
          <w:color w:val="auto"/>
          <w:sz w:val="22"/>
          <w:szCs w:val="22"/>
          <w:highlight w:val="none"/>
        </w:rPr>
        <w:t>法人或者其他组织的营业执照等主体资格证明文件，自然人的身份证明</w:t>
      </w:r>
      <w:r>
        <w:rPr>
          <w:rFonts w:hint="eastAsia" w:ascii="新宋体" w:hAnsi="新宋体" w:eastAsia="新宋体" w:cs="新宋体"/>
          <w:color w:val="auto"/>
          <w:sz w:val="22"/>
          <w:szCs w:val="22"/>
          <w:highlight w:val="none"/>
        </w:rPr>
        <w:t>：投标人为营利法人的，应提交营业执照的复印件；投标人为依法允许经营的事业单位的，应提交事业单位法人证书复印件；投标人为非法人组织的，应提交依法登记证书复印件。</w:t>
      </w:r>
    </w:p>
    <w:p w14:paraId="7663986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3</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b/>
          <w:bCs/>
          <w:color w:val="auto"/>
          <w:sz w:val="22"/>
          <w:szCs w:val="22"/>
          <w:highlight w:val="none"/>
          <w:lang w:eastAsia="zh-CN"/>
        </w:rPr>
        <w:t>湖南省政府采购供应商资格承诺函（格式）</w:t>
      </w:r>
    </w:p>
    <w:p w14:paraId="1BBB75F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w:t>
      </w:r>
      <w:r>
        <w:rPr>
          <w:rFonts w:hint="eastAsia" w:ascii="新宋体" w:hAnsi="新宋体" w:eastAsia="新宋体" w:cs="新宋体"/>
          <w:color w:val="auto"/>
          <w:sz w:val="22"/>
          <w:szCs w:val="22"/>
          <w:highlight w:val="none"/>
          <w:lang w:val="en-US" w:eastAsia="zh-CN"/>
        </w:rPr>
        <w:t>4</w:t>
      </w:r>
      <w:r>
        <w:rPr>
          <w:rFonts w:hint="eastAsia" w:ascii="新宋体" w:hAnsi="新宋体" w:eastAsia="新宋体" w:cs="新宋体"/>
          <w:color w:val="auto"/>
          <w:sz w:val="22"/>
          <w:szCs w:val="22"/>
          <w:highlight w:val="none"/>
        </w:rPr>
        <w:t>）</w:t>
      </w:r>
      <w:r>
        <w:rPr>
          <w:rFonts w:hint="eastAsia" w:ascii="新宋体" w:hAnsi="新宋体" w:eastAsia="新宋体" w:cs="新宋体"/>
          <w:b/>
          <w:bCs/>
          <w:color w:val="auto"/>
          <w:sz w:val="22"/>
          <w:szCs w:val="22"/>
          <w:highlight w:val="none"/>
        </w:rPr>
        <w:t>符合特定资格条件证明材料复印件或者情况说明原件</w:t>
      </w:r>
      <w:r>
        <w:rPr>
          <w:rFonts w:hint="eastAsia" w:ascii="新宋体" w:hAnsi="新宋体" w:eastAsia="新宋体" w:cs="新宋体"/>
          <w:color w:val="auto"/>
          <w:sz w:val="22"/>
          <w:szCs w:val="22"/>
          <w:highlight w:val="none"/>
        </w:rPr>
        <w:t>。具体要求见</w:t>
      </w:r>
      <w:r>
        <w:rPr>
          <w:rFonts w:hint="eastAsia" w:ascii="新宋体" w:hAnsi="新宋体" w:eastAsia="新宋体" w:cs="新宋体"/>
          <w:b/>
          <w:bCs/>
          <w:color w:val="auto"/>
          <w:sz w:val="22"/>
          <w:szCs w:val="22"/>
          <w:highlight w:val="none"/>
        </w:rPr>
        <w:t>【投标须知前附表】</w:t>
      </w:r>
      <w:r>
        <w:rPr>
          <w:rFonts w:hint="eastAsia" w:ascii="新宋体" w:hAnsi="新宋体" w:eastAsia="新宋体" w:cs="新宋体"/>
          <w:color w:val="auto"/>
          <w:sz w:val="22"/>
          <w:szCs w:val="22"/>
          <w:highlight w:val="none"/>
        </w:rPr>
        <w:t>。</w:t>
      </w:r>
    </w:p>
    <w:p w14:paraId="2235052B">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14.2投标人以联合体形式投标的，除应提交联合协议(格式)外，参加联合体的各方均应提交上款资格证明材料。</w:t>
      </w:r>
    </w:p>
    <w:p w14:paraId="2A1783C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14.3投标人的资格证明文件均应为有效文件并加盖投标人单位章，并按招标文件规定签署。</w:t>
      </w:r>
    </w:p>
    <w:p w14:paraId="3C45D67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bookmarkStart w:id="39" w:name="_Toc62206130"/>
      <w:bookmarkStart w:id="40" w:name="_Toc82155360"/>
      <w:bookmarkStart w:id="41" w:name="_Toc38786717"/>
      <w:r>
        <w:rPr>
          <w:rFonts w:hint="eastAsia" w:ascii="新宋体" w:hAnsi="新宋体" w:eastAsia="新宋体" w:cs="新宋体"/>
          <w:b/>
          <w:bCs/>
          <w:color w:val="auto"/>
          <w:sz w:val="22"/>
          <w:szCs w:val="22"/>
          <w:highlight w:val="none"/>
        </w:rPr>
        <w:t>14.供应商的资格证明文件（已进行资格预审的）</w:t>
      </w:r>
      <w:bookmarkEnd w:id="39"/>
      <w:bookmarkEnd w:id="40"/>
      <w:bookmarkEnd w:id="41"/>
    </w:p>
    <w:p w14:paraId="24F52B0F">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14.1被邀请的供应商在提交投标文件前，其资格条件发生变化，影响或者可能影响资格条件的，应随投标文件提供更新或者补充的资格证明资料，以证实其各项条件仍能继续满足本章第3.1款规定的供应商资格条件要求。</w:t>
      </w:r>
    </w:p>
    <w:p w14:paraId="69B50F0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15. 投标货物及服务符合招标文件规定的证明文件</w:t>
      </w:r>
    </w:p>
    <w:p w14:paraId="3AA9D5B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15.1投标人应当提交其拟供的合同项下货物及其服务符合招标文件规定的证明文件,该证明文件作为投标文件的一部分。</w:t>
      </w:r>
    </w:p>
    <w:p w14:paraId="38C86C1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15.2上述证明文件可以是文字资料、图表、数据、证书等资料，包括但不限于：</w:t>
      </w:r>
    </w:p>
    <w:p w14:paraId="1607AD9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（1）货物主要技术指标和性能的详细说明。对有具体参数要求的指标，投标人应提供具体参数值；</w:t>
      </w:r>
    </w:p>
    <w:p w14:paraId="7FEB902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（2）货物的品牌型号、制造商及原产地等说明；</w:t>
      </w:r>
    </w:p>
    <w:p w14:paraId="6F2373C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（3）招标文件第五章“采购需求”要求的其它文件。</w:t>
      </w:r>
    </w:p>
    <w:p w14:paraId="57D7C0EA">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16. 投标有效期</w:t>
      </w:r>
    </w:p>
    <w:p w14:paraId="59C6651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16.1投标有效期从提交投标文件的截止之日起算。投标文件中承诺的投标有效期应当不少于</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中载明的投标有效期。投标有效期不满足要求的，其</w:t>
      </w:r>
      <w:r>
        <w:rPr>
          <w:rFonts w:hint="eastAsia" w:ascii="新宋体" w:hAnsi="新宋体" w:eastAsia="新宋体" w:cs="新宋体"/>
          <w:b/>
          <w:color w:val="auto"/>
          <w:sz w:val="22"/>
          <w:szCs w:val="22"/>
          <w:highlight w:val="none"/>
        </w:rPr>
        <w:t>投标无效</w:t>
      </w:r>
      <w:r>
        <w:rPr>
          <w:rFonts w:hint="eastAsia" w:ascii="新宋体" w:hAnsi="新宋体" w:eastAsia="新宋体" w:cs="新宋体"/>
          <w:color w:val="auto"/>
          <w:sz w:val="22"/>
          <w:szCs w:val="22"/>
          <w:highlight w:val="none"/>
        </w:rPr>
        <w:t>。</w:t>
      </w:r>
    </w:p>
    <w:p w14:paraId="116D74F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16.2投标有效期内投标人撤销投标文件的，投标人应承担招标文件和法律规定的责任。</w:t>
      </w:r>
    </w:p>
    <w:p w14:paraId="738401FD">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17. 投标保证金</w:t>
      </w:r>
    </w:p>
    <w:p w14:paraId="724D185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17.1招标文件要求投标人提交投标保证金的，</w:t>
      </w:r>
      <w:r>
        <w:rPr>
          <w:rFonts w:hint="eastAsia" w:ascii="新宋体" w:hAnsi="新宋体" w:eastAsia="新宋体" w:cs="新宋体"/>
          <w:bCs/>
          <w:color w:val="auto"/>
          <w:sz w:val="22"/>
          <w:szCs w:val="22"/>
          <w:highlight w:val="none"/>
        </w:rPr>
        <w:t>投标人</w:t>
      </w:r>
      <w:r>
        <w:rPr>
          <w:rFonts w:hint="eastAsia" w:ascii="新宋体" w:hAnsi="新宋体" w:eastAsia="新宋体" w:cs="新宋体"/>
          <w:color w:val="auto"/>
          <w:sz w:val="22"/>
          <w:szCs w:val="22"/>
          <w:highlight w:val="none"/>
        </w:rPr>
        <w:t>应按</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规定，</w:t>
      </w:r>
      <w:r>
        <w:rPr>
          <w:rFonts w:hint="eastAsia" w:ascii="新宋体" w:hAnsi="新宋体" w:eastAsia="新宋体" w:cs="新宋体"/>
          <w:bCs/>
          <w:color w:val="auto"/>
          <w:sz w:val="22"/>
          <w:szCs w:val="22"/>
          <w:highlight w:val="none"/>
        </w:rPr>
        <w:t>在</w:t>
      </w:r>
      <w:r>
        <w:rPr>
          <w:rFonts w:hint="eastAsia" w:ascii="新宋体" w:hAnsi="新宋体" w:eastAsia="新宋体" w:cs="新宋体"/>
          <w:color w:val="auto"/>
          <w:sz w:val="22"/>
          <w:szCs w:val="22"/>
          <w:highlight w:val="none"/>
        </w:rPr>
        <w:t>提交投标文件的截止时间</w:t>
      </w:r>
      <w:r>
        <w:rPr>
          <w:rFonts w:hint="eastAsia" w:ascii="新宋体" w:hAnsi="新宋体" w:eastAsia="新宋体" w:cs="新宋体"/>
          <w:bCs/>
          <w:color w:val="auto"/>
          <w:sz w:val="22"/>
          <w:szCs w:val="22"/>
          <w:highlight w:val="none"/>
        </w:rPr>
        <w:t>前提交投标保证金</w:t>
      </w:r>
      <w:r>
        <w:rPr>
          <w:rFonts w:hint="eastAsia" w:ascii="新宋体" w:hAnsi="新宋体" w:eastAsia="新宋体" w:cs="新宋体"/>
          <w:color w:val="auto"/>
          <w:sz w:val="22"/>
          <w:szCs w:val="22"/>
          <w:highlight w:val="none"/>
        </w:rPr>
        <w:t>。</w:t>
      </w:r>
      <w:r>
        <w:rPr>
          <w:rFonts w:hint="eastAsia" w:ascii="新宋体" w:hAnsi="新宋体" w:eastAsia="新宋体" w:cs="新宋体"/>
          <w:bCs/>
          <w:color w:val="auto"/>
          <w:sz w:val="22"/>
          <w:szCs w:val="22"/>
          <w:highlight w:val="none"/>
        </w:rPr>
        <w:t>投标人可以保函、电子增信替代投标保证金。</w:t>
      </w:r>
    </w:p>
    <w:p w14:paraId="3F8B375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17.2联合体投标的，可以由联合体中的一方或者共同提交投标保证金。以一方名义提交投标保证金的，对联合体各方均具有约束力。</w:t>
      </w:r>
    </w:p>
    <w:p w14:paraId="667E2F7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17.3投标保证金的退还按以下规定办理：</w:t>
      </w:r>
    </w:p>
    <w:p w14:paraId="121CE800">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（1）中标投标人的投标保证金，将在政府采购合同签订后5个工作日内退还。</w:t>
      </w:r>
    </w:p>
    <w:p w14:paraId="677EB9E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（2）未中标的投标人的投标保证金，将在中标通知书发出后5个工作日内退还。</w:t>
      </w:r>
    </w:p>
    <w:p w14:paraId="47DAB698">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（3）终止招标的。对于已递交投标保证金的，采购人、采购代理机构在终止招标公告发布后5个工作日内退还。</w:t>
      </w:r>
    </w:p>
    <w:p w14:paraId="31B376C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（4）在投标截止日前撤回投标的，对于已递交投标保证金的，采购人、采购代理机构在收到投标人书面撤回投标通知之日起5个工作日内退还。</w:t>
      </w:r>
    </w:p>
    <w:p w14:paraId="6E08522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17.4有以下情形之一的，投标保证金将不予退还，上</w:t>
      </w:r>
      <w:r>
        <w:rPr>
          <w:rFonts w:hint="eastAsia" w:ascii="新宋体" w:hAnsi="新宋体" w:eastAsia="新宋体" w:cs="新宋体"/>
          <w:color w:val="auto"/>
          <w:sz w:val="22"/>
          <w:szCs w:val="22"/>
          <w:highlight w:val="none"/>
          <w:lang w:eastAsia="zh-CN"/>
        </w:rPr>
        <w:t>缴</w:t>
      </w:r>
      <w:r>
        <w:rPr>
          <w:rFonts w:hint="eastAsia" w:ascii="新宋体" w:hAnsi="新宋体" w:eastAsia="新宋体" w:cs="新宋体"/>
          <w:color w:val="auto"/>
          <w:sz w:val="22"/>
          <w:szCs w:val="22"/>
          <w:highlight w:val="none"/>
        </w:rPr>
        <w:t xml:space="preserve">国库： </w:t>
      </w:r>
    </w:p>
    <w:p w14:paraId="54D5002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（1）投标人在招标文件中规定的投标有效期内撤销其投标；</w:t>
      </w:r>
    </w:p>
    <w:p w14:paraId="6CF705D0">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（2）中标人无正当理由不与</w:t>
      </w:r>
      <w:r>
        <w:rPr>
          <w:rFonts w:hint="eastAsia" w:ascii="新宋体" w:hAnsi="新宋体" w:eastAsia="新宋体" w:cs="新宋体"/>
          <w:color w:val="auto"/>
          <w:sz w:val="22"/>
          <w:szCs w:val="22"/>
          <w:highlight w:val="none"/>
          <w:lang w:eastAsia="zh-CN"/>
        </w:rPr>
        <w:t>采购人</w:t>
      </w:r>
      <w:r>
        <w:rPr>
          <w:rFonts w:hint="eastAsia" w:ascii="新宋体" w:hAnsi="新宋体" w:eastAsia="新宋体" w:cs="新宋体"/>
          <w:color w:val="auto"/>
          <w:sz w:val="22"/>
          <w:szCs w:val="22"/>
          <w:highlight w:val="none"/>
        </w:rPr>
        <w:t>订立合同，在签订合同时向</w:t>
      </w:r>
      <w:r>
        <w:rPr>
          <w:rFonts w:hint="eastAsia" w:ascii="新宋体" w:hAnsi="新宋体" w:eastAsia="新宋体" w:cs="新宋体"/>
          <w:color w:val="auto"/>
          <w:sz w:val="22"/>
          <w:szCs w:val="22"/>
          <w:highlight w:val="none"/>
          <w:lang w:eastAsia="zh-CN"/>
        </w:rPr>
        <w:t>采购人</w:t>
      </w:r>
      <w:r>
        <w:rPr>
          <w:rFonts w:hint="eastAsia" w:ascii="新宋体" w:hAnsi="新宋体" w:eastAsia="新宋体" w:cs="新宋体"/>
          <w:color w:val="auto"/>
          <w:sz w:val="22"/>
          <w:szCs w:val="22"/>
          <w:highlight w:val="none"/>
        </w:rPr>
        <w:t>提出附加条件，或者不按照招标文件要求提交履约保证金。</w:t>
      </w:r>
    </w:p>
    <w:p w14:paraId="065F2166">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18.分包</w:t>
      </w:r>
    </w:p>
    <w:p w14:paraId="7EE4CD8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18.1</w:t>
      </w:r>
      <w:r>
        <w:rPr>
          <w:rFonts w:hint="eastAsia" w:ascii="新宋体" w:hAnsi="新宋体" w:eastAsia="新宋体" w:cs="新宋体"/>
          <w:b/>
          <w:bCs/>
          <w:color w:val="auto"/>
          <w:sz w:val="22"/>
          <w:szCs w:val="22"/>
          <w:highlight w:val="none"/>
        </w:rPr>
        <w:t>【投标须知前附表】</w:t>
      </w:r>
      <w:r>
        <w:rPr>
          <w:rFonts w:hint="eastAsia" w:ascii="新宋体" w:hAnsi="新宋体" w:eastAsia="新宋体" w:cs="新宋体"/>
          <w:color w:val="auto"/>
          <w:sz w:val="22"/>
          <w:szCs w:val="22"/>
          <w:highlight w:val="none"/>
        </w:rPr>
        <w:t>规定投标人分包的，投标人分包承诺不符合招标文件中有关分包规定的，其</w:t>
      </w:r>
      <w:r>
        <w:rPr>
          <w:rFonts w:hint="eastAsia" w:ascii="新宋体" w:hAnsi="新宋体" w:eastAsia="新宋体" w:cs="新宋体"/>
          <w:b/>
          <w:bCs/>
          <w:color w:val="auto"/>
          <w:sz w:val="22"/>
          <w:szCs w:val="22"/>
          <w:highlight w:val="none"/>
        </w:rPr>
        <w:t>投标无效</w:t>
      </w:r>
      <w:r>
        <w:rPr>
          <w:rFonts w:hint="eastAsia" w:ascii="新宋体" w:hAnsi="新宋体" w:eastAsia="新宋体" w:cs="新宋体"/>
          <w:color w:val="auto"/>
          <w:sz w:val="22"/>
          <w:szCs w:val="22"/>
          <w:highlight w:val="none"/>
        </w:rPr>
        <w:t>。</w:t>
      </w:r>
    </w:p>
    <w:p w14:paraId="62A3C0D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18.2投标人应在签订政府采购合同前向采购人提供分包合同，否则，采购人有权拒绝签订采购合同。</w:t>
      </w:r>
    </w:p>
    <w:p w14:paraId="69B962FD">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18.3享受中小企业扶持政策获得政府采购合同的，小微企业不得将合同分包给大中型企业，中型企业不得将合同分包给大型企业。</w:t>
      </w:r>
    </w:p>
    <w:p w14:paraId="2C0E6BF0">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18.4分包供应商不得再次分包。</w:t>
      </w:r>
    </w:p>
    <w:p w14:paraId="1B0CA43E">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19. 投标文件的签署</w:t>
      </w:r>
    </w:p>
    <w:p w14:paraId="1CE0BB1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19.1投标文件份数见</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w:t>
      </w:r>
      <w:r>
        <w:rPr>
          <w:rFonts w:hint="eastAsia" w:ascii="新宋体" w:hAnsi="新宋体" w:eastAsia="新宋体" w:cs="新宋体"/>
          <w:color w:val="auto"/>
          <w:sz w:val="22"/>
          <w:szCs w:val="22"/>
          <w:highlight w:val="none"/>
          <w:lang w:val="en-US" w:eastAsia="zh-CN"/>
        </w:rPr>
        <w:t>投标文件第一部分资格证明文件和第二部分商务文件及第三部分技术文件</w:t>
      </w:r>
      <w:r>
        <w:rPr>
          <w:rFonts w:hint="eastAsia" w:ascii="新宋体" w:hAnsi="新宋体" w:eastAsia="新宋体" w:cs="新宋体"/>
          <w:color w:val="auto"/>
          <w:sz w:val="22"/>
          <w:szCs w:val="22"/>
          <w:highlight w:val="none"/>
        </w:rPr>
        <w:t>。</w:t>
      </w:r>
    </w:p>
    <w:p w14:paraId="2130C0BB">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19.2电子投标文件</w:t>
      </w:r>
      <w:r>
        <w:rPr>
          <w:rFonts w:hint="eastAsia" w:ascii="新宋体" w:hAnsi="新宋体" w:eastAsia="新宋体" w:cs="新宋体"/>
          <w:color w:val="auto"/>
          <w:sz w:val="22"/>
          <w:szCs w:val="22"/>
          <w:highlight w:val="none"/>
          <w:lang w:val="en-US" w:eastAsia="zh-CN"/>
        </w:rPr>
        <w:t>签署</w:t>
      </w:r>
      <w:r>
        <w:rPr>
          <w:rFonts w:hint="eastAsia" w:ascii="新宋体" w:hAnsi="新宋体" w:eastAsia="新宋体" w:cs="新宋体"/>
          <w:color w:val="auto"/>
          <w:sz w:val="22"/>
          <w:szCs w:val="22"/>
          <w:highlight w:val="none"/>
        </w:rPr>
        <w:t>：</w:t>
      </w:r>
      <w:r>
        <w:rPr>
          <w:rFonts w:hint="eastAsia" w:ascii="新宋体" w:hAnsi="新宋体" w:eastAsia="新宋体" w:cs="新宋体"/>
          <w:color w:val="auto"/>
          <w:sz w:val="22"/>
          <w:szCs w:val="22"/>
          <w:highlight w:val="none"/>
          <w:lang w:val="en-US" w:eastAsia="zh-CN"/>
        </w:rPr>
        <w:t>投标人应按照电子招标文件要求制作投标文件，除了必须签字并盖章的外，其余部分不做要求。签字应由法定代表人（单位负责人）或其授权委托人签写；签字方式包含签章。投标人确认投标后，应从交易平台上下载“电子投标文件制作工具”，并使用此工具编制电子投标文件，否则将可能影响电子投标文件的上传而导致投标无效。投标人因自身原因导致电子投标文件无法导入电子评标系统的，该投标文件视为无效投标文件</w:t>
      </w:r>
      <w:r>
        <w:rPr>
          <w:rFonts w:hint="eastAsia" w:ascii="新宋体" w:hAnsi="新宋体" w:eastAsia="新宋体" w:cs="新宋体"/>
          <w:color w:val="auto"/>
          <w:sz w:val="22"/>
          <w:szCs w:val="22"/>
          <w:highlight w:val="none"/>
        </w:rPr>
        <w:t>。</w:t>
      </w:r>
    </w:p>
    <w:p w14:paraId="4EF1281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19.3投标文件中的任何行间插字、涂改和增删，改动的地方应加盖单位章或由投标人代表签字确认。不按上述要求签署的，</w:t>
      </w:r>
      <w:r>
        <w:rPr>
          <w:rFonts w:hint="eastAsia" w:ascii="新宋体" w:hAnsi="新宋体" w:eastAsia="新宋体" w:cs="新宋体"/>
          <w:b/>
          <w:color w:val="auto"/>
          <w:sz w:val="22"/>
          <w:szCs w:val="22"/>
          <w:highlight w:val="none"/>
        </w:rPr>
        <w:t>其投标无效</w:t>
      </w:r>
      <w:r>
        <w:rPr>
          <w:rFonts w:hint="eastAsia" w:ascii="新宋体" w:hAnsi="新宋体" w:eastAsia="新宋体" w:cs="新宋体"/>
          <w:color w:val="auto"/>
          <w:sz w:val="22"/>
          <w:szCs w:val="22"/>
          <w:highlight w:val="none"/>
        </w:rPr>
        <w:t>。</w:t>
      </w:r>
    </w:p>
    <w:p w14:paraId="24685F52">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19.4电子招投标文件具有法律效力，若投标文件与招标文件要求不一致，其内容影响中标结果时，责任由投标人自行承担。</w:t>
      </w:r>
    </w:p>
    <w:p w14:paraId="26C78582">
      <w:pPr>
        <w:keepNext w:val="0"/>
        <w:keepLines w:val="0"/>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outlineLvl w:val="9"/>
        <w:rPr>
          <w:rFonts w:hint="eastAsia" w:ascii="新宋体" w:hAnsi="新宋体" w:eastAsia="新宋体" w:cs="新宋体"/>
          <w:b/>
          <w:bCs/>
          <w:color w:val="auto"/>
          <w:sz w:val="22"/>
          <w:szCs w:val="22"/>
          <w:highlight w:val="none"/>
        </w:rPr>
      </w:pPr>
      <w:bookmarkStart w:id="42" w:name="_Toc6813"/>
      <w:bookmarkStart w:id="43" w:name="_Toc16048"/>
      <w:r>
        <w:rPr>
          <w:rFonts w:hint="eastAsia" w:ascii="新宋体" w:hAnsi="新宋体" w:eastAsia="新宋体" w:cs="新宋体"/>
          <w:b/>
          <w:bCs/>
          <w:color w:val="auto"/>
          <w:sz w:val="22"/>
          <w:szCs w:val="22"/>
          <w:highlight w:val="none"/>
        </w:rPr>
        <w:t>四、投标</w:t>
      </w:r>
      <w:bookmarkEnd w:id="42"/>
      <w:bookmarkEnd w:id="43"/>
    </w:p>
    <w:p w14:paraId="21EE4BE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color w:val="auto"/>
          <w:sz w:val="22"/>
          <w:szCs w:val="22"/>
          <w:highlight w:val="none"/>
        </w:rPr>
        <w:t>20.</w:t>
      </w:r>
      <w:r>
        <w:rPr>
          <w:rFonts w:hint="eastAsia" w:ascii="新宋体" w:hAnsi="新宋体" w:eastAsia="新宋体" w:cs="新宋体"/>
          <w:b/>
          <w:bCs/>
          <w:color w:val="auto"/>
          <w:sz w:val="22"/>
          <w:szCs w:val="22"/>
          <w:highlight w:val="none"/>
        </w:rPr>
        <w:t xml:space="preserve"> 投标文件的密封和标记</w:t>
      </w:r>
    </w:p>
    <w:p w14:paraId="1951583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20.1投标人应</w:t>
      </w:r>
      <w:r>
        <w:rPr>
          <w:rFonts w:hint="eastAsia" w:ascii="新宋体" w:hAnsi="新宋体" w:eastAsia="新宋体" w:cs="新宋体"/>
          <w:color w:val="auto"/>
          <w:sz w:val="22"/>
          <w:szCs w:val="22"/>
          <w:highlight w:val="none"/>
          <w:lang w:eastAsia="zh-CN"/>
        </w:rPr>
        <w:t>按照</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lang w:eastAsia="zh-CN"/>
        </w:rPr>
        <w:t>的规定加密投标文件</w:t>
      </w:r>
      <w:r>
        <w:rPr>
          <w:rFonts w:hint="eastAsia" w:ascii="新宋体" w:hAnsi="新宋体" w:eastAsia="新宋体" w:cs="新宋体"/>
          <w:color w:val="auto"/>
          <w:sz w:val="22"/>
          <w:szCs w:val="22"/>
          <w:highlight w:val="none"/>
        </w:rPr>
        <w:t>以保证自己的投标信息在开标前不被透露。</w:t>
      </w:r>
    </w:p>
    <w:p w14:paraId="4989ED3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20.2</w:t>
      </w:r>
      <w:r>
        <w:rPr>
          <w:rFonts w:hint="eastAsia" w:ascii="新宋体" w:hAnsi="新宋体" w:eastAsia="新宋体" w:cs="新宋体"/>
          <w:color w:val="auto"/>
          <w:sz w:val="22"/>
          <w:szCs w:val="22"/>
          <w:highlight w:val="none"/>
          <w:lang w:eastAsia="zh-CN"/>
        </w:rPr>
        <w:t>电子投标文件通过数字证书进行加密并加签章。未按照要求加密和数字证书认证的投标文件，电子招标投标交易平台予以拒收。</w:t>
      </w:r>
    </w:p>
    <w:p w14:paraId="0758184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20.3</w:t>
      </w:r>
      <w:r>
        <w:rPr>
          <w:rFonts w:hint="eastAsia" w:ascii="新宋体" w:hAnsi="新宋体" w:eastAsia="新宋体" w:cs="新宋体"/>
          <w:color w:val="auto"/>
          <w:sz w:val="22"/>
          <w:szCs w:val="22"/>
          <w:highlight w:val="none"/>
          <w:lang w:eastAsia="zh-CN"/>
        </w:rPr>
        <w:t>投标人应在招标文件规定的投标截止时间前将电子投标文件上传到本项目开标地点，逾期及未上传到开标地点的投标文件，不予受理</w:t>
      </w:r>
      <w:r>
        <w:rPr>
          <w:rFonts w:hint="eastAsia" w:ascii="新宋体" w:hAnsi="新宋体" w:eastAsia="新宋体" w:cs="新宋体"/>
          <w:color w:val="auto"/>
          <w:sz w:val="22"/>
          <w:szCs w:val="22"/>
          <w:highlight w:val="none"/>
        </w:rPr>
        <w:t>。</w:t>
      </w:r>
    </w:p>
    <w:p w14:paraId="056B86C0">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20.4</w:t>
      </w:r>
      <w:r>
        <w:rPr>
          <w:rFonts w:hint="eastAsia" w:ascii="新宋体" w:hAnsi="新宋体" w:eastAsia="新宋体" w:cs="新宋体"/>
          <w:color w:val="auto"/>
          <w:sz w:val="22"/>
          <w:szCs w:val="22"/>
          <w:highlight w:val="none"/>
          <w:lang w:eastAsia="zh-CN"/>
        </w:rPr>
        <w:t>投标人如因自身原因造成电子投标文件上传不成功、解密不成功及其他自身原因造成的后果由投标人自行承担</w:t>
      </w:r>
      <w:r>
        <w:rPr>
          <w:rFonts w:hint="eastAsia" w:ascii="新宋体" w:hAnsi="新宋体" w:eastAsia="新宋体" w:cs="新宋体"/>
          <w:color w:val="auto"/>
          <w:sz w:val="22"/>
          <w:szCs w:val="22"/>
          <w:highlight w:val="none"/>
        </w:rPr>
        <w:t>。</w:t>
      </w:r>
    </w:p>
    <w:p w14:paraId="56499E3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val="en-US" w:eastAsia="zh-CN"/>
        </w:rPr>
        <w:t>20.5</w:t>
      </w:r>
      <w:r>
        <w:rPr>
          <w:rFonts w:hint="eastAsia" w:ascii="新宋体" w:hAnsi="新宋体" w:eastAsia="新宋体" w:cs="新宋体"/>
          <w:color w:val="auto"/>
          <w:sz w:val="22"/>
          <w:szCs w:val="22"/>
          <w:highlight w:val="none"/>
          <w:lang w:eastAsia="zh-CN"/>
        </w:rPr>
        <w:t xml:space="preserve">如遇系统提示“上传未成功”，投标人应及时重新修改文件或与系统运维公司联系，查明原因，确保上传无误，因自身原因导致不能上传的，由投标人自行承担责任。 </w:t>
      </w:r>
    </w:p>
    <w:p w14:paraId="78B4601A">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21.投标截止期</w:t>
      </w:r>
    </w:p>
    <w:p w14:paraId="38A28E1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21.1投标人应在</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规定的投标截止时间前将投标文件</w:t>
      </w:r>
      <w:r>
        <w:rPr>
          <w:rFonts w:hint="eastAsia" w:ascii="新宋体" w:hAnsi="新宋体" w:eastAsia="新宋体" w:cs="新宋体"/>
          <w:bCs/>
          <w:color w:val="auto"/>
          <w:sz w:val="22"/>
          <w:szCs w:val="22"/>
          <w:highlight w:val="none"/>
        </w:rPr>
        <w:t>密封送达</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指定的投标地点。</w:t>
      </w:r>
    </w:p>
    <w:p w14:paraId="6D2D0838">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color w:val="auto"/>
          <w:sz w:val="22"/>
          <w:szCs w:val="22"/>
          <w:highlight w:val="none"/>
        </w:rPr>
        <w:t>21.2逾期送达的投标文件，以及未通过资格预审的申请人提交的投标文件（实行资格预审的），采购人、采购代理机构</w:t>
      </w:r>
      <w:r>
        <w:rPr>
          <w:rFonts w:hint="eastAsia" w:ascii="新宋体" w:hAnsi="新宋体" w:eastAsia="新宋体" w:cs="新宋体"/>
          <w:b/>
          <w:color w:val="auto"/>
          <w:sz w:val="22"/>
          <w:szCs w:val="22"/>
          <w:highlight w:val="none"/>
        </w:rPr>
        <w:t>应当拒收</w:t>
      </w:r>
      <w:r>
        <w:rPr>
          <w:rFonts w:hint="eastAsia" w:ascii="新宋体" w:hAnsi="新宋体" w:eastAsia="新宋体" w:cs="新宋体"/>
          <w:color w:val="auto"/>
          <w:sz w:val="22"/>
          <w:szCs w:val="22"/>
          <w:highlight w:val="none"/>
        </w:rPr>
        <w:t>。</w:t>
      </w:r>
    </w:p>
    <w:p w14:paraId="182C5B3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22. 投标文件的修改和撤回</w:t>
      </w:r>
    </w:p>
    <w:p w14:paraId="4B79E58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rPr>
        <w:t>22.1投标人在招标文件规定的投标截止时间前，可以撤回已上传的投标文件，也可以撤回并修改后再重新上传。在投标截止时间之后，投标人撤回其投标文件的，其投标保证金将不予退还</w:t>
      </w:r>
      <w:r>
        <w:rPr>
          <w:rFonts w:hint="eastAsia" w:ascii="新宋体" w:hAnsi="新宋体" w:eastAsia="新宋体" w:cs="新宋体"/>
          <w:color w:val="auto"/>
          <w:sz w:val="22"/>
          <w:szCs w:val="22"/>
          <w:highlight w:val="none"/>
          <w:lang w:eastAsia="zh-CN"/>
        </w:rPr>
        <w:t>。</w:t>
      </w:r>
    </w:p>
    <w:p w14:paraId="205D2A77">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bCs/>
          <w:color w:val="auto"/>
          <w:sz w:val="22"/>
          <w:szCs w:val="22"/>
          <w:highlight w:val="none"/>
        </w:rPr>
        <w:t>23.</w:t>
      </w:r>
      <w:r>
        <w:rPr>
          <w:rFonts w:hint="eastAsia" w:ascii="新宋体" w:hAnsi="新宋体" w:eastAsia="新宋体" w:cs="新宋体"/>
          <w:b/>
          <w:color w:val="auto"/>
          <w:sz w:val="22"/>
          <w:szCs w:val="22"/>
          <w:highlight w:val="none"/>
        </w:rPr>
        <w:t xml:space="preserve"> 串通投标行为</w:t>
      </w:r>
    </w:p>
    <w:p w14:paraId="069D609C">
      <w:pPr>
        <w:keepNext w:val="0"/>
        <w:keepLines w:val="0"/>
        <w:pageBreakBefore w:val="0"/>
        <w:widowControl w:val="0"/>
        <w:kinsoku/>
        <w:wordWrap/>
        <w:overflowPunct/>
        <w:topLinePunct w:val="0"/>
        <w:autoSpaceDE/>
        <w:autoSpaceDN/>
        <w:bidi w:val="0"/>
        <w:adjustRightInd w:val="0"/>
        <w:snapToGrid w:val="0"/>
        <w:spacing w:line="400" w:lineRule="exact"/>
        <w:ind w:firstLine="416" w:firstLineChars="200"/>
        <w:jc w:val="left"/>
        <w:textAlignment w:val="auto"/>
        <w:outlineLvl w:val="9"/>
        <w:rPr>
          <w:rFonts w:hint="eastAsia" w:ascii="新宋体" w:hAnsi="新宋体" w:eastAsia="新宋体" w:cs="新宋体"/>
          <w:color w:val="auto"/>
          <w:spacing w:val="-6"/>
          <w:sz w:val="22"/>
          <w:szCs w:val="22"/>
          <w:highlight w:val="none"/>
        </w:rPr>
      </w:pPr>
      <w:r>
        <w:rPr>
          <w:rFonts w:hint="eastAsia" w:ascii="新宋体" w:hAnsi="新宋体" w:eastAsia="新宋体" w:cs="新宋体"/>
          <w:color w:val="auto"/>
          <w:spacing w:val="-6"/>
          <w:sz w:val="22"/>
          <w:szCs w:val="22"/>
          <w:highlight w:val="none"/>
        </w:rPr>
        <w:t>23.1有下列情形之一的，属于恶意串通，对投标人依照政府采购法第七十七条第一款的规定追究法律责任：</w:t>
      </w:r>
    </w:p>
    <w:p w14:paraId="5C123B70">
      <w:pPr>
        <w:keepNext w:val="0"/>
        <w:keepLines w:val="0"/>
        <w:pageBreakBefore w:val="0"/>
        <w:widowControl w:val="0"/>
        <w:kinsoku/>
        <w:wordWrap/>
        <w:overflowPunct/>
        <w:topLinePunct w:val="0"/>
        <w:autoSpaceDE/>
        <w:autoSpaceDN/>
        <w:bidi w:val="0"/>
        <w:adjustRightInd w:val="0"/>
        <w:snapToGrid w:val="0"/>
        <w:spacing w:line="400" w:lineRule="exact"/>
        <w:ind w:firstLine="416" w:firstLineChars="200"/>
        <w:jc w:val="left"/>
        <w:textAlignment w:val="auto"/>
        <w:outlineLvl w:val="9"/>
        <w:rPr>
          <w:rFonts w:hint="eastAsia" w:ascii="新宋体" w:hAnsi="新宋体" w:eastAsia="新宋体" w:cs="新宋体"/>
          <w:color w:val="auto"/>
          <w:spacing w:val="-6"/>
          <w:sz w:val="22"/>
          <w:szCs w:val="22"/>
          <w:highlight w:val="none"/>
        </w:rPr>
      </w:pPr>
      <w:r>
        <w:rPr>
          <w:rFonts w:hint="eastAsia" w:ascii="新宋体" w:hAnsi="新宋体" w:eastAsia="新宋体" w:cs="新宋体"/>
          <w:color w:val="auto"/>
          <w:spacing w:val="-6"/>
          <w:sz w:val="22"/>
          <w:szCs w:val="22"/>
          <w:highlight w:val="none"/>
        </w:rPr>
        <w:t>（1）投标人直接或者间接从采购人或者采购代理机构处获得其他投标人的相关情况并修改其投标文件；</w:t>
      </w:r>
    </w:p>
    <w:p w14:paraId="71DE307E">
      <w:pPr>
        <w:keepNext w:val="0"/>
        <w:keepLines w:val="0"/>
        <w:pageBreakBefore w:val="0"/>
        <w:widowControl w:val="0"/>
        <w:kinsoku/>
        <w:wordWrap/>
        <w:overflowPunct/>
        <w:topLinePunct w:val="0"/>
        <w:autoSpaceDE/>
        <w:autoSpaceDN/>
        <w:bidi w:val="0"/>
        <w:adjustRightInd w:val="0"/>
        <w:snapToGrid w:val="0"/>
        <w:spacing w:line="400" w:lineRule="exact"/>
        <w:ind w:firstLine="416" w:firstLineChars="200"/>
        <w:jc w:val="left"/>
        <w:textAlignment w:val="auto"/>
        <w:outlineLvl w:val="9"/>
        <w:rPr>
          <w:rFonts w:hint="eastAsia" w:ascii="新宋体" w:hAnsi="新宋体" w:eastAsia="新宋体" w:cs="新宋体"/>
          <w:color w:val="auto"/>
          <w:spacing w:val="-6"/>
          <w:sz w:val="22"/>
          <w:szCs w:val="22"/>
          <w:highlight w:val="none"/>
        </w:rPr>
      </w:pPr>
      <w:r>
        <w:rPr>
          <w:rFonts w:hint="eastAsia" w:ascii="新宋体" w:hAnsi="新宋体" w:eastAsia="新宋体" w:cs="新宋体"/>
          <w:color w:val="auto"/>
          <w:spacing w:val="-6"/>
          <w:sz w:val="22"/>
          <w:szCs w:val="22"/>
          <w:highlight w:val="none"/>
        </w:rPr>
        <w:t>（2）投标人按照采购人或者采购代理机构的授意撤换、修改投标文件；</w:t>
      </w:r>
    </w:p>
    <w:p w14:paraId="21632B46">
      <w:pPr>
        <w:keepNext w:val="0"/>
        <w:keepLines w:val="0"/>
        <w:pageBreakBefore w:val="0"/>
        <w:widowControl w:val="0"/>
        <w:kinsoku/>
        <w:wordWrap/>
        <w:overflowPunct/>
        <w:topLinePunct w:val="0"/>
        <w:autoSpaceDE/>
        <w:autoSpaceDN/>
        <w:bidi w:val="0"/>
        <w:adjustRightInd w:val="0"/>
        <w:snapToGrid w:val="0"/>
        <w:spacing w:line="400" w:lineRule="exact"/>
        <w:ind w:firstLine="416" w:firstLineChars="200"/>
        <w:jc w:val="left"/>
        <w:textAlignment w:val="auto"/>
        <w:outlineLvl w:val="9"/>
        <w:rPr>
          <w:rFonts w:hint="eastAsia" w:ascii="新宋体" w:hAnsi="新宋体" w:eastAsia="新宋体" w:cs="新宋体"/>
          <w:color w:val="auto"/>
          <w:spacing w:val="-6"/>
          <w:sz w:val="22"/>
          <w:szCs w:val="22"/>
          <w:highlight w:val="none"/>
        </w:rPr>
      </w:pPr>
      <w:r>
        <w:rPr>
          <w:rFonts w:hint="eastAsia" w:ascii="新宋体" w:hAnsi="新宋体" w:eastAsia="新宋体" w:cs="新宋体"/>
          <w:color w:val="auto"/>
          <w:spacing w:val="-6"/>
          <w:sz w:val="22"/>
          <w:szCs w:val="22"/>
          <w:highlight w:val="none"/>
        </w:rPr>
        <w:t>（3）投标人之间协商报价、技术方案等投标文件的实质性内容；</w:t>
      </w:r>
    </w:p>
    <w:p w14:paraId="6FB84169">
      <w:pPr>
        <w:keepNext w:val="0"/>
        <w:keepLines w:val="0"/>
        <w:pageBreakBefore w:val="0"/>
        <w:widowControl w:val="0"/>
        <w:kinsoku/>
        <w:wordWrap/>
        <w:overflowPunct/>
        <w:topLinePunct w:val="0"/>
        <w:autoSpaceDE/>
        <w:autoSpaceDN/>
        <w:bidi w:val="0"/>
        <w:adjustRightInd w:val="0"/>
        <w:snapToGrid w:val="0"/>
        <w:spacing w:line="400" w:lineRule="exact"/>
        <w:ind w:firstLine="416" w:firstLineChars="200"/>
        <w:jc w:val="left"/>
        <w:textAlignment w:val="auto"/>
        <w:outlineLvl w:val="9"/>
        <w:rPr>
          <w:rFonts w:hint="eastAsia" w:ascii="新宋体" w:hAnsi="新宋体" w:eastAsia="新宋体" w:cs="新宋体"/>
          <w:color w:val="auto"/>
          <w:spacing w:val="-6"/>
          <w:sz w:val="22"/>
          <w:szCs w:val="22"/>
          <w:highlight w:val="none"/>
        </w:rPr>
      </w:pPr>
      <w:r>
        <w:rPr>
          <w:rFonts w:hint="eastAsia" w:ascii="新宋体" w:hAnsi="新宋体" w:eastAsia="新宋体" w:cs="新宋体"/>
          <w:color w:val="auto"/>
          <w:spacing w:val="-6"/>
          <w:sz w:val="22"/>
          <w:szCs w:val="22"/>
          <w:highlight w:val="none"/>
        </w:rPr>
        <w:t>（4）属于同一集团、协会、商会等组织成员的投标人按照该组织要求协同参加政府采购活动；</w:t>
      </w:r>
    </w:p>
    <w:p w14:paraId="6F7072BE">
      <w:pPr>
        <w:keepNext w:val="0"/>
        <w:keepLines w:val="0"/>
        <w:pageBreakBefore w:val="0"/>
        <w:widowControl w:val="0"/>
        <w:kinsoku/>
        <w:wordWrap/>
        <w:overflowPunct/>
        <w:topLinePunct w:val="0"/>
        <w:autoSpaceDE/>
        <w:autoSpaceDN/>
        <w:bidi w:val="0"/>
        <w:adjustRightInd w:val="0"/>
        <w:snapToGrid w:val="0"/>
        <w:spacing w:line="400" w:lineRule="exact"/>
        <w:ind w:firstLine="416" w:firstLineChars="200"/>
        <w:jc w:val="left"/>
        <w:textAlignment w:val="auto"/>
        <w:outlineLvl w:val="9"/>
        <w:rPr>
          <w:rFonts w:hint="eastAsia" w:ascii="新宋体" w:hAnsi="新宋体" w:eastAsia="新宋体" w:cs="新宋体"/>
          <w:color w:val="auto"/>
          <w:spacing w:val="-6"/>
          <w:sz w:val="22"/>
          <w:szCs w:val="22"/>
          <w:highlight w:val="none"/>
        </w:rPr>
      </w:pPr>
      <w:r>
        <w:rPr>
          <w:rFonts w:hint="eastAsia" w:ascii="新宋体" w:hAnsi="新宋体" w:eastAsia="新宋体" w:cs="新宋体"/>
          <w:color w:val="auto"/>
          <w:spacing w:val="-6"/>
          <w:sz w:val="22"/>
          <w:szCs w:val="22"/>
          <w:highlight w:val="none"/>
        </w:rPr>
        <w:t>（5）投标人之间事先约定由某一特定投标人中标；</w:t>
      </w:r>
    </w:p>
    <w:p w14:paraId="644FBA2B">
      <w:pPr>
        <w:keepNext w:val="0"/>
        <w:keepLines w:val="0"/>
        <w:pageBreakBefore w:val="0"/>
        <w:widowControl w:val="0"/>
        <w:kinsoku/>
        <w:wordWrap/>
        <w:overflowPunct/>
        <w:topLinePunct w:val="0"/>
        <w:autoSpaceDE/>
        <w:autoSpaceDN/>
        <w:bidi w:val="0"/>
        <w:adjustRightInd w:val="0"/>
        <w:snapToGrid w:val="0"/>
        <w:spacing w:line="400" w:lineRule="exact"/>
        <w:ind w:firstLine="416" w:firstLineChars="200"/>
        <w:jc w:val="left"/>
        <w:textAlignment w:val="auto"/>
        <w:outlineLvl w:val="9"/>
        <w:rPr>
          <w:rFonts w:hint="eastAsia" w:ascii="新宋体" w:hAnsi="新宋体" w:eastAsia="新宋体" w:cs="新宋体"/>
          <w:color w:val="auto"/>
          <w:spacing w:val="-6"/>
          <w:sz w:val="22"/>
          <w:szCs w:val="22"/>
          <w:highlight w:val="none"/>
        </w:rPr>
      </w:pPr>
      <w:r>
        <w:rPr>
          <w:rFonts w:hint="eastAsia" w:ascii="新宋体" w:hAnsi="新宋体" w:eastAsia="新宋体" w:cs="新宋体"/>
          <w:color w:val="auto"/>
          <w:spacing w:val="-6"/>
          <w:sz w:val="22"/>
          <w:szCs w:val="22"/>
          <w:highlight w:val="none"/>
        </w:rPr>
        <w:t>（6）投标人之间商定部分投标人放弃参加政府采购活动或者放弃中标；</w:t>
      </w:r>
    </w:p>
    <w:p w14:paraId="6AC96BAA">
      <w:pPr>
        <w:keepNext w:val="0"/>
        <w:keepLines w:val="0"/>
        <w:pageBreakBefore w:val="0"/>
        <w:widowControl w:val="0"/>
        <w:kinsoku/>
        <w:wordWrap/>
        <w:overflowPunct/>
        <w:topLinePunct w:val="0"/>
        <w:autoSpaceDE/>
        <w:autoSpaceDN/>
        <w:bidi w:val="0"/>
        <w:adjustRightInd w:val="0"/>
        <w:snapToGrid w:val="0"/>
        <w:spacing w:line="400" w:lineRule="exact"/>
        <w:ind w:firstLine="416" w:firstLineChars="200"/>
        <w:jc w:val="left"/>
        <w:textAlignment w:val="auto"/>
        <w:outlineLvl w:val="9"/>
        <w:rPr>
          <w:rFonts w:hint="eastAsia" w:ascii="新宋体" w:hAnsi="新宋体" w:eastAsia="新宋体" w:cs="新宋体"/>
          <w:color w:val="auto"/>
          <w:spacing w:val="-6"/>
          <w:sz w:val="22"/>
          <w:szCs w:val="22"/>
          <w:highlight w:val="none"/>
        </w:rPr>
      </w:pPr>
      <w:r>
        <w:rPr>
          <w:rFonts w:hint="eastAsia" w:ascii="新宋体" w:hAnsi="新宋体" w:eastAsia="新宋体" w:cs="新宋体"/>
          <w:color w:val="auto"/>
          <w:spacing w:val="-6"/>
          <w:sz w:val="22"/>
          <w:szCs w:val="22"/>
          <w:highlight w:val="none"/>
        </w:rPr>
        <w:t>（7）投标人与采购人或者采购代理机构之间、投标人相互之间，为谋求特定投标人中标或者排斥其他投标人的其他串通行为。</w:t>
      </w:r>
    </w:p>
    <w:p w14:paraId="0CB3640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23.2有下列情形之一的，视为投标人串通投标，其</w:t>
      </w:r>
      <w:r>
        <w:rPr>
          <w:rFonts w:hint="eastAsia" w:ascii="新宋体" w:hAnsi="新宋体" w:eastAsia="新宋体" w:cs="新宋体"/>
          <w:b/>
          <w:color w:val="auto"/>
          <w:sz w:val="22"/>
          <w:szCs w:val="22"/>
          <w:highlight w:val="none"/>
        </w:rPr>
        <w:t>投标无效</w:t>
      </w:r>
      <w:r>
        <w:rPr>
          <w:rFonts w:hint="eastAsia" w:ascii="新宋体" w:hAnsi="新宋体" w:eastAsia="新宋体" w:cs="新宋体"/>
          <w:color w:val="auto"/>
          <w:sz w:val="22"/>
          <w:szCs w:val="22"/>
          <w:highlight w:val="none"/>
        </w:rPr>
        <w:t>：</w:t>
      </w:r>
    </w:p>
    <w:p w14:paraId="670FB95F">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（1）不同投标人的投标文件由同一单位或者个人编制；</w:t>
      </w:r>
    </w:p>
    <w:p w14:paraId="6AB1907B">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（2）不同投标人委托同一单位或者个人办理投标事宜；</w:t>
      </w:r>
    </w:p>
    <w:p w14:paraId="3994886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（3）不同投标人的投标文件载明的项目管理成员或者联系人员为同一人；</w:t>
      </w:r>
    </w:p>
    <w:p w14:paraId="58CA2A8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（4）不同投标人的投标文件异常一致或者投标报价呈规律性差异；</w:t>
      </w:r>
    </w:p>
    <w:p w14:paraId="3480339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（5）不同投标人的投标文件相互混装；</w:t>
      </w:r>
    </w:p>
    <w:p w14:paraId="10DD735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（6）不同投标人的投标保证金从同一单位或者个人的账户转出。</w:t>
      </w:r>
    </w:p>
    <w:p w14:paraId="5175BCAB">
      <w:pPr>
        <w:pStyle w:val="33"/>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23.3涉嫌围标、串标情形</w:t>
      </w:r>
    </w:p>
    <w:p w14:paraId="60002D96">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根据湘西自治州公共资源交易中心大数据分析系统异常预警机制，凡出现电子投标文件投标文件制作机器码、文件创建标识码、IP 地址雷同的，均属涉嫌围标、串标情形，有关监管部门将根据异常预警具体情况依法进行处理。</w:t>
      </w:r>
    </w:p>
    <w:p w14:paraId="52C42E85">
      <w:pPr>
        <w:keepNext w:val="0"/>
        <w:keepLines w:val="0"/>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outlineLvl w:val="9"/>
        <w:rPr>
          <w:rFonts w:hint="eastAsia" w:ascii="新宋体" w:hAnsi="新宋体" w:eastAsia="新宋体" w:cs="新宋体"/>
          <w:b/>
          <w:bCs/>
          <w:color w:val="auto"/>
          <w:sz w:val="22"/>
          <w:szCs w:val="22"/>
          <w:highlight w:val="none"/>
        </w:rPr>
      </w:pPr>
      <w:bookmarkStart w:id="44" w:name="_Toc8931"/>
      <w:bookmarkStart w:id="45" w:name="_Toc14234"/>
      <w:r>
        <w:rPr>
          <w:rFonts w:hint="eastAsia" w:ascii="新宋体" w:hAnsi="新宋体" w:eastAsia="新宋体" w:cs="新宋体"/>
          <w:b/>
          <w:bCs/>
          <w:color w:val="auto"/>
          <w:sz w:val="22"/>
          <w:szCs w:val="22"/>
          <w:highlight w:val="none"/>
        </w:rPr>
        <w:t>五、开标，资格审查和评标</w:t>
      </w:r>
      <w:bookmarkEnd w:id="44"/>
      <w:bookmarkEnd w:id="45"/>
    </w:p>
    <w:p w14:paraId="71564436">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24. 开标</w:t>
      </w:r>
    </w:p>
    <w:p w14:paraId="6E7417B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24.1投标人可通过网上开标系统参加开标会。</w:t>
      </w:r>
    </w:p>
    <w:p w14:paraId="4DE8C9C0">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24.2采购人、采购代理机构公布投标人名称、投标价格和</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规定需要宣布的其他内容。投标人不足3家的，不得开标。</w:t>
      </w:r>
    </w:p>
    <w:p w14:paraId="79E70E0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24.3开标程序。采购代理机构在规定的时间内，按下列程序进行开标。</w:t>
      </w:r>
    </w:p>
    <w:p w14:paraId="49D22846">
      <w:pPr>
        <w:pStyle w:val="33"/>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（1）投标人在开标时间前提前登录网上开标系统</w:t>
      </w:r>
    </w:p>
    <w:p w14:paraId="055F3084">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（2）开标时间，由采购代理机构在线上公布上传文件的投标人信息</w:t>
      </w:r>
    </w:p>
    <w:p w14:paraId="20FDB2B1">
      <w:pPr>
        <w:pStyle w:val="33"/>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（3）投标人根据发出投标文件解密指令提示后在规定时间内使用加密投标文件的CA数字证书进行投标文件解密。投标文件在规定解密时限内未解密或解密失败，视为撤销其投标文件，开标继续进行。</w:t>
      </w:r>
    </w:p>
    <w:p w14:paraId="0C39ECA5">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rPr>
        <w:t>4</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唱标：以《开标一览表》为准，未提供的按无效投标处理。在线生成的《开标记录表》所有有效投标人可以在线即时查看、下载。</w:t>
      </w:r>
    </w:p>
    <w:p w14:paraId="38C8F58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5</w:t>
      </w:r>
      <w:r>
        <w:rPr>
          <w:rFonts w:hint="eastAsia" w:ascii="新宋体" w:hAnsi="新宋体" w:eastAsia="新宋体" w:cs="新宋体"/>
          <w:color w:val="auto"/>
          <w:sz w:val="22"/>
          <w:szCs w:val="22"/>
          <w:highlight w:val="none"/>
          <w:lang w:eastAsia="zh-CN"/>
        </w:rPr>
        <w:t>）确认唱标。</w:t>
      </w:r>
    </w:p>
    <w:p w14:paraId="0315B275">
      <w:pPr>
        <w:pStyle w:val="14"/>
        <w:keepNext w:val="0"/>
        <w:keepLines w:val="0"/>
        <w:pageBreakBefore w:val="0"/>
        <w:widowControl w:val="0"/>
        <w:kinsoku/>
        <w:wordWrap/>
        <w:overflowPunct/>
        <w:topLinePunct w:val="0"/>
        <w:autoSpaceDE/>
        <w:autoSpaceDN/>
        <w:bidi w:val="0"/>
        <w:spacing w:after="0" w:line="400" w:lineRule="exact"/>
        <w:textAlignment w:val="auto"/>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（6）采购人在开标记录上确认，开标结束</w:t>
      </w:r>
    </w:p>
    <w:p w14:paraId="130F25C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val="en-US" w:eastAsia="zh-CN"/>
        </w:rPr>
        <w:t>24.4</w:t>
      </w:r>
      <w:r>
        <w:rPr>
          <w:rFonts w:hint="eastAsia" w:ascii="新宋体" w:hAnsi="新宋体" w:eastAsia="新宋体" w:cs="新宋体"/>
          <w:color w:val="auto"/>
          <w:sz w:val="22"/>
          <w:szCs w:val="22"/>
          <w:highlight w:val="none"/>
        </w:rPr>
        <w:t>投标人代表对开标过程和</w:t>
      </w:r>
      <w:r>
        <w:rPr>
          <w:rFonts w:hint="eastAsia" w:ascii="新宋体" w:hAnsi="新宋体" w:eastAsia="新宋体" w:cs="新宋体"/>
          <w:color w:val="auto"/>
          <w:sz w:val="22"/>
          <w:szCs w:val="22"/>
          <w:highlight w:val="none"/>
          <w:lang w:eastAsia="zh-CN"/>
        </w:rPr>
        <w:t>公布信息</w:t>
      </w:r>
      <w:r>
        <w:rPr>
          <w:rFonts w:hint="eastAsia" w:ascii="新宋体" w:hAnsi="新宋体" w:eastAsia="新宋体" w:cs="新宋体"/>
          <w:color w:val="auto"/>
          <w:sz w:val="22"/>
          <w:szCs w:val="22"/>
          <w:highlight w:val="none"/>
        </w:rPr>
        <w:t>有疑义，以及认为采购人、采购代理机构相关工作人员有《政府采购法实施条例》第九条第一款需要回避的情形的，应当场提出询问或者回避申请。</w:t>
      </w:r>
    </w:p>
    <w:p w14:paraId="12156C7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24.5采购人、采购代理机构对投标人代表当场提出的询问或者回避申请，按《政府采购法实施条例》有关规定及时处理。</w:t>
      </w:r>
    </w:p>
    <w:p w14:paraId="6BC9344A">
      <w:pPr>
        <w:pStyle w:val="33"/>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24.6开标时，出现下列情形之一的，视为投标人撤销其投标：</w:t>
      </w:r>
    </w:p>
    <w:p w14:paraId="25BFF418">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（1）投标人未按要求配置开标所需的软硬件设备，导致解密失败的；</w:t>
      </w:r>
    </w:p>
    <w:p w14:paraId="31482F61">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（2）投标人电脑故障或无法上网，导致解密失败的； </w:t>
      </w:r>
    </w:p>
    <w:p w14:paraId="036D81E4">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（3）解密锁发生故障、失效、错误等，导致解密失败的；</w:t>
      </w:r>
    </w:p>
    <w:p w14:paraId="6BD9299F">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（4）解密时间超过规定时限的；</w:t>
      </w:r>
    </w:p>
    <w:p w14:paraId="23A73DBF">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（5）其他由于投标人自身原因导致解密失效的情形。</w:t>
      </w:r>
    </w:p>
    <w:p w14:paraId="4426C842">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 xml:space="preserve">24.7电子招投标的应急措施 </w:t>
      </w:r>
    </w:p>
    <w:p w14:paraId="0B42DAFD">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电子开标、评标如出现下列情形，导致系统无法正常运行时，可采取应急措施：</w:t>
      </w:r>
    </w:p>
    <w:p w14:paraId="18BA0D31">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（1）系统服务器发生故障，无法访问或无法使用系统；</w:t>
      </w:r>
    </w:p>
    <w:p w14:paraId="4A61C0AF">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（2）系统的软件或数据库出现错误，不能进行正常操作；</w:t>
      </w:r>
    </w:p>
    <w:p w14:paraId="02491AA2">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（3）系统发现有安全漏洞，有潜在的泄密危险；</w:t>
      </w:r>
    </w:p>
    <w:p w14:paraId="0FD1B770">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（4）病毒发作或受到外来病毒的攻击；</w:t>
      </w:r>
    </w:p>
    <w:p w14:paraId="4FBFF3C4">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（5）其他特殊情况。</w:t>
      </w:r>
    </w:p>
    <w:p w14:paraId="780C3F59">
      <w:pPr>
        <w:keepNext w:val="0"/>
        <w:keepLines w:val="0"/>
        <w:pageBreakBefore w:val="0"/>
        <w:widowControl w:val="0"/>
        <w:kinsoku/>
        <w:wordWrap/>
        <w:overflowPunct/>
        <w:topLinePunct w:val="0"/>
        <w:autoSpaceDE/>
        <w:autoSpaceDN/>
        <w:bidi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出现上述情况之一时，应采取项目延期、延长、暂停投标文件解密时间等相应措施。</w:t>
      </w:r>
    </w:p>
    <w:p w14:paraId="0C63424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color w:val="auto"/>
          <w:sz w:val="22"/>
          <w:szCs w:val="22"/>
          <w:highlight w:val="none"/>
        </w:rPr>
      </w:pPr>
      <w:r>
        <w:rPr>
          <w:rStyle w:val="29"/>
          <w:rFonts w:hint="eastAsia" w:ascii="新宋体" w:hAnsi="新宋体" w:eastAsia="新宋体" w:cs="新宋体"/>
          <w:color w:val="auto"/>
          <w:sz w:val="22"/>
          <w:szCs w:val="22"/>
          <w:highlight w:val="none"/>
        </w:rPr>
        <w:t>25.</w:t>
      </w:r>
      <w:r>
        <w:rPr>
          <w:rFonts w:hint="eastAsia" w:ascii="新宋体" w:hAnsi="新宋体" w:eastAsia="新宋体" w:cs="新宋体"/>
          <w:b/>
          <w:color w:val="auto"/>
          <w:sz w:val="22"/>
          <w:szCs w:val="22"/>
          <w:highlight w:val="none"/>
        </w:rPr>
        <w:t xml:space="preserve"> 资格审查</w:t>
      </w:r>
    </w:p>
    <w:p w14:paraId="152ED88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25.1开标结束后，采购人、采购代理机构依法按照第三章“资格审查”规定组织资格审查。</w:t>
      </w:r>
    </w:p>
    <w:p w14:paraId="1026DA8B">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25.2资格审查结束后，采购人、采购代理机构应将资格审查结果告知评标委员会。资格审查不合格投标人不进入评标；资格审查合格投标人少于3家的，不得评标。</w:t>
      </w:r>
    </w:p>
    <w:p w14:paraId="735DC6D8">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bCs/>
          <w:color w:val="auto"/>
          <w:sz w:val="22"/>
          <w:szCs w:val="22"/>
          <w:highlight w:val="none"/>
        </w:rPr>
        <w:t>26.</w:t>
      </w:r>
      <w:r>
        <w:rPr>
          <w:rFonts w:hint="eastAsia" w:ascii="新宋体" w:hAnsi="新宋体" w:eastAsia="新宋体" w:cs="新宋体"/>
          <w:b/>
          <w:color w:val="auto"/>
          <w:sz w:val="22"/>
          <w:szCs w:val="22"/>
          <w:highlight w:val="none"/>
        </w:rPr>
        <w:t xml:space="preserve"> 评标委员会</w:t>
      </w:r>
    </w:p>
    <w:p w14:paraId="50F3DF2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26.1评标由依法组建的评标委员会负责，评标委员会由采购人代表和评审专家组成。</w:t>
      </w:r>
    </w:p>
    <w:p w14:paraId="635462E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26.2评标委员会成员有下列情形之一的，应当回避：</w:t>
      </w:r>
    </w:p>
    <w:p w14:paraId="055E2F8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（1）参加采购活动前三年内,与投标人存在劳动关系,或者担任过投标人的董事、监事,或者是投标人的控股股东或实际控制人；</w:t>
      </w:r>
    </w:p>
    <w:p w14:paraId="4F13B39F">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（2）与投标人的法定代表人或者负责人有夫妻、直系血亲、三代以内旁系血亲或者近姻亲关系；</w:t>
      </w:r>
    </w:p>
    <w:p w14:paraId="3133BEA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（3）与投标人有其他可能影响政府采购活动公平、公正进行的关系。</w:t>
      </w:r>
    </w:p>
    <w:p w14:paraId="07219412">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26.3评标委员会负责具体评标事务，并独立履行下列职责：</w:t>
      </w:r>
    </w:p>
    <w:p w14:paraId="0C911B9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（1）审查、评价投标文件是否符合招标文件的商务、技术等实质性要求；</w:t>
      </w:r>
    </w:p>
    <w:p w14:paraId="5A102270">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（2）要求投标人对投标文件有关事项作出澄清或者说明；</w:t>
      </w:r>
    </w:p>
    <w:p w14:paraId="5C85DED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（3）对投标文件进行比较和评价；</w:t>
      </w:r>
    </w:p>
    <w:p w14:paraId="172EE8E2">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（4）确定中标候选人名单，以及根据采购人委托直接确定中标人。</w:t>
      </w:r>
    </w:p>
    <w:p w14:paraId="78920A0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color w:val="auto"/>
          <w:sz w:val="22"/>
          <w:szCs w:val="22"/>
          <w:highlight w:val="none"/>
        </w:rPr>
        <w:t>27.</w:t>
      </w:r>
      <w:r>
        <w:rPr>
          <w:rFonts w:hint="eastAsia" w:ascii="新宋体" w:hAnsi="新宋体" w:eastAsia="新宋体" w:cs="新宋体"/>
          <w:b/>
          <w:bCs/>
          <w:color w:val="auto"/>
          <w:sz w:val="22"/>
          <w:szCs w:val="22"/>
          <w:highlight w:val="none"/>
        </w:rPr>
        <w:t xml:space="preserve"> 评标</w:t>
      </w:r>
    </w:p>
    <w:p w14:paraId="7E7ADA5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27.1评标委员会按照</w:t>
      </w:r>
      <w:r>
        <w:rPr>
          <w:rFonts w:hint="eastAsia" w:ascii="新宋体" w:hAnsi="新宋体" w:eastAsia="新宋体" w:cs="新宋体"/>
          <w:bCs/>
          <w:color w:val="auto"/>
          <w:sz w:val="22"/>
          <w:szCs w:val="22"/>
          <w:highlight w:val="none"/>
        </w:rPr>
        <w:t>第四章“评标方法及标准”</w:t>
      </w:r>
      <w:r>
        <w:rPr>
          <w:rFonts w:hint="eastAsia" w:ascii="新宋体" w:hAnsi="新宋体" w:eastAsia="新宋体" w:cs="新宋体"/>
          <w:color w:val="auto"/>
          <w:sz w:val="22"/>
          <w:szCs w:val="22"/>
          <w:highlight w:val="none"/>
        </w:rPr>
        <w:t>规定的评标方法、评审因素、标准和程序以及有关法律、法规及规章对投标文件进行评审。</w:t>
      </w:r>
    </w:p>
    <w:p w14:paraId="1FA05A2C">
      <w:pPr>
        <w:keepNext w:val="0"/>
        <w:keepLines w:val="0"/>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outlineLvl w:val="9"/>
        <w:rPr>
          <w:rFonts w:hint="eastAsia" w:ascii="新宋体" w:hAnsi="新宋体" w:eastAsia="新宋体" w:cs="新宋体"/>
          <w:b/>
          <w:bCs/>
          <w:color w:val="auto"/>
          <w:sz w:val="22"/>
          <w:szCs w:val="22"/>
          <w:highlight w:val="none"/>
        </w:rPr>
      </w:pPr>
      <w:bookmarkStart w:id="46" w:name="_Toc3478"/>
      <w:bookmarkStart w:id="47" w:name="_Toc5269"/>
      <w:r>
        <w:rPr>
          <w:rFonts w:hint="eastAsia" w:ascii="新宋体" w:hAnsi="新宋体" w:eastAsia="新宋体" w:cs="新宋体"/>
          <w:b/>
          <w:bCs/>
          <w:color w:val="auto"/>
          <w:sz w:val="22"/>
          <w:szCs w:val="22"/>
          <w:highlight w:val="none"/>
        </w:rPr>
        <w:t>六、中标信息公布</w:t>
      </w:r>
      <w:bookmarkEnd w:id="46"/>
      <w:bookmarkEnd w:id="47"/>
    </w:p>
    <w:p w14:paraId="4D62738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color w:val="auto"/>
          <w:sz w:val="22"/>
          <w:szCs w:val="22"/>
          <w:highlight w:val="none"/>
        </w:rPr>
        <w:t>28.</w:t>
      </w:r>
      <w:r>
        <w:rPr>
          <w:rFonts w:hint="eastAsia" w:ascii="新宋体" w:hAnsi="新宋体" w:eastAsia="新宋体" w:cs="新宋体"/>
          <w:color w:val="auto"/>
          <w:sz w:val="22"/>
          <w:szCs w:val="22"/>
          <w:highlight w:val="none"/>
        </w:rPr>
        <w:t xml:space="preserve"> </w:t>
      </w:r>
      <w:r>
        <w:rPr>
          <w:rFonts w:hint="eastAsia" w:ascii="新宋体" w:hAnsi="新宋体" w:eastAsia="新宋体" w:cs="新宋体"/>
          <w:b/>
          <w:bCs/>
          <w:color w:val="auto"/>
          <w:sz w:val="22"/>
          <w:szCs w:val="22"/>
          <w:highlight w:val="none"/>
        </w:rPr>
        <w:t>中标通知书与中标信息公布</w:t>
      </w:r>
    </w:p>
    <w:p w14:paraId="36136870">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28.1采购代理机构应当在评标结束后2个工作日内将评标报告送采购人。</w:t>
      </w:r>
    </w:p>
    <w:p w14:paraId="47B5AB42">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28.2采购人应当自收到评标报告之日起5个工作日内，在评标报告确定的中标候选人名单中按顺序确定中标人。中标候选人并列的，按照</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规定的方式确定中标人；招标文件未规定的，采取随机抽取的方式确定。</w:t>
      </w:r>
    </w:p>
    <w:p w14:paraId="5C6FCD6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28.3采购人、采购代理机构应当自采购人确定中标供应商之日起2个工作日内，发出中标通知书，并在招标公告指定媒体上公告中标结果，招标文件随中标结果同时公告，中标结果公告期限为1个工作日。</w:t>
      </w:r>
    </w:p>
    <w:p w14:paraId="0F3BD85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29.</w:t>
      </w:r>
      <w:r>
        <w:rPr>
          <w:rFonts w:hint="eastAsia" w:ascii="新宋体" w:hAnsi="新宋体" w:eastAsia="新宋体" w:cs="新宋体"/>
          <w:b/>
          <w:color w:val="auto"/>
          <w:sz w:val="22"/>
          <w:szCs w:val="22"/>
          <w:highlight w:val="none"/>
        </w:rPr>
        <w:t xml:space="preserve"> 投标人询问及</w:t>
      </w:r>
      <w:r>
        <w:rPr>
          <w:rFonts w:hint="eastAsia" w:ascii="新宋体" w:hAnsi="新宋体" w:eastAsia="新宋体" w:cs="新宋体"/>
          <w:b/>
          <w:bCs/>
          <w:color w:val="auto"/>
          <w:sz w:val="22"/>
          <w:szCs w:val="22"/>
          <w:highlight w:val="none"/>
        </w:rPr>
        <w:t>质疑</w:t>
      </w:r>
    </w:p>
    <w:p w14:paraId="608AF6B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29.1投标人对政府采购活动事项有疑问的，可以向采购人、采购代理机构提出询问。采购人或采购代理机构将在3个工作日内作出答复。</w:t>
      </w:r>
    </w:p>
    <w:p w14:paraId="1C3E99C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rPr>
        <w:t>29.2投标人认为招标文件、采购过程和中标结果使自己的权益受到损害的，可以在知道或者应知其权益受到损害之日起7个工作日内，按照《湖南省财政厅关于印发＜政府采购质疑答复和投诉处理操作规程＞的通知》</w:t>
      </w:r>
      <w:r>
        <w:rPr>
          <w:rFonts w:hint="eastAsia" w:ascii="新宋体" w:hAnsi="新宋体" w:eastAsia="新宋体" w:cs="新宋体"/>
          <w:color w:val="auto"/>
          <w:sz w:val="22"/>
          <w:szCs w:val="22"/>
          <w:highlight w:val="none"/>
          <w:lang w:eastAsia="zh-CN"/>
        </w:rPr>
        <w:t>(湘财购〔2024〕67号</w:t>
      </w:r>
      <w:r>
        <w:rPr>
          <w:rFonts w:hint="eastAsia" w:ascii="新宋体" w:hAnsi="新宋体" w:eastAsia="新宋体" w:cs="新宋体"/>
          <w:color w:val="auto"/>
          <w:sz w:val="22"/>
          <w:szCs w:val="22"/>
          <w:highlight w:val="none"/>
        </w:rPr>
        <w:t>)规定，以纸质书面形式向采购人、采购代理机构提出质疑。</w:t>
      </w:r>
      <w:r>
        <w:rPr>
          <w:rFonts w:hint="eastAsia" w:ascii="新宋体" w:hAnsi="新宋体" w:eastAsia="新宋体" w:cs="新宋体"/>
          <w:color w:val="auto"/>
          <w:sz w:val="22"/>
          <w:szCs w:val="22"/>
          <w:highlight w:val="none"/>
          <w:lang w:val="en-US" w:eastAsia="zh-CN"/>
        </w:rPr>
        <w:t>投标人应当在法定质疑期内一次性提出针对同一采购程序环节的质疑。</w:t>
      </w:r>
    </w:p>
    <w:p w14:paraId="40EB9AD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val="en-US" w:eastAsia="zh-CN"/>
        </w:rPr>
        <w:t>29</w:t>
      </w:r>
      <w:r>
        <w:rPr>
          <w:rFonts w:hint="eastAsia" w:ascii="新宋体" w:hAnsi="新宋体" w:eastAsia="新宋体" w:cs="新宋体"/>
          <w:color w:val="auto"/>
          <w:sz w:val="22"/>
          <w:szCs w:val="22"/>
          <w:highlight w:val="none"/>
        </w:rPr>
        <w:t>.3本章第</w:t>
      </w:r>
      <w:r>
        <w:rPr>
          <w:rFonts w:hint="eastAsia" w:ascii="新宋体" w:hAnsi="新宋体" w:eastAsia="新宋体" w:cs="新宋体"/>
          <w:color w:val="auto"/>
          <w:sz w:val="22"/>
          <w:szCs w:val="22"/>
          <w:highlight w:val="none"/>
          <w:lang w:val="en-US" w:eastAsia="zh-CN"/>
        </w:rPr>
        <w:t>29</w:t>
      </w:r>
      <w:r>
        <w:rPr>
          <w:rFonts w:hint="eastAsia" w:ascii="新宋体" w:hAnsi="新宋体" w:eastAsia="新宋体" w:cs="新宋体"/>
          <w:color w:val="auto"/>
          <w:sz w:val="22"/>
          <w:szCs w:val="22"/>
          <w:highlight w:val="none"/>
        </w:rPr>
        <w:t>.2款所称投标人应知其权益受到损害之日，是指：</w:t>
      </w:r>
    </w:p>
    <w:p w14:paraId="2930713B">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（1）对可以质疑的招标文件提出质疑的，为收到招标文件之日或者招标公告期限届满之日；</w:t>
      </w:r>
    </w:p>
    <w:p w14:paraId="10742E80">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（2）对采购过程提出质疑的，为各采购程序环节结束之日；</w:t>
      </w:r>
    </w:p>
    <w:p w14:paraId="37FC83F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（3）对中标结果提出质疑的，为中标结果公告期限届满之日。</w:t>
      </w:r>
    </w:p>
    <w:p w14:paraId="16E1BF6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val="en-US" w:eastAsia="zh-CN"/>
        </w:rPr>
        <w:t>29</w:t>
      </w:r>
      <w:r>
        <w:rPr>
          <w:rFonts w:hint="eastAsia" w:ascii="新宋体" w:hAnsi="新宋体" w:eastAsia="新宋体" w:cs="新宋体"/>
          <w:color w:val="auto"/>
          <w:sz w:val="22"/>
          <w:szCs w:val="22"/>
          <w:highlight w:val="none"/>
        </w:rPr>
        <w:t>.4本章第</w:t>
      </w:r>
      <w:r>
        <w:rPr>
          <w:rFonts w:hint="eastAsia" w:ascii="新宋体" w:hAnsi="新宋体" w:eastAsia="新宋体" w:cs="新宋体"/>
          <w:color w:val="auto"/>
          <w:sz w:val="22"/>
          <w:szCs w:val="22"/>
          <w:highlight w:val="none"/>
          <w:lang w:val="en-US" w:eastAsia="zh-CN"/>
        </w:rPr>
        <w:t>29</w:t>
      </w:r>
      <w:r>
        <w:rPr>
          <w:rFonts w:hint="eastAsia" w:ascii="新宋体" w:hAnsi="新宋体" w:eastAsia="新宋体" w:cs="新宋体"/>
          <w:color w:val="auto"/>
          <w:sz w:val="22"/>
          <w:szCs w:val="22"/>
          <w:highlight w:val="none"/>
        </w:rPr>
        <w:t>.3款所称“收到招标文件之日”，是指：在采购代理机构指定地址购买招标文件的，质疑时效期间的起算日期为供应商收到招标文件之日；“招标公告期限届满之日”，是指：通过电子招标投标交易平台下载招标文件的，质疑时效期间的起算日期为招标公告期限届满之日。</w:t>
      </w:r>
    </w:p>
    <w:p w14:paraId="1ED62C9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29.</w:t>
      </w:r>
      <w:r>
        <w:rPr>
          <w:rFonts w:hint="eastAsia" w:ascii="新宋体" w:hAnsi="新宋体" w:eastAsia="新宋体" w:cs="新宋体"/>
          <w:color w:val="auto"/>
          <w:sz w:val="22"/>
          <w:szCs w:val="22"/>
          <w:highlight w:val="none"/>
          <w:lang w:val="en-US" w:eastAsia="zh-CN"/>
        </w:rPr>
        <w:t>5</w:t>
      </w:r>
      <w:r>
        <w:rPr>
          <w:rFonts w:hint="eastAsia" w:ascii="新宋体" w:hAnsi="新宋体" w:eastAsia="新宋体" w:cs="新宋体"/>
          <w:color w:val="auto"/>
          <w:sz w:val="22"/>
          <w:szCs w:val="22"/>
          <w:highlight w:val="none"/>
        </w:rPr>
        <w:t>投标人提出质疑的，应按照《湖南省财政厅关于印发＜政府采购质疑答复和投诉处理操作规程＞的通知》规定制作、签署、送达。采购人、采购代理机构接收质疑函的联系部门、联系电话和通讯地址见</w:t>
      </w:r>
      <w:r>
        <w:rPr>
          <w:rFonts w:hint="eastAsia" w:ascii="新宋体" w:hAnsi="新宋体" w:eastAsia="新宋体" w:cs="新宋体"/>
          <w:b/>
          <w:bCs/>
          <w:color w:val="auto"/>
          <w:sz w:val="22"/>
          <w:szCs w:val="22"/>
          <w:highlight w:val="none"/>
        </w:rPr>
        <w:t>【</w:t>
      </w:r>
      <w:r>
        <w:rPr>
          <w:rFonts w:hint="eastAsia" w:ascii="新宋体" w:hAnsi="新宋体" w:eastAsia="新宋体" w:cs="新宋体"/>
          <w:b/>
          <w:bCs/>
          <w:color w:val="auto"/>
          <w:sz w:val="22"/>
          <w:szCs w:val="22"/>
          <w:highlight w:val="none"/>
          <w:lang w:val="en-US" w:eastAsia="zh-CN"/>
        </w:rPr>
        <w:t>投标</w:t>
      </w:r>
      <w:r>
        <w:rPr>
          <w:rFonts w:hint="eastAsia" w:ascii="新宋体" w:hAnsi="新宋体" w:eastAsia="新宋体" w:cs="新宋体"/>
          <w:b/>
          <w:bCs/>
          <w:color w:val="auto"/>
          <w:sz w:val="22"/>
          <w:szCs w:val="22"/>
          <w:highlight w:val="none"/>
        </w:rPr>
        <w:t>须知前附表】</w:t>
      </w:r>
      <w:r>
        <w:rPr>
          <w:rFonts w:hint="eastAsia" w:ascii="新宋体" w:hAnsi="新宋体" w:eastAsia="新宋体" w:cs="新宋体"/>
          <w:color w:val="auto"/>
          <w:sz w:val="22"/>
          <w:szCs w:val="22"/>
          <w:highlight w:val="none"/>
        </w:rPr>
        <w:t>。</w:t>
      </w:r>
    </w:p>
    <w:p w14:paraId="488A6A0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val="en-US" w:eastAsia="zh-CN"/>
        </w:rPr>
        <w:t>29</w:t>
      </w:r>
      <w:r>
        <w:rPr>
          <w:rFonts w:hint="eastAsia" w:ascii="新宋体" w:hAnsi="新宋体" w:eastAsia="新宋体" w:cs="新宋体"/>
          <w:color w:val="auto"/>
          <w:sz w:val="22"/>
          <w:szCs w:val="22"/>
          <w:highlight w:val="none"/>
        </w:rPr>
        <w:t>.6以联合体形式参加政府采购活动的，联合体组成后提出的质疑事项应当由组成联合体的所有供应商共同提出。</w:t>
      </w:r>
    </w:p>
    <w:p w14:paraId="2B0CEB7F">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 xml:space="preserve">29.7投标人提出质疑应当提交质疑函和必要的证明材料。质疑函应当包括下列内容： </w:t>
      </w:r>
    </w:p>
    <w:p w14:paraId="7F87FE5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 xml:space="preserve">（1）投标人的姓名或者名称、地址、邮编、联系人及联系电话； </w:t>
      </w:r>
    </w:p>
    <w:p w14:paraId="108FE1D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 xml:space="preserve">（2）质疑项目的名称、编号； </w:t>
      </w:r>
    </w:p>
    <w:p w14:paraId="3374FA9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 xml:space="preserve">（3）具体、明确的质疑事项和与质疑事项相关的请求； </w:t>
      </w:r>
    </w:p>
    <w:p w14:paraId="4BC85B7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 xml:space="preserve">（4）事实依据； </w:t>
      </w:r>
    </w:p>
    <w:p w14:paraId="5930629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 xml:space="preserve">（5）必要的法律依据； </w:t>
      </w:r>
    </w:p>
    <w:p w14:paraId="40C0ED5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（6）提出质疑的日期。</w:t>
      </w:r>
    </w:p>
    <w:p w14:paraId="0F2DDCD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29.</w:t>
      </w:r>
      <w:r>
        <w:rPr>
          <w:rFonts w:hint="eastAsia" w:ascii="新宋体" w:hAnsi="新宋体" w:eastAsia="新宋体" w:cs="新宋体"/>
          <w:color w:val="auto"/>
          <w:sz w:val="22"/>
          <w:szCs w:val="22"/>
          <w:highlight w:val="none"/>
          <w:lang w:val="en-US" w:eastAsia="zh-CN"/>
        </w:rPr>
        <w:t>8</w:t>
      </w:r>
      <w:r>
        <w:rPr>
          <w:rFonts w:hint="eastAsia" w:ascii="新宋体" w:hAnsi="新宋体" w:eastAsia="新宋体" w:cs="新宋体"/>
          <w:color w:val="auto"/>
          <w:sz w:val="22"/>
          <w:szCs w:val="22"/>
          <w:highlight w:val="none"/>
        </w:rPr>
        <w:t>采购人或者采购代理机构将在签收回执之日起7个工作日内作出书面答复，并以书面形式通知质疑投标人和其他有关的投标人。</w:t>
      </w:r>
    </w:p>
    <w:p w14:paraId="0B9F62E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color w:val="auto"/>
          <w:sz w:val="22"/>
          <w:szCs w:val="22"/>
          <w:highlight w:val="none"/>
        </w:rPr>
        <w:t>29.</w:t>
      </w:r>
      <w:r>
        <w:rPr>
          <w:rFonts w:hint="eastAsia" w:ascii="新宋体" w:hAnsi="新宋体" w:eastAsia="新宋体" w:cs="新宋体"/>
          <w:color w:val="auto"/>
          <w:sz w:val="22"/>
          <w:szCs w:val="22"/>
          <w:highlight w:val="none"/>
          <w:lang w:val="en-US" w:eastAsia="zh-CN"/>
        </w:rPr>
        <w:t>9质疑人对采购</w:t>
      </w:r>
      <w:r>
        <w:rPr>
          <w:rFonts w:hint="eastAsia" w:ascii="新宋体" w:hAnsi="新宋体" w:eastAsia="新宋体" w:cs="新宋体"/>
          <w:color w:val="auto"/>
          <w:sz w:val="22"/>
          <w:szCs w:val="22"/>
          <w:highlight w:val="none"/>
        </w:rPr>
        <w:t>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2177567C">
      <w:pPr>
        <w:keepNext w:val="0"/>
        <w:keepLines w:val="0"/>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outlineLvl w:val="9"/>
        <w:rPr>
          <w:rFonts w:hint="eastAsia" w:ascii="新宋体" w:hAnsi="新宋体" w:eastAsia="新宋体" w:cs="新宋体"/>
          <w:b/>
          <w:bCs/>
          <w:color w:val="auto"/>
          <w:sz w:val="22"/>
          <w:szCs w:val="22"/>
          <w:highlight w:val="none"/>
        </w:rPr>
      </w:pPr>
      <w:bookmarkStart w:id="48" w:name="_Toc24964"/>
      <w:bookmarkStart w:id="49" w:name="_Toc16705"/>
      <w:r>
        <w:rPr>
          <w:rFonts w:hint="eastAsia" w:ascii="新宋体" w:hAnsi="新宋体" w:eastAsia="新宋体" w:cs="新宋体"/>
          <w:b/>
          <w:bCs/>
          <w:color w:val="auto"/>
          <w:sz w:val="22"/>
          <w:szCs w:val="22"/>
          <w:highlight w:val="none"/>
        </w:rPr>
        <w:t>七、合同签订</w:t>
      </w:r>
      <w:bookmarkEnd w:id="48"/>
      <w:bookmarkEnd w:id="49"/>
    </w:p>
    <w:p w14:paraId="6E4171DC">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30. 签订合同</w:t>
      </w:r>
    </w:p>
    <w:p w14:paraId="2C7B4E92">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30.1采购人应自中标通知书发出之日起30日内，按中标通知书指定的时间、地点与中标人签订政府采购合同。所签订的合同不得对招标文件确定的事项和中标人投标文件作实质性修改。</w:t>
      </w:r>
    </w:p>
    <w:p w14:paraId="6AF470E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30.2招标文件、中标人的投标文件均为签订合同的依据。</w:t>
      </w:r>
    </w:p>
    <w:p w14:paraId="29BF7ED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30.3联</w:t>
      </w:r>
      <w:r>
        <w:rPr>
          <w:rFonts w:hint="eastAsia" w:ascii="新宋体" w:hAnsi="新宋体" w:eastAsia="新宋体" w:cs="新宋体"/>
          <w:color w:val="auto"/>
          <w:spacing w:val="-2"/>
          <w:kern w:val="0"/>
          <w:sz w:val="22"/>
          <w:szCs w:val="22"/>
          <w:highlight w:val="none"/>
        </w:rPr>
        <w:t>合</w:t>
      </w:r>
      <w:r>
        <w:rPr>
          <w:rFonts w:hint="eastAsia" w:ascii="新宋体" w:hAnsi="新宋体" w:eastAsia="新宋体" w:cs="新宋体"/>
          <w:color w:val="auto"/>
          <w:kern w:val="0"/>
          <w:sz w:val="22"/>
          <w:szCs w:val="22"/>
          <w:highlight w:val="none"/>
        </w:rPr>
        <w:t>体</w:t>
      </w:r>
      <w:r>
        <w:rPr>
          <w:rFonts w:hint="eastAsia" w:ascii="新宋体" w:hAnsi="新宋体" w:eastAsia="新宋体" w:cs="新宋体"/>
          <w:color w:val="auto"/>
          <w:spacing w:val="-2"/>
          <w:kern w:val="0"/>
          <w:sz w:val="22"/>
          <w:szCs w:val="22"/>
          <w:highlight w:val="none"/>
        </w:rPr>
        <w:t>中</w:t>
      </w:r>
      <w:r>
        <w:rPr>
          <w:rFonts w:hint="eastAsia" w:ascii="新宋体" w:hAnsi="新宋体" w:eastAsia="新宋体" w:cs="新宋体"/>
          <w:color w:val="auto"/>
          <w:kern w:val="0"/>
          <w:sz w:val="22"/>
          <w:szCs w:val="22"/>
          <w:highlight w:val="none"/>
        </w:rPr>
        <w:t>标的</w:t>
      </w:r>
      <w:r>
        <w:rPr>
          <w:rFonts w:hint="eastAsia" w:ascii="新宋体" w:hAnsi="新宋体" w:eastAsia="新宋体" w:cs="新宋体"/>
          <w:color w:val="auto"/>
          <w:spacing w:val="-14"/>
          <w:kern w:val="0"/>
          <w:sz w:val="22"/>
          <w:szCs w:val="22"/>
          <w:highlight w:val="none"/>
        </w:rPr>
        <w:t>，</w:t>
      </w:r>
      <w:r>
        <w:rPr>
          <w:rFonts w:hint="eastAsia" w:ascii="新宋体" w:hAnsi="新宋体" w:eastAsia="新宋体" w:cs="新宋体"/>
          <w:color w:val="auto"/>
          <w:kern w:val="0"/>
          <w:sz w:val="22"/>
          <w:szCs w:val="22"/>
          <w:highlight w:val="none"/>
        </w:rPr>
        <w:t>联</w:t>
      </w:r>
      <w:r>
        <w:rPr>
          <w:rFonts w:hint="eastAsia" w:ascii="新宋体" w:hAnsi="新宋体" w:eastAsia="新宋体" w:cs="新宋体"/>
          <w:color w:val="auto"/>
          <w:spacing w:val="-2"/>
          <w:kern w:val="0"/>
          <w:sz w:val="22"/>
          <w:szCs w:val="22"/>
          <w:highlight w:val="none"/>
        </w:rPr>
        <w:t>合</w:t>
      </w:r>
      <w:r>
        <w:rPr>
          <w:rFonts w:hint="eastAsia" w:ascii="新宋体" w:hAnsi="新宋体" w:eastAsia="新宋体" w:cs="新宋体"/>
          <w:color w:val="auto"/>
          <w:kern w:val="0"/>
          <w:sz w:val="22"/>
          <w:szCs w:val="22"/>
          <w:highlight w:val="none"/>
        </w:rPr>
        <w:t>体各</w:t>
      </w:r>
      <w:r>
        <w:rPr>
          <w:rFonts w:hint="eastAsia" w:ascii="新宋体" w:hAnsi="新宋体" w:eastAsia="新宋体" w:cs="新宋体"/>
          <w:color w:val="auto"/>
          <w:spacing w:val="-2"/>
          <w:kern w:val="0"/>
          <w:sz w:val="22"/>
          <w:szCs w:val="22"/>
          <w:highlight w:val="none"/>
        </w:rPr>
        <w:t>方</w:t>
      </w:r>
      <w:r>
        <w:rPr>
          <w:rFonts w:hint="eastAsia" w:ascii="新宋体" w:hAnsi="新宋体" w:eastAsia="新宋体" w:cs="新宋体"/>
          <w:color w:val="auto"/>
          <w:kern w:val="0"/>
          <w:sz w:val="22"/>
          <w:szCs w:val="22"/>
          <w:highlight w:val="none"/>
        </w:rPr>
        <w:t>应</w:t>
      </w:r>
      <w:r>
        <w:rPr>
          <w:rFonts w:hint="eastAsia" w:ascii="新宋体" w:hAnsi="新宋体" w:eastAsia="新宋体" w:cs="新宋体"/>
          <w:color w:val="auto"/>
          <w:spacing w:val="-2"/>
          <w:kern w:val="0"/>
          <w:sz w:val="22"/>
          <w:szCs w:val="22"/>
          <w:highlight w:val="none"/>
        </w:rPr>
        <w:t>当</w:t>
      </w:r>
      <w:r>
        <w:rPr>
          <w:rFonts w:hint="eastAsia" w:ascii="新宋体" w:hAnsi="新宋体" w:eastAsia="新宋体" w:cs="新宋体"/>
          <w:color w:val="auto"/>
          <w:kern w:val="0"/>
          <w:sz w:val="22"/>
          <w:szCs w:val="22"/>
          <w:highlight w:val="none"/>
        </w:rPr>
        <w:t>共</w:t>
      </w:r>
      <w:r>
        <w:rPr>
          <w:rFonts w:hint="eastAsia" w:ascii="新宋体" w:hAnsi="新宋体" w:eastAsia="新宋体" w:cs="新宋体"/>
          <w:color w:val="auto"/>
          <w:spacing w:val="-2"/>
          <w:kern w:val="0"/>
          <w:sz w:val="22"/>
          <w:szCs w:val="22"/>
          <w:highlight w:val="none"/>
        </w:rPr>
        <w:t>同</w:t>
      </w:r>
      <w:r>
        <w:rPr>
          <w:rFonts w:hint="eastAsia" w:ascii="新宋体" w:hAnsi="新宋体" w:eastAsia="新宋体" w:cs="新宋体"/>
          <w:color w:val="auto"/>
          <w:kern w:val="0"/>
          <w:sz w:val="22"/>
          <w:szCs w:val="22"/>
          <w:highlight w:val="none"/>
        </w:rPr>
        <w:t>与</w:t>
      </w:r>
      <w:r>
        <w:rPr>
          <w:rFonts w:hint="eastAsia" w:ascii="新宋体" w:hAnsi="新宋体" w:eastAsia="新宋体" w:cs="新宋体"/>
          <w:color w:val="auto"/>
          <w:spacing w:val="-2"/>
          <w:kern w:val="0"/>
          <w:sz w:val="22"/>
          <w:szCs w:val="22"/>
          <w:highlight w:val="none"/>
        </w:rPr>
        <w:t>采购人</w:t>
      </w:r>
      <w:r>
        <w:rPr>
          <w:rFonts w:hint="eastAsia" w:ascii="新宋体" w:hAnsi="新宋体" w:eastAsia="新宋体" w:cs="新宋体"/>
          <w:color w:val="auto"/>
          <w:kern w:val="0"/>
          <w:sz w:val="22"/>
          <w:szCs w:val="22"/>
          <w:highlight w:val="none"/>
        </w:rPr>
        <w:t>签订</w:t>
      </w:r>
      <w:r>
        <w:rPr>
          <w:rFonts w:hint="eastAsia" w:ascii="新宋体" w:hAnsi="新宋体" w:eastAsia="新宋体" w:cs="新宋体"/>
          <w:color w:val="auto"/>
          <w:spacing w:val="-2"/>
          <w:kern w:val="0"/>
          <w:sz w:val="22"/>
          <w:szCs w:val="22"/>
          <w:highlight w:val="none"/>
        </w:rPr>
        <w:t>合</w:t>
      </w:r>
      <w:r>
        <w:rPr>
          <w:rFonts w:hint="eastAsia" w:ascii="新宋体" w:hAnsi="新宋体" w:eastAsia="新宋体" w:cs="新宋体"/>
          <w:color w:val="auto"/>
          <w:kern w:val="0"/>
          <w:sz w:val="22"/>
          <w:szCs w:val="22"/>
          <w:highlight w:val="none"/>
        </w:rPr>
        <w:t>同</w:t>
      </w:r>
      <w:r>
        <w:rPr>
          <w:rFonts w:hint="eastAsia" w:ascii="新宋体" w:hAnsi="新宋体" w:eastAsia="新宋体" w:cs="新宋体"/>
          <w:color w:val="auto"/>
          <w:spacing w:val="-14"/>
          <w:kern w:val="0"/>
          <w:sz w:val="22"/>
          <w:szCs w:val="22"/>
          <w:highlight w:val="none"/>
        </w:rPr>
        <w:t>，</w:t>
      </w:r>
      <w:r>
        <w:rPr>
          <w:rFonts w:hint="eastAsia" w:ascii="新宋体" w:hAnsi="新宋体" w:eastAsia="新宋体" w:cs="新宋体"/>
          <w:color w:val="auto"/>
          <w:kern w:val="0"/>
          <w:sz w:val="22"/>
          <w:szCs w:val="22"/>
          <w:highlight w:val="none"/>
        </w:rPr>
        <w:t>就</w:t>
      </w:r>
      <w:r>
        <w:rPr>
          <w:rFonts w:hint="eastAsia" w:ascii="新宋体" w:hAnsi="新宋体" w:eastAsia="新宋体" w:cs="新宋体"/>
          <w:color w:val="auto"/>
          <w:spacing w:val="-2"/>
          <w:kern w:val="0"/>
          <w:sz w:val="22"/>
          <w:szCs w:val="22"/>
          <w:highlight w:val="none"/>
        </w:rPr>
        <w:t>中</w:t>
      </w:r>
      <w:r>
        <w:rPr>
          <w:rFonts w:hint="eastAsia" w:ascii="新宋体" w:hAnsi="新宋体" w:eastAsia="新宋体" w:cs="新宋体"/>
          <w:color w:val="auto"/>
          <w:kern w:val="0"/>
          <w:sz w:val="22"/>
          <w:szCs w:val="22"/>
          <w:highlight w:val="none"/>
        </w:rPr>
        <w:t>标</w:t>
      </w:r>
      <w:r>
        <w:rPr>
          <w:rFonts w:hint="eastAsia" w:ascii="新宋体" w:hAnsi="新宋体" w:eastAsia="新宋体" w:cs="新宋体"/>
          <w:color w:val="auto"/>
          <w:spacing w:val="-2"/>
          <w:kern w:val="0"/>
          <w:sz w:val="22"/>
          <w:szCs w:val="22"/>
          <w:highlight w:val="none"/>
        </w:rPr>
        <w:t>项</w:t>
      </w:r>
      <w:r>
        <w:rPr>
          <w:rFonts w:hint="eastAsia" w:ascii="新宋体" w:hAnsi="新宋体" w:eastAsia="新宋体" w:cs="新宋体"/>
          <w:color w:val="auto"/>
          <w:kern w:val="0"/>
          <w:sz w:val="22"/>
          <w:szCs w:val="22"/>
          <w:highlight w:val="none"/>
        </w:rPr>
        <w:t>目</w:t>
      </w:r>
      <w:r>
        <w:rPr>
          <w:rFonts w:hint="eastAsia" w:ascii="新宋体" w:hAnsi="新宋体" w:eastAsia="新宋体" w:cs="新宋体"/>
          <w:color w:val="auto"/>
          <w:spacing w:val="-2"/>
          <w:kern w:val="0"/>
          <w:sz w:val="22"/>
          <w:szCs w:val="22"/>
          <w:highlight w:val="none"/>
        </w:rPr>
        <w:t>向</w:t>
      </w:r>
      <w:r>
        <w:rPr>
          <w:rFonts w:hint="eastAsia" w:ascii="新宋体" w:hAnsi="新宋体" w:eastAsia="新宋体" w:cs="新宋体"/>
          <w:color w:val="auto"/>
          <w:kern w:val="0"/>
          <w:sz w:val="22"/>
          <w:szCs w:val="22"/>
          <w:highlight w:val="none"/>
        </w:rPr>
        <w:t>采购人承</w:t>
      </w:r>
      <w:r>
        <w:rPr>
          <w:rFonts w:hint="eastAsia" w:ascii="新宋体" w:hAnsi="新宋体" w:eastAsia="新宋体" w:cs="新宋体"/>
          <w:color w:val="auto"/>
          <w:spacing w:val="-2"/>
          <w:kern w:val="0"/>
          <w:sz w:val="22"/>
          <w:szCs w:val="22"/>
          <w:highlight w:val="none"/>
        </w:rPr>
        <w:t>担</w:t>
      </w:r>
      <w:r>
        <w:rPr>
          <w:rFonts w:hint="eastAsia" w:ascii="新宋体" w:hAnsi="新宋体" w:eastAsia="新宋体" w:cs="新宋体"/>
          <w:color w:val="auto"/>
          <w:kern w:val="0"/>
          <w:sz w:val="22"/>
          <w:szCs w:val="22"/>
          <w:highlight w:val="none"/>
        </w:rPr>
        <w:t>连带责</w:t>
      </w:r>
      <w:r>
        <w:rPr>
          <w:rFonts w:hint="eastAsia" w:ascii="新宋体" w:hAnsi="新宋体" w:eastAsia="新宋体" w:cs="新宋体"/>
          <w:color w:val="auto"/>
          <w:spacing w:val="-2"/>
          <w:kern w:val="0"/>
          <w:sz w:val="22"/>
          <w:szCs w:val="22"/>
          <w:highlight w:val="none"/>
        </w:rPr>
        <w:t>任</w:t>
      </w:r>
      <w:r>
        <w:rPr>
          <w:rFonts w:hint="eastAsia" w:ascii="新宋体" w:hAnsi="新宋体" w:eastAsia="新宋体" w:cs="新宋体"/>
          <w:color w:val="auto"/>
          <w:kern w:val="0"/>
          <w:sz w:val="22"/>
          <w:szCs w:val="22"/>
          <w:highlight w:val="none"/>
        </w:rPr>
        <w:t>。</w:t>
      </w:r>
    </w:p>
    <w:p w14:paraId="378D5BF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30.4中标合同将在招标公告指定媒体上公告，但合同中涉及国家秘密、商业秘密的内容除外。</w:t>
      </w:r>
    </w:p>
    <w:p w14:paraId="2E46A89B">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color w:val="auto"/>
          <w:sz w:val="22"/>
          <w:szCs w:val="22"/>
          <w:highlight w:val="none"/>
        </w:rPr>
        <w:t>30.5中标人</w:t>
      </w:r>
      <w:r>
        <w:rPr>
          <w:rFonts w:hint="eastAsia" w:ascii="新宋体" w:hAnsi="新宋体" w:eastAsia="新宋体" w:cs="新宋体"/>
          <w:bCs/>
          <w:color w:val="auto"/>
          <w:sz w:val="22"/>
          <w:szCs w:val="22"/>
          <w:highlight w:val="none"/>
        </w:rPr>
        <w:t>应当按照合同约定依法履行合同义务。政府采购合同的履行、违约责任和解决争议的方法等适用《中华人民共和国民法典》。</w:t>
      </w:r>
    </w:p>
    <w:p w14:paraId="4066F368">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color w:val="auto"/>
          <w:kern w:val="0"/>
          <w:sz w:val="22"/>
          <w:szCs w:val="22"/>
          <w:highlight w:val="none"/>
        </w:rPr>
      </w:pPr>
      <w:r>
        <w:rPr>
          <w:rFonts w:hint="eastAsia" w:ascii="新宋体" w:hAnsi="新宋体" w:eastAsia="新宋体" w:cs="新宋体"/>
          <w:b/>
          <w:bCs/>
          <w:color w:val="auto"/>
          <w:sz w:val="22"/>
          <w:szCs w:val="22"/>
          <w:highlight w:val="none"/>
        </w:rPr>
        <w:t>31.</w:t>
      </w:r>
      <w:r>
        <w:rPr>
          <w:rFonts w:hint="eastAsia" w:ascii="新宋体" w:hAnsi="新宋体" w:eastAsia="新宋体" w:cs="新宋体"/>
          <w:b/>
          <w:color w:val="auto"/>
          <w:kern w:val="0"/>
          <w:sz w:val="22"/>
          <w:szCs w:val="22"/>
          <w:highlight w:val="none"/>
        </w:rPr>
        <w:t xml:space="preserve"> 履约担保</w:t>
      </w:r>
    </w:p>
    <w:p w14:paraId="6F42C74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rPr>
        <w:t>31.1</w:t>
      </w:r>
      <w:r>
        <w:rPr>
          <w:rFonts w:hint="eastAsia" w:ascii="新宋体" w:hAnsi="新宋体" w:eastAsia="新宋体" w:cs="新宋体"/>
          <w:color w:val="auto"/>
          <w:sz w:val="22"/>
          <w:szCs w:val="22"/>
          <w:highlight w:val="none"/>
        </w:rPr>
        <w:t>招标文件要求中标人向采购人提交履约担保的，中标人应按照</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的规定提交，</w:t>
      </w:r>
      <w:r>
        <w:rPr>
          <w:rFonts w:hint="eastAsia" w:ascii="新宋体" w:hAnsi="新宋体" w:eastAsia="新宋体" w:cs="新宋体"/>
          <w:bCs/>
          <w:color w:val="auto"/>
          <w:sz w:val="22"/>
          <w:szCs w:val="22"/>
          <w:highlight w:val="none"/>
        </w:rPr>
        <w:t>投标人可以保函、电子增信替代履约担保。</w:t>
      </w:r>
      <w:r>
        <w:rPr>
          <w:rFonts w:hint="eastAsia" w:ascii="新宋体" w:hAnsi="新宋体" w:eastAsia="新宋体" w:cs="新宋体"/>
          <w:color w:val="auto"/>
          <w:sz w:val="22"/>
          <w:szCs w:val="22"/>
          <w:highlight w:val="none"/>
        </w:rPr>
        <w:t>联合体中标的，履约担保由联合体各方或联合体中牵头人的名义提交。</w:t>
      </w:r>
    </w:p>
    <w:p w14:paraId="733ACC88">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31.2中标人</w:t>
      </w:r>
      <w:r>
        <w:rPr>
          <w:rFonts w:hint="eastAsia" w:ascii="新宋体" w:hAnsi="新宋体" w:eastAsia="新宋体" w:cs="新宋体"/>
          <w:color w:val="auto"/>
          <w:spacing w:val="4"/>
          <w:sz w:val="22"/>
          <w:szCs w:val="22"/>
          <w:highlight w:val="none"/>
        </w:rPr>
        <w:t>没有按照本章第31.1</w:t>
      </w:r>
      <w:r>
        <w:rPr>
          <w:rFonts w:hint="eastAsia" w:ascii="新宋体" w:hAnsi="新宋体" w:eastAsia="新宋体" w:cs="新宋体"/>
          <w:color w:val="auto"/>
          <w:kern w:val="0"/>
          <w:sz w:val="22"/>
          <w:szCs w:val="22"/>
          <w:highlight w:val="none"/>
          <w:lang w:val="zh-CN"/>
        </w:rPr>
        <w:t>款</w:t>
      </w:r>
      <w:r>
        <w:rPr>
          <w:rFonts w:hint="eastAsia" w:ascii="新宋体" w:hAnsi="新宋体" w:eastAsia="新宋体" w:cs="新宋体"/>
          <w:color w:val="auto"/>
          <w:spacing w:val="4"/>
          <w:sz w:val="22"/>
          <w:szCs w:val="22"/>
          <w:highlight w:val="none"/>
        </w:rPr>
        <w:t>规定</w:t>
      </w:r>
      <w:r>
        <w:rPr>
          <w:rFonts w:hint="eastAsia" w:ascii="新宋体" w:hAnsi="新宋体" w:eastAsia="新宋体" w:cs="新宋体"/>
          <w:color w:val="auto"/>
          <w:sz w:val="22"/>
          <w:szCs w:val="22"/>
          <w:highlight w:val="none"/>
        </w:rPr>
        <w:t>提交履约担保的</w:t>
      </w:r>
      <w:r>
        <w:rPr>
          <w:rFonts w:hint="eastAsia" w:ascii="新宋体" w:hAnsi="新宋体" w:eastAsia="新宋体" w:cs="新宋体"/>
          <w:color w:val="auto"/>
          <w:spacing w:val="4"/>
          <w:sz w:val="22"/>
          <w:szCs w:val="22"/>
          <w:highlight w:val="none"/>
        </w:rPr>
        <w:t>，视为</w:t>
      </w:r>
      <w:r>
        <w:rPr>
          <w:rFonts w:hint="eastAsia" w:ascii="新宋体" w:hAnsi="新宋体" w:eastAsia="新宋体" w:cs="新宋体"/>
          <w:b/>
          <w:color w:val="auto"/>
          <w:spacing w:val="4"/>
          <w:sz w:val="22"/>
          <w:szCs w:val="22"/>
          <w:highlight w:val="none"/>
        </w:rPr>
        <w:t>放弃中标</w:t>
      </w:r>
      <w:r>
        <w:rPr>
          <w:rFonts w:hint="eastAsia" w:ascii="新宋体" w:hAnsi="新宋体" w:eastAsia="新宋体" w:cs="新宋体"/>
          <w:color w:val="auto"/>
          <w:spacing w:val="4"/>
          <w:sz w:val="22"/>
          <w:szCs w:val="22"/>
          <w:highlight w:val="none"/>
        </w:rPr>
        <w:t>，</w:t>
      </w:r>
      <w:r>
        <w:rPr>
          <w:rFonts w:hint="eastAsia" w:ascii="新宋体" w:hAnsi="新宋体" w:eastAsia="新宋体" w:cs="新宋体"/>
          <w:color w:val="auto"/>
          <w:spacing w:val="2"/>
          <w:sz w:val="22"/>
          <w:szCs w:val="22"/>
          <w:highlight w:val="none"/>
        </w:rPr>
        <w:t>其投标保证金不予退还。</w:t>
      </w:r>
    </w:p>
    <w:p w14:paraId="58C47967">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32.</w:t>
      </w:r>
      <w:r>
        <w:rPr>
          <w:rFonts w:hint="eastAsia" w:ascii="新宋体" w:hAnsi="新宋体" w:eastAsia="新宋体" w:cs="新宋体"/>
          <w:b/>
          <w:color w:val="auto"/>
          <w:sz w:val="22"/>
          <w:szCs w:val="22"/>
          <w:highlight w:val="none"/>
        </w:rPr>
        <w:t xml:space="preserve"> 政府采购合同履行中</w:t>
      </w:r>
      <w:r>
        <w:rPr>
          <w:rFonts w:hint="eastAsia" w:ascii="新宋体" w:hAnsi="新宋体" w:eastAsia="新宋体" w:cs="新宋体"/>
          <w:b/>
          <w:bCs/>
          <w:color w:val="auto"/>
          <w:sz w:val="22"/>
          <w:szCs w:val="22"/>
          <w:highlight w:val="none"/>
        </w:rPr>
        <w:t>数量的变更</w:t>
      </w:r>
    </w:p>
    <w:p w14:paraId="6632330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36F591BA">
      <w:pPr>
        <w:keepNext w:val="0"/>
        <w:keepLines w:val="0"/>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outlineLvl w:val="9"/>
        <w:rPr>
          <w:rFonts w:hint="eastAsia" w:ascii="新宋体" w:hAnsi="新宋体" w:eastAsia="新宋体" w:cs="新宋体"/>
          <w:b/>
          <w:bCs/>
          <w:color w:val="auto"/>
          <w:sz w:val="22"/>
          <w:szCs w:val="22"/>
          <w:highlight w:val="none"/>
        </w:rPr>
      </w:pPr>
      <w:bookmarkStart w:id="50" w:name="_Toc23509"/>
      <w:bookmarkStart w:id="51" w:name="_Toc4632"/>
      <w:r>
        <w:rPr>
          <w:rFonts w:hint="eastAsia" w:ascii="新宋体" w:hAnsi="新宋体" w:eastAsia="新宋体" w:cs="新宋体"/>
          <w:b/>
          <w:bCs/>
          <w:color w:val="auto"/>
          <w:sz w:val="22"/>
          <w:szCs w:val="22"/>
          <w:highlight w:val="none"/>
        </w:rPr>
        <w:t>八、政府采购政策</w:t>
      </w:r>
      <w:bookmarkEnd w:id="50"/>
      <w:bookmarkEnd w:id="51"/>
    </w:p>
    <w:p w14:paraId="1B4535A7">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bCs/>
          <w:color w:val="auto"/>
          <w:sz w:val="22"/>
          <w:szCs w:val="22"/>
          <w:highlight w:val="none"/>
        </w:rPr>
        <w:t>33.</w:t>
      </w:r>
      <w:r>
        <w:rPr>
          <w:rFonts w:hint="eastAsia" w:ascii="新宋体" w:hAnsi="新宋体" w:eastAsia="新宋体" w:cs="新宋体"/>
          <w:color w:val="auto"/>
          <w:sz w:val="22"/>
          <w:szCs w:val="22"/>
          <w:highlight w:val="none"/>
        </w:rPr>
        <w:t xml:space="preserve"> </w:t>
      </w:r>
      <w:r>
        <w:rPr>
          <w:rFonts w:hint="eastAsia" w:ascii="新宋体" w:hAnsi="新宋体" w:eastAsia="新宋体" w:cs="新宋体"/>
          <w:b/>
          <w:color w:val="auto"/>
          <w:sz w:val="22"/>
          <w:szCs w:val="22"/>
          <w:highlight w:val="none"/>
        </w:rPr>
        <w:t>政府采购政策</w:t>
      </w:r>
    </w:p>
    <w:p w14:paraId="086DCB88">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33.1优先采购：</w:t>
      </w:r>
    </w:p>
    <w:p w14:paraId="47456C6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 xml:space="preserve">（1）纳入财政部会同国务院有关部门发布的节能产品、环境标志产品政府采购品目清单，实施政府优先采购的，评审时按招标文件第四章第一节有关规定对该部分产品给予一定比例的价格折扣或者加分； </w:t>
      </w:r>
    </w:p>
    <w:p w14:paraId="5C41EE5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33.2强制采购：</w:t>
      </w:r>
    </w:p>
    <w:p w14:paraId="4F8548A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（1）纳入财政部会同国务院有关部门发布的节能产品政府采购品目清单，实施政府强制采购的（品目清单标注</w:t>
      </w:r>
      <w:r>
        <w:rPr>
          <w:rFonts w:hint="eastAsia" w:ascii="新宋体" w:hAnsi="新宋体" w:eastAsia="新宋体" w:cs="新宋体"/>
          <w:color w:val="auto"/>
          <w:kern w:val="0"/>
          <w:sz w:val="22"/>
          <w:szCs w:val="22"/>
          <w:highlight w:val="none"/>
        </w:rPr>
        <w:sym w:font="Wingdings" w:char="F0AB"/>
      </w:r>
      <w:r>
        <w:rPr>
          <w:rFonts w:hint="eastAsia" w:ascii="新宋体" w:hAnsi="新宋体" w:eastAsia="新宋体" w:cs="新宋体"/>
          <w:color w:val="auto"/>
          <w:kern w:val="0"/>
          <w:sz w:val="22"/>
          <w:szCs w:val="22"/>
          <w:highlight w:val="none"/>
        </w:rPr>
        <w:t>符号产品），投标人投标产品应当取得国家确定的认证机构出具的、处于有效期之内的节能产品认证证书，否则其</w:t>
      </w:r>
      <w:r>
        <w:rPr>
          <w:rFonts w:hint="eastAsia" w:ascii="新宋体" w:hAnsi="新宋体" w:eastAsia="新宋体" w:cs="新宋体"/>
          <w:b/>
          <w:color w:val="auto"/>
          <w:kern w:val="0"/>
          <w:sz w:val="22"/>
          <w:szCs w:val="22"/>
          <w:highlight w:val="none"/>
        </w:rPr>
        <w:t>投标无效</w:t>
      </w:r>
      <w:r>
        <w:rPr>
          <w:rFonts w:hint="eastAsia" w:ascii="新宋体" w:hAnsi="新宋体" w:eastAsia="新宋体" w:cs="新宋体"/>
          <w:color w:val="auto"/>
          <w:kern w:val="0"/>
          <w:sz w:val="22"/>
          <w:szCs w:val="22"/>
          <w:highlight w:val="none"/>
        </w:rPr>
        <w:t>。</w:t>
      </w:r>
    </w:p>
    <w:p w14:paraId="0C191A1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33.3价格评审优惠：</w:t>
      </w:r>
    </w:p>
    <w:p w14:paraId="19A760A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（1）在政府采购活动中，供应商提供的货物、工程或者服务符合下列情形的：</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一</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rPr>
        <w:t>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w:t>
      </w:r>
      <w:r>
        <w:rPr>
          <w:rFonts w:hint="eastAsia" w:ascii="新宋体" w:hAnsi="新宋体" w:eastAsia="新宋体" w:cs="新宋体"/>
          <w:color w:val="auto"/>
          <w:sz w:val="22"/>
          <w:szCs w:val="22"/>
          <w:highlight w:val="none"/>
          <w:lang w:val="en-US" w:eastAsia="zh-CN"/>
        </w:rPr>
        <w:t>劳动合同法</w:t>
      </w:r>
      <w:r>
        <w:rPr>
          <w:rFonts w:hint="eastAsia" w:ascii="新宋体" w:hAnsi="新宋体" w:eastAsia="新宋体" w:cs="新宋体"/>
          <w:color w:val="auto"/>
          <w:sz w:val="22"/>
          <w:szCs w:val="22"/>
          <w:highlight w:val="none"/>
        </w:rPr>
        <w:t>》订立劳动合同的从业人员</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rPr>
        <w:t>给予一定比例的价格折扣，用扣除后的价格参与评审；</w:t>
      </w:r>
    </w:p>
    <w:p w14:paraId="140FDA2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0014D6E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14:paraId="5852B0F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（3）符合中小企业划分标准的个体工商户视同中小企业，享受评审中价格扣除等促进中小企业发展的政府采购政策。</w:t>
      </w:r>
    </w:p>
    <w:p w14:paraId="67482D1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（4）监狱企业、残疾人福利性单位视同小型、微型企业，享受评审中价格扣除等促进中小企业发展的政府采购政策。</w:t>
      </w:r>
    </w:p>
    <w:p w14:paraId="788A8EF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 xml:space="preserve">（5）与大企业的负责人为同一人，或者与大企业存在直接控股、管理关系的中小企业，不享受评审中价格扣除等促进中小企业发展的政府采购政策。 </w:t>
      </w:r>
    </w:p>
    <w:p w14:paraId="5DB802DD">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（6）本章第1.2款规定采购项目或者采购包属于“预留采购份额”的，预留部分不再享受本款“价格评审优惠”的小微企业扶持政策。</w:t>
      </w:r>
    </w:p>
    <w:p w14:paraId="5C9008D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33.4政府采购政策交叉与叠加</w:t>
      </w:r>
    </w:p>
    <w:p w14:paraId="2439BEFF">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（1）投标产品取得两个及以上优先采购产品认证的，评审时只有其中一项产品能享受优先采购优惠（投标人自行选择，并在投标文件中并填报相关信息及数据）</w:t>
      </w:r>
    </w:p>
    <w:p w14:paraId="4D8F695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（2）投标人同时符合小型、微型企业及监狱企业、残疾人福利性单位要求的，评审时只有一种类型享受价格评审优惠政策；</w:t>
      </w:r>
    </w:p>
    <w:p w14:paraId="42EAEF0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（3）小型和微型企业的价格评审优惠可以与同时属于“节能产品”及“环境标志产品”中的一项优先采购优惠累加计算。</w:t>
      </w:r>
    </w:p>
    <w:p w14:paraId="1837E97D">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33.5在货物采购项目中，供应商提供的货物既有中小企业制造货物，也有大型企业制造货物的，不享受政府采购中小企业扶持政策。</w:t>
      </w:r>
    </w:p>
    <w:p w14:paraId="46F5383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33.6投标人符合本章第33.1款、第33.2款、第33.3款规定的，应提供相关证明资料。</w:t>
      </w:r>
    </w:p>
    <w:p w14:paraId="339F1F1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（1）节能产品、环境标志产品：提供国家确定的认证机构出具的、处于有效期之内的节能产品、环境标志产品认证证书。</w:t>
      </w:r>
    </w:p>
    <w:p w14:paraId="299C0A0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（2）中小企业：</w:t>
      </w:r>
      <w:r>
        <w:rPr>
          <w:rFonts w:hint="eastAsia" w:ascii="新宋体" w:hAnsi="新宋体" w:eastAsia="新宋体" w:cs="新宋体"/>
          <w:color w:val="auto"/>
          <w:sz w:val="22"/>
          <w:szCs w:val="22"/>
          <w:highlight w:val="none"/>
          <w:lang w:val="en-US" w:eastAsia="zh-CN"/>
        </w:rPr>
        <w:t>货物类采购项目，</w:t>
      </w:r>
      <w:r>
        <w:rPr>
          <w:rFonts w:hint="eastAsia" w:ascii="新宋体" w:hAnsi="新宋体" w:eastAsia="新宋体" w:cs="新宋体"/>
          <w:color w:val="auto"/>
          <w:sz w:val="22"/>
          <w:szCs w:val="22"/>
          <w:highlight w:val="none"/>
        </w:rPr>
        <w:t>按《关于印发＜政府采购促进中小企业发展办法＞的通知》(财库[2020]46号) 和《关于印发中小企业划型标准规定的通知》（工信部联企业〔2011〕300号）文件规定提供中小企业声明函（格式）</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服务类采购项目，按《湖南省财政厅关于政府采购促进中小企业发展的有关措施的通知》（湘财购[2022]17号）文件规定提供湖南省政府采购供应商资格承诺函（格式）</w:t>
      </w:r>
      <w:r>
        <w:rPr>
          <w:rFonts w:hint="eastAsia" w:ascii="新宋体" w:hAnsi="新宋体" w:eastAsia="新宋体" w:cs="新宋体"/>
          <w:color w:val="auto"/>
          <w:sz w:val="22"/>
          <w:szCs w:val="22"/>
          <w:highlight w:val="none"/>
        </w:rPr>
        <w:t>。</w:t>
      </w:r>
    </w:p>
    <w:p w14:paraId="4A2A8C76">
      <w:pPr>
        <w:pStyle w:val="31"/>
        <w:keepNext w:val="0"/>
        <w:keepLines w:val="0"/>
        <w:pageBreakBefore w:val="0"/>
        <w:widowControl w:val="0"/>
        <w:kinsoku/>
        <w:wordWrap/>
        <w:overflowPunct/>
        <w:topLinePunct w:val="0"/>
        <w:autoSpaceDE/>
        <w:autoSpaceDN/>
        <w:bidi w:val="0"/>
        <w:spacing w:line="400" w:lineRule="exac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（4）监狱企业：按《关于政府采购支持监狱企业发展有关问题的通知》(财库〔2014〕68号)文件规定提供证明文件。</w:t>
      </w:r>
    </w:p>
    <w:p w14:paraId="7EB1B2ED">
      <w:pPr>
        <w:pStyle w:val="31"/>
        <w:keepNext w:val="0"/>
        <w:keepLines w:val="0"/>
        <w:pageBreakBefore w:val="0"/>
        <w:widowControl w:val="0"/>
        <w:kinsoku/>
        <w:wordWrap/>
        <w:overflowPunct/>
        <w:topLinePunct w:val="0"/>
        <w:autoSpaceDE/>
        <w:autoSpaceDN/>
        <w:bidi w:val="0"/>
        <w:spacing w:line="400" w:lineRule="exac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（5）残疾人福利性单位：按《关于促进残疾人就业政府采购政策的通知》(财库〔2017〕141号)文件规定提供《残疾人福利性单位声明函》（格式）。</w:t>
      </w:r>
    </w:p>
    <w:p w14:paraId="32F7F660">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33.7执行中小企业预留采购份额政策的规定：</w:t>
      </w:r>
    </w:p>
    <w:p w14:paraId="517962B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（1）预留份额的采购项目或者采购包，应明确该项目或相关采购包专门面向中小企业采购，并作为供应商资格条件。</w:t>
      </w:r>
    </w:p>
    <w:p w14:paraId="55703AE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（2）要求以联合体形式参加或者合同分包的，应明确联合协议或者分包意向协议中中小企业合同金额应当达到的比例，并作为供应商资格条件。</w:t>
      </w:r>
    </w:p>
    <w:p w14:paraId="2E8863C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（3）组成联合体或者接受分包合同的中小企业与联合体内其他企业(成员)、分包企业(投标人)之间不得存在直接控股、管理关系。</w:t>
      </w:r>
    </w:p>
    <w:p w14:paraId="56D2921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rPr>
        <w:t>33.8</w:t>
      </w:r>
      <w:r>
        <w:rPr>
          <w:rFonts w:hint="eastAsia" w:ascii="新宋体" w:hAnsi="新宋体" w:eastAsia="新宋体" w:cs="新宋体"/>
          <w:color w:val="auto"/>
          <w:sz w:val="22"/>
          <w:szCs w:val="22"/>
          <w:highlight w:val="none"/>
          <w:lang w:val="en-US" w:eastAsia="zh-CN"/>
        </w:rPr>
        <w:t>采购进口产品</w:t>
      </w:r>
    </w:p>
    <w:p w14:paraId="21511D9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rPr>
        <w:t>进口产品是指符合《政府采购进口产品管理办法》（财库〔2007〕119号）和《关于政府采购进口产品管理有关问题的通知》（财办库〔2008〕248号）文件规定的产品。除</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kern w:val="0"/>
          <w:sz w:val="22"/>
          <w:szCs w:val="22"/>
          <w:highlight w:val="none"/>
        </w:rPr>
        <w:t>另有规定外，采购项目</w:t>
      </w:r>
      <w:r>
        <w:rPr>
          <w:rFonts w:hint="eastAsia" w:ascii="新宋体" w:hAnsi="新宋体" w:eastAsia="新宋体" w:cs="新宋体"/>
          <w:b/>
          <w:color w:val="auto"/>
          <w:kern w:val="0"/>
          <w:sz w:val="22"/>
          <w:szCs w:val="22"/>
          <w:highlight w:val="none"/>
        </w:rPr>
        <w:t>拒绝进口产品参加投标</w:t>
      </w:r>
      <w:r>
        <w:rPr>
          <w:rFonts w:hint="eastAsia" w:ascii="新宋体" w:hAnsi="新宋体" w:eastAsia="新宋体" w:cs="新宋体"/>
          <w:color w:val="auto"/>
          <w:kern w:val="0"/>
          <w:sz w:val="22"/>
          <w:szCs w:val="22"/>
          <w:highlight w:val="none"/>
        </w:rPr>
        <w:t>。本款规定同意购买进口产品的，不限制满足招标文件要求的国内产品参与投标竞争。</w:t>
      </w:r>
    </w:p>
    <w:p w14:paraId="4F25E36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lang w:val="en-US" w:eastAsia="zh-CN"/>
        </w:rPr>
        <w:t>33.9</w:t>
      </w:r>
      <w:r>
        <w:rPr>
          <w:rFonts w:hint="eastAsia" w:ascii="新宋体" w:hAnsi="新宋体" w:eastAsia="新宋体" w:cs="新宋体"/>
          <w:color w:val="auto"/>
          <w:sz w:val="22"/>
          <w:szCs w:val="22"/>
          <w:highlight w:val="none"/>
        </w:rPr>
        <w:t>投标人有融资、担保需求的，可登陆中国湖南政府采购网查询相关银行、担保机构业务。</w:t>
      </w:r>
    </w:p>
    <w:p w14:paraId="7DD420F4">
      <w:pPr>
        <w:keepNext w:val="0"/>
        <w:keepLines w:val="0"/>
        <w:pageBreakBefore w:val="0"/>
        <w:widowControl w:val="0"/>
        <w:kinsoku/>
        <w:wordWrap/>
        <w:overflowPunct/>
        <w:topLinePunct w:val="0"/>
        <w:autoSpaceDE/>
        <w:autoSpaceDN/>
        <w:bidi w:val="0"/>
        <w:adjustRightInd w:val="0"/>
        <w:snapToGrid w:val="0"/>
        <w:spacing w:before="156" w:beforeLines="50" w:after="0" w:line="360" w:lineRule="auto"/>
        <w:jc w:val="center"/>
        <w:textAlignment w:val="auto"/>
        <w:outlineLvl w:val="9"/>
        <w:rPr>
          <w:rFonts w:hint="eastAsia" w:ascii="新宋体" w:hAnsi="新宋体" w:eastAsia="新宋体" w:cs="新宋体"/>
          <w:b/>
          <w:bCs/>
          <w:color w:val="auto"/>
          <w:sz w:val="22"/>
          <w:szCs w:val="22"/>
          <w:highlight w:val="none"/>
        </w:rPr>
      </w:pPr>
      <w:bookmarkStart w:id="52" w:name="_Toc13312"/>
      <w:bookmarkStart w:id="53" w:name="_Toc30196"/>
      <w:r>
        <w:rPr>
          <w:rFonts w:hint="eastAsia" w:ascii="新宋体" w:hAnsi="新宋体" w:eastAsia="新宋体" w:cs="新宋体"/>
          <w:b/>
          <w:bCs/>
          <w:color w:val="auto"/>
          <w:sz w:val="22"/>
          <w:szCs w:val="22"/>
          <w:highlight w:val="none"/>
        </w:rPr>
        <w:t>九、其他规定</w:t>
      </w:r>
      <w:bookmarkEnd w:id="52"/>
      <w:bookmarkEnd w:id="53"/>
    </w:p>
    <w:p w14:paraId="3F5E16E2">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bCs/>
          <w:color w:val="auto"/>
          <w:sz w:val="22"/>
          <w:szCs w:val="22"/>
          <w:highlight w:val="none"/>
        </w:rPr>
        <w:t>34.</w:t>
      </w:r>
      <w:r>
        <w:rPr>
          <w:rFonts w:hint="eastAsia" w:ascii="新宋体" w:hAnsi="新宋体" w:eastAsia="新宋体" w:cs="新宋体"/>
          <w:color w:val="auto"/>
          <w:sz w:val="22"/>
          <w:szCs w:val="22"/>
          <w:highlight w:val="none"/>
        </w:rPr>
        <w:t xml:space="preserve"> </w:t>
      </w:r>
      <w:r>
        <w:rPr>
          <w:rFonts w:hint="eastAsia" w:ascii="新宋体" w:hAnsi="新宋体" w:eastAsia="新宋体" w:cs="新宋体"/>
          <w:b/>
          <w:color w:val="auto"/>
          <w:sz w:val="22"/>
          <w:szCs w:val="22"/>
          <w:highlight w:val="none"/>
        </w:rPr>
        <w:t>招标不足三家处理</w:t>
      </w:r>
    </w:p>
    <w:p w14:paraId="45245BA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34.1公开招标数额标准以上的采购项目，投标截止后投标人不足3家或者通过资格审查或符合性审查的投标人不足3家的，除采购任务取消情形外，按照以下方式处理：</w:t>
      </w:r>
    </w:p>
    <w:p w14:paraId="54E1689F">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（1）招标文件存在不合理条款或者招标程序不符合规定的，采购人、采购代理机构改正后依法重新招标；</w:t>
      </w:r>
    </w:p>
    <w:p w14:paraId="54FEA41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（2）招标文件没有不合理条款、招标程序符合规定，需要采用其他采购方式采购的，采购人应当依法报财政部门批准。</w:t>
      </w:r>
    </w:p>
    <w:p w14:paraId="7771CC1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34.2属上款第（2）项情形的，评标委员会应出具的招标文件没有不合理条款的论证意见。</w:t>
      </w:r>
    </w:p>
    <w:p w14:paraId="0373634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bCs/>
          <w:color w:val="auto"/>
          <w:sz w:val="22"/>
          <w:szCs w:val="22"/>
          <w:highlight w:val="none"/>
        </w:rPr>
        <w:t>35.</w:t>
      </w:r>
      <w:r>
        <w:rPr>
          <w:rFonts w:hint="eastAsia" w:ascii="新宋体" w:hAnsi="新宋体" w:eastAsia="新宋体" w:cs="新宋体"/>
          <w:b/>
          <w:color w:val="auto"/>
          <w:sz w:val="22"/>
          <w:szCs w:val="22"/>
          <w:highlight w:val="none"/>
        </w:rPr>
        <w:t xml:space="preserve"> 需要补充的其他内容</w:t>
      </w:r>
    </w:p>
    <w:p w14:paraId="2D6FECBB">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35.1合同价款支付</w:t>
      </w:r>
    </w:p>
    <w:p w14:paraId="6DF9378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（1）招标文件</w:t>
      </w:r>
      <w:r>
        <w:rPr>
          <w:rFonts w:hint="eastAsia" w:ascii="新宋体" w:hAnsi="新宋体" w:eastAsia="新宋体" w:cs="新宋体"/>
          <w:bCs/>
          <w:color w:val="auto"/>
          <w:sz w:val="22"/>
          <w:szCs w:val="22"/>
          <w:highlight w:val="none"/>
        </w:rPr>
        <w:t>规定支付合同预付款的，采购人应按</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bCs/>
          <w:color w:val="auto"/>
          <w:sz w:val="22"/>
          <w:szCs w:val="22"/>
          <w:highlight w:val="none"/>
        </w:rPr>
        <w:t>规定的支付比例和支付条件向符合要求的中标供应商及时支付相应款项，并在政府采购合同中进行明确。</w:t>
      </w:r>
    </w:p>
    <w:p w14:paraId="3BF9FDE0">
      <w:pPr>
        <w:pStyle w:val="31"/>
        <w:keepNext w:val="0"/>
        <w:keepLines w:val="0"/>
        <w:pageBreakBefore w:val="0"/>
        <w:widowControl w:val="0"/>
        <w:kinsoku/>
        <w:wordWrap/>
        <w:overflowPunct/>
        <w:topLinePunct w:val="0"/>
        <w:autoSpaceDE/>
        <w:autoSpaceDN/>
        <w:bidi w:val="0"/>
        <w:spacing w:line="400" w:lineRule="exac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color w:val="auto"/>
          <w:sz w:val="22"/>
          <w:szCs w:val="22"/>
          <w:highlight w:val="none"/>
        </w:rPr>
        <w:t>（2）招标文件</w:t>
      </w:r>
      <w:r>
        <w:rPr>
          <w:rFonts w:hint="eastAsia" w:ascii="新宋体" w:hAnsi="新宋体" w:eastAsia="新宋体" w:cs="新宋体"/>
          <w:bCs/>
          <w:color w:val="auto"/>
          <w:sz w:val="22"/>
          <w:szCs w:val="22"/>
          <w:highlight w:val="none"/>
        </w:rPr>
        <w:t>规定需提交质量保证金的，采购人可以按</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bCs/>
          <w:color w:val="auto"/>
          <w:sz w:val="22"/>
          <w:szCs w:val="22"/>
          <w:highlight w:val="none"/>
        </w:rPr>
        <w:t>规定要求中标供应商提交质量保证金，并在政府采购合同中进行明确。</w:t>
      </w:r>
    </w:p>
    <w:p w14:paraId="57B6FBBB">
      <w:pPr>
        <w:pStyle w:val="31"/>
        <w:keepNext w:val="0"/>
        <w:keepLines w:val="0"/>
        <w:pageBreakBefore w:val="0"/>
        <w:widowControl w:val="0"/>
        <w:kinsoku/>
        <w:wordWrap/>
        <w:overflowPunct/>
        <w:topLinePunct w:val="0"/>
        <w:autoSpaceDE/>
        <w:autoSpaceDN/>
        <w:bidi w:val="0"/>
        <w:spacing w:line="400" w:lineRule="exac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（3）投标人可以保函、电子增信替代预付款担保、质量保证金。</w:t>
      </w:r>
    </w:p>
    <w:p w14:paraId="755B946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 w:val="22"/>
          <w:szCs w:val="22"/>
          <w:highlight w:val="none"/>
        </w:rPr>
        <w:t>35.2招标文件需要补充的其他内容见</w:t>
      </w:r>
      <w:r>
        <w:rPr>
          <w:rFonts w:hint="eastAsia" w:ascii="新宋体" w:hAnsi="新宋体" w:eastAsia="新宋体" w:cs="新宋体"/>
          <w:b/>
          <w:color w:val="auto"/>
          <w:sz w:val="22"/>
          <w:szCs w:val="22"/>
          <w:highlight w:val="none"/>
        </w:rPr>
        <w:t>【投标须知前附表】</w:t>
      </w:r>
      <w:r>
        <w:rPr>
          <w:rFonts w:hint="eastAsia" w:ascii="新宋体" w:hAnsi="新宋体" w:eastAsia="新宋体" w:cs="新宋体"/>
          <w:color w:val="auto"/>
          <w:sz w:val="22"/>
          <w:szCs w:val="22"/>
          <w:highlight w:val="none"/>
        </w:rPr>
        <w:t>。</w:t>
      </w:r>
    </w:p>
    <w:p w14:paraId="74C85AD8">
      <w:pPr>
        <w:pStyle w:val="14"/>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新宋体" w:hAnsi="新宋体" w:eastAsia="新宋体" w:cs="新宋体"/>
          <w:color w:val="auto"/>
          <w:sz w:val="32"/>
          <w:szCs w:val="32"/>
          <w:highlight w:val="none"/>
        </w:rPr>
      </w:pPr>
      <w:r>
        <w:rPr>
          <w:rFonts w:hint="eastAsia" w:ascii="新宋体" w:hAnsi="新宋体" w:eastAsia="新宋体" w:cs="新宋体"/>
          <w:color w:val="auto"/>
          <w:highlight w:val="none"/>
        </w:rPr>
        <w:br w:type="page"/>
      </w:r>
      <w:bookmarkStart w:id="54" w:name="_Toc22102"/>
      <w:bookmarkStart w:id="55" w:name="_Toc30313"/>
      <w:bookmarkStart w:id="56" w:name="_Toc6617"/>
      <w:bookmarkStart w:id="57" w:name="_Toc21883"/>
      <w:bookmarkStart w:id="58" w:name="_Toc18294"/>
      <w:bookmarkStart w:id="59" w:name="_Toc4585"/>
      <w:bookmarkStart w:id="60" w:name="_Toc19785"/>
      <w:r>
        <w:rPr>
          <w:rFonts w:hint="eastAsia" w:ascii="新宋体" w:hAnsi="新宋体" w:eastAsia="新宋体" w:cs="新宋体"/>
          <w:b/>
          <w:bCs/>
          <w:color w:val="auto"/>
          <w:sz w:val="32"/>
          <w:szCs w:val="32"/>
          <w:highlight w:val="none"/>
        </w:rPr>
        <w:t>第三</w:t>
      </w:r>
      <w:r>
        <w:rPr>
          <w:rFonts w:hint="eastAsia" w:ascii="新宋体" w:hAnsi="新宋体" w:eastAsia="新宋体" w:cs="新宋体"/>
          <w:b/>
          <w:bCs/>
          <w:color w:val="auto"/>
          <w:sz w:val="32"/>
          <w:szCs w:val="32"/>
          <w:highlight w:val="none"/>
          <w:lang w:eastAsia="zh-CN"/>
        </w:rPr>
        <w:t>章</w:t>
      </w:r>
      <w:r>
        <w:rPr>
          <w:rFonts w:hint="eastAsia" w:ascii="新宋体" w:hAnsi="新宋体" w:eastAsia="新宋体" w:cs="新宋体"/>
          <w:b/>
          <w:bCs/>
          <w:color w:val="auto"/>
          <w:sz w:val="32"/>
          <w:szCs w:val="32"/>
          <w:highlight w:val="none"/>
        </w:rPr>
        <w:t xml:space="preserve"> 资格审查</w:t>
      </w:r>
      <w:bookmarkEnd w:id="54"/>
      <w:bookmarkEnd w:id="55"/>
      <w:bookmarkEnd w:id="56"/>
      <w:bookmarkEnd w:id="57"/>
      <w:bookmarkEnd w:id="58"/>
      <w:bookmarkEnd w:id="59"/>
      <w:bookmarkEnd w:id="60"/>
    </w:p>
    <w:p w14:paraId="6784AA35">
      <w:pPr>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hint="eastAsia" w:ascii="新宋体" w:hAnsi="新宋体" w:eastAsia="新宋体" w:cs="新宋体"/>
          <w:b/>
          <w:bCs/>
          <w:color w:val="auto"/>
          <w:sz w:val="22"/>
          <w:szCs w:val="22"/>
          <w:highlight w:val="none"/>
        </w:rPr>
      </w:pPr>
      <w:bookmarkStart w:id="61" w:name="_Toc1254"/>
      <w:bookmarkStart w:id="62" w:name="_Toc9053"/>
      <w:bookmarkStart w:id="63" w:name="_Toc4660"/>
      <w:r>
        <w:rPr>
          <w:rFonts w:hint="eastAsia" w:ascii="新宋体" w:hAnsi="新宋体" w:eastAsia="新宋体" w:cs="新宋体"/>
          <w:b/>
          <w:bCs/>
          <w:color w:val="auto"/>
          <w:sz w:val="22"/>
          <w:szCs w:val="22"/>
          <w:highlight w:val="none"/>
        </w:rPr>
        <w:t>1．资格审查主体</w:t>
      </w:r>
      <w:bookmarkEnd w:id="61"/>
      <w:bookmarkEnd w:id="62"/>
      <w:bookmarkEnd w:id="63"/>
    </w:p>
    <w:p w14:paraId="0F5E708D">
      <w:pPr>
        <w:keepNext w:val="0"/>
        <w:keepLines w:val="0"/>
        <w:pageBreakBefore w:val="0"/>
        <w:widowControl w:val="0"/>
        <w:kinsoku/>
        <w:wordWrap/>
        <w:overflowPunct/>
        <w:topLinePunct w:val="0"/>
        <w:autoSpaceDE/>
        <w:autoSpaceDN/>
        <w:bidi w:val="0"/>
        <w:adjustRightInd w:val="0"/>
        <w:snapToGrid w:val="0"/>
        <w:spacing w:line="400" w:lineRule="exact"/>
        <w:ind w:firstLine="437" w:firstLineChars="199"/>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1.1资格审查主体：采购人、采购代理机构负责资格审查。</w:t>
      </w:r>
    </w:p>
    <w:p w14:paraId="707432CA">
      <w:pPr>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hint="eastAsia" w:ascii="新宋体" w:hAnsi="新宋体" w:eastAsia="新宋体" w:cs="新宋体"/>
          <w:color w:val="auto"/>
          <w:sz w:val="22"/>
          <w:szCs w:val="22"/>
          <w:highlight w:val="none"/>
        </w:rPr>
      </w:pPr>
      <w:bookmarkStart w:id="64" w:name="_Toc3232"/>
      <w:bookmarkStart w:id="65" w:name="_Toc22884"/>
      <w:bookmarkStart w:id="66" w:name="_Toc14905"/>
      <w:r>
        <w:rPr>
          <w:rFonts w:hint="eastAsia" w:ascii="新宋体" w:hAnsi="新宋体" w:eastAsia="新宋体" w:cs="新宋体"/>
          <w:b/>
          <w:bCs/>
          <w:color w:val="auto"/>
          <w:sz w:val="22"/>
          <w:szCs w:val="22"/>
          <w:highlight w:val="none"/>
        </w:rPr>
        <w:t>2．资格审查（未进行资格预审的）</w:t>
      </w:r>
      <w:bookmarkEnd w:id="64"/>
      <w:bookmarkEnd w:id="65"/>
      <w:bookmarkEnd w:id="66"/>
    </w:p>
    <w:p w14:paraId="23262B2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2.1资格审查依据法律法规和招标文件的规定，对投标文件中的资格证明文件</w:t>
      </w:r>
      <w:r>
        <w:rPr>
          <w:rFonts w:hint="eastAsia" w:ascii="新宋体" w:hAnsi="新宋体" w:eastAsia="新宋体" w:cs="新宋体"/>
          <w:color w:val="auto"/>
          <w:sz w:val="22"/>
          <w:szCs w:val="22"/>
          <w:highlight w:val="none"/>
          <w:lang w:val="en-US" w:eastAsia="zh-CN"/>
        </w:rPr>
        <w:t>等</w:t>
      </w:r>
      <w:r>
        <w:rPr>
          <w:rFonts w:hint="eastAsia" w:ascii="新宋体" w:hAnsi="新宋体" w:eastAsia="新宋体" w:cs="新宋体"/>
          <w:color w:val="auto"/>
          <w:sz w:val="22"/>
          <w:szCs w:val="22"/>
          <w:highlight w:val="none"/>
        </w:rPr>
        <w:t>进行审查，以确定投标人是否符合招标文件规定的资格条件。</w:t>
      </w:r>
    </w:p>
    <w:p w14:paraId="6DFF0DF0">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2.2采购人、采购代理机构按本章附表1“资格审查表”所列审查项目及审查标准，对投标人资格进行审查。</w:t>
      </w:r>
    </w:p>
    <w:p w14:paraId="46BE189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2.3在资格审查时，投标人存在下列情况之一的，资格审查不合格，其投标无效：</w:t>
      </w:r>
    </w:p>
    <w:p w14:paraId="3CD37506">
      <w:pPr>
        <w:keepNext w:val="0"/>
        <w:keepLines w:val="0"/>
        <w:pageBreakBefore w:val="0"/>
        <w:widowControl w:val="0"/>
        <w:kinsoku/>
        <w:wordWrap/>
        <w:overflowPunct/>
        <w:topLinePunct w:val="0"/>
        <w:autoSpaceDE/>
        <w:autoSpaceDN/>
        <w:bidi w:val="0"/>
        <w:adjustRightInd w:val="0"/>
        <w:snapToGrid w:val="0"/>
        <w:spacing w:line="400" w:lineRule="exact"/>
        <w:ind w:firstLine="442" w:firstLineChars="20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（1）不具备招标文件中规定的资格要求的，或提交的资格证明文件不符合招标文件要求的；</w:t>
      </w:r>
    </w:p>
    <w:p w14:paraId="23523178">
      <w:pPr>
        <w:keepNext w:val="0"/>
        <w:keepLines w:val="0"/>
        <w:pageBreakBefore w:val="0"/>
        <w:widowControl w:val="0"/>
        <w:kinsoku/>
        <w:wordWrap/>
        <w:overflowPunct/>
        <w:topLinePunct w:val="0"/>
        <w:autoSpaceDE/>
        <w:autoSpaceDN/>
        <w:bidi w:val="0"/>
        <w:adjustRightInd w:val="0"/>
        <w:snapToGrid w:val="0"/>
        <w:spacing w:line="400" w:lineRule="exact"/>
        <w:ind w:firstLine="442" w:firstLineChars="20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（2）联合体投标未提交联合体协议书，或未提交联合体各方资格证明文件的；</w:t>
      </w:r>
    </w:p>
    <w:p w14:paraId="2540F89D">
      <w:pPr>
        <w:keepNext w:val="0"/>
        <w:keepLines w:val="0"/>
        <w:pageBreakBefore w:val="0"/>
        <w:widowControl w:val="0"/>
        <w:kinsoku/>
        <w:wordWrap/>
        <w:overflowPunct/>
        <w:topLinePunct w:val="0"/>
        <w:autoSpaceDE/>
        <w:autoSpaceDN/>
        <w:bidi w:val="0"/>
        <w:adjustRightInd w:val="0"/>
        <w:snapToGrid w:val="0"/>
        <w:spacing w:line="400" w:lineRule="exact"/>
        <w:ind w:firstLine="442" w:firstLineChars="20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（3）投标文件的资格证明文件未按照招标文件要求签署、盖章的；</w:t>
      </w:r>
    </w:p>
    <w:p w14:paraId="1CBE12ED">
      <w:pPr>
        <w:keepNext w:val="0"/>
        <w:keepLines w:val="0"/>
        <w:pageBreakBefore w:val="0"/>
        <w:widowControl w:val="0"/>
        <w:kinsoku/>
        <w:wordWrap/>
        <w:overflowPunct/>
        <w:topLinePunct w:val="0"/>
        <w:autoSpaceDE/>
        <w:autoSpaceDN/>
        <w:bidi w:val="0"/>
        <w:adjustRightInd w:val="0"/>
        <w:snapToGrid w:val="0"/>
        <w:spacing w:line="400" w:lineRule="exact"/>
        <w:ind w:firstLine="442" w:firstLineChars="20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（4）未按照招标文件的规定提交投标保证金的。</w:t>
      </w:r>
    </w:p>
    <w:p w14:paraId="1A18B341">
      <w:pPr>
        <w:keepNext w:val="0"/>
        <w:keepLines w:val="0"/>
        <w:pageBreakBefore w:val="0"/>
        <w:widowControl w:val="0"/>
        <w:kinsoku/>
        <w:wordWrap/>
        <w:overflowPunct/>
        <w:topLinePunct w:val="0"/>
        <w:autoSpaceDE/>
        <w:autoSpaceDN/>
        <w:bidi w:val="0"/>
        <w:adjustRightInd w:val="0"/>
        <w:snapToGrid w:val="0"/>
        <w:spacing w:line="400" w:lineRule="exact"/>
        <w:ind w:firstLine="442" w:firstLineChars="20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（5）投标报价超过招标文件中规定的预算金额或者最高限价的；</w:t>
      </w:r>
    </w:p>
    <w:p w14:paraId="2C4F5763">
      <w:pPr>
        <w:keepNext w:val="0"/>
        <w:keepLines w:val="0"/>
        <w:pageBreakBefore w:val="0"/>
        <w:widowControl w:val="0"/>
        <w:kinsoku/>
        <w:wordWrap/>
        <w:overflowPunct/>
        <w:topLinePunct w:val="0"/>
        <w:autoSpaceDE/>
        <w:autoSpaceDN/>
        <w:bidi w:val="0"/>
        <w:adjustRightInd w:val="0"/>
        <w:snapToGrid w:val="0"/>
        <w:spacing w:line="400" w:lineRule="exact"/>
        <w:ind w:firstLine="442" w:firstLineChars="20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（6）法律、法规和招标文件规定的其他投标无效情形的。</w:t>
      </w:r>
    </w:p>
    <w:p w14:paraId="6079846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val="0"/>
          <w:bCs w:val="0"/>
          <w:color w:val="auto"/>
          <w:sz w:val="22"/>
          <w:szCs w:val="22"/>
          <w:highlight w:val="none"/>
        </w:rPr>
        <w:t>2.4信用记录。开标结束后资格审查时，采购人、采购代理</w:t>
      </w:r>
      <w:r>
        <w:rPr>
          <w:rFonts w:hint="eastAsia" w:ascii="新宋体" w:hAnsi="新宋体" w:eastAsia="新宋体" w:cs="新宋体"/>
          <w:color w:val="auto"/>
          <w:sz w:val="22"/>
          <w:szCs w:val="22"/>
          <w:highlight w:val="none"/>
        </w:rPr>
        <w:t>机构将对投标人信用记录进行甄别。</w:t>
      </w:r>
    </w:p>
    <w:p w14:paraId="79E45E3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（1）信用信息查询的查询渠道：信用中国网（www.creditchina.gov.cn）、中国政府采购网（www.ccgp.gov.cn）；</w:t>
      </w:r>
    </w:p>
    <w:p w14:paraId="33CC84A2">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不良信用记录是指：投标人在“信用中国”网站被列入失信被执行人和重大税收违法失信主体名单，或在“中国政府采购网”网站被列入政府采购严重违法失信行为记录名单。投标人有上述不良信用记录的，其投标无效，其中，列入政府采购严重违法失信行为记录名单的，按处罚结果执行。</w:t>
      </w:r>
    </w:p>
    <w:p w14:paraId="5113649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（3）联合体形式投标的，联合体成员存在不良信用记录的，视同联合体存在不良信用记录。</w:t>
      </w:r>
    </w:p>
    <w:p w14:paraId="4DA38CAF">
      <w:pPr>
        <w:keepNext w:val="0"/>
        <w:keepLines w:val="0"/>
        <w:pageBreakBefore w:val="0"/>
        <w:widowControl w:val="0"/>
        <w:kinsoku/>
        <w:wordWrap/>
        <w:overflowPunct/>
        <w:topLinePunct w:val="0"/>
        <w:autoSpaceDE/>
        <w:autoSpaceDN/>
        <w:bidi w:val="0"/>
        <w:adjustRightInd w:val="0"/>
        <w:snapToGrid w:val="0"/>
        <w:spacing w:afterAutospacing="0"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信用信息查询记录和证据留存具体方式：采购人、采购代理机构经办人将查询网页截图、打印、签字，作为查询记录和证据，与其他采购文件一并保存。投标人不良信用记录以采购人、采购代理机构查询结果为准。</w:t>
      </w:r>
    </w:p>
    <w:p w14:paraId="4647D9D4">
      <w:pPr>
        <w:keepNext w:val="0"/>
        <w:keepLines w:val="0"/>
        <w:pageBreakBefore w:val="0"/>
        <w:widowControl w:val="0"/>
        <w:kinsoku/>
        <w:wordWrap/>
        <w:overflowPunct/>
        <w:topLinePunct w:val="0"/>
        <w:autoSpaceDE/>
        <w:autoSpaceDN/>
        <w:bidi w:val="0"/>
        <w:spacing w:beforeAutospacing="0" w:afterAutospacing="0" w:line="400" w:lineRule="exact"/>
        <w:textAlignment w:val="auto"/>
        <w:outlineLvl w:val="9"/>
        <w:rPr>
          <w:rFonts w:hint="eastAsia" w:ascii="新宋体" w:hAnsi="新宋体" w:eastAsia="新宋体" w:cs="新宋体"/>
          <w:color w:val="auto"/>
          <w:sz w:val="22"/>
          <w:szCs w:val="22"/>
          <w:highlight w:val="none"/>
        </w:rPr>
      </w:pPr>
      <w:bookmarkStart w:id="67" w:name="_Toc3925"/>
      <w:bookmarkStart w:id="68" w:name="_Toc62206176"/>
      <w:bookmarkStart w:id="69" w:name="_Toc82155400"/>
      <w:r>
        <w:rPr>
          <w:rFonts w:hint="eastAsia" w:ascii="新宋体" w:hAnsi="新宋体" w:eastAsia="新宋体" w:cs="新宋体"/>
          <w:color w:val="auto"/>
          <w:sz w:val="22"/>
          <w:szCs w:val="22"/>
          <w:highlight w:val="none"/>
        </w:rPr>
        <w:t>2．资格审查（已进行资格预审的）</w:t>
      </w:r>
      <w:bookmarkEnd w:id="67"/>
      <w:bookmarkEnd w:id="68"/>
      <w:bookmarkEnd w:id="69"/>
    </w:p>
    <w:p w14:paraId="25022367">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40" w:firstLineChars="200"/>
        <w:textAlignment w:val="auto"/>
        <w:outlineLvl w:val="9"/>
        <w:rPr>
          <w:rFonts w:hint="eastAsia" w:ascii="新宋体" w:hAnsi="新宋体" w:eastAsia="新宋体" w:cs="新宋体"/>
          <w:color w:val="auto"/>
          <w:kern w:val="0"/>
          <w:sz w:val="22"/>
          <w:szCs w:val="22"/>
          <w:highlight w:val="none"/>
          <w:lang w:val="zh-CN"/>
        </w:rPr>
      </w:pPr>
      <w:r>
        <w:rPr>
          <w:rFonts w:hint="eastAsia" w:ascii="新宋体" w:hAnsi="新宋体" w:eastAsia="新宋体" w:cs="新宋体"/>
          <w:color w:val="auto"/>
          <w:sz w:val="22"/>
          <w:szCs w:val="22"/>
          <w:highlight w:val="none"/>
        </w:rPr>
        <w:t>2.1供应商若有第二章第14.1款规定情形，采购人、采购代理机构按该款规定进行审查。除本</w:t>
      </w:r>
      <w:r>
        <w:rPr>
          <w:rFonts w:hint="eastAsia" w:ascii="新宋体" w:hAnsi="新宋体" w:eastAsia="新宋体" w:cs="新宋体"/>
          <w:color w:val="auto"/>
          <w:kern w:val="0"/>
          <w:sz w:val="22"/>
          <w:szCs w:val="22"/>
          <w:highlight w:val="none"/>
          <w:lang w:val="zh-CN"/>
        </w:rPr>
        <w:t>款规定的</w:t>
      </w:r>
      <w:r>
        <w:rPr>
          <w:rFonts w:hint="eastAsia" w:ascii="新宋体" w:hAnsi="新宋体" w:eastAsia="新宋体" w:cs="新宋体"/>
          <w:color w:val="auto"/>
          <w:sz w:val="22"/>
          <w:szCs w:val="22"/>
          <w:highlight w:val="none"/>
        </w:rPr>
        <w:t>情形外，采购人、采购代理机构不再对供应商进行资格审查。</w:t>
      </w:r>
    </w:p>
    <w:p w14:paraId="3544A7CA">
      <w:pPr>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hint="eastAsia" w:ascii="新宋体" w:hAnsi="新宋体" w:eastAsia="新宋体" w:cs="新宋体"/>
          <w:color w:val="auto"/>
          <w:sz w:val="22"/>
          <w:szCs w:val="22"/>
          <w:highlight w:val="none"/>
        </w:rPr>
      </w:pPr>
      <w:bookmarkStart w:id="70" w:name="_Toc7157"/>
      <w:bookmarkStart w:id="71" w:name="_Toc25195"/>
      <w:bookmarkStart w:id="72" w:name="_Toc22231"/>
      <w:r>
        <w:rPr>
          <w:rFonts w:hint="eastAsia" w:ascii="新宋体" w:hAnsi="新宋体" w:eastAsia="新宋体" w:cs="新宋体"/>
          <w:color w:val="auto"/>
          <w:sz w:val="22"/>
          <w:szCs w:val="22"/>
          <w:highlight w:val="none"/>
        </w:rPr>
        <w:t>3．资格审查结果</w:t>
      </w:r>
      <w:bookmarkEnd w:id="70"/>
      <w:bookmarkEnd w:id="71"/>
      <w:bookmarkEnd w:id="72"/>
    </w:p>
    <w:p w14:paraId="2D9745B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3.1未通过资格审查的投标人，采购人、采购代理机构应当告知其未通过的原因。</w:t>
      </w:r>
    </w:p>
    <w:p w14:paraId="596EFC9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 w:val="22"/>
          <w:szCs w:val="22"/>
          <w:highlight w:val="none"/>
        </w:rPr>
        <w:t>3.2资格审查结束后，采购人、采购代理机构应将资格审查结果告知评标委员会。</w:t>
      </w:r>
    </w:p>
    <w:p w14:paraId="002F6C66">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left"/>
        <w:textAlignment w:val="auto"/>
        <w:outlineLvl w:val="9"/>
        <w:rPr>
          <w:rFonts w:hint="eastAsia" w:ascii="新宋体" w:hAnsi="新宋体" w:eastAsia="新宋体" w:cs="新宋体"/>
          <w:b w:val="0"/>
          <w:bCs w:val="0"/>
          <w:color w:val="auto"/>
          <w:sz w:val="21"/>
          <w:szCs w:val="21"/>
          <w:highlight w:val="none"/>
        </w:rPr>
      </w:pPr>
      <w:r>
        <w:rPr>
          <w:rFonts w:hint="eastAsia" w:ascii="新宋体" w:hAnsi="新宋体" w:eastAsia="新宋体" w:cs="新宋体"/>
          <w:color w:val="auto"/>
          <w:highlight w:val="none"/>
        </w:rPr>
        <w:br w:type="page"/>
      </w:r>
      <w:bookmarkStart w:id="73" w:name="_Toc4532"/>
      <w:bookmarkStart w:id="74" w:name="_Toc14281"/>
      <w:r>
        <w:rPr>
          <w:rFonts w:hint="eastAsia" w:ascii="新宋体" w:hAnsi="新宋体" w:eastAsia="新宋体" w:cs="新宋体"/>
          <w:b w:val="0"/>
          <w:bCs w:val="0"/>
          <w:color w:val="auto"/>
          <w:sz w:val="21"/>
          <w:szCs w:val="21"/>
          <w:highlight w:val="none"/>
        </w:rPr>
        <w:t>附表1资格审查表</w:t>
      </w:r>
      <w:bookmarkEnd w:id="73"/>
      <w:bookmarkEnd w:id="74"/>
    </w:p>
    <w:p w14:paraId="7D2D19F7">
      <w:pPr>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b/>
          <w:color w:val="auto"/>
          <w:sz w:val="28"/>
          <w:szCs w:val="28"/>
          <w:highlight w:val="none"/>
        </w:rPr>
      </w:pPr>
      <w:r>
        <w:rPr>
          <w:rFonts w:hint="eastAsia" w:ascii="新宋体" w:hAnsi="新宋体" w:eastAsia="新宋体" w:cs="新宋体"/>
          <w:b/>
          <w:color w:val="auto"/>
          <w:sz w:val="28"/>
          <w:szCs w:val="28"/>
          <w:highlight w:val="none"/>
        </w:rPr>
        <w:t>资格审查表</w:t>
      </w:r>
    </w:p>
    <w:p w14:paraId="391960D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eastAsia" w:ascii="新宋体" w:hAnsi="新宋体" w:eastAsia="新宋体" w:cs="新宋体"/>
          <w:color w:val="auto"/>
          <w:sz w:val="28"/>
          <w:szCs w:val="28"/>
          <w:highlight w:val="none"/>
        </w:rPr>
      </w:pPr>
      <w:r>
        <w:rPr>
          <w:rFonts w:hint="eastAsia" w:ascii="新宋体" w:hAnsi="新宋体" w:eastAsia="新宋体" w:cs="新宋体"/>
          <w:color w:val="auto"/>
          <w:szCs w:val="21"/>
          <w:highlight w:val="none"/>
        </w:rPr>
        <w:t>项目名称：</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 xml:space="preserve">                                          政府采购计划编号：</w:t>
      </w:r>
      <w:r>
        <w:rPr>
          <w:rFonts w:hint="eastAsia" w:ascii="新宋体" w:hAnsi="新宋体" w:eastAsia="新宋体" w:cs="新宋体"/>
          <w:color w:val="auto"/>
          <w:szCs w:val="21"/>
          <w:highlight w:val="none"/>
          <w:u w:val="single"/>
        </w:rPr>
        <w:t xml:space="preserve">       </w:t>
      </w:r>
    </w:p>
    <w:tbl>
      <w:tblPr>
        <w:tblStyle w:val="27"/>
        <w:tblW w:w="4987"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29"/>
        <w:gridCol w:w="2800"/>
        <w:gridCol w:w="6299"/>
      </w:tblGrid>
      <w:tr w14:paraId="5B2487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9" w:hRule="atLeast"/>
        </w:trPr>
        <w:tc>
          <w:tcPr>
            <w:tcW w:w="371" w:type="pct"/>
            <w:noWrap w:val="0"/>
            <w:vAlign w:val="center"/>
          </w:tcPr>
          <w:p w14:paraId="7D529AE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eastAsia" w:ascii="新宋体" w:hAnsi="新宋体" w:eastAsia="新宋体" w:cs="新宋体"/>
                <w:b/>
                <w:color w:val="auto"/>
                <w:kern w:val="0"/>
                <w:sz w:val="21"/>
                <w:szCs w:val="21"/>
                <w:highlight w:val="none"/>
              </w:rPr>
            </w:pPr>
            <w:r>
              <w:rPr>
                <w:rFonts w:hint="eastAsia" w:ascii="新宋体" w:hAnsi="新宋体" w:eastAsia="新宋体" w:cs="新宋体"/>
                <w:b/>
                <w:color w:val="auto"/>
                <w:kern w:val="0"/>
                <w:sz w:val="21"/>
                <w:szCs w:val="21"/>
                <w:highlight w:val="none"/>
              </w:rPr>
              <w:t>序号</w:t>
            </w:r>
          </w:p>
        </w:tc>
        <w:tc>
          <w:tcPr>
            <w:tcW w:w="1424" w:type="pct"/>
            <w:noWrap w:val="0"/>
            <w:vAlign w:val="center"/>
          </w:tcPr>
          <w:p w14:paraId="43A9111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eastAsia" w:ascii="新宋体" w:hAnsi="新宋体" w:eastAsia="新宋体" w:cs="新宋体"/>
                <w:b/>
                <w:color w:val="auto"/>
                <w:kern w:val="0"/>
                <w:sz w:val="21"/>
                <w:szCs w:val="21"/>
                <w:highlight w:val="none"/>
              </w:rPr>
            </w:pPr>
            <w:r>
              <w:rPr>
                <w:rFonts w:hint="eastAsia" w:ascii="新宋体" w:hAnsi="新宋体" w:eastAsia="新宋体" w:cs="新宋体"/>
                <w:b/>
                <w:color w:val="auto"/>
                <w:kern w:val="0"/>
                <w:sz w:val="21"/>
                <w:szCs w:val="21"/>
                <w:highlight w:val="none"/>
              </w:rPr>
              <w:t>审查项目</w:t>
            </w:r>
          </w:p>
        </w:tc>
        <w:tc>
          <w:tcPr>
            <w:tcW w:w="3204" w:type="pct"/>
            <w:noWrap w:val="0"/>
            <w:vAlign w:val="center"/>
          </w:tcPr>
          <w:p w14:paraId="5F09EC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eastAsia" w:ascii="新宋体" w:hAnsi="新宋体" w:eastAsia="新宋体" w:cs="新宋体"/>
                <w:b/>
                <w:color w:val="auto"/>
                <w:kern w:val="0"/>
                <w:sz w:val="21"/>
                <w:szCs w:val="21"/>
                <w:highlight w:val="none"/>
              </w:rPr>
            </w:pPr>
            <w:r>
              <w:rPr>
                <w:rFonts w:hint="eastAsia" w:ascii="新宋体" w:hAnsi="新宋体" w:eastAsia="新宋体" w:cs="新宋体"/>
                <w:b/>
                <w:color w:val="auto"/>
                <w:kern w:val="0"/>
                <w:sz w:val="21"/>
                <w:szCs w:val="21"/>
                <w:highlight w:val="none"/>
              </w:rPr>
              <w:t>审查标准</w:t>
            </w:r>
          </w:p>
        </w:tc>
      </w:tr>
      <w:tr w14:paraId="092628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371" w:type="pct"/>
            <w:noWrap w:val="0"/>
            <w:vAlign w:val="center"/>
          </w:tcPr>
          <w:p w14:paraId="4AB7D6E9">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360" w:lineRule="exact"/>
              <w:ind w:left="425" w:leftChars="0" w:right="0" w:hanging="425" w:firstLineChars="0"/>
              <w:jc w:val="center"/>
              <w:textAlignment w:val="auto"/>
              <w:outlineLvl w:val="9"/>
              <w:rPr>
                <w:rFonts w:hint="eastAsia" w:ascii="新宋体" w:hAnsi="新宋体" w:eastAsia="新宋体" w:cs="新宋体"/>
                <w:color w:val="auto"/>
                <w:kern w:val="0"/>
                <w:sz w:val="21"/>
                <w:szCs w:val="21"/>
                <w:highlight w:val="none"/>
              </w:rPr>
            </w:pPr>
          </w:p>
        </w:tc>
        <w:tc>
          <w:tcPr>
            <w:tcW w:w="1424" w:type="pct"/>
            <w:noWrap w:val="0"/>
            <w:vAlign w:val="center"/>
          </w:tcPr>
          <w:p w14:paraId="6BB33AC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eastAsia" w:ascii="新宋体" w:hAnsi="新宋体" w:eastAsia="新宋体" w:cs="新宋体"/>
                <w:color w:val="auto"/>
                <w:kern w:val="0"/>
                <w:sz w:val="21"/>
                <w:szCs w:val="21"/>
                <w:highlight w:val="none"/>
                <w:lang w:val="en-US" w:eastAsia="zh-CN"/>
              </w:rPr>
            </w:pPr>
            <w:r>
              <w:rPr>
                <w:rFonts w:hint="eastAsia" w:ascii="新宋体" w:hAnsi="新宋体" w:eastAsia="新宋体" w:cs="新宋体"/>
                <w:color w:val="auto"/>
                <w:kern w:val="0"/>
                <w:sz w:val="21"/>
                <w:szCs w:val="21"/>
                <w:highlight w:val="none"/>
                <w:lang w:val="en-US" w:eastAsia="zh-CN"/>
              </w:rPr>
              <w:t>法人或者其他组织的营业执照等主体资格证明文件</w:t>
            </w:r>
          </w:p>
        </w:tc>
        <w:tc>
          <w:tcPr>
            <w:tcW w:w="3204" w:type="pct"/>
            <w:noWrap w:val="0"/>
            <w:vAlign w:val="center"/>
          </w:tcPr>
          <w:p w14:paraId="0CECF1B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left"/>
              <w:textAlignment w:val="auto"/>
              <w:outlineLvl w:val="9"/>
              <w:rPr>
                <w:rFonts w:hint="eastAsia" w:ascii="新宋体" w:hAnsi="新宋体" w:eastAsia="新宋体" w:cs="新宋体"/>
                <w:color w:val="auto"/>
                <w:kern w:val="0"/>
                <w:sz w:val="21"/>
                <w:szCs w:val="21"/>
                <w:highlight w:val="none"/>
                <w:lang w:val="en-US" w:eastAsia="zh-CN"/>
              </w:rPr>
            </w:pPr>
            <w:r>
              <w:rPr>
                <w:rFonts w:hint="eastAsia" w:ascii="新宋体" w:hAnsi="新宋体" w:eastAsia="新宋体" w:cs="新宋体"/>
                <w:color w:val="auto"/>
                <w:kern w:val="0"/>
                <w:sz w:val="21"/>
                <w:szCs w:val="21"/>
                <w:highlight w:val="none"/>
                <w:lang w:val="en-US" w:eastAsia="zh-CN"/>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tc>
      </w:tr>
      <w:tr w14:paraId="6058C4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18" w:hRule="atLeast"/>
        </w:trPr>
        <w:tc>
          <w:tcPr>
            <w:tcW w:w="371" w:type="pct"/>
            <w:noWrap w:val="0"/>
            <w:vAlign w:val="center"/>
          </w:tcPr>
          <w:p w14:paraId="0CD59731">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360" w:lineRule="exact"/>
              <w:ind w:left="425" w:leftChars="0" w:right="0" w:hanging="425" w:firstLineChars="0"/>
              <w:jc w:val="center"/>
              <w:textAlignment w:val="auto"/>
              <w:outlineLvl w:val="9"/>
              <w:rPr>
                <w:rFonts w:hint="eastAsia" w:ascii="新宋体" w:hAnsi="新宋体" w:eastAsia="新宋体" w:cs="新宋体"/>
                <w:color w:val="auto"/>
                <w:kern w:val="0"/>
                <w:sz w:val="21"/>
                <w:szCs w:val="21"/>
                <w:highlight w:val="none"/>
              </w:rPr>
            </w:pPr>
          </w:p>
        </w:tc>
        <w:tc>
          <w:tcPr>
            <w:tcW w:w="1424" w:type="pct"/>
            <w:noWrap w:val="0"/>
            <w:vAlign w:val="center"/>
          </w:tcPr>
          <w:p w14:paraId="603C315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eastAsia" w:ascii="新宋体" w:hAnsi="新宋体" w:eastAsia="新宋体" w:cs="新宋体"/>
                <w:color w:val="auto"/>
                <w:kern w:val="0"/>
                <w:sz w:val="21"/>
                <w:szCs w:val="21"/>
                <w:highlight w:val="none"/>
                <w:lang w:val="en-US" w:eastAsia="zh-CN"/>
              </w:rPr>
            </w:pPr>
            <w:r>
              <w:rPr>
                <w:rFonts w:hint="eastAsia" w:ascii="新宋体" w:hAnsi="新宋体" w:eastAsia="新宋体" w:cs="新宋体"/>
                <w:color w:val="auto"/>
                <w:kern w:val="0"/>
                <w:sz w:val="21"/>
                <w:szCs w:val="21"/>
                <w:highlight w:val="none"/>
                <w:lang w:val="en-US" w:eastAsia="zh-CN"/>
              </w:rPr>
              <w:t>法人提交法定代表人身份证明或者法定代表人授权委托书并附法定代表人身份证明</w:t>
            </w:r>
          </w:p>
        </w:tc>
        <w:tc>
          <w:tcPr>
            <w:tcW w:w="3204" w:type="pct"/>
            <w:noWrap w:val="0"/>
            <w:vAlign w:val="center"/>
          </w:tcPr>
          <w:p w14:paraId="0C852E3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left"/>
              <w:textAlignment w:val="auto"/>
              <w:outlineLvl w:val="9"/>
              <w:rPr>
                <w:rFonts w:hint="eastAsia" w:ascii="新宋体" w:hAnsi="新宋体" w:eastAsia="新宋体" w:cs="新宋体"/>
                <w:color w:val="auto"/>
                <w:kern w:val="0"/>
                <w:sz w:val="21"/>
                <w:szCs w:val="21"/>
                <w:highlight w:val="none"/>
                <w:lang w:val="en-US" w:eastAsia="zh-CN"/>
              </w:rPr>
            </w:pPr>
            <w:r>
              <w:rPr>
                <w:rFonts w:hint="eastAsia" w:ascii="新宋体" w:hAnsi="新宋体" w:eastAsia="新宋体" w:cs="新宋体"/>
                <w:color w:val="auto"/>
                <w:kern w:val="0"/>
                <w:sz w:val="21"/>
                <w:szCs w:val="21"/>
                <w:highlight w:val="none"/>
                <w:lang w:val="en-US" w:eastAsia="zh-CN"/>
              </w:rPr>
              <w:t>供应商为法人参加的，提供法定代表人（单位负责人）的身份证明；供应商为授权人参加的，提供法定代表人（单位负责人）授权委托书并附法定代表人（单位负责人）身份证明</w:t>
            </w:r>
          </w:p>
        </w:tc>
      </w:tr>
      <w:tr w14:paraId="1CCBC0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1" w:hRule="atLeast"/>
        </w:trPr>
        <w:tc>
          <w:tcPr>
            <w:tcW w:w="371" w:type="pct"/>
            <w:noWrap w:val="0"/>
            <w:vAlign w:val="center"/>
          </w:tcPr>
          <w:p w14:paraId="7CBA020C">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360" w:lineRule="exact"/>
              <w:ind w:left="425" w:leftChars="0" w:right="0" w:hanging="425" w:firstLineChars="0"/>
              <w:jc w:val="center"/>
              <w:textAlignment w:val="auto"/>
              <w:outlineLvl w:val="9"/>
              <w:rPr>
                <w:rFonts w:hint="eastAsia" w:ascii="新宋体" w:hAnsi="新宋体" w:eastAsia="新宋体" w:cs="新宋体"/>
                <w:color w:val="auto"/>
                <w:kern w:val="0"/>
                <w:sz w:val="21"/>
                <w:szCs w:val="21"/>
                <w:highlight w:val="none"/>
              </w:rPr>
            </w:pPr>
          </w:p>
        </w:tc>
        <w:tc>
          <w:tcPr>
            <w:tcW w:w="1424" w:type="pct"/>
            <w:noWrap w:val="0"/>
            <w:vAlign w:val="center"/>
          </w:tcPr>
          <w:p w14:paraId="5E4AA27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sz w:val="21"/>
                <w:szCs w:val="21"/>
                <w:highlight w:val="none"/>
                <w:lang w:val="en-US" w:eastAsia="zh-CN" w:bidi="ar"/>
              </w:rPr>
              <w:t>《中华人民共和国政府采购法》第二十二条第一款和招标文件规定</w:t>
            </w:r>
          </w:p>
        </w:tc>
        <w:tc>
          <w:tcPr>
            <w:tcW w:w="3204" w:type="pct"/>
            <w:noWrap w:val="0"/>
            <w:vAlign w:val="center"/>
          </w:tcPr>
          <w:p w14:paraId="5ED6AC87">
            <w:pPr>
              <w:keepNext w:val="0"/>
              <w:keepLines w:val="0"/>
              <w:pageBreakBefore w:val="0"/>
              <w:widowControl/>
              <w:suppressLineNumbers w:val="0"/>
              <w:kinsoku/>
              <w:wordWrap/>
              <w:overflowPunct/>
              <w:topLinePunct w:val="0"/>
              <w:autoSpaceDE/>
              <w:autoSpaceDN/>
              <w:bidi w:val="0"/>
              <w:spacing w:before="0" w:beforeAutospacing="0" w:after="0" w:afterAutospacing="0" w:line="300" w:lineRule="exact"/>
              <w:ind w:left="0" w:right="0"/>
              <w:jc w:val="left"/>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sz w:val="21"/>
                <w:szCs w:val="21"/>
                <w:highlight w:val="none"/>
                <w:lang w:val="en-US" w:eastAsia="zh-CN"/>
              </w:rPr>
              <w:t>按招标文件要求提供《</w:t>
            </w:r>
            <w:r>
              <w:rPr>
                <w:rFonts w:hint="eastAsia" w:ascii="新宋体" w:hAnsi="新宋体" w:eastAsia="新宋体" w:cs="新宋体"/>
                <w:color w:val="auto"/>
                <w:sz w:val="21"/>
                <w:szCs w:val="21"/>
                <w:highlight w:val="none"/>
                <w:lang w:eastAsia="zh-CN"/>
              </w:rPr>
              <w:t>投标人资格声明》。</w:t>
            </w:r>
          </w:p>
        </w:tc>
      </w:tr>
      <w:tr w14:paraId="7C9F51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1" w:hRule="atLeast"/>
        </w:trPr>
        <w:tc>
          <w:tcPr>
            <w:tcW w:w="371" w:type="pct"/>
            <w:noWrap w:val="0"/>
            <w:vAlign w:val="center"/>
          </w:tcPr>
          <w:p w14:paraId="0BC0C0FC">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360" w:lineRule="exact"/>
              <w:ind w:left="425" w:leftChars="0" w:right="0" w:hanging="425" w:firstLineChars="0"/>
              <w:jc w:val="center"/>
              <w:textAlignment w:val="auto"/>
              <w:outlineLvl w:val="9"/>
              <w:rPr>
                <w:rFonts w:hint="eastAsia" w:ascii="新宋体" w:hAnsi="新宋体" w:eastAsia="新宋体" w:cs="新宋体"/>
                <w:color w:val="auto"/>
                <w:kern w:val="0"/>
                <w:sz w:val="21"/>
                <w:szCs w:val="21"/>
                <w:highlight w:val="none"/>
              </w:rPr>
            </w:pPr>
          </w:p>
        </w:tc>
        <w:tc>
          <w:tcPr>
            <w:tcW w:w="1424" w:type="pct"/>
            <w:noWrap w:val="0"/>
            <w:vAlign w:val="center"/>
          </w:tcPr>
          <w:p w14:paraId="5C289A99">
            <w:pPr>
              <w:keepNext w:val="0"/>
              <w:keepLines w:val="0"/>
              <w:pageBreakBefore w:val="0"/>
              <w:widowControl/>
              <w:suppressLineNumbers w:val="0"/>
              <w:kinsoku/>
              <w:wordWrap/>
              <w:overflowPunct/>
              <w:topLinePunct w:val="0"/>
              <w:autoSpaceDE/>
              <w:autoSpaceDN/>
              <w:bidi w:val="0"/>
              <w:spacing w:before="0" w:beforeAutospacing="0" w:after="0" w:afterAutospacing="0" w:line="300" w:lineRule="exact"/>
              <w:ind w:left="0" w:right="0"/>
              <w:jc w:val="center"/>
              <w:textAlignment w:val="auto"/>
              <w:outlineLvl w:val="9"/>
              <w:rPr>
                <w:rFonts w:hint="eastAsia" w:ascii="新宋体" w:hAnsi="新宋体" w:eastAsia="新宋体" w:cs="新宋体"/>
                <w:color w:val="auto"/>
                <w:sz w:val="21"/>
                <w:szCs w:val="21"/>
                <w:highlight w:val="none"/>
                <w:lang w:val="en-US" w:eastAsia="zh-CN"/>
              </w:rPr>
            </w:pPr>
            <w:r>
              <w:rPr>
                <w:rFonts w:hint="eastAsia" w:ascii="新宋体" w:hAnsi="新宋体" w:eastAsia="新宋体" w:cs="新宋体"/>
                <w:color w:val="auto"/>
                <w:sz w:val="21"/>
                <w:szCs w:val="21"/>
                <w:highlight w:val="none"/>
                <w:lang w:val="en-US" w:eastAsia="zh-CN"/>
              </w:rPr>
              <w:t>湖南省政府采购供应商资格承诺函</w:t>
            </w:r>
          </w:p>
        </w:tc>
        <w:tc>
          <w:tcPr>
            <w:tcW w:w="3204" w:type="pct"/>
            <w:noWrap w:val="0"/>
            <w:vAlign w:val="center"/>
          </w:tcPr>
          <w:p w14:paraId="74D8D9FC">
            <w:pPr>
              <w:keepNext w:val="0"/>
              <w:keepLines w:val="0"/>
              <w:pageBreakBefore w:val="0"/>
              <w:widowControl/>
              <w:suppressLineNumbers w:val="0"/>
              <w:kinsoku/>
              <w:wordWrap/>
              <w:overflowPunct/>
              <w:topLinePunct w:val="0"/>
              <w:autoSpaceDE/>
              <w:autoSpaceDN/>
              <w:bidi w:val="0"/>
              <w:spacing w:before="0" w:beforeAutospacing="0" w:after="0" w:afterAutospacing="0" w:line="300" w:lineRule="exact"/>
              <w:ind w:left="0" w:right="0"/>
              <w:jc w:val="left"/>
              <w:textAlignment w:val="auto"/>
              <w:outlineLvl w:val="9"/>
              <w:rPr>
                <w:rFonts w:hint="eastAsia" w:ascii="新宋体" w:hAnsi="新宋体" w:eastAsia="新宋体" w:cs="新宋体"/>
                <w:color w:val="auto"/>
                <w:sz w:val="21"/>
                <w:szCs w:val="21"/>
                <w:highlight w:val="none"/>
                <w:lang w:val="en-US" w:eastAsia="zh-CN"/>
              </w:rPr>
            </w:pPr>
            <w:r>
              <w:rPr>
                <w:rFonts w:hint="eastAsia" w:ascii="新宋体" w:hAnsi="新宋体" w:eastAsia="新宋体" w:cs="新宋体"/>
                <w:color w:val="auto"/>
                <w:sz w:val="21"/>
                <w:szCs w:val="21"/>
                <w:highlight w:val="none"/>
                <w:lang w:val="en-US" w:eastAsia="zh-CN"/>
              </w:rPr>
              <w:t>按招标文件要求提供《湖南省政府采购供应商资格承诺函》</w:t>
            </w:r>
          </w:p>
        </w:tc>
      </w:tr>
      <w:tr w14:paraId="66E381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1" w:hRule="atLeast"/>
        </w:trPr>
        <w:tc>
          <w:tcPr>
            <w:tcW w:w="371" w:type="pct"/>
            <w:noWrap w:val="0"/>
            <w:vAlign w:val="center"/>
          </w:tcPr>
          <w:p w14:paraId="477CAD4C">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360" w:lineRule="exact"/>
              <w:ind w:left="425" w:leftChars="0" w:right="0" w:hanging="425" w:firstLineChars="0"/>
              <w:jc w:val="center"/>
              <w:textAlignment w:val="auto"/>
              <w:outlineLvl w:val="9"/>
              <w:rPr>
                <w:rFonts w:hint="eastAsia" w:ascii="新宋体" w:hAnsi="新宋体" w:eastAsia="新宋体" w:cs="新宋体"/>
                <w:color w:val="auto"/>
                <w:kern w:val="0"/>
                <w:sz w:val="21"/>
                <w:szCs w:val="21"/>
                <w:highlight w:val="none"/>
              </w:rPr>
            </w:pPr>
          </w:p>
        </w:tc>
        <w:tc>
          <w:tcPr>
            <w:tcW w:w="1424" w:type="pct"/>
            <w:noWrap w:val="0"/>
            <w:vAlign w:val="center"/>
          </w:tcPr>
          <w:p w14:paraId="3C9DE01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eastAsia" w:ascii="新宋体" w:hAnsi="新宋体" w:eastAsia="新宋体" w:cs="新宋体"/>
                <w:color w:val="auto"/>
                <w:kern w:val="0"/>
                <w:sz w:val="21"/>
                <w:szCs w:val="21"/>
                <w:highlight w:val="none"/>
                <w:lang w:val="en-US" w:eastAsia="zh-CN" w:bidi="ar-SA"/>
              </w:rPr>
            </w:pPr>
            <w:r>
              <w:rPr>
                <w:rFonts w:hint="eastAsia" w:ascii="新宋体" w:hAnsi="新宋体" w:eastAsia="新宋体" w:cs="新宋体"/>
                <w:color w:val="auto"/>
                <w:kern w:val="0"/>
                <w:sz w:val="21"/>
                <w:szCs w:val="21"/>
                <w:highlight w:val="none"/>
              </w:rPr>
              <w:t>投标报价</w:t>
            </w:r>
          </w:p>
        </w:tc>
        <w:tc>
          <w:tcPr>
            <w:tcW w:w="3204" w:type="pct"/>
            <w:noWrap w:val="0"/>
            <w:vAlign w:val="center"/>
          </w:tcPr>
          <w:p w14:paraId="6973B8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outlineLvl w:val="9"/>
              <w:rPr>
                <w:rFonts w:hint="eastAsia" w:ascii="新宋体" w:hAnsi="新宋体" w:eastAsia="新宋体" w:cs="新宋体"/>
                <w:color w:val="auto"/>
                <w:kern w:val="0"/>
                <w:sz w:val="21"/>
                <w:szCs w:val="21"/>
                <w:highlight w:val="none"/>
                <w:lang w:val="en-US" w:eastAsia="zh-CN" w:bidi="ar-SA"/>
              </w:rPr>
            </w:pPr>
            <w:r>
              <w:rPr>
                <w:rFonts w:hint="eastAsia" w:ascii="新宋体" w:hAnsi="新宋体" w:eastAsia="新宋体" w:cs="新宋体"/>
                <w:color w:val="auto"/>
                <w:sz w:val="21"/>
                <w:szCs w:val="21"/>
                <w:highlight w:val="none"/>
              </w:rPr>
              <w:t>投标报价不得超过最高限价</w:t>
            </w:r>
            <w:r>
              <w:rPr>
                <w:rFonts w:hint="eastAsia" w:ascii="新宋体" w:hAnsi="新宋体" w:eastAsia="新宋体" w:cs="新宋体"/>
                <w:color w:val="auto"/>
                <w:sz w:val="21"/>
                <w:szCs w:val="21"/>
                <w:highlight w:val="none"/>
                <w:lang w:eastAsia="zh-CN"/>
              </w:rPr>
              <w:t>，否则将视为无效投标。</w:t>
            </w:r>
          </w:p>
        </w:tc>
      </w:tr>
      <w:tr w14:paraId="5B5A9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371" w:type="pct"/>
            <w:noWrap w:val="0"/>
            <w:vAlign w:val="center"/>
          </w:tcPr>
          <w:p w14:paraId="2B077B61">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360" w:lineRule="exact"/>
              <w:ind w:left="425" w:leftChars="0" w:right="0" w:hanging="425" w:firstLineChars="0"/>
              <w:jc w:val="center"/>
              <w:textAlignment w:val="auto"/>
              <w:outlineLvl w:val="9"/>
              <w:rPr>
                <w:rFonts w:hint="eastAsia" w:ascii="新宋体" w:hAnsi="新宋体" w:eastAsia="新宋体" w:cs="新宋体"/>
                <w:color w:val="auto"/>
                <w:kern w:val="0"/>
                <w:sz w:val="21"/>
                <w:szCs w:val="21"/>
                <w:highlight w:val="none"/>
              </w:rPr>
            </w:pPr>
          </w:p>
        </w:tc>
        <w:tc>
          <w:tcPr>
            <w:tcW w:w="1424" w:type="pct"/>
            <w:noWrap w:val="0"/>
            <w:vAlign w:val="center"/>
          </w:tcPr>
          <w:p w14:paraId="0AD538A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eastAsia" w:ascii="新宋体" w:hAnsi="新宋体" w:eastAsia="新宋体" w:cs="新宋体"/>
                <w:color w:val="auto"/>
                <w:kern w:val="0"/>
                <w:sz w:val="21"/>
                <w:szCs w:val="21"/>
                <w:highlight w:val="none"/>
                <w:lang w:val="en-US" w:eastAsia="zh-CN" w:bidi="ar-SA"/>
              </w:rPr>
            </w:pPr>
            <w:r>
              <w:rPr>
                <w:rFonts w:hint="eastAsia" w:ascii="新宋体" w:hAnsi="新宋体" w:eastAsia="新宋体" w:cs="新宋体"/>
                <w:color w:val="auto"/>
                <w:kern w:val="0"/>
                <w:sz w:val="21"/>
                <w:szCs w:val="21"/>
                <w:highlight w:val="none"/>
                <w:lang w:eastAsia="zh-CN"/>
              </w:rPr>
              <w:t>资格证明文件的签署、盖章</w:t>
            </w:r>
          </w:p>
        </w:tc>
        <w:tc>
          <w:tcPr>
            <w:tcW w:w="3204" w:type="pct"/>
            <w:noWrap w:val="0"/>
            <w:vAlign w:val="center"/>
          </w:tcPr>
          <w:p w14:paraId="3261712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outlineLvl w:val="9"/>
              <w:rPr>
                <w:rFonts w:hint="eastAsia" w:ascii="新宋体" w:hAnsi="新宋体" w:eastAsia="新宋体" w:cs="新宋体"/>
                <w:color w:val="auto"/>
                <w:kern w:val="0"/>
                <w:sz w:val="21"/>
                <w:szCs w:val="21"/>
                <w:highlight w:val="none"/>
                <w:lang w:val="en-US" w:eastAsia="zh-CN" w:bidi="ar-SA"/>
              </w:rPr>
            </w:pPr>
            <w:r>
              <w:rPr>
                <w:rFonts w:hint="eastAsia" w:ascii="新宋体" w:hAnsi="新宋体" w:eastAsia="新宋体" w:cs="新宋体"/>
                <w:color w:val="auto"/>
                <w:sz w:val="21"/>
                <w:szCs w:val="21"/>
                <w:highlight w:val="none"/>
                <w:lang w:eastAsia="zh-CN"/>
              </w:rPr>
              <w:t>资格证明文件按照招标文件要求签署、盖章。</w:t>
            </w:r>
          </w:p>
        </w:tc>
      </w:tr>
      <w:tr w14:paraId="51F01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371" w:type="pct"/>
            <w:noWrap w:val="0"/>
            <w:vAlign w:val="center"/>
          </w:tcPr>
          <w:p w14:paraId="50CBC82B">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360" w:lineRule="exact"/>
              <w:ind w:left="425" w:leftChars="0" w:right="0" w:hanging="425" w:firstLineChars="0"/>
              <w:jc w:val="center"/>
              <w:textAlignment w:val="auto"/>
              <w:outlineLvl w:val="9"/>
              <w:rPr>
                <w:rFonts w:hint="eastAsia" w:ascii="新宋体" w:hAnsi="新宋体" w:eastAsia="新宋体" w:cs="新宋体"/>
                <w:color w:val="auto"/>
                <w:kern w:val="0"/>
                <w:sz w:val="21"/>
                <w:szCs w:val="21"/>
                <w:highlight w:val="none"/>
              </w:rPr>
            </w:pPr>
          </w:p>
        </w:tc>
        <w:tc>
          <w:tcPr>
            <w:tcW w:w="1424" w:type="pct"/>
            <w:noWrap w:val="0"/>
            <w:vAlign w:val="center"/>
          </w:tcPr>
          <w:p w14:paraId="4CB9500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eastAsia" w:ascii="新宋体" w:hAnsi="新宋体" w:eastAsia="新宋体" w:cs="新宋体"/>
                <w:color w:val="auto"/>
                <w:kern w:val="0"/>
                <w:sz w:val="21"/>
                <w:szCs w:val="21"/>
                <w:highlight w:val="none"/>
                <w:lang w:val="en-US" w:eastAsia="zh-CN" w:bidi="ar-SA"/>
              </w:rPr>
            </w:pPr>
            <w:r>
              <w:rPr>
                <w:rFonts w:hint="eastAsia" w:ascii="新宋体" w:hAnsi="新宋体" w:eastAsia="新宋体" w:cs="新宋体"/>
                <w:color w:val="auto"/>
                <w:kern w:val="0"/>
                <w:sz w:val="21"/>
                <w:szCs w:val="21"/>
                <w:highlight w:val="none"/>
              </w:rPr>
              <w:t>投标人信用记录</w:t>
            </w:r>
          </w:p>
        </w:tc>
        <w:tc>
          <w:tcPr>
            <w:tcW w:w="3204" w:type="pct"/>
            <w:noWrap w:val="0"/>
            <w:vAlign w:val="top"/>
          </w:tcPr>
          <w:p w14:paraId="0FF729FF">
            <w:pPr>
              <w:keepNext w:val="0"/>
              <w:keepLines w:val="0"/>
              <w:pageBreakBefore w:val="0"/>
              <w:suppressLineNumbers w:val="0"/>
              <w:tabs>
                <w:tab w:val="left" w:pos="1080"/>
              </w:tabs>
              <w:kinsoku/>
              <w:wordWrap/>
              <w:overflowPunct/>
              <w:topLinePunct w:val="0"/>
              <w:autoSpaceDE/>
              <w:autoSpaceDN/>
              <w:bidi w:val="0"/>
              <w:snapToGrid w:val="0"/>
              <w:spacing w:before="0" w:beforeAutospacing="0" w:after="0" w:afterAutospacing="0" w:line="300" w:lineRule="exact"/>
              <w:ind w:left="0" w:right="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查询渠道：</w:t>
            </w:r>
            <w:r>
              <w:rPr>
                <w:rFonts w:hint="eastAsia" w:ascii="新宋体" w:hAnsi="新宋体" w:eastAsia="新宋体" w:cs="新宋体"/>
                <w:color w:val="auto"/>
                <w:sz w:val="21"/>
                <w:szCs w:val="21"/>
                <w:highlight w:val="none"/>
                <w:lang w:eastAsia="zh-CN"/>
              </w:rPr>
              <w:t>“</w:t>
            </w:r>
            <w:r>
              <w:rPr>
                <w:rFonts w:hint="eastAsia" w:ascii="新宋体" w:hAnsi="新宋体" w:eastAsia="新宋体" w:cs="新宋体"/>
                <w:color w:val="auto"/>
                <w:sz w:val="21"/>
                <w:szCs w:val="21"/>
                <w:highlight w:val="none"/>
              </w:rPr>
              <w:t>信用中国</w:t>
            </w:r>
            <w:r>
              <w:rPr>
                <w:rFonts w:hint="eastAsia" w:ascii="新宋体" w:hAnsi="新宋体" w:eastAsia="新宋体" w:cs="新宋体"/>
                <w:color w:val="auto"/>
                <w:sz w:val="21"/>
                <w:szCs w:val="21"/>
                <w:highlight w:val="none"/>
                <w:lang w:eastAsia="zh-CN"/>
              </w:rPr>
              <w:t>（</w:t>
            </w:r>
            <w:r>
              <w:rPr>
                <w:rFonts w:hint="eastAsia" w:ascii="新宋体" w:hAnsi="新宋体" w:eastAsia="新宋体" w:cs="新宋体"/>
                <w:color w:val="auto"/>
                <w:sz w:val="21"/>
                <w:szCs w:val="21"/>
                <w:highlight w:val="none"/>
              </w:rPr>
              <w:t>www.creditchina.gov.cn</w:t>
            </w:r>
            <w:r>
              <w:rPr>
                <w:rFonts w:hint="eastAsia" w:ascii="新宋体" w:hAnsi="新宋体" w:eastAsia="新宋体" w:cs="新宋体"/>
                <w:color w:val="auto"/>
                <w:sz w:val="21"/>
                <w:szCs w:val="21"/>
                <w:highlight w:val="none"/>
                <w:lang w:eastAsia="zh-CN"/>
              </w:rPr>
              <w:t>）”</w:t>
            </w:r>
            <w:r>
              <w:rPr>
                <w:rFonts w:hint="eastAsia" w:ascii="新宋体" w:hAnsi="新宋体" w:eastAsia="新宋体" w:cs="新宋体"/>
                <w:color w:val="auto"/>
                <w:sz w:val="21"/>
                <w:szCs w:val="21"/>
                <w:highlight w:val="none"/>
              </w:rPr>
              <w:t>和</w:t>
            </w:r>
            <w:r>
              <w:rPr>
                <w:rFonts w:hint="eastAsia" w:ascii="新宋体" w:hAnsi="新宋体" w:eastAsia="新宋体" w:cs="新宋体"/>
                <w:color w:val="auto"/>
                <w:sz w:val="21"/>
                <w:szCs w:val="21"/>
                <w:highlight w:val="none"/>
                <w:lang w:eastAsia="zh-CN"/>
              </w:rPr>
              <w:t>“</w:t>
            </w:r>
            <w:r>
              <w:rPr>
                <w:rFonts w:hint="eastAsia" w:ascii="新宋体" w:hAnsi="新宋体" w:eastAsia="新宋体" w:cs="新宋体"/>
                <w:color w:val="auto"/>
                <w:sz w:val="21"/>
                <w:szCs w:val="21"/>
                <w:highlight w:val="none"/>
              </w:rPr>
              <w:t>中国政府采购网</w:t>
            </w:r>
            <w:r>
              <w:rPr>
                <w:rFonts w:hint="eastAsia" w:ascii="新宋体" w:hAnsi="新宋体" w:eastAsia="新宋体" w:cs="新宋体"/>
                <w:color w:val="auto"/>
                <w:sz w:val="21"/>
                <w:szCs w:val="21"/>
                <w:highlight w:val="none"/>
                <w:lang w:eastAsia="zh-CN"/>
              </w:rPr>
              <w:t>（</w:t>
            </w:r>
            <w:r>
              <w:rPr>
                <w:rFonts w:hint="eastAsia" w:ascii="新宋体" w:hAnsi="新宋体" w:eastAsia="新宋体" w:cs="新宋体"/>
                <w:color w:val="auto"/>
                <w:sz w:val="21"/>
                <w:szCs w:val="21"/>
                <w:highlight w:val="none"/>
              </w:rPr>
              <w:t>www.ccgp.gov.cn</w:t>
            </w:r>
            <w:r>
              <w:rPr>
                <w:rFonts w:hint="eastAsia" w:ascii="新宋体" w:hAnsi="新宋体" w:eastAsia="新宋体" w:cs="新宋体"/>
                <w:color w:val="auto"/>
                <w:sz w:val="21"/>
                <w:szCs w:val="21"/>
                <w:highlight w:val="none"/>
                <w:lang w:eastAsia="zh-CN"/>
              </w:rPr>
              <w:t>）”</w:t>
            </w:r>
            <w:r>
              <w:rPr>
                <w:rFonts w:hint="eastAsia" w:ascii="新宋体" w:hAnsi="新宋体" w:eastAsia="新宋体" w:cs="新宋体"/>
                <w:color w:val="auto"/>
                <w:sz w:val="21"/>
                <w:szCs w:val="21"/>
                <w:highlight w:val="none"/>
              </w:rPr>
              <w:t>；</w:t>
            </w:r>
          </w:p>
          <w:p w14:paraId="4A1B9FC7">
            <w:pPr>
              <w:keepNext w:val="0"/>
              <w:keepLines w:val="0"/>
              <w:pageBreakBefore w:val="0"/>
              <w:suppressLineNumbers w:val="0"/>
              <w:tabs>
                <w:tab w:val="left" w:pos="900"/>
                <w:tab w:val="left" w:pos="1980"/>
              </w:tabs>
              <w:kinsoku/>
              <w:wordWrap/>
              <w:overflowPunct/>
              <w:topLinePunct w:val="0"/>
              <w:autoSpaceDE/>
              <w:autoSpaceDN/>
              <w:bidi w:val="0"/>
              <w:snapToGrid w:val="0"/>
              <w:spacing w:before="0" w:beforeAutospacing="0" w:after="0" w:afterAutospacing="0" w:line="300" w:lineRule="exact"/>
              <w:ind w:left="0" w:right="0"/>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截止时点：投标截止时间以后、资格审查阶段采购人或采购代理机构的实际查询时间；</w:t>
            </w:r>
          </w:p>
          <w:p w14:paraId="35C20196">
            <w:pPr>
              <w:keepNext w:val="0"/>
              <w:keepLines w:val="0"/>
              <w:pageBreakBefore w:val="0"/>
              <w:suppressLineNumbers w:val="0"/>
              <w:tabs>
                <w:tab w:val="left" w:pos="900"/>
                <w:tab w:val="left" w:pos="1980"/>
              </w:tabs>
              <w:kinsoku/>
              <w:wordWrap/>
              <w:overflowPunct/>
              <w:topLinePunct w:val="0"/>
              <w:autoSpaceDE/>
              <w:autoSpaceDN/>
              <w:bidi w:val="0"/>
              <w:snapToGrid w:val="0"/>
              <w:spacing w:before="0" w:beforeAutospacing="0" w:after="0" w:afterAutospacing="0" w:line="300" w:lineRule="exact"/>
              <w:ind w:left="0" w:right="0"/>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信用信息查询记录和证据留存具体方式：采购人、采购代理机构经办人将查询网页截图、打印、签字，作为查询记录和证据，与其他采购文件一并保存。投标人不良信用记录以采购人、采购代理机构查询结果为准。</w:t>
            </w:r>
          </w:p>
          <w:p w14:paraId="6784D08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信用信息的使用原则：供应商在“信用中国”网站被列入失信被执行人和重大税收违法案件当事人名单，或在“中国政府采购网”网站被列入政府采购严重违法失信行为记录名单。供应商有上述不良信用记录的，其</w:t>
            </w:r>
            <w:r>
              <w:rPr>
                <w:rFonts w:hint="eastAsia" w:ascii="新宋体" w:hAnsi="新宋体" w:eastAsia="新宋体" w:cs="新宋体"/>
                <w:b/>
                <w:color w:val="auto"/>
                <w:sz w:val="21"/>
                <w:szCs w:val="21"/>
                <w:highlight w:val="none"/>
              </w:rPr>
              <w:t>投标无效</w:t>
            </w:r>
            <w:r>
              <w:rPr>
                <w:rFonts w:hint="eastAsia" w:ascii="新宋体" w:hAnsi="新宋体" w:eastAsia="新宋体" w:cs="新宋体"/>
                <w:color w:val="auto"/>
                <w:sz w:val="21"/>
                <w:szCs w:val="21"/>
                <w:highlight w:val="none"/>
              </w:rPr>
              <w:t>。联合体形式投标的，联合体成员存在不良信用记录，视同联合体存在不良信用记录。</w:t>
            </w:r>
          </w:p>
          <w:p w14:paraId="659618F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left"/>
              <w:textAlignment w:val="auto"/>
              <w:outlineLvl w:val="9"/>
              <w:rPr>
                <w:rFonts w:hint="eastAsia" w:ascii="新宋体" w:hAnsi="新宋体" w:eastAsia="新宋体" w:cs="新宋体"/>
                <w:color w:val="auto"/>
                <w:kern w:val="0"/>
                <w:sz w:val="21"/>
                <w:szCs w:val="21"/>
                <w:highlight w:val="none"/>
                <w:lang w:val="en-US" w:eastAsia="zh-CN" w:bidi="ar-SA"/>
              </w:rPr>
            </w:pPr>
            <w:r>
              <w:rPr>
                <w:rFonts w:hint="eastAsia" w:ascii="新宋体" w:hAnsi="新宋体" w:eastAsia="新宋体" w:cs="新宋体"/>
                <w:color w:val="auto"/>
                <w:kern w:val="0"/>
                <w:sz w:val="21"/>
                <w:szCs w:val="21"/>
                <w:highlight w:val="none"/>
              </w:rPr>
              <w:t>（</w:t>
            </w:r>
            <w:r>
              <w:rPr>
                <w:rFonts w:hint="eastAsia" w:ascii="新宋体" w:hAnsi="新宋体" w:eastAsia="新宋体" w:cs="新宋体"/>
                <w:color w:val="auto"/>
                <w:sz w:val="21"/>
                <w:szCs w:val="21"/>
                <w:highlight w:val="none"/>
              </w:rPr>
              <w:t>投标人</w:t>
            </w:r>
            <w:r>
              <w:rPr>
                <w:rFonts w:hint="eastAsia" w:ascii="新宋体" w:hAnsi="新宋体" w:eastAsia="新宋体" w:cs="新宋体"/>
                <w:color w:val="auto"/>
                <w:sz w:val="21"/>
                <w:szCs w:val="21"/>
                <w:highlight w:val="none"/>
                <w:lang w:eastAsia="zh-CN"/>
              </w:rPr>
              <w:t>可自行</w:t>
            </w:r>
            <w:r>
              <w:rPr>
                <w:rFonts w:hint="eastAsia" w:ascii="新宋体" w:hAnsi="新宋体" w:eastAsia="新宋体" w:cs="新宋体"/>
                <w:color w:val="auto"/>
                <w:sz w:val="21"/>
                <w:szCs w:val="21"/>
                <w:highlight w:val="none"/>
              </w:rPr>
              <w:t>提供，</w:t>
            </w:r>
            <w:r>
              <w:rPr>
                <w:rFonts w:hint="eastAsia" w:ascii="新宋体" w:hAnsi="新宋体" w:eastAsia="新宋体" w:cs="新宋体"/>
                <w:color w:val="auto"/>
                <w:sz w:val="21"/>
                <w:szCs w:val="21"/>
                <w:highlight w:val="none"/>
                <w:lang w:eastAsia="zh-CN"/>
              </w:rPr>
              <w:t>以</w:t>
            </w:r>
            <w:r>
              <w:rPr>
                <w:rFonts w:hint="eastAsia" w:ascii="新宋体" w:hAnsi="新宋体" w:eastAsia="新宋体" w:cs="新宋体"/>
                <w:color w:val="auto"/>
                <w:sz w:val="21"/>
                <w:szCs w:val="21"/>
                <w:highlight w:val="none"/>
              </w:rPr>
              <w:t>采购人或采购代理机构</w:t>
            </w:r>
            <w:r>
              <w:rPr>
                <w:rFonts w:hint="eastAsia" w:ascii="新宋体" w:hAnsi="新宋体" w:eastAsia="新宋体" w:cs="新宋体"/>
                <w:color w:val="auto"/>
                <w:sz w:val="21"/>
                <w:szCs w:val="21"/>
                <w:highlight w:val="none"/>
                <w:lang w:eastAsia="zh-CN"/>
              </w:rPr>
              <w:t>现场实际</w:t>
            </w:r>
            <w:r>
              <w:rPr>
                <w:rFonts w:hint="eastAsia" w:ascii="新宋体" w:hAnsi="新宋体" w:eastAsia="新宋体" w:cs="新宋体"/>
                <w:color w:val="auto"/>
                <w:sz w:val="21"/>
                <w:szCs w:val="21"/>
                <w:highlight w:val="none"/>
              </w:rPr>
              <w:t>查询</w:t>
            </w:r>
            <w:r>
              <w:rPr>
                <w:rFonts w:hint="eastAsia" w:ascii="新宋体" w:hAnsi="新宋体" w:eastAsia="新宋体" w:cs="新宋体"/>
                <w:color w:val="auto"/>
                <w:sz w:val="21"/>
                <w:szCs w:val="21"/>
                <w:highlight w:val="none"/>
                <w:lang w:eastAsia="zh-CN"/>
              </w:rPr>
              <w:t>为准</w:t>
            </w:r>
            <w:r>
              <w:rPr>
                <w:rFonts w:hint="eastAsia" w:ascii="新宋体" w:hAnsi="新宋体" w:eastAsia="新宋体" w:cs="新宋体"/>
                <w:color w:val="auto"/>
                <w:sz w:val="21"/>
                <w:szCs w:val="21"/>
                <w:highlight w:val="none"/>
              </w:rPr>
              <w:t>。</w:t>
            </w:r>
            <w:r>
              <w:rPr>
                <w:rFonts w:hint="eastAsia" w:ascii="新宋体" w:hAnsi="新宋体" w:eastAsia="新宋体" w:cs="新宋体"/>
                <w:color w:val="auto"/>
                <w:kern w:val="0"/>
                <w:sz w:val="21"/>
                <w:szCs w:val="21"/>
                <w:highlight w:val="none"/>
              </w:rPr>
              <w:t>)</w:t>
            </w:r>
          </w:p>
        </w:tc>
      </w:tr>
      <w:tr w14:paraId="7A341D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371" w:type="pct"/>
            <w:noWrap w:val="0"/>
            <w:vAlign w:val="center"/>
          </w:tcPr>
          <w:p w14:paraId="104C7D1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结论</w:t>
            </w:r>
          </w:p>
        </w:tc>
        <w:tc>
          <w:tcPr>
            <w:tcW w:w="4628" w:type="pct"/>
            <w:gridSpan w:val="2"/>
            <w:noWrap w:val="0"/>
            <w:vAlign w:val="center"/>
          </w:tcPr>
          <w:p w14:paraId="0B9E4EE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审查结果“合格”或“不合格”</w:t>
            </w:r>
          </w:p>
        </w:tc>
      </w:tr>
    </w:tbl>
    <w:p w14:paraId="2F3B74E1">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 w:val="21"/>
          <w:szCs w:val="21"/>
          <w:highlight w:val="none"/>
        </w:rPr>
      </w:pPr>
    </w:p>
    <w:p w14:paraId="51DFF1C1">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采购人（签字）：</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u w:val="single"/>
          <w:lang w:val="en-US" w:eastAsia="zh-CN"/>
        </w:rPr>
        <w:t xml:space="preserve">    </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 xml:space="preserve">               采购代理机构（签字）：</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u w:val="single"/>
          <w:lang w:val="en-US" w:eastAsia="zh-CN"/>
        </w:rPr>
        <w:t xml:space="preserve">    </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 xml:space="preserve"> </w:t>
      </w:r>
    </w:p>
    <w:p w14:paraId="502DE03C">
      <w:pPr>
        <w:keepNext w:val="0"/>
        <w:keepLines w:val="0"/>
        <w:pageBreakBefore w:val="0"/>
        <w:widowControl w:val="0"/>
        <w:kinsoku/>
        <w:wordWrap/>
        <w:overflowPunct/>
        <w:topLinePunct w:val="0"/>
        <w:autoSpaceDE/>
        <w:autoSpaceDN/>
        <w:bidi w:val="0"/>
        <w:adjustRightInd w:val="0"/>
        <w:snapToGrid w:val="0"/>
        <w:spacing w:line="240" w:lineRule="auto"/>
        <w:jc w:val="righ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年</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月</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日</w:t>
      </w:r>
    </w:p>
    <w:p w14:paraId="29D9668F">
      <w:pPr>
        <w:keepNext w:val="0"/>
        <w:keepLines w:val="0"/>
        <w:pageBreakBefore w:val="0"/>
        <w:widowControl w:val="0"/>
        <w:kinsoku/>
        <w:wordWrap/>
        <w:overflowPunct/>
        <w:topLinePunct w:val="0"/>
        <w:autoSpaceDE/>
        <w:autoSpaceDN/>
        <w:bidi w:val="0"/>
        <w:adjustRightInd/>
        <w:snapToGrid/>
        <w:spacing w:line="280" w:lineRule="exact"/>
        <w:textAlignment w:val="auto"/>
        <w:outlineLvl w:val="9"/>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0"/>
          <w:szCs w:val="20"/>
          <w:highlight w:val="none"/>
        </w:rPr>
        <w:t>注：1、上述内容合格用“√”表示，不合格用“×”表示；</w:t>
      </w:r>
    </w:p>
    <w:p w14:paraId="750FCD56">
      <w:pPr>
        <w:keepNext w:val="0"/>
        <w:keepLines w:val="0"/>
        <w:pageBreakBefore w:val="0"/>
        <w:widowControl w:val="0"/>
        <w:kinsoku/>
        <w:wordWrap/>
        <w:overflowPunct/>
        <w:topLinePunct w:val="0"/>
        <w:autoSpaceDE/>
        <w:autoSpaceDN/>
        <w:bidi w:val="0"/>
        <w:adjustRightInd/>
        <w:snapToGrid/>
        <w:spacing w:line="280" w:lineRule="exact"/>
        <w:ind w:firstLine="400" w:firstLineChars="200"/>
        <w:jc w:val="left"/>
        <w:textAlignment w:val="auto"/>
        <w:outlineLvl w:val="9"/>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0"/>
          <w:szCs w:val="20"/>
          <w:highlight w:val="none"/>
        </w:rPr>
        <w:t>2、在结论栏中填写“合格”或“不合格”。</w:t>
      </w:r>
    </w:p>
    <w:p w14:paraId="25350E4B">
      <w:pPr>
        <w:keepNext w:val="0"/>
        <w:keepLines w:val="0"/>
        <w:pageBreakBefore w:val="0"/>
        <w:widowControl w:val="0"/>
        <w:kinsoku/>
        <w:wordWrap/>
        <w:overflowPunct/>
        <w:topLinePunct w:val="0"/>
        <w:autoSpaceDE/>
        <w:autoSpaceDN/>
        <w:bidi w:val="0"/>
        <w:adjustRightInd/>
        <w:snapToGrid/>
        <w:spacing w:line="280" w:lineRule="exact"/>
        <w:ind w:firstLine="400" w:firstLineChars="200"/>
        <w:jc w:val="left"/>
        <w:textAlignment w:val="auto"/>
        <w:outlineLvl w:val="9"/>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0"/>
          <w:szCs w:val="20"/>
          <w:highlight w:val="none"/>
        </w:rPr>
        <w:t>3、以上内容有一项不合格的，则初步评审的综合评定结果为不合格。</w:t>
      </w:r>
    </w:p>
    <w:p w14:paraId="7EF875D2">
      <w:pPr>
        <w:keepNext w:val="0"/>
        <w:keepLines w:val="0"/>
        <w:pageBreakBefore w:val="0"/>
        <w:widowControl w:val="0"/>
        <w:kinsoku/>
        <w:wordWrap/>
        <w:overflowPunct/>
        <w:topLinePunct w:val="0"/>
        <w:autoSpaceDE/>
        <w:autoSpaceDN/>
        <w:bidi w:val="0"/>
        <w:adjustRightInd/>
        <w:snapToGrid/>
        <w:spacing w:line="280" w:lineRule="exact"/>
        <w:ind w:firstLine="400" w:firstLineChars="200"/>
        <w:jc w:val="left"/>
        <w:textAlignment w:val="auto"/>
        <w:outlineLvl w:val="9"/>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0"/>
          <w:szCs w:val="20"/>
          <w:highlight w:val="none"/>
        </w:rPr>
        <w:t>4、结论为“不合格”的投标人不得进入实质性评价打分程序。</w:t>
      </w:r>
    </w:p>
    <w:p w14:paraId="2AC23A12">
      <w:pPr>
        <w:keepNext w:val="0"/>
        <w:keepLines w:val="0"/>
        <w:pageBreakBefore w:val="0"/>
        <w:widowControl/>
        <w:kinsoku/>
        <w:wordWrap/>
        <w:overflowPunct/>
        <w:topLinePunct w:val="0"/>
        <w:autoSpaceDE/>
        <w:autoSpaceDN/>
        <w:bidi w:val="0"/>
        <w:adjustRightInd/>
        <w:snapToGrid/>
        <w:jc w:val="left"/>
        <w:textAlignment w:val="auto"/>
        <w:outlineLvl w:val="9"/>
        <w:rPr>
          <w:rFonts w:hint="eastAsia" w:ascii="新宋体" w:hAnsi="新宋体" w:eastAsia="新宋体" w:cs="新宋体"/>
          <w:b w:val="0"/>
          <w:color w:val="auto"/>
          <w:sz w:val="21"/>
          <w:szCs w:val="21"/>
          <w:highlight w:val="none"/>
        </w:rPr>
      </w:pPr>
      <w:r>
        <w:rPr>
          <w:rFonts w:hint="eastAsia" w:ascii="新宋体" w:hAnsi="新宋体" w:eastAsia="新宋体" w:cs="新宋体"/>
          <w:b/>
          <w:color w:val="auto"/>
          <w:szCs w:val="21"/>
          <w:highlight w:val="none"/>
        </w:rPr>
        <w:br w:type="page"/>
      </w:r>
      <w:bookmarkStart w:id="75" w:name="_Toc429"/>
      <w:bookmarkStart w:id="76" w:name="_Toc24421"/>
      <w:r>
        <w:rPr>
          <w:rFonts w:hint="eastAsia" w:ascii="新宋体" w:hAnsi="新宋体" w:eastAsia="新宋体" w:cs="新宋体"/>
          <w:b w:val="0"/>
          <w:color w:val="auto"/>
          <w:sz w:val="21"/>
          <w:szCs w:val="21"/>
          <w:highlight w:val="none"/>
        </w:rPr>
        <w:t>附表2 资格审查结果一览表</w:t>
      </w:r>
      <w:bookmarkEnd w:id="75"/>
      <w:bookmarkEnd w:id="76"/>
    </w:p>
    <w:p w14:paraId="41282477">
      <w:pPr>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b/>
          <w:color w:val="auto"/>
          <w:sz w:val="28"/>
          <w:szCs w:val="28"/>
          <w:highlight w:val="none"/>
        </w:rPr>
      </w:pPr>
      <w:r>
        <w:rPr>
          <w:rFonts w:hint="eastAsia" w:ascii="新宋体" w:hAnsi="新宋体" w:eastAsia="新宋体" w:cs="新宋体"/>
          <w:b/>
          <w:color w:val="auto"/>
          <w:sz w:val="28"/>
          <w:szCs w:val="28"/>
          <w:highlight w:val="none"/>
        </w:rPr>
        <w:t>资格审查结果一览表</w:t>
      </w:r>
    </w:p>
    <w:p w14:paraId="5490813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 xml:space="preserve">项目名称：                                                  政府采购计划编号：         </w:t>
      </w:r>
    </w:p>
    <w:tbl>
      <w:tblPr>
        <w:tblStyle w:val="27"/>
        <w:tblW w:w="4998"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57"/>
        <w:gridCol w:w="3222"/>
        <w:gridCol w:w="2651"/>
        <w:gridCol w:w="3220"/>
      </w:tblGrid>
      <w:tr w14:paraId="40BBA8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4" w:hRule="atLeast"/>
        </w:trPr>
        <w:tc>
          <w:tcPr>
            <w:tcW w:w="384" w:type="pct"/>
            <w:noWrap w:val="0"/>
            <w:vAlign w:val="center"/>
          </w:tcPr>
          <w:p w14:paraId="28F84E0A">
            <w:pPr>
              <w:keepNext w:val="0"/>
              <w:keepLines w:val="0"/>
              <w:pageBreakBefore w:val="0"/>
              <w:suppressLineNumbers w:val="0"/>
              <w:kinsoku/>
              <w:overflowPunct/>
              <w:topLinePunct w:val="0"/>
              <w:bidi w:val="0"/>
              <w:spacing w:before="0" w:beforeAutospacing="0" w:after="0" w:afterAutospacing="0"/>
              <w:ind w:left="0" w:right="0"/>
              <w:jc w:val="center"/>
              <w:textAlignment w:val="auto"/>
              <w:outlineLvl w:val="9"/>
              <w:rPr>
                <w:rFonts w:hint="eastAsia" w:ascii="新宋体" w:hAnsi="新宋体" w:eastAsia="新宋体" w:cs="新宋体"/>
                <w:b/>
                <w:color w:val="auto"/>
                <w:kern w:val="0"/>
                <w:szCs w:val="21"/>
                <w:highlight w:val="none"/>
              </w:rPr>
            </w:pPr>
            <w:r>
              <w:rPr>
                <w:rFonts w:hint="eastAsia" w:ascii="新宋体" w:hAnsi="新宋体" w:eastAsia="新宋体" w:cs="新宋体"/>
                <w:b/>
                <w:color w:val="auto"/>
                <w:kern w:val="0"/>
                <w:szCs w:val="21"/>
                <w:highlight w:val="none"/>
              </w:rPr>
              <w:t>序号</w:t>
            </w:r>
          </w:p>
        </w:tc>
        <w:tc>
          <w:tcPr>
            <w:tcW w:w="1635" w:type="pct"/>
            <w:noWrap w:val="0"/>
            <w:vAlign w:val="center"/>
          </w:tcPr>
          <w:p w14:paraId="34779FE3">
            <w:pPr>
              <w:keepNext w:val="0"/>
              <w:keepLines w:val="0"/>
              <w:pageBreakBefore w:val="0"/>
              <w:suppressLineNumbers w:val="0"/>
              <w:kinsoku/>
              <w:overflowPunct/>
              <w:topLinePunct w:val="0"/>
              <w:bidi w:val="0"/>
              <w:spacing w:before="0" w:beforeAutospacing="0" w:after="0" w:afterAutospacing="0"/>
              <w:ind w:left="0" w:right="0"/>
              <w:jc w:val="center"/>
              <w:textAlignment w:val="auto"/>
              <w:outlineLvl w:val="9"/>
              <w:rPr>
                <w:rFonts w:hint="eastAsia" w:ascii="新宋体" w:hAnsi="新宋体" w:eastAsia="新宋体" w:cs="新宋体"/>
                <w:b/>
                <w:color w:val="auto"/>
                <w:kern w:val="0"/>
                <w:szCs w:val="21"/>
                <w:highlight w:val="none"/>
              </w:rPr>
            </w:pPr>
            <w:r>
              <w:rPr>
                <w:rFonts w:hint="eastAsia" w:ascii="新宋体" w:hAnsi="新宋体" w:eastAsia="新宋体" w:cs="新宋体"/>
                <w:b/>
                <w:color w:val="auto"/>
                <w:kern w:val="0"/>
                <w:szCs w:val="21"/>
                <w:highlight w:val="none"/>
              </w:rPr>
              <w:t>投标人名称</w:t>
            </w:r>
          </w:p>
        </w:tc>
        <w:tc>
          <w:tcPr>
            <w:tcW w:w="1345" w:type="pct"/>
            <w:noWrap w:val="0"/>
            <w:vAlign w:val="center"/>
          </w:tcPr>
          <w:p w14:paraId="659CC0C3">
            <w:pPr>
              <w:keepNext w:val="0"/>
              <w:keepLines w:val="0"/>
              <w:pageBreakBefore w:val="0"/>
              <w:suppressLineNumbers w:val="0"/>
              <w:kinsoku/>
              <w:overflowPunct/>
              <w:topLinePunct w:val="0"/>
              <w:bidi w:val="0"/>
              <w:spacing w:before="0" w:beforeAutospacing="0" w:after="0" w:afterAutospacing="0"/>
              <w:ind w:left="0" w:right="0"/>
              <w:jc w:val="center"/>
              <w:textAlignment w:val="auto"/>
              <w:outlineLvl w:val="9"/>
              <w:rPr>
                <w:rFonts w:hint="eastAsia" w:ascii="新宋体" w:hAnsi="新宋体" w:eastAsia="新宋体" w:cs="新宋体"/>
                <w:b/>
                <w:color w:val="auto"/>
                <w:kern w:val="0"/>
                <w:szCs w:val="21"/>
                <w:highlight w:val="none"/>
              </w:rPr>
            </w:pPr>
            <w:r>
              <w:rPr>
                <w:rFonts w:hint="eastAsia" w:ascii="新宋体" w:hAnsi="新宋体" w:eastAsia="新宋体" w:cs="新宋体"/>
                <w:b/>
                <w:color w:val="auto"/>
                <w:kern w:val="0"/>
                <w:szCs w:val="21"/>
                <w:highlight w:val="none"/>
              </w:rPr>
              <w:t>资格审查结果</w:t>
            </w:r>
          </w:p>
          <w:p w14:paraId="0B3F9B74">
            <w:pPr>
              <w:keepNext w:val="0"/>
              <w:keepLines w:val="0"/>
              <w:pageBreakBefore w:val="0"/>
              <w:suppressLineNumbers w:val="0"/>
              <w:kinsoku/>
              <w:overflowPunct/>
              <w:topLinePunct w:val="0"/>
              <w:bidi w:val="0"/>
              <w:spacing w:before="0" w:beforeAutospacing="0" w:after="0" w:afterAutospacing="0"/>
              <w:ind w:left="0" w:right="0"/>
              <w:jc w:val="center"/>
              <w:textAlignment w:val="auto"/>
              <w:outlineLvl w:val="9"/>
              <w:rPr>
                <w:rFonts w:hint="eastAsia" w:ascii="新宋体" w:hAnsi="新宋体" w:eastAsia="新宋体" w:cs="新宋体"/>
                <w:b/>
                <w:color w:val="auto"/>
                <w:kern w:val="0"/>
                <w:szCs w:val="21"/>
                <w:highlight w:val="none"/>
              </w:rPr>
            </w:pPr>
            <w:r>
              <w:rPr>
                <w:rFonts w:hint="eastAsia" w:ascii="新宋体" w:hAnsi="新宋体" w:eastAsia="新宋体" w:cs="新宋体"/>
                <w:b/>
                <w:color w:val="auto"/>
                <w:kern w:val="0"/>
                <w:szCs w:val="21"/>
                <w:highlight w:val="none"/>
              </w:rPr>
              <w:t>（合格/不合格）</w:t>
            </w:r>
          </w:p>
        </w:tc>
        <w:tc>
          <w:tcPr>
            <w:tcW w:w="1634" w:type="pct"/>
            <w:noWrap w:val="0"/>
            <w:vAlign w:val="center"/>
          </w:tcPr>
          <w:p w14:paraId="1BC52CA7">
            <w:pPr>
              <w:keepNext w:val="0"/>
              <w:keepLines w:val="0"/>
              <w:pageBreakBefore w:val="0"/>
              <w:suppressLineNumbers w:val="0"/>
              <w:kinsoku/>
              <w:overflowPunct/>
              <w:topLinePunct w:val="0"/>
              <w:bidi w:val="0"/>
              <w:spacing w:before="0" w:beforeAutospacing="0" w:after="0" w:afterAutospacing="0"/>
              <w:ind w:left="0" w:right="0"/>
              <w:jc w:val="center"/>
              <w:textAlignment w:val="auto"/>
              <w:outlineLvl w:val="9"/>
              <w:rPr>
                <w:rFonts w:hint="eastAsia" w:ascii="新宋体" w:hAnsi="新宋体" w:eastAsia="新宋体" w:cs="新宋体"/>
                <w:b/>
                <w:color w:val="auto"/>
                <w:kern w:val="0"/>
                <w:szCs w:val="21"/>
                <w:highlight w:val="none"/>
              </w:rPr>
            </w:pPr>
            <w:r>
              <w:rPr>
                <w:rFonts w:hint="eastAsia" w:ascii="新宋体" w:hAnsi="新宋体" w:eastAsia="新宋体" w:cs="新宋体"/>
                <w:b/>
                <w:color w:val="auto"/>
                <w:kern w:val="0"/>
                <w:szCs w:val="21"/>
                <w:highlight w:val="none"/>
              </w:rPr>
              <w:t>资格审查不合格原因</w:t>
            </w:r>
          </w:p>
        </w:tc>
      </w:tr>
      <w:tr w14:paraId="646E86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63" w:hRule="atLeast"/>
        </w:trPr>
        <w:tc>
          <w:tcPr>
            <w:tcW w:w="384" w:type="pct"/>
            <w:noWrap w:val="0"/>
            <w:vAlign w:val="top"/>
          </w:tcPr>
          <w:p w14:paraId="2C593B62">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55394B45">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4FF5A201">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3DBD01FC">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5955CD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63" w:hRule="atLeast"/>
        </w:trPr>
        <w:tc>
          <w:tcPr>
            <w:tcW w:w="384" w:type="pct"/>
            <w:noWrap w:val="0"/>
            <w:vAlign w:val="top"/>
          </w:tcPr>
          <w:p w14:paraId="259C8C6D">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2FB64FC6">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71081C26">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2015D232">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3B33C3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63" w:hRule="atLeast"/>
        </w:trPr>
        <w:tc>
          <w:tcPr>
            <w:tcW w:w="384" w:type="pct"/>
            <w:noWrap w:val="0"/>
            <w:vAlign w:val="top"/>
          </w:tcPr>
          <w:p w14:paraId="5463C04C">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461A9CCD">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750B07FF">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3B522484">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61545F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63" w:hRule="atLeast"/>
        </w:trPr>
        <w:tc>
          <w:tcPr>
            <w:tcW w:w="384" w:type="pct"/>
            <w:noWrap w:val="0"/>
            <w:vAlign w:val="top"/>
          </w:tcPr>
          <w:p w14:paraId="43CF318B">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56342E85">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4DA7AC74">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3C063259">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2DB6F2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63" w:hRule="atLeast"/>
        </w:trPr>
        <w:tc>
          <w:tcPr>
            <w:tcW w:w="384" w:type="pct"/>
            <w:noWrap w:val="0"/>
            <w:vAlign w:val="top"/>
          </w:tcPr>
          <w:p w14:paraId="548FCA6B">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3DB9C742">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681CF9D3">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05559980">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78786C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63" w:hRule="atLeast"/>
        </w:trPr>
        <w:tc>
          <w:tcPr>
            <w:tcW w:w="384" w:type="pct"/>
            <w:noWrap w:val="0"/>
            <w:vAlign w:val="top"/>
          </w:tcPr>
          <w:p w14:paraId="317A36BE">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4DBDB593">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591713AC">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35239D8F">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6BE14E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63" w:hRule="atLeast"/>
        </w:trPr>
        <w:tc>
          <w:tcPr>
            <w:tcW w:w="384" w:type="pct"/>
            <w:noWrap w:val="0"/>
            <w:vAlign w:val="top"/>
          </w:tcPr>
          <w:p w14:paraId="02A9ADB4">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70251FEF">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3A0B2DD3">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1096EBF6">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0EC93C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63" w:hRule="atLeast"/>
        </w:trPr>
        <w:tc>
          <w:tcPr>
            <w:tcW w:w="384" w:type="pct"/>
            <w:noWrap w:val="0"/>
            <w:vAlign w:val="top"/>
          </w:tcPr>
          <w:p w14:paraId="1BA1DB1A">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4D524EB0">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116DBF90">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291637AE">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7AAA45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63" w:hRule="atLeast"/>
        </w:trPr>
        <w:tc>
          <w:tcPr>
            <w:tcW w:w="384" w:type="pct"/>
            <w:noWrap w:val="0"/>
            <w:vAlign w:val="top"/>
          </w:tcPr>
          <w:p w14:paraId="4031BA98">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04AA89A6">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21DC6DD2">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23ED5B79">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bl>
    <w:p w14:paraId="4806BC15">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Cs w:val="21"/>
          <w:highlight w:val="none"/>
        </w:rPr>
      </w:pPr>
    </w:p>
    <w:p w14:paraId="6DB6B8F3">
      <w:pPr>
        <w:pageBreakBefore w:val="0"/>
        <w:kinsoku/>
        <w:overflowPunct/>
        <w:topLinePunct w:val="0"/>
        <w:bidi w:val="0"/>
        <w:adjustRightInd w:val="0"/>
        <w:snapToGrid w:val="0"/>
        <w:spacing w:line="360" w:lineRule="auto"/>
        <w:textAlignment w:val="auto"/>
        <w:outlineLvl w:val="9"/>
        <w:rPr>
          <w:rFonts w:hint="default" w:ascii="新宋体" w:hAnsi="新宋体" w:eastAsia="新宋体" w:cs="新宋体"/>
          <w:color w:val="auto"/>
          <w:szCs w:val="21"/>
          <w:highlight w:val="none"/>
          <w:lang w:val="en-US" w:eastAsia="zh-CN"/>
        </w:rPr>
      </w:pPr>
      <w:r>
        <w:rPr>
          <w:rFonts w:hint="eastAsia" w:ascii="新宋体" w:hAnsi="新宋体" w:eastAsia="新宋体" w:cs="新宋体"/>
          <w:color w:val="auto"/>
          <w:szCs w:val="21"/>
          <w:highlight w:val="none"/>
        </w:rPr>
        <w:t>采购人（签字）：</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u w:val="single"/>
          <w:lang w:val="en-US" w:eastAsia="zh-CN"/>
        </w:rPr>
        <w:t xml:space="preserve">        </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 xml:space="preserve">     </w:t>
      </w:r>
      <w:r>
        <w:rPr>
          <w:rFonts w:hint="eastAsia" w:ascii="新宋体" w:hAnsi="新宋体" w:eastAsia="新宋体" w:cs="新宋体"/>
          <w:color w:val="auto"/>
          <w:szCs w:val="21"/>
          <w:highlight w:val="none"/>
          <w:lang w:val="en-US" w:eastAsia="zh-CN"/>
        </w:rPr>
        <w:t xml:space="preserve">      </w:t>
      </w:r>
      <w:r>
        <w:rPr>
          <w:rFonts w:hint="eastAsia" w:ascii="新宋体" w:hAnsi="新宋体" w:eastAsia="新宋体" w:cs="新宋体"/>
          <w:color w:val="auto"/>
          <w:szCs w:val="21"/>
          <w:highlight w:val="none"/>
        </w:rPr>
        <w:t xml:space="preserve"> 采购代理机构（签字）：</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u w:val="single"/>
          <w:lang w:val="en-US" w:eastAsia="zh-CN"/>
        </w:rPr>
        <w:t xml:space="preserve">  </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u w:val="single"/>
          <w:lang w:val="en-US" w:eastAsia="zh-CN"/>
        </w:rPr>
        <w:t xml:space="preserve">    </w:t>
      </w:r>
    </w:p>
    <w:p w14:paraId="5D7B5F3C">
      <w:pPr>
        <w:pageBreakBefore w:val="0"/>
        <w:kinsoku/>
        <w:overflowPunct/>
        <w:topLinePunct w:val="0"/>
        <w:bidi w:val="0"/>
        <w:adjustRightInd w:val="0"/>
        <w:snapToGrid w:val="0"/>
        <w:spacing w:line="360" w:lineRule="auto"/>
        <w:jc w:val="right"/>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年</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月</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日</w:t>
      </w:r>
    </w:p>
    <w:p w14:paraId="419E28D8">
      <w:pPr>
        <w:keepNext w:val="0"/>
        <w:keepLines w:val="0"/>
        <w:pageBreakBefore w:val="0"/>
        <w:widowControl/>
        <w:kinsoku/>
        <w:wordWrap/>
        <w:overflowPunct/>
        <w:topLinePunct w:val="0"/>
        <w:autoSpaceDE/>
        <w:autoSpaceDN/>
        <w:bidi w:val="0"/>
        <w:adjustRightInd/>
        <w:snapToGrid/>
        <w:jc w:val="left"/>
        <w:textAlignment w:val="auto"/>
        <w:outlineLvl w:val="9"/>
        <w:rPr>
          <w:rFonts w:hint="eastAsia" w:ascii="新宋体" w:hAnsi="新宋体" w:eastAsia="新宋体" w:cs="新宋体"/>
          <w:b w:val="0"/>
          <w:color w:val="auto"/>
          <w:sz w:val="21"/>
          <w:szCs w:val="21"/>
          <w:highlight w:val="none"/>
        </w:rPr>
      </w:pPr>
      <w:r>
        <w:rPr>
          <w:rFonts w:hint="eastAsia" w:ascii="新宋体" w:hAnsi="新宋体" w:eastAsia="新宋体" w:cs="新宋体"/>
          <w:color w:val="auto"/>
          <w:sz w:val="24"/>
          <w:highlight w:val="none"/>
        </w:rPr>
        <w:br w:type="page"/>
      </w:r>
      <w:bookmarkStart w:id="77" w:name="_Toc6134"/>
      <w:bookmarkStart w:id="78" w:name="_Toc30390"/>
      <w:r>
        <w:rPr>
          <w:rFonts w:hint="eastAsia" w:ascii="新宋体" w:hAnsi="新宋体" w:eastAsia="新宋体" w:cs="新宋体"/>
          <w:b w:val="0"/>
          <w:color w:val="auto"/>
          <w:sz w:val="21"/>
          <w:szCs w:val="21"/>
          <w:highlight w:val="none"/>
        </w:rPr>
        <w:t>附表3 资格审查合格投标人名单</w:t>
      </w:r>
      <w:bookmarkEnd w:id="77"/>
      <w:bookmarkEnd w:id="78"/>
    </w:p>
    <w:p w14:paraId="6F773CEC">
      <w:pPr>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b/>
          <w:color w:val="auto"/>
          <w:sz w:val="28"/>
          <w:szCs w:val="28"/>
          <w:highlight w:val="none"/>
        </w:rPr>
      </w:pPr>
      <w:r>
        <w:rPr>
          <w:rFonts w:hint="eastAsia" w:ascii="新宋体" w:hAnsi="新宋体" w:eastAsia="新宋体" w:cs="新宋体"/>
          <w:b/>
          <w:color w:val="auto"/>
          <w:sz w:val="28"/>
          <w:szCs w:val="28"/>
          <w:highlight w:val="none"/>
        </w:rPr>
        <w:t>资格审查合格投标人名单</w:t>
      </w:r>
    </w:p>
    <w:p w14:paraId="0A46816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eastAsia" w:ascii="新宋体" w:hAnsi="新宋体" w:eastAsia="新宋体" w:cs="新宋体"/>
          <w:color w:val="auto"/>
          <w:sz w:val="32"/>
          <w:szCs w:val="32"/>
          <w:highlight w:val="none"/>
        </w:rPr>
      </w:pPr>
      <w:r>
        <w:rPr>
          <w:rFonts w:hint="eastAsia" w:ascii="新宋体" w:hAnsi="新宋体" w:eastAsia="新宋体" w:cs="新宋体"/>
          <w:color w:val="auto"/>
          <w:szCs w:val="21"/>
          <w:highlight w:val="none"/>
        </w:rPr>
        <w:t>项目名称：</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 xml:space="preserve">                                        政府采购计划编号：</w:t>
      </w:r>
      <w:r>
        <w:rPr>
          <w:rFonts w:hint="eastAsia" w:ascii="新宋体" w:hAnsi="新宋体" w:eastAsia="新宋体" w:cs="新宋体"/>
          <w:color w:val="auto"/>
          <w:szCs w:val="21"/>
          <w:highlight w:val="none"/>
          <w:u w:val="single"/>
        </w:rPr>
        <w:t xml:space="preserve">           </w:t>
      </w:r>
    </w:p>
    <w:tbl>
      <w:tblPr>
        <w:tblStyle w:val="27"/>
        <w:tblW w:w="4999"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112"/>
        <w:gridCol w:w="8740"/>
      </w:tblGrid>
      <w:tr w14:paraId="0B7A75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6" w:hRule="atLeast"/>
        </w:trPr>
        <w:tc>
          <w:tcPr>
            <w:tcW w:w="564" w:type="pct"/>
            <w:noWrap w:val="0"/>
            <w:vAlign w:val="center"/>
          </w:tcPr>
          <w:p w14:paraId="6FF53A64">
            <w:pPr>
              <w:keepNext w:val="0"/>
              <w:keepLines w:val="0"/>
              <w:pageBreakBefore w:val="0"/>
              <w:suppressLineNumbers w:val="0"/>
              <w:kinsoku/>
              <w:overflowPunct/>
              <w:topLinePunct w:val="0"/>
              <w:bidi w:val="0"/>
              <w:spacing w:before="0" w:beforeAutospacing="0" w:after="0" w:afterAutospacing="0"/>
              <w:ind w:left="0" w:right="0"/>
              <w:jc w:val="center"/>
              <w:textAlignment w:val="auto"/>
              <w:outlineLvl w:val="9"/>
              <w:rPr>
                <w:rFonts w:hint="eastAsia" w:ascii="新宋体" w:hAnsi="新宋体" w:eastAsia="新宋体" w:cs="新宋体"/>
                <w:b/>
                <w:color w:val="auto"/>
                <w:kern w:val="0"/>
                <w:szCs w:val="21"/>
                <w:highlight w:val="none"/>
              </w:rPr>
            </w:pPr>
            <w:r>
              <w:rPr>
                <w:rFonts w:hint="eastAsia" w:ascii="新宋体" w:hAnsi="新宋体" w:eastAsia="新宋体" w:cs="新宋体"/>
                <w:b/>
                <w:color w:val="auto"/>
                <w:kern w:val="0"/>
                <w:szCs w:val="21"/>
                <w:highlight w:val="none"/>
              </w:rPr>
              <w:t>序号</w:t>
            </w:r>
          </w:p>
        </w:tc>
        <w:tc>
          <w:tcPr>
            <w:tcW w:w="4435" w:type="pct"/>
            <w:noWrap w:val="0"/>
            <w:vAlign w:val="center"/>
          </w:tcPr>
          <w:p w14:paraId="4A613D03">
            <w:pPr>
              <w:keepNext w:val="0"/>
              <w:keepLines w:val="0"/>
              <w:pageBreakBefore w:val="0"/>
              <w:suppressLineNumbers w:val="0"/>
              <w:kinsoku/>
              <w:overflowPunct/>
              <w:topLinePunct w:val="0"/>
              <w:bidi w:val="0"/>
              <w:spacing w:before="0" w:beforeAutospacing="0" w:after="0" w:afterAutospacing="0"/>
              <w:ind w:left="0" w:right="0"/>
              <w:jc w:val="center"/>
              <w:textAlignment w:val="auto"/>
              <w:outlineLvl w:val="9"/>
              <w:rPr>
                <w:rFonts w:hint="eastAsia" w:ascii="新宋体" w:hAnsi="新宋体" w:eastAsia="新宋体" w:cs="新宋体"/>
                <w:b/>
                <w:color w:val="auto"/>
                <w:kern w:val="0"/>
                <w:szCs w:val="21"/>
                <w:highlight w:val="none"/>
              </w:rPr>
            </w:pPr>
            <w:r>
              <w:rPr>
                <w:rFonts w:hint="eastAsia" w:ascii="新宋体" w:hAnsi="新宋体" w:eastAsia="新宋体" w:cs="新宋体"/>
                <w:b/>
                <w:color w:val="auto"/>
                <w:kern w:val="0"/>
                <w:szCs w:val="21"/>
                <w:highlight w:val="none"/>
              </w:rPr>
              <w:t>合格投标人名称</w:t>
            </w:r>
          </w:p>
        </w:tc>
      </w:tr>
      <w:tr w14:paraId="127E12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6" w:hRule="atLeast"/>
        </w:trPr>
        <w:tc>
          <w:tcPr>
            <w:tcW w:w="564" w:type="pct"/>
            <w:noWrap w:val="0"/>
            <w:vAlign w:val="top"/>
          </w:tcPr>
          <w:p w14:paraId="168BDFD6">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Cs w:val="21"/>
                <w:highlight w:val="none"/>
              </w:rPr>
            </w:pPr>
          </w:p>
        </w:tc>
        <w:tc>
          <w:tcPr>
            <w:tcW w:w="4435" w:type="pct"/>
            <w:noWrap w:val="0"/>
            <w:vAlign w:val="top"/>
          </w:tcPr>
          <w:p w14:paraId="05E8B288">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Cs w:val="21"/>
                <w:highlight w:val="none"/>
              </w:rPr>
            </w:pPr>
          </w:p>
        </w:tc>
      </w:tr>
      <w:tr w14:paraId="2DD43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6" w:hRule="atLeast"/>
        </w:trPr>
        <w:tc>
          <w:tcPr>
            <w:tcW w:w="564" w:type="pct"/>
            <w:noWrap w:val="0"/>
            <w:vAlign w:val="top"/>
          </w:tcPr>
          <w:p w14:paraId="49DFA363">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4435" w:type="pct"/>
            <w:noWrap w:val="0"/>
            <w:vAlign w:val="top"/>
          </w:tcPr>
          <w:p w14:paraId="4F1BB281">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44BA40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6" w:hRule="atLeast"/>
        </w:trPr>
        <w:tc>
          <w:tcPr>
            <w:tcW w:w="564" w:type="pct"/>
            <w:noWrap w:val="0"/>
            <w:vAlign w:val="top"/>
          </w:tcPr>
          <w:p w14:paraId="1F72F86B">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4435" w:type="pct"/>
            <w:noWrap w:val="0"/>
            <w:vAlign w:val="top"/>
          </w:tcPr>
          <w:p w14:paraId="4E5AD7D7">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165806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6" w:hRule="atLeast"/>
        </w:trPr>
        <w:tc>
          <w:tcPr>
            <w:tcW w:w="564" w:type="pct"/>
            <w:noWrap w:val="0"/>
            <w:vAlign w:val="top"/>
          </w:tcPr>
          <w:p w14:paraId="3AA2D193">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4435" w:type="pct"/>
            <w:noWrap w:val="0"/>
            <w:vAlign w:val="top"/>
          </w:tcPr>
          <w:p w14:paraId="196E98A0">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1FAA27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6" w:hRule="atLeast"/>
        </w:trPr>
        <w:tc>
          <w:tcPr>
            <w:tcW w:w="564" w:type="pct"/>
            <w:noWrap w:val="0"/>
            <w:vAlign w:val="top"/>
          </w:tcPr>
          <w:p w14:paraId="32BF69C8">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4435" w:type="pct"/>
            <w:noWrap w:val="0"/>
            <w:vAlign w:val="top"/>
          </w:tcPr>
          <w:p w14:paraId="0CB25924">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7FC4D2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6" w:hRule="atLeast"/>
        </w:trPr>
        <w:tc>
          <w:tcPr>
            <w:tcW w:w="564" w:type="pct"/>
            <w:noWrap w:val="0"/>
            <w:vAlign w:val="top"/>
          </w:tcPr>
          <w:p w14:paraId="045A834C">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4435" w:type="pct"/>
            <w:noWrap w:val="0"/>
            <w:vAlign w:val="top"/>
          </w:tcPr>
          <w:p w14:paraId="5E9E6950">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bl>
    <w:p w14:paraId="7B51E53B">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Cs w:val="21"/>
          <w:highlight w:val="none"/>
        </w:rPr>
      </w:pPr>
    </w:p>
    <w:p w14:paraId="1452A25B">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采购人（签字）：</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u w:val="single"/>
          <w:lang w:val="en-US" w:eastAsia="zh-CN"/>
        </w:rPr>
        <w:t xml:space="preserve">           </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 xml:space="preserve"> </w:t>
      </w:r>
      <w:r>
        <w:rPr>
          <w:rFonts w:hint="eastAsia" w:ascii="新宋体" w:hAnsi="新宋体" w:eastAsia="新宋体" w:cs="新宋体"/>
          <w:color w:val="auto"/>
          <w:szCs w:val="21"/>
          <w:highlight w:val="none"/>
          <w:lang w:val="en-US" w:eastAsia="zh-CN"/>
        </w:rPr>
        <w:t xml:space="preserve">          </w:t>
      </w:r>
      <w:r>
        <w:rPr>
          <w:rFonts w:hint="eastAsia" w:ascii="新宋体" w:hAnsi="新宋体" w:eastAsia="新宋体" w:cs="新宋体"/>
          <w:color w:val="auto"/>
          <w:szCs w:val="21"/>
          <w:highlight w:val="none"/>
        </w:rPr>
        <w:t>采购代理机构（签字）：</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u w:val="single"/>
          <w:lang w:val="en-US" w:eastAsia="zh-CN"/>
        </w:rPr>
        <w:t xml:space="preserve">         </w:t>
      </w:r>
      <w:r>
        <w:rPr>
          <w:rFonts w:hint="eastAsia" w:ascii="新宋体" w:hAnsi="新宋体" w:eastAsia="新宋体" w:cs="新宋体"/>
          <w:color w:val="auto"/>
          <w:szCs w:val="21"/>
          <w:highlight w:val="none"/>
          <w:u w:val="single"/>
        </w:rPr>
        <w:t xml:space="preserve">    </w:t>
      </w:r>
    </w:p>
    <w:p w14:paraId="26CAB063">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新宋体" w:hAnsi="新宋体" w:eastAsia="新宋体" w:cs="新宋体"/>
          <w:b/>
          <w:color w:val="auto"/>
          <w:sz w:val="28"/>
          <w:szCs w:val="28"/>
          <w:highlight w:val="none"/>
        </w:rPr>
      </w:pPr>
      <w:bookmarkStart w:id="79" w:name="_Toc12509"/>
      <w:bookmarkStart w:id="80" w:name="_Toc1340"/>
      <w:bookmarkStart w:id="81" w:name="_Toc26344"/>
      <w:bookmarkStart w:id="82" w:name="_Toc17263"/>
      <w:bookmarkStart w:id="83" w:name="_Toc26371"/>
      <w:r>
        <w:rPr>
          <w:rFonts w:hint="eastAsia" w:ascii="新宋体" w:hAnsi="新宋体" w:eastAsia="新宋体" w:cs="新宋体"/>
          <w:color w:val="auto"/>
          <w:szCs w:val="21"/>
          <w:highlight w:val="none"/>
        </w:rPr>
        <w:t>年</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月</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日</w:t>
      </w:r>
      <w:r>
        <w:rPr>
          <w:rFonts w:hint="eastAsia" w:ascii="新宋体" w:hAnsi="新宋体" w:eastAsia="新宋体" w:cs="新宋体"/>
          <w:color w:val="auto"/>
          <w:highlight w:val="none"/>
        </w:rPr>
        <w:br w:type="page"/>
      </w:r>
      <w:bookmarkStart w:id="84" w:name="_Toc18438"/>
      <w:r>
        <w:rPr>
          <w:rFonts w:hint="eastAsia" w:ascii="新宋体" w:hAnsi="新宋体" w:eastAsia="新宋体" w:cs="新宋体"/>
          <w:b/>
          <w:color w:val="auto"/>
          <w:sz w:val="32"/>
          <w:szCs w:val="32"/>
          <w:highlight w:val="none"/>
        </w:rPr>
        <w:t>第四章 评标方法及标准</w:t>
      </w:r>
      <w:bookmarkEnd w:id="79"/>
      <w:bookmarkEnd w:id="80"/>
      <w:bookmarkEnd w:id="81"/>
      <w:bookmarkEnd w:id="82"/>
      <w:bookmarkEnd w:id="83"/>
      <w:bookmarkEnd w:id="84"/>
    </w:p>
    <w:p w14:paraId="79D71395">
      <w:pPr>
        <w:keepNext w:val="0"/>
        <w:keepLines w:val="0"/>
        <w:pageBreakBefore w:val="0"/>
        <w:widowControl w:val="0"/>
        <w:kinsoku/>
        <w:wordWrap/>
        <w:overflowPunct/>
        <w:topLinePunct w:val="0"/>
        <w:autoSpaceDE/>
        <w:autoSpaceDN/>
        <w:bidi w:val="0"/>
        <w:adjustRightInd w:val="0"/>
        <w:snapToGrid w:val="0"/>
        <w:jc w:val="center"/>
        <w:textAlignment w:val="auto"/>
        <w:outlineLvl w:val="1"/>
        <w:rPr>
          <w:rFonts w:hint="eastAsia" w:ascii="新宋体" w:hAnsi="新宋体" w:eastAsia="新宋体" w:cs="新宋体"/>
          <w:b/>
          <w:bCs/>
          <w:color w:val="auto"/>
          <w:sz w:val="28"/>
          <w:szCs w:val="28"/>
          <w:highlight w:val="none"/>
        </w:rPr>
      </w:pPr>
      <w:bookmarkStart w:id="85" w:name="_Toc11567"/>
      <w:bookmarkStart w:id="86" w:name="_Toc2507"/>
      <w:bookmarkStart w:id="87" w:name="_Toc2367"/>
      <w:bookmarkStart w:id="88" w:name="_Toc29157"/>
      <w:bookmarkStart w:id="89" w:name="_Toc21300"/>
      <w:bookmarkStart w:id="90" w:name="_Toc17211"/>
      <w:bookmarkStart w:id="91" w:name="_Toc23938"/>
      <w:r>
        <w:rPr>
          <w:rFonts w:hint="eastAsia" w:ascii="新宋体" w:hAnsi="新宋体" w:eastAsia="新宋体" w:cs="新宋体"/>
          <w:b/>
          <w:bCs/>
          <w:color w:val="auto"/>
          <w:sz w:val="28"/>
          <w:szCs w:val="28"/>
          <w:highlight w:val="none"/>
        </w:rPr>
        <w:t>第一节 评标方法及标准前附表</w:t>
      </w:r>
      <w:bookmarkEnd w:id="85"/>
      <w:bookmarkEnd w:id="86"/>
      <w:bookmarkEnd w:id="87"/>
      <w:bookmarkEnd w:id="88"/>
      <w:bookmarkEnd w:id="89"/>
      <w:bookmarkEnd w:id="90"/>
      <w:bookmarkEnd w:id="91"/>
    </w:p>
    <w:p w14:paraId="601FB32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eastAsia" w:ascii="新宋体" w:hAnsi="新宋体" w:eastAsia="新宋体" w:cs="新宋体"/>
          <w:bCs/>
          <w:i/>
          <w:color w:val="auto"/>
          <w:szCs w:val="21"/>
          <w:highlight w:val="none"/>
        </w:rPr>
      </w:pPr>
      <w:r>
        <w:rPr>
          <w:rFonts w:hint="eastAsia" w:ascii="新宋体" w:hAnsi="新宋体" w:eastAsia="新宋体" w:cs="新宋体"/>
          <w:bCs/>
          <w:i w:val="0"/>
          <w:iCs/>
          <w:color w:val="auto"/>
          <w:szCs w:val="21"/>
          <w:highlight w:val="none"/>
        </w:rPr>
        <w:t>本项目启用的条款在“编列内容规定”栏内以“</w:t>
      </w:r>
      <w:r>
        <w:rPr>
          <w:rFonts w:hint="eastAsia" w:ascii="新宋体" w:hAnsi="新宋体" w:eastAsia="新宋体" w:cs="新宋体"/>
          <w:i w:val="0"/>
          <w:iCs/>
          <w:color w:val="auto"/>
          <w:szCs w:val="21"/>
          <w:highlight w:val="none"/>
        </w:rPr>
        <w:t>■</w:t>
      </w:r>
      <w:r>
        <w:rPr>
          <w:rFonts w:hint="eastAsia" w:ascii="新宋体" w:hAnsi="新宋体" w:eastAsia="新宋体" w:cs="新宋体"/>
          <w:bCs/>
          <w:i w:val="0"/>
          <w:iCs/>
          <w:color w:val="auto"/>
          <w:szCs w:val="21"/>
          <w:highlight w:val="none"/>
        </w:rPr>
        <w:t>”标注。</w:t>
      </w:r>
    </w:p>
    <w:tbl>
      <w:tblPr>
        <w:tblStyle w:val="26"/>
        <w:tblW w:w="4994"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736"/>
        <w:gridCol w:w="955"/>
        <w:gridCol w:w="1445"/>
        <w:gridCol w:w="5706"/>
      </w:tblGrid>
      <w:tr w14:paraId="4F7BBC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882" w:type="pct"/>
            <w:tcBorders>
              <w:top w:val="double" w:color="auto" w:sz="4" w:space="0"/>
              <w:bottom w:val="single" w:color="auto" w:sz="6" w:space="0"/>
            </w:tcBorders>
            <w:noWrap w:val="0"/>
            <w:vAlign w:val="top"/>
          </w:tcPr>
          <w:p w14:paraId="557AA4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条款号</w:t>
            </w:r>
          </w:p>
        </w:tc>
        <w:tc>
          <w:tcPr>
            <w:tcW w:w="1219" w:type="pct"/>
            <w:gridSpan w:val="2"/>
            <w:tcBorders>
              <w:top w:val="double" w:color="auto" w:sz="4" w:space="0"/>
              <w:bottom w:val="single" w:color="auto" w:sz="6" w:space="0"/>
            </w:tcBorders>
            <w:noWrap w:val="0"/>
            <w:vAlign w:val="top"/>
          </w:tcPr>
          <w:p w14:paraId="659C56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条款名称</w:t>
            </w:r>
          </w:p>
        </w:tc>
        <w:tc>
          <w:tcPr>
            <w:tcW w:w="2898" w:type="pct"/>
            <w:tcBorders>
              <w:top w:val="double" w:color="auto" w:sz="4" w:space="0"/>
              <w:bottom w:val="single" w:color="auto" w:sz="6" w:space="0"/>
            </w:tcBorders>
            <w:noWrap w:val="0"/>
            <w:vAlign w:val="top"/>
          </w:tcPr>
          <w:p w14:paraId="4EAD59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编列内容规定</w:t>
            </w:r>
          </w:p>
        </w:tc>
      </w:tr>
      <w:tr w14:paraId="0FFF16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882" w:type="pct"/>
            <w:tcBorders>
              <w:top w:val="single" w:color="auto" w:sz="6" w:space="0"/>
              <w:bottom w:val="single" w:color="auto" w:sz="6" w:space="0"/>
            </w:tcBorders>
            <w:noWrap w:val="0"/>
            <w:vAlign w:val="center"/>
          </w:tcPr>
          <w:p w14:paraId="67E795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第1.3</w:t>
            </w:r>
            <w:r>
              <w:rPr>
                <w:rFonts w:hint="eastAsia" w:ascii="新宋体" w:hAnsi="新宋体" w:eastAsia="新宋体" w:cs="新宋体"/>
                <w:color w:val="auto"/>
                <w:kern w:val="0"/>
                <w:sz w:val="21"/>
                <w:szCs w:val="21"/>
                <w:highlight w:val="none"/>
                <w:lang w:val="zh-CN"/>
              </w:rPr>
              <w:t>款</w:t>
            </w:r>
          </w:p>
        </w:tc>
        <w:tc>
          <w:tcPr>
            <w:tcW w:w="1219" w:type="pct"/>
            <w:gridSpan w:val="2"/>
            <w:tcBorders>
              <w:top w:val="single" w:color="auto" w:sz="6" w:space="0"/>
              <w:bottom w:val="single" w:color="auto" w:sz="6" w:space="0"/>
            </w:tcBorders>
            <w:noWrap w:val="0"/>
            <w:vAlign w:val="center"/>
          </w:tcPr>
          <w:p w14:paraId="6D8C06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评标方法</w:t>
            </w:r>
          </w:p>
        </w:tc>
        <w:tc>
          <w:tcPr>
            <w:tcW w:w="2898" w:type="pct"/>
            <w:tcBorders>
              <w:top w:val="single" w:color="auto" w:sz="6" w:space="0"/>
              <w:bottom w:val="single" w:color="auto" w:sz="6" w:space="0"/>
            </w:tcBorders>
            <w:noWrap w:val="0"/>
            <w:vAlign w:val="center"/>
          </w:tcPr>
          <w:p w14:paraId="278A71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综合评分法</w:t>
            </w:r>
          </w:p>
        </w:tc>
      </w:tr>
      <w:tr w14:paraId="676615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882" w:type="pct"/>
            <w:tcBorders>
              <w:top w:val="single" w:color="auto" w:sz="6" w:space="0"/>
              <w:bottom w:val="single" w:color="auto" w:sz="6" w:space="0"/>
            </w:tcBorders>
            <w:noWrap w:val="0"/>
            <w:vAlign w:val="center"/>
          </w:tcPr>
          <w:p w14:paraId="1AA367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第3.4</w:t>
            </w:r>
            <w:r>
              <w:rPr>
                <w:rFonts w:hint="eastAsia" w:ascii="新宋体" w:hAnsi="新宋体" w:eastAsia="新宋体" w:cs="新宋体"/>
                <w:color w:val="auto"/>
                <w:kern w:val="0"/>
                <w:sz w:val="21"/>
                <w:szCs w:val="21"/>
                <w:highlight w:val="none"/>
                <w:lang w:val="zh-CN"/>
              </w:rPr>
              <w:t>款</w:t>
            </w:r>
          </w:p>
        </w:tc>
        <w:tc>
          <w:tcPr>
            <w:tcW w:w="1219" w:type="pct"/>
            <w:gridSpan w:val="2"/>
            <w:tcBorders>
              <w:top w:val="single" w:color="auto" w:sz="6" w:space="0"/>
              <w:bottom w:val="single" w:color="auto" w:sz="6" w:space="0"/>
            </w:tcBorders>
            <w:noWrap w:val="0"/>
            <w:vAlign w:val="center"/>
          </w:tcPr>
          <w:p w14:paraId="586E84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bCs/>
                <w:color w:val="auto"/>
                <w:sz w:val="21"/>
                <w:szCs w:val="21"/>
                <w:highlight w:val="none"/>
              </w:rPr>
            </w:pPr>
            <w:r>
              <w:rPr>
                <w:rFonts w:hint="eastAsia" w:ascii="新宋体" w:hAnsi="新宋体" w:eastAsia="新宋体" w:cs="新宋体"/>
                <w:bCs/>
                <w:color w:val="auto"/>
                <w:sz w:val="21"/>
                <w:szCs w:val="21"/>
                <w:highlight w:val="none"/>
              </w:rPr>
              <w:t>非单一产品采购项目的核心产品</w:t>
            </w:r>
          </w:p>
        </w:tc>
        <w:tc>
          <w:tcPr>
            <w:tcW w:w="2898" w:type="pct"/>
            <w:tcBorders>
              <w:top w:val="single" w:color="auto" w:sz="6" w:space="0"/>
              <w:bottom w:val="single" w:color="auto" w:sz="6" w:space="0"/>
            </w:tcBorders>
            <w:noWrap w:val="0"/>
            <w:vAlign w:val="center"/>
          </w:tcPr>
          <w:p w14:paraId="2CA52B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lang w:val="en-US" w:eastAsia="zh-CN"/>
              </w:rPr>
            </w:pPr>
            <w:r>
              <w:rPr>
                <w:rFonts w:hint="eastAsia" w:ascii="新宋体" w:hAnsi="新宋体" w:eastAsia="新宋体" w:cs="新宋体"/>
                <w:b/>
                <w:bCs/>
                <w:color w:val="auto"/>
                <w:sz w:val="21"/>
                <w:szCs w:val="21"/>
                <w:highlight w:val="none"/>
                <w:lang w:val="en-US" w:eastAsia="zh-CN"/>
              </w:rPr>
              <w:t>/</w:t>
            </w:r>
          </w:p>
        </w:tc>
      </w:tr>
      <w:tr w14:paraId="27CB99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0" w:hRule="atLeast"/>
        </w:trPr>
        <w:tc>
          <w:tcPr>
            <w:tcW w:w="882" w:type="pct"/>
            <w:tcBorders>
              <w:top w:val="single" w:color="auto" w:sz="6" w:space="0"/>
              <w:bottom w:val="single" w:color="auto" w:sz="6" w:space="0"/>
            </w:tcBorders>
            <w:noWrap w:val="0"/>
            <w:vAlign w:val="center"/>
          </w:tcPr>
          <w:p w14:paraId="6C53B4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第4.2</w:t>
            </w:r>
            <w:r>
              <w:rPr>
                <w:rFonts w:hint="eastAsia" w:ascii="新宋体" w:hAnsi="新宋体" w:eastAsia="新宋体" w:cs="新宋体"/>
                <w:color w:val="auto"/>
                <w:kern w:val="0"/>
                <w:sz w:val="21"/>
                <w:szCs w:val="21"/>
                <w:highlight w:val="none"/>
                <w:lang w:val="zh-CN"/>
              </w:rPr>
              <w:t>款</w:t>
            </w:r>
          </w:p>
        </w:tc>
        <w:tc>
          <w:tcPr>
            <w:tcW w:w="1219" w:type="pct"/>
            <w:gridSpan w:val="2"/>
            <w:tcBorders>
              <w:top w:val="single" w:color="auto" w:sz="6" w:space="0"/>
              <w:bottom w:val="single" w:color="auto" w:sz="6" w:space="0"/>
            </w:tcBorders>
            <w:noWrap w:val="0"/>
            <w:vAlign w:val="center"/>
          </w:tcPr>
          <w:p w14:paraId="74C46C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投标文件报价出现前后不一致的修正</w:t>
            </w:r>
          </w:p>
        </w:tc>
        <w:tc>
          <w:tcPr>
            <w:tcW w:w="2898" w:type="pct"/>
            <w:tcBorders>
              <w:top w:val="single" w:color="auto" w:sz="6" w:space="0"/>
              <w:bottom w:val="single" w:color="auto" w:sz="6" w:space="0"/>
            </w:tcBorders>
            <w:noWrap w:val="0"/>
            <w:vAlign w:val="center"/>
          </w:tcPr>
          <w:p w14:paraId="5AEFA382">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leftChars="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val="en-US" w:eastAsia="zh-CN"/>
              </w:rPr>
              <w:t>1）</w:t>
            </w:r>
            <w:r>
              <w:rPr>
                <w:rFonts w:hint="eastAsia" w:ascii="新宋体" w:hAnsi="新宋体" w:eastAsia="新宋体" w:cs="新宋体"/>
                <w:color w:val="auto"/>
                <w:sz w:val="21"/>
                <w:szCs w:val="21"/>
                <w:highlight w:val="none"/>
              </w:rPr>
              <w:t>投标文件中开标一览表（报价表）内容与投标文件中相应内容不一致的，以开标一览表（报价表）为准；</w:t>
            </w:r>
          </w:p>
          <w:p w14:paraId="67524676">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leftChars="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val="en-US" w:eastAsia="zh-CN"/>
              </w:rPr>
              <w:t>2）</w:t>
            </w:r>
            <w:r>
              <w:rPr>
                <w:rFonts w:hint="eastAsia" w:ascii="新宋体" w:hAnsi="新宋体" w:eastAsia="新宋体" w:cs="新宋体"/>
                <w:color w:val="auto"/>
                <w:sz w:val="21"/>
                <w:szCs w:val="21"/>
                <w:highlight w:val="none"/>
              </w:rPr>
              <w:t>大写金额和小写金额不一致的，以大写金额为准；</w:t>
            </w:r>
          </w:p>
          <w:p w14:paraId="098E1051">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leftChars="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val="en-US" w:eastAsia="zh-CN"/>
              </w:rPr>
              <w:t>3）</w:t>
            </w:r>
            <w:r>
              <w:rPr>
                <w:rFonts w:hint="eastAsia" w:ascii="新宋体" w:hAnsi="新宋体" w:eastAsia="新宋体" w:cs="新宋体"/>
                <w:color w:val="auto"/>
                <w:sz w:val="21"/>
                <w:szCs w:val="21"/>
                <w:highlight w:val="none"/>
              </w:rPr>
              <w:t>单价金额小数点或者百分比有明显错位的，以开标一览表的总价为准，并修改单价；</w:t>
            </w:r>
          </w:p>
          <w:p w14:paraId="00CC399C">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leftChars="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val="en-US" w:eastAsia="zh-CN"/>
              </w:rPr>
              <w:t>4）</w:t>
            </w:r>
            <w:r>
              <w:rPr>
                <w:rFonts w:hint="eastAsia" w:ascii="新宋体" w:hAnsi="新宋体" w:eastAsia="新宋体" w:cs="新宋体"/>
                <w:color w:val="auto"/>
                <w:sz w:val="21"/>
                <w:szCs w:val="21"/>
                <w:highlight w:val="none"/>
              </w:rPr>
              <w:t>总价金额与按单价汇总金额不一致的，以单价金额计算结果为准。</w:t>
            </w:r>
          </w:p>
          <w:p w14:paraId="557D78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同时出现两种以上不一致的，按照前款规定的顺序修正。修正后的报价按照4.1款要求，经投标人确认后产生约束力，投标人不确认的，其投标无效。</w:t>
            </w:r>
          </w:p>
        </w:tc>
      </w:tr>
      <w:tr w14:paraId="738B7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7" w:hRule="atLeast"/>
        </w:trPr>
        <w:tc>
          <w:tcPr>
            <w:tcW w:w="882" w:type="pct"/>
            <w:tcBorders>
              <w:top w:val="single" w:color="auto" w:sz="6" w:space="0"/>
              <w:bottom w:val="single" w:color="auto" w:sz="6" w:space="0"/>
            </w:tcBorders>
            <w:noWrap w:val="0"/>
            <w:vAlign w:val="center"/>
          </w:tcPr>
          <w:p w14:paraId="522692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第5.2（1）</w:t>
            </w:r>
            <w:r>
              <w:rPr>
                <w:rFonts w:hint="eastAsia" w:ascii="新宋体" w:hAnsi="新宋体" w:eastAsia="新宋体" w:cs="新宋体"/>
                <w:color w:val="auto"/>
                <w:kern w:val="0"/>
                <w:sz w:val="21"/>
                <w:szCs w:val="21"/>
                <w:highlight w:val="none"/>
                <w:lang w:val="zh-CN"/>
              </w:rPr>
              <w:t>项</w:t>
            </w:r>
          </w:p>
        </w:tc>
        <w:tc>
          <w:tcPr>
            <w:tcW w:w="1219" w:type="pct"/>
            <w:gridSpan w:val="2"/>
            <w:tcBorders>
              <w:top w:val="single" w:color="auto" w:sz="6" w:space="0"/>
              <w:bottom w:val="single" w:color="auto" w:sz="6" w:space="0"/>
            </w:tcBorders>
            <w:noWrap w:val="0"/>
            <w:vAlign w:val="center"/>
          </w:tcPr>
          <w:p w14:paraId="70B161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相同品牌产品投标报价相同的</w:t>
            </w:r>
          </w:p>
        </w:tc>
        <w:tc>
          <w:tcPr>
            <w:tcW w:w="2898" w:type="pct"/>
            <w:tcBorders>
              <w:top w:val="single" w:color="auto" w:sz="6" w:space="0"/>
              <w:bottom w:val="single" w:color="auto" w:sz="6" w:space="0"/>
            </w:tcBorders>
            <w:noWrap w:val="0"/>
            <w:vAlign w:val="center"/>
          </w:tcPr>
          <w:p w14:paraId="05E064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b/>
                <w:bCs/>
                <w:color w:val="auto"/>
                <w:sz w:val="21"/>
                <w:szCs w:val="21"/>
                <w:highlight w:val="none"/>
                <w:lang w:val="en-US" w:eastAsia="zh-CN"/>
              </w:rPr>
            </w:pPr>
            <w:r>
              <w:rPr>
                <w:rFonts w:hint="eastAsia" w:ascii="新宋体" w:hAnsi="新宋体" w:eastAsia="新宋体" w:cs="新宋体"/>
                <w:b/>
                <w:bCs/>
                <w:color w:val="auto"/>
                <w:sz w:val="21"/>
                <w:szCs w:val="21"/>
                <w:highlight w:val="none"/>
                <w:lang w:val="en-US" w:eastAsia="zh-CN"/>
              </w:rPr>
              <w:t>/</w:t>
            </w:r>
          </w:p>
        </w:tc>
      </w:tr>
      <w:tr w14:paraId="336E0C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882" w:type="pct"/>
            <w:tcBorders>
              <w:top w:val="single" w:color="auto" w:sz="6" w:space="0"/>
              <w:bottom w:val="single" w:color="auto" w:sz="6" w:space="0"/>
            </w:tcBorders>
            <w:noWrap w:val="0"/>
            <w:vAlign w:val="center"/>
          </w:tcPr>
          <w:p w14:paraId="3993B0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第5.2（2）</w:t>
            </w:r>
            <w:r>
              <w:rPr>
                <w:rFonts w:hint="eastAsia" w:ascii="新宋体" w:hAnsi="新宋体" w:eastAsia="新宋体" w:cs="新宋体"/>
                <w:color w:val="auto"/>
                <w:kern w:val="0"/>
                <w:sz w:val="21"/>
                <w:szCs w:val="21"/>
                <w:highlight w:val="none"/>
                <w:lang w:val="zh-CN"/>
              </w:rPr>
              <w:t>项</w:t>
            </w:r>
          </w:p>
        </w:tc>
        <w:tc>
          <w:tcPr>
            <w:tcW w:w="1219" w:type="pct"/>
            <w:gridSpan w:val="2"/>
            <w:tcBorders>
              <w:top w:val="single" w:color="auto" w:sz="6" w:space="0"/>
              <w:bottom w:val="single" w:color="auto" w:sz="6" w:space="0"/>
            </w:tcBorders>
            <w:noWrap w:val="0"/>
            <w:vAlign w:val="center"/>
          </w:tcPr>
          <w:p w14:paraId="2621D8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bCs/>
                <w:color w:val="auto"/>
                <w:sz w:val="21"/>
                <w:szCs w:val="21"/>
                <w:highlight w:val="none"/>
              </w:rPr>
            </w:pPr>
            <w:r>
              <w:rPr>
                <w:rFonts w:hint="eastAsia" w:ascii="新宋体" w:hAnsi="新宋体" w:eastAsia="新宋体" w:cs="新宋体"/>
                <w:bCs/>
                <w:color w:val="auto"/>
                <w:sz w:val="21"/>
                <w:szCs w:val="21"/>
                <w:highlight w:val="none"/>
              </w:rPr>
              <w:t>相同品牌产品评审得分相同的规定</w:t>
            </w:r>
          </w:p>
        </w:tc>
        <w:tc>
          <w:tcPr>
            <w:tcW w:w="2898" w:type="pct"/>
            <w:tcBorders>
              <w:top w:val="single" w:color="auto" w:sz="6" w:space="0"/>
              <w:bottom w:val="single" w:color="auto" w:sz="6" w:space="0"/>
            </w:tcBorders>
            <w:noWrap w:val="0"/>
            <w:vAlign w:val="center"/>
          </w:tcPr>
          <w:p w14:paraId="6F84BC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b/>
                <w:bCs/>
                <w:color w:val="auto"/>
                <w:sz w:val="21"/>
                <w:szCs w:val="21"/>
                <w:highlight w:val="none"/>
                <w:lang w:eastAsia="zh-CN"/>
              </w:rPr>
            </w:pPr>
            <w:r>
              <w:rPr>
                <w:rFonts w:hint="eastAsia" w:ascii="新宋体" w:hAnsi="新宋体" w:eastAsia="新宋体" w:cs="新宋体"/>
                <w:b/>
                <w:bCs/>
                <w:color w:val="auto"/>
                <w:sz w:val="21"/>
                <w:szCs w:val="21"/>
                <w:highlight w:val="none"/>
                <w:lang w:val="en-US" w:eastAsia="zh-CN"/>
              </w:rPr>
              <w:t>/</w:t>
            </w:r>
          </w:p>
        </w:tc>
      </w:tr>
      <w:tr w14:paraId="0BCB1A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0" w:hRule="atLeast"/>
        </w:trPr>
        <w:tc>
          <w:tcPr>
            <w:tcW w:w="882" w:type="pct"/>
            <w:vMerge w:val="restart"/>
            <w:tcBorders>
              <w:top w:val="single" w:color="auto" w:sz="6" w:space="0"/>
            </w:tcBorders>
            <w:noWrap w:val="0"/>
            <w:vAlign w:val="center"/>
          </w:tcPr>
          <w:p w14:paraId="4FAB49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第5.</w:t>
            </w:r>
            <w:r>
              <w:rPr>
                <w:rFonts w:hint="eastAsia" w:ascii="新宋体" w:hAnsi="新宋体" w:eastAsia="新宋体" w:cs="新宋体"/>
                <w:color w:val="auto"/>
                <w:sz w:val="21"/>
                <w:szCs w:val="21"/>
                <w:highlight w:val="none"/>
                <w:lang w:val="en-US" w:eastAsia="zh-CN"/>
              </w:rPr>
              <w:t>4</w:t>
            </w:r>
            <w:r>
              <w:rPr>
                <w:rFonts w:hint="eastAsia" w:ascii="新宋体" w:hAnsi="新宋体" w:eastAsia="新宋体" w:cs="新宋体"/>
                <w:color w:val="auto"/>
                <w:sz w:val="21"/>
                <w:szCs w:val="21"/>
                <w:highlight w:val="none"/>
              </w:rPr>
              <w:t>（1）</w:t>
            </w:r>
            <w:r>
              <w:rPr>
                <w:rFonts w:hint="eastAsia" w:ascii="新宋体" w:hAnsi="新宋体" w:eastAsia="新宋体" w:cs="新宋体"/>
                <w:color w:val="auto"/>
                <w:kern w:val="0"/>
                <w:sz w:val="21"/>
                <w:szCs w:val="21"/>
                <w:highlight w:val="none"/>
                <w:lang w:val="zh-CN"/>
              </w:rPr>
              <w:t>项</w:t>
            </w:r>
          </w:p>
        </w:tc>
        <w:tc>
          <w:tcPr>
            <w:tcW w:w="1219" w:type="pct"/>
            <w:gridSpan w:val="2"/>
            <w:vMerge w:val="restart"/>
            <w:tcBorders>
              <w:top w:val="single" w:color="auto" w:sz="6" w:space="0"/>
            </w:tcBorders>
            <w:noWrap w:val="0"/>
            <w:vAlign w:val="center"/>
          </w:tcPr>
          <w:p w14:paraId="60F664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价格评审优惠</w:t>
            </w:r>
          </w:p>
          <w:p w14:paraId="44A67F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lang w:eastAsia="zh-CN"/>
              </w:rPr>
            </w:pPr>
          </w:p>
        </w:tc>
        <w:tc>
          <w:tcPr>
            <w:tcW w:w="2898" w:type="pct"/>
            <w:tcBorders>
              <w:top w:val="single" w:color="auto" w:sz="6" w:space="0"/>
              <w:bottom w:val="single" w:color="auto" w:sz="4" w:space="0"/>
            </w:tcBorders>
            <w:noWrap w:val="0"/>
            <w:vAlign w:val="center"/>
          </w:tcPr>
          <w:p w14:paraId="026E41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val="en-US" w:eastAsia="zh-CN"/>
              </w:rPr>
              <w:t>1）</w:t>
            </w:r>
            <w:r>
              <w:rPr>
                <w:rFonts w:hint="eastAsia" w:ascii="新宋体" w:hAnsi="新宋体" w:eastAsia="新宋体" w:cs="新宋体"/>
                <w:color w:val="auto"/>
                <w:sz w:val="21"/>
                <w:szCs w:val="21"/>
                <w:highlight w:val="none"/>
              </w:rPr>
              <w:t>支持中小企业政府发展：小型和微型企业产品投标报价扣除比例为</w:t>
            </w:r>
            <w:r>
              <w:rPr>
                <w:rFonts w:hint="eastAsia" w:ascii="新宋体" w:hAnsi="新宋体" w:eastAsia="新宋体" w:cs="新宋体"/>
                <w:color w:val="auto"/>
                <w:sz w:val="21"/>
                <w:szCs w:val="21"/>
                <w:highlight w:val="none"/>
                <w:lang w:val="en-US" w:eastAsia="zh-CN"/>
              </w:rPr>
              <w:t>10</w:t>
            </w:r>
            <w:r>
              <w:rPr>
                <w:rFonts w:hint="eastAsia" w:ascii="新宋体" w:hAnsi="新宋体" w:eastAsia="新宋体" w:cs="新宋体"/>
                <w:color w:val="auto"/>
                <w:sz w:val="21"/>
                <w:szCs w:val="21"/>
                <w:highlight w:val="none"/>
              </w:rPr>
              <w:t>％；</w:t>
            </w:r>
          </w:p>
          <w:p w14:paraId="052102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val="en-US" w:eastAsia="zh-CN"/>
              </w:rPr>
              <w:t>2）</w:t>
            </w:r>
            <w:r>
              <w:rPr>
                <w:rFonts w:hint="eastAsia" w:ascii="新宋体" w:hAnsi="新宋体" w:eastAsia="新宋体" w:cs="新宋体"/>
                <w:color w:val="auto"/>
                <w:sz w:val="21"/>
                <w:szCs w:val="21"/>
                <w:highlight w:val="none"/>
              </w:rPr>
              <w:t>支持监狱、福利企业发展：监狱、福利企业产品投标报价扣除比例为</w:t>
            </w:r>
            <w:r>
              <w:rPr>
                <w:rFonts w:hint="eastAsia" w:ascii="新宋体" w:hAnsi="新宋体" w:eastAsia="新宋体" w:cs="新宋体"/>
                <w:color w:val="auto"/>
                <w:sz w:val="21"/>
                <w:szCs w:val="21"/>
                <w:highlight w:val="none"/>
                <w:lang w:val="en-US" w:eastAsia="zh-CN"/>
              </w:rPr>
              <w:t>10</w:t>
            </w:r>
            <w:r>
              <w:rPr>
                <w:rFonts w:hint="eastAsia" w:ascii="新宋体" w:hAnsi="新宋体" w:eastAsia="新宋体" w:cs="新宋体"/>
                <w:color w:val="auto"/>
                <w:sz w:val="21"/>
                <w:szCs w:val="21"/>
                <w:highlight w:val="none"/>
              </w:rPr>
              <w:t>％。</w:t>
            </w:r>
          </w:p>
          <w:p w14:paraId="29139B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b/>
                <w:bCs/>
                <w:color w:val="auto"/>
                <w:sz w:val="21"/>
                <w:szCs w:val="21"/>
                <w:highlight w:val="none"/>
              </w:rPr>
              <w:t>注：</w:t>
            </w:r>
            <w:r>
              <w:rPr>
                <w:rFonts w:hint="eastAsia" w:ascii="新宋体" w:hAnsi="新宋体" w:eastAsia="新宋体" w:cs="新宋体"/>
                <w:color w:val="auto"/>
                <w:sz w:val="21"/>
                <w:szCs w:val="21"/>
                <w:highlight w:val="none"/>
              </w:rPr>
              <w:t>在政府采购活动中，残疾人福利性企业和监狱企业视同小型、微型企业，享受预留份额、评审中价格扣除等促进中小企业发展的政府采购政策。向残疾人福利性企业、和监狱企业采购的金额，计入面向小微企业采购的统计数据。</w:t>
            </w:r>
          </w:p>
          <w:p w14:paraId="4BFE72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投标人同时符合小型、微型企业及监狱企业、残疾人福利性单位要求的，评审时只有一种类型享受价格评审优惠政策。</w:t>
            </w:r>
          </w:p>
        </w:tc>
      </w:tr>
      <w:tr w14:paraId="708362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5" w:hRule="atLeast"/>
        </w:trPr>
        <w:tc>
          <w:tcPr>
            <w:tcW w:w="882" w:type="pct"/>
            <w:vMerge w:val="continue"/>
            <w:noWrap w:val="0"/>
            <w:vAlign w:val="center"/>
          </w:tcPr>
          <w:p w14:paraId="6FCCB0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p>
        </w:tc>
        <w:tc>
          <w:tcPr>
            <w:tcW w:w="1219" w:type="pct"/>
            <w:gridSpan w:val="2"/>
            <w:vMerge w:val="continue"/>
            <w:noWrap w:val="0"/>
            <w:vAlign w:val="center"/>
          </w:tcPr>
          <w:p w14:paraId="001EF7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p>
        </w:tc>
        <w:tc>
          <w:tcPr>
            <w:tcW w:w="2898" w:type="pct"/>
            <w:tcBorders>
              <w:top w:val="single" w:color="auto" w:sz="4" w:space="0"/>
              <w:bottom w:val="single" w:color="auto" w:sz="6" w:space="0"/>
            </w:tcBorders>
            <w:noWrap w:val="0"/>
            <w:vAlign w:val="center"/>
          </w:tcPr>
          <w:p w14:paraId="0C6F51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1）中小企业：按《关于印发＜政府采购促进中小企业发展暂行办法＞的通知》（财库[2020]46号）规定，提供《小型、微型企业声明函》（格式）。</w:t>
            </w:r>
          </w:p>
          <w:p w14:paraId="480938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2）监狱企业：按《关于政府采购支持监狱企业发展有关问题的通知》（财库〔2014〕68号）文件规定提供证明文件（复印件）。</w:t>
            </w:r>
          </w:p>
          <w:p w14:paraId="168467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3）残疾人福利性单位：按《关于促进残疾人就业政府采购政策的通知》（财库〔2017〕141号）文件规定提供《残疾人福利性单位声明函》（格式）。</w:t>
            </w:r>
          </w:p>
          <w:p w14:paraId="78F800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4）中小企业其他规定：《关于印发中小企业划型标准规定的通知》（工信部联企业〔</w:t>
            </w:r>
            <w:r>
              <w:rPr>
                <w:rFonts w:hint="default" w:ascii="新宋体" w:hAnsi="新宋体" w:eastAsia="新宋体" w:cs="新宋体"/>
                <w:color w:val="auto"/>
                <w:sz w:val="21"/>
                <w:szCs w:val="21"/>
                <w:highlight w:val="none"/>
                <w:lang w:val="en-US"/>
              </w:rPr>
              <w:t>2011</w:t>
            </w:r>
            <w:r>
              <w:rPr>
                <w:rFonts w:hint="eastAsia" w:ascii="新宋体" w:hAnsi="新宋体" w:eastAsia="新宋体" w:cs="新宋体"/>
                <w:color w:val="auto"/>
                <w:sz w:val="21"/>
                <w:szCs w:val="21"/>
                <w:highlight w:val="none"/>
              </w:rPr>
              <w:t>〕</w:t>
            </w:r>
            <w:r>
              <w:rPr>
                <w:rFonts w:hint="default" w:ascii="新宋体" w:hAnsi="新宋体" w:eastAsia="新宋体" w:cs="新宋体"/>
                <w:color w:val="auto"/>
                <w:sz w:val="21"/>
                <w:szCs w:val="21"/>
                <w:highlight w:val="none"/>
                <w:lang w:val="en-US"/>
              </w:rPr>
              <w:t>300</w:t>
            </w:r>
            <w:r>
              <w:rPr>
                <w:rFonts w:hint="eastAsia" w:ascii="新宋体" w:hAnsi="新宋体" w:eastAsia="新宋体" w:cs="新宋体"/>
                <w:color w:val="auto"/>
                <w:sz w:val="21"/>
                <w:szCs w:val="21"/>
                <w:highlight w:val="none"/>
              </w:rPr>
              <w:t>号）【招标</w:t>
            </w:r>
            <w:r>
              <w:rPr>
                <w:rFonts w:hint="eastAsia" w:ascii="新宋体" w:hAnsi="新宋体" w:eastAsia="新宋体" w:cs="新宋体"/>
                <w:color w:val="auto"/>
                <w:sz w:val="21"/>
                <w:szCs w:val="21"/>
                <w:highlight w:val="none"/>
                <w:lang w:eastAsia="zh-CN"/>
              </w:rPr>
              <w:t>公告</w:t>
            </w:r>
            <w:r>
              <w:rPr>
                <w:rFonts w:hint="eastAsia" w:ascii="新宋体" w:hAnsi="新宋体" w:eastAsia="新宋体" w:cs="新宋体"/>
                <w:color w:val="auto"/>
                <w:sz w:val="21"/>
                <w:szCs w:val="21"/>
                <w:highlight w:val="none"/>
              </w:rPr>
              <w:t>】规定。</w:t>
            </w:r>
          </w:p>
        </w:tc>
      </w:tr>
      <w:tr w14:paraId="2586EC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41" w:hRule="atLeast"/>
        </w:trPr>
        <w:tc>
          <w:tcPr>
            <w:tcW w:w="882" w:type="pct"/>
            <w:tcBorders>
              <w:top w:val="single" w:color="auto" w:sz="6" w:space="0"/>
              <w:bottom w:val="single" w:color="auto" w:sz="6" w:space="0"/>
              <w:right w:val="single" w:color="auto" w:sz="6" w:space="0"/>
            </w:tcBorders>
            <w:noWrap w:val="0"/>
            <w:vAlign w:val="center"/>
          </w:tcPr>
          <w:p w14:paraId="458BEB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第5.</w:t>
            </w:r>
            <w:r>
              <w:rPr>
                <w:rFonts w:hint="eastAsia" w:ascii="新宋体" w:hAnsi="新宋体" w:eastAsia="新宋体" w:cs="新宋体"/>
                <w:color w:val="auto"/>
                <w:sz w:val="21"/>
                <w:szCs w:val="21"/>
                <w:highlight w:val="none"/>
                <w:lang w:val="en-US" w:eastAsia="zh-CN"/>
              </w:rPr>
              <w:t>4</w:t>
            </w:r>
            <w:r>
              <w:rPr>
                <w:rFonts w:hint="eastAsia" w:ascii="新宋体" w:hAnsi="新宋体" w:eastAsia="新宋体" w:cs="新宋体"/>
                <w:color w:val="auto"/>
                <w:sz w:val="21"/>
                <w:szCs w:val="21"/>
                <w:highlight w:val="none"/>
              </w:rPr>
              <w:t>（2）</w:t>
            </w:r>
            <w:r>
              <w:rPr>
                <w:rFonts w:hint="eastAsia" w:ascii="新宋体" w:hAnsi="新宋体" w:eastAsia="新宋体" w:cs="新宋体"/>
                <w:color w:val="auto"/>
                <w:kern w:val="0"/>
                <w:sz w:val="21"/>
                <w:szCs w:val="21"/>
                <w:highlight w:val="none"/>
                <w:lang w:val="zh-CN"/>
              </w:rPr>
              <w:t>项</w:t>
            </w:r>
          </w:p>
        </w:tc>
        <w:tc>
          <w:tcPr>
            <w:tcW w:w="485" w:type="pct"/>
            <w:tcBorders>
              <w:top w:val="single" w:color="auto" w:sz="6" w:space="0"/>
              <w:left w:val="single" w:color="auto" w:sz="6" w:space="0"/>
              <w:bottom w:val="single" w:color="auto" w:sz="6" w:space="0"/>
              <w:right w:val="single" w:color="auto" w:sz="6" w:space="0"/>
            </w:tcBorders>
            <w:noWrap w:val="0"/>
            <w:vAlign w:val="center"/>
          </w:tcPr>
          <w:p w14:paraId="30445F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优先采购</w:t>
            </w:r>
          </w:p>
        </w:tc>
        <w:tc>
          <w:tcPr>
            <w:tcW w:w="733" w:type="pct"/>
            <w:tcBorders>
              <w:top w:val="single" w:color="auto" w:sz="6" w:space="0"/>
              <w:left w:val="single" w:color="auto" w:sz="6" w:space="0"/>
              <w:right w:val="single" w:color="auto" w:sz="6" w:space="0"/>
            </w:tcBorders>
            <w:noWrap w:val="0"/>
            <w:vAlign w:val="center"/>
          </w:tcPr>
          <w:p w14:paraId="471FDD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105" w:firstLineChars="5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节能产品或环境标志产品</w:t>
            </w:r>
            <w:r>
              <w:rPr>
                <w:rFonts w:hint="eastAsia" w:ascii="新宋体" w:hAnsi="新宋体" w:eastAsia="新宋体" w:cs="新宋体"/>
                <w:b/>
                <w:bCs/>
                <w:color w:val="auto"/>
                <w:sz w:val="21"/>
                <w:szCs w:val="21"/>
                <w:highlight w:val="none"/>
                <w:lang w:eastAsia="zh-CN"/>
              </w:rPr>
              <w:t>（</w:t>
            </w:r>
            <w:r>
              <w:rPr>
                <w:rFonts w:hint="eastAsia" w:ascii="新宋体" w:hAnsi="新宋体" w:eastAsia="新宋体" w:cs="新宋体"/>
                <w:b/>
                <w:bCs/>
                <w:color w:val="auto"/>
                <w:sz w:val="21"/>
                <w:szCs w:val="21"/>
                <w:highlight w:val="none"/>
                <w:lang w:val="en-US" w:eastAsia="zh-CN"/>
              </w:rPr>
              <w:t>本项目不适用</w:t>
            </w:r>
            <w:r>
              <w:rPr>
                <w:rFonts w:hint="eastAsia" w:ascii="新宋体" w:hAnsi="新宋体" w:eastAsia="新宋体" w:cs="新宋体"/>
                <w:b/>
                <w:bCs/>
                <w:color w:val="auto"/>
                <w:sz w:val="21"/>
                <w:szCs w:val="21"/>
                <w:highlight w:val="none"/>
                <w:lang w:eastAsia="zh-CN"/>
              </w:rPr>
              <w:t>）</w:t>
            </w:r>
          </w:p>
        </w:tc>
        <w:tc>
          <w:tcPr>
            <w:tcW w:w="2898" w:type="pct"/>
            <w:tcBorders>
              <w:top w:val="single" w:color="auto" w:sz="6" w:space="0"/>
              <w:left w:val="single" w:color="auto" w:sz="6" w:space="0"/>
              <w:bottom w:val="single" w:color="auto" w:sz="6" w:space="0"/>
            </w:tcBorders>
            <w:noWrap w:val="0"/>
            <w:vAlign w:val="center"/>
          </w:tcPr>
          <w:p w14:paraId="591D68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left"/>
              <w:textAlignment w:val="auto"/>
              <w:outlineLvl w:val="9"/>
              <w:rPr>
                <w:rFonts w:hint="eastAsia" w:ascii="新宋体" w:hAnsi="新宋体" w:eastAsia="新宋体" w:cs="新宋体"/>
                <w:color w:val="auto"/>
                <w:sz w:val="21"/>
                <w:szCs w:val="21"/>
                <w:highlight w:val="none"/>
                <w:lang w:val="en-US" w:eastAsia="zh-CN"/>
              </w:rPr>
            </w:pPr>
            <w:r>
              <w:rPr>
                <w:rFonts w:hint="eastAsia" w:ascii="新宋体" w:hAnsi="新宋体" w:eastAsia="新宋体" w:cs="新宋体"/>
                <w:color w:val="auto"/>
                <w:sz w:val="21"/>
                <w:szCs w:val="21"/>
                <w:highlight w:val="none"/>
                <w:lang w:val="en-US" w:eastAsia="zh-CN"/>
              </w:rPr>
              <w:t>采购产品为《节能产品政府采购品目清单》、《环境标志产品政府采购品目清单》内的：对于技术和价格分，应分别给予总分值 / %的加分。</w:t>
            </w:r>
          </w:p>
          <w:p w14:paraId="26CE82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val="en-US" w:eastAsia="zh-CN"/>
              </w:rPr>
              <w:t>备注：按照《财政部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或环境标志产品认证证书，否则投标无效；属于政府优先采购产品类别的，须按照要求提供依据国家确定的认证机构出具的、处于有效期之内的节能产品或环境标志产品认证证书，否则不予认定。</w:t>
            </w:r>
          </w:p>
        </w:tc>
      </w:tr>
      <w:tr w14:paraId="6AD65F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882" w:type="pct"/>
            <w:tcBorders>
              <w:top w:val="single" w:color="auto" w:sz="6" w:space="0"/>
              <w:bottom w:val="single" w:color="auto" w:sz="6" w:space="0"/>
            </w:tcBorders>
            <w:noWrap w:val="0"/>
            <w:vAlign w:val="center"/>
          </w:tcPr>
          <w:p w14:paraId="7BEBC5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第6.1</w:t>
            </w:r>
            <w:r>
              <w:rPr>
                <w:rFonts w:hint="eastAsia" w:ascii="新宋体" w:hAnsi="新宋体" w:eastAsia="新宋体" w:cs="新宋体"/>
                <w:color w:val="auto"/>
                <w:kern w:val="0"/>
                <w:sz w:val="21"/>
                <w:szCs w:val="21"/>
                <w:highlight w:val="none"/>
                <w:lang w:val="zh-CN"/>
              </w:rPr>
              <w:t>款</w:t>
            </w:r>
          </w:p>
        </w:tc>
        <w:tc>
          <w:tcPr>
            <w:tcW w:w="1219" w:type="pct"/>
            <w:gridSpan w:val="2"/>
            <w:tcBorders>
              <w:top w:val="single" w:color="auto" w:sz="6" w:space="0"/>
              <w:bottom w:val="single" w:color="auto" w:sz="6" w:space="0"/>
              <w:right w:val="single" w:color="auto" w:sz="6" w:space="0"/>
            </w:tcBorders>
            <w:noWrap w:val="0"/>
            <w:vAlign w:val="center"/>
          </w:tcPr>
          <w:p w14:paraId="47D1B2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中标候选人并列的确定中标人的方式</w:t>
            </w:r>
          </w:p>
        </w:tc>
        <w:tc>
          <w:tcPr>
            <w:tcW w:w="2898" w:type="pct"/>
            <w:tcBorders>
              <w:top w:val="single" w:color="auto" w:sz="6" w:space="0"/>
              <w:left w:val="single" w:color="auto" w:sz="6" w:space="0"/>
              <w:bottom w:val="single" w:color="auto" w:sz="6" w:space="0"/>
              <w:right w:val="double" w:color="auto" w:sz="4" w:space="0"/>
            </w:tcBorders>
            <w:noWrap w:val="0"/>
            <w:vAlign w:val="center"/>
          </w:tcPr>
          <w:p w14:paraId="254262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评标结果按评审后得分由高到低顺序排列。得分相同的，按投标报价由低到高顺序排列。得分且投标报价相同的并列，投标文件满足招标文件全部实质性要求，按照评标方法及标准中技术部分得分从高到低排序，技术部分得分相同的按照评标方法及标准中商务部分从高到底排序，以此类推，若都相同，由采购人自行确定中标人。</w:t>
            </w:r>
          </w:p>
        </w:tc>
      </w:tr>
    </w:tbl>
    <w:p w14:paraId="1498CAE4">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center"/>
        <w:textAlignment w:val="auto"/>
        <w:outlineLvl w:val="1"/>
        <w:rPr>
          <w:rFonts w:hint="eastAsia" w:ascii="新宋体" w:hAnsi="新宋体" w:eastAsia="新宋体" w:cs="新宋体"/>
          <w:color w:val="auto"/>
          <w:sz w:val="28"/>
          <w:szCs w:val="28"/>
          <w:highlight w:val="none"/>
        </w:rPr>
      </w:pPr>
      <w:r>
        <w:rPr>
          <w:rFonts w:hint="eastAsia" w:ascii="新宋体" w:hAnsi="新宋体" w:eastAsia="新宋体" w:cs="新宋体"/>
          <w:color w:val="auto"/>
          <w:highlight w:val="none"/>
        </w:rPr>
        <w:br w:type="page"/>
      </w:r>
      <w:bookmarkStart w:id="92" w:name="_Toc7896"/>
      <w:bookmarkStart w:id="93" w:name="_Toc30022"/>
      <w:bookmarkStart w:id="94" w:name="_Toc25692"/>
      <w:bookmarkStart w:id="95" w:name="_Toc5763"/>
      <w:bookmarkStart w:id="96" w:name="_Toc25100"/>
      <w:bookmarkStart w:id="97" w:name="_Toc22595"/>
      <w:bookmarkStart w:id="98" w:name="_Toc5574"/>
      <w:r>
        <w:rPr>
          <w:rFonts w:hint="eastAsia" w:ascii="新宋体" w:hAnsi="新宋体" w:eastAsia="新宋体" w:cs="新宋体"/>
          <w:b/>
          <w:bCs/>
          <w:color w:val="auto"/>
          <w:sz w:val="28"/>
          <w:szCs w:val="28"/>
          <w:highlight w:val="none"/>
        </w:rPr>
        <w:t>第二节 评标方法及标准</w:t>
      </w:r>
      <w:bookmarkEnd w:id="92"/>
      <w:bookmarkEnd w:id="93"/>
      <w:bookmarkEnd w:id="94"/>
      <w:bookmarkEnd w:id="95"/>
      <w:bookmarkEnd w:id="96"/>
      <w:bookmarkEnd w:id="97"/>
      <w:bookmarkEnd w:id="98"/>
    </w:p>
    <w:p w14:paraId="12B611E9">
      <w:pPr>
        <w:keepNext w:val="0"/>
        <w:keepLines w:val="0"/>
        <w:pageBreakBefore w:val="0"/>
        <w:widowControl w:val="0"/>
        <w:kinsoku/>
        <w:wordWrap/>
        <w:overflowPunct/>
        <w:topLinePunct w:val="0"/>
        <w:autoSpaceDE/>
        <w:autoSpaceDN/>
        <w:bidi w:val="0"/>
        <w:adjustRightInd w:val="0"/>
        <w:snapToGrid w:val="0"/>
        <w:spacing w:after="0" w:line="400" w:lineRule="exact"/>
        <w:textAlignment w:val="auto"/>
        <w:outlineLvl w:val="9"/>
        <w:rPr>
          <w:rFonts w:hint="eastAsia" w:ascii="新宋体" w:hAnsi="新宋体" w:eastAsia="新宋体" w:cs="新宋体"/>
          <w:b/>
          <w:bCs/>
          <w:color w:val="auto"/>
          <w:sz w:val="22"/>
          <w:szCs w:val="22"/>
          <w:highlight w:val="none"/>
        </w:rPr>
      </w:pPr>
      <w:bookmarkStart w:id="99" w:name="_Toc29837"/>
      <w:bookmarkStart w:id="100" w:name="_Toc16155"/>
      <w:r>
        <w:rPr>
          <w:rFonts w:hint="eastAsia" w:ascii="新宋体" w:hAnsi="新宋体" w:eastAsia="新宋体" w:cs="新宋体"/>
          <w:b/>
          <w:bCs/>
          <w:color w:val="auto"/>
          <w:sz w:val="22"/>
          <w:szCs w:val="22"/>
          <w:highlight w:val="none"/>
        </w:rPr>
        <w:t>1．评标方法</w:t>
      </w:r>
      <w:bookmarkEnd w:id="99"/>
      <w:bookmarkEnd w:id="100"/>
    </w:p>
    <w:p w14:paraId="0450FF9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1.1综合评分法，指投标文件满足招标文件全部实质性要求，且按照评审因素的量化指标评审得分最高的投标人为中标候选人的评标方法。</w:t>
      </w:r>
    </w:p>
    <w:p w14:paraId="66C1573F">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1.2最低评标价，是指投标文件满足招标文件全部实质性要求，且投标报价最低的投标人为中标候选人的评标方法。</w:t>
      </w:r>
    </w:p>
    <w:p w14:paraId="3E66956B">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1.3本采购项目评标方法见本章第一节</w:t>
      </w:r>
      <w:r>
        <w:rPr>
          <w:rFonts w:hint="eastAsia" w:ascii="新宋体" w:hAnsi="新宋体" w:eastAsia="新宋体" w:cs="新宋体"/>
          <w:b/>
          <w:color w:val="auto"/>
          <w:sz w:val="22"/>
          <w:szCs w:val="22"/>
          <w:highlight w:val="none"/>
        </w:rPr>
        <w:t>【评标方法及标准前附表】</w:t>
      </w:r>
      <w:r>
        <w:rPr>
          <w:rFonts w:hint="eastAsia" w:ascii="新宋体" w:hAnsi="新宋体" w:eastAsia="新宋体" w:cs="新宋体"/>
          <w:color w:val="auto"/>
          <w:sz w:val="22"/>
          <w:szCs w:val="22"/>
          <w:highlight w:val="none"/>
        </w:rPr>
        <w:t>。</w:t>
      </w:r>
    </w:p>
    <w:p w14:paraId="25F58B1A">
      <w:pPr>
        <w:keepNext w:val="0"/>
        <w:keepLines w:val="0"/>
        <w:pageBreakBefore w:val="0"/>
        <w:widowControl w:val="0"/>
        <w:kinsoku/>
        <w:wordWrap/>
        <w:overflowPunct/>
        <w:topLinePunct w:val="0"/>
        <w:autoSpaceDE/>
        <w:autoSpaceDN/>
        <w:bidi w:val="0"/>
        <w:adjustRightInd w:val="0"/>
        <w:snapToGrid w:val="0"/>
        <w:spacing w:after="0" w:line="400" w:lineRule="exact"/>
        <w:textAlignment w:val="auto"/>
        <w:outlineLvl w:val="9"/>
        <w:rPr>
          <w:rFonts w:hint="eastAsia" w:ascii="新宋体" w:hAnsi="新宋体" w:eastAsia="新宋体" w:cs="新宋体"/>
          <w:b/>
          <w:bCs/>
          <w:color w:val="auto"/>
          <w:sz w:val="22"/>
          <w:szCs w:val="22"/>
          <w:highlight w:val="none"/>
        </w:rPr>
      </w:pPr>
      <w:bookmarkStart w:id="101" w:name="_Toc30040"/>
      <w:bookmarkStart w:id="102" w:name="_Toc23534"/>
      <w:r>
        <w:rPr>
          <w:rFonts w:hint="eastAsia" w:ascii="新宋体" w:hAnsi="新宋体" w:eastAsia="新宋体" w:cs="新宋体"/>
          <w:b/>
          <w:bCs/>
          <w:color w:val="auto"/>
          <w:sz w:val="22"/>
          <w:szCs w:val="22"/>
          <w:highlight w:val="none"/>
        </w:rPr>
        <w:t>2．评标程序</w:t>
      </w:r>
      <w:bookmarkEnd w:id="101"/>
      <w:bookmarkEnd w:id="102"/>
    </w:p>
    <w:p w14:paraId="3F54B89B">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2.1评标程序分为投标文件符合性审查、澄清有关问题、比较和评价、推荐中标候选人。</w:t>
      </w:r>
    </w:p>
    <w:p w14:paraId="0A8C240E">
      <w:pPr>
        <w:keepNext w:val="0"/>
        <w:keepLines w:val="0"/>
        <w:pageBreakBefore w:val="0"/>
        <w:widowControl w:val="0"/>
        <w:kinsoku/>
        <w:wordWrap/>
        <w:overflowPunct/>
        <w:topLinePunct w:val="0"/>
        <w:autoSpaceDE/>
        <w:autoSpaceDN/>
        <w:bidi w:val="0"/>
        <w:adjustRightInd w:val="0"/>
        <w:snapToGrid w:val="0"/>
        <w:spacing w:after="0" w:line="400" w:lineRule="exact"/>
        <w:textAlignment w:val="auto"/>
        <w:outlineLvl w:val="9"/>
        <w:rPr>
          <w:rFonts w:hint="eastAsia" w:ascii="新宋体" w:hAnsi="新宋体" w:eastAsia="新宋体" w:cs="新宋体"/>
          <w:b/>
          <w:bCs/>
          <w:color w:val="auto"/>
          <w:sz w:val="22"/>
          <w:szCs w:val="22"/>
          <w:highlight w:val="none"/>
        </w:rPr>
      </w:pPr>
      <w:bookmarkStart w:id="103" w:name="_Toc23813"/>
      <w:bookmarkStart w:id="104" w:name="_Toc14128"/>
      <w:r>
        <w:rPr>
          <w:rFonts w:hint="eastAsia" w:ascii="新宋体" w:hAnsi="新宋体" w:eastAsia="新宋体" w:cs="新宋体"/>
          <w:b/>
          <w:bCs/>
          <w:color w:val="auto"/>
          <w:sz w:val="22"/>
          <w:szCs w:val="22"/>
          <w:highlight w:val="none"/>
        </w:rPr>
        <w:t>3．投标文件的符合性审查</w:t>
      </w:r>
      <w:bookmarkEnd w:id="103"/>
      <w:bookmarkEnd w:id="104"/>
    </w:p>
    <w:p w14:paraId="3DE6569D">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3.1资格审查结束后，评标委员会依法按照本章第三节“投标文件的符合性审查”规定进行投标文件符合性审查。</w:t>
      </w:r>
    </w:p>
    <w:p w14:paraId="0F1B2F8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3.2符合性审查合格投标人少于3家的，应予废标。</w:t>
      </w:r>
    </w:p>
    <w:p w14:paraId="0439B27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3.3单一产品采购项目：提供相同品牌产品的不同投标人参加同一合同项下投标的，按一家投标人计算。提供不同品牌产品的投标人不足三家的，应予废标。</w:t>
      </w:r>
    </w:p>
    <w:p w14:paraId="6E0070E0">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3.4非单一产品采购项目：采购人或者采购代理机构将在</w:t>
      </w:r>
      <w:r>
        <w:rPr>
          <w:rFonts w:hint="eastAsia" w:ascii="新宋体" w:hAnsi="新宋体" w:eastAsia="新宋体" w:cs="新宋体"/>
          <w:b/>
          <w:color w:val="auto"/>
          <w:sz w:val="22"/>
          <w:szCs w:val="22"/>
          <w:highlight w:val="none"/>
        </w:rPr>
        <w:t>【评标方法及标准前附表】</w:t>
      </w:r>
      <w:r>
        <w:rPr>
          <w:rFonts w:hint="eastAsia" w:ascii="新宋体" w:hAnsi="新宋体" w:eastAsia="新宋体" w:cs="新宋体"/>
          <w:color w:val="auto"/>
          <w:sz w:val="22"/>
          <w:szCs w:val="22"/>
          <w:highlight w:val="none"/>
        </w:rPr>
        <w:t>中载明核心产品。多家投标人提供的核心产品品牌相同的，视为相同品牌，按本章本节第3.3款规定处理。</w:t>
      </w:r>
    </w:p>
    <w:p w14:paraId="5EF1FF4D">
      <w:pPr>
        <w:keepNext w:val="0"/>
        <w:keepLines w:val="0"/>
        <w:pageBreakBefore w:val="0"/>
        <w:widowControl w:val="0"/>
        <w:kinsoku/>
        <w:wordWrap/>
        <w:overflowPunct/>
        <w:topLinePunct w:val="0"/>
        <w:autoSpaceDE/>
        <w:autoSpaceDN/>
        <w:bidi w:val="0"/>
        <w:adjustRightInd w:val="0"/>
        <w:snapToGrid w:val="0"/>
        <w:spacing w:after="0" w:line="400" w:lineRule="exact"/>
        <w:textAlignment w:val="auto"/>
        <w:outlineLvl w:val="9"/>
        <w:rPr>
          <w:rFonts w:hint="eastAsia" w:ascii="新宋体" w:hAnsi="新宋体" w:eastAsia="新宋体" w:cs="新宋体"/>
          <w:b/>
          <w:bCs/>
          <w:color w:val="auto"/>
          <w:sz w:val="22"/>
          <w:szCs w:val="22"/>
          <w:highlight w:val="none"/>
        </w:rPr>
      </w:pPr>
      <w:bookmarkStart w:id="105" w:name="_Toc23464"/>
      <w:bookmarkStart w:id="106" w:name="_Toc30211"/>
      <w:r>
        <w:rPr>
          <w:rFonts w:hint="eastAsia" w:ascii="新宋体" w:hAnsi="新宋体" w:eastAsia="新宋体" w:cs="新宋体"/>
          <w:b/>
          <w:bCs/>
          <w:color w:val="auto"/>
          <w:sz w:val="22"/>
          <w:szCs w:val="22"/>
          <w:highlight w:val="none"/>
        </w:rPr>
        <w:t>4．投标文件的澄清</w:t>
      </w:r>
      <w:bookmarkEnd w:id="105"/>
      <w:bookmarkEnd w:id="106"/>
    </w:p>
    <w:p w14:paraId="38C8AD5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4.1对于投标文件中含义不明确、同类问题表述不一致或者有明显文字和计算错误的内容，应当通过</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rPr>
        <w:t>湘西州公共资源交易网</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rPr>
        <w:t>http://ggzyjy.xxz.gov.cn/</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rPr>
        <w:t>要求投标人作出必要的澄清、说明或者补正采用</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rPr>
        <w:t>湘西州公共资源交易网</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rPr>
        <w:t>http://ggzyjy.xxz.gov.cn/</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rPr>
        <w:t>交换数据电文，投标人在评标委员会规定的时间内提交澄清、说明或补正的数据电文，在评标期间，投标人用单位“CA证书”登录</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rPr>
        <w:t>湘西州公共资源交易网</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rPr>
        <w:t>http://ggzyjy.xxz.gov.cn/</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rPr>
        <w:t>自行查看、接受澄清、说明或补正内容，未按要求提交澄清、说明或补正的，视为自动放弃澄清说明，相应责任由投标人自行负责。</w:t>
      </w:r>
    </w:p>
    <w:p w14:paraId="0423763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4.2投标文件的投标报价出现前后不一致的，除</w:t>
      </w:r>
      <w:r>
        <w:rPr>
          <w:rFonts w:hint="eastAsia" w:ascii="新宋体" w:hAnsi="新宋体" w:eastAsia="新宋体" w:cs="新宋体"/>
          <w:b/>
          <w:color w:val="auto"/>
          <w:sz w:val="22"/>
          <w:szCs w:val="22"/>
          <w:highlight w:val="none"/>
        </w:rPr>
        <w:t>【评标方法及标准前附表】</w:t>
      </w:r>
      <w:r>
        <w:rPr>
          <w:rFonts w:hint="eastAsia" w:ascii="新宋体" w:hAnsi="新宋体" w:eastAsia="新宋体" w:cs="新宋体"/>
          <w:color w:val="auto"/>
          <w:sz w:val="22"/>
          <w:szCs w:val="22"/>
          <w:highlight w:val="none"/>
        </w:rPr>
        <w:t>另有规定外，按照下列规定修正：</w:t>
      </w:r>
    </w:p>
    <w:p w14:paraId="4E73165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（1）投标文件中开标一览表内容与投标文件中相应内容不一致的，以开标一览表为准；</w:t>
      </w:r>
    </w:p>
    <w:p w14:paraId="6AD3D76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（2）大写金额和小写金额不一致的，以大写金额为准；</w:t>
      </w:r>
    </w:p>
    <w:p w14:paraId="76239D6C">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（3）单价金额小数点或者百分比有明显错位的，以开标一览表的总价为准，并修改单价；</w:t>
      </w:r>
    </w:p>
    <w:p w14:paraId="2C53EAB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（4）总价金额与按单价汇总金额不一致的，以单价金额计算结果为准。</w:t>
      </w:r>
    </w:p>
    <w:p w14:paraId="6F602143">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4.3投标文件报价同时出现两种以上不一致的，按照前款规定的顺序修正。修正后的报价由投标人代表签字或者加盖单位章确认后产生约束力，投标人不确认的，其投标无效。</w:t>
      </w:r>
    </w:p>
    <w:p w14:paraId="45C53E2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1A57B72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4.5有效的书面澄清材料，是投标文件的补充材料，成为投标文件的组成部分。</w:t>
      </w:r>
    </w:p>
    <w:p w14:paraId="337D0BAB">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45CE117C">
      <w:pPr>
        <w:keepNext w:val="0"/>
        <w:keepLines w:val="0"/>
        <w:pageBreakBefore w:val="0"/>
        <w:widowControl w:val="0"/>
        <w:kinsoku/>
        <w:wordWrap/>
        <w:overflowPunct/>
        <w:topLinePunct w:val="0"/>
        <w:autoSpaceDE/>
        <w:autoSpaceDN/>
        <w:bidi w:val="0"/>
        <w:adjustRightInd w:val="0"/>
        <w:snapToGrid w:val="0"/>
        <w:spacing w:after="0" w:line="400" w:lineRule="exact"/>
        <w:textAlignment w:val="auto"/>
        <w:outlineLvl w:val="9"/>
        <w:rPr>
          <w:rFonts w:hint="eastAsia" w:ascii="新宋体" w:hAnsi="新宋体" w:eastAsia="新宋体" w:cs="新宋体"/>
          <w:b/>
          <w:bCs/>
          <w:color w:val="auto"/>
          <w:sz w:val="22"/>
          <w:szCs w:val="22"/>
          <w:highlight w:val="none"/>
        </w:rPr>
      </w:pPr>
      <w:bookmarkStart w:id="107" w:name="_Toc20583"/>
      <w:bookmarkStart w:id="108" w:name="_Toc10556"/>
      <w:r>
        <w:rPr>
          <w:rFonts w:hint="eastAsia" w:ascii="新宋体" w:hAnsi="新宋体" w:eastAsia="新宋体" w:cs="新宋体"/>
          <w:b/>
          <w:bCs/>
          <w:color w:val="auto"/>
          <w:sz w:val="22"/>
          <w:szCs w:val="22"/>
          <w:highlight w:val="none"/>
        </w:rPr>
        <w:t>5．投标文件的比较与评价</w:t>
      </w:r>
      <w:bookmarkEnd w:id="107"/>
      <w:bookmarkEnd w:id="108"/>
    </w:p>
    <w:p w14:paraId="0891032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5.1评标委员会依法按照本章第</w:t>
      </w:r>
      <w:r>
        <w:rPr>
          <w:rFonts w:hint="eastAsia" w:ascii="新宋体" w:hAnsi="新宋体" w:eastAsia="新宋体" w:cs="新宋体"/>
          <w:bCs/>
          <w:color w:val="auto"/>
          <w:sz w:val="22"/>
          <w:szCs w:val="22"/>
          <w:highlight w:val="none"/>
          <w:lang w:val="en-US" w:eastAsia="zh-CN"/>
        </w:rPr>
        <w:t>四</w:t>
      </w:r>
      <w:r>
        <w:rPr>
          <w:rFonts w:hint="eastAsia" w:ascii="新宋体" w:hAnsi="新宋体" w:eastAsia="新宋体" w:cs="新宋体"/>
          <w:bCs/>
          <w:color w:val="auto"/>
          <w:sz w:val="22"/>
          <w:szCs w:val="22"/>
          <w:highlight w:val="none"/>
        </w:rPr>
        <w:t>节“投标文件的比较与评价”规定，对资格性检查和符合性检查合格的投标文件进行比较和评价。</w:t>
      </w:r>
    </w:p>
    <w:p w14:paraId="612668D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5.2单一产品采购项目：</w:t>
      </w:r>
    </w:p>
    <w:p w14:paraId="2C70878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color w:val="auto"/>
          <w:sz w:val="22"/>
          <w:szCs w:val="22"/>
          <w:highlight w:val="none"/>
        </w:rPr>
        <w:t>（1）最低评标价法：</w:t>
      </w:r>
      <w:r>
        <w:rPr>
          <w:rFonts w:hint="eastAsia" w:ascii="新宋体" w:hAnsi="新宋体" w:eastAsia="新宋体" w:cs="新宋体"/>
          <w:bCs/>
          <w:color w:val="auto"/>
          <w:sz w:val="22"/>
          <w:szCs w:val="22"/>
          <w:highlight w:val="none"/>
        </w:rPr>
        <w:t>提供相同品牌产品的不同投标人参加同一合同项下投标的，以其中通过资格审查、符合性审查且报价最低的参加评标，其他投标无效；报价相同的，按照</w:t>
      </w:r>
      <w:r>
        <w:rPr>
          <w:rFonts w:hint="eastAsia" w:ascii="新宋体" w:hAnsi="新宋体" w:eastAsia="新宋体" w:cs="新宋体"/>
          <w:b/>
          <w:bCs/>
          <w:color w:val="auto"/>
          <w:sz w:val="22"/>
          <w:szCs w:val="22"/>
          <w:highlight w:val="none"/>
        </w:rPr>
        <w:t>【评标方法及标准前附表】</w:t>
      </w:r>
      <w:r>
        <w:rPr>
          <w:rFonts w:hint="eastAsia" w:ascii="新宋体" w:hAnsi="新宋体" w:eastAsia="新宋体" w:cs="新宋体"/>
          <w:bCs/>
          <w:color w:val="auto"/>
          <w:sz w:val="22"/>
          <w:szCs w:val="22"/>
          <w:highlight w:val="none"/>
        </w:rPr>
        <w:t>规定的方式确定一个参加评标的投标人，招标文件未规定的采取随机抽取方式确定，其他</w:t>
      </w:r>
      <w:r>
        <w:rPr>
          <w:rFonts w:hint="eastAsia" w:ascii="新宋体" w:hAnsi="新宋体" w:eastAsia="新宋体" w:cs="新宋体"/>
          <w:b/>
          <w:bCs/>
          <w:color w:val="auto"/>
          <w:sz w:val="22"/>
          <w:szCs w:val="22"/>
          <w:highlight w:val="none"/>
        </w:rPr>
        <w:t>投标无效</w:t>
      </w:r>
      <w:r>
        <w:rPr>
          <w:rFonts w:hint="eastAsia" w:ascii="新宋体" w:hAnsi="新宋体" w:eastAsia="新宋体" w:cs="新宋体"/>
          <w:bCs/>
          <w:color w:val="auto"/>
          <w:sz w:val="22"/>
          <w:szCs w:val="22"/>
          <w:highlight w:val="none"/>
        </w:rPr>
        <w:t>。</w:t>
      </w:r>
    </w:p>
    <w:p w14:paraId="06780961">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（2）综合评分法：提供相同品牌产品且通过资格审查、符合性审查的不同投标人参加同一合同项下投标的，评审后得分最高的同品牌投标人获得中标人推荐资格；评审得分相同的，按照</w:t>
      </w:r>
      <w:r>
        <w:rPr>
          <w:rFonts w:hint="eastAsia" w:ascii="新宋体" w:hAnsi="新宋体" w:eastAsia="新宋体" w:cs="新宋体"/>
          <w:b/>
          <w:color w:val="auto"/>
          <w:sz w:val="22"/>
          <w:szCs w:val="22"/>
          <w:highlight w:val="none"/>
        </w:rPr>
        <w:t>【评标方法及标准前附表】</w:t>
      </w:r>
      <w:r>
        <w:rPr>
          <w:rFonts w:hint="eastAsia" w:ascii="新宋体" w:hAnsi="新宋体" w:eastAsia="新宋体" w:cs="新宋体"/>
          <w:color w:val="auto"/>
          <w:sz w:val="22"/>
          <w:szCs w:val="22"/>
          <w:highlight w:val="none"/>
        </w:rPr>
        <w:t>规定的方式确定一个投标人获得中标人推荐资格，招标文件未规定的采取随机抽取方式确定，其他同品牌投标人</w:t>
      </w:r>
      <w:r>
        <w:rPr>
          <w:rFonts w:hint="eastAsia" w:ascii="新宋体" w:hAnsi="新宋体" w:eastAsia="新宋体" w:cs="新宋体"/>
          <w:b/>
          <w:color w:val="auto"/>
          <w:sz w:val="22"/>
          <w:szCs w:val="22"/>
          <w:highlight w:val="none"/>
        </w:rPr>
        <w:t>不作为中标候选人</w:t>
      </w:r>
      <w:r>
        <w:rPr>
          <w:rFonts w:hint="eastAsia" w:ascii="新宋体" w:hAnsi="新宋体" w:eastAsia="新宋体" w:cs="新宋体"/>
          <w:color w:val="auto"/>
          <w:sz w:val="22"/>
          <w:szCs w:val="22"/>
          <w:highlight w:val="none"/>
        </w:rPr>
        <w:t>。</w:t>
      </w:r>
    </w:p>
    <w:p w14:paraId="549C8B5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5.3非单一产品采购项目：多家投标人提供的核心产品品牌相同的，视为相同品牌，按本章本节第 5.2 款规定处理。</w:t>
      </w:r>
    </w:p>
    <w:p w14:paraId="064FD250">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5.</w:t>
      </w:r>
      <w:r>
        <w:rPr>
          <w:rFonts w:hint="eastAsia" w:ascii="新宋体" w:hAnsi="新宋体" w:eastAsia="新宋体" w:cs="新宋体"/>
          <w:bCs/>
          <w:color w:val="auto"/>
          <w:sz w:val="22"/>
          <w:szCs w:val="22"/>
          <w:highlight w:val="none"/>
          <w:lang w:val="en-US" w:eastAsia="zh-CN"/>
        </w:rPr>
        <w:t>4</w:t>
      </w:r>
      <w:r>
        <w:rPr>
          <w:rFonts w:hint="eastAsia" w:ascii="新宋体" w:hAnsi="新宋体" w:eastAsia="新宋体" w:cs="新宋体"/>
          <w:bCs/>
          <w:color w:val="auto"/>
          <w:sz w:val="22"/>
          <w:szCs w:val="22"/>
          <w:highlight w:val="none"/>
        </w:rPr>
        <w:t>政府采购政策：</w:t>
      </w:r>
    </w:p>
    <w:p w14:paraId="3F7542B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color w:val="auto"/>
          <w:sz w:val="22"/>
          <w:szCs w:val="22"/>
          <w:highlight w:val="none"/>
        </w:rPr>
        <w:t>（1）</w:t>
      </w:r>
      <w:r>
        <w:rPr>
          <w:rFonts w:hint="eastAsia" w:ascii="新宋体" w:hAnsi="新宋体" w:eastAsia="新宋体" w:cs="新宋体"/>
          <w:bCs/>
          <w:color w:val="auto"/>
          <w:sz w:val="22"/>
          <w:szCs w:val="22"/>
          <w:highlight w:val="none"/>
        </w:rPr>
        <w:t>价格评审优惠：</w:t>
      </w:r>
      <w:r>
        <w:rPr>
          <w:rFonts w:hint="eastAsia" w:ascii="新宋体" w:hAnsi="新宋体" w:eastAsia="新宋体" w:cs="新宋体"/>
          <w:bCs/>
          <w:color w:val="auto"/>
          <w:sz w:val="22"/>
          <w:szCs w:val="22"/>
          <w:highlight w:val="none"/>
          <w:lang w:val="en-US" w:eastAsia="zh-CN"/>
        </w:rPr>
        <w:t>评审时</w:t>
      </w:r>
      <w:r>
        <w:rPr>
          <w:rFonts w:hint="eastAsia" w:ascii="新宋体" w:hAnsi="新宋体" w:eastAsia="新宋体" w:cs="新宋体"/>
          <w:color w:val="auto"/>
          <w:sz w:val="22"/>
          <w:szCs w:val="22"/>
          <w:highlight w:val="none"/>
        </w:rPr>
        <w:t>按</w:t>
      </w:r>
      <w:r>
        <w:rPr>
          <w:rFonts w:hint="eastAsia" w:ascii="新宋体" w:hAnsi="新宋体" w:eastAsia="新宋体" w:cs="新宋体"/>
          <w:b/>
          <w:color w:val="auto"/>
          <w:sz w:val="22"/>
          <w:szCs w:val="22"/>
          <w:highlight w:val="none"/>
        </w:rPr>
        <w:t>【评标方法及标准前附表】</w:t>
      </w:r>
      <w:r>
        <w:rPr>
          <w:rFonts w:hint="eastAsia" w:ascii="新宋体" w:hAnsi="新宋体" w:eastAsia="新宋体" w:cs="新宋体"/>
          <w:color w:val="auto"/>
          <w:sz w:val="22"/>
          <w:szCs w:val="22"/>
          <w:highlight w:val="none"/>
        </w:rPr>
        <w:t>及第二章“投标须知”的相关规定给予相应比例的价格折扣。</w:t>
      </w:r>
    </w:p>
    <w:p w14:paraId="2A0AC08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color w:val="auto"/>
          <w:sz w:val="22"/>
          <w:szCs w:val="22"/>
          <w:highlight w:val="none"/>
        </w:rPr>
        <w:t>（2）优先采购：</w:t>
      </w:r>
      <w:r>
        <w:rPr>
          <w:rFonts w:hint="eastAsia" w:ascii="新宋体" w:hAnsi="新宋体" w:eastAsia="新宋体" w:cs="新宋体"/>
          <w:bCs/>
          <w:color w:val="auto"/>
          <w:sz w:val="22"/>
          <w:szCs w:val="22"/>
          <w:highlight w:val="none"/>
        </w:rPr>
        <w:t>评审时按</w:t>
      </w:r>
      <w:r>
        <w:rPr>
          <w:rFonts w:hint="eastAsia" w:ascii="新宋体" w:hAnsi="新宋体" w:eastAsia="新宋体" w:cs="新宋体"/>
          <w:b/>
          <w:color w:val="auto"/>
          <w:sz w:val="22"/>
          <w:szCs w:val="22"/>
          <w:highlight w:val="none"/>
        </w:rPr>
        <w:t>【评标方法及标准前附表】</w:t>
      </w:r>
      <w:r>
        <w:rPr>
          <w:rFonts w:hint="eastAsia" w:ascii="新宋体" w:hAnsi="新宋体" w:eastAsia="新宋体" w:cs="新宋体"/>
          <w:bCs/>
          <w:color w:val="auto"/>
          <w:sz w:val="22"/>
          <w:szCs w:val="22"/>
          <w:highlight w:val="none"/>
        </w:rPr>
        <w:t>及第二章</w:t>
      </w:r>
      <w:r>
        <w:rPr>
          <w:rFonts w:hint="eastAsia" w:ascii="新宋体" w:hAnsi="新宋体" w:eastAsia="新宋体" w:cs="新宋体"/>
          <w:color w:val="auto"/>
          <w:sz w:val="22"/>
          <w:szCs w:val="22"/>
          <w:highlight w:val="none"/>
        </w:rPr>
        <w:t>“投标须知”</w:t>
      </w:r>
      <w:r>
        <w:rPr>
          <w:rFonts w:hint="eastAsia" w:ascii="新宋体" w:hAnsi="新宋体" w:eastAsia="新宋体" w:cs="新宋体"/>
          <w:bCs/>
          <w:color w:val="auto"/>
          <w:sz w:val="22"/>
          <w:szCs w:val="22"/>
          <w:highlight w:val="none"/>
        </w:rPr>
        <w:t>的相关规定给予相应比例的价格折扣或者加分。</w:t>
      </w:r>
    </w:p>
    <w:p w14:paraId="2098313B">
      <w:pPr>
        <w:keepNext w:val="0"/>
        <w:keepLines w:val="0"/>
        <w:pageBreakBefore w:val="0"/>
        <w:widowControl w:val="0"/>
        <w:kinsoku/>
        <w:wordWrap/>
        <w:overflowPunct/>
        <w:topLinePunct w:val="0"/>
        <w:autoSpaceDE/>
        <w:autoSpaceDN/>
        <w:bidi w:val="0"/>
        <w:adjustRightInd w:val="0"/>
        <w:snapToGrid w:val="0"/>
        <w:spacing w:after="0" w:line="400" w:lineRule="exact"/>
        <w:textAlignment w:val="auto"/>
        <w:outlineLvl w:val="9"/>
        <w:rPr>
          <w:rFonts w:hint="eastAsia" w:ascii="新宋体" w:hAnsi="新宋体" w:eastAsia="新宋体" w:cs="新宋体"/>
          <w:b/>
          <w:bCs/>
          <w:color w:val="auto"/>
          <w:sz w:val="22"/>
          <w:szCs w:val="22"/>
          <w:highlight w:val="none"/>
        </w:rPr>
      </w:pPr>
      <w:bookmarkStart w:id="109" w:name="_Toc20695"/>
      <w:bookmarkStart w:id="110" w:name="_Toc13944"/>
      <w:r>
        <w:rPr>
          <w:rFonts w:hint="eastAsia" w:ascii="新宋体" w:hAnsi="新宋体" w:eastAsia="新宋体" w:cs="新宋体"/>
          <w:b/>
          <w:bCs/>
          <w:color w:val="auto"/>
          <w:sz w:val="22"/>
          <w:szCs w:val="22"/>
          <w:highlight w:val="none"/>
        </w:rPr>
        <w:t>6．推荐中标候选人</w:t>
      </w:r>
      <w:bookmarkEnd w:id="109"/>
      <w:bookmarkEnd w:id="110"/>
    </w:p>
    <w:p w14:paraId="60F66BA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color w:val="auto"/>
          <w:sz w:val="22"/>
          <w:szCs w:val="22"/>
          <w:highlight w:val="none"/>
        </w:rPr>
        <w:t>6.1最低评标价法：</w:t>
      </w:r>
      <w:r>
        <w:rPr>
          <w:rFonts w:hint="eastAsia" w:ascii="新宋体" w:hAnsi="新宋体" w:eastAsia="新宋体" w:cs="新宋体"/>
          <w:bCs/>
          <w:color w:val="auto"/>
          <w:sz w:val="22"/>
          <w:szCs w:val="22"/>
          <w:highlight w:val="none"/>
        </w:rPr>
        <w:t>评标结果按算术修正和落实政府采购政策需进行的价格扣除后的投标报价由低到高顺序排列。报价相同的并列，按</w:t>
      </w:r>
      <w:r>
        <w:rPr>
          <w:rFonts w:hint="eastAsia" w:ascii="新宋体" w:hAnsi="新宋体" w:eastAsia="新宋体" w:cs="新宋体"/>
          <w:b/>
          <w:color w:val="auto"/>
          <w:sz w:val="22"/>
          <w:szCs w:val="22"/>
          <w:highlight w:val="none"/>
        </w:rPr>
        <w:t>【评标方法及标准前附表】</w:t>
      </w:r>
      <w:r>
        <w:rPr>
          <w:rFonts w:hint="eastAsia" w:ascii="新宋体" w:hAnsi="新宋体" w:eastAsia="新宋体" w:cs="新宋体"/>
          <w:color w:val="auto"/>
          <w:sz w:val="22"/>
          <w:szCs w:val="22"/>
          <w:highlight w:val="none"/>
        </w:rPr>
        <w:t>规定的方式确定中标人；</w:t>
      </w:r>
      <w:r>
        <w:rPr>
          <w:rFonts w:hint="eastAsia" w:ascii="新宋体" w:hAnsi="新宋体" w:eastAsia="新宋体" w:cs="新宋体"/>
          <w:bCs/>
          <w:color w:val="auto"/>
          <w:sz w:val="22"/>
          <w:szCs w:val="22"/>
          <w:highlight w:val="none"/>
        </w:rPr>
        <w:t>招标文件未规定的，采取随机抽取的方式确定。</w:t>
      </w:r>
    </w:p>
    <w:p w14:paraId="5809AC45">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6.2综合评分法：评标结果按评审后得分由高到低顺序排列。得分相同的，按投标报价由低到高顺序排列。得分且投标报价相同的并列，按</w:t>
      </w:r>
      <w:r>
        <w:rPr>
          <w:rFonts w:hint="eastAsia" w:ascii="新宋体" w:hAnsi="新宋体" w:eastAsia="新宋体" w:cs="新宋体"/>
          <w:b/>
          <w:bCs/>
          <w:color w:val="auto"/>
          <w:sz w:val="22"/>
          <w:szCs w:val="22"/>
          <w:highlight w:val="none"/>
        </w:rPr>
        <w:t>【评标方法及标准前附表】</w:t>
      </w:r>
      <w:r>
        <w:rPr>
          <w:rFonts w:hint="eastAsia" w:ascii="新宋体" w:hAnsi="新宋体" w:eastAsia="新宋体" w:cs="新宋体"/>
          <w:bCs/>
          <w:color w:val="auto"/>
          <w:sz w:val="22"/>
          <w:szCs w:val="22"/>
          <w:highlight w:val="none"/>
        </w:rPr>
        <w:t>规定的方式确定中标人；招标文件未规定的，采取随机抽取的方式确定。</w:t>
      </w:r>
    </w:p>
    <w:p w14:paraId="5D63CAA2">
      <w:pPr>
        <w:keepNext w:val="0"/>
        <w:keepLines w:val="0"/>
        <w:pageBreakBefore w:val="0"/>
        <w:widowControl w:val="0"/>
        <w:kinsoku/>
        <w:wordWrap/>
        <w:overflowPunct/>
        <w:topLinePunct w:val="0"/>
        <w:autoSpaceDE/>
        <w:autoSpaceDN/>
        <w:bidi w:val="0"/>
        <w:adjustRightInd w:val="0"/>
        <w:snapToGrid w:val="0"/>
        <w:spacing w:after="0" w:line="400" w:lineRule="exact"/>
        <w:textAlignment w:val="auto"/>
        <w:outlineLvl w:val="9"/>
        <w:rPr>
          <w:rFonts w:hint="eastAsia" w:ascii="新宋体" w:hAnsi="新宋体" w:eastAsia="新宋体" w:cs="新宋体"/>
          <w:b/>
          <w:bCs/>
          <w:color w:val="auto"/>
          <w:sz w:val="22"/>
          <w:szCs w:val="22"/>
          <w:highlight w:val="none"/>
        </w:rPr>
      </w:pPr>
      <w:bookmarkStart w:id="111" w:name="_Toc24996"/>
      <w:bookmarkStart w:id="112" w:name="_Toc30728"/>
      <w:r>
        <w:rPr>
          <w:rFonts w:hint="eastAsia" w:ascii="新宋体" w:hAnsi="新宋体" w:eastAsia="新宋体" w:cs="新宋体"/>
          <w:b/>
          <w:bCs/>
          <w:color w:val="auto"/>
          <w:sz w:val="22"/>
          <w:szCs w:val="22"/>
          <w:highlight w:val="none"/>
        </w:rPr>
        <w:t>7．编写评标报告</w:t>
      </w:r>
      <w:bookmarkEnd w:id="111"/>
      <w:bookmarkEnd w:id="112"/>
    </w:p>
    <w:p w14:paraId="4D2B2DB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7.1评标</w:t>
      </w:r>
      <w:r>
        <w:rPr>
          <w:rFonts w:hint="eastAsia" w:ascii="新宋体" w:hAnsi="新宋体" w:eastAsia="新宋体" w:cs="新宋体"/>
          <w:bCs/>
          <w:color w:val="auto"/>
          <w:sz w:val="22"/>
          <w:szCs w:val="22"/>
          <w:highlight w:val="none"/>
        </w:rPr>
        <w:t>委员会</w:t>
      </w:r>
      <w:r>
        <w:rPr>
          <w:rFonts w:hint="eastAsia" w:ascii="新宋体" w:hAnsi="新宋体" w:eastAsia="新宋体" w:cs="新宋体"/>
          <w:color w:val="auto"/>
          <w:sz w:val="22"/>
          <w:szCs w:val="22"/>
          <w:highlight w:val="none"/>
        </w:rPr>
        <w:t>根据全体评标成员签字的原始评标记录和评标结果编写评标报告。</w:t>
      </w:r>
    </w:p>
    <w:p w14:paraId="0D0ED89A">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color w:val="auto"/>
          <w:sz w:val="22"/>
          <w:szCs w:val="22"/>
          <w:highlight w:val="none"/>
        </w:rPr>
        <w:t>7.2</w:t>
      </w:r>
      <w:r>
        <w:rPr>
          <w:rFonts w:hint="eastAsia" w:ascii="新宋体" w:hAnsi="新宋体" w:eastAsia="新宋体" w:cs="新宋体"/>
          <w:bCs/>
          <w:color w:val="auto"/>
          <w:sz w:val="22"/>
          <w:szCs w:val="22"/>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72361971">
      <w:pPr>
        <w:keepNext w:val="0"/>
        <w:keepLines w:val="0"/>
        <w:pageBreakBefore w:val="0"/>
        <w:widowControl w:val="0"/>
        <w:kinsoku/>
        <w:wordWrap/>
        <w:overflowPunct/>
        <w:topLinePunct w:val="0"/>
        <w:autoSpaceDE/>
        <w:autoSpaceDN/>
        <w:bidi w:val="0"/>
        <w:adjustRightInd w:val="0"/>
        <w:snapToGrid w:val="0"/>
        <w:spacing w:after="0" w:line="400" w:lineRule="exact"/>
        <w:textAlignment w:val="auto"/>
        <w:outlineLvl w:val="9"/>
        <w:rPr>
          <w:rFonts w:hint="eastAsia" w:ascii="新宋体" w:hAnsi="新宋体" w:eastAsia="新宋体" w:cs="新宋体"/>
          <w:b/>
          <w:bCs/>
          <w:color w:val="auto"/>
          <w:sz w:val="22"/>
          <w:szCs w:val="22"/>
          <w:highlight w:val="none"/>
        </w:rPr>
      </w:pPr>
      <w:bookmarkStart w:id="113" w:name="_Toc30227"/>
      <w:bookmarkStart w:id="114" w:name="_Toc22011"/>
      <w:r>
        <w:rPr>
          <w:rFonts w:hint="eastAsia" w:ascii="新宋体" w:hAnsi="新宋体" w:eastAsia="新宋体" w:cs="新宋体"/>
          <w:b/>
          <w:bCs/>
          <w:color w:val="auto"/>
          <w:sz w:val="22"/>
          <w:szCs w:val="22"/>
          <w:highlight w:val="none"/>
        </w:rPr>
        <w:t>8．评标报告复核</w:t>
      </w:r>
      <w:bookmarkEnd w:id="113"/>
      <w:bookmarkEnd w:id="114"/>
    </w:p>
    <w:p w14:paraId="29AF97E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8.1汇总结束后，评标委员会应当进行复核，特别要对拟推荐为中标候选供应商的、报价最低的、投标文件被认定为无效的进行重点复核。</w:t>
      </w:r>
    </w:p>
    <w:p w14:paraId="1CA8F2F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8.2汇总完成后，除下列情形外，任何人不得修改评标结果：</w:t>
      </w:r>
    </w:p>
    <w:p w14:paraId="25D9C6D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（1）分值汇总计算错误的；</w:t>
      </w:r>
    </w:p>
    <w:p w14:paraId="1835927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（2）分项评分超出评分标准范围的；</w:t>
      </w:r>
    </w:p>
    <w:p w14:paraId="31F07DE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（3）评标委员会成员对客观评审因素评分不一致的；</w:t>
      </w:r>
    </w:p>
    <w:p w14:paraId="6BDA7898">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（4）经评标委员会认定评分畸高、畸低的。</w:t>
      </w:r>
    </w:p>
    <w:p w14:paraId="7052F00B">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Cs/>
          <w:color w:val="auto"/>
          <w:sz w:val="22"/>
          <w:szCs w:val="22"/>
          <w:highlight w:val="none"/>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178D35B4">
      <w:pPr>
        <w:keepNext w:val="0"/>
        <w:keepLines w:val="0"/>
        <w:pageBreakBefore w:val="0"/>
        <w:widowControl w:val="0"/>
        <w:kinsoku/>
        <w:wordWrap/>
        <w:overflowPunct/>
        <w:topLinePunct w:val="0"/>
        <w:autoSpaceDE/>
        <w:autoSpaceDN/>
        <w:bidi w:val="0"/>
        <w:adjustRightInd w:val="0"/>
        <w:snapToGrid w:val="0"/>
        <w:spacing w:after="0" w:line="400" w:lineRule="exact"/>
        <w:textAlignment w:val="auto"/>
        <w:outlineLvl w:val="9"/>
        <w:rPr>
          <w:rFonts w:hint="eastAsia" w:ascii="新宋体" w:hAnsi="新宋体" w:eastAsia="新宋体" w:cs="新宋体"/>
          <w:b/>
          <w:bCs/>
          <w:color w:val="auto"/>
          <w:sz w:val="22"/>
          <w:szCs w:val="22"/>
          <w:highlight w:val="none"/>
        </w:rPr>
      </w:pPr>
      <w:bookmarkStart w:id="115" w:name="_Toc30958"/>
      <w:bookmarkStart w:id="116" w:name="_Toc11442"/>
      <w:r>
        <w:rPr>
          <w:rFonts w:hint="eastAsia" w:ascii="新宋体" w:hAnsi="新宋体" w:eastAsia="新宋体" w:cs="新宋体"/>
          <w:b/>
          <w:bCs/>
          <w:color w:val="auto"/>
          <w:sz w:val="22"/>
          <w:szCs w:val="22"/>
          <w:highlight w:val="none"/>
        </w:rPr>
        <w:t>9．停止评标</w:t>
      </w:r>
      <w:bookmarkEnd w:id="115"/>
      <w:bookmarkEnd w:id="116"/>
    </w:p>
    <w:p w14:paraId="2170F15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bCs/>
          <w:color w:val="auto"/>
          <w:sz w:val="22"/>
          <w:szCs w:val="22"/>
          <w:highlight w:val="none"/>
        </w:rPr>
        <w:t>9.1</w:t>
      </w:r>
      <w:r>
        <w:rPr>
          <w:rFonts w:hint="eastAsia" w:ascii="新宋体" w:hAnsi="新宋体" w:eastAsia="新宋体" w:cs="新宋体"/>
          <w:color w:val="auto"/>
          <w:kern w:val="0"/>
          <w:sz w:val="22"/>
          <w:szCs w:val="22"/>
          <w:highlight w:val="none"/>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396B1EF8">
      <w:pPr>
        <w:keepNext w:val="0"/>
        <w:keepLines w:val="0"/>
        <w:pageBreakBefore w:val="0"/>
        <w:widowControl w:val="0"/>
        <w:kinsoku/>
        <w:wordWrap/>
        <w:overflowPunct/>
        <w:topLinePunct w:val="0"/>
        <w:autoSpaceDE/>
        <w:autoSpaceDN/>
        <w:bidi w:val="0"/>
        <w:adjustRightInd w:val="0"/>
        <w:snapToGrid w:val="0"/>
        <w:spacing w:after="0" w:line="400" w:lineRule="exact"/>
        <w:textAlignment w:val="auto"/>
        <w:outlineLvl w:val="9"/>
        <w:rPr>
          <w:rFonts w:hint="eastAsia" w:ascii="新宋体" w:hAnsi="新宋体" w:eastAsia="新宋体" w:cs="新宋体"/>
          <w:b/>
          <w:bCs/>
          <w:color w:val="auto"/>
          <w:sz w:val="22"/>
          <w:szCs w:val="22"/>
          <w:highlight w:val="none"/>
        </w:rPr>
      </w:pPr>
      <w:bookmarkStart w:id="117" w:name="_Toc11170"/>
      <w:bookmarkStart w:id="118" w:name="_Toc5062"/>
      <w:r>
        <w:rPr>
          <w:rFonts w:hint="eastAsia" w:ascii="新宋体" w:hAnsi="新宋体" w:eastAsia="新宋体" w:cs="新宋体"/>
          <w:b/>
          <w:bCs/>
          <w:color w:val="auto"/>
          <w:sz w:val="22"/>
          <w:szCs w:val="22"/>
          <w:highlight w:val="none"/>
        </w:rPr>
        <w:t>10</w:t>
      </w:r>
      <w:r>
        <w:rPr>
          <w:rFonts w:hint="eastAsia" w:ascii="新宋体" w:hAnsi="新宋体" w:eastAsia="新宋体" w:cs="新宋体"/>
          <w:b/>
          <w:bCs/>
          <w:color w:val="auto"/>
          <w:kern w:val="0"/>
          <w:sz w:val="22"/>
          <w:szCs w:val="22"/>
          <w:highlight w:val="none"/>
        </w:rPr>
        <w:t>．</w:t>
      </w:r>
      <w:r>
        <w:rPr>
          <w:rFonts w:hint="eastAsia" w:ascii="新宋体" w:hAnsi="新宋体" w:eastAsia="新宋体" w:cs="新宋体"/>
          <w:b/>
          <w:bCs/>
          <w:color w:val="auto"/>
          <w:sz w:val="22"/>
          <w:szCs w:val="22"/>
          <w:highlight w:val="none"/>
        </w:rPr>
        <w:t>废标</w:t>
      </w:r>
      <w:bookmarkEnd w:id="117"/>
      <w:bookmarkEnd w:id="118"/>
    </w:p>
    <w:p w14:paraId="1198A3D2">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10.1 根据有关法律法规和招标文件的有关规定，如出现下列情况之一的，应予以废标：</w:t>
      </w:r>
    </w:p>
    <w:p w14:paraId="1156314B">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（1）符合专业条件的投标人或者对招标文件作实质响应的投标人不足三家的；</w:t>
      </w:r>
    </w:p>
    <w:p w14:paraId="3E91A692">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（2）出现影响采购公正的违法、违规行为的；</w:t>
      </w:r>
    </w:p>
    <w:p w14:paraId="5A0F652D">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（3）投标人的报价均超过采购项目预算，</w:t>
      </w:r>
      <w:r>
        <w:rPr>
          <w:rFonts w:hint="eastAsia" w:ascii="新宋体" w:hAnsi="新宋体" w:eastAsia="新宋体" w:cs="新宋体"/>
          <w:color w:val="auto"/>
          <w:sz w:val="22"/>
          <w:szCs w:val="22"/>
          <w:highlight w:val="none"/>
          <w:lang w:eastAsia="zh-CN"/>
        </w:rPr>
        <w:t>采购人</w:t>
      </w:r>
      <w:r>
        <w:rPr>
          <w:rFonts w:hint="eastAsia" w:ascii="新宋体" w:hAnsi="新宋体" w:eastAsia="新宋体" w:cs="新宋体"/>
          <w:color w:val="auto"/>
          <w:sz w:val="22"/>
          <w:szCs w:val="22"/>
          <w:highlight w:val="none"/>
        </w:rPr>
        <w:t>不能支付的；</w:t>
      </w:r>
    </w:p>
    <w:p w14:paraId="1277174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（4）因重大变故，采购任务取消的。</w:t>
      </w:r>
    </w:p>
    <w:p w14:paraId="322AD53E">
      <w:pPr>
        <w:keepNext w:val="0"/>
        <w:keepLines w:val="0"/>
        <w:pageBreakBefore w:val="0"/>
        <w:widowControl w:val="0"/>
        <w:kinsoku/>
        <w:wordWrap/>
        <w:overflowPunct/>
        <w:topLinePunct w:val="0"/>
        <w:autoSpaceDE/>
        <w:autoSpaceDN/>
        <w:bidi w:val="0"/>
        <w:adjustRightInd w:val="0"/>
        <w:snapToGrid w:val="0"/>
        <w:spacing w:after="0" w:line="400" w:lineRule="exact"/>
        <w:textAlignment w:val="auto"/>
        <w:outlineLvl w:val="9"/>
        <w:rPr>
          <w:rFonts w:hint="eastAsia" w:ascii="新宋体" w:hAnsi="新宋体" w:eastAsia="新宋体" w:cs="新宋体"/>
          <w:b/>
          <w:bCs/>
          <w:color w:val="auto"/>
          <w:sz w:val="24"/>
          <w:szCs w:val="24"/>
          <w:highlight w:val="none"/>
        </w:rPr>
      </w:pPr>
      <w:bookmarkStart w:id="119" w:name="_Toc18850"/>
      <w:bookmarkStart w:id="120" w:name="_Toc2832"/>
      <w:r>
        <w:rPr>
          <w:rFonts w:hint="eastAsia" w:ascii="新宋体" w:hAnsi="新宋体" w:eastAsia="新宋体" w:cs="新宋体"/>
          <w:b/>
          <w:bCs/>
          <w:color w:val="auto"/>
          <w:kern w:val="0"/>
          <w:sz w:val="24"/>
          <w:szCs w:val="24"/>
          <w:highlight w:val="none"/>
        </w:rPr>
        <w:t>11．重新组建评标委员会进行评标</w:t>
      </w:r>
      <w:bookmarkEnd w:id="119"/>
      <w:bookmarkEnd w:id="120"/>
    </w:p>
    <w:p w14:paraId="379E2B38">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11.1评标委员会或者其成员存在下列情形导致评标结果无效的，采购人、采购代理机构可以重新组建评标委员会进行评标，并书面报告本级财政部门，但采购合同已经履行的除外：</w:t>
      </w:r>
    </w:p>
    <w:p w14:paraId="185BF27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（1）评标委员会组成不符合《政府采购货物和服务招标投标管理办法》规定的；</w:t>
      </w:r>
    </w:p>
    <w:p w14:paraId="08123512">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（2）有《政府采购货物和服务招标投标管理办法》第六十二条第一至五项情形的；</w:t>
      </w:r>
    </w:p>
    <w:p w14:paraId="6A4BC114">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（3）评标委员会及其成员独立评标受到非法干预的；</w:t>
      </w:r>
    </w:p>
    <w:p w14:paraId="4A392402">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（4）有政府采购法实施条例第七十五条规定的违法行为的。</w:t>
      </w:r>
    </w:p>
    <w:p w14:paraId="347623A6">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bookmarkStart w:id="121" w:name="_Toc26520"/>
      <w:bookmarkStart w:id="122" w:name="_Toc22064"/>
      <w:r>
        <w:rPr>
          <w:rFonts w:hint="eastAsia" w:ascii="新宋体" w:hAnsi="新宋体" w:eastAsia="新宋体" w:cs="新宋体"/>
          <w:color w:val="auto"/>
          <w:sz w:val="22"/>
          <w:szCs w:val="22"/>
          <w:highlight w:val="none"/>
        </w:rPr>
        <w:t>11.2有违法违规行为的原评标委员会成员不得参加重新组建的评标委员会。</w:t>
      </w:r>
      <w:bookmarkEnd w:id="121"/>
      <w:bookmarkEnd w:id="122"/>
    </w:p>
    <w:p w14:paraId="2E0626E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outlineLvl w:val="1"/>
        <w:rPr>
          <w:rFonts w:hint="eastAsia" w:ascii="新宋体" w:hAnsi="新宋体" w:eastAsia="新宋体" w:cs="新宋体"/>
          <w:color w:val="auto"/>
          <w:sz w:val="28"/>
          <w:szCs w:val="28"/>
          <w:highlight w:val="none"/>
        </w:rPr>
      </w:pPr>
      <w:r>
        <w:rPr>
          <w:rFonts w:hint="eastAsia" w:ascii="新宋体" w:hAnsi="新宋体" w:eastAsia="新宋体" w:cs="新宋体"/>
          <w:b/>
          <w:color w:val="auto"/>
          <w:sz w:val="32"/>
          <w:szCs w:val="32"/>
          <w:highlight w:val="none"/>
        </w:rPr>
        <w:br w:type="page"/>
      </w:r>
      <w:bookmarkStart w:id="123" w:name="_Toc32055"/>
      <w:bookmarkStart w:id="124" w:name="_Toc9465"/>
      <w:bookmarkStart w:id="125" w:name="_Toc20312"/>
      <w:bookmarkStart w:id="126" w:name="_Toc9590"/>
      <w:bookmarkStart w:id="127" w:name="_Toc1067"/>
      <w:bookmarkStart w:id="128" w:name="_Toc755"/>
      <w:bookmarkStart w:id="129" w:name="_Toc10060"/>
      <w:r>
        <w:rPr>
          <w:rFonts w:hint="eastAsia" w:ascii="新宋体" w:hAnsi="新宋体" w:eastAsia="新宋体" w:cs="新宋体"/>
          <w:b/>
          <w:bCs/>
          <w:color w:val="auto"/>
          <w:sz w:val="28"/>
          <w:szCs w:val="28"/>
          <w:highlight w:val="none"/>
        </w:rPr>
        <w:t>第三节 投标文件的符合性审查</w:t>
      </w:r>
      <w:bookmarkEnd w:id="123"/>
      <w:bookmarkEnd w:id="124"/>
      <w:bookmarkEnd w:id="125"/>
      <w:bookmarkEnd w:id="126"/>
      <w:bookmarkEnd w:id="127"/>
      <w:bookmarkEnd w:id="128"/>
      <w:bookmarkEnd w:id="129"/>
    </w:p>
    <w:p w14:paraId="2F41E526">
      <w:pPr>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1.符合性审查</w:t>
      </w:r>
    </w:p>
    <w:p w14:paraId="1E45AFA7">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1.1评标委员会应按本章本节附表1“符合性审查表”所列审查项目及审查标准，对符合资格条件的投标人的投标文件进行符合性审查，以确定其是否满足招标文件的实质性要求。</w:t>
      </w:r>
    </w:p>
    <w:p w14:paraId="5202F419">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7C927F6D">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（2）投标人不得通过修正或撤销不合要求的偏离从而使其投标成为实质上响应的投标。</w:t>
      </w:r>
    </w:p>
    <w:p w14:paraId="5ED841D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rPr>
        <w:t>1.2</w:t>
      </w:r>
      <w:r>
        <w:rPr>
          <w:rFonts w:hint="eastAsia" w:ascii="新宋体" w:hAnsi="新宋体" w:eastAsia="新宋体" w:cs="新宋体"/>
          <w:color w:val="auto"/>
          <w:sz w:val="22"/>
          <w:szCs w:val="22"/>
          <w:highlight w:val="none"/>
        </w:rPr>
        <w:t>未通过符合性审查的投标人，其投标将被认定为投标无效，不能进入下一阶段评审。通过符合性审查的投标人数量不足 3 家的，不得作进一步的比较和评价。</w:t>
      </w:r>
    </w:p>
    <w:p w14:paraId="2E41DCA6">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2.投标无效</w:t>
      </w:r>
    </w:p>
    <w:p w14:paraId="16F7997D">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2.1投标人存在下列情况之一的，符合性审查不合格，投标无效：</w:t>
      </w:r>
    </w:p>
    <w:p w14:paraId="723AC93D">
      <w:pPr>
        <w:keepNext w:val="0"/>
        <w:keepLines w:val="0"/>
        <w:pageBreakBefore w:val="0"/>
        <w:widowControl w:val="0"/>
        <w:kinsoku/>
        <w:wordWrap/>
        <w:overflowPunct/>
        <w:topLinePunct w:val="0"/>
        <w:autoSpaceDE/>
        <w:autoSpaceDN/>
        <w:bidi w:val="0"/>
        <w:adjustRightInd w:val="0"/>
        <w:snapToGrid w:val="0"/>
        <w:spacing w:line="400" w:lineRule="exact"/>
        <w:ind w:firstLine="442" w:firstLineChars="20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（1）投标文件中商务技术文件未按照招标文件规定要求签署、盖章的；</w:t>
      </w:r>
    </w:p>
    <w:p w14:paraId="636FF513">
      <w:pPr>
        <w:keepNext w:val="0"/>
        <w:keepLines w:val="0"/>
        <w:pageBreakBefore w:val="0"/>
        <w:widowControl w:val="0"/>
        <w:kinsoku/>
        <w:wordWrap/>
        <w:overflowPunct/>
        <w:topLinePunct w:val="0"/>
        <w:autoSpaceDE/>
        <w:autoSpaceDN/>
        <w:bidi w:val="0"/>
        <w:adjustRightInd w:val="0"/>
        <w:snapToGrid w:val="0"/>
        <w:spacing w:line="400" w:lineRule="exact"/>
        <w:ind w:firstLine="442" w:firstLineChars="20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（2）投标文件没有对招标文件的实质性要求和条件作出响应，或者对招标文件的偏离超出招标文件规定的偏离范围和幅度；</w:t>
      </w:r>
    </w:p>
    <w:p w14:paraId="40E62A34">
      <w:pPr>
        <w:keepNext w:val="0"/>
        <w:keepLines w:val="0"/>
        <w:pageBreakBefore w:val="0"/>
        <w:widowControl w:val="0"/>
        <w:kinsoku/>
        <w:wordWrap/>
        <w:overflowPunct/>
        <w:topLinePunct w:val="0"/>
        <w:autoSpaceDE/>
        <w:autoSpaceDN/>
        <w:bidi w:val="0"/>
        <w:adjustRightInd w:val="0"/>
        <w:snapToGrid w:val="0"/>
        <w:spacing w:line="400" w:lineRule="exact"/>
        <w:ind w:firstLine="442" w:firstLineChars="20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（3）投标有效期不足的；</w:t>
      </w:r>
    </w:p>
    <w:p w14:paraId="0EF2E50A">
      <w:pPr>
        <w:keepNext w:val="0"/>
        <w:keepLines w:val="0"/>
        <w:pageBreakBefore w:val="0"/>
        <w:widowControl w:val="0"/>
        <w:kinsoku/>
        <w:wordWrap/>
        <w:overflowPunct/>
        <w:topLinePunct w:val="0"/>
        <w:autoSpaceDE/>
        <w:autoSpaceDN/>
        <w:bidi w:val="0"/>
        <w:adjustRightInd w:val="0"/>
        <w:snapToGrid w:val="0"/>
        <w:spacing w:line="400" w:lineRule="exact"/>
        <w:ind w:firstLine="442" w:firstLineChars="20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（4）投标文件含有采购人不能接受的附加条件的；</w:t>
      </w:r>
    </w:p>
    <w:p w14:paraId="7358BB17">
      <w:pPr>
        <w:keepNext w:val="0"/>
        <w:keepLines w:val="0"/>
        <w:pageBreakBefore w:val="0"/>
        <w:widowControl w:val="0"/>
        <w:kinsoku/>
        <w:wordWrap/>
        <w:overflowPunct/>
        <w:topLinePunct w:val="0"/>
        <w:autoSpaceDE/>
        <w:autoSpaceDN/>
        <w:bidi w:val="0"/>
        <w:adjustRightInd w:val="0"/>
        <w:snapToGrid w:val="0"/>
        <w:spacing w:line="400" w:lineRule="exact"/>
        <w:ind w:firstLine="442" w:firstLineChars="20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（5）不符合本节第1.1款规定符合性审查标准的；</w:t>
      </w:r>
    </w:p>
    <w:p w14:paraId="7C55518F">
      <w:pPr>
        <w:keepNext w:val="0"/>
        <w:keepLines w:val="0"/>
        <w:pageBreakBefore w:val="0"/>
        <w:widowControl w:val="0"/>
        <w:kinsoku/>
        <w:wordWrap/>
        <w:overflowPunct/>
        <w:topLinePunct w:val="0"/>
        <w:autoSpaceDE/>
        <w:autoSpaceDN/>
        <w:bidi w:val="0"/>
        <w:adjustRightInd w:val="0"/>
        <w:snapToGrid w:val="0"/>
        <w:spacing w:line="400" w:lineRule="exact"/>
        <w:ind w:firstLine="442" w:firstLineChars="20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（6）法律、法规和招标文件规定的其他投标无效情形的。</w:t>
      </w:r>
    </w:p>
    <w:p w14:paraId="06D67A8E">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2.2在评标过程中发现投标人有不遵循公平竞争的原则，恶意串通，妨碍其他投标人的竞争行为，损害采购人或者其他投标人的合法权益的，评标委员会应当认定其</w:t>
      </w:r>
      <w:r>
        <w:rPr>
          <w:rFonts w:hint="eastAsia" w:ascii="新宋体" w:hAnsi="新宋体" w:eastAsia="新宋体" w:cs="新宋体"/>
          <w:b/>
          <w:color w:val="auto"/>
          <w:kern w:val="0"/>
          <w:sz w:val="22"/>
          <w:szCs w:val="22"/>
          <w:highlight w:val="none"/>
        </w:rPr>
        <w:t>投标无效</w:t>
      </w:r>
      <w:r>
        <w:rPr>
          <w:rFonts w:hint="eastAsia" w:ascii="新宋体" w:hAnsi="新宋体" w:eastAsia="新宋体" w:cs="新宋体"/>
          <w:color w:val="auto"/>
          <w:kern w:val="0"/>
          <w:sz w:val="22"/>
          <w:szCs w:val="22"/>
          <w:highlight w:val="none"/>
        </w:rPr>
        <w:t>，并书面报告本级财政部门。</w:t>
      </w:r>
    </w:p>
    <w:p w14:paraId="20E9AEA5">
      <w:pPr>
        <w:pageBreakBefore w:val="0"/>
        <w:kinsoku/>
        <w:overflowPunct/>
        <w:topLinePunct w:val="0"/>
        <w:bidi w:val="0"/>
        <w:textAlignment w:val="auto"/>
        <w:outlineLvl w:val="9"/>
        <w:rPr>
          <w:rFonts w:hint="eastAsia" w:ascii="新宋体" w:hAnsi="新宋体" w:eastAsia="新宋体" w:cs="新宋体"/>
          <w:color w:val="auto"/>
          <w:highlight w:val="none"/>
        </w:rPr>
      </w:pPr>
    </w:p>
    <w:p w14:paraId="7566E55D">
      <w:pPr>
        <w:pageBreakBefore w:val="0"/>
        <w:kinsoku/>
        <w:overflowPunct/>
        <w:topLinePunct w:val="0"/>
        <w:bidi w:val="0"/>
        <w:textAlignment w:val="auto"/>
        <w:outlineLvl w:val="9"/>
        <w:rPr>
          <w:rFonts w:hint="eastAsia" w:ascii="新宋体" w:hAnsi="新宋体" w:eastAsia="新宋体" w:cs="新宋体"/>
          <w:color w:val="auto"/>
          <w:highlight w:val="none"/>
        </w:rPr>
      </w:pPr>
    </w:p>
    <w:p w14:paraId="07B652BE">
      <w:pPr>
        <w:keepNext w:val="0"/>
        <w:keepLines w:val="0"/>
        <w:pageBreakBefore w:val="0"/>
        <w:widowControl/>
        <w:kinsoku/>
        <w:wordWrap/>
        <w:overflowPunct/>
        <w:topLinePunct w:val="0"/>
        <w:autoSpaceDE/>
        <w:autoSpaceDN/>
        <w:bidi w:val="0"/>
        <w:adjustRightInd/>
        <w:snapToGrid/>
        <w:jc w:val="left"/>
        <w:textAlignment w:val="auto"/>
        <w:outlineLvl w:val="9"/>
        <w:rPr>
          <w:rFonts w:hint="eastAsia" w:ascii="新宋体" w:hAnsi="新宋体" w:eastAsia="新宋体" w:cs="新宋体"/>
          <w:b w:val="0"/>
          <w:bCs w:val="0"/>
          <w:color w:val="auto"/>
          <w:sz w:val="21"/>
          <w:szCs w:val="21"/>
          <w:highlight w:val="none"/>
        </w:rPr>
      </w:pPr>
      <w:r>
        <w:rPr>
          <w:rFonts w:hint="eastAsia" w:ascii="新宋体" w:hAnsi="新宋体" w:eastAsia="新宋体" w:cs="新宋体"/>
          <w:b/>
          <w:color w:val="auto"/>
          <w:szCs w:val="21"/>
          <w:highlight w:val="none"/>
        </w:rPr>
        <w:br w:type="page"/>
      </w:r>
      <w:bookmarkStart w:id="130" w:name="_Toc12740"/>
      <w:bookmarkStart w:id="131" w:name="_Toc10152"/>
      <w:r>
        <w:rPr>
          <w:rFonts w:hint="eastAsia" w:ascii="新宋体" w:hAnsi="新宋体" w:eastAsia="新宋体" w:cs="新宋体"/>
          <w:b w:val="0"/>
          <w:bCs w:val="0"/>
          <w:color w:val="auto"/>
          <w:sz w:val="21"/>
          <w:szCs w:val="21"/>
          <w:highlight w:val="none"/>
        </w:rPr>
        <w:t>附表1 符合性审查表</w:t>
      </w:r>
      <w:bookmarkEnd w:id="130"/>
      <w:bookmarkEnd w:id="131"/>
    </w:p>
    <w:p w14:paraId="6E2F4F1F">
      <w:pPr>
        <w:pageBreakBefore w:val="0"/>
        <w:kinsoku/>
        <w:overflowPunct/>
        <w:topLinePunct w:val="0"/>
        <w:bidi w:val="0"/>
        <w:adjustRightInd w:val="0"/>
        <w:snapToGrid w:val="0"/>
        <w:spacing w:before="156" w:beforeLines="50" w:line="360" w:lineRule="auto"/>
        <w:jc w:val="center"/>
        <w:textAlignment w:val="auto"/>
        <w:outlineLvl w:val="9"/>
        <w:rPr>
          <w:rFonts w:hint="eastAsia" w:ascii="新宋体" w:hAnsi="新宋体" w:eastAsia="新宋体" w:cs="新宋体"/>
          <w:b/>
          <w:color w:val="auto"/>
          <w:sz w:val="28"/>
          <w:szCs w:val="28"/>
          <w:highlight w:val="none"/>
        </w:rPr>
      </w:pPr>
      <w:r>
        <w:rPr>
          <w:rFonts w:hint="eastAsia" w:ascii="新宋体" w:hAnsi="新宋体" w:eastAsia="新宋体" w:cs="新宋体"/>
          <w:b/>
          <w:color w:val="auto"/>
          <w:sz w:val="28"/>
          <w:szCs w:val="28"/>
          <w:highlight w:val="none"/>
        </w:rPr>
        <w:t>符合性审查表</w:t>
      </w:r>
    </w:p>
    <w:p w14:paraId="0530587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 xml:space="preserve">项目名称：                                           政府采购计划编号： </w:t>
      </w:r>
    </w:p>
    <w:tbl>
      <w:tblPr>
        <w:tblStyle w:val="27"/>
        <w:tblW w:w="4998"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41"/>
        <w:gridCol w:w="2920"/>
        <w:gridCol w:w="6189"/>
      </w:tblGrid>
      <w:tr w14:paraId="27B695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4" w:hRule="atLeast"/>
        </w:trPr>
        <w:tc>
          <w:tcPr>
            <w:tcW w:w="376" w:type="pct"/>
            <w:noWrap w:val="0"/>
            <w:vAlign w:val="center"/>
          </w:tcPr>
          <w:p w14:paraId="1D237740">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b/>
                <w:color w:val="auto"/>
                <w:kern w:val="0"/>
                <w:sz w:val="21"/>
                <w:szCs w:val="21"/>
                <w:highlight w:val="none"/>
              </w:rPr>
            </w:pPr>
            <w:r>
              <w:rPr>
                <w:rFonts w:hint="eastAsia" w:ascii="新宋体" w:hAnsi="新宋体" w:eastAsia="新宋体" w:cs="新宋体"/>
                <w:b/>
                <w:color w:val="auto"/>
                <w:kern w:val="0"/>
                <w:sz w:val="21"/>
                <w:szCs w:val="21"/>
                <w:highlight w:val="none"/>
              </w:rPr>
              <w:t>序号</w:t>
            </w:r>
          </w:p>
        </w:tc>
        <w:tc>
          <w:tcPr>
            <w:tcW w:w="1482" w:type="pct"/>
            <w:noWrap w:val="0"/>
            <w:vAlign w:val="center"/>
          </w:tcPr>
          <w:p w14:paraId="78BFC89C">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b/>
                <w:color w:val="auto"/>
                <w:kern w:val="0"/>
                <w:sz w:val="21"/>
                <w:szCs w:val="21"/>
                <w:highlight w:val="none"/>
              </w:rPr>
            </w:pPr>
            <w:r>
              <w:rPr>
                <w:rFonts w:hint="eastAsia" w:ascii="新宋体" w:hAnsi="新宋体" w:eastAsia="新宋体" w:cs="新宋体"/>
                <w:b/>
                <w:color w:val="auto"/>
                <w:kern w:val="0"/>
                <w:sz w:val="21"/>
                <w:szCs w:val="21"/>
                <w:highlight w:val="none"/>
              </w:rPr>
              <w:t>审查项目</w:t>
            </w:r>
          </w:p>
        </w:tc>
        <w:tc>
          <w:tcPr>
            <w:tcW w:w="3140" w:type="pct"/>
            <w:noWrap w:val="0"/>
            <w:vAlign w:val="center"/>
          </w:tcPr>
          <w:p w14:paraId="228C4792">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b/>
                <w:color w:val="auto"/>
                <w:kern w:val="0"/>
                <w:sz w:val="21"/>
                <w:szCs w:val="21"/>
                <w:highlight w:val="none"/>
              </w:rPr>
            </w:pPr>
            <w:r>
              <w:rPr>
                <w:rFonts w:hint="eastAsia" w:ascii="新宋体" w:hAnsi="新宋体" w:eastAsia="新宋体" w:cs="新宋体"/>
                <w:b/>
                <w:color w:val="auto"/>
                <w:kern w:val="0"/>
                <w:sz w:val="21"/>
                <w:szCs w:val="21"/>
                <w:highlight w:val="none"/>
              </w:rPr>
              <w:t>审查标准</w:t>
            </w:r>
          </w:p>
        </w:tc>
      </w:tr>
      <w:tr w14:paraId="390732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4" w:hRule="atLeast"/>
        </w:trPr>
        <w:tc>
          <w:tcPr>
            <w:tcW w:w="376" w:type="pct"/>
            <w:noWrap w:val="0"/>
            <w:vAlign w:val="center"/>
          </w:tcPr>
          <w:p w14:paraId="2B7FB4D0">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1</w:t>
            </w:r>
          </w:p>
        </w:tc>
        <w:tc>
          <w:tcPr>
            <w:tcW w:w="1482" w:type="pct"/>
            <w:noWrap w:val="0"/>
            <w:vAlign w:val="center"/>
          </w:tcPr>
          <w:p w14:paraId="4659D238">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签署、盖章</w:t>
            </w:r>
          </w:p>
        </w:tc>
        <w:tc>
          <w:tcPr>
            <w:tcW w:w="3140" w:type="pct"/>
            <w:noWrap w:val="0"/>
            <w:vAlign w:val="center"/>
          </w:tcPr>
          <w:p w14:paraId="679D75EB">
            <w:pPr>
              <w:keepNext w:val="0"/>
              <w:keepLines w:val="0"/>
              <w:pageBreakBefore w:val="0"/>
              <w:suppressLineNumbers w:val="0"/>
              <w:kinsoku/>
              <w:overflowPunct/>
              <w:topLinePunct w:val="0"/>
              <w:bidi w:val="0"/>
              <w:spacing w:before="0" w:beforeAutospacing="0" w:after="0" w:afterAutospacing="0" w:line="360" w:lineRule="auto"/>
              <w:ind w:left="0" w:right="0"/>
              <w:jc w:val="left"/>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sz w:val="21"/>
                <w:szCs w:val="21"/>
                <w:highlight w:val="none"/>
                <w:lang w:eastAsia="zh-CN"/>
              </w:rPr>
              <w:t>商务和技术投标文件</w:t>
            </w:r>
            <w:r>
              <w:rPr>
                <w:rFonts w:hint="eastAsia" w:ascii="新宋体" w:hAnsi="新宋体" w:eastAsia="新宋体" w:cs="新宋体"/>
                <w:color w:val="auto"/>
                <w:sz w:val="21"/>
                <w:szCs w:val="21"/>
                <w:highlight w:val="none"/>
              </w:rPr>
              <w:t>是否按招标文件要求进行签署、盖章。</w:t>
            </w:r>
          </w:p>
        </w:tc>
      </w:tr>
      <w:tr w14:paraId="032EBA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9" w:hRule="atLeast"/>
        </w:trPr>
        <w:tc>
          <w:tcPr>
            <w:tcW w:w="376" w:type="pct"/>
            <w:noWrap w:val="0"/>
            <w:vAlign w:val="center"/>
          </w:tcPr>
          <w:p w14:paraId="69171E40">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2</w:t>
            </w:r>
          </w:p>
        </w:tc>
        <w:tc>
          <w:tcPr>
            <w:tcW w:w="1482" w:type="pct"/>
            <w:noWrap w:val="0"/>
            <w:vAlign w:val="center"/>
          </w:tcPr>
          <w:p w14:paraId="68539541">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sz w:val="21"/>
                <w:szCs w:val="21"/>
                <w:highlight w:val="none"/>
              </w:rPr>
              <w:t>投标有效期</w:t>
            </w:r>
          </w:p>
        </w:tc>
        <w:tc>
          <w:tcPr>
            <w:tcW w:w="3140" w:type="pct"/>
            <w:noWrap w:val="0"/>
            <w:vAlign w:val="center"/>
          </w:tcPr>
          <w:p w14:paraId="366E1BEF">
            <w:pPr>
              <w:keepNext w:val="0"/>
              <w:keepLines w:val="0"/>
              <w:pageBreakBefore w:val="0"/>
              <w:suppressLineNumbers w:val="0"/>
              <w:kinsoku/>
              <w:overflowPunct/>
              <w:topLinePunct w:val="0"/>
              <w:bidi w:val="0"/>
              <w:spacing w:before="0" w:beforeAutospacing="0" w:after="0" w:afterAutospacing="0" w:line="360" w:lineRule="auto"/>
              <w:ind w:left="0" w:right="0"/>
              <w:jc w:val="left"/>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sz w:val="21"/>
                <w:szCs w:val="21"/>
                <w:highlight w:val="none"/>
                <w:shd w:val="clear" w:color="auto" w:fill="FFFFFF"/>
              </w:rPr>
              <w:t>投标有效期满足招标文件要求。</w:t>
            </w:r>
          </w:p>
        </w:tc>
      </w:tr>
      <w:tr w14:paraId="4C2C96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9" w:hRule="atLeast"/>
        </w:trPr>
        <w:tc>
          <w:tcPr>
            <w:tcW w:w="376" w:type="pct"/>
            <w:noWrap w:val="0"/>
            <w:vAlign w:val="center"/>
          </w:tcPr>
          <w:p w14:paraId="6AADE1E7">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3</w:t>
            </w:r>
          </w:p>
        </w:tc>
        <w:tc>
          <w:tcPr>
            <w:tcW w:w="1482" w:type="pct"/>
            <w:noWrap w:val="0"/>
            <w:vAlign w:val="center"/>
          </w:tcPr>
          <w:p w14:paraId="2BF6CFA7">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sz w:val="21"/>
                <w:szCs w:val="21"/>
                <w:highlight w:val="none"/>
              </w:rPr>
              <w:t>附加条件</w:t>
            </w:r>
          </w:p>
        </w:tc>
        <w:tc>
          <w:tcPr>
            <w:tcW w:w="3140" w:type="pct"/>
            <w:noWrap w:val="0"/>
            <w:vAlign w:val="center"/>
          </w:tcPr>
          <w:p w14:paraId="643F5314">
            <w:pPr>
              <w:keepNext w:val="0"/>
              <w:keepLines w:val="0"/>
              <w:pageBreakBefore w:val="0"/>
              <w:suppressLineNumbers w:val="0"/>
              <w:kinsoku/>
              <w:overflowPunct/>
              <w:topLinePunct w:val="0"/>
              <w:bidi w:val="0"/>
              <w:spacing w:before="0" w:beforeAutospacing="0" w:after="0" w:afterAutospacing="0" w:line="360" w:lineRule="auto"/>
              <w:ind w:left="0" w:right="0"/>
              <w:jc w:val="left"/>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sz w:val="21"/>
                <w:szCs w:val="21"/>
                <w:highlight w:val="none"/>
              </w:rPr>
              <w:t>投标文件未含有采购人不能接受的附加条件。</w:t>
            </w:r>
          </w:p>
        </w:tc>
      </w:tr>
      <w:tr w14:paraId="2E839A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4" w:hRule="atLeast"/>
        </w:trPr>
        <w:tc>
          <w:tcPr>
            <w:tcW w:w="376" w:type="pct"/>
            <w:noWrap w:val="0"/>
            <w:vAlign w:val="center"/>
          </w:tcPr>
          <w:p w14:paraId="70284CCE">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4</w:t>
            </w:r>
          </w:p>
        </w:tc>
        <w:tc>
          <w:tcPr>
            <w:tcW w:w="1482" w:type="pct"/>
            <w:noWrap w:val="0"/>
            <w:vAlign w:val="center"/>
          </w:tcPr>
          <w:p w14:paraId="5DAE5B95">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lang w:eastAsia="zh-CN"/>
              </w:rPr>
              <w:t>招标范围</w:t>
            </w:r>
          </w:p>
        </w:tc>
        <w:tc>
          <w:tcPr>
            <w:tcW w:w="3140" w:type="pct"/>
            <w:noWrap w:val="0"/>
            <w:vAlign w:val="center"/>
          </w:tcPr>
          <w:p w14:paraId="1033A4CE">
            <w:pPr>
              <w:keepNext w:val="0"/>
              <w:keepLines w:val="0"/>
              <w:pageBreakBefore w:val="0"/>
              <w:suppressLineNumbers w:val="0"/>
              <w:kinsoku/>
              <w:overflowPunct/>
              <w:topLinePunct w:val="0"/>
              <w:bidi w:val="0"/>
              <w:spacing w:before="0" w:beforeAutospacing="0" w:after="0" w:afterAutospacing="0" w:line="360" w:lineRule="auto"/>
              <w:ind w:left="0" w:right="0"/>
              <w:jc w:val="left"/>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sz w:val="21"/>
                <w:szCs w:val="21"/>
                <w:highlight w:val="none"/>
                <w:lang w:eastAsia="zh-CN"/>
              </w:rPr>
              <w:t>投标文件载明的投标范围满足招标文件规定的招标范围</w:t>
            </w:r>
          </w:p>
        </w:tc>
      </w:tr>
      <w:tr w14:paraId="4831EF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04" w:hRule="atLeast"/>
        </w:trPr>
        <w:tc>
          <w:tcPr>
            <w:tcW w:w="376" w:type="pct"/>
            <w:noWrap w:val="0"/>
            <w:vAlign w:val="center"/>
          </w:tcPr>
          <w:p w14:paraId="1208E7B4">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5</w:t>
            </w:r>
          </w:p>
        </w:tc>
        <w:tc>
          <w:tcPr>
            <w:tcW w:w="1482" w:type="pct"/>
            <w:noWrap w:val="0"/>
            <w:vAlign w:val="center"/>
          </w:tcPr>
          <w:p w14:paraId="3B00EE5E">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报价合理性</w:t>
            </w:r>
          </w:p>
        </w:tc>
        <w:tc>
          <w:tcPr>
            <w:tcW w:w="3140" w:type="pct"/>
            <w:noWrap w:val="0"/>
            <w:vAlign w:val="center"/>
          </w:tcPr>
          <w:p w14:paraId="4FFE5DF8">
            <w:pPr>
              <w:keepNext w:val="0"/>
              <w:keepLines w:val="0"/>
              <w:pageBreakBefore w:val="0"/>
              <w:suppressLineNumbers w:val="0"/>
              <w:kinsoku/>
              <w:overflowPunct/>
              <w:topLinePunct w:val="0"/>
              <w:bidi w:val="0"/>
              <w:spacing w:before="0" w:beforeAutospacing="0" w:after="0" w:afterAutospacing="0" w:line="360" w:lineRule="auto"/>
              <w:ind w:left="0" w:right="0"/>
              <w:jc w:val="left"/>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报价合理，或</w:t>
            </w:r>
            <w:r>
              <w:rPr>
                <w:rFonts w:hint="eastAsia" w:ascii="新宋体" w:hAnsi="新宋体" w:eastAsia="新宋体" w:cs="新宋体"/>
                <w:color w:val="auto"/>
                <w:sz w:val="21"/>
                <w:szCs w:val="21"/>
                <w:highlight w:val="none"/>
              </w:rPr>
              <w:t>投标人的报价明显低于其他通过符合性审查投标人的报价，有可能影响产品质量或者不能诚信履约的，能够应评标委员会要求在规定时间内证明其报价合理性的。</w:t>
            </w:r>
          </w:p>
        </w:tc>
      </w:tr>
      <w:tr w14:paraId="723556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04" w:hRule="atLeast"/>
        </w:trPr>
        <w:tc>
          <w:tcPr>
            <w:tcW w:w="376" w:type="pct"/>
            <w:noWrap w:val="0"/>
            <w:vAlign w:val="center"/>
          </w:tcPr>
          <w:p w14:paraId="6BC9151E">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lang w:val="en-US" w:eastAsia="zh-CN"/>
              </w:rPr>
            </w:pPr>
            <w:r>
              <w:rPr>
                <w:rFonts w:hint="eastAsia" w:ascii="新宋体" w:hAnsi="新宋体" w:eastAsia="新宋体" w:cs="新宋体"/>
                <w:color w:val="auto"/>
                <w:kern w:val="0"/>
                <w:sz w:val="21"/>
                <w:szCs w:val="21"/>
                <w:highlight w:val="none"/>
                <w:lang w:val="en-US" w:eastAsia="zh-CN"/>
              </w:rPr>
              <w:t>6</w:t>
            </w:r>
          </w:p>
        </w:tc>
        <w:tc>
          <w:tcPr>
            <w:tcW w:w="2920" w:type="dxa"/>
            <w:noWrap w:val="0"/>
            <w:vAlign w:val="center"/>
          </w:tcPr>
          <w:p w14:paraId="4113DD80">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宋体" w:hAnsi="宋体" w:eastAsia="宋体" w:cs="宋体"/>
                <w:color w:val="auto"/>
                <w:kern w:val="0"/>
                <w:szCs w:val="21"/>
                <w:lang w:val="en-US" w:eastAsia="zh-CN"/>
              </w:rPr>
              <w:t>对招标文件</w:t>
            </w:r>
            <w:r>
              <w:rPr>
                <w:rFonts w:hint="eastAsia" w:ascii="宋体" w:hAnsi="宋体" w:cs="宋体"/>
                <w:color w:val="auto"/>
                <w:kern w:val="0"/>
                <w:szCs w:val="21"/>
                <w:lang w:val="en-US" w:eastAsia="zh-CN"/>
              </w:rPr>
              <w:t>实质性条款</w:t>
            </w:r>
            <w:r>
              <w:rPr>
                <w:rFonts w:hint="eastAsia" w:ascii="宋体" w:hAnsi="宋体" w:eastAsia="宋体" w:cs="宋体"/>
                <w:color w:val="auto"/>
                <w:kern w:val="0"/>
                <w:szCs w:val="21"/>
                <w:lang w:val="en-US" w:eastAsia="zh-CN"/>
              </w:rPr>
              <w:t>的响应</w:t>
            </w:r>
          </w:p>
        </w:tc>
        <w:tc>
          <w:tcPr>
            <w:tcW w:w="6189" w:type="dxa"/>
            <w:noWrap w:val="0"/>
            <w:vAlign w:val="center"/>
          </w:tcPr>
          <w:p w14:paraId="18B393F8">
            <w:pPr>
              <w:keepNext w:val="0"/>
              <w:keepLines w:val="0"/>
              <w:pageBreakBefore w:val="0"/>
              <w:suppressLineNumbers w:val="0"/>
              <w:kinsoku/>
              <w:overflowPunct/>
              <w:topLinePunct w:val="0"/>
              <w:bidi w:val="0"/>
              <w:spacing w:before="0" w:beforeAutospacing="0" w:after="0" w:afterAutospacing="0" w:line="360" w:lineRule="auto"/>
              <w:ind w:left="0" w:right="0"/>
              <w:jc w:val="left"/>
              <w:textAlignment w:val="auto"/>
              <w:outlineLvl w:val="9"/>
              <w:rPr>
                <w:rFonts w:hint="eastAsia" w:ascii="新宋体" w:hAnsi="新宋体" w:eastAsia="新宋体" w:cs="新宋体"/>
                <w:color w:val="auto"/>
                <w:kern w:val="0"/>
                <w:sz w:val="21"/>
                <w:szCs w:val="21"/>
                <w:highlight w:val="none"/>
              </w:rPr>
            </w:pPr>
            <w:r>
              <w:rPr>
                <w:rFonts w:hint="eastAsia" w:ascii="宋体" w:hAnsi="宋体" w:eastAsia="宋体" w:cs="宋体"/>
                <w:color w:val="auto"/>
                <w:kern w:val="0"/>
                <w:szCs w:val="21"/>
                <w:lang w:val="en-US" w:eastAsia="zh-CN"/>
              </w:rPr>
              <w:t>投标文件</w:t>
            </w:r>
            <w:r>
              <w:rPr>
                <w:rFonts w:hint="eastAsia" w:ascii="宋体" w:hAnsi="宋体" w:cs="宋体"/>
                <w:color w:val="auto"/>
                <w:kern w:val="0"/>
                <w:szCs w:val="21"/>
                <w:lang w:val="en-US" w:eastAsia="zh-CN"/>
              </w:rPr>
              <w:t>是否</w:t>
            </w:r>
            <w:r>
              <w:rPr>
                <w:rFonts w:hint="eastAsia" w:ascii="宋体" w:hAnsi="宋体" w:eastAsia="宋体" w:cs="宋体"/>
                <w:color w:val="auto"/>
                <w:kern w:val="0"/>
                <w:szCs w:val="21"/>
                <w:lang w:val="en-US" w:eastAsia="zh-CN"/>
              </w:rPr>
              <w:t>对招标文件的实质性要求和条件作出响应(即标注★号条款)。</w:t>
            </w:r>
          </w:p>
        </w:tc>
      </w:tr>
      <w:tr w14:paraId="246ED4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4" w:hRule="atLeast"/>
        </w:trPr>
        <w:tc>
          <w:tcPr>
            <w:tcW w:w="376" w:type="pct"/>
            <w:noWrap w:val="0"/>
            <w:vAlign w:val="center"/>
          </w:tcPr>
          <w:p w14:paraId="5C1FCB7B">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lang w:eastAsia="zh-CN"/>
              </w:rPr>
            </w:pPr>
            <w:r>
              <w:rPr>
                <w:rFonts w:hint="eastAsia" w:ascii="新宋体" w:hAnsi="新宋体" w:eastAsia="新宋体" w:cs="新宋体"/>
                <w:color w:val="auto"/>
                <w:kern w:val="0"/>
                <w:sz w:val="21"/>
                <w:szCs w:val="21"/>
                <w:highlight w:val="none"/>
                <w:lang w:val="en-US" w:eastAsia="zh-CN"/>
              </w:rPr>
              <w:t>7</w:t>
            </w:r>
          </w:p>
        </w:tc>
        <w:tc>
          <w:tcPr>
            <w:tcW w:w="1482" w:type="pct"/>
            <w:noWrap w:val="0"/>
            <w:vAlign w:val="center"/>
          </w:tcPr>
          <w:p w14:paraId="273B5FA5">
            <w:pPr>
              <w:keepNext w:val="0"/>
              <w:keepLines w:val="0"/>
              <w:pageBreakBefore w:val="0"/>
              <w:suppressLineNumbers w:val="0"/>
              <w:kinsoku/>
              <w:overflowPunct/>
              <w:topLinePunct w:val="0"/>
              <w:bidi w:val="0"/>
              <w:spacing w:before="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lang w:eastAsia="zh-CN"/>
              </w:rPr>
              <w:t>其他</w:t>
            </w:r>
          </w:p>
        </w:tc>
        <w:tc>
          <w:tcPr>
            <w:tcW w:w="3140" w:type="pct"/>
            <w:noWrap w:val="0"/>
            <w:vAlign w:val="center"/>
          </w:tcPr>
          <w:p w14:paraId="42DBB192">
            <w:pPr>
              <w:keepNext w:val="0"/>
              <w:keepLines w:val="0"/>
              <w:pageBreakBefore w:val="0"/>
              <w:suppressLineNumbers w:val="0"/>
              <w:kinsoku/>
              <w:overflowPunct/>
              <w:topLinePunct w:val="0"/>
              <w:bidi w:val="0"/>
              <w:spacing w:before="0" w:beforeAutospacing="0" w:after="0" w:afterAutospacing="0" w:line="360" w:lineRule="auto"/>
              <w:ind w:left="0" w:right="0"/>
              <w:jc w:val="left"/>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lang w:eastAsia="zh-CN"/>
              </w:rPr>
              <w:t>未有法律法规和招标文件规定的其他投标无效的情形。</w:t>
            </w:r>
          </w:p>
        </w:tc>
      </w:tr>
      <w:tr w14:paraId="3970B5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04" w:hRule="atLeast"/>
        </w:trPr>
        <w:tc>
          <w:tcPr>
            <w:tcW w:w="376" w:type="pct"/>
            <w:noWrap w:val="0"/>
            <w:vAlign w:val="center"/>
          </w:tcPr>
          <w:p w14:paraId="08A391CF">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结论</w:t>
            </w:r>
          </w:p>
        </w:tc>
        <w:tc>
          <w:tcPr>
            <w:tcW w:w="4623" w:type="pct"/>
            <w:gridSpan w:val="2"/>
            <w:noWrap w:val="0"/>
            <w:vAlign w:val="center"/>
          </w:tcPr>
          <w:p w14:paraId="0E3B181B">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sz w:val="21"/>
                <w:szCs w:val="21"/>
                <w:highlight w:val="none"/>
              </w:rPr>
              <w:t>审查结果“合格”或“不合格”</w:t>
            </w:r>
          </w:p>
        </w:tc>
      </w:tr>
    </w:tbl>
    <w:p w14:paraId="59404EFA">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Cs w:val="21"/>
          <w:highlight w:val="none"/>
        </w:rPr>
      </w:pPr>
    </w:p>
    <w:p w14:paraId="2C54DD36">
      <w:pPr>
        <w:pStyle w:val="33"/>
        <w:pageBreakBefore w:val="0"/>
        <w:kinsoku/>
        <w:overflowPunct/>
        <w:topLinePunct w:val="0"/>
        <w:bidi w:val="0"/>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eastAsia="zh-CN"/>
        </w:rPr>
        <w:t>评标委员会签字：</w:t>
      </w:r>
    </w:p>
    <w:p w14:paraId="181D3916">
      <w:pPr>
        <w:pageBreakBefore w:val="0"/>
        <w:kinsoku/>
        <w:overflowPunct/>
        <w:topLinePunct w:val="0"/>
        <w:bidi w:val="0"/>
        <w:jc w:val="right"/>
        <w:textAlignment w:val="auto"/>
        <w:outlineLvl w:val="9"/>
        <w:rPr>
          <w:rFonts w:hint="eastAsia" w:ascii="新宋体" w:hAnsi="新宋体" w:eastAsia="新宋体" w:cs="新宋体"/>
          <w:color w:val="auto"/>
          <w:highlight w:val="none"/>
          <w:lang w:eastAsia="zh-CN"/>
        </w:rPr>
      </w:pP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年</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月</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日</w:t>
      </w:r>
    </w:p>
    <w:p w14:paraId="3DB5634F">
      <w:pPr>
        <w:keepNext w:val="0"/>
        <w:keepLines w:val="0"/>
        <w:pageBreakBefore w:val="0"/>
        <w:widowControl/>
        <w:kinsoku/>
        <w:wordWrap/>
        <w:overflowPunct/>
        <w:topLinePunct w:val="0"/>
        <w:autoSpaceDE/>
        <w:autoSpaceDN/>
        <w:bidi w:val="0"/>
        <w:adjustRightInd/>
        <w:snapToGrid/>
        <w:jc w:val="left"/>
        <w:textAlignment w:val="auto"/>
        <w:outlineLvl w:val="9"/>
        <w:rPr>
          <w:rFonts w:hint="eastAsia" w:ascii="新宋体" w:hAnsi="新宋体" w:eastAsia="新宋体" w:cs="新宋体"/>
          <w:b w:val="0"/>
          <w:bCs w:val="0"/>
          <w:color w:val="auto"/>
          <w:sz w:val="21"/>
          <w:szCs w:val="21"/>
          <w:highlight w:val="none"/>
        </w:rPr>
      </w:pPr>
      <w:r>
        <w:rPr>
          <w:rFonts w:hint="eastAsia" w:ascii="新宋体" w:hAnsi="新宋体" w:eastAsia="新宋体" w:cs="新宋体"/>
          <w:color w:val="auto"/>
          <w:szCs w:val="21"/>
          <w:highlight w:val="none"/>
        </w:rPr>
        <w:br w:type="page"/>
      </w:r>
      <w:bookmarkStart w:id="132" w:name="_Toc4788"/>
      <w:bookmarkStart w:id="133" w:name="_Toc24478"/>
      <w:r>
        <w:rPr>
          <w:rFonts w:hint="eastAsia" w:ascii="新宋体" w:hAnsi="新宋体" w:eastAsia="新宋体" w:cs="新宋体"/>
          <w:b w:val="0"/>
          <w:bCs w:val="0"/>
          <w:color w:val="auto"/>
          <w:sz w:val="21"/>
          <w:szCs w:val="21"/>
          <w:highlight w:val="none"/>
        </w:rPr>
        <w:t>附表2 符合性审查结果一览表</w:t>
      </w:r>
      <w:bookmarkEnd w:id="132"/>
      <w:bookmarkEnd w:id="133"/>
    </w:p>
    <w:p w14:paraId="439E5D88">
      <w:pPr>
        <w:pageBreakBefore w:val="0"/>
        <w:kinsoku/>
        <w:overflowPunct/>
        <w:topLinePunct w:val="0"/>
        <w:bidi w:val="0"/>
        <w:adjustRightInd w:val="0"/>
        <w:snapToGrid w:val="0"/>
        <w:spacing w:before="156" w:beforeLines="50" w:line="360" w:lineRule="auto"/>
        <w:jc w:val="center"/>
        <w:textAlignment w:val="auto"/>
        <w:outlineLvl w:val="9"/>
        <w:rPr>
          <w:rFonts w:hint="eastAsia" w:ascii="新宋体" w:hAnsi="新宋体" w:eastAsia="新宋体" w:cs="新宋体"/>
          <w:b/>
          <w:color w:val="auto"/>
          <w:sz w:val="28"/>
          <w:szCs w:val="28"/>
          <w:highlight w:val="none"/>
        </w:rPr>
      </w:pPr>
      <w:r>
        <w:rPr>
          <w:rFonts w:hint="eastAsia" w:ascii="新宋体" w:hAnsi="新宋体" w:eastAsia="新宋体" w:cs="新宋体"/>
          <w:b/>
          <w:color w:val="auto"/>
          <w:sz w:val="28"/>
          <w:szCs w:val="28"/>
          <w:highlight w:val="none"/>
        </w:rPr>
        <w:t>符合性审查结果一览表</w:t>
      </w:r>
    </w:p>
    <w:p w14:paraId="3D3D764F">
      <w:pPr>
        <w:pageBreakBefore w:val="0"/>
        <w:kinsoku/>
        <w:overflowPunct/>
        <w:topLinePunct w:val="0"/>
        <w:bidi w:val="0"/>
        <w:adjustRightInd w:val="0"/>
        <w:snapToGrid w:val="0"/>
        <w:spacing w:before="156" w:beforeLines="50" w:line="360" w:lineRule="auto"/>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项目名称：                                           政府采购计划编号：</w:t>
      </w:r>
    </w:p>
    <w:tbl>
      <w:tblPr>
        <w:tblStyle w:val="27"/>
        <w:tblW w:w="4998"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57"/>
        <w:gridCol w:w="3222"/>
        <w:gridCol w:w="2651"/>
        <w:gridCol w:w="3220"/>
      </w:tblGrid>
      <w:tr w14:paraId="424292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4" w:hRule="atLeast"/>
        </w:trPr>
        <w:tc>
          <w:tcPr>
            <w:tcW w:w="384" w:type="pct"/>
            <w:noWrap w:val="0"/>
            <w:vAlign w:val="center"/>
          </w:tcPr>
          <w:p w14:paraId="193C9E42">
            <w:pPr>
              <w:keepNext w:val="0"/>
              <w:keepLines w:val="0"/>
              <w:pageBreakBefore w:val="0"/>
              <w:suppressLineNumbers w:val="0"/>
              <w:kinsoku/>
              <w:overflowPunct/>
              <w:topLinePunct w:val="0"/>
              <w:bidi w:val="0"/>
              <w:spacing w:before="0" w:beforeAutospacing="0" w:after="0" w:afterAutospacing="0"/>
              <w:ind w:left="0" w:right="0"/>
              <w:jc w:val="center"/>
              <w:textAlignment w:val="auto"/>
              <w:outlineLvl w:val="9"/>
              <w:rPr>
                <w:rFonts w:hint="eastAsia" w:ascii="新宋体" w:hAnsi="新宋体" w:eastAsia="新宋体" w:cs="新宋体"/>
                <w:b/>
                <w:color w:val="auto"/>
                <w:kern w:val="0"/>
                <w:szCs w:val="21"/>
                <w:highlight w:val="none"/>
              </w:rPr>
            </w:pPr>
            <w:r>
              <w:rPr>
                <w:rFonts w:hint="eastAsia" w:ascii="新宋体" w:hAnsi="新宋体" w:eastAsia="新宋体" w:cs="新宋体"/>
                <w:b/>
                <w:color w:val="auto"/>
                <w:kern w:val="0"/>
                <w:szCs w:val="21"/>
                <w:highlight w:val="none"/>
              </w:rPr>
              <w:t>序号</w:t>
            </w:r>
          </w:p>
        </w:tc>
        <w:tc>
          <w:tcPr>
            <w:tcW w:w="1635" w:type="pct"/>
            <w:noWrap w:val="0"/>
            <w:vAlign w:val="center"/>
          </w:tcPr>
          <w:p w14:paraId="449E4649">
            <w:pPr>
              <w:keepNext w:val="0"/>
              <w:keepLines w:val="0"/>
              <w:pageBreakBefore w:val="0"/>
              <w:suppressLineNumbers w:val="0"/>
              <w:kinsoku/>
              <w:overflowPunct/>
              <w:topLinePunct w:val="0"/>
              <w:bidi w:val="0"/>
              <w:spacing w:before="0" w:beforeAutospacing="0" w:after="0" w:afterAutospacing="0"/>
              <w:ind w:left="0" w:right="0"/>
              <w:jc w:val="center"/>
              <w:textAlignment w:val="auto"/>
              <w:outlineLvl w:val="9"/>
              <w:rPr>
                <w:rFonts w:hint="eastAsia" w:ascii="新宋体" w:hAnsi="新宋体" w:eastAsia="新宋体" w:cs="新宋体"/>
                <w:b/>
                <w:color w:val="auto"/>
                <w:kern w:val="0"/>
                <w:szCs w:val="21"/>
                <w:highlight w:val="none"/>
              </w:rPr>
            </w:pPr>
            <w:r>
              <w:rPr>
                <w:rFonts w:hint="eastAsia" w:ascii="新宋体" w:hAnsi="新宋体" w:eastAsia="新宋体" w:cs="新宋体"/>
                <w:b/>
                <w:color w:val="auto"/>
                <w:kern w:val="0"/>
                <w:szCs w:val="21"/>
                <w:highlight w:val="none"/>
              </w:rPr>
              <w:t>投标人名称</w:t>
            </w:r>
          </w:p>
        </w:tc>
        <w:tc>
          <w:tcPr>
            <w:tcW w:w="1345" w:type="pct"/>
            <w:noWrap w:val="0"/>
            <w:vAlign w:val="center"/>
          </w:tcPr>
          <w:p w14:paraId="3C512165">
            <w:pPr>
              <w:keepNext w:val="0"/>
              <w:keepLines w:val="0"/>
              <w:pageBreakBefore w:val="0"/>
              <w:suppressLineNumbers w:val="0"/>
              <w:kinsoku/>
              <w:overflowPunct/>
              <w:topLinePunct w:val="0"/>
              <w:bidi w:val="0"/>
              <w:spacing w:before="0" w:beforeAutospacing="0" w:after="0" w:afterAutospacing="0"/>
              <w:ind w:left="0" w:right="0"/>
              <w:jc w:val="center"/>
              <w:textAlignment w:val="auto"/>
              <w:outlineLvl w:val="9"/>
              <w:rPr>
                <w:rFonts w:hint="eastAsia" w:ascii="新宋体" w:hAnsi="新宋体" w:eastAsia="新宋体" w:cs="新宋体"/>
                <w:b/>
                <w:color w:val="auto"/>
                <w:kern w:val="0"/>
                <w:szCs w:val="21"/>
                <w:highlight w:val="none"/>
              </w:rPr>
            </w:pPr>
            <w:r>
              <w:rPr>
                <w:rFonts w:hint="eastAsia" w:ascii="新宋体" w:hAnsi="新宋体" w:eastAsia="新宋体" w:cs="新宋体"/>
                <w:b/>
                <w:color w:val="auto"/>
                <w:kern w:val="0"/>
                <w:szCs w:val="21"/>
                <w:highlight w:val="none"/>
              </w:rPr>
              <w:t>符合性审查结果</w:t>
            </w:r>
          </w:p>
          <w:p w14:paraId="458FA3B0">
            <w:pPr>
              <w:keepNext w:val="0"/>
              <w:keepLines w:val="0"/>
              <w:pageBreakBefore w:val="0"/>
              <w:suppressLineNumbers w:val="0"/>
              <w:kinsoku/>
              <w:overflowPunct/>
              <w:topLinePunct w:val="0"/>
              <w:bidi w:val="0"/>
              <w:spacing w:before="0" w:beforeAutospacing="0" w:after="0" w:afterAutospacing="0"/>
              <w:ind w:left="0" w:right="0"/>
              <w:jc w:val="center"/>
              <w:textAlignment w:val="auto"/>
              <w:outlineLvl w:val="9"/>
              <w:rPr>
                <w:rFonts w:hint="eastAsia" w:ascii="新宋体" w:hAnsi="新宋体" w:eastAsia="新宋体" w:cs="新宋体"/>
                <w:b/>
                <w:color w:val="auto"/>
                <w:kern w:val="0"/>
                <w:szCs w:val="21"/>
                <w:highlight w:val="none"/>
              </w:rPr>
            </w:pPr>
            <w:r>
              <w:rPr>
                <w:rFonts w:hint="eastAsia" w:ascii="新宋体" w:hAnsi="新宋体" w:eastAsia="新宋体" w:cs="新宋体"/>
                <w:b/>
                <w:color w:val="auto"/>
                <w:kern w:val="0"/>
                <w:szCs w:val="21"/>
                <w:highlight w:val="none"/>
              </w:rPr>
              <w:t>（合格/不合格）</w:t>
            </w:r>
          </w:p>
        </w:tc>
        <w:tc>
          <w:tcPr>
            <w:tcW w:w="1634" w:type="pct"/>
            <w:noWrap w:val="0"/>
            <w:vAlign w:val="center"/>
          </w:tcPr>
          <w:p w14:paraId="52C2A0AE">
            <w:pPr>
              <w:keepNext w:val="0"/>
              <w:keepLines w:val="0"/>
              <w:pageBreakBefore w:val="0"/>
              <w:suppressLineNumbers w:val="0"/>
              <w:kinsoku/>
              <w:overflowPunct/>
              <w:topLinePunct w:val="0"/>
              <w:bidi w:val="0"/>
              <w:spacing w:before="0" w:beforeAutospacing="0" w:after="0" w:afterAutospacing="0"/>
              <w:ind w:left="0" w:right="0"/>
              <w:jc w:val="center"/>
              <w:textAlignment w:val="auto"/>
              <w:outlineLvl w:val="9"/>
              <w:rPr>
                <w:rFonts w:hint="eastAsia" w:ascii="新宋体" w:hAnsi="新宋体" w:eastAsia="新宋体" w:cs="新宋体"/>
                <w:b/>
                <w:color w:val="auto"/>
                <w:kern w:val="0"/>
                <w:szCs w:val="21"/>
                <w:highlight w:val="none"/>
              </w:rPr>
            </w:pPr>
            <w:r>
              <w:rPr>
                <w:rFonts w:hint="eastAsia" w:ascii="新宋体" w:hAnsi="新宋体" w:eastAsia="新宋体" w:cs="新宋体"/>
                <w:b/>
                <w:color w:val="auto"/>
                <w:kern w:val="0"/>
                <w:szCs w:val="21"/>
                <w:highlight w:val="none"/>
              </w:rPr>
              <w:t>符合性审查不合格原因</w:t>
            </w:r>
          </w:p>
        </w:tc>
      </w:tr>
      <w:tr w14:paraId="5B5749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4" w:hRule="atLeast"/>
        </w:trPr>
        <w:tc>
          <w:tcPr>
            <w:tcW w:w="384" w:type="pct"/>
            <w:noWrap w:val="0"/>
            <w:vAlign w:val="top"/>
          </w:tcPr>
          <w:p w14:paraId="3E3E1AA5">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51BAEB3B">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17C128D6">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732AAE46">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2C3EC3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4" w:hRule="atLeast"/>
        </w:trPr>
        <w:tc>
          <w:tcPr>
            <w:tcW w:w="384" w:type="pct"/>
            <w:noWrap w:val="0"/>
            <w:vAlign w:val="top"/>
          </w:tcPr>
          <w:p w14:paraId="5713D9A0">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07F5EF80">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38D62BDE">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696CA100">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46D91A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4" w:hRule="atLeast"/>
        </w:trPr>
        <w:tc>
          <w:tcPr>
            <w:tcW w:w="384" w:type="pct"/>
            <w:noWrap w:val="0"/>
            <w:vAlign w:val="top"/>
          </w:tcPr>
          <w:p w14:paraId="2816B31A">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15EFA22A">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22980FCE">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7FB5548D">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6B46DA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4" w:hRule="atLeast"/>
        </w:trPr>
        <w:tc>
          <w:tcPr>
            <w:tcW w:w="384" w:type="pct"/>
            <w:noWrap w:val="0"/>
            <w:vAlign w:val="top"/>
          </w:tcPr>
          <w:p w14:paraId="08F184F6">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10921F96">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4F7B4345">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7FE65E47">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1D9F1E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4" w:hRule="atLeast"/>
        </w:trPr>
        <w:tc>
          <w:tcPr>
            <w:tcW w:w="384" w:type="pct"/>
            <w:noWrap w:val="0"/>
            <w:vAlign w:val="top"/>
          </w:tcPr>
          <w:p w14:paraId="42D6CC8E">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7DED734D">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61364C2A">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35B279AD">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00199A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4" w:hRule="atLeast"/>
        </w:trPr>
        <w:tc>
          <w:tcPr>
            <w:tcW w:w="384" w:type="pct"/>
            <w:noWrap w:val="0"/>
            <w:vAlign w:val="top"/>
          </w:tcPr>
          <w:p w14:paraId="1FEF8183">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04226270">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5A05AAA5">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0CD79ED3">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210668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4" w:hRule="atLeast"/>
        </w:trPr>
        <w:tc>
          <w:tcPr>
            <w:tcW w:w="384" w:type="pct"/>
            <w:noWrap w:val="0"/>
            <w:vAlign w:val="top"/>
          </w:tcPr>
          <w:p w14:paraId="071737E9">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62592C65">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6FB66887">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300737BA">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6086DF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4" w:hRule="atLeast"/>
        </w:trPr>
        <w:tc>
          <w:tcPr>
            <w:tcW w:w="384" w:type="pct"/>
            <w:noWrap w:val="0"/>
            <w:vAlign w:val="top"/>
          </w:tcPr>
          <w:p w14:paraId="38990E37">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6F2CF8D0">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2E8278BB">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2EF6E260">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58CCC8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4" w:hRule="atLeast"/>
        </w:trPr>
        <w:tc>
          <w:tcPr>
            <w:tcW w:w="384" w:type="pct"/>
            <w:noWrap w:val="0"/>
            <w:vAlign w:val="top"/>
          </w:tcPr>
          <w:p w14:paraId="69B14AAA">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5" w:type="pct"/>
            <w:noWrap w:val="0"/>
            <w:vAlign w:val="top"/>
          </w:tcPr>
          <w:p w14:paraId="20A94010">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345" w:type="pct"/>
            <w:noWrap w:val="0"/>
            <w:vAlign w:val="top"/>
          </w:tcPr>
          <w:p w14:paraId="744AAF04">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1634" w:type="pct"/>
            <w:noWrap w:val="0"/>
            <w:vAlign w:val="top"/>
          </w:tcPr>
          <w:p w14:paraId="51D6611D">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bl>
    <w:p w14:paraId="1F58A255">
      <w:pPr>
        <w:pStyle w:val="33"/>
        <w:pageBreakBefore w:val="0"/>
        <w:kinsoku/>
        <w:overflowPunct/>
        <w:topLinePunct w:val="0"/>
        <w:bidi w:val="0"/>
        <w:textAlignment w:val="auto"/>
        <w:outlineLvl w:val="9"/>
        <w:rPr>
          <w:rFonts w:hint="eastAsia" w:ascii="新宋体" w:hAnsi="新宋体" w:eastAsia="新宋体" w:cs="新宋体"/>
          <w:color w:val="auto"/>
          <w:szCs w:val="21"/>
          <w:highlight w:val="none"/>
          <w:lang w:eastAsia="zh-CN"/>
        </w:rPr>
      </w:pPr>
    </w:p>
    <w:p w14:paraId="4F2DAE9B">
      <w:pPr>
        <w:pStyle w:val="33"/>
        <w:keepNext w:val="0"/>
        <w:keepLines w:val="0"/>
        <w:pageBreakBefore w:val="0"/>
        <w:widowControl w:val="0"/>
        <w:kinsoku/>
        <w:wordWrap/>
        <w:overflowPunct/>
        <w:topLinePunct w:val="0"/>
        <w:autoSpaceDE/>
        <w:autoSpaceDN/>
        <w:bidi w:val="0"/>
        <w:adjustRightInd/>
        <w:snapToGrid/>
        <w:ind w:firstLine="0" w:firstLineChars="0"/>
        <w:jc w:val="left"/>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eastAsia="zh-CN"/>
        </w:rPr>
        <w:t>评标委员会签字：</w:t>
      </w:r>
    </w:p>
    <w:p w14:paraId="13969C42">
      <w:pPr>
        <w:pageBreakBefore w:val="0"/>
        <w:widowControl/>
        <w:kinsoku/>
        <w:overflowPunct/>
        <w:topLinePunct w:val="0"/>
        <w:bidi w:val="0"/>
        <w:jc w:val="right"/>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年</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月</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日</w:t>
      </w:r>
    </w:p>
    <w:p w14:paraId="00E5DB1C">
      <w:pPr>
        <w:keepNext w:val="0"/>
        <w:keepLines w:val="0"/>
        <w:pageBreakBefore w:val="0"/>
        <w:widowControl/>
        <w:kinsoku/>
        <w:wordWrap/>
        <w:overflowPunct/>
        <w:topLinePunct w:val="0"/>
        <w:autoSpaceDE/>
        <w:autoSpaceDN/>
        <w:bidi w:val="0"/>
        <w:adjustRightInd/>
        <w:snapToGrid/>
        <w:jc w:val="left"/>
        <w:textAlignment w:val="auto"/>
        <w:outlineLvl w:val="9"/>
        <w:rPr>
          <w:rFonts w:hint="eastAsia" w:ascii="新宋体" w:hAnsi="新宋体" w:eastAsia="新宋体" w:cs="新宋体"/>
          <w:b w:val="0"/>
          <w:bCs w:val="0"/>
          <w:color w:val="auto"/>
          <w:sz w:val="21"/>
          <w:szCs w:val="21"/>
          <w:highlight w:val="none"/>
        </w:rPr>
      </w:pPr>
      <w:r>
        <w:rPr>
          <w:rFonts w:hint="eastAsia" w:ascii="新宋体" w:hAnsi="新宋体" w:eastAsia="新宋体" w:cs="新宋体"/>
          <w:b/>
          <w:color w:val="auto"/>
          <w:szCs w:val="21"/>
          <w:highlight w:val="none"/>
        </w:rPr>
        <w:br w:type="page"/>
      </w:r>
      <w:bookmarkStart w:id="134" w:name="_Toc26187"/>
      <w:bookmarkStart w:id="135" w:name="_Toc28326"/>
      <w:r>
        <w:rPr>
          <w:rFonts w:hint="eastAsia" w:ascii="新宋体" w:hAnsi="新宋体" w:eastAsia="新宋体" w:cs="新宋体"/>
          <w:b w:val="0"/>
          <w:bCs w:val="0"/>
          <w:color w:val="auto"/>
          <w:sz w:val="21"/>
          <w:szCs w:val="21"/>
          <w:highlight w:val="none"/>
        </w:rPr>
        <w:t>附表3 符合性审查合格投标人名单</w:t>
      </w:r>
      <w:bookmarkEnd w:id="134"/>
      <w:bookmarkEnd w:id="135"/>
    </w:p>
    <w:p w14:paraId="0B0AE8CA">
      <w:pPr>
        <w:pageBreakBefore w:val="0"/>
        <w:kinsoku/>
        <w:overflowPunct/>
        <w:topLinePunct w:val="0"/>
        <w:bidi w:val="0"/>
        <w:adjustRightInd w:val="0"/>
        <w:snapToGrid w:val="0"/>
        <w:spacing w:before="156" w:beforeLines="50" w:line="360" w:lineRule="auto"/>
        <w:jc w:val="center"/>
        <w:textAlignment w:val="auto"/>
        <w:outlineLvl w:val="9"/>
        <w:rPr>
          <w:rFonts w:hint="eastAsia" w:ascii="新宋体" w:hAnsi="新宋体" w:eastAsia="新宋体" w:cs="新宋体"/>
          <w:b/>
          <w:color w:val="auto"/>
          <w:sz w:val="28"/>
          <w:szCs w:val="28"/>
          <w:highlight w:val="none"/>
        </w:rPr>
      </w:pPr>
      <w:r>
        <w:rPr>
          <w:rFonts w:hint="eastAsia" w:ascii="新宋体" w:hAnsi="新宋体" w:eastAsia="新宋体" w:cs="新宋体"/>
          <w:b/>
          <w:color w:val="auto"/>
          <w:sz w:val="28"/>
          <w:szCs w:val="28"/>
          <w:highlight w:val="none"/>
        </w:rPr>
        <w:t>符合性审查合格投标人名单</w:t>
      </w:r>
    </w:p>
    <w:p w14:paraId="37C58D5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eastAsia" w:ascii="新宋体" w:hAnsi="新宋体" w:eastAsia="新宋体" w:cs="新宋体"/>
          <w:color w:val="auto"/>
          <w:sz w:val="32"/>
          <w:szCs w:val="32"/>
          <w:highlight w:val="none"/>
        </w:rPr>
      </w:pPr>
      <w:r>
        <w:rPr>
          <w:rFonts w:hint="eastAsia" w:ascii="新宋体" w:hAnsi="新宋体" w:eastAsia="新宋体" w:cs="新宋体"/>
          <w:color w:val="auto"/>
          <w:szCs w:val="21"/>
          <w:highlight w:val="none"/>
        </w:rPr>
        <w:t>项目名称：                                        政府采购计划编号：</w:t>
      </w:r>
    </w:p>
    <w:tbl>
      <w:tblPr>
        <w:tblStyle w:val="27"/>
        <w:tblW w:w="4999"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112"/>
        <w:gridCol w:w="8740"/>
      </w:tblGrid>
      <w:tr w14:paraId="29E840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2" w:hRule="atLeast"/>
        </w:trPr>
        <w:tc>
          <w:tcPr>
            <w:tcW w:w="564" w:type="pct"/>
            <w:noWrap w:val="0"/>
            <w:vAlign w:val="center"/>
          </w:tcPr>
          <w:p w14:paraId="242530AE">
            <w:pPr>
              <w:keepNext w:val="0"/>
              <w:keepLines w:val="0"/>
              <w:pageBreakBefore w:val="0"/>
              <w:suppressLineNumbers w:val="0"/>
              <w:kinsoku/>
              <w:overflowPunct/>
              <w:topLinePunct w:val="0"/>
              <w:bidi w:val="0"/>
              <w:spacing w:before="0" w:beforeAutospacing="0" w:after="0" w:afterAutospacing="0"/>
              <w:ind w:left="0" w:right="0"/>
              <w:jc w:val="center"/>
              <w:textAlignment w:val="auto"/>
              <w:outlineLvl w:val="9"/>
              <w:rPr>
                <w:rFonts w:hint="eastAsia" w:ascii="新宋体" w:hAnsi="新宋体" w:eastAsia="新宋体" w:cs="新宋体"/>
                <w:b/>
                <w:color w:val="auto"/>
                <w:kern w:val="0"/>
                <w:szCs w:val="21"/>
                <w:highlight w:val="none"/>
              </w:rPr>
            </w:pPr>
            <w:r>
              <w:rPr>
                <w:rFonts w:hint="eastAsia" w:ascii="新宋体" w:hAnsi="新宋体" w:eastAsia="新宋体" w:cs="新宋体"/>
                <w:b/>
                <w:color w:val="auto"/>
                <w:kern w:val="0"/>
                <w:szCs w:val="21"/>
                <w:highlight w:val="none"/>
              </w:rPr>
              <w:t>序号</w:t>
            </w:r>
          </w:p>
        </w:tc>
        <w:tc>
          <w:tcPr>
            <w:tcW w:w="4435" w:type="pct"/>
            <w:noWrap w:val="0"/>
            <w:vAlign w:val="center"/>
          </w:tcPr>
          <w:p w14:paraId="6EB50F05">
            <w:pPr>
              <w:keepNext w:val="0"/>
              <w:keepLines w:val="0"/>
              <w:pageBreakBefore w:val="0"/>
              <w:suppressLineNumbers w:val="0"/>
              <w:kinsoku/>
              <w:overflowPunct/>
              <w:topLinePunct w:val="0"/>
              <w:bidi w:val="0"/>
              <w:spacing w:before="0" w:beforeAutospacing="0" w:after="0" w:afterAutospacing="0"/>
              <w:ind w:left="0" w:right="0"/>
              <w:jc w:val="center"/>
              <w:textAlignment w:val="auto"/>
              <w:outlineLvl w:val="9"/>
              <w:rPr>
                <w:rFonts w:hint="eastAsia" w:ascii="新宋体" w:hAnsi="新宋体" w:eastAsia="新宋体" w:cs="新宋体"/>
                <w:b/>
                <w:color w:val="auto"/>
                <w:kern w:val="0"/>
                <w:szCs w:val="21"/>
                <w:highlight w:val="none"/>
              </w:rPr>
            </w:pPr>
            <w:r>
              <w:rPr>
                <w:rFonts w:hint="eastAsia" w:ascii="新宋体" w:hAnsi="新宋体" w:eastAsia="新宋体" w:cs="新宋体"/>
                <w:b/>
                <w:color w:val="auto"/>
                <w:kern w:val="0"/>
                <w:szCs w:val="21"/>
                <w:highlight w:val="none"/>
              </w:rPr>
              <w:t>合格投标人名称</w:t>
            </w:r>
          </w:p>
        </w:tc>
      </w:tr>
      <w:tr w14:paraId="291E3B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2" w:hRule="atLeast"/>
        </w:trPr>
        <w:tc>
          <w:tcPr>
            <w:tcW w:w="564" w:type="pct"/>
            <w:noWrap w:val="0"/>
            <w:vAlign w:val="top"/>
          </w:tcPr>
          <w:p w14:paraId="756FC273">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Cs w:val="21"/>
                <w:highlight w:val="none"/>
              </w:rPr>
            </w:pPr>
          </w:p>
        </w:tc>
        <w:tc>
          <w:tcPr>
            <w:tcW w:w="4435" w:type="pct"/>
            <w:noWrap w:val="0"/>
            <w:vAlign w:val="top"/>
          </w:tcPr>
          <w:p w14:paraId="5A945BA4">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Cs w:val="21"/>
                <w:highlight w:val="none"/>
              </w:rPr>
            </w:pPr>
          </w:p>
        </w:tc>
      </w:tr>
      <w:tr w14:paraId="3D7ECF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2" w:hRule="atLeast"/>
        </w:trPr>
        <w:tc>
          <w:tcPr>
            <w:tcW w:w="564" w:type="pct"/>
            <w:noWrap w:val="0"/>
            <w:vAlign w:val="top"/>
          </w:tcPr>
          <w:p w14:paraId="2884D7DC">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4435" w:type="pct"/>
            <w:noWrap w:val="0"/>
            <w:vAlign w:val="top"/>
          </w:tcPr>
          <w:p w14:paraId="5E523D3D">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5D8292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2" w:hRule="atLeast"/>
        </w:trPr>
        <w:tc>
          <w:tcPr>
            <w:tcW w:w="564" w:type="pct"/>
            <w:noWrap w:val="0"/>
            <w:vAlign w:val="top"/>
          </w:tcPr>
          <w:p w14:paraId="28645523">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4435" w:type="pct"/>
            <w:noWrap w:val="0"/>
            <w:vAlign w:val="top"/>
          </w:tcPr>
          <w:p w14:paraId="5DC47A5E">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095981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2" w:hRule="atLeast"/>
        </w:trPr>
        <w:tc>
          <w:tcPr>
            <w:tcW w:w="564" w:type="pct"/>
            <w:noWrap w:val="0"/>
            <w:vAlign w:val="top"/>
          </w:tcPr>
          <w:p w14:paraId="5F6F1A7A">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4435" w:type="pct"/>
            <w:noWrap w:val="0"/>
            <w:vAlign w:val="top"/>
          </w:tcPr>
          <w:p w14:paraId="272D5A98">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727A85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2" w:hRule="atLeast"/>
        </w:trPr>
        <w:tc>
          <w:tcPr>
            <w:tcW w:w="564" w:type="pct"/>
            <w:noWrap w:val="0"/>
            <w:vAlign w:val="top"/>
          </w:tcPr>
          <w:p w14:paraId="5CE984AE">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4435" w:type="pct"/>
            <w:noWrap w:val="0"/>
            <w:vAlign w:val="top"/>
          </w:tcPr>
          <w:p w14:paraId="648BA82A">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r w14:paraId="111B5A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2" w:hRule="atLeast"/>
        </w:trPr>
        <w:tc>
          <w:tcPr>
            <w:tcW w:w="564" w:type="pct"/>
            <w:noWrap w:val="0"/>
            <w:vAlign w:val="top"/>
          </w:tcPr>
          <w:p w14:paraId="1D460FC6">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c>
          <w:tcPr>
            <w:tcW w:w="4435" w:type="pct"/>
            <w:noWrap w:val="0"/>
            <w:vAlign w:val="top"/>
          </w:tcPr>
          <w:p w14:paraId="07FCD481">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textAlignment w:val="auto"/>
              <w:outlineLvl w:val="9"/>
              <w:rPr>
                <w:rFonts w:hint="eastAsia" w:ascii="新宋体" w:hAnsi="新宋体" w:eastAsia="新宋体" w:cs="新宋体"/>
                <w:color w:val="auto"/>
                <w:kern w:val="0"/>
                <w:sz w:val="24"/>
                <w:highlight w:val="none"/>
              </w:rPr>
            </w:pPr>
          </w:p>
        </w:tc>
      </w:tr>
    </w:tbl>
    <w:p w14:paraId="29E38A76">
      <w:pPr>
        <w:pageBreakBefore w:val="0"/>
        <w:kinsoku/>
        <w:overflowPunct/>
        <w:topLinePunct w:val="0"/>
        <w:bidi w:val="0"/>
        <w:textAlignment w:val="auto"/>
        <w:outlineLvl w:val="9"/>
        <w:rPr>
          <w:rFonts w:hint="eastAsia" w:ascii="新宋体" w:hAnsi="新宋体" w:eastAsia="新宋体" w:cs="新宋体"/>
          <w:color w:val="auto"/>
          <w:w w:val="90"/>
          <w:highlight w:val="none"/>
        </w:rPr>
      </w:pPr>
    </w:p>
    <w:p w14:paraId="178B99C0">
      <w:pPr>
        <w:pStyle w:val="33"/>
        <w:keepNext w:val="0"/>
        <w:keepLines w:val="0"/>
        <w:pageBreakBefore w:val="0"/>
        <w:widowControl w:val="0"/>
        <w:kinsoku/>
        <w:wordWrap/>
        <w:overflowPunct/>
        <w:topLinePunct w:val="0"/>
        <w:autoSpaceDE/>
        <w:autoSpaceDN/>
        <w:bidi w:val="0"/>
        <w:adjustRightInd/>
        <w:snapToGrid/>
        <w:ind w:firstLine="0" w:firstLineChars="0"/>
        <w:jc w:val="left"/>
        <w:textAlignment w:val="auto"/>
        <w:outlineLvl w:val="9"/>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eastAsia="zh-CN"/>
        </w:rPr>
        <w:t>评标委员会签字：</w:t>
      </w:r>
    </w:p>
    <w:p w14:paraId="076F63E7">
      <w:pPr>
        <w:pageBreakBefore w:val="0"/>
        <w:kinsoku/>
        <w:overflowPunct/>
        <w:topLinePunct w:val="0"/>
        <w:bidi w:val="0"/>
        <w:jc w:val="right"/>
        <w:textAlignment w:val="auto"/>
        <w:outlineLvl w:val="9"/>
        <w:rPr>
          <w:rFonts w:hint="eastAsia" w:ascii="新宋体" w:hAnsi="新宋体" w:eastAsia="新宋体" w:cs="新宋体"/>
          <w:b/>
          <w:color w:val="auto"/>
          <w:sz w:val="32"/>
          <w:szCs w:val="32"/>
          <w:highlight w:val="none"/>
        </w:rPr>
      </w:pP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年</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月</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日</w:t>
      </w:r>
    </w:p>
    <w:p w14:paraId="2EC3922F">
      <w:pPr>
        <w:keepNext w:val="0"/>
        <w:keepLines w:val="0"/>
        <w:pageBreakBefore w:val="0"/>
        <w:widowControl w:val="0"/>
        <w:kinsoku/>
        <w:wordWrap/>
        <w:overflowPunct/>
        <w:topLinePunct w:val="0"/>
        <w:autoSpaceDE/>
        <w:autoSpaceDN/>
        <w:bidi w:val="0"/>
        <w:adjustRightInd w:val="0"/>
        <w:snapToGrid w:val="0"/>
        <w:jc w:val="center"/>
        <w:textAlignment w:val="auto"/>
        <w:outlineLvl w:val="1"/>
        <w:rPr>
          <w:rFonts w:hint="eastAsia" w:ascii="新宋体" w:hAnsi="新宋体" w:eastAsia="新宋体" w:cs="新宋体"/>
          <w:color w:val="auto"/>
          <w:sz w:val="28"/>
          <w:szCs w:val="28"/>
          <w:highlight w:val="none"/>
        </w:rPr>
      </w:pPr>
      <w:r>
        <w:rPr>
          <w:rFonts w:hint="eastAsia" w:ascii="新宋体" w:hAnsi="新宋体" w:eastAsia="新宋体" w:cs="新宋体"/>
          <w:b w:val="0"/>
          <w:color w:val="auto"/>
          <w:sz w:val="32"/>
          <w:highlight w:val="none"/>
        </w:rPr>
        <w:br w:type="page"/>
      </w:r>
      <w:bookmarkStart w:id="136" w:name="_Toc26388"/>
      <w:bookmarkStart w:id="137" w:name="_Toc18878"/>
      <w:bookmarkStart w:id="138" w:name="_Toc24127"/>
      <w:bookmarkStart w:id="139" w:name="_Toc4225"/>
      <w:bookmarkStart w:id="140" w:name="_Toc13329"/>
      <w:bookmarkStart w:id="141" w:name="_Toc4723"/>
      <w:bookmarkStart w:id="142" w:name="_Toc2370"/>
      <w:r>
        <w:rPr>
          <w:rFonts w:hint="eastAsia" w:ascii="新宋体" w:hAnsi="新宋体" w:eastAsia="新宋体" w:cs="新宋体"/>
          <w:b/>
          <w:bCs/>
          <w:color w:val="auto"/>
          <w:sz w:val="28"/>
          <w:szCs w:val="28"/>
          <w:highlight w:val="none"/>
        </w:rPr>
        <w:t>第四节 投标文件的比较与评价（综合评分法）</w:t>
      </w:r>
      <w:bookmarkEnd w:id="136"/>
      <w:bookmarkEnd w:id="137"/>
      <w:bookmarkEnd w:id="138"/>
      <w:bookmarkEnd w:id="139"/>
      <w:bookmarkEnd w:id="140"/>
      <w:bookmarkEnd w:id="141"/>
      <w:bookmarkEnd w:id="142"/>
    </w:p>
    <w:p w14:paraId="14513CCF">
      <w:pPr>
        <w:keepNext w:val="0"/>
        <w:keepLines w:val="0"/>
        <w:pageBreakBefore w:val="0"/>
        <w:widowControl/>
        <w:kinsoku/>
        <w:wordWrap/>
        <w:overflowPunct/>
        <w:topLinePunct w:val="0"/>
        <w:autoSpaceDE/>
        <w:autoSpaceDN/>
        <w:bidi w:val="0"/>
        <w:adjustRightInd w:val="0"/>
        <w:snapToGrid w:val="0"/>
        <w:spacing w:line="380" w:lineRule="exact"/>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1.</w:t>
      </w:r>
      <w:r>
        <w:rPr>
          <w:rFonts w:hint="eastAsia" w:ascii="新宋体" w:hAnsi="新宋体" w:eastAsia="新宋体" w:cs="新宋体"/>
          <w:color w:val="auto"/>
          <w:sz w:val="22"/>
          <w:szCs w:val="22"/>
          <w:highlight w:val="none"/>
        </w:rPr>
        <w:t xml:space="preserve"> </w:t>
      </w:r>
      <w:r>
        <w:rPr>
          <w:rFonts w:hint="eastAsia" w:ascii="新宋体" w:hAnsi="新宋体" w:eastAsia="新宋体" w:cs="新宋体"/>
          <w:b/>
          <w:color w:val="auto"/>
          <w:sz w:val="22"/>
          <w:szCs w:val="22"/>
          <w:highlight w:val="none"/>
        </w:rPr>
        <w:t>综合评分法</w:t>
      </w:r>
    </w:p>
    <w:p w14:paraId="7B8E59A7">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1.1综合评分法，指投标文件满足招标文件全部实质性要求，且按照评审因素的量化指标评审得分最高的投标人为中标候选人的评标方法。</w:t>
      </w:r>
    </w:p>
    <w:p w14:paraId="3D7F344B">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1.2评标因素：评审因素的设定应当与投标人所提供货物服务的质量相关，包括投标报价、技术或者服务水平、履约能力、售后服务等，但不包括第一章投标人的资格要求。本采购项目的评标因素和标准见本章本节附表1“评标方法及标准表”。</w:t>
      </w:r>
    </w:p>
    <w:p w14:paraId="168CAE08">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1.3未通过符合性审查的投标文件不得进入比较与评价。</w:t>
      </w:r>
    </w:p>
    <w:p w14:paraId="54A716A6">
      <w:pPr>
        <w:keepNext w:val="0"/>
        <w:keepLines w:val="0"/>
        <w:pageBreakBefore w:val="0"/>
        <w:kinsoku/>
        <w:wordWrap/>
        <w:overflowPunct/>
        <w:topLinePunct w:val="0"/>
        <w:autoSpaceDE/>
        <w:autoSpaceDN/>
        <w:bidi w:val="0"/>
        <w:adjustRightInd w:val="0"/>
        <w:snapToGrid w:val="0"/>
        <w:spacing w:line="38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2.</w:t>
      </w:r>
      <w:r>
        <w:rPr>
          <w:rFonts w:hint="eastAsia" w:ascii="新宋体" w:hAnsi="新宋体" w:eastAsia="新宋体" w:cs="新宋体"/>
          <w:color w:val="auto"/>
          <w:sz w:val="22"/>
          <w:szCs w:val="22"/>
          <w:highlight w:val="none"/>
        </w:rPr>
        <w:t xml:space="preserve"> </w:t>
      </w:r>
      <w:r>
        <w:rPr>
          <w:rFonts w:hint="eastAsia" w:ascii="新宋体" w:hAnsi="新宋体" w:eastAsia="新宋体" w:cs="新宋体"/>
          <w:b/>
          <w:bCs/>
          <w:color w:val="auto"/>
          <w:sz w:val="22"/>
          <w:szCs w:val="22"/>
          <w:highlight w:val="none"/>
        </w:rPr>
        <w:t>投标报价的算术修正及政府采购政策调整</w:t>
      </w:r>
    </w:p>
    <w:p w14:paraId="6137C9C5">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2.1如果有算术错误，投标报价将按本章第二节第4.2款、第4.3款规定进行算术修正。</w:t>
      </w:r>
    </w:p>
    <w:p w14:paraId="155C14C3">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2.2需落实政府采购政策（价格评审优惠）的，按第二章“投标须知”及本章第二节第5.</w:t>
      </w:r>
      <w:r>
        <w:rPr>
          <w:rFonts w:hint="eastAsia" w:ascii="新宋体" w:hAnsi="新宋体" w:eastAsia="新宋体" w:cs="新宋体"/>
          <w:bCs/>
          <w:color w:val="auto"/>
          <w:sz w:val="22"/>
          <w:szCs w:val="22"/>
          <w:highlight w:val="none"/>
          <w:lang w:val="en-US" w:eastAsia="zh-CN"/>
        </w:rPr>
        <w:t>4</w:t>
      </w:r>
      <w:r>
        <w:rPr>
          <w:rFonts w:hint="eastAsia" w:ascii="新宋体" w:hAnsi="新宋体" w:eastAsia="新宋体" w:cs="新宋体"/>
          <w:bCs/>
          <w:color w:val="auto"/>
          <w:sz w:val="22"/>
          <w:szCs w:val="22"/>
          <w:highlight w:val="none"/>
        </w:rPr>
        <w:t>（1）项的相关规定进行价格调整。</w:t>
      </w:r>
    </w:p>
    <w:p w14:paraId="2C0256DC">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2.3按本章本节第2.1款、第2.2款规定，以修正或调整后的价格确定投标人的投标报价和评标基准价，用于投标报价评价。</w:t>
      </w:r>
    </w:p>
    <w:p w14:paraId="28CCD902">
      <w:pPr>
        <w:keepNext w:val="0"/>
        <w:keepLines w:val="0"/>
        <w:pageBreakBefore w:val="0"/>
        <w:kinsoku/>
        <w:wordWrap/>
        <w:overflowPunct/>
        <w:topLinePunct w:val="0"/>
        <w:autoSpaceDE/>
        <w:autoSpaceDN/>
        <w:bidi w:val="0"/>
        <w:adjustRightInd w:val="0"/>
        <w:snapToGrid w:val="0"/>
        <w:spacing w:line="380" w:lineRule="exact"/>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3.</w:t>
      </w:r>
      <w:r>
        <w:rPr>
          <w:rFonts w:hint="eastAsia" w:ascii="新宋体" w:hAnsi="新宋体" w:eastAsia="新宋体" w:cs="新宋体"/>
          <w:color w:val="auto"/>
          <w:sz w:val="22"/>
          <w:szCs w:val="22"/>
          <w:highlight w:val="none"/>
        </w:rPr>
        <w:t xml:space="preserve"> </w:t>
      </w:r>
      <w:r>
        <w:rPr>
          <w:rFonts w:hint="eastAsia" w:ascii="新宋体" w:hAnsi="新宋体" w:eastAsia="新宋体" w:cs="新宋体"/>
          <w:b/>
          <w:bCs/>
          <w:color w:val="auto"/>
          <w:sz w:val="22"/>
          <w:szCs w:val="22"/>
          <w:highlight w:val="none"/>
        </w:rPr>
        <w:t>投标报价评价</w:t>
      </w:r>
    </w:p>
    <w:p w14:paraId="7152F5B6">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3.1投标报价评价：价格分应当采用低价优先法计算，即满足招标文件要求且投标价格最低的投标报价为评标基准价，其价格分为满分（报价权重分）。其他投标人的价格分统一按照下列公式计算：</w:t>
      </w:r>
    </w:p>
    <w:p w14:paraId="6937BEB9">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投标报价得分=（评标基准价</w:t>
      </w:r>
      <w:r>
        <w:rPr>
          <w:rFonts w:hint="eastAsia" w:ascii="新宋体" w:hAnsi="新宋体" w:eastAsia="新宋体" w:cs="新宋体"/>
          <w:color w:val="auto"/>
          <w:sz w:val="22"/>
          <w:szCs w:val="22"/>
          <w:highlight w:val="none"/>
          <w:vertAlign w:val="subscript"/>
        </w:rPr>
        <w:t>修正或调整</w:t>
      </w:r>
      <w:r>
        <w:rPr>
          <w:rFonts w:hint="eastAsia" w:ascii="新宋体" w:hAnsi="新宋体" w:eastAsia="新宋体" w:cs="新宋体"/>
          <w:color w:val="auto"/>
          <w:sz w:val="22"/>
          <w:szCs w:val="22"/>
          <w:highlight w:val="none"/>
        </w:rPr>
        <w:t>／投标报价</w:t>
      </w:r>
      <w:r>
        <w:rPr>
          <w:rFonts w:hint="eastAsia" w:ascii="新宋体" w:hAnsi="新宋体" w:eastAsia="新宋体" w:cs="新宋体"/>
          <w:color w:val="auto"/>
          <w:sz w:val="22"/>
          <w:szCs w:val="22"/>
          <w:highlight w:val="none"/>
          <w:vertAlign w:val="subscript"/>
        </w:rPr>
        <w:t>修正或调整</w:t>
      </w:r>
      <w:r>
        <w:rPr>
          <w:rFonts w:hint="eastAsia" w:ascii="新宋体" w:hAnsi="新宋体" w:eastAsia="新宋体" w:cs="新宋体"/>
          <w:color w:val="auto"/>
          <w:sz w:val="22"/>
          <w:szCs w:val="22"/>
          <w:highlight w:val="none"/>
        </w:rPr>
        <w:t>） ×100×报价权值</w:t>
      </w:r>
    </w:p>
    <w:p w14:paraId="22CD7CD2">
      <w:pPr>
        <w:keepNext w:val="0"/>
        <w:keepLines w:val="0"/>
        <w:pageBreakBefore w:val="0"/>
        <w:numPr>
          <w:ilvl w:val="0"/>
          <w:numId w:val="3"/>
        </w:numPr>
        <w:kinsoku/>
        <w:wordWrap/>
        <w:overflowPunct/>
        <w:topLinePunct w:val="0"/>
        <w:autoSpaceDE/>
        <w:autoSpaceDN/>
        <w:bidi w:val="0"/>
        <w:adjustRightInd w:val="0"/>
        <w:snapToGrid w:val="0"/>
        <w:spacing w:line="380" w:lineRule="exact"/>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技术、商务等评分项响应评价及政府采购政策加分</w:t>
      </w:r>
    </w:p>
    <w:p w14:paraId="628D0DD9">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4.1技术、商务等评分项响应评分。按</w:t>
      </w:r>
      <w:r>
        <w:rPr>
          <w:rFonts w:hint="eastAsia" w:ascii="新宋体" w:hAnsi="新宋体" w:eastAsia="新宋体" w:cs="新宋体"/>
          <w:bCs/>
          <w:color w:val="auto"/>
          <w:sz w:val="22"/>
          <w:szCs w:val="22"/>
          <w:highlight w:val="none"/>
        </w:rPr>
        <w:t>本章</w:t>
      </w:r>
      <w:r>
        <w:rPr>
          <w:rFonts w:hint="eastAsia" w:ascii="新宋体" w:hAnsi="新宋体" w:eastAsia="新宋体" w:cs="新宋体"/>
          <w:color w:val="auto"/>
          <w:sz w:val="22"/>
          <w:szCs w:val="22"/>
          <w:highlight w:val="none"/>
        </w:rPr>
        <w:t>本节附表1“评标方法及标准表”规定的评标因素和标准，对技术、商务等评分项计算得分。</w:t>
      </w:r>
    </w:p>
    <w:p w14:paraId="2E2E8D81">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4.2需落实政府采购政策（优先采购）的，按第二章、本章第二节第5.</w:t>
      </w:r>
      <w:r>
        <w:rPr>
          <w:rFonts w:hint="eastAsia" w:ascii="新宋体" w:hAnsi="新宋体" w:eastAsia="新宋体" w:cs="新宋体"/>
          <w:color w:val="auto"/>
          <w:sz w:val="22"/>
          <w:szCs w:val="22"/>
          <w:highlight w:val="none"/>
          <w:lang w:val="en-US" w:eastAsia="zh-CN"/>
        </w:rPr>
        <w:t>4</w:t>
      </w:r>
      <w:r>
        <w:rPr>
          <w:rFonts w:hint="eastAsia" w:ascii="新宋体" w:hAnsi="新宋体" w:eastAsia="新宋体" w:cs="新宋体"/>
          <w:color w:val="auto"/>
          <w:sz w:val="22"/>
          <w:szCs w:val="22"/>
          <w:highlight w:val="none"/>
        </w:rPr>
        <w:t>（2）项以及本节附表1“评标方法及标准表”的相关规定进行技术、价格、商务项得分(加分)计算。</w:t>
      </w:r>
    </w:p>
    <w:p w14:paraId="704D768A">
      <w:pPr>
        <w:keepNext w:val="0"/>
        <w:keepLines w:val="0"/>
        <w:pageBreakBefore w:val="0"/>
        <w:numPr>
          <w:ilvl w:val="0"/>
          <w:numId w:val="3"/>
        </w:numPr>
        <w:kinsoku/>
        <w:wordWrap/>
        <w:overflowPunct/>
        <w:topLinePunct w:val="0"/>
        <w:autoSpaceDE/>
        <w:autoSpaceDN/>
        <w:bidi w:val="0"/>
        <w:adjustRightInd w:val="0"/>
        <w:snapToGrid w:val="0"/>
        <w:spacing w:line="380" w:lineRule="exact"/>
        <w:ind w:left="0" w:leftChars="0" w:firstLine="0" w:firstLineChars="0"/>
        <w:jc w:val="left"/>
        <w:textAlignment w:val="auto"/>
        <w:outlineLvl w:val="9"/>
        <w:rPr>
          <w:rFonts w:hint="eastAsia" w:ascii="新宋体" w:hAnsi="新宋体" w:eastAsia="新宋体" w:cs="新宋体"/>
          <w:b/>
          <w:color w:val="auto"/>
          <w:sz w:val="22"/>
          <w:szCs w:val="22"/>
          <w:highlight w:val="none"/>
        </w:rPr>
      </w:pPr>
      <w:r>
        <w:rPr>
          <w:rFonts w:hint="eastAsia" w:ascii="新宋体" w:hAnsi="新宋体" w:eastAsia="新宋体" w:cs="新宋体"/>
          <w:b/>
          <w:color w:val="auto"/>
          <w:sz w:val="22"/>
          <w:szCs w:val="22"/>
          <w:highlight w:val="none"/>
        </w:rPr>
        <w:t>评标总得分</w:t>
      </w:r>
    </w:p>
    <w:p w14:paraId="50F66737">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5.1评标总得分为投标报价、技术、商务等评分项得分(含优先采购政策加分)之和。</w:t>
      </w:r>
    </w:p>
    <w:p w14:paraId="65DF62CD">
      <w:pPr>
        <w:keepNext w:val="0"/>
        <w:keepLines w:val="0"/>
        <w:pageBreakBefore w:val="0"/>
        <w:kinsoku/>
        <w:wordWrap/>
        <w:overflowPunct/>
        <w:topLinePunct w:val="0"/>
        <w:autoSpaceDE/>
        <w:autoSpaceDN/>
        <w:bidi w:val="0"/>
        <w:adjustRightInd w:val="0"/>
        <w:snapToGrid w:val="0"/>
        <w:spacing w:line="380" w:lineRule="exact"/>
        <w:ind w:firstLine="440" w:firstLineChars="200"/>
        <w:textAlignment w:val="auto"/>
        <w:outlineLvl w:val="9"/>
        <w:rPr>
          <w:rFonts w:hint="eastAsia" w:ascii="新宋体" w:hAnsi="新宋体" w:eastAsia="新宋体" w:cs="新宋体"/>
          <w:color w:val="auto"/>
          <w:kern w:val="0"/>
          <w:sz w:val="22"/>
          <w:szCs w:val="22"/>
          <w:highlight w:val="none"/>
          <w:lang w:val="ru-RU" w:eastAsia="ru-RU"/>
        </w:rPr>
      </w:pPr>
      <w:r>
        <w:rPr>
          <w:rFonts w:hint="eastAsia" w:ascii="新宋体" w:hAnsi="新宋体" w:eastAsia="新宋体" w:cs="新宋体"/>
          <w:color w:val="auto"/>
          <w:kern w:val="0"/>
          <w:sz w:val="22"/>
          <w:szCs w:val="22"/>
          <w:highlight w:val="none"/>
          <w:lang w:val="ru-RU" w:eastAsia="ru-RU"/>
        </w:rPr>
        <w:t>评标总得分＝F</w:t>
      </w:r>
      <w:r>
        <w:rPr>
          <w:rFonts w:hint="eastAsia" w:ascii="新宋体" w:hAnsi="新宋体" w:eastAsia="新宋体" w:cs="新宋体"/>
          <w:color w:val="auto"/>
          <w:kern w:val="0"/>
          <w:sz w:val="22"/>
          <w:szCs w:val="22"/>
          <w:highlight w:val="none"/>
          <w:vertAlign w:val="subscript"/>
          <w:lang w:val="ru-RU" w:eastAsia="ru-RU"/>
        </w:rPr>
        <w:t>1</w:t>
      </w:r>
      <w:r>
        <w:rPr>
          <w:rFonts w:hint="eastAsia" w:ascii="新宋体" w:hAnsi="新宋体" w:eastAsia="新宋体" w:cs="新宋体"/>
          <w:color w:val="auto"/>
          <w:kern w:val="0"/>
          <w:sz w:val="22"/>
          <w:szCs w:val="22"/>
          <w:highlight w:val="none"/>
          <w:lang w:val="ru-RU" w:eastAsia="ru-RU"/>
        </w:rPr>
        <w:t>×A</w:t>
      </w:r>
      <w:r>
        <w:rPr>
          <w:rFonts w:hint="eastAsia" w:ascii="新宋体" w:hAnsi="新宋体" w:eastAsia="新宋体" w:cs="新宋体"/>
          <w:color w:val="auto"/>
          <w:kern w:val="0"/>
          <w:sz w:val="22"/>
          <w:szCs w:val="22"/>
          <w:highlight w:val="none"/>
          <w:vertAlign w:val="subscript"/>
          <w:lang w:val="ru-RU" w:eastAsia="ru-RU"/>
        </w:rPr>
        <w:t>1</w:t>
      </w:r>
      <w:r>
        <w:rPr>
          <w:rFonts w:hint="eastAsia" w:ascii="新宋体" w:hAnsi="新宋体" w:eastAsia="新宋体" w:cs="新宋体"/>
          <w:color w:val="auto"/>
          <w:kern w:val="0"/>
          <w:sz w:val="22"/>
          <w:szCs w:val="22"/>
          <w:highlight w:val="none"/>
          <w:lang w:val="ru-RU" w:eastAsia="ru-RU"/>
        </w:rPr>
        <w:t>＋F</w:t>
      </w:r>
      <w:r>
        <w:rPr>
          <w:rFonts w:hint="eastAsia" w:ascii="新宋体" w:hAnsi="新宋体" w:eastAsia="新宋体" w:cs="新宋体"/>
          <w:color w:val="auto"/>
          <w:kern w:val="0"/>
          <w:sz w:val="22"/>
          <w:szCs w:val="22"/>
          <w:highlight w:val="none"/>
          <w:vertAlign w:val="subscript"/>
          <w:lang w:val="ru-RU" w:eastAsia="ru-RU"/>
        </w:rPr>
        <w:t>2</w:t>
      </w:r>
      <w:r>
        <w:rPr>
          <w:rFonts w:hint="eastAsia" w:ascii="新宋体" w:hAnsi="新宋体" w:eastAsia="新宋体" w:cs="新宋体"/>
          <w:color w:val="auto"/>
          <w:kern w:val="0"/>
          <w:sz w:val="22"/>
          <w:szCs w:val="22"/>
          <w:highlight w:val="none"/>
          <w:lang w:val="ru-RU" w:eastAsia="ru-RU"/>
        </w:rPr>
        <w:t>×A</w:t>
      </w:r>
      <w:r>
        <w:rPr>
          <w:rFonts w:hint="eastAsia" w:ascii="新宋体" w:hAnsi="新宋体" w:eastAsia="新宋体" w:cs="新宋体"/>
          <w:color w:val="auto"/>
          <w:kern w:val="0"/>
          <w:sz w:val="22"/>
          <w:szCs w:val="22"/>
          <w:highlight w:val="none"/>
          <w:vertAlign w:val="subscript"/>
          <w:lang w:val="ru-RU" w:eastAsia="ru-RU"/>
        </w:rPr>
        <w:t>2</w:t>
      </w:r>
      <w:r>
        <w:rPr>
          <w:rFonts w:hint="eastAsia" w:ascii="新宋体" w:hAnsi="新宋体" w:eastAsia="新宋体" w:cs="新宋体"/>
          <w:color w:val="auto"/>
          <w:kern w:val="0"/>
          <w:sz w:val="22"/>
          <w:szCs w:val="22"/>
          <w:highlight w:val="none"/>
          <w:lang w:val="ru-RU" w:eastAsia="ru-RU"/>
        </w:rPr>
        <w:t>＋……＋F</w:t>
      </w:r>
      <w:r>
        <w:rPr>
          <w:rFonts w:hint="eastAsia" w:ascii="新宋体" w:hAnsi="新宋体" w:eastAsia="新宋体" w:cs="新宋体"/>
          <w:color w:val="auto"/>
          <w:kern w:val="0"/>
          <w:sz w:val="22"/>
          <w:szCs w:val="22"/>
          <w:highlight w:val="none"/>
          <w:vertAlign w:val="subscript"/>
          <w:lang w:val="ru-RU" w:eastAsia="ru-RU"/>
        </w:rPr>
        <w:t>n</w:t>
      </w:r>
      <w:r>
        <w:rPr>
          <w:rFonts w:hint="eastAsia" w:ascii="新宋体" w:hAnsi="新宋体" w:eastAsia="新宋体" w:cs="新宋体"/>
          <w:color w:val="auto"/>
          <w:kern w:val="0"/>
          <w:sz w:val="22"/>
          <w:szCs w:val="22"/>
          <w:highlight w:val="none"/>
          <w:lang w:val="ru-RU" w:eastAsia="ru-RU"/>
        </w:rPr>
        <w:t>×A</w:t>
      </w:r>
      <w:r>
        <w:rPr>
          <w:rFonts w:hint="eastAsia" w:ascii="新宋体" w:hAnsi="新宋体" w:eastAsia="新宋体" w:cs="新宋体"/>
          <w:color w:val="auto"/>
          <w:kern w:val="0"/>
          <w:sz w:val="22"/>
          <w:szCs w:val="22"/>
          <w:highlight w:val="none"/>
          <w:vertAlign w:val="subscript"/>
          <w:lang w:val="ru-RU" w:eastAsia="ru-RU"/>
        </w:rPr>
        <w:t>n</w:t>
      </w:r>
    </w:p>
    <w:p w14:paraId="5826564C">
      <w:pPr>
        <w:keepNext w:val="0"/>
        <w:keepLines w:val="0"/>
        <w:pageBreakBefore w:val="0"/>
        <w:kinsoku/>
        <w:wordWrap/>
        <w:overflowPunct/>
        <w:topLinePunct w:val="0"/>
        <w:autoSpaceDE/>
        <w:autoSpaceDN/>
        <w:bidi w:val="0"/>
        <w:adjustRightInd w:val="0"/>
        <w:snapToGrid w:val="0"/>
        <w:spacing w:line="380" w:lineRule="exact"/>
        <w:ind w:firstLine="440" w:firstLineChars="200"/>
        <w:textAlignment w:val="auto"/>
        <w:outlineLvl w:val="9"/>
        <w:rPr>
          <w:rFonts w:hint="eastAsia" w:ascii="新宋体" w:hAnsi="新宋体" w:eastAsia="新宋体" w:cs="新宋体"/>
          <w:color w:val="auto"/>
          <w:kern w:val="0"/>
          <w:sz w:val="22"/>
          <w:szCs w:val="22"/>
          <w:highlight w:val="none"/>
          <w:lang w:val="ru-RU" w:eastAsia="ru-RU"/>
        </w:rPr>
      </w:pPr>
      <w:r>
        <w:rPr>
          <w:rFonts w:hint="eastAsia" w:ascii="新宋体" w:hAnsi="新宋体" w:eastAsia="新宋体" w:cs="新宋体"/>
          <w:color w:val="auto"/>
          <w:kern w:val="0"/>
          <w:sz w:val="22"/>
          <w:szCs w:val="22"/>
          <w:highlight w:val="none"/>
          <w:lang w:val="ru-RU" w:eastAsia="ru-RU"/>
        </w:rPr>
        <w:t>F</w:t>
      </w:r>
      <w:r>
        <w:rPr>
          <w:rFonts w:hint="eastAsia" w:ascii="新宋体" w:hAnsi="新宋体" w:eastAsia="新宋体" w:cs="新宋体"/>
          <w:color w:val="auto"/>
          <w:kern w:val="0"/>
          <w:sz w:val="22"/>
          <w:szCs w:val="22"/>
          <w:highlight w:val="none"/>
          <w:vertAlign w:val="subscript"/>
          <w:lang w:val="ru-RU" w:eastAsia="ru-RU"/>
        </w:rPr>
        <w:t>1</w:t>
      </w:r>
      <w:r>
        <w:rPr>
          <w:rFonts w:hint="eastAsia" w:ascii="新宋体" w:hAnsi="新宋体" w:eastAsia="新宋体" w:cs="新宋体"/>
          <w:color w:val="auto"/>
          <w:kern w:val="0"/>
          <w:sz w:val="22"/>
          <w:szCs w:val="22"/>
          <w:highlight w:val="none"/>
          <w:lang w:val="ru-RU" w:eastAsia="ru-RU"/>
        </w:rPr>
        <w:t>、F</w:t>
      </w:r>
      <w:r>
        <w:rPr>
          <w:rFonts w:hint="eastAsia" w:ascii="新宋体" w:hAnsi="新宋体" w:eastAsia="新宋体" w:cs="新宋体"/>
          <w:color w:val="auto"/>
          <w:kern w:val="0"/>
          <w:sz w:val="22"/>
          <w:szCs w:val="22"/>
          <w:highlight w:val="none"/>
          <w:vertAlign w:val="subscript"/>
          <w:lang w:val="ru-RU" w:eastAsia="ru-RU"/>
        </w:rPr>
        <w:t>2</w:t>
      </w:r>
      <w:r>
        <w:rPr>
          <w:rFonts w:hint="eastAsia" w:ascii="新宋体" w:hAnsi="新宋体" w:eastAsia="新宋体" w:cs="新宋体"/>
          <w:color w:val="auto"/>
          <w:kern w:val="0"/>
          <w:sz w:val="22"/>
          <w:szCs w:val="22"/>
          <w:highlight w:val="none"/>
          <w:lang w:val="ru-RU" w:eastAsia="ru-RU"/>
        </w:rPr>
        <w:t>……F</w:t>
      </w:r>
      <w:r>
        <w:rPr>
          <w:rFonts w:hint="eastAsia" w:ascii="新宋体" w:hAnsi="新宋体" w:eastAsia="新宋体" w:cs="新宋体"/>
          <w:color w:val="auto"/>
          <w:kern w:val="0"/>
          <w:sz w:val="22"/>
          <w:szCs w:val="22"/>
          <w:highlight w:val="none"/>
          <w:vertAlign w:val="subscript"/>
          <w:lang w:val="ru-RU" w:eastAsia="ru-RU"/>
        </w:rPr>
        <w:t>n</w:t>
      </w:r>
      <w:r>
        <w:rPr>
          <w:rFonts w:hint="eastAsia" w:ascii="新宋体" w:hAnsi="新宋体" w:eastAsia="新宋体" w:cs="新宋体"/>
          <w:color w:val="auto"/>
          <w:kern w:val="0"/>
          <w:sz w:val="22"/>
          <w:szCs w:val="22"/>
          <w:highlight w:val="none"/>
          <w:lang w:val="ru-RU" w:eastAsia="ru-RU"/>
        </w:rPr>
        <w:t>分别为各项评审因素的得分；</w:t>
      </w:r>
    </w:p>
    <w:p w14:paraId="31271F16">
      <w:pPr>
        <w:keepNext w:val="0"/>
        <w:keepLines w:val="0"/>
        <w:pageBreakBefore w:val="0"/>
        <w:kinsoku/>
        <w:wordWrap/>
        <w:overflowPunct/>
        <w:topLinePunct w:val="0"/>
        <w:autoSpaceDE/>
        <w:autoSpaceDN/>
        <w:bidi w:val="0"/>
        <w:adjustRightInd w:val="0"/>
        <w:snapToGrid w:val="0"/>
        <w:spacing w:line="380" w:lineRule="exact"/>
        <w:ind w:firstLine="440" w:firstLineChars="200"/>
        <w:textAlignment w:val="auto"/>
        <w:outlineLvl w:val="9"/>
        <w:rPr>
          <w:rFonts w:hint="eastAsia" w:ascii="新宋体" w:hAnsi="新宋体" w:eastAsia="新宋体" w:cs="新宋体"/>
          <w:color w:val="auto"/>
          <w:kern w:val="0"/>
          <w:sz w:val="22"/>
          <w:szCs w:val="22"/>
          <w:highlight w:val="none"/>
          <w:lang w:val="ru-RU" w:eastAsia="ru-RU"/>
        </w:rPr>
      </w:pPr>
      <w:r>
        <w:rPr>
          <w:rFonts w:hint="eastAsia" w:ascii="新宋体" w:hAnsi="新宋体" w:eastAsia="新宋体" w:cs="新宋体"/>
          <w:color w:val="auto"/>
          <w:kern w:val="0"/>
          <w:sz w:val="22"/>
          <w:szCs w:val="22"/>
          <w:highlight w:val="none"/>
          <w:lang w:val="ru-RU" w:eastAsia="ru-RU"/>
        </w:rPr>
        <w:t>A</w:t>
      </w:r>
      <w:r>
        <w:rPr>
          <w:rFonts w:hint="eastAsia" w:ascii="新宋体" w:hAnsi="新宋体" w:eastAsia="新宋体" w:cs="新宋体"/>
          <w:color w:val="auto"/>
          <w:kern w:val="0"/>
          <w:sz w:val="22"/>
          <w:szCs w:val="22"/>
          <w:highlight w:val="none"/>
          <w:vertAlign w:val="subscript"/>
          <w:lang w:val="ru-RU" w:eastAsia="ru-RU"/>
        </w:rPr>
        <w:t>1</w:t>
      </w:r>
      <w:r>
        <w:rPr>
          <w:rFonts w:hint="eastAsia" w:ascii="新宋体" w:hAnsi="新宋体" w:eastAsia="新宋体" w:cs="新宋体"/>
          <w:color w:val="auto"/>
          <w:kern w:val="0"/>
          <w:sz w:val="22"/>
          <w:szCs w:val="22"/>
          <w:highlight w:val="none"/>
          <w:lang w:val="ru-RU" w:eastAsia="ru-RU"/>
        </w:rPr>
        <w:t>、A</w:t>
      </w:r>
      <w:r>
        <w:rPr>
          <w:rFonts w:hint="eastAsia" w:ascii="新宋体" w:hAnsi="新宋体" w:eastAsia="新宋体" w:cs="新宋体"/>
          <w:color w:val="auto"/>
          <w:kern w:val="0"/>
          <w:sz w:val="22"/>
          <w:szCs w:val="22"/>
          <w:highlight w:val="none"/>
          <w:vertAlign w:val="subscript"/>
          <w:lang w:val="ru-RU" w:eastAsia="ru-RU"/>
        </w:rPr>
        <w:t>2</w:t>
      </w:r>
      <w:r>
        <w:rPr>
          <w:rFonts w:hint="eastAsia" w:ascii="新宋体" w:hAnsi="新宋体" w:eastAsia="新宋体" w:cs="新宋体"/>
          <w:color w:val="auto"/>
          <w:kern w:val="0"/>
          <w:sz w:val="22"/>
          <w:szCs w:val="22"/>
          <w:highlight w:val="none"/>
          <w:lang w:val="ru-RU" w:eastAsia="ru-RU"/>
        </w:rPr>
        <w:t>、……A</w:t>
      </w:r>
      <w:r>
        <w:rPr>
          <w:rFonts w:hint="eastAsia" w:ascii="新宋体" w:hAnsi="新宋体" w:eastAsia="新宋体" w:cs="新宋体"/>
          <w:color w:val="auto"/>
          <w:kern w:val="0"/>
          <w:sz w:val="22"/>
          <w:szCs w:val="22"/>
          <w:highlight w:val="none"/>
          <w:vertAlign w:val="subscript"/>
          <w:lang w:val="ru-RU" w:eastAsia="ru-RU"/>
        </w:rPr>
        <w:t>n</w:t>
      </w:r>
      <w:r>
        <w:rPr>
          <w:rFonts w:hint="eastAsia" w:ascii="新宋体" w:hAnsi="新宋体" w:eastAsia="新宋体" w:cs="新宋体"/>
          <w:color w:val="auto"/>
          <w:kern w:val="0"/>
          <w:sz w:val="22"/>
          <w:szCs w:val="22"/>
          <w:highlight w:val="none"/>
          <w:lang w:val="ru-RU" w:eastAsia="ru-RU"/>
        </w:rPr>
        <w:t>分别为各项评审因素所占的权重（A</w:t>
      </w:r>
      <w:r>
        <w:rPr>
          <w:rFonts w:hint="eastAsia" w:ascii="新宋体" w:hAnsi="新宋体" w:eastAsia="新宋体" w:cs="新宋体"/>
          <w:color w:val="auto"/>
          <w:kern w:val="0"/>
          <w:sz w:val="22"/>
          <w:szCs w:val="22"/>
          <w:highlight w:val="none"/>
          <w:vertAlign w:val="subscript"/>
          <w:lang w:val="ru-RU" w:eastAsia="ru-RU"/>
        </w:rPr>
        <w:t>1</w:t>
      </w:r>
      <w:r>
        <w:rPr>
          <w:rFonts w:hint="eastAsia" w:ascii="新宋体" w:hAnsi="新宋体" w:eastAsia="新宋体" w:cs="新宋体"/>
          <w:color w:val="auto"/>
          <w:kern w:val="0"/>
          <w:sz w:val="22"/>
          <w:szCs w:val="22"/>
          <w:highlight w:val="none"/>
          <w:lang w:val="ru-RU" w:eastAsia="ru-RU"/>
        </w:rPr>
        <w:t>＋A</w:t>
      </w:r>
      <w:r>
        <w:rPr>
          <w:rFonts w:hint="eastAsia" w:ascii="新宋体" w:hAnsi="新宋体" w:eastAsia="新宋体" w:cs="新宋体"/>
          <w:color w:val="auto"/>
          <w:kern w:val="0"/>
          <w:sz w:val="22"/>
          <w:szCs w:val="22"/>
          <w:highlight w:val="none"/>
          <w:vertAlign w:val="subscript"/>
          <w:lang w:val="ru-RU" w:eastAsia="ru-RU"/>
        </w:rPr>
        <w:t>2</w:t>
      </w:r>
      <w:r>
        <w:rPr>
          <w:rFonts w:hint="eastAsia" w:ascii="新宋体" w:hAnsi="新宋体" w:eastAsia="新宋体" w:cs="新宋体"/>
          <w:color w:val="auto"/>
          <w:kern w:val="0"/>
          <w:sz w:val="22"/>
          <w:szCs w:val="22"/>
          <w:highlight w:val="none"/>
          <w:lang w:val="ru-RU" w:eastAsia="ru-RU"/>
        </w:rPr>
        <w:t>＋…＋A</w:t>
      </w:r>
      <w:r>
        <w:rPr>
          <w:rFonts w:hint="eastAsia" w:ascii="新宋体" w:hAnsi="新宋体" w:eastAsia="新宋体" w:cs="新宋体"/>
          <w:color w:val="auto"/>
          <w:kern w:val="0"/>
          <w:sz w:val="22"/>
          <w:szCs w:val="22"/>
          <w:highlight w:val="none"/>
          <w:vertAlign w:val="subscript"/>
          <w:lang w:val="ru-RU" w:eastAsia="ru-RU"/>
        </w:rPr>
        <w:t>n</w:t>
      </w:r>
      <w:r>
        <w:rPr>
          <w:rFonts w:hint="eastAsia" w:ascii="新宋体" w:hAnsi="新宋体" w:eastAsia="新宋体" w:cs="新宋体"/>
          <w:color w:val="auto"/>
          <w:kern w:val="0"/>
          <w:sz w:val="22"/>
          <w:szCs w:val="22"/>
          <w:highlight w:val="none"/>
          <w:lang w:val="ru-RU" w:eastAsia="ru-RU"/>
        </w:rPr>
        <w:t>＝1）。</w:t>
      </w:r>
    </w:p>
    <w:p w14:paraId="7BC75B3A">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5.2评分分值计算保留小数点后两位，小数点后第三位“四舍五入”。</w:t>
      </w:r>
    </w:p>
    <w:p w14:paraId="78DC8231">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rPr>
        <w:t>5.3</w:t>
      </w:r>
      <w:r>
        <w:rPr>
          <w:rFonts w:hint="eastAsia" w:ascii="新宋体" w:hAnsi="新宋体" w:eastAsia="新宋体" w:cs="新宋体"/>
          <w:color w:val="auto"/>
          <w:sz w:val="22"/>
          <w:szCs w:val="22"/>
          <w:highlight w:val="none"/>
        </w:rPr>
        <w:t>评标时，评标委员会成员应当独立对满足招标文件全部实质性要求投标人的</w:t>
      </w:r>
      <w:r>
        <w:rPr>
          <w:rFonts w:hint="eastAsia" w:ascii="新宋体" w:hAnsi="新宋体" w:eastAsia="新宋体" w:cs="新宋体"/>
          <w:bCs/>
          <w:color w:val="auto"/>
          <w:sz w:val="22"/>
          <w:szCs w:val="22"/>
          <w:highlight w:val="none"/>
        </w:rPr>
        <w:t>投标文件</w:t>
      </w:r>
      <w:r>
        <w:rPr>
          <w:rFonts w:hint="eastAsia" w:ascii="新宋体" w:hAnsi="新宋体" w:eastAsia="新宋体" w:cs="新宋体"/>
          <w:color w:val="auto"/>
          <w:sz w:val="22"/>
          <w:szCs w:val="22"/>
          <w:highlight w:val="none"/>
        </w:rPr>
        <w:t>进行评价、评分，然后汇总每个投标人每项评分因素的得分。每个投标人的最终得分为所有评标委员会成员评分的算术平均值。</w:t>
      </w:r>
    </w:p>
    <w:p w14:paraId="0487DF7E">
      <w:pPr>
        <w:keepNext w:val="0"/>
        <w:keepLines w:val="0"/>
        <w:pageBreakBefore w:val="0"/>
        <w:numPr>
          <w:ilvl w:val="0"/>
          <w:numId w:val="3"/>
        </w:numPr>
        <w:kinsoku/>
        <w:wordWrap/>
        <w:overflowPunct/>
        <w:topLinePunct w:val="0"/>
        <w:autoSpaceDE/>
        <w:autoSpaceDN/>
        <w:bidi w:val="0"/>
        <w:adjustRightInd w:val="0"/>
        <w:snapToGrid w:val="0"/>
        <w:spacing w:line="380" w:lineRule="exact"/>
        <w:ind w:left="0" w:leftChars="0" w:firstLine="0" w:firstLineChars="0"/>
        <w:jc w:val="left"/>
        <w:textAlignment w:val="auto"/>
        <w:outlineLvl w:val="9"/>
        <w:rPr>
          <w:rFonts w:hint="eastAsia" w:ascii="新宋体" w:hAnsi="新宋体" w:eastAsia="新宋体" w:cs="新宋体"/>
          <w:b/>
          <w:bCs/>
          <w:color w:val="auto"/>
          <w:sz w:val="22"/>
          <w:szCs w:val="22"/>
          <w:highlight w:val="none"/>
        </w:rPr>
      </w:pPr>
      <w:r>
        <w:rPr>
          <w:rFonts w:hint="eastAsia" w:ascii="新宋体" w:hAnsi="新宋体" w:eastAsia="新宋体" w:cs="新宋体"/>
          <w:b/>
          <w:bCs/>
          <w:color w:val="auto"/>
          <w:sz w:val="22"/>
          <w:szCs w:val="22"/>
          <w:highlight w:val="none"/>
        </w:rPr>
        <w:t>中标候选人的推荐方法</w:t>
      </w:r>
    </w:p>
    <w:p w14:paraId="56921880">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bCs/>
          <w:color w:val="auto"/>
          <w:sz w:val="22"/>
          <w:szCs w:val="22"/>
          <w:highlight w:val="none"/>
        </w:rPr>
      </w:pPr>
      <w:r>
        <w:rPr>
          <w:rFonts w:hint="eastAsia" w:ascii="新宋体" w:hAnsi="新宋体" w:eastAsia="新宋体" w:cs="新宋体"/>
          <w:bCs/>
          <w:color w:val="auto"/>
          <w:sz w:val="22"/>
          <w:szCs w:val="22"/>
          <w:highlight w:val="none"/>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39FBE1F">
      <w:pPr>
        <w:keepNext w:val="0"/>
        <w:keepLines w:val="0"/>
        <w:pageBreakBefore w:val="0"/>
        <w:kinsoku/>
        <w:wordWrap/>
        <w:overflowPunct/>
        <w:topLinePunct w:val="0"/>
        <w:autoSpaceDE/>
        <w:autoSpaceDN/>
        <w:bidi w:val="0"/>
        <w:adjustRightInd w:val="0"/>
        <w:snapToGrid w:val="0"/>
        <w:spacing w:line="380" w:lineRule="exact"/>
        <w:ind w:firstLine="440" w:firstLineChars="200"/>
        <w:jc w:val="left"/>
        <w:textAlignment w:val="auto"/>
        <w:outlineLvl w:val="9"/>
        <w:rPr>
          <w:rFonts w:hint="eastAsia" w:ascii="新宋体" w:hAnsi="新宋体" w:eastAsia="新宋体" w:cs="新宋体"/>
          <w:bCs/>
          <w:color w:val="auto"/>
          <w:szCs w:val="21"/>
          <w:highlight w:val="none"/>
        </w:rPr>
      </w:pPr>
      <w:r>
        <w:rPr>
          <w:rFonts w:hint="eastAsia" w:ascii="新宋体" w:hAnsi="新宋体" w:eastAsia="新宋体" w:cs="新宋体"/>
          <w:bCs/>
          <w:color w:val="auto"/>
          <w:sz w:val="22"/>
          <w:szCs w:val="22"/>
          <w:highlight w:val="none"/>
        </w:rPr>
        <w:t>6.2得分且投标报价相同的并列，按本章第二节规定确定中标候选人。</w:t>
      </w:r>
    </w:p>
    <w:p w14:paraId="35340EA2">
      <w:pPr>
        <w:keepNext w:val="0"/>
        <w:keepLines w:val="0"/>
        <w:pageBreakBefore w:val="0"/>
        <w:widowControl/>
        <w:kinsoku/>
        <w:wordWrap/>
        <w:overflowPunct/>
        <w:topLinePunct w:val="0"/>
        <w:autoSpaceDE/>
        <w:autoSpaceDN/>
        <w:bidi w:val="0"/>
        <w:adjustRightInd/>
        <w:snapToGrid/>
        <w:jc w:val="left"/>
        <w:textAlignment w:val="auto"/>
        <w:outlineLvl w:val="9"/>
        <w:rPr>
          <w:rFonts w:hint="eastAsia" w:ascii="新宋体" w:hAnsi="新宋体" w:eastAsia="新宋体" w:cs="新宋体"/>
          <w:b w:val="0"/>
          <w:bCs w:val="0"/>
          <w:color w:val="auto"/>
          <w:sz w:val="21"/>
          <w:szCs w:val="21"/>
          <w:highlight w:val="none"/>
        </w:rPr>
      </w:pPr>
      <w:r>
        <w:rPr>
          <w:rFonts w:hint="eastAsia" w:ascii="新宋体" w:hAnsi="新宋体" w:eastAsia="新宋体" w:cs="新宋体"/>
          <w:bCs/>
          <w:color w:val="auto"/>
          <w:szCs w:val="21"/>
          <w:highlight w:val="none"/>
        </w:rPr>
        <w:br w:type="page"/>
      </w:r>
    </w:p>
    <w:p w14:paraId="35E3F6E9">
      <w:pPr>
        <w:keepNext w:val="0"/>
        <w:keepLines w:val="0"/>
        <w:pageBreakBefore w:val="0"/>
        <w:widowControl/>
        <w:kinsoku/>
        <w:wordWrap/>
        <w:overflowPunct/>
        <w:topLinePunct w:val="0"/>
        <w:autoSpaceDE/>
        <w:autoSpaceDN/>
        <w:bidi w:val="0"/>
        <w:adjustRightInd/>
        <w:snapToGrid/>
        <w:jc w:val="left"/>
        <w:textAlignment w:val="auto"/>
        <w:outlineLvl w:val="9"/>
        <w:rPr>
          <w:rFonts w:hint="eastAsia" w:ascii="新宋体" w:hAnsi="新宋体" w:eastAsia="新宋体" w:cs="新宋体"/>
          <w:b w:val="0"/>
          <w:bCs w:val="0"/>
          <w:color w:val="auto"/>
          <w:sz w:val="21"/>
          <w:szCs w:val="21"/>
          <w:highlight w:val="none"/>
          <w:lang w:eastAsia="zh-CN"/>
        </w:rPr>
      </w:pPr>
      <w:bookmarkStart w:id="143" w:name="_Toc29526"/>
      <w:r>
        <w:rPr>
          <w:rFonts w:hint="eastAsia" w:ascii="新宋体" w:hAnsi="新宋体" w:eastAsia="新宋体" w:cs="新宋体"/>
          <w:b w:val="0"/>
          <w:bCs w:val="0"/>
          <w:color w:val="auto"/>
          <w:sz w:val="21"/>
          <w:szCs w:val="21"/>
          <w:highlight w:val="none"/>
        </w:rPr>
        <w:t>附表1 评标方法及标准表</w:t>
      </w:r>
      <w:r>
        <w:rPr>
          <w:rFonts w:hint="eastAsia" w:ascii="新宋体" w:hAnsi="新宋体" w:eastAsia="新宋体" w:cs="新宋体"/>
          <w:b w:val="0"/>
          <w:bCs w:val="0"/>
          <w:color w:val="auto"/>
          <w:sz w:val="21"/>
          <w:szCs w:val="21"/>
          <w:highlight w:val="none"/>
          <w:lang w:eastAsia="zh-CN"/>
        </w:rPr>
        <w:t>（本评分标准适用所有包号）</w:t>
      </w:r>
      <w:bookmarkEnd w:id="143"/>
    </w:p>
    <w:p w14:paraId="75025E03">
      <w:pPr>
        <w:pageBreakBefore w:val="0"/>
        <w:widowControl w:val="0"/>
        <w:kinsoku/>
        <w:overflowPunct/>
        <w:topLinePunct w:val="0"/>
        <w:bidi w:val="0"/>
        <w:spacing w:after="120"/>
        <w:ind w:left="0" w:leftChars="0" w:firstLine="0" w:firstLineChars="0"/>
        <w:jc w:val="center"/>
        <w:textAlignment w:val="auto"/>
        <w:outlineLvl w:val="9"/>
        <w:rPr>
          <w:rFonts w:hint="eastAsia" w:ascii="新宋体" w:hAnsi="新宋体" w:eastAsia="新宋体" w:cs="新宋体"/>
          <w:b/>
          <w:bCs/>
          <w:color w:val="auto"/>
          <w:kern w:val="2"/>
          <w:sz w:val="21"/>
          <w:szCs w:val="24"/>
          <w:highlight w:val="none"/>
          <w:lang w:val="en-US" w:eastAsia="zh-CN" w:bidi="ar-SA"/>
        </w:rPr>
      </w:pPr>
      <w:r>
        <w:rPr>
          <w:rFonts w:hint="eastAsia" w:ascii="新宋体" w:hAnsi="新宋体" w:eastAsia="新宋体" w:cs="新宋体"/>
          <w:b/>
          <w:bCs/>
          <w:color w:val="auto"/>
          <w:kern w:val="2"/>
          <w:sz w:val="21"/>
          <w:szCs w:val="24"/>
          <w:highlight w:val="none"/>
          <w:lang w:val="en-US" w:eastAsia="zh-CN" w:bidi="ar-SA"/>
        </w:rPr>
        <w:t>本采购项目的权值见下表</w:t>
      </w:r>
    </w:p>
    <w:tbl>
      <w:tblPr>
        <w:tblStyle w:val="26"/>
        <w:tblW w:w="4998"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04"/>
        <w:gridCol w:w="5227"/>
        <w:gridCol w:w="3819"/>
      </w:tblGrid>
      <w:tr w14:paraId="3BB0C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408" w:type="pct"/>
            <w:noWrap w:val="0"/>
            <w:vAlign w:val="center"/>
          </w:tcPr>
          <w:p w14:paraId="3925EAF0">
            <w:pPr>
              <w:keepNext w:val="0"/>
              <w:keepLines w:val="0"/>
              <w:pageBreakBefore w:val="0"/>
              <w:suppressLineNumbers w:val="0"/>
              <w:kinsoku/>
              <w:overflowPunct/>
              <w:topLinePunct w:val="0"/>
              <w:bidi w:val="0"/>
              <w:adjustRightInd w:val="0"/>
              <w:snapToGrid w:val="0"/>
              <w:spacing w:before="0" w:beforeAutospacing="0" w:after="0" w:afterAutospacing="0" w:line="240" w:lineRule="exact"/>
              <w:ind w:left="0" w:right="0"/>
              <w:textAlignment w:val="auto"/>
              <w:outlineLvl w:val="9"/>
              <w:rPr>
                <w:rFonts w:hint="eastAsia" w:ascii="新宋体" w:hAnsi="新宋体" w:eastAsia="新宋体" w:cs="新宋体"/>
                <w:b/>
                <w:bCs/>
                <w:color w:val="auto"/>
                <w:kern w:val="0"/>
                <w:sz w:val="21"/>
                <w:szCs w:val="21"/>
                <w:highlight w:val="none"/>
                <w:lang w:val="ru-RU" w:eastAsia="ru-RU"/>
              </w:rPr>
            </w:pPr>
            <w:r>
              <w:rPr>
                <w:rFonts w:hint="eastAsia" w:ascii="新宋体" w:hAnsi="新宋体" w:eastAsia="新宋体" w:cs="新宋体"/>
                <w:b/>
                <w:bCs/>
                <w:color w:val="auto"/>
                <w:kern w:val="0"/>
                <w:sz w:val="21"/>
                <w:szCs w:val="21"/>
                <w:highlight w:val="none"/>
                <w:lang w:val="ru-RU" w:eastAsia="ru-RU"/>
              </w:rPr>
              <w:t>序号</w:t>
            </w:r>
          </w:p>
        </w:tc>
        <w:tc>
          <w:tcPr>
            <w:tcW w:w="2653" w:type="pct"/>
            <w:noWrap w:val="0"/>
            <w:vAlign w:val="center"/>
          </w:tcPr>
          <w:p w14:paraId="59B53420">
            <w:pPr>
              <w:keepNext w:val="0"/>
              <w:keepLines w:val="0"/>
              <w:pageBreakBefore w:val="0"/>
              <w:suppressLineNumbers w:val="0"/>
              <w:kinsoku/>
              <w:overflowPunct/>
              <w:topLinePunct w:val="0"/>
              <w:bidi w:val="0"/>
              <w:adjustRightInd w:val="0"/>
              <w:snapToGrid w:val="0"/>
              <w:spacing w:before="0" w:beforeAutospacing="0" w:after="0" w:afterAutospacing="0" w:line="240" w:lineRule="exact"/>
              <w:ind w:left="0" w:right="0"/>
              <w:jc w:val="center"/>
              <w:textAlignment w:val="auto"/>
              <w:outlineLvl w:val="9"/>
              <w:rPr>
                <w:rFonts w:hint="eastAsia" w:ascii="新宋体" w:hAnsi="新宋体" w:eastAsia="新宋体" w:cs="新宋体"/>
                <w:b/>
                <w:bCs/>
                <w:color w:val="auto"/>
                <w:kern w:val="0"/>
                <w:sz w:val="21"/>
                <w:szCs w:val="21"/>
                <w:highlight w:val="none"/>
                <w:lang w:val="ru-RU" w:eastAsia="ru-RU"/>
              </w:rPr>
            </w:pPr>
            <w:r>
              <w:rPr>
                <w:rFonts w:hint="eastAsia" w:ascii="新宋体" w:hAnsi="新宋体" w:eastAsia="新宋体" w:cs="新宋体"/>
                <w:b/>
                <w:bCs/>
                <w:color w:val="auto"/>
                <w:kern w:val="0"/>
                <w:sz w:val="21"/>
                <w:szCs w:val="21"/>
                <w:highlight w:val="none"/>
                <w:lang w:val="ru-RU" w:eastAsia="ru-RU"/>
              </w:rPr>
              <w:t>项     目</w:t>
            </w:r>
          </w:p>
        </w:tc>
        <w:tc>
          <w:tcPr>
            <w:tcW w:w="1938" w:type="pct"/>
            <w:noWrap w:val="0"/>
            <w:vAlign w:val="center"/>
          </w:tcPr>
          <w:p w14:paraId="19D2A374">
            <w:pPr>
              <w:keepNext w:val="0"/>
              <w:keepLines w:val="0"/>
              <w:pageBreakBefore w:val="0"/>
              <w:suppressLineNumbers w:val="0"/>
              <w:kinsoku/>
              <w:overflowPunct/>
              <w:topLinePunct w:val="0"/>
              <w:bidi w:val="0"/>
              <w:adjustRightInd w:val="0"/>
              <w:snapToGrid w:val="0"/>
              <w:spacing w:before="0" w:beforeAutospacing="0" w:after="0" w:afterAutospacing="0" w:line="240" w:lineRule="exact"/>
              <w:ind w:left="0" w:right="0"/>
              <w:jc w:val="center"/>
              <w:textAlignment w:val="auto"/>
              <w:outlineLvl w:val="9"/>
              <w:rPr>
                <w:rFonts w:hint="eastAsia" w:ascii="新宋体" w:hAnsi="新宋体" w:eastAsia="新宋体" w:cs="新宋体"/>
                <w:b/>
                <w:bCs/>
                <w:color w:val="auto"/>
                <w:kern w:val="0"/>
                <w:sz w:val="21"/>
                <w:szCs w:val="21"/>
                <w:highlight w:val="none"/>
                <w:lang w:val="ru-RU" w:eastAsia="ru-RU"/>
              </w:rPr>
            </w:pPr>
            <w:r>
              <w:rPr>
                <w:rFonts w:hint="eastAsia" w:ascii="新宋体" w:hAnsi="新宋体" w:eastAsia="新宋体" w:cs="新宋体"/>
                <w:b/>
                <w:bCs/>
                <w:color w:val="auto"/>
                <w:kern w:val="0"/>
                <w:sz w:val="21"/>
                <w:szCs w:val="21"/>
                <w:highlight w:val="none"/>
                <w:lang w:val="ru-RU" w:eastAsia="ru-RU"/>
              </w:rPr>
              <w:t>权值的取值</w:t>
            </w:r>
          </w:p>
        </w:tc>
      </w:tr>
      <w:tr w14:paraId="3F38EF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408" w:type="pct"/>
            <w:noWrap w:val="0"/>
            <w:vAlign w:val="center"/>
          </w:tcPr>
          <w:p w14:paraId="756DA611">
            <w:pPr>
              <w:keepNext w:val="0"/>
              <w:keepLines w:val="0"/>
              <w:pageBreakBefore w:val="0"/>
              <w:suppressLineNumbers w:val="0"/>
              <w:kinsoku/>
              <w:overflowPunct/>
              <w:topLinePunct w:val="0"/>
              <w:bidi w:val="0"/>
              <w:adjustRightInd w:val="0"/>
              <w:snapToGrid w:val="0"/>
              <w:spacing w:before="0" w:beforeAutospacing="0" w:after="0" w:afterAutospacing="0" w:line="240" w:lineRule="exact"/>
              <w:ind w:left="0" w:right="0"/>
              <w:jc w:val="center"/>
              <w:textAlignment w:val="auto"/>
              <w:outlineLvl w:val="9"/>
              <w:rPr>
                <w:rFonts w:hint="eastAsia" w:ascii="新宋体" w:hAnsi="新宋体" w:eastAsia="新宋体" w:cs="新宋体"/>
                <w:color w:val="auto"/>
                <w:kern w:val="0"/>
                <w:sz w:val="21"/>
                <w:szCs w:val="21"/>
                <w:highlight w:val="none"/>
                <w:lang w:val="ru-RU" w:eastAsia="ru-RU"/>
              </w:rPr>
            </w:pPr>
            <w:r>
              <w:rPr>
                <w:rFonts w:hint="eastAsia" w:ascii="新宋体" w:hAnsi="新宋体" w:eastAsia="新宋体" w:cs="新宋体"/>
                <w:color w:val="auto"/>
                <w:kern w:val="0"/>
                <w:sz w:val="21"/>
                <w:szCs w:val="21"/>
                <w:highlight w:val="none"/>
                <w:lang w:val="ru-RU" w:eastAsia="ru-RU"/>
              </w:rPr>
              <w:t>1</w:t>
            </w:r>
          </w:p>
        </w:tc>
        <w:tc>
          <w:tcPr>
            <w:tcW w:w="2653" w:type="pct"/>
            <w:noWrap w:val="0"/>
            <w:vAlign w:val="center"/>
          </w:tcPr>
          <w:p w14:paraId="091951BD">
            <w:pPr>
              <w:keepNext w:val="0"/>
              <w:keepLines w:val="0"/>
              <w:pageBreakBefore w:val="0"/>
              <w:suppressLineNumbers w:val="0"/>
              <w:kinsoku/>
              <w:overflowPunct/>
              <w:topLinePunct w:val="0"/>
              <w:bidi w:val="0"/>
              <w:adjustRightInd w:val="0"/>
              <w:snapToGrid w:val="0"/>
              <w:spacing w:before="0" w:beforeAutospacing="0" w:after="0" w:afterAutospacing="0" w:line="240" w:lineRule="exact"/>
              <w:ind w:left="0" w:right="0"/>
              <w:jc w:val="center"/>
              <w:textAlignment w:val="auto"/>
              <w:outlineLvl w:val="9"/>
              <w:rPr>
                <w:rFonts w:hint="eastAsia" w:ascii="新宋体" w:hAnsi="新宋体" w:eastAsia="新宋体" w:cs="新宋体"/>
                <w:color w:val="auto"/>
                <w:kern w:val="0"/>
                <w:sz w:val="21"/>
                <w:szCs w:val="21"/>
                <w:highlight w:val="none"/>
                <w:lang w:val="ru-RU"/>
              </w:rPr>
            </w:pPr>
            <w:r>
              <w:rPr>
                <w:rFonts w:hint="eastAsia" w:ascii="新宋体" w:hAnsi="新宋体" w:eastAsia="新宋体" w:cs="新宋体"/>
                <w:color w:val="auto"/>
                <w:kern w:val="0"/>
                <w:sz w:val="21"/>
                <w:szCs w:val="21"/>
                <w:highlight w:val="none"/>
                <w:lang w:val="ru-RU" w:eastAsia="ru-RU"/>
              </w:rPr>
              <w:t>报价</w:t>
            </w:r>
            <w:r>
              <w:rPr>
                <w:rFonts w:hint="eastAsia" w:ascii="新宋体" w:hAnsi="新宋体" w:eastAsia="新宋体" w:cs="新宋体"/>
                <w:color w:val="auto"/>
                <w:kern w:val="0"/>
                <w:sz w:val="21"/>
                <w:szCs w:val="21"/>
                <w:highlight w:val="none"/>
                <w:lang w:val="ru-RU"/>
              </w:rPr>
              <w:t>（A1）</w:t>
            </w:r>
          </w:p>
        </w:tc>
        <w:tc>
          <w:tcPr>
            <w:tcW w:w="1938" w:type="pct"/>
            <w:noWrap w:val="0"/>
            <w:vAlign w:val="center"/>
          </w:tcPr>
          <w:p w14:paraId="4DE4B878">
            <w:pPr>
              <w:keepNext w:val="0"/>
              <w:keepLines w:val="0"/>
              <w:pageBreakBefore w:val="0"/>
              <w:suppressLineNumbers w:val="0"/>
              <w:kinsoku/>
              <w:overflowPunct/>
              <w:topLinePunct w:val="0"/>
              <w:bidi w:val="0"/>
              <w:adjustRightInd w:val="0"/>
              <w:snapToGrid w:val="0"/>
              <w:spacing w:before="0" w:beforeAutospacing="0" w:after="0" w:afterAutospacing="0" w:line="240" w:lineRule="exact"/>
              <w:ind w:left="0" w:right="0"/>
              <w:jc w:val="center"/>
              <w:textAlignment w:val="auto"/>
              <w:outlineLvl w:val="9"/>
              <w:rPr>
                <w:rFonts w:hint="default" w:ascii="新宋体" w:hAnsi="新宋体" w:eastAsia="新宋体" w:cs="新宋体"/>
                <w:color w:val="auto"/>
                <w:kern w:val="0"/>
                <w:sz w:val="21"/>
                <w:szCs w:val="21"/>
                <w:highlight w:val="none"/>
                <w:lang w:val="en-US" w:eastAsia="zh-CN"/>
              </w:rPr>
            </w:pPr>
            <w:r>
              <w:rPr>
                <w:rFonts w:hint="eastAsia" w:ascii="新宋体" w:hAnsi="新宋体" w:eastAsia="新宋体" w:cs="新宋体"/>
                <w:color w:val="auto"/>
                <w:kern w:val="0"/>
                <w:sz w:val="21"/>
                <w:szCs w:val="21"/>
                <w:highlight w:val="none"/>
                <w:lang w:val="en-US" w:eastAsia="zh-CN"/>
              </w:rPr>
              <w:t>0.10</w:t>
            </w:r>
          </w:p>
        </w:tc>
      </w:tr>
      <w:tr w14:paraId="1D892D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408" w:type="pct"/>
            <w:noWrap w:val="0"/>
            <w:vAlign w:val="center"/>
          </w:tcPr>
          <w:p w14:paraId="6DD20225">
            <w:pPr>
              <w:keepNext w:val="0"/>
              <w:keepLines w:val="0"/>
              <w:pageBreakBefore w:val="0"/>
              <w:suppressLineNumbers w:val="0"/>
              <w:kinsoku/>
              <w:overflowPunct/>
              <w:topLinePunct w:val="0"/>
              <w:bidi w:val="0"/>
              <w:adjustRightInd w:val="0"/>
              <w:snapToGrid w:val="0"/>
              <w:spacing w:before="0" w:beforeAutospacing="0" w:after="0" w:afterAutospacing="0" w:line="240" w:lineRule="exact"/>
              <w:ind w:left="0" w:right="0"/>
              <w:jc w:val="center"/>
              <w:textAlignment w:val="auto"/>
              <w:outlineLvl w:val="9"/>
              <w:rPr>
                <w:rFonts w:hint="eastAsia" w:ascii="新宋体" w:hAnsi="新宋体" w:eastAsia="新宋体" w:cs="新宋体"/>
                <w:color w:val="auto"/>
                <w:kern w:val="0"/>
                <w:sz w:val="21"/>
                <w:szCs w:val="21"/>
                <w:highlight w:val="none"/>
                <w:lang w:val="ru-RU" w:eastAsia="ru-RU"/>
              </w:rPr>
            </w:pPr>
            <w:r>
              <w:rPr>
                <w:rFonts w:hint="eastAsia" w:ascii="新宋体" w:hAnsi="新宋体" w:eastAsia="新宋体" w:cs="新宋体"/>
                <w:color w:val="auto"/>
                <w:kern w:val="0"/>
                <w:sz w:val="21"/>
                <w:szCs w:val="21"/>
                <w:highlight w:val="none"/>
                <w:lang w:val="ru-RU" w:eastAsia="ru-RU"/>
              </w:rPr>
              <w:t>2</w:t>
            </w:r>
          </w:p>
        </w:tc>
        <w:tc>
          <w:tcPr>
            <w:tcW w:w="2653" w:type="pct"/>
            <w:noWrap w:val="0"/>
            <w:vAlign w:val="center"/>
          </w:tcPr>
          <w:p w14:paraId="70484016">
            <w:pPr>
              <w:keepNext w:val="0"/>
              <w:keepLines w:val="0"/>
              <w:pageBreakBefore w:val="0"/>
              <w:suppressLineNumbers w:val="0"/>
              <w:kinsoku/>
              <w:overflowPunct/>
              <w:topLinePunct w:val="0"/>
              <w:bidi w:val="0"/>
              <w:adjustRightInd w:val="0"/>
              <w:snapToGrid w:val="0"/>
              <w:spacing w:before="0" w:beforeAutospacing="0" w:after="0" w:afterAutospacing="0" w:line="240" w:lineRule="exact"/>
              <w:ind w:left="0" w:right="0"/>
              <w:jc w:val="center"/>
              <w:textAlignment w:val="auto"/>
              <w:outlineLvl w:val="9"/>
              <w:rPr>
                <w:rFonts w:hint="eastAsia" w:ascii="新宋体" w:hAnsi="新宋体" w:eastAsia="新宋体" w:cs="新宋体"/>
                <w:color w:val="auto"/>
                <w:kern w:val="0"/>
                <w:sz w:val="21"/>
                <w:szCs w:val="21"/>
                <w:highlight w:val="none"/>
                <w:lang w:val="ru-RU" w:eastAsia="ru-RU"/>
              </w:rPr>
            </w:pPr>
            <w:r>
              <w:rPr>
                <w:rFonts w:hint="eastAsia" w:ascii="新宋体" w:hAnsi="新宋体" w:eastAsia="新宋体" w:cs="新宋体"/>
                <w:color w:val="auto"/>
                <w:kern w:val="0"/>
                <w:sz w:val="21"/>
                <w:szCs w:val="21"/>
                <w:highlight w:val="none"/>
                <w:lang w:val="ru-RU" w:eastAsia="ru-RU"/>
              </w:rPr>
              <w:t>技术</w:t>
            </w:r>
            <w:r>
              <w:rPr>
                <w:rFonts w:hint="eastAsia" w:ascii="新宋体" w:hAnsi="新宋体" w:eastAsia="新宋体" w:cs="新宋体"/>
                <w:color w:val="auto"/>
                <w:kern w:val="0"/>
                <w:sz w:val="21"/>
                <w:szCs w:val="21"/>
                <w:highlight w:val="none"/>
                <w:lang w:val="ru-RU"/>
              </w:rPr>
              <w:t>（A2）</w:t>
            </w:r>
          </w:p>
        </w:tc>
        <w:tc>
          <w:tcPr>
            <w:tcW w:w="1938" w:type="pct"/>
            <w:noWrap w:val="0"/>
            <w:vAlign w:val="center"/>
          </w:tcPr>
          <w:p w14:paraId="08657DDE">
            <w:pPr>
              <w:keepNext w:val="0"/>
              <w:keepLines w:val="0"/>
              <w:pageBreakBefore w:val="0"/>
              <w:suppressLineNumbers w:val="0"/>
              <w:kinsoku/>
              <w:overflowPunct/>
              <w:topLinePunct w:val="0"/>
              <w:bidi w:val="0"/>
              <w:adjustRightInd w:val="0"/>
              <w:snapToGrid w:val="0"/>
              <w:spacing w:before="0" w:beforeAutospacing="0" w:after="0" w:afterAutospacing="0" w:line="240" w:lineRule="exact"/>
              <w:ind w:left="0" w:right="0"/>
              <w:jc w:val="center"/>
              <w:textAlignment w:val="auto"/>
              <w:outlineLvl w:val="9"/>
              <w:rPr>
                <w:rFonts w:hint="default" w:ascii="新宋体" w:hAnsi="新宋体" w:eastAsia="新宋体" w:cs="新宋体"/>
                <w:color w:val="auto"/>
                <w:kern w:val="0"/>
                <w:sz w:val="21"/>
                <w:szCs w:val="21"/>
                <w:highlight w:val="none"/>
                <w:lang w:val="en-US" w:eastAsia="zh-CN"/>
              </w:rPr>
            </w:pPr>
            <w:r>
              <w:rPr>
                <w:rFonts w:hint="eastAsia" w:ascii="新宋体" w:hAnsi="新宋体" w:eastAsia="新宋体" w:cs="新宋体"/>
                <w:color w:val="auto"/>
                <w:kern w:val="0"/>
                <w:sz w:val="21"/>
                <w:szCs w:val="21"/>
                <w:highlight w:val="none"/>
                <w:lang w:val="en-US" w:eastAsia="zh-CN"/>
              </w:rPr>
              <w:t>0.50</w:t>
            </w:r>
          </w:p>
        </w:tc>
      </w:tr>
      <w:tr w14:paraId="362893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408" w:type="pct"/>
            <w:noWrap w:val="0"/>
            <w:vAlign w:val="center"/>
          </w:tcPr>
          <w:p w14:paraId="3FD521E9">
            <w:pPr>
              <w:keepNext w:val="0"/>
              <w:keepLines w:val="0"/>
              <w:pageBreakBefore w:val="0"/>
              <w:suppressLineNumbers w:val="0"/>
              <w:kinsoku/>
              <w:overflowPunct/>
              <w:topLinePunct w:val="0"/>
              <w:bidi w:val="0"/>
              <w:adjustRightInd w:val="0"/>
              <w:snapToGrid w:val="0"/>
              <w:spacing w:before="0" w:beforeAutospacing="0" w:after="0" w:afterAutospacing="0" w:line="240" w:lineRule="exact"/>
              <w:ind w:left="0" w:right="0"/>
              <w:jc w:val="center"/>
              <w:textAlignment w:val="auto"/>
              <w:outlineLvl w:val="9"/>
              <w:rPr>
                <w:rFonts w:hint="eastAsia" w:ascii="新宋体" w:hAnsi="新宋体" w:eastAsia="新宋体" w:cs="新宋体"/>
                <w:color w:val="auto"/>
                <w:kern w:val="0"/>
                <w:sz w:val="21"/>
                <w:szCs w:val="21"/>
                <w:highlight w:val="none"/>
                <w:lang w:val="ru-RU" w:eastAsia="ru-RU"/>
              </w:rPr>
            </w:pPr>
            <w:r>
              <w:rPr>
                <w:rFonts w:hint="eastAsia" w:ascii="新宋体" w:hAnsi="新宋体" w:eastAsia="新宋体" w:cs="新宋体"/>
                <w:color w:val="auto"/>
                <w:kern w:val="0"/>
                <w:sz w:val="21"/>
                <w:szCs w:val="21"/>
                <w:highlight w:val="none"/>
                <w:lang w:val="ru-RU" w:eastAsia="ru-RU"/>
              </w:rPr>
              <w:t>3</w:t>
            </w:r>
          </w:p>
        </w:tc>
        <w:tc>
          <w:tcPr>
            <w:tcW w:w="2653" w:type="pct"/>
            <w:noWrap w:val="0"/>
            <w:vAlign w:val="center"/>
          </w:tcPr>
          <w:p w14:paraId="1401942C">
            <w:pPr>
              <w:keepNext w:val="0"/>
              <w:keepLines w:val="0"/>
              <w:pageBreakBefore w:val="0"/>
              <w:suppressLineNumbers w:val="0"/>
              <w:kinsoku/>
              <w:overflowPunct/>
              <w:topLinePunct w:val="0"/>
              <w:bidi w:val="0"/>
              <w:adjustRightInd w:val="0"/>
              <w:snapToGrid w:val="0"/>
              <w:spacing w:before="0" w:beforeAutospacing="0" w:after="0" w:afterAutospacing="0" w:line="240" w:lineRule="exact"/>
              <w:ind w:left="0" w:right="0"/>
              <w:jc w:val="center"/>
              <w:textAlignment w:val="auto"/>
              <w:outlineLvl w:val="9"/>
              <w:rPr>
                <w:rFonts w:hint="eastAsia" w:ascii="新宋体" w:hAnsi="新宋体" w:eastAsia="新宋体" w:cs="新宋体"/>
                <w:color w:val="auto"/>
                <w:kern w:val="0"/>
                <w:sz w:val="21"/>
                <w:szCs w:val="21"/>
                <w:highlight w:val="none"/>
                <w:lang w:val="ru-RU"/>
              </w:rPr>
            </w:pPr>
            <w:r>
              <w:rPr>
                <w:rFonts w:hint="eastAsia" w:ascii="新宋体" w:hAnsi="新宋体" w:eastAsia="新宋体" w:cs="新宋体"/>
                <w:color w:val="auto"/>
                <w:kern w:val="0"/>
                <w:sz w:val="21"/>
                <w:szCs w:val="21"/>
                <w:highlight w:val="none"/>
                <w:lang w:val="ru-RU"/>
              </w:rPr>
              <w:t>商务（A3）</w:t>
            </w:r>
          </w:p>
        </w:tc>
        <w:tc>
          <w:tcPr>
            <w:tcW w:w="1938" w:type="pct"/>
            <w:noWrap w:val="0"/>
            <w:vAlign w:val="center"/>
          </w:tcPr>
          <w:p w14:paraId="60AD572D">
            <w:pPr>
              <w:keepNext w:val="0"/>
              <w:keepLines w:val="0"/>
              <w:pageBreakBefore w:val="0"/>
              <w:suppressLineNumbers w:val="0"/>
              <w:kinsoku/>
              <w:overflowPunct/>
              <w:topLinePunct w:val="0"/>
              <w:bidi w:val="0"/>
              <w:adjustRightInd w:val="0"/>
              <w:snapToGrid w:val="0"/>
              <w:spacing w:before="0" w:beforeAutospacing="0" w:after="0" w:afterAutospacing="0" w:line="240" w:lineRule="exact"/>
              <w:ind w:left="0" w:right="0"/>
              <w:jc w:val="center"/>
              <w:textAlignment w:val="auto"/>
              <w:outlineLvl w:val="9"/>
              <w:rPr>
                <w:rFonts w:hint="default" w:ascii="新宋体" w:hAnsi="新宋体" w:eastAsia="新宋体" w:cs="新宋体"/>
                <w:color w:val="auto"/>
                <w:kern w:val="0"/>
                <w:sz w:val="21"/>
                <w:szCs w:val="21"/>
                <w:highlight w:val="none"/>
                <w:lang w:val="en-US" w:eastAsia="zh-CN"/>
              </w:rPr>
            </w:pPr>
            <w:r>
              <w:rPr>
                <w:rFonts w:hint="eastAsia" w:ascii="新宋体" w:hAnsi="新宋体" w:eastAsia="新宋体" w:cs="新宋体"/>
                <w:color w:val="auto"/>
                <w:kern w:val="0"/>
                <w:sz w:val="21"/>
                <w:szCs w:val="21"/>
                <w:highlight w:val="none"/>
                <w:lang w:val="en-US" w:eastAsia="zh-CN"/>
              </w:rPr>
              <w:t>0.40</w:t>
            </w:r>
          </w:p>
        </w:tc>
      </w:tr>
      <w:tr w14:paraId="4BD516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3061" w:type="pct"/>
            <w:gridSpan w:val="2"/>
            <w:noWrap w:val="0"/>
            <w:vAlign w:val="center"/>
          </w:tcPr>
          <w:p w14:paraId="60893138">
            <w:pPr>
              <w:keepNext w:val="0"/>
              <w:keepLines w:val="0"/>
              <w:pageBreakBefore w:val="0"/>
              <w:suppressLineNumbers w:val="0"/>
              <w:kinsoku/>
              <w:overflowPunct/>
              <w:topLinePunct w:val="0"/>
              <w:bidi w:val="0"/>
              <w:adjustRightInd w:val="0"/>
              <w:snapToGrid w:val="0"/>
              <w:spacing w:before="0" w:beforeAutospacing="0" w:after="0" w:afterAutospacing="0" w:line="240" w:lineRule="exact"/>
              <w:ind w:left="0" w:right="0"/>
              <w:jc w:val="center"/>
              <w:textAlignment w:val="auto"/>
              <w:outlineLvl w:val="9"/>
              <w:rPr>
                <w:rFonts w:hint="eastAsia" w:ascii="新宋体" w:hAnsi="新宋体" w:eastAsia="新宋体" w:cs="新宋体"/>
                <w:color w:val="auto"/>
                <w:kern w:val="0"/>
                <w:sz w:val="21"/>
                <w:szCs w:val="21"/>
                <w:highlight w:val="none"/>
                <w:lang w:val="ru-RU" w:eastAsia="ru-RU"/>
              </w:rPr>
            </w:pPr>
            <w:r>
              <w:rPr>
                <w:rFonts w:hint="eastAsia" w:ascii="新宋体" w:hAnsi="新宋体" w:eastAsia="新宋体" w:cs="新宋体"/>
                <w:color w:val="auto"/>
                <w:kern w:val="0"/>
                <w:sz w:val="21"/>
                <w:szCs w:val="21"/>
                <w:highlight w:val="none"/>
              </w:rPr>
              <w:t xml:space="preserve">       </w:t>
            </w:r>
            <w:r>
              <w:rPr>
                <w:rFonts w:hint="eastAsia" w:ascii="新宋体" w:hAnsi="新宋体" w:eastAsia="新宋体" w:cs="新宋体"/>
                <w:color w:val="auto"/>
                <w:kern w:val="0"/>
                <w:sz w:val="21"/>
                <w:szCs w:val="21"/>
                <w:highlight w:val="none"/>
                <w:lang w:val="ru-RU"/>
              </w:rPr>
              <w:t>合计</w:t>
            </w:r>
          </w:p>
        </w:tc>
        <w:tc>
          <w:tcPr>
            <w:tcW w:w="1938" w:type="pct"/>
            <w:noWrap w:val="0"/>
            <w:vAlign w:val="center"/>
          </w:tcPr>
          <w:p w14:paraId="57097679">
            <w:pPr>
              <w:keepNext w:val="0"/>
              <w:keepLines w:val="0"/>
              <w:pageBreakBefore w:val="0"/>
              <w:suppressLineNumbers w:val="0"/>
              <w:kinsoku/>
              <w:overflowPunct/>
              <w:topLinePunct w:val="0"/>
              <w:bidi w:val="0"/>
              <w:adjustRightInd w:val="0"/>
              <w:snapToGrid w:val="0"/>
              <w:spacing w:before="0" w:beforeAutospacing="0" w:after="0" w:afterAutospacing="0" w:line="240" w:lineRule="exact"/>
              <w:ind w:left="0" w:right="0"/>
              <w:jc w:val="center"/>
              <w:textAlignment w:val="auto"/>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1.00</w:t>
            </w:r>
          </w:p>
        </w:tc>
      </w:tr>
    </w:tbl>
    <w:p w14:paraId="16006EEF">
      <w:pPr>
        <w:pageBreakBefore w:val="0"/>
        <w:kinsoku/>
        <w:overflowPunct/>
        <w:topLinePunct w:val="0"/>
        <w:bidi w:val="0"/>
        <w:adjustRightInd w:val="0"/>
        <w:snapToGrid w:val="0"/>
        <w:spacing w:before="156" w:beforeLines="50" w:line="360" w:lineRule="auto"/>
        <w:jc w:val="center"/>
        <w:textAlignment w:val="auto"/>
        <w:outlineLvl w:val="9"/>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附表1.1投标报价评审标准表</w:t>
      </w:r>
    </w:p>
    <w:tbl>
      <w:tblPr>
        <w:tblStyle w:val="26"/>
        <w:tblW w:w="4997"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91"/>
        <w:gridCol w:w="2240"/>
        <w:gridCol w:w="6917"/>
      </w:tblGrid>
      <w:tr w14:paraId="17036B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351" w:type="pct"/>
            <w:tcBorders>
              <w:right w:val="single" w:color="auto" w:sz="4" w:space="0"/>
            </w:tcBorders>
            <w:noWrap w:val="0"/>
            <w:vAlign w:val="center"/>
          </w:tcPr>
          <w:p w14:paraId="0C8F6CDE">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b/>
                <w:color w:val="auto"/>
                <w:sz w:val="18"/>
                <w:szCs w:val="18"/>
                <w:highlight w:val="none"/>
              </w:rPr>
            </w:pPr>
            <w:r>
              <w:rPr>
                <w:rFonts w:hint="eastAsia" w:ascii="新宋体" w:hAnsi="新宋体" w:eastAsia="新宋体" w:cs="新宋体"/>
                <w:b/>
                <w:color w:val="auto"/>
                <w:sz w:val="18"/>
                <w:szCs w:val="18"/>
                <w:highlight w:val="none"/>
              </w:rPr>
              <w:t>序号</w:t>
            </w:r>
          </w:p>
        </w:tc>
        <w:tc>
          <w:tcPr>
            <w:tcW w:w="1137" w:type="pct"/>
            <w:tcBorders>
              <w:left w:val="single" w:color="auto" w:sz="4" w:space="0"/>
              <w:right w:val="single" w:color="auto" w:sz="4" w:space="0"/>
            </w:tcBorders>
            <w:noWrap w:val="0"/>
            <w:vAlign w:val="center"/>
          </w:tcPr>
          <w:p w14:paraId="55DE9C02">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b/>
                <w:color w:val="auto"/>
                <w:sz w:val="18"/>
                <w:szCs w:val="18"/>
                <w:highlight w:val="none"/>
              </w:rPr>
            </w:pPr>
            <w:r>
              <w:rPr>
                <w:rFonts w:hint="eastAsia" w:ascii="新宋体" w:hAnsi="新宋体" w:eastAsia="新宋体" w:cs="新宋体"/>
                <w:b/>
                <w:color w:val="auto"/>
                <w:sz w:val="18"/>
                <w:szCs w:val="18"/>
                <w:highlight w:val="none"/>
              </w:rPr>
              <w:t>评标因素（分值）</w:t>
            </w:r>
          </w:p>
        </w:tc>
        <w:tc>
          <w:tcPr>
            <w:tcW w:w="3511" w:type="pct"/>
            <w:tcBorders>
              <w:left w:val="single" w:color="auto" w:sz="4" w:space="0"/>
            </w:tcBorders>
            <w:noWrap w:val="0"/>
            <w:vAlign w:val="center"/>
          </w:tcPr>
          <w:p w14:paraId="08A0DBC2">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b/>
                <w:color w:val="auto"/>
                <w:sz w:val="18"/>
                <w:szCs w:val="18"/>
                <w:highlight w:val="none"/>
              </w:rPr>
            </w:pPr>
            <w:r>
              <w:rPr>
                <w:rFonts w:hint="eastAsia" w:ascii="新宋体" w:hAnsi="新宋体" w:eastAsia="新宋体" w:cs="新宋体"/>
                <w:b/>
                <w:color w:val="auto"/>
                <w:sz w:val="18"/>
                <w:szCs w:val="18"/>
                <w:highlight w:val="none"/>
              </w:rPr>
              <w:t>评标标准</w:t>
            </w:r>
          </w:p>
        </w:tc>
      </w:tr>
      <w:tr w14:paraId="57C7A2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51" w:type="pct"/>
            <w:vMerge w:val="restart"/>
            <w:tcBorders>
              <w:right w:val="single" w:color="auto" w:sz="4" w:space="0"/>
            </w:tcBorders>
            <w:noWrap w:val="0"/>
            <w:vAlign w:val="center"/>
          </w:tcPr>
          <w:p w14:paraId="14A9783A">
            <w:pPr>
              <w:keepNext w:val="0"/>
              <w:keepLines w:val="0"/>
              <w:pageBreakBefore w:val="0"/>
              <w:suppressLineNumbers w:val="0"/>
              <w:kinsoku/>
              <w:overflowPunct/>
              <w:topLinePunct w:val="0"/>
              <w:bidi w:val="0"/>
              <w:adjustRightInd w:val="0"/>
              <w:snapToGrid w:val="0"/>
              <w:spacing w:before="156" w:beforeLines="50" w:beforeAutospacing="0" w:after="0" w:afterAutospacing="0"/>
              <w:ind w:left="0" w:right="0"/>
              <w:jc w:val="center"/>
              <w:textAlignment w:val="auto"/>
              <w:outlineLvl w:val="9"/>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1</w:t>
            </w:r>
          </w:p>
        </w:tc>
        <w:tc>
          <w:tcPr>
            <w:tcW w:w="1137" w:type="pct"/>
            <w:vMerge w:val="restart"/>
            <w:tcBorders>
              <w:left w:val="single" w:color="auto" w:sz="4" w:space="0"/>
              <w:right w:val="single" w:color="auto" w:sz="4" w:space="0"/>
            </w:tcBorders>
            <w:noWrap w:val="0"/>
            <w:vAlign w:val="center"/>
          </w:tcPr>
          <w:p w14:paraId="21FE5E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价格评价项</w:t>
            </w:r>
          </w:p>
          <w:p w14:paraId="63520E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（F</w:t>
            </w:r>
            <w:r>
              <w:rPr>
                <w:rFonts w:hint="eastAsia" w:ascii="新宋体" w:hAnsi="新宋体" w:eastAsia="新宋体" w:cs="新宋体"/>
                <w:color w:val="auto"/>
                <w:sz w:val="18"/>
                <w:szCs w:val="18"/>
                <w:highlight w:val="none"/>
                <w:vertAlign w:val="subscript"/>
              </w:rPr>
              <w:t>1</w:t>
            </w:r>
            <w:r>
              <w:rPr>
                <w:rFonts w:hint="eastAsia" w:ascii="新宋体" w:hAnsi="新宋体" w:eastAsia="新宋体" w:cs="新宋体"/>
                <w:color w:val="auto"/>
                <w:sz w:val="18"/>
                <w:szCs w:val="18"/>
                <w:highlight w:val="none"/>
              </w:rPr>
              <w:t>=100分）</w:t>
            </w:r>
          </w:p>
        </w:tc>
        <w:tc>
          <w:tcPr>
            <w:tcW w:w="3511" w:type="pct"/>
            <w:tcBorders>
              <w:left w:val="single" w:color="auto" w:sz="4" w:space="0"/>
            </w:tcBorders>
            <w:noWrap w:val="0"/>
            <w:vAlign w:val="center"/>
          </w:tcPr>
          <w:p w14:paraId="51942737">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以经评委会一致认定满足招标文件要求且投标价格最低的投标报价为评标基准价，其价格得分计100分。其他</w:t>
            </w:r>
            <w:r>
              <w:rPr>
                <w:rFonts w:hint="eastAsia" w:ascii="新宋体" w:hAnsi="新宋体" w:eastAsia="新宋体" w:cs="新宋体"/>
                <w:color w:val="auto"/>
                <w:sz w:val="21"/>
                <w:szCs w:val="21"/>
                <w:highlight w:val="none"/>
                <w:lang w:eastAsia="zh-CN"/>
              </w:rPr>
              <w:t>投标人</w:t>
            </w:r>
            <w:r>
              <w:rPr>
                <w:rFonts w:hint="eastAsia" w:ascii="新宋体" w:hAnsi="新宋体" w:eastAsia="新宋体" w:cs="新宋体"/>
                <w:color w:val="auto"/>
                <w:sz w:val="21"/>
                <w:szCs w:val="21"/>
                <w:highlight w:val="none"/>
              </w:rPr>
              <w:t>的价格得分统一按公式计算：报价得分＝评标基准价÷投标报价×投标报价权重</w:t>
            </w:r>
          </w:p>
          <w:p w14:paraId="64687594">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1.若投标人的报价超过最高限价，则为无效报价，按无效投标处理。</w:t>
            </w:r>
          </w:p>
          <w:p w14:paraId="1D0B25CA">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2.出现下列情形之一的，磋商小组应当启动异常低价投标(响应)审查程序。</w:t>
            </w:r>
          </w:p>
          <w:p w14:paraId="78441292">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(1)投标报价低于全部通过符合性审查供应商投标报价平均值65%的，即投标报价＜全部通过符合性审查供应商投标报价平均值×65%:</w:t>
            </w:r>
          </w:p>
          <w:p w14:paraId="053A4E38">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(2)投标报价低于通过符合性审查的次低报价供应商投标报价65%的，即投标报价＜通过符合性审查的次低报价供应商投标报价×65%;</w:t>
            </w:r>
          </w:p>
          <w:p w14:paraId="7BE128EA">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(3)投标报价低于采购项目最高限价65%的，即投标报价＜采购项目最高限价×65%;</w:t>
            </w:r>
          </w:p>
          <w:p w14:paraId="6B9B09C5">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(4)磋商小组基于专业判断，认为供应商报价过低，有可能影响产品质量或者不能诚信履约的其他情形。</w:t>
            </w:r>
          </w:p>
          <w:p w14:paraId="3FDF1118">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注:采购人可以结合具体项目实际情况，提高上述第1项至第3项中启动异常低价投标(响应)审查的数值标准，但是最高不得超过65%。属于上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并提交相关书面说明及必要的证明材料的，在评审现场可不再重复提交。</w:t>
            </w:r>
          </w:p>
          <w:p w14:paraId="2417392C">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响应处理。</w:t>
            </w:r>
          </w:p>
        </w:tc>
      </w:tr>
      <w:tr w14:paraId="640B39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51" w:type="pct"/>
            <w:vMerge w:val="continue"/>
            <w:tcBorders>
              <w:right w:val="single" w:color="auto" w:sz="4" w:space="0"/>
            </w:tcBorders>
            <w:noWrap w:val="0"/>
            <w:vAlign w:val="center"/>
          </w:tcPr>
          <w:p w14:paraId="17F15B92">
            <w:pPr>
              <w:keepNext w:val="0"/>
              <w:keepLines w:val="0"/>
              <w:pageBreakBefore w:val="0"/>
              <w:suppressLineNumbers w:val="0"/>
              <w:kinsoku/>
              <w:overflowPunct/>
              <w:topLinePunct w:val="0"/>
              <w:bidi w:val="0"/>
              <w:adjustRightInd w:val="0"/>
              <w:snapToGrid w:val="0"/>
              <w:spacing w:before="156" w:beforeLines="50" w:beforeAutospacing="0" w:after="0" w:afterAutospacing="0"/>
              <w:ind w:left="0" w:right="0"/>
              <w:jc w:val="center"/>
              <w:textAlignment w:val="auto"/>
              <w:outlineLvl w:val="9"/>
              <w:rPr>
                <w:rFonts w:hint="eastAsia" w:ascii="新宋体" w:hAnsi="新宋体" w:eastAsia="新宋体" w:cs="新宋体"/>
                <w:color w:val="auto"/>
                <w:sz w:val="18"/>
                <w:szCs w:val="18"/>
                <w:highlight w:val="none"/>
              </w:rPr>
            </w:pPr>
          </w:p>
        </w:tc>
        <w:tc>
          <w:tcPr>
            <w:tcW w:w="1137" w:type="pct"/>
            <w:vMerge w:val="continue"/>
            <w:tcBorders>
              <w:left w:val="single" w:color="auto" w:sz="4" w:space="0"/>
              <w:right w:val="single" w:color="auto" w:sz="4" w:space="0"/>
            </w:tcBorders>
            <w:noWrap w:val="0"/>
            <w:vAlign w:val="center"/>
          </w:tcPr>
          <w:p w14:paraId="5A6BE9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eastAsia" w:ascii="新宋体" w:hAnsi="新宋体" w:eastAsia="新宋体" w:cs="新宋体"/>
                <w:color w:val="auto"/>
                <w:sz w:val="18"/>
                <w:szCs w:val="18"/>
                <w:highlight w:val="none"/>
              </w:rPr>
            </w:pPr>
          </w:p>
        </w:tc>
        <w:tc>
          <w:tcPr>
            <w:tcW w:w="3511" w:type="pct"/>
            <w:tcBorders>
              <w:left w:val="single" w:color="auto" w:sz="4" w:space="0"/>
            </w:tcBorders>
            <w:noWrap w:val="0"/>
            <w:vAlign w:val="center"/>
          </w:tcPr>
          <w:p w14:paraId="687AE2D8">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投标报价调整：</w:t>
            </w:r>
          </w:p>
          <w:p w14:paraId="6DE301FE">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1、小型和微型企业产品或服务的价格给予</w:t>
            </w:r>
            <w:r>
              <w:rPr>
                <w:rFonts w:hint="eastAsia" w:ascii="新宋体" w:hAnsi="新宋体" w:eastAsia="新宋体" w:cs="新宋体"/>
                <w:color w:val="auto"/>
                <w:sz w:val="21"/>
                <w:szCs w:val="21"/>
                <w:highlight w:val="none"/>
                <w:lang w:val="en-US" w:eastAsia="zh-CN"/>
              </w:rPr>
              <w:t>10</w:t>
            </w:r>
            <w:r>
              <w:rPr>
                <w:rFonts w:hint="eastAsia" w:ascii="新宋体" w:hAnsi="新宋体" w:eastAsia="新宋体" w:cs="新宋体"/>
                <w:color w:val="auto"/>
                <w:sz w:val="21"/>
                <w:szCs w:val="21"/>
                <w:highlight w:val="none"/>
              </w:rPr>
              <w:t>%的扣除，用扣除后的价格参与评审。</w:t>
            </w:r>
          </w:p>
          <w:p w14:paraId="10799AFA">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2、残疾人福利性企业和监狱企业视同小微企业享受同等价格扣除。</w:t>
            </w:r>
          </w:p>
          <w:p w14:paraId="1075D739">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注：1、所投产品或服务中某一部分（项）产品或服务为小微企业产品或服务时，只对该部分（项）小微企业产品或服务的价格按上述比例进行扣除，然后将扣除后的价格合计到报价总价中进行报价得分评审。</w:t>
            </w:r>
          </w:p>
          <w:p w14:paraId="4B04F736">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105" w:firstLineChars="5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2、同时属于小微企业、残疾人福利性企业及监狱企业的，评审时只有其中一项能享受价格评审优惠（由投标人在响应文件中自行选择填报，并提供相关证明材料）。</w:t>
            </w:r>
          </w:p>
        </w:tc>
      </w:tr>
      <w:tr w14:paraId="4A3E84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351" w:type="pct"/>
            <w:tcBorders>
              <w:right w:val="single" w:color="auto" w:sz="4" w:space="0"/>
            </w:tcBorders>
            <w:noWrap w:val="0"/>
            <w:vAlign w:val="center"/>
          </w:tcPr>
          <w:p w14:paraId="63AC5E86">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w:t>
            </w:r>
          </w:p>
        </w:tc>
        <w:tc>
          <w:tcPr>
            <w:tcW w:w="4648" w:type="pct"/>
            <w:gridSpan w:val="2"/>
            <w:tcBorders>
              <w:left w:val="single" w:color="auto" w:sz="4" w:space="0"/>
            </w:tcBorders>
            <w:noWrap w:val="0"/>
            <w:vAlign w:val="center"/>
          </w:tcPr>
          <w:p w14:paraId="21C2437B">
            <w:pPr>
              <w:keepNext w:val="0"/>
              <w:keepLines w:val="0"/>
              <w:pageBreakBefore w:val="0"/>
              <w:suppressLineNumbers w:val="0"/>
              <w:kinsoku/>
              <w:overflowPunct/>
              <w:topLinePunct w:val="0"/>
              <w:bidi w:val="0"/>
              <w:adjustRightInd w:val="0"/>
              <w:snapToGrid w:val="0"/>
              <w:spacing w:before="0" w:beforeAutospacing="0" w:after="0" w:afterAutospacing="0"/>
              <w:ind w:left="0" w:right="0"/>
              <w:textAlignment w:val="auto"/>
              <w:outlineLvl w:val="9"/>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F</w:t>
            </w:r>
            <w:r>
              <w:rPr>
                <w:rFonts w:hint="eastAsia" w:ascii="新宋体" w:hAnsi="新宋体" w:eastAsia="新宋体" w:cs="新宋体"/>
                <w:color w:val="auto"/>
                <w:sz w:val="18"/>
                <w:szCs w:val="18"/>
                <w:highlight w:val="none"/>
                <w:vertAlign w:val="subscript"/>
              </w:rPr>
              <w:t>1</w:t>
            </w:r>
            <w:r>
              <w:rPr>
                <w:rFonts w:hint="eastAsia" w:ascii="新宋体" w:hAnsi="新宋体" w:eastAsia="新宋体" w:cs="新宋体"/>
                <w:color w:val="auto"/>
                <w:sz w:val="18"/>
                <w:szCs w:val="18"/>
                <w:highlight w:val="none"/>
              </w:rPr>
              <w:t>=F</w:t>
            </w:r>
            <w:r>
              <w:rPr>
                <w:rFonts w:hint="eastAsia" w:ascii="新宋体" w:hAnsi="新宋体" w:eastAsia="新宋体" w:cs="新宋体"/>
                <w:color w:val="auto"/>
                <w:sz w:val="18"/>
                <w:szCs w:val="18"/>
                <w:highlight w:val="none"/>
                <w:vertAlign w:val="subscript"/>
              </w:rPr>
              <w:t>1</w:t>
            </w:r>
            <w:r>
              <w:rPr>
                <w:rFonts w:hint="eastAsia" w:ascii="新宋体" w:hAnsi="新宋体" w:eastAsia="新宋体" w:cs="新宋体"/>
                <w:color w:val="auto"/>
                <w:sz w:val="18"/>
                <w:szCs w:val="18"/>
                <w:highlight w:val="none"/>
                <w:lang w:val="en-US" w:eastAsia="zh-CN"/>
              </w:rPr>
              <w:t>x</w:t>
            </w:r>
            <w:r>
              <w:rPr>
                <w:rFonts w:hint="eastAsia" w:ascii="新宋体" w:hAnsi="新宋体" w:eastAsia="新宋体" w:cs="新宋体"/>
                <w:color w:val="auto"/>
                <w:kern w:val="0"/>
                <w:sz w:val="18"/>
                <w:szCs w:val="18"/>
                <w:highlight w:val="none"/>
                <w:lang w:val="ru-RU"/>
              </w:rPr>
              <w:t>A1</w:t>
            </w:r>
          </w:p>
        </w:tc>
      </w:tr>
    </w:tbl>
    <w:p w14:paraId="206F5077">
      <w:pPr>
        <w:pageBreakBefore w:val="0"/>
        <w:kinsoku/>
        <w:overflowPunct/>
        <w:topLinePunct w:val="0"/>
        <w:bidi w:val="0"/>
        <w:adjustRightInd w:val="0"/>
        <w:snapToGrid w:val="0"/>
        <w:spacing w:before="156" w:beforeLines="50" w:line="360" w:lineRule="auto"/>
        <w:jc w:val="center"/>
        <w:textAlignment w:val="auto"/>
        <w:outlineLvl w:val="9"/>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t>附表1.2技术部分评审标准表</w:t>
      </w:r>
    </w:p>
    <w:tbl>
      <w:tblPr>
        <w:tblStyle w:val="26"/>
        <w:tblW w:w="4961"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10"/>
        <w:gridCol w:w="1365"/>
        <w:gridCol w:w="1101"/>
        <w:gridCol w:w="6801"/>
      </w:tblGrid>
      <w:tr w14:paraId="240BDA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261" w:type="pct"/>
            <w:tcBorders>
              <w:right w:val="single" w:color="auto" w:sz="4" w:space="0"/>
            </w:tcBorders>
            <w:noWrap w:val="0"/>
            <w:vAlign w:val="center"/>
          </w:tcPr>
          <w:p w14:paraId="763E32E7">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b/>
                <w:color w:val="auto"/>
                <w:sz w:val="18"/>
                <w:szCs w:val="18"/>
                <w:highlight w:val="none"/>
              </w:rPr>
            </w:pPr>
            <w:r>
              <w:rPr>
                <w:rFonts w:hint="eastAsia" w:ascii="新宋体" w:hAnsi="新宋体" w:eastAsia="新宋体" w:cs="新宋体"/>
                <w:b/>
                <w:color w:val="auto"/>
                <w:sz w:val="18"/>
                <w:szCs w:val="18"/>
                <w:highlight w:val="none"/>
              </w:rPr>
              <w:t>序号</w:t>
            </w:r>
          </w:p>
        </w:tc>
        <w:tc>
          <w:tcPr>
            <w:tcW w:w="698" w:type="pct"/>
            <w:tcBorders>
              <w:left w:val="single" w:color="auto" w:sz="4" w:space="0"/>
              <w:right w:val="single" w:color="auto" w:sz="4" w:space="0"/>
            </w:tcBorders>
            <w:noWrap w:val="0"/>
            <w:vAlign w:val="center"/>
          </w:tcPr>
          <w:p w14:paraId="4C01ED27">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b/>
                <w:color w:val="auto"/>
                <w:sz w:val="18"/>
                <w:szCs w:val="18"/>
                <w:highlight w:val="none"/>
              </w:rPr>
            </w:pPr>
            <w:r>
              <w:rPr>
                <w:rFonts w:hint="eastAsia" w:ascii="新宋体" w:hAnsi="新宋体" w:eastAsia="新宋体" w:cs="新宋体"/>
                <w:b/>
                <w:color w:val="auto"/>
                <w:sz w:val="18"/>
                <w:szCs w:val="18"/>
                <w:highlight w:val="none"/>
              </w:rPr>
              <w:t>评标因素</w:t>
            </w:r>
          </w:p>
          <w:p w14:paraId="58107667">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b/>
                <w:color w:val="auto"/>
                <w:sz w:val="18"/>
                <w:szCs w:val="18"/>
                <w:highlight w:val="none"/>
              </w:rPr>
            </w:pPr>
            <w:r>
              <w:rPr>
                <w:rFonts w:hint="eastAsia" w:ascii="新宋体" w:hAnsi="新宋体" w:eastAsia="新宋体" w:cs="新宋体"/>
                <w:b/>
                <w:color w:val="auto"/>
                <w:sz w:val="18"/>
                <w:szCs w:val="18"/>
                <w:highlight w:val="none"/>
              </w:rPr>
              <w:t>（分值）</w:t>
            </w:r>
          </w:p>
        </w:tc>
        <w:tc>
          <w:tcPr>
            <w:tcW w:w="4039" w:type="pct"/>
            <w:gridSpan w:val="2"/>
            <w:tcBorders>
              <w:left w:val="single" w:color="auto" w:sz="4" w:space="0"/>
            </w:tcBorders>
            <w:noWrap w:val="0"/>
            <w:vAlign w:val="center"/>
          </w:tcPr>
          <w:p w14:paraId="36A56ABA">
            <w:pPr>
              <w:keepNext w:val="0"/>
              <w:keepLines w:val="0"/>
              <w:pageBreakBefore w:val="0"/>
              <w:suppressLineNumbers w:val="0"/>
              <w:kinsoku/>
              <w:overflowPunct/>
              <w:topLinePunct w:val="0"/>
              <w:bidi w:val="0"/>
              <w:adjustRightInd w:val="0"/>
              <w:snapToGrid w:val="0"/>
              <w:spacing w:before="0" w:beforeAutospacing="0" w:after="0" w:afterAutospacing="0"/>
              <w:ind w:left="0" w:right="0"/>
              <w:jc w:val="center"/>
              <w:textAlignment w:val="auto"/>
              <w:outlineLvl w:val="9"/>
              <w:rPr>
                <w:rFonts w:hint="eastAsia" w:ascii="新宋体" w:hAnsi="新宋体" w:eastAsia="新宋体" w:cs="新宋体"/>
                <w:b/>
                <w:color w:val="auto"/>
                <w:sz w:val="18"/>
                <w:szCs w:val="18"/>
                <w:highlight w:val="none"/>
              </w:rPr>
            </w:pPr>
            <w:r>
              <w:rPr>
                <w:rFonts w:hint="eastAsia" w:ascii="新宋体" w:hAnsi="新宋体" w:eastAsia="新宋体" w:cs="新宋体"/>
                <w:b/>
                <w:color w:val="auto"/>
                <w:sz w:val="18"/>
                <w:szCs w:val="18"/>
                <w:highlight w:val="none"/>
              </w:rPr>
              <w:t>评标标准</w:t>
            </w:r>
          </w:p>
        </w:tc>
      </w:tr>
      <w:tr w14:paraId="0F01CC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1" w:type="pct"/>
            <w:vMerge w:val="restart"/>
            <w:tcBorders>
              <w:right w:val="single" w:color="auto" w:sz="4" w:space="0"/>
            </w:tcBorders>
            <w:noWrap w:val="0"/>
            <w:vAlign w:val="center"/>
          </w:tcPr>
          <w:p w14:paraId="643A6A7E">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400" w:lineRule="exact"/>
              <w:ind w:left="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1</w:t>
            </w:r>
          </w:p>
        </w:tc>
        <w:tc>
          <w:tcPr>
            <w:tcW w:w="698" w:type="pct"/>
            <w:vMerge w:val="restart"/>
            <w:tcBorders>
              <w:left w:val="single" w:color="auto" w:sz="4" w:space="0"/>
            </w:tcBorders>
            <w:noWrap w:val="0"/>
            <w:vAlign w:val="center"/>
          </w:tcPr>
          <w:p w14:paraId="0DC49D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技术评价项</w:t>
            </w:r>
          </w:p>
          <w:p w14:paraId="71E105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（F</w:t>
            </w:r>
            <w:r>
              <w:rPr>
                <w:rFonts w:hint="eastAsia" w:ascii="仿宋" w:hAnsi="仿宋" w:eastAsia="仿宋" w:cs="仿宋"/>
                <w:color w:val="auto"/>
                <w:sz w:val="21"/>
                <w:szCs w:val="21"/>
                <w:highlight w:val="none"/>
                <w:vertAlign w:val="subscript"/>
              </w:rPr>
              <w:t>2</w:t>
            </w:r>
            <w:r>
              <w:rPr>
                <w:rFonts w:hint="eastAsia" w:ascii="仿宋" w:hAnsi="仿宋" w:eastAsia="仿宋" w:cs="仿宋"/>
                <w:color w:val="auto"/>
                <w:sz w:val="21"/>
                <w:szCs w:val="21"/>
                <w:highlight w:val="none"/>
              </w:rPr>
              <w:t>=100分）</w:t>
            </w:r>
          </w:p>
        </w:tc>
        <w:tc>
          <w:tcPr>
            <w:tcW w:w="563" w:type="pct"/>
            <w:noWrap w:val="0"/>
            <w:vAlign w:val="center"/>
          </w:tcPr>
          <w:p w14:paraId="31BDA964">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outlineLvl w:val="9"/>
              <w:rPr>
                <w:rStyle w:val="28"/>
                <w:rFonts w:hint="default" w:ascii="仿宋" w:hAnsi="仿宋" w:eastAsia="仿宋" w:cs="仿宋"/>
                <w:b w:val="0"/>
                <w:color w:val="auto"/>
                <w:spacing w:val="0"/>
                <w:w w:val="100"/>
                <w:sz w:val="21"/>
                <w:szCs w:val="21"/>
                <w:highlight w:val="none"/>
                <w:lang w:val="en-US" w:eastAsia="zh-CN"/>
              </w:rPr>
            </w:pPr>
            <w:r>
              <w:rPr>
                <w:rFonts w:hint="eastAsia" w:ascii="宋体" w:hAnsi="宋体" w:eastAsia="宋体" w:cs="宋体"/>
                <w:color w:val="auto"/>
                <w:sz w:val="22"/>
                <w:szCs w:val="22"/>
                <w:lang w:val="en-US" w:eastAsia="zh-CN"/>
              </w:rPr>
              <w:t>培训方案（</w:t>
            </w:r>
            <w:r>
              <w:rPr>
                <w:rFonts w:hint="eastAsia" w:ascii="宋体" w:hAnsi="宋体" w:cs="宋体"/>
                <w:color w:val="auto"/>
                <w:sz w:val="22"/>
                <w:szCs w:val="22"/>
                <w:lang w:val="en-US" w:eastAsia="zh-CN"/>
              </w:rPr>
              <w:t>42</w:t>
            </w:r>
            <w:r>
              <w:rPr>
                <w:rFonts w:hint="eastAsia" w:ascii="宋体" w:hAnsi="宋体" w:eastAsia="宋体" w:cs="宋体"/>
                <w:color w:val="auto"/>
                <w:sz w:val="22"/>
                <w:szCs w:val="22"/>
                <w:lang w:val="en-US" w:eastAsia="zh-CN"/>
              </w:rPr>
              <w:t>分）</w:t>
            </w:r>
          </w:p>
        </w:tc>
        <w:tc>
          <w:tcPr>
            <w:tcW w:w="3475" w:type="pct"/>
            <w:noWrap w:val="0"/>
            <w:vAlign w:val="center"/>
          </w:tcPr>
          <w:p w14:paraId="1B300D78">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40" w:firstLineChars="200"/>
              <w:jc w:val="left"/>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color w:val="auto"/>
                <w:sz w:val="22"/>
                <w:szCs w:val="22"/>
                <w:lang w:val="en-US" w:eastAsia="zh-CN"/>
              </w:rPr>
              <w:t>根据项目情况设置科学、具体的</w:t>
            </w:r>
            <w:r>
              <w:rPr>
                <w:rFonts w:hint="eastAsia" w:ascii="宋体" w:hAnsi="宋体" w:cs="宋体"/>
                <w:color w:val="auto"/>
                <w:sz w:val="22"/>
                <w:szCs w:val="22"/>
                <w:lang w:val="en-US" w:eastAsia="zh-CN"/>
              </w:rPr>
              <w:t>培训</w:t>
            </w:r>
            <w:r>
              <w:rPr>
                <w:rFonts w:hint="eastAsia" w:ascii="宋体" w:hAnsi="宋体" w:eastAsia="宋体" w:cs="宋体"/>
                <w:color w:val="auto"/>
                <w:sz w:val="22"/>
                <w:szCs w:val="22"/>
                <w:lang w:val="en-US" w:eastAsia="zh-CN"/>
              </w:rPr>
              <w:t>管理</w:t>
            </w:r>
            <w:r>
              <w:rPr>
                <w:rFonts w:hint="eastAsia" w:ascii="宋体" w:hAnsi="宋体" w:cs="宋体"/>
                <w:color w:val="auto"/>
                <w:sz w:val="22"/>
                <w:szCs w:val="22"/>
                <w:lang w:val="en-US" w:eastAsia="zh-CN"/>
              </w:rPr>
              <w:t>方案</w:t>
            </w:r>
            <w:r>
              <w:rPr>
                <w:rFonts w:hint="eastAsia" w:ascii="宋体" w:hAnsi="宋体" w:eastAsia="宋体" w:cs="宋体"/>
                <w:color w:val="auto"/>
                <w:sz w:val="22"/>
                <w:szCs w:val="22"/>
                <w:lang w:val="en-US" w:eastAsia="zh-CN"/>
              </w:rPr>
              <w:t>，能够结合项目特点制</w:t>
            </w:r>
            <w:r>
              <w:rPr>
                <w:rFonts w:hint="eastAsia" w:ascii="宋体" w:hAnsi="宋体" w:eastAsia="宋体" w:cs="宋体"/>
                <w:b w:val="0"/>
                <w:bCs w:val="0"/>
                <w:color w:val="auto"/>
                <w:sz w:val="22"/>
                <w:szCs w:val="22"/>
                <w:lang w:val="en-US" w:eastAsia="zh-CN"/>
              </w:rPr>
              <w:t>定，从</w:t>
            </w:r>
            <w:r>
              <w:rPr>
                <w:rFonts w:hint="eastAsia" w:ascii="宋体" w:hAnsi="宋体" w:eastAsia="宋体" w:cs="宋体"/>
                <w:b w:val="0"/>
                <w:bCs w:val="0"/>
                <w:color w:val="auto"/>
                <w:w w:val="100"/>
                <w:kern w:val="0"/>
                <w:sz w:val="22"/>
                <w:szCs w:val="22"/>
                <w:highlight w:val="none"/>
                <w:lang w:eastAsia="en-US"/>
              </w:rPr>
              <w:t>①</w:t>
            </w:r>
            <w:r>
              <w:rPr>
                <w:rFonts w:hint="eastAsia" w:ascii="宋体" w:hAnsi="宋体" w:cs="宋体"/>
                <w:b w:val="0"/>
                <w:bCs w:val="0"/>
                <w:color w:val="auto"/>
                <w:w w:val="100"/>
                <w:kern w:val="0"/>
                <w:sz w:val="22"/>
                <w:szCs w:val="22"/>
                <w:highlight w:val="none"/>
                <w:lang w:eastAsia="zh-CN"/>
              </w:rPr>
              <w:t>培训组织方案（含预期效果）；</w:t>
            </w:r>
            <w:r>
              <w:rPr>
                <w:rFonts w:hint="eastAsia" w:ascii="宋体" w:hAnsi="宋体" w:eastAsia="宋体" w:cs="宋体"/>
                <w:b/>
                <w:bCs/>
                <w:color w:val="auto"/>
                <w:w w:val="100"/>
                <w:kern w:val="0"/>
                <w:sz w:val="22"/>
                <w:szCs w:val="22"/>
                <w:highlight w:val="none"/>
                <w:lang w:eastAsia="en-US"/>
              </w:rPr>
              <w:t>②</w:t>
            </w:r>
            <w:r>
              <w:rPr>
                <w:rFonts w:hint="eastAsia" w:ascii="宋体" w:hAnsi="宋体" w:cs="宋体"/>
                <w:b w:val="0"/>
                <w:bCs w:val="0"/>
                <w:color w:val="auto"/>
                <w:w w:val="100"/>
                <w:kern w:val="0"/>
                <w:sz w:val="22"/>
                <w:szCs w:val="22"/>
                <w:highlight w:val="none"/>
                <w:lang w:eastAsia="zh-CN"/>
              </w:rPr>
              <w:t>课堂教学（包含线上线下）方案；</w:t>
            </w:r>
            <w:r>
              <w:rPr>
                <w:rFonts w:hint="eastAsia" w:ascii="宋体" w:hAnsi="宋体" w:eastAsia="宋体" w:cs="宋体"/>
                <w:b w:val="0"/>
                <w:bCs w:val="0"/>
                <w:color w:val="auto"/>
                <w:w w:val="100"/>
                <w:kern w:val="0"/>
                <w:sz w:val="22"/>
                <w:szCs w:val="22"/>
                <w:highlight w:val="none"/>
                <w:lang w:eastAsia="en-US"/>
              </w:rPr>
              <w:t>③</w:t>
            </w:r>
            <w:r>
              <w:rPr>
                <w:rFonts w:hint="eastAsia" w:ascii="宋体" w:hAnsi="宋体" w:cs="宋体"/>
                <w:b w:val="0"/>
                <w:bCs w:val="0"/>
                <w:color w:val="auto"/>
                <w:w w:val="100"/>
                <w:kern w:val="0"/>
                <w:sz w:val="22"/>
                <w:szCs w:val="22"/>
                <w:highlight w:val="none"/>
                <w:lang w:eastAsia="zh-CN"/>
              </w:rPr>
              <w:t>实践</w:t>
            </w:r>
            <w:r>
              <w:rPr>
                <w:rFonts w:hint="eastAsia" w:ascii="宋体" w:hAnsi="宋体" w:eastAsia="宋体" w:cs="宋体"/>
                <w:b w:val="0"/>
                <w:bCs w:val="0"/>
                <w:color w:val="auto"/>
                <w:sz w:val="22"/>
                <w:szCs w:val="22"/>
                <w:highlight w:val="none"/>
                <w:lang w:val="en-US" w:eastAsia="zh-CN"/>
              </w:rPr>
              <w:t>教学和</w:t>
            </w:r>
            <w:r>
              <w:rPr>
                <w:rFonts w:hint="eastAsia" w:ascii="宋体" w:hAnsi="宋体" w:cs="宋体"/>
                <w:b w:val="0"/>
                <w:bCs w:val="0"/>
                <w:color w:val="auto"/>
                <w:sz w:val="22"/>
                <w:szCs w:val="22"/>
                <w:highlight w:val="none"/>
                <w:lang w:val="en-US" w:eastAsia="zh-CN"/>
              </w:rPr>
              <w:t>观摩交流</w:t>
            </w:r>
            <w:r>
              <w:rPr>
                <w:rFonts w:hint="eastAsia" w:ascii="宋体" w:hAnsi="宋体" w:eastAsia="宋体" w:cs="宋体"/>
                <w:b w:val="0"/>
                <w:bCs w:val="0"/>
                <w:color w:val="auto"/>
                <w:sz w:val="22"/>
                <w:szCs w:val="22"/>
                <w:highlight w:val="none"/>
                <w:lang w:val="en-US" w:eastAsia="zh-CN"/>
              </w:rPr>
              <w:t>方案</w:t>
            </w:r>
            <w:r>
              <w:rPr>
                <w:rFonts w:hint="eastAsia" w:ascii="宋体" w:hAnsi="宋体" w:cs="宋体"/>
                <w:b w:val="0"/>
                <w:bCs w:val="0"/>
                <w:color w:val="auto"/>
                <w:sz w:val="22"/>
                <w:szCs w:val="22"/>
                <w:highlight w:val="none"/>
                <w:lang w:val="en-US" w:eastAsia="zh-CN"/>
              </w:rPr>
              <w:t>；</w:t>
            </w:r>
            <w:r>
              <w:rPr>
                <w:rFonts w:hint="eastAsia" w:ascii="宋体" w:hAnsi="宋体" w:eastAsia="宋体" w:cs="宋体"/>
                <w:b w:val="0"/>
                <w:bCs w:val="0"/>
                <w:color w:val="auto"/>
                <w:w w:val="100"/>
                <w:kern w:val="0"/>
                <w:sz w:val="22"/>
                <w:szCs w:val="22"/>
                <w:highlight w:val="none"/>
                <w:lang w:eastAsia="en-US"/>
              </w:rPr>
              <w:t>④</w:t>
            </w:r>
            <w:r>
              <w:rPr>
                <w:rFonts w:hint="eastAsia" w:ascii="宋体" w:hAnsi="宋体" w:eastAsia="宋体" w:cs="宋体"/>
                <w:b w:val="0"/>
                <w:bCs w:val="0"/>
                <w:color w:val="auto"/>
                <w:sz w:val="22"/>
                <w:szCs w:val="22"/>
                <w:highlight w:val="none"/>
                <w:lang w:val="en-US" w:eastAsia="zh-CN"/>
              </w:rPr>
              <w:t>跟踪服务方案</w:t>
            </w:r>
            <w:r>
              <w:rPr>
                <w:rFonts w:hint="eastAsia" w:ascii="宋体" w:hAnsi="宋体" w:cs="宋体"/>
                <w:b w:val="0"/>
                <w:bCs w:val="0"/>
                <w:color w:val="auto"/>
                <w:sz w:val="22"/>
                <w:szCs w:val="22"/>
                <w:highlight w:val="none"/>
                <w:lang w:val="en-US" w:eastAsia="zh-CN"/>
              </w:rPr>
              <w:t>；</w:t>
            </w:r>
            <w:r>
              <w:rPr>
                <w:rFonts w:hint="eastAsia" w:ascii="宋体" w:hAnsi="宋体" w:eastAsia="宋体" w:cs="宋体"/>
                <w:b w:val="0"/>
                <w:bCs w:val="0"/>
                <w:color w:val="auto"/>
                <w:w w:val="100"/>
                <w:kern w:val="0"/>
                <w:sz w:val="22"/>
                <w:szCs w:val="22"/>
                <w:highlight w:val="none"/>
                <w:lang w:val="en-US" w:eastAsia="zh-CN"/>
              </w:rPr>
              <w:t>⑤</w:t>
            </w:r>
            <w:r>
              <w:rPr>
                <w:rFonts w:hint="eastAsia" w:ascii="宋体" w:hAnsi="宋体" w:eastAsia="宋体" w:cs="宋体"/>
                <w:b w:val="0"/>
                <w:bCs w:val="0"/>
                <w:color w:val="auto"/>
                <w:sz w:val="22"/>
                <w:szCs w:val="22"/>
                <w:highlight w:val="none"/>
                <w:lang w:val="en-US" w:eastAsia="zh-CN"/>
              </w:rPr>
              <w:t>培训进度计划安排</w:t>
            </w:r>
            <w:r>
              <w:rPr>
                <w:rFonts w:hint="eastAsia" w:ascii="宋体" w:hAnsi="宋体" w:cs="宋体"/>
                <w:b w:val="0"/>
                <w:bCs w:val="0"/>
                <w:color w:val="auto"/>
                <w:sz w:val="22"/>
                <w:szCs w:val="22"/>
                <w:highlight w:val="none"/>
                <w:lang w:val="en-US" w:eastAsia="zh-CN"/>
              </w:rPr>
              <w:t>；</w:t>
            </w:r>
            <w:r>
              <w:rPr>
                <w:rFonts w:hint="eastAsia" w:ascii="微软雅黑" w:hAnsi="微软雅黑" w:eastAsia="微软雅黑" w:cs="微软雅黑"/>
                <w:b w:val="0"/>
                <w:bCs w:val="0"/>
                <w:color w:val="auto"/>
                <w:sz w:val="22"/>
                <w:szCs w:val="22"/>
                <w:highlight w:val="none"/>
                <w:lang w:val="en-US" w:eastAsia="zh-CN"/>
              </w:rPr>
              <w:t>⑥</w:t>
            </w:r>
            <w:r>
              <w:rPr>
                <w:rFonts w:hint="eastAsia" w:ascii="宋体" w:hAnsi="宋体" w:cs="宋体"/>
                <w:b w:val="0"/>
                <w:bCs w:val="0"/>
                <w:color w:val="auto"/>
                <w:sz w:val="22"/>
                <w:szCs w:val="22"/>
                <w:highlight w:val="none"/>
                <w:lang w:val="en-US" w:eastAsia="zh-CN"/>
              </w:rPr>
              <w:t>经费支出计划，以上6个</w:t>
            </w:r>
            <w:r>
              <w:rPr>
                <w:rFonts w:hint="eastAsia" w:ascii="宋体" w:hAnsi="宋体" w:eastAsia="宋体" w:cs="宋体"/>
                <w:b w:val="0"/>
                <w:bCs w:val="0"/>
                <w:color w:val="auto"/>
                <w:sz w:val="22"/>
                <w:szCs w:val="22"/>
                <w:highlight w:val="none"/>
                <w:lang w:val="en-US" w:eastAsia="zh-CN"/>
              </w:rPr>
              <w:t>方面进行</w:t>
            </w:r>
            <w:r>
              <w:rPr>
                <w:rFonts w:hint="eastAsia" w:ascii="宋体" w:hAnsi="宋体" w:cs="宋体"/>
                <w:b w:val="0"/>
                <w:bCs w:val="0"/>
                <w:color w:val="auto"/>
                <w:sz w:val="22"/>
                <w:szCs w:val="22"/>
                <w:lang w:val="en-US" w:eastAsia="zh-CN"/>
              </w:rPr>
              <w:t>评审</w:t>
            </w:r>
            <w:r>
              <w:rPr>
                <w:rFonts w:hint="eastAsia" w:ascii="宋体" w:hAnsi="宋体" w:eastAsia="宋体" w:cs="宋体"/>
                <w:b w:val="0"/>
                <w:bCs w:val="0"/>
                <w:color w:val="auto"/>
                <w:sz w:val="22"/>
                <w:szCs w:val="22"/>
                <w:lang w:val="en-US" w:eastAsia="zh-CN"/>
              </w:rPr>
              <w:t>。</w:t>
            </w:r>
          </w:p>
          <w:p w14:paraId="0B5E313F">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40" w:firstLineChars="200"/>
              <w:jc w:val="left"/>
              <w:textAlignment w:val="auto"/>
              <w:outlineLvl w:val="9"/>
              <w:rPr>
                <w:rFonts w:hint="eastAsia" w:ascii="宋体" w:hAnsi="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投标人提供的培训方案包括以上6项的，每项计基本分4分，缺项不计分且不参与分档计分。基本项最多计24分。</w:t>
            </w:r>
          </w:p>
          <w:p w14:paraId="63A243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40" w:firstLineChars="200"/>
              <w:jc w:val="both"/>
              <w:textAlignment w:val="auto"/>
              <w:outlineLvl w:val="9"/>
              <w:rPr>
                <w:rFonts w:hint="default" w:ascii="宋体" w:hAnsi="宋体" w:eastAsia="宋体" w:cs="宋体"/>
                <w:color w:val="auto"/>
                <w:kern w:val="2"/>
                <w:sz w:val="22"/>
                <w:szCs w:val="22"/>
                <w:highlight w:val="none"/>
                <w:lang w:val="en-US" w:eastAsia="zh-CN" w:bidi="ar-SA"/>
              </w:rPr>
            </w:pPr>
            <w:r>
              <w:rPr>
                <w:rFonts w:hint="default" w:ascii="宋体" w:hAnsi="宋体" w:eastAsia="宋体" w:cs="宋体"/>
                <w:color w:val="auto"/>
                <w:kern w:val="2"/>
                <w:sz w:val="22"/>
                <w:szCs w:val="22"/>
                <w:highlight w:val="none"/>
                <w:lang w:val="en-US" w:eastAsia="zh-CN" w:bidi="ar-SA"/>
              </w:rPr>
              <w:t>方案包含以上基本项的按以下标准进行分档计分，每项最高计</w:t>
            </w:r>
            <w:r>
              <w:rPr>
                <w:rFonts w:hint="eastAsia" w:ascii="宋体" w:hAnsi="宋体" w:cs="宋体"/>
                <w:color w:val="auto"/>
                <w:kern w:val="2"/>
                <w:sz w:val="22"/>
                <w:szCs w:val="22"/>
                <w:highlight w:val="none"/>
                <w:lang w:val="en-US" w:eastAsia="zh-CN" w:bidi="ar-SA"/>
              </w:rPr>
              <w:t>3</w:t>
            </w:r>
            <w:r>
              <w:rPr>
                <w:rFonts w:hint="default" w:ascii="宋体" w:hAnsi="宋体" w:eastAsia="宋体" w:cs="宋体"/>
                <w:color w:val="auto"/>
                <w:kern w:val="2"/>
                <w:sz w:val="22"/>
                <w:szCs w:val="22"/>
                <w:highlight w:val="none"/>
                <w:lang w:val="en-US" w:eastAsia="zh-CN" w:bidi="ar-SA"/>
              </w:rPr>
              <w:t>分，</w:t>
            </w:r>
            <w:r>
              <w:rPr>
                <w:rFonts w:hint="eastAsia" w:ascii="宋体" w:hAnsi="宋体" w:eastAsia="宋体" w:cs="宋体"/>
                <w:color w:val="auto"/>
                <w:kern w:val="2"/>
                <w:sz w:val="22"/>
                <w:szCs w:val="22"/>
                <w:highlight w:val="none"/>
                <w:lang w:val="en-US" w:eastAsia="zh-CN" w:bidi="ar-SA"/>
              </w:rPr>
              <w:t>6</w:t>
            </w:r>
            <w:r>
              <w:rPr>
                <w:rFonts w:hint="default" w:ascii="宋体" w:hAnsi="宋体" w:eastAsia="宋体" w:cs="宋体"/>
                <w:color w:val="auto"/>
                <w:kern w:val="2"/>
                <w:sz w:val="22"/>
                <w:szCs w:val="22"/>
                <w:highlight w:val="none"/>
                <w:lang w:val="en-US" w:eastAsia="zh-CN" w:bidi="ar-SA"/>
              </w:rPr>
              <w:t>项分档计分总分最高计</w:t>
            </w:r>
            <w:r>
              <w:rPr>
                <w:rFonts w:hint="eastAsia" w:ascii="宋体" w:hAnsi="宋体" w:cs="宋体"/>
                <w:color w:val="auto"/>
                <w:kern w:val="2"/>
                <w:sz w:val="22"/>
                <w:szCs w:val="22"/>
                <w:highlight w:val="none"/>
                <w:lang w:val="en-US" w:eastAsia="zh-CN" w:bidi="ar-SA"/>
              </w:rPr>
              <w:t>18</w:t>
            </w:r>
            <w:r>
              <w:rPr>
                <w:rFonts w:hint="default" w:ascii="宋体" w:hAnsi="宋体" w:eastAsia="宋体" w:cs="宋体"/>
                <w:color w:val="auto"/>
                <w:kern w:val="2"/>
                <w:sz w:val="22"/>
                <w:szCs w:val="22"/>
                <w:highlight w:val="none"/>
                <w:lang w:val="en-US" w:eastAsia="zh-CN" w:bidi="ar-SA"/>
              </w:rPr>
              <w:t>分：</w:t>
            </w:r>
          </w:p>
          <w:p w14:paraId="6CF22D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40" w:firstLineChars="200"/>
              <w:jc w:val="both"/>
              <w:textAlignment w:val="auto"/>
              <w:outlineLvl w:val="9"/>
              <w:rPr>
                <w:rFonts w:hint="default" w:ascii="宋体" w:hAnsi="宋体" w:eastAsia="宋体" w:cs="宋体"/>
                <w:color w:val="auto"/>
                <w:kern w:val="2"/>
                <w:sz w:val="22"/>
                <w:szCs w:val="22"/>
                <w:highlight w:val="none"/>
                <w:lang w:val="en-US" w:eastAsia="zh-CN" w:bidi="ar-SA"/>
              </w:rPr>
            </w:pPr>
            <w:r>
              <w:rPr>
                <w:rFonts w:hint="default" w:ascii="宋体" w:hAnsi="宋体" w:eastAsia="宋体" w:cs="宋体"/>
                <w:color w:val="auto"/>
                <w:kern w:val="2"/>
                <w:sz w:val="22"/>
                <w:szCs w:val="22"/>
                <w:highlight w:val="none"/>
                <w:lang w:val="en-US" w:eastAsia="zh-CN" w:bidi="ar-SA"/>
              </w:rPr>
              <w:t>1、方案完善、完全满足项目实际情况并合理可行的，每项计</w:t>
            </w:r>
            <w:r>
              <w:rPr>
                <w:rFonts w:hint="eastAsia" w:ascii="宋体" w:hAnsi="宋体" w:cs="宋体"/>
                <w:color w:val="auto"/>
                <w:kern w:val="2"/>
                <w:sz w:val="22"/>
                <w:szCs w:val="22"/>
                <w:highlight w:val="none"/>
                <w:lang w:val="en-US" w:eastAsia="zh-CN" w:bidi="ar-SA"/>
              </w:rPr>
              <w:t>3</w:t>
            </w:r>
            <w:r>
              <w:rPr>
                <w:rFonts w:hint="default" w:ascii="宋体" w:hAnsi="宋体" w:eastAsia="宋体" w:cs="宋体"/>
                <w:color w:val="auto"/>
                <w:kern w:val="2"/>
                <w:sz w:val="22"/>
                <w:szCs w:val="22"/>
                <w:highlight w:val="none"/>
                <w:lang w:val="en-US" w:eastAsia="zh-CN" w:bidi="ar-SA"/>
              </w:rPr>
              <w:t>分；</w:t>
            </w:r>
          </w:p>
          <w:p w14:paraId="65F9F7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40" w:firstLineChars="200"/>
              <w:jc w:val="both"/>
              <w:textAlignment w:val="auto"/>
              <w:outlineLvl w:val="9"/>
              <w:rPr>
                <w:rFonts w:hint="default" w:ascii="宋体" w:hAnsi="宋体" w:eastAsia="宋体" w:cs="宋体"/>
                <w:color w:val="auto"/>
                <w:kern w:val="2"/>
                <w:sz w:val="22"/>
                <w:szCs w:val="22"/>
                <w:highlight w:val="none"/>
                <w:lang w:val="en-US" w:eastAsia="zh-CN" w:bidi="ar-SA"/>
              </w:rPr>
            </w:pPr>
            <w:r>
              <w:rPr>
                <w:rFonts w:hint="default" w:ascii="宋体" w:hAnsi="宋体" w:eastAsia="宋体" w:cs="宋体"/>
                <w:color w:val="auto"/>
                <w:kern w:val="2"/>
                <w:sz w:val="22"/>
                <w:szCs w:val="22"/>
                <w:highlight w:val="none"/>
                <w:lang w:val="en-US" w:eastAsia="zh-CN" w:bidi="ar-SA"/>
              </w:rPr>
              <w:t>2、方案</w:t>
            </w:r>
            <w:r>
              <w:rPr>
                <w:rFonts w:hint="eastAsia" w:ascii="宋体" w:hAnsi="宋体" w:eastAsia="宋体" w:cs="宋体"/>
                <w:color w:val="auto"/>
                <w:kern w:val="2"/>
                <w:sz w:val="22"/>
                <w:szCs w:val="22"/>
                <w:highlight w:val="none"/>
                <w:lang w:val="en-US" w:eastAsia="zh-CN" w:bidi="ar-SA"/>
              </w:rPr>
              <w:t>欠</w:t>
            </w:r>
            <w:r>
              <w:rPr>
                <w:rFonts w:hint="default" w:ascii="宋体" w:hAnsi="宋体" w:eastAsia="宋体" w:cs="宋体"/>
                <w:color w:val="auto"/>
                <w:kern w:val="2"/>
                <w:sz w:val="22"/>
                <w:szCs w:val="22"/>
                <w:highlight w:val="none"/>
                <w:lang w:val="en-US" w:eastAsia="zh-CN" w:bidi="ar-SA"/>
              </w:rPr>
              <w:t>完善</w:t>
            </w:r>
            <w:r>
              <w:rPr>
                <w:rFonts w:hint="eastAsia" w:ascii="宋体" w:hAnsi="宋体" w:eastAsia="宋体" w:cs="宋体"/>
                <w:color w:val="auto"/>
                <w:kern w:val="2"/>
                <w:sz w:val="22"/>
                <w:szCs w:val="22"/>
                <w:highlight w:val="none"/>
                <w:lang w:val="en-US" w:eastAsia="zh-CN" w:bidi="ar-SA"/>
              </w:rPr>
              <w:t>或有欠缺</w:t>
            </w:r>
            <w:r>
              <w:rPr>
                <w:rFonts w:hint="default" w:ascii="宋体" w:hAnsi="宋体" w:eastAsia="宋体" w:cs="宋体"/>
                <w:color w:val="auto"/>
                <w:kern w:val="2"/>
                <w:sz w:val="22"/>
                <w:szCs w:val="22"/>
                <w:highlight w:val="none"/>
                <w:lang w:val="en-US" w:eastAsia="zh-CN" w:bidi="ar-SA"/>
              </w:rPr>
              <w:t>，基本满足项目需求合理可行的，每项计</w:t>
            </w:r>
            <w:r>
              <w:rPr>
                <w:rFonts w:hint="eastAsia" w:ascii="宋体" w:hAnsi="宋体" w:cs="宋体"/>
                <w:color w:val="auto"/>
                <w:kern w:val="2"/>
                <w:sz w:val="22"/>
                <w:szCs w:val="22"/>
                <w:highlight w:val="none"/>
                <w:lang w:val="en-US" w:eastAsia="zh-CN" w:bidi="ar-SA"/>
              </w:rPr>
              <w:t>2</w:t>
            </w:r>
            <w:r>
              <w:rPr>
                <w:rFonts w:hint="default" w:ascii="宋体" w:hAnsi="宋体" w:eastAsia="宋体" w:cs="宋体"/>
                <w:color w:val="auto"/>
                <w:kern w:val="2"/>
                <w:sz w:val="22"/>
                <w:szCs w:val="22"/>
                <w:highlight w:val="none"/>
                <w:lang w:val="en-US" w:eastAsia="zh-CN" w:bidi="ar-SA"/>
              </w:rPr>
              <w:t>分；</w:t>
            </w:r>
          </w:p>
          <w:p w14:paraId="46BBA3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40" w:firstLineChars="200"/>
              <w:jc w:val="both"/>
              <w:textAlignment w:val="auto"/>
              <w:outlineLvl w:val="9"/>
              <w:rPr>
                <w:rFonts w:hint="default" w:ascii="宋体" w:hAnsi="宋体" w:eastAsia="宋体" w:cs="宋体"/>
                <w:color w:val="auto"/>
                <w:kern w:val="2"/>
                <w:sz w:val="22"/>
                <w:szCs w:val="22"/>
                <w:highlight w:val="none"/>
                <w:lang w:val="en-US" w:eastAsia="zh-CN" w:bidi="ar-SA"/>
              </w:rPr>
            </w:pPr>
            <w:r>
              <w:rPr>
                <w:rFonts w:hint="default" w:ascii="宋体" w:hAnsi="宋体" w:eastAsia="宋体" w:cs="宋体"/>
                <w:color w:val="auto"/>
                <w:kern w:val="2"/>
                <w:sz w:val="22"/>
                <w:szCs w:val="22"/>
                <w:highlight w:val="none"/>
                <w:lang w:val="en-US" w:eastAsia="zh-CN" w:bidi="ar-SA"/>
              </w:rPr>
              <w:t>3、方案不完整或欠合理的，每项计</w:t>
            </w:r>
            <w:r>
              <w:rPr>
                <w:rFonts w:hint="eastAsia" w:ascii="宋体" w:hAnsi="宋体" w:eastAsia="宋体" w:cs="宋体"/>
                <w:color w:val="auto"/>
                <w:kern w:val="2"/>
                <w:sz w:val="22"/>
                <w:szCs w:val="22"/>
                <w:highlight w:val="none"/>
                <w:lang w:val="en-US" w:eastAsia="zh-CN" w:bidi="ar-SA"/>
              </w:rPr>
              <w:t>1</w:t>
            </w:r>
            <w:r>
              <w:rPr>
                <w:rFonts w:hint="default" w:ascii="宋体" w:hAnsi="宋体" w:eastAsia="宋体" w:cs="宋体"/>
                <w:color w:val="auto"/>
                <w:kern w:val="2"/>
                <w:sz w:val="22"/>
                <w:szCs w:val="22"/>
                <w:highlight w:val="none"/>
                <w:lang w:val="en-US" w:eastAsia="zh-CN" w:bidi="ar-SA"/>
              </w:rPr>
              <w:t>分；</w:t>
            </w:r>
          </w:p>
          <w:p w14:paraId="4403C4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40" w:firstLineChars="200"/>
              <w:jc w:val="both"/>
              <w:textAlignment w:val="auto"/>
              <w:outlineLvl w:val="9"/>
              <w:rPr>
                <w:rFonts w:hint="default" w:ascii="宋体" w:hAnsi="宋体" w:eastAsia="宋体" w:cs="宋体"/>
                <w:color w:val="auto"/>
                <w:kern w:val="2"/>
                <w:sz w:val="22"/>
                <w:szCs w:val="22"/>
                <w:highlight w:val="none"/>
                <w:lang w:val="en-US" w:eastAsia="zh-CN" w:bidi="ar-SA"/>
              </w:rPr>
            </w:pPr>
            <w:r>
              <w:rPr>
                <w:rFonts w:hint="default" w:ascii="宋体" w:hAnsi="宋体" w:eastAsia="宋体" w:cs="宋体"/>
                <w:color w:val="auto"/>
                <w:kern w:val="2"/>
                <w:sz w:val="22"/>
                <w:szCs w:val="22"/>
                <w:highlight w:val="none"/>
                <w:lang w:val="en-US" w:eastAsia="zh-CN" w:bidi="ar-SA"/>
              </w:rPr>
              <w:t>4、方案不合理或不符合实际情况的，该项不计分。</w:t>
            </w:r>
          </w:p>
          <w:p w14:paraId="61EF0B5E">
            <w:pPr>
              <w:keepNext w:val="0"/>
              <w:keepLines w:val="0"/>
              <w:widowControl w:val="0"/>
              <w:suppressLineNumbers w:val="0"/>
              <w:spacing w:before="0" w:beforeAutospacing="0" w:after="0" w:afterAutospacing="0"/>
              <w:ind w:left="0" w:right="0" w:firstLine="440" w:firstLineChars="200"/>
              <w:jc w:val="both"/>
              <w:outlineLvl w:val="9"/>
              <w:rPr>
                <w:rFonts w:hint="eastAsia" w:ascii="Calibri" w:hAnsi="Calibri" w:eastAsia="宋体" w:cs="Times New Roman"/>
                <w:color w:val="auto"/>
                <w:kern w:val="2"/>
                <w:sz w:val="21"/>
                <w:szCs w:val="21"/>
                <w:lang w:val="en-US" w:eastAsia="zh-CN" w:bidi="ar-SA"/>
              </w:rPr>
            </w:pPr>
            <w:r>
              <w:rPr>
                <w:rFonts w:hint="eastAsia" w:ascii="新宋体" w:hAnsi="新宋体" w:eastAsia="新宋体" w:cs="新宋体"/>
                <w:color w:val="auto"/>
                <w:kern w:val="2"/>
                <w:sz w:val="22"/>
                <w:szCs w:val="22"/>
                <w:highlight w:val="none"/>
                <w:lang w:val="en-US" w:eastAsia="zh-CN" w:bidi="ar-SA"/>
              </w:rPr>
              <w:t>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内容不完善等;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4B669B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261" w:type="pct"/>
            <w:vMerge w:val="continue"/>
            <w:tcBorders>
              <w:right w:val="single" w:color="auto" w:sz="4" w:space="0"/>
            </w:tcBorders>
            <w:noWrap w:val="0"/>
            <w:vAlign w:val="center"/>
          </w:tcPr>
          <w:p w14:paraId="4FBAFC33">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400" w:lineRule="exact"/>
              <w:ind w:left="0" w:right="0"/>
              <w:jc w:val="center"/>
              <w:textAlignment w:val="auto"/>
              <w:outlineLvl w:val="9"/>
              <w:rPr>
                <w:rFonts w:hint="eastAsia" w:ascii="新宋体" w:hAnsi="新宋体" w:eastAsia="新宋体" w:cs="新宋体"/>
                <w:color w:val="auto"/>
                <w:sz w:val="21"/>
                <w:szCs w:val="21"/>
                <w:highlight w:val="none"/>
              </w:rPr>
            </w:pPr>
          </w:p>
        </w:tc>
        <w:tc>
          <w:tcPr>
            <w:tcW w:w="698" w:type="pct"/>
            <w:vMerge w:val="continue"/>
            <w:tcBorders>
              <w:left w:val="single" w:color="auto" w:sz="4" w:space="0"/>
            </w:tcBorders>
            <w:noWrap w:val="0"/>
            <w:vAlign w:val="center"/>
          </w:tcPr>
          <w:p w14:paraId="705F77CA">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00" w:lineRule="exact"/>
              <w:ind w:left="0" w:right="0"/>
              <w:jc w:val="center"/>
              <w:textAlignment w:val="auto"/>
              <w:outlineLvl w:val="9"/>
              <w:rPr>
                <w:rFonts w:hint="eastAsia" w:ascii="新宋体" w:hAnsi="新宋体" w:eastAsia="新宋体" w:cs="新宋体"/>
                <w:color w:val="auto"/>
                <w:sz w:val="21"/>
                <w:szCs w:val="21"/>
                <w:highlight w:val="none"/>
              </w:rPr>
            </w:pPr>
          </w:p>
        </w:tc>
        <w:tc>
          <w:tcPr>
            <w:tcW w:w="563" w:type="pct"/>
            <w:noWrap w:val="0"/>
            <w:vAlign w:val="center"/>
          </w:tcPr>
          <w:p w14:paraId="720FBEEF">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outlineLvl w:val="9"/>
              <w:rPr>
                <w:rStyle w:val="28"/>
                <w:rFonts w:hint="default" w:ascii="仿宋" w:hAnsi="仿宋" w:eastAsia="仿宋" w:cs="仿宋"/>
                <w:b w:val="0"/>
                <w:color w:val="auto"/>
                <w:spacing w:val="0"/>
                <w:w w:val="100"/>
                <w:sz w:val="21"/>
                <w:szCs w:val="21"/>
                <w:highlight w:val="none"/>
                <w:lang w:val="en-US" w:eastAsia="zh-CN"/>
              </w:rPr>
            </w:pPr>
            <w:r>
              <w:rPr>
                <w:rFonts w:hint="eastAsia" w:ascii="宋体" w:hAnsi="宋体" w:cs="宋体"/>
                <w:color w:val="auto"/>
                <w:sz w:val="22"/>
                <w:szCs w:val="22"/>
                <w:lang w:val="en-US" w:eastAsia="zh-CN"/>
              </w:rPr>
              <w:t>专业设置（20分）</w:t>
            </w:r>
          </w:p>
        </w:tc>
        <w:tc>
          <w:tcPr>
            <w:tcW w:w="3475" w:type="pct"/>
            <w:noWrap w:val="0"/>
            <w:vAlign w:val="center"/>
          </w:tcPr>
          <w:p w14:paraId="16F2DC3D">
            <w:pPr>
              <w:keepNext w:val="0"/>
              <w:keepLines w:val="0"/>
              <w:widowControl w:val="0"/>
              <w:suppressLineNumbers w:val="0"/>
              <w:spacing w:before="0" w:beforeAutospacing="0" w:after="0" w:afterAutospacing="0"/>
              <w:ind w:left="0" w:right="0"/>
              <w:jc w:val="both"/>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w:t>
            </w:r>
            <w:r>
              <w:rPr>
                <w:rFonts w:hint="eastAsia" w:ascii="宋体" w:hAnsi="宋体" w:cs="宋体"/>
                <w:color w:val="auto"/>
                <w:kern w:val="2"/>
                <w:sz w:val="22"/>
                <w:szCs w:val="22"/>
                <w:lang w:val="en-US" w:eastAsia="zh-CN" w:bidi="ar-SA"/>
              </w:rPr>
              <w:t>10</w:t>
            </w:r>
            <w:r>
              <w:rPr>
                <w:rFonts w:hint="eastAsia" w:ascii="宋体" w:hAnsi="宋体" w:eastAsia="宋体" w:cs="宋体"/>
                <w:color w:val="auto"/>
                <w:kern w:val="2"/>
                <w:sz w:val="22"/>
                <w:szCs w:val="22"/>
                <w:lang w:val="en-US" w:eastAsia="zh-CN" w:bidi="ar-SA"/>
              </w:rPr>
              <w:t>分）专业课程体系：</w:t>
            </w:r>
          </w:p>
          <w:p w14:paraId="2384AB2C">
            <w:pPr>
              <w:keepNext w:val="0"/>
              <w:keepLines w:val="0"/>
              <w:widowControl w:val="0"/>
              <w:suppressLineNumbers w:val="0"/>
              <w:spacing w:before="0" w:beforeAutospacing="0" w:after="0" w:afterAutospacing="0"/>
              <w:ind w:left="0" w:leftChars="0" w:right="0" w:firstLine="440" w:firstLineChars="200"/>
              <w:jc w:val="both"/>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1）投标人为高校的，开设</w:t>
            </w:r>
            <w:r>
              <w:rPr>
                <w:rFonts w:hint="eastAsia" w:ascii="宋体" w:hAnsi="宋体" w:cs="宋体"/>
                <w:color w:val="auto"/>
                <w:kern w:val="2"/>
                <w:sz w:val="22"/>
                <w:szCs w:val="22"/>
                <w:lang w:val="en-US" w:eastAsia="zh-CN" w:bidi="ar-SA"/>
              </w:rPr>
              <w:t>了与本项目所投包</w:t>
            </w:r>
            <w:r>
              <w:rPr>
                <w:rFonts w:hint="eastAsia" w:ascii="宋体" w:hAnsi="宋体" w:eastAsia="宋体" w:cs="宋体"/>
                <w:color w:val="auto"/>
                <w:kern w:val="2"/>
                <w:sz w:val="22"/>
                <w:szCs w:val="22"/>
                <w:lang w:val="en-US" w:eastAsia="zh-CN" w:bidi="ar-SA"/>
              </w:rPr>
              <w:t>相关专业课程</w:t>
            </w:r>
            <w:r>
              <w:rPr>
                <w:rFonts w:hint="eastAsia" w:ascii="宋体" w:hAnsi="宋体" w:cs="宋体"/>
                <w:color w:val="auto"/>
                <w:kern w:val="2"/>
                <w:sz w:val="22"/>
                <w:szCs w:val="22"/>
                <w:lang w:val="en-US" w:eastAsia="zh-CN" w:bidi="ar-SA"/>
              </w:rPr>
              <w:t>的</w:t>
            </w:r>
            <w:r>
              <w:rPr>
                <w:rFonts w:hint="eastAsia" w:ascii="宋体" w:hAnsi="宋体" w:eastAsia="宋体" w:cs="宋体"/>
                <w:color w:val="auto"/>
                <w:kern w:val="2"/>
                <w:sz w:val="22"/>
                <w:szCs w:val="22"/>
                <w:lang w:val="en-US" w:eastAsia="zh-CN" w:bidi="ar-SA"/>
              </w:rPr>
              <w:t>计</w:t>
            </w:r>
            <w:r>
              <w:rPr>
                <w:rFonts w:hint="eastAsia" w:ascii="宋体" w:hAnsi="宋体" w:cs="宋体"/>
                <w:color w:val="auto"/>
                <w:kern w:val="2"/>
                <w:sz w:val="22"/>
                <w:szCs w:val="22"/>
                <w:lang w:val="en-US" w:eastAsia="zh-CN" w:bidi="ar-SA"/>
              </w:rPr>
              <w:t>10</w:t>
            </w:r>
            <w:r>
              <w:rPr>
                <w:rFonts w:hint="eastAsia" w:ascii="宋体" w:hAnsi="宋体" w:eastAsia="宋体" w:cs="宋体"/>
                <w:color w:val="auto"/>
                <w:kern w:val="2"/>
                <w:sz w:val="22"/>
                <w:szCs w:val="22"/>
                <w:lang w:val="en-US" w:eastAsia="zh-CN" w:bidi="ar-SA"/>
              </w:rPr>
              <w:t>分；</w:t>
            </w:r>
          </w:p>
          <w:p w14:paraId="1015DD6F">
            <w:pPr>
              <w:keepNext w:val="0"/>
              <w:keepLines w:val="0"/>
              <w:widowControl w:val="0"/>
              <w:suppressLineNumbers w:val="0"/>
              <w:spacing w:before="0" w:beforeAutospacing="0" w:after="0" w:afterAutospacing="0"/>
              <w:ind w:left="0" w:leftChars="0" w:right="0" w:firstLine="440" w:firstLineChars="200"/>
              <w:jc w:val="both"/>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2）投标人为培训机构的，</w:t>
            </w:r>
            <w:r>
              <w:rPr>
                <w:rFonts w:hint="eastAsia" w:ascii="宋体" w:hAnsi="宋体" w:cs="宋体"/>
                <w:color w:val="auto"/>
                <w:kern w:val="2"/>
                <w:sz w:val="22"/>
                <w:szCs w:val="22"/>
                <w:lang w:val="en-US" w:eastAsia="zh-CN" w:bidi="ar-SA"/>
              </w:rPr>
              <w:t>开设了</w:t>
            </w:r>
            <w:r>
              <w:rPr>
                <w:rFonts w:hint="eastAsia" w:ascii="宋体" w:hAnsi="宋体" w:eastAsia="宋体" w:cs="宋体"/>
                <w:color w:val="auto"/>
                <w:kern w:val="2"/>
                <w:sz w:val="22"/>
                <w:szCs w:val="22"/>
                <w:lang w:val="en-US" w:eastAsia="zh-CN" w:bidi="ar-SA"/>
              </w:rPr>
              <w:t>与本项目所投包的培训主题相关</w:t>
            </w:r>
            <w:r>
              <w:rPr>
                <w:rFonts w:hint="eastAsia" w:ascii="宋体" w:hAnsi="宋体" w:cs="宋体"/>
                <w:color w:val="auto"/>
                <w:kern w:val="2"/>
                <w:sz w:val="22"/>
                <w:szCs w:val="22"/>
                <w:lang w:val="en-US" w:eastAsia="zh-CN" w:bidi="ar-SA"/>
              </w:rPr>
              <w:t>培训</w:t>
            </w:r>
            <w:r>
              <w:rPr>
                <w:rFonts w:hint="eastAsia" w:ascii="宋体" w:hAnsi="宋体" w:eastAsia="宋体" w:cs="宋体"/>
                <w:color w:val="auto"/>
                <w:kern w:val="2"/>
                <w:sz w:val="22"/>
                <w:szCs w:val="22"/>
                <w:lang w:val="en-US" w:eastAsia="zh-CN" w:bidi="ar-SA"/>
              </w:rPr>
              <w:t>的计</w:t>
            </w:r>
            <w:r>
              <w:rPr>
                <w:rFonts w:hint="eastAsia" w:ascii="宋体" w:hAnsi="宋体" w:cs="宋体"/>
                <w:color w:val="auto"/>
                <w:kern w:val="2"/>
                <w:sz w:val="22"/>
                <w:szCs w:val="22"/>
                <w:lang w:val="en-US" w:eastAsia="zh-CN" w:bidi="ar-SA"/>
              </w:rPr>
              <w:t>10</w:t>
            </w:r>
            <w:r>
              <w:rPr>
                <w:rFonts w:hint="eastAsia" w:ascii="宋体" w:hAnsi="宋体" w:eastAsia="宋体" w:cs="宋体"/>
                <w:color w:val="auto"/>
                <w:kern w:val="2"/>
                <w:sz w:val="22"/>
                <w:szCs w:val="22"/>
                <w:lang w:val="en-US" w:eastAsia="zh-CN" w:bidi="ar-SA"/>
              </w:rPr>
              <w:t>分。</w:t>
            </w:r>
          </w:p>
          <w:p w14:paraId="5E32680F">
            <w:pPr>
              <w:keepNext w:val="0"/>
              <w:keepLines w:val="0"/>
              <w:widowControl w:val="0"/>
              <w:suppressLineNumbers w:val="0"/>
              <w:spacing w:before="0" w:beforeAutospacing="0" w:after="0" w:afterAutospacing="0"/>
              <w:ind w:left="0" w:leftChars="0" w:right="0" w:firstLine="440" w:firstLineChars="200"/>
              <w:jc w:val="both"/>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注：本项最多计</w:t>
            </w:r>
            <w:r>
              <w:rPr>
                <w:rFonts w:hint="eastAsia" w:ascii="宋体" w:hAnsi="宋体" w:cs="宋体"/>
                <w:color w:val="auto"/>
                <w:kern w:val="2"/>
                <w:sz w:val="22"/>
                <w:szCs w:val="22"/>
                <w:lang w:val="en-US" w:eastAsia="zh-CN" w:bidi="ar-SA"/>
              </w:rPr>
              <w:t>10</w:t>
            </w:r>
            <w:r>
              <w:rPr>
                <w:rFonts w:hint="eastAsia" w:ascii="宋体" w:hAnsi="宋体" w:eastAsia="宋体" w:cs="宋体"/>
                <w:color w:val="auto"/>
                <w:kern w:val="2"/>
                <w:sz w:val="22"/>
                <w:szCs w:val="22"/>
                <w:lang w:val="en-US" w:eastAsia="zh-CN" w:bidi="ar-SA"/>
              </w:rPr>
              <w:t>分，须提供相关的证明材料。评审标准中对所投包相关专业</w:t>
            </w:r>
            <w:r>
              <w:rPr>
                <w:rFonts w:hint="eastAsia" w:ascii="宋体" w:hAnsi="宋体" w:cs="宋体"/>
                <w:color w:val="auto"/>
                <w:kern w:val="2"/>
                <w:sz w:val="22"/>
                <w:szCs w:val="22"/>
                <w:lang w:val="en-US" w:eastAsia="zh-CN" w:bidi="ar-SA"/>
              </w:rPr>
              <w:t>（培训）</w:t>
            </w:r>
            <w:r>
              <w:rPr>
                <w:rFonts w:hint="eastAsia" w:ascii="宋体" w:hAnsi="宋体" w:eastAsia="宋体" w:cs="宋体"/>
                <w:color w:val="auto"/>
                <w:kern w:val="2"/>
                <w:sz w:val="22"/>
                <w:szCs w:val="22"/>
                <w:lang w:val="en-US" w:eastAsia="zh-CN" w:bidi="ar-SA"/>
              </w:rPr>
              <w:t>的认定，</w:t>
            </w:r>
            <w:r>
              <w:rPr>
                <w:rFonts w:hint="eastAsia" w:ascii="宋体" w:hAnsi="宋体" w:cs="宋体"/>
                <w:color w:val="auto"/>
                <w:kern w:val="2"/>
                <w:sz w:val="22"/>
                <w:szCs w:val="22"/>
                <w:lang w:val="en-US" w:eastAsia="zh-CN" w:bidi="ar-SA"/>
              </w:rPr>
              <w:t>以</w:t>
            </w:r>
            <w:r>
              <w:rPr>
                <w:rFonts w:hint="eastAsia" w:ascii="宋体" w:hAnsi="宋体" w:eastAsia="宋体" w:cs="宋体"/>
                <w:color w:val="auto"/>
                <w:kern w:val="2"/>
                <w:sz w:val="22"/>
                <w:szCs w:val="22"/>
                <w:lang w:val="en-US" w:eastAsia="zh-CN" w:bidi="ar-SA"/>
              </w:rPr>
              <w:t>评标委员会集体商议为准。</w:t>
            </w:r>
          </w:p>
          <w:p w14:paraId="5CE5123C">
            <w:pPr>
              <w:keepNext w:val="0"/>
              <w:keepLines w:val="0"/>
              <w:widowControl w:val="0"/>
              <w:suppressLineNumbers w:val="0"/>
              <w:spacing w:before="0" w:beforeAutospacing="0" w:after="0" w:afterAutospacing="0"/>
              <w:ind w:left="0" w:leftChars="0" w:right="0" w:firstLine="0" w:firstLineChars="0"/>
              <w:jc w:val="both"/>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2、（</w:t>
            </w:r>
            <w:r>
              <w:rPr>
                <w:rFonts w:hint="eastAsia" w:ascii="宋体" w:hAnsi="宋体" w:cs="宋体"/>
                <w:color w:val="auto"/>
                <w:kern w:val="2"/>
                <w:sz w:val="22"/>
                <w:szCs w:val="22"/>
                <w:lang w:val="en-US" w:eastAsia="zh-CN" w:bidi="ar-SA"/>
              </w:rPr>
              <w:t>10</w:t>
            </w:r>
            <w:r>
              <w:rPr>
                <w:rFonts w:hint="eastAsia" w:ascii="宋体" w:hAnsi="宋体" w:eastAsia="宋体" w:cs="宋体"/>
                <w:color w:val="auto"/>
                <w:kern w:val="2"/>
                <w:sz w:val="22"/>
                <w:szCs w:val="22"/>
                <w:lang w:val="en-US" w:eastAsia="zh-CN" w:bidi="ar-SA"/>
              </w:rPr>
              <w:t>分）示范基地建设：投标人获得所投包的培训主题相关方向</w:t>
            </w:r>
            <w:r>
              <w:rPr>
                <w:rFonts w:hint="eastAsia" w:ascii="宋体" w:hAnsi="宋体" w:cs="宋体"/>
                <w:color w:val="auto"/>
                <w:kern w:val="2"/>
                <w:sz w:val="22"/>
                <w:szCs w:val="22"/>
                <w:lang w:val="en-US" w:eastAsia="zh-CN" w:bidi="ar-SA"/>
              </w:rPr>
              <w:t>（专业）</w:t>
            </w:r>
            <w:r>
              <w:rPr>
                <w:rFonts w:hint="eastAsia" w:ascii="宋体" w:hAnsi="宋体" w:eastAsia="宋体" w:cs="宋体"/>
                <w:color w:val="auto"/>
                <w:kern w:val="2"/>
                <w:sz w:val="22"/>
                <w:szCs w:val="22"/>
                <w:lang w:val="en-US" w:eastAsia="zh-CN" w:bidi="ar-SA"/>
              </w:rPr>
              <w:t>政府部门认定的示范基地，省级及以上基地一个计</w:t>
            </w:r>
            <w:r>
              <w:rPr>
                <w:rFonts w:hint="eastAsia" w:ascii="宋体" w:hAnsi="宋体" w:cs="宋体"/>
                <w:color w:val="auto"/>
                <w:kern w:val="2"/>
                <w:sz w:val="22"/>
                <w:szCs w:val="22"/>
                <w:lang w:val="en-US" w:eastAsia="zh-CN" w:bidi="ar-SA"/>
              </w:rPr>
              <w:t>10</w:t>
            </w:r>
            <w:r>
              <w:rPr>
                <w:rFonts w:hint="eastAsia" w:ascii="宋体" w:hAnsi="宋体" w:eastAsia="宋体" w:cs="宋体"/>
                <w:color w:val="auto"/>
                <w:kern w:val="2"/>
                <w:sz w:val="22"/>
                <w:szCs w:val="22"/>
                <w:lang w:val="en-US" w:eastAsia="zh-CN" w:bidi="ar-SA"/>
              </w:rPr>
              <w:t>分，市（州）级基地一个计</w:t>
            </w:r>
            <w:r>
              <w:rPr>
                <w:rFonts w:hint="eastAsia" w:ascii="宋体" w:hAnsi="宋体" w:cs="宋体"/>
                <w:color w:val="auto"/>
                <w:kern w:val="2"/>
                <w:sz w:val="22"/>
                <w:szCs w:val="22"/>
                <w:lang w:val="en-US" w:eastAsia="zh-CN" w:bidi="ar-SA"/>
              </w:rPr>
              <w:t>5</w:t>
            </w:r>
            <w:r>
              <w:rPr>
                <w:rFonts w:hint="eastAsia" w:ascii="宋体" w:hAnsi="宋体" w:eastAsia="宋体" w:cs="宋体"/>
                <w:color w:val="auto"/>
                <w:kern w:val="2"/>
                <w:sz w:val="22"/>
                <w:szCs w:val="22"/>
                <w:lang w:val="en-US" w:eastAsia="zh-CN" w:bidi="ar-SA"/>
              </w:rPr>
              <w:t>分</w:t>
            </w:r>
            <w:r>
              <w:rPr>
                <w:rFonts w:hint="eastAsia" w:ascii="宋体" w:hAnsi="宋体" w:cs="宋体"/>
                <w:color w:val="auto"/>
                <w:kern w:val="2"/>
                <w:sz w:val="22"/>
                <w:szCs w:val="22"/>
                <w:lang w:val="en-US" w:eastAsia="zh-CN" w:bidi="ar-SA"/>
              </w:rPr>
              <w:t>，最多计一个</w:t>
            </w:r>
            <w:r>
              <w:rPr>
                <w:rFonts w:hint="eastAsia" w:ascii="宋体" w:hAnsi="宋体" w:eastAsia="宋体" w:cs="宋体"/>
                <w:color w:val="auto"/>
                <w:kern w:val="2"/>
                <w:sz w:val="22"/>
                <w:szCs w:val="22"/>
                <w:lang w:val="en-US" w:eastAsia="zh-CN" w:bidi="ar-SA"/>
              </w:rPr>
              <w:t>。</w:t>
            </w:r>
          </w:p>
          <w:p w14:paraId="399549CC">
            <w:pPr>
              <w:keepNext w:val="0"/>
              <w:keepLines w:val="0"/>
              <w:widowControl w:val="0"/>
              <w:suppressLineNumbers w:val="0"/>
              <w:spacing w:before="0" w:beforeAutospacing="0" w:after="0" w:afterAutospacing="0"/>
              <w:ind w:left="0" w:right="0" w:firstLine="440" w:firstLineChars="200"/>
              <w:jc w:val="both"/>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注：须提供相关证明材料（如认定文件、合作协议等），如为有合作关系的单位获得，还须提供合作协议书和合作单位在“农民教育培训信息管理系统”的入库单位信息网页截图。未提供的或提供资料不满足要求的不计分。</w:t>
            </w:r>
          </w:p>
          <w:p w14:paraId="6F1B1F9C">
            <w:pPr>
              <w:pStyle w:val="31"/>
              <w:keepNext w:val="0"/>
              <w:keepLines w:val="0"/>
              <w:suppressLineNumbers w:val="0"/>
              <w:spacing w:before="0" w:beforeAutospacing="0" w:after="0" w:afterAutospacing="0"/>
              <w:ind w:left="0" w:right="0"/>
              <w:rPr>
                <w:rFonts w:hint="default"/>
                <w:color w:val="auto"/>
                <w:lang w:val="en-US" w:eastAsia="zh-CN"/>
              </w:rPr>
            </w:pPr>
            <w:r>
              <w:rPr>
                <w:rFonts w:hint="eastAsia" w:ascii="宋体" w:hAnsi="宋体" w:cs="宋体"/>
                <w:color w:val="auto"/>
                <w:kern w:val="2"/>
                <w:sz w:val="22"/>
                <w:szCs w:val="22"/>
                <w:lang w:val="en-US" w:eastAsia="zh-CN" w:bidi="ar-SA"/>
              </w:rPr>
              <w:t>评审标准中对所投包相关专业的认定，以评标委员会集体商议为准。</w:t>
            </w:r>
          </w:p>
        </w:tc>
      </w:tr>
      <w:tr w14:paraId="54097B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3" w:hRule="atLeast"/>
          <w:jc w:val="center"/>
        </w:trPr>
        <w:tc>
          <w:tcPr>
            <w:tcW w:w="261" w:type="pct"/>
            <w:vMerge w:val="continue"/>
            <w:tcBorders>
              <w:right w:val="single" w:color="auto" w:sz="4" w:space="0"/>
            </w:tcBorders>
            <w:noWrap w:val="0"/>
            <w:vAlign w:val="center"/>
          </w:tcPr>
          <w:p w14:paraId="665766AA">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400" w:lineRule="exact"/>
              <w:ind w:left="0" w:right="0"/>
              <w:jc w:val="center"/>
              <w:textAlignment w:val="auto"/>
              <w:outlineLvl w:val="9"/>
              <w:rPr>
                <w:rFonts w:hint="eastAsia" w:ascii="新宋体" w:hAnsi="新宋体" w:eastAsia="新宋体" w:cs="新宋体"/>
                <w:color w:val="auto"/>
                <w:sz w:val="21"/>
                <w:szCs w:val="21"/>
                <w:highlight w:val="none"/>
              </w:rPr>
            </w:pPr>
          </w:p>
        </w:tc>
        <w:tc>
          <w:tcPr>
            <w:tcW w:w="698" w:type="pct"/>
            <w:vMerge w:val="continue"/>
            <w:tcBorders>
              <w:left w:val="single" w:color="auto" w:sz="4" w:space="0"/>
            </w:tcBorders>
            <w:noWrap w:val="0"/>
            <w:vAlign w:val="center"/>
          </w:tcPr>
          <w:p w14:paraId="6028D09B">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00" w:lineRule="exact"/>
              <w:ind w:left="0" w:right="0"/>
              <w:jc w:val="center"/>
              <w:textAlignment w:val="auto"/>
              <w:outlineLvl w:val="9"/>
              <w:rPr>
                <w:rFonts w:hint="eastAsia" w:ascii="新宋体" w:hAnsi="新宋体" w:eastAsia="新宋体" w:cs="新宋体"/>
                <w:color w:val="auto"/>
                <w:sz w:val="21"/>
                <w:szCs w:val="21"/>
                <w:highlight w:val="none"/>
              </w:rPr>
            </w:pPr>
          </w:p>
        </w:tc>
        <w:tc>
          <w:tcPr>
            <w:tcW w:w="563" w:type="pct"/>
            <w:tcBorders>
              <w:bottom w:val="single" w:color="auto" w:sz="4" w:space="0"/>
            </w:tcBorders>
            <w:noWrap w:val="0"/>
            <w:vAlign w:val="center"/>
          </w:tcPr>
          <w:p w14:paraId="6679909C">
            <w:pPr>
              <w:keepNext w:val="0"/>
              <w:keepLines w:val="0"/>
              <w:suppressLineNumbers w:val="0"/>
              <w:spacing w:before="0" w:beforeAutospacing="0" w:after="0" w:afterAutospacing="0"/>
              <w:ind w:left="0" w:right="0"/>
              <w:jc w:val="center"/>
              <w:outlineLvl w:val="9"/>
              <w:rPr>
                <w:rStyle w:val="28"/>
                <w:rFonts w:hint="default" w:ascii="仿宋" w:hAnsi="仿宋" w:eastAsia="仿宋" w:cs="仿宋"/>
                <w:b w:val="0"/>
                <w:color w:val="auto"/>
                <w:spacing w:val="0"/>
                <w:w w:val="100"/>
                <w:sz w:val="21"/>
                <w:szCs w:val="21"/>
                <w:highlight w:val="none"/>
                <w:lang w:val="en-US" w:eastAsia="zh-CN"/>
              </w:rPr>
            </w:pPr>
            <w:r>
              <w:rPr>
                <w:rFonts w:hint="eastAsia" w:ascii="新宋体" w:hAnsi="新宋体" w:eastAsia="新宋体" w:cs="新宋体"/>
                <w:color w:val="auto"/>
                <w:sz w:val="22"/>
                <w:szCs w:val="22"/>
                <w:highlight w:val="none"/>
                <w:lang w:eastAsia="zh-CN"/>
              </w:rPr>
              <w:t>培训场所（</w:t>
            </w:r>
            <w:r>
              <w:rPr>
                <w:rFonts w:hint="eastAsia" w:ascii="新宋体" w:hAnsi="新宋体" w:eastAsia="新宋体" w:cs="新宋体"/>
                <w:color w:val="auto"/>
                <w:sz w:val="22"/>
                <w:szCs w:val="22"/>
                <w:highlight w:val="none"/>
                <w:lang w:val="en-US" w:eastAsia="zh-CN"/>
              </w:rPr>
              <w:t>10分</w:t>
            </w:r>
            <w:r>
              <w:rPr>
                <w:rFonts w:hint="eastAsia" w:ascii="新宋体" w:hAnsi="新宋体" w:eastAsia="新宋体" w:cs="新宋体"/>
                <w:color w:val="auto"/>
                <w:sz w:val="22"/>
                <w:szCs w:val="22"/>
                <w:highlight w:val="none"/>
                <w:lang w:eastAsia="zh-CN"/>
              </w:rPr>
              <w:t>）</w:t>
            </w:r>
          </w:p>
        </w:tc>
        <w:tc>
          <w:tcPr>
            <w:tcW w:w="3475" w:type="pct"/>
            <w:tcBorders>
              <w:bottom w:val="single" w:color="auto" w:sz="4" w:space="0"/>
            </w:tcBorders>
            <w:noWrap w:val="0"/>
            <w:vAlign w:val="center"/>
          </w:tcPr>
          <w:p w14:paraId="270165E0">
            <w:pPr>
              <w:keepNext w:val="0"/>
              <w:keepLines w:val="0"/>
              <w:widowControl w:val="0"/>
              <w:suppressLineNumbers w:val="0"/>
              <w:spacing w:before="0" w:beforeAutospacing="0" w:after="0" w:afterAutospacing="0"/>
              <w:ind w:left="0" w:leftChars="0" w:right="0" w:firstLine="440" w:firstLineChars="200"/>
              <w:jc w:val="both"/>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投标人自属培训场所或租赁培训场所，满足学员集中授课、食宿所需的教学设备、食堂、宿舍，同时承诺配备全面并能满足容纳培训人数不少于100人的，计10分。本项最多计10分，未提供的不计分。</w:t>
            </w:r>
          </w:p>
          <w:p w14:paraId="533D2D39">
            <w:pPr>
              <w:keepNext w:val="0"/>
              <w:keepLines w:val="0"/>
              <w:widowControl w:val="0"/>
              <w:suppressLineNumbers w:val="0"/>
              <w:spacing w:before="0" w:beforeAutospacing="0" w:after="0" w:afterAutospacing="0"/>
              <w:ind w:left="0" w:leftChars="0" w:right="0" w:firstLine="440" w:firstLineChars="200"/>
              <w:jc w:val="both"/>
              <w:outlineLvl w:val="9"/>
              <w:rPr>
                <w:rStyle w:val="28"/>
                <w:rFonts w:hint="eastAsia" w:ascii="新宋体" w:hAnsi="新宋体" w:eastAsia="新宋体" w:cs="新宋体"/>
                <w:b w:val="0"/>
                <w:color w:val="auto"/>
                <w:spacing w:val="0"/>
                <w:w w:val="100"/>
                <w:kern w:val="2"/>
                <w:sz w:val="21"/>
                <w:szCs w:val="21"/>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注:培训场所为自有的，投标文件中须同时提供相关的不动产登记证明(不动产登记证或土地证)材料及承诺函(格式自拟);培训场所为租赁的，投标文件须同时提供租赁合同及承诺函(格式自拟)证明材料。</w:t>
            </w:r>
          </w:p>
        </w:tc>
      </w:tr>
      <w:tr w14:paraId="0DB451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261" w:type="pct"/>
            <w:vMerge w:val="restart"/>
            <w:tcBorders>
              <w:right w:val="single" w:color="auto" w:sz="4" w:space="0"/>
            </w:tcBorders>
            <w:noWrap w:val="0"/>
            <w:vAlign w:val="center"/>
          </w:tcPr>
          <w:p w14:paraId="6A606DFB">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400" w:lineRule="exact"/>
              <w:ind w:left="0" w:right="0"/>
              <w:jc w:val="center"/>
              <w:textAlignment w:val="auto"/>
              <w:outlineLvl w:val="9"/>
              <w:rPr>
                <w:rFonts w:hint="eastAsia" w:ascii="新宋体" w:hAnsi="新宋体" w:eastAsia="新宋体" w:cs="新宋体"/>
                <w:color w:val="auto"/>
                <w:sz w:val="21"/>
                <w:szCs w:val="21"/>
                <w:highlight w:val="none"/>
              </w:rPr>
            </w:pPr>
          </w:p>
        </w:tc>
        <w:tc>
          <w:tcPr>
            <w:tcW w:w="698" w:type="pct"/>
            <w:vMerge w:val="restart"/>
            <w:tcBorders>
              <w:left w:val="single" w:color="auto" w:sz="4" w:space="0"/>
            </w:tcBorders>
            <w:noWrap w:val="0"/>
            <w:vAlign w:val="center"/>
          </w:tcPr>
          <w:p w14:paraId="7D753DCB">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00" w:lineRule="exact"/>
              <w:ind w:left="0" w:right="0"/>
              <w:jc w:val="center"/>
              <w:textAlignment w:val="auto"/>
              <w:outlineLvl w:val="9"/>
              <w:rPr>
                <w:rFonts w:hint="eastAsia" w:ascii="新宋体" w:hAnsi="新宋体" w:eastAsia="新宋体" w:cs="新宋体"/>
                <w:color w:val="auto"/>
                <w:sz w:val="21"/>
                <w:szCs w:val="21"/>
                <w:highlight w:val="none"/>
              </w:rPr>
            </w:pPr>
          </w:p>
        </w:tc>
        <w:tc>
          <w:tcPr>
            <w:tcW w:w="563" w:type="pct"/>
            <w:tcBorders>
              <w:bottom w:val="single" w:color="auto" w:sz="4" w:space="0"/>
            </w:tcBorders>
            <w:noWrap w:val="0"/>
            <w:vAlign w:val="center"/>
          </w:tcPr>
          <w:p w14:paraId="3B717E9A">
            <w:pPr>
              <w:keepNext w:val="0"/>
              <w:keepLines w:val="0"/>
              <w:suppressLineNumbers w:val="0"/>
              <w:spacing w:before="0" w:beforeAutospacing="0" w:after="0" w:afterAutospacing="0"/>
              <w:ind w:left="0" w:right="0"/>
              <w:jc w:val="center"/>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eastAsia="zh-CN"/>
              </w:rPr>
              <w:t>质量保证方案（</w:t>
            </w:r>
            <w:r>
              <w:rPr>
                <w:rFonts w:hint="eastAsia" w:ascii="新宋体" w:hAnsi="新宋体" w:eastAsia="新宋体" w:cs="新宋体"/>
                <w:color w:val="auto"/>
                <w:sz w:val="22"/>
                <w:szCs w:val="22"/>
                <w:highlight w:val="none"/>
                <w:lang w:val="en-US" w:eastAsia="zh-CN"/>
              </w:rPr>
              <w:t>18分</w:t>
            </w:r>
            <w:r>
              <w:rPr>
                <w:rFonts w:hint="eastAsia" w:ascii="新宋体" w:hAnsi="新宋体" w:eastAsia="新宋体" w:cs="新宋体"/>
                <w:color w:val="auto"/>
                <w:sz w:val="22"/>
                <w:szCs w:val="22"/>
                <w:highlight w:val="none"/>
                <w:lang w:eastAsia="zh-CN"/>
              </w:rPr>
              <w:t>）</w:t>
            </w:r>
          </w:p>
        </w:tc>
        <w:tc>
          <w:tcPr>
            <w:tcW w:w="3475" w:type="pct"/>
            <w:tcBorders>
              <w:bottom w:val="single" w:color="auto" w:sz="4" w:space="0"/>
            </w:tcBorders>
            <w:noWrap w:val="0"/>
            <w:vAlign w:val="center"/>
          </w:tcPr>
          <w:p w14:paraId="63ABC53A">
            <w:pPr>
              <w:keepNext w:val="0"/>
              <w:keepLines w:val="0"/>
              <w:widowControl w:val="0"/>
              <w:suppressLineNumbers w:val="0"/>
              <w:spacing w:before="0" w:beforeAutospacing="0" w:after="0" w:afterAutospacing="0"/>
              <w:ind w:left="0" w:leftChars="0" w:right="0" w:firstLine="440" w:firstLineChars="200"/>
              <w:jc w:val="both"/>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根据投标人针对本项目的质量保证方案，内容包括但不限于①培训班管理制度;②)培育组织安全质量管理方案;③质量控制保证措施;④进度保证控制;⑤应急管理方案;⑥信息档案制度。</w:t>
            </w:r>
          </w:p>
          <w:p w14:paraId="2A082F73">
            <w:pPr>
              <w:keepNext w:val="0"/>
              <w:keepLines w:val="0"/>
              <w:widowControl w:val="0"/>
              <w:suppressLineNumbers w:val="0"/>
              <w:spacing w:before="0" w:beforeAutospacing="0" w:after="0" w:afterAutospacing="0"/>
              <w:ind w:left="0" w:leftChars="0" w:right="0" w:firstLine="440" w:firstLineChars="200"/>
              <w:jc w:val="both"/>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投标人提供的质量保证方案包括以上6项的，每项计基本分1分，缺项不计分且不参与分档计分。基本项最多计6分。</w:t>
            </w:r>
          </w:p>
          <w:p w14:paraId="231B127E">
            <w:pPr>
              <w:keepNext w:val="0"/>
              <w:keepLines w:val="0"/>
              <w:widowControl w:val="0"/>
              <w:suppressLineNumbers w:val="0"/>
              <w:spacing w:before="0" w:beforeAutospacing="0" w:after="0" w:afterAutospacing="0"/>
              <w:ind w:left="0" w:leftChars="0" w:right="0" w:firstLine="440" w:firstLineChars="200"/>
              <w:jc w:val="both"/>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方案包含以上基本项的按以下标准进行分档计分，每项最高计2分，6项分档计分总分最高计12分：</w:t>
            </w:r>
          </w:p>
          <w:p w14:paraId="382EEE0A">
            <w:pPr>
              <w:keepNext w:val="0"/>
              <w:keepLines w:val="0"/>
              <w:widowControl w:val="0"/>
              <w:suppressLineNumbers w:val="0"/>
              <w:spacing w:before="0" w:beforeAutospacing="0" w:after="0" w:afterAutospacing="0"/>
              <w:ind w:left="0" w:leftChars="0" w:right="0" w:firstLine="440" w:firstLineChars="200"/>
              <w:jc w:val="both"/>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1、方案完善、完全满足项目实际情况并合理可行的，每项计2分；</w:t>
            </w:r>
          </w:p>
          <w:p w14:paraId="3C4498B1">
            <w:pPr>
              <w:keepNext w:val="0"/>
              <w:keepLines w:val="0"/>
              <w:widowControl w:val="0"/>
              <w:suppressLineNumbers w:val="0"/>
              <w:spacing w:before="0" w:beforeAutospacing="0" w:after="0" w:afterAutospacing="0"/>
              <w:ind w:left="0" w:leftChars="0" w:right="0" w:firstLine="440" w:firstLineChars="200"/>
              <w:jc w:val="both"/>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2、方案欠完善或有欠缺，基本满足项目需求合理可行的，每项计1.5分；</w:t>
            </w:r>
          </w:p>
          <w:p w14:paraId="1044705A">
            <w:pPr>
              <w:keepNext w:val="0"/>
              <w:keepLines w:val="0"/>
              <w:widowControl w:val="0"/>
              <w:suppressLineNumbers w:val="0"/>
              <w:spacing w:before="0" w:beforeAutospacing="0" w:after="0" w:afterAutospacing="0"/>
              <w:ind w:left="0" w:leftChars="0" w:right="0" w:firstLine="440" w:firstLineChars="200"/>
              <w:jc w:val="both"/>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3、方案不完整或欠合理的，每项计1分；</w:t>
            </w:r>
          </w:p>
          <w:p w14:paraId="57CE3BED">
            <w:pPr>
              <w:keepNext w:val="0"/>
              <w:keepLines w:val="0"/>
              <w:widowControl w:val="0"/>
              <w:suppressLineNumbers w:val="0"/>
              <w:spacing w:before="0" w:beforeAutospacing="0" w:after="0" w:afterAutospacing="0"/>
              <w:ind w:left="0" w:leftChars="0" w:right="0" w:firstLine="440" w:firstLineChars="200"/>
              <w:jc w:val="both"/>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4、方案不合理或不符合实际情况的，该项不计分。</w:t>
            </w:r>
          </w:p>
          <w:p w14:paraId="1238E07F">
            <w:pPr>
              <w:keepNext w:val="0"/>
              <w:keepLines w:val="0"/>
              <w:widowControl w:val="0"/>
              <w:suppressLineNumbers w:val="0"/>
              <w:spacing w:before="0" w:beforeAutospacing="0" w:after="0" w:afterAutospacing="0"/>
              <w:ind w:left="0" w:leftChars="0" w:right="0" w:firstLine="440" w:firstLineChars="200"/>
              <w:jc w:val="both"/>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内容不完善等;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68189E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3" w:hRule="atLeast"/>
          <w:jc w:val="center"/>
        </w:trPr>
        <w:tc>
          <w:tcPr>
            <w:tcW w:w="261" w:type="pct"/>
            <w:vMerge w:val="continue"/>
            <w:tcBorders>
              <w:right w:val="single" w:color="auto" w:sz="4" w:space="0"/>
            </w:tcBorders>
            <w:noWrap w:val="0"/>
            <w:vAlign w:val="center"/>
          </w:tcPr>
          <w:p w14:paraId="36D07049">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400" w:lineRule="exact"/>
              <w:ind w:left="0" w:right="0"/>
              <w:jc w:val="center"/>
              <w:textAlignment w:val="auto"/>
              <w:outlineLvl w:val="9"/>
              <w:rPr>
                <w:rFonts w:hint="eastAsia" w:ascii="新宋体" w:hAnsi="新宋体" w:eastAsia="新宋体" w:cs="新宋体"/>
                <w:color w:val="auto"/>
                <w:sz w:val="21"/>
                <w:szCs w:val="21"/>
                <w:highlight w:val="none"/>
              </w:rPr>
            </w:pPr>
          </w:p>
        </w:tc>
        <w:tc>
          <w:tcPr>
            <w:tcW w:w="698" w:type="pct"/>
            <w:vMerge w:val="continue"/>
            <w:tcBorders>
              <w:left w:val="single" w:color="auto" w:sz="4" w:space="0"/>
            </w:tcBorders>
            <w:noWrap w:val="0"/>
            <w:vAlign w:val="center"/>
          </w:tcPr>
          <w:p w14:paraId="51837139">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00" w:lineRule="exact"/>
              <w:ind w:left="0" w:right="0"/>
              <w:jc w:val="center"/>
              <w:textAlignment w:val="auto"/>
              <w:outlineLvl w:val="9"/>
              <w:rPr>
                <w:rFonts w:hint="eastAsia" w:ascii="新宋体" w:hAnsi="新宋体" w:eastAsia="新宋体" w:cs="新宋体"/>
                <w:color w:val="auto"/>
                <w:sz w:val="21"/>
                <w:szCs w:val="21"/>
                <w:highlight w:val="none"/>
              </w:rPr>
            </w:pPr>
          </w:p>
        </w:tc>
        <w:tc>
          <w:tcPr>
            <w:tcW w:w="563" w:type="pct"/>
            <w:tcBorders>
              <w:bottom w:val="single" w:color="auto" w:sz="4" w:space="0"/>
            </w:tcBorders>
            <w:noWrap w:val="0"/>
            <w:vAlign w:val="center"/>
          </w:tcPr>
          <w:p w14:paraId="0AF91A52">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outlineLvl w:val="9"/>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教材选用</w:t>
            </w:r>
          </w:p>
          <w:p w14:paraId="661454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left"/>
              <w:textAlignment w:val="auto"/>
              <w:outlineLvl w:val="9"/>
              <w:rPr>
                <w:rFonts w:hint="eastAsia" w:ascii="Calibri" w:hAnsi="Calibri" w:eastAsia="宋体" w:cs="Times New Roman"/>
                <w:color w:val="auto"/>
                <w:kern w:val="2"/>
                <w:sz w:val="24"/>
                <w:szCs w:val="21"/>
                <w:lang w:val="en-US" w:eastAsia="zh-CN" w:bidi="ar-SA"/>
              </w:rPr>
            </w:pPr>
            <w:r>
              <w:rPr>
                <w:rFonts w:hint="eastAsia" w:ascii="宋体" w:hAnsi="宋体" w:eastAsia="宋体" w:cs="宋体"/>
                <w:color w:val="auto"/>
                <w:kern w:val="2"/>
                <w:sz w:val="22"/>
                <w:szCs w:val="22"/>
                <w:lang w:val="en-US" w:eastAsia="zh-CN" w:bidi="ar-SA"/>
              </w:rPr>
              <w:t>（</w:t>
            </w:r>
            <w:r>
              <w:rPr>
                <w:rFonts w:hint="eastAsia" w:ascii="宋体" w:hAnsi="宋体" w:cs="宋体"/>
                <w:color w:val="auto"/>
                <w:kern w:val="2"/>
                <w:sz w:val="22"/>
                <w:szCs w:val="22"/>
                <w:lang w:val="en-US" w:eastAsia="zh-CN" w:bidi="ar-SA"/>
              </w:rPr>
              <w:t>10</w:t>
            </w:r>
            <w:r>
              <w:rPr>
                <w:rFonts w:hint="eastAsia" w:ascii="宋体" w:hAnsi="宋体" w:eastAsia="宋体" w:cs="宋体"/>
                <w:color w:val="auto"/>
                <w:kern w:val="2"/>
                <w:sz w:val="22"/>
                <w:szCs w:val="22"/>
                <w:lang w:val="en-US" w:eastAsia="zh-CN" w:bidi="ar-SA"/>
              </w:rPr>
              <w:t>分）</w:t>
            </w:r>
          </w:p>
        </w:tc>
        <w:tc>
          <w:tcPr>
            <w:tcW w:w="3475" w:type="pct"/>
            <w:tcBorders>
              <w:bottom w:val="single" w:color="auto" w:sz="4" w:space="0"/>
            </w:tcBorders>
            <w:noWrap w:val="0"/>
            <w:vAlign w:val="center"/>
          </w:tcPr>
          <w:p w14:paraId="593D32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40" w:firstLineChars="200"/>
              <w:jc w:val="left"/>
              <w:textAlignment w:val="auto"/>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培育教材包括正式出版物和各级农业农村部门组织编制的培育手册，选用规范、先进、实用的培育教材。优先选用农业农村部、教育部规划教材和各级农业农村部门推荐教材。</w:t>
            </w:r>
          </w:p>
          <w:p w14:paraId="33C08037">
            <w:pPr>
              <w:keepNext w:val="0"/>
              <w:keepLines w:val="0"/>
              <w:widowControl w:val="0"/>
              <w:suppressLineNumbers w:val="0"/>
              <w:spacing w:before="0" w:beforeAutospacing="0" w:after="0" w:afterAutospacing="0"/>
              <w:ind w:left="0" w:right="0" w:firstLine="440" w:firstLineChars="200"/>
              <w:jc w:val="both"/>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投标人承诺优先选用农业农村部、教育部规划教材和各级农业农村部门推荐教材的，提供承诺函，格式自拟，计</w:t>
            </w:r>
            <w:r>
              <w:rPr>
                <w:rFonts w:hint="eastAsia" w:ascii="宋体" w:hAnsi="宋体" w:cs="宋体"/>
                <w:color w:val="auto"/>
                <w:kern w:val="2"/>
                <w:sz w:val="22"/>
                <w:szCs w:val="22"/>
                <w:lang w:val="en-US" w:eastAsia="zh-CN" w:bidi="ar-SA"/>
              </w:rPr>
              <w:t>10</w:t>
            </w:r>
            <w:r>
              <w:rPr>
                <w:rFonts w:hint="eastAsia" w:ascii="宋体" w:hAnsi="宋体" w:eastAsia="宋体" w:cs="宋体"/>
                <w:color w:val="auto"/>
                <w:kern w:val="2"/>
                <w:sz w:val="22"/>
                <w:szCs w:val="22"/>
                <w:lang w:val="en-US" w:eastAsia="zh-CN" w:bidi="ar-SA"/>
              </w:rPr>
              <w:t>分，未提供的不计分。</w:t>
            </w:r>
          </w:p>
        </w:tc>
      </w:tr>
      <w:tr w14:paraId="220D26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261" w:type="pct"/>
            <w:tcBorders>
              <w:right w:val="single" w:color="auto" w:sz="4" w:space="0"/>
            </w:tcBorders>
            <w:noWrap w:val="0"/>
            <w:vAlign w:val="center"/>
          </w:tcPr>
          <w:p w14:paraId="2E31C13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outlineLvl w:val="9"/>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w:t>
            </w:r>
          </w:p>
        </w:tc>
        <w:tc>
          <w:tcPr>
            <w:tcW w:w="4738" w:type="pct"/>
            <w:gridSpan w:val="3"/>
            <w:tcBorders>
              <w:left w:val="single" w:color="auto" w:sz="4" w:space="0"/>
            </w:tcBorders>
            <w:noWrap w:val="0"/>
            <w:vAlign w:val="center"/>
          </w:tcPr>
          <w:p w14:paraId="13E2E0B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outlineLvl w:val="9"/>
              <w:rPr>
                <w:rFonts w:hint="eastAsia" w:ascii="新宋体" w:hAnsi="新宋体" w:eastAsia="新宋体" w:cs="新宋体"/>
                <w:color w:val="auto"/>
                <w:sz w:val="18"/>
                <w:szCs w:val="18"/>
                <w:highlight w:val="none"/>
                <w:lang w:eastAsia="zh-CN"/>
              </w:rPr>
            </w:pPr>
            <w:r>
              <w:rPr>
                <w:rFonts w:hint="eastAsia" w:ascii="新宋体" w:hAnsi="新宋体" w:eastAsia="新宋体" w:cs="新宋体"/>
                <w:color w:val="auto"/>
                <w:sz w:val="18"/>
                <w:szCs w:val="18"/>
                <w:highlight w:val="none"/>
              </w:rPr>
              <w:t>F</w:t>
            </w:r>
            <w:r>
              <w:rPr>
                <w:rFonts w:hint="eastAsia" w:ascii="新宋体" w:hAnsi="新宋体" w:eastAsia="新宋体" w:cs="新宋体"/>
                <w:color w:val="auto"/>
                <w:sz w:val="18"/>
                <w:szCs w:val="18"/>
                <w:highlight w:val="none"/>
                <w:vertAlign w:val="subscript"/>
              </w:rPr>
              <w:t>2</w:t>
            </w:r>
            <w:r>
              <w:rPr>
                <w:rFonts w:hint="eastAsia" w:ascii="新宋体" w:hAnsi="新宋体" w:eastAsia="新宋体" w:cs="新宋体"/>
                <w:color w:val="auto"/>
                <w:sz w:val="18"/>
                <w:szCs w:val="18"/>
                <w:highlight w:val="none"/>
              </w:rPr>
              <w:t>=F</w:t>
            </w:r>
            <w:r>
              <w:rPr>
                <w:rFonts w:hint="eastAsia" w:ascii="新宋体" w:hAnsi="新宋体" w:eastAsia="新宋体" w:cs="新宋体"/>
                <w:color w:val="auto"/>
                <w:sz w:val="18"/>
                <w:szCs w:val="18"/>
                <w:highlight w:val="none"/>
                <w:vertAlign w:val="subscript"/>
                <w:lang w:val="en-US" w:eastAsia="zh-CN"/>
              </w:rPr>
              <w:t>2</w:t>
            </w:r>
            <w:r>
              <w:rPr>
                <w:rFonts w:hint="eastAsia" w:ascii="新宋体" w:hAnsi="新宋体" w:eastAsia="新宋体" w:cs="新宋体"/>
                <w:color w:val="auto"/>
                <w:sz w:val="18"/>
                <w:szCs w:val="18"/>
                <w:highlight w:val="none"/>
                <w:lang w:val="en-US" w:eastAsia="zh-CN"/>
              </w:rPr>
              <w:t>x</w:t>
            </w:r>
            <w:r>
              <w:rPr>
                <w:rFonts w:hint="eastAsia" w:ascii="新宋体" w:hAnsi="新宋体" w:eastAsia="新宋体" w:cs="新宋体"/>
                <w:color w:val="auto"/>
                <w:kern w:val="0"/>
                <w:sz w:val="18"/>
                <w:szCs w:val="18"/>
                <w:highlight w:val="none"/>
                <w:lang w:val="ru-RU"/>
              </w:rPr>
              <w:t>A</w:t>
            </w:r>
            <w:r>
              <w:rPr>
                <w:rFonts w:hint="eastAsia" w:ascii="新宋体" w:hAnsi="新宋体" w:eastAsia="新宋体" w:cs="新宋体"/>
                <w:color w:val="auto"/>
                <w:kern w:val="0"/>
                <w:sz w:val="18"/>
                <w:szCs w:val="18"/>
                <w:highlight w:val="none"/>
                <w:lang w:val="en-US" w:eastAsia="zh-CN"/>
              </w:rPr>
              <w:t>2</w:t>
            </w:r>
          </w:p>
        </w:tc>
      </w:tr>
      <w:tr w14:paraId="0AC0BE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261" w:type="pct"/>
            <w:tcBorders>
              <w:right w:val="single" w:color="auto" w:sz="4" w:space="0"/>
            </w:tcBorders>
            <w:noWrap w:val="0"/>
            <w:vAlign w:val="center"/>
          </w:tcPr>
          <w:p w14:paraId="0ABA46F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outlineLvl w:val="9"/>
              <w:rPr>
                <w:rFonts w:hint="eastAsia" w:ascii="新宋体" w:hAnsi="新宋体" w:eastAsia="新宋体" w:cs="新宋体"/>
                <w:color w:val="auto"/>
                <w:sz w:val="18"/>
                <w:szCs w:val="18"/>
                <w:highlight w:val="none"/>
              </w:rPr>
            </w:pPr>
          </w:p>
        </w:tc>
        <w:tc>
          <w:tcPr>
            <w:tcW w:w="4738" w:type="pct"/>
            <w:gridSpan w:val="3"/>
            <w:tcBorders>
              <w:left w:val="single" w:color="auto" w:sz="4" w:space="0"/>
            </w:tcBorders>
            <w:noWrap w:val="0"/>
            <w:vAlign w:val="center"/>
          </w:tcPr>
          <w:p w14:paraId="64195E1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outlineLvl w:val="9"/>
              <w:rPr>
                <w:rFonts w:hint="eastAsia" w:ascii="新宋体" w:hAnsi="新宋体" w:eastAsia="新宋体" w:cs="新宋体"/>
                <w:color w:val="auto"/>
                <w:sz w:val="18"/>
                <w:szCs w:val="18"/>
                <w:highlight w:val="none"/>
              </w:rPr>
            </w:pPr>
          </w:p>
        </w:tc>
      </w:tr>
    </w:tbl>
    <w:p w14:paraId="669F749E">
      <w:pPr>
        <w:pageBreakBefore w:val="0"/>
        <w:kinsoku/>
        <w:overflowPunct/>
        <w:topLinePunct w:val="0"/>
        <w:bidi w:val="0"/>
        <w:adjustRightInd w:val="0"/>
        <w:snapToGrid w:val="0"/>
        <w:spacing w:before="156" w:beforeLines="50" w:line="360" w:lineRule="auto"/>
        <w:jc w:val="center"/>
        <w:textAlignment w:val="auto"/>
        <w:outlineLvl w:val="9"/>
        <w:rPr>
          <w:rFonts w:hint="eastAsia" w:ascii="新宋体" w:hAnsi="新宋体" w:eastAsia="新宋体" w:cs="新宋体"/>
          <w:b/>
          <w:bCs/>
          <w:color w:val="auto"/>
          <w:highlight w:val="none"/>
        </w:rPr>
      </w:pPr>
      <w:r>
        <w:rPr>
          <w:rFonts w:hint="eastAsia" w:ascii="新宋体" w:hAnsi="新宋体" w:eastAsia="新宋体" w:cs="新宋体"/>
          <w:b/>
          <w:bCs/>
          <w:color w:val="auto"/>
          <w:highlight w:val="none"/>
        </w:rPr>
        <w:br w:type="page"/>
      </w:r>
      <w:r>
        <w:rPr>
          <w:rFonts w:hint="eastAsia" w:ascii="新宋体" w:hAnsi="新宋体" w:eastAsia="新宋体" w:cs="新宋体"/>
          <w:b/>
          <w:bCs/>
          <w:color w:val="auto"/>
          <w:highlight w:val="none"/>
        </w:rPr>
        <w:t>附表1.3商务部分评审标准表</w:t>
      </w:r>
    </w:p>
    <w:tbl>
      <w:tblPr>
        <w:tblStyle w:val="26"/>
        <w:tblW w:w="509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22"/>
        <w:gridCol w:w="1272"/>
        <w:gridCol w:w="1286"/>
        <w:gridCol w:w="6951"/>
      </w:tblGrid>
      <w:tr w14:paraId="5E0DE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260" w:type="pct"/>
            <w:tcBorders>
              <w:right w:val="single" w:color="auto" w:sz="4" w:space="0"/>
            </w:tcBorders>
            <w:noWrap w:val="0"/>
            <w:vAlign w:val="center"/>
          </w:tcPr>
          <w:p w14:paraId="5B93C4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序号</w:t>
            </w:r>
          </w:p>
        </w:tc>
        <w:tc>
          <w:tcPr>
            <w:tcW w:w="634" w:type="pct"/>
            <w:tcBorders>
              <w:left w:val="single" w:color="auto" w:sz="4" w:space="0"/>
              <w:right w:val="single" w:color="auto" w:sz="4" w:space="0"/>
            </w:tcBorders>
            <w:noWrap w:val="0"/>
            <w:vAlign w:val="center"/>
          </w:tcPr>
          <w:p w14:paraId="1E6B53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评标因素</w:t>
            </w:r>
          </w:p>
          <w:p w14:paraId="603D55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（分值）</w:t>
            </w:r>
          </w:p>
        </w:tc>
        <w:tc>
          <w:tcPr>
            <w:tcW w:w="4104" w:type="pct"/>
            <w:gridSpan w:val="2"/>
            <w:tcBorders>
              <w:left w:val="single" w:color="auto" w:sz="4" w:space="0"/>
            </w:tcBorders>
            <w:noWrap w:val="0"/>
            <w:vAlign w:val="center"/>
          </w:tcPr>
          <w:p w14:paraId="402446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评标标准</w:t>
            </w:r>
          </w:p>
        </w:tc>
      </w:tr>
      <w:tr w14:paraId="165705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0" w:type="pct"/>
            <w:vMerge w:val="restart"/>
            <w:tcBorders>
              <w:right w:val="single" w:color="auto" w:sz="4" w:space="0"/>
            </w:tcBorders>
            <w:noWrap w:val="0"/>
            <w:vAlign w:val="center"/>
          </w:tcPr>
          <w:p w14:paraId="3DEA6502">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20" w:lineRule="exact"/>
              <w:ind w:left="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1</w:t>
            </w:r>
          </w:p>
        </w:tc>
        <w:tc>
          <w:tcPr>
            <w:tcW w:w="634" w:type="pct"/>
            <w:vMerge w:val="restart"/>
            <w:tcBorders>
              <w:left w:val="single" w:color="auto" w:sz="4" w:space="0"/>
            </w:tcBorders>
            <w:noWrap w:val="0"/>
            <w:vAlign w:val="center"/>
          </w:tcPr>
          <w:p w14:paraId="585941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商务评价项</w:t>
            </w:r>
          </w:p>
          <w:p w14:paraId="00BEAA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（F</w:t>
            </w:r>
            <w:r>
              <w:rPr>
                <w:rFonts w:hint="eastAsia" w:ascii="仿宋" w:hAnsi="仿宋" w:eastAsia="仿宋" w:cs="仿宋"/>
                <w:color w:val="auto"/>
                <w:sz w:val="20"/>
                <w:szCs w:val="20"/>
                <w:highlight w:val="none"/>
                <w:vertAlign w:val="subscript"/>
              </w:rPr>
              <w:t>3</w:t>
            </w:r>
            <w:r>
              <w:rPr>
                <w:rFonts w:hint="eastAsia" w:ascii="仿宋" w:hAnsi="仿宋" w:eastAsia="仿宋" w:cs="仿宋"/>
                <w:color w:val="auto"/>
                <w:sz w:val="20"/>
                <w:szCs w:val="20"/>
                <w:highlight w:val="none"/>
              </w:rPr>
              <w:t>=100分）</w:t>
            </w:r>
          </w:p>
        </w:tc>
        <w:tc>
          <w:tcPr>
            <w:tcW w:w="641" w:type="pct"/>
            <w:noWrap w:val="0"/>
            <w:vAlign w:val="center"/>
          </w:tcPr>
          <w:p w14:paraId="2EF2F60F">
            <w:pPr>
              <w:keepNext w:val="0"/>
              <w:keepLines w:val="0"/>
              <w:suppressLineNumbers w:val="0"/>
              <w:spacing w:before="0" w:beforeAutospacing="0" w:after="0" w:afterAutospacing="0"/>
              <w:ind w:left="0" w:right="0"/>
              <w:jc w:val="center"/>
              <w:outlineLvl w:val="9"/>
              <w:rPr>
                <w:rFonts w:hint="default" w:ascii="仿宋" w:hAnsi="仿宋" w:eastAsia="仿宋" w:cs="仿宋"/>
                <w:color w:val="auto"/>
                <w:sz w:val="20"/>
                <w:szCs w:val="20"/>
                <w:highlight w:val="none"/>
                <w:lang w:val="en-US" w:eastAsia="zh-CN"/>
              </w:rPr>
            </w:pPr>
            <w:r>
              <w:rPr>
                <w:rFonts w:hint="eastAsia" w:ascii="新宋体" w:hAnsi="新宋体" w:eastAsia="新宋体" w:cs="新宋体"/>
                <w:color w:val="auto"/>
                <w:sz w:val="22"/>
                <w:szCs w:val="22"/>
                <w:highlight w:val="none"/>
                <w:lang w:eastAsia="zh-CN"/>
              </w:rPr>
              <w:t>类似业绩（</w:t>
            </w:r>
            <w:r>
              <w:rPr>
                <w:rFonts w:hint="eastAsia" w:ascii="新宋体" w:hAnsi="新宋体" w:eastAsia="新宋体" w:cs="新宋体"/>
                <w:color w:val="auto"/>
                <w:sz w:val="22"/>
                <w:szCs w:val="22"/>
                <w:highlight w:val="none"/>
                <w:lang w:val="en-US" w:eastAsia="zh-CN"/>
              </w:rPr>
              <w:t>30分</w:t>
            </w:r>
            <w:r>
              <w:rPr>
                <w:rFonts w:hint="eastAsia" w:ascii="新宋体" w:hAnsi="新宋体" w:eastAsia="新宋体" w:cs="新宋体"/>
                <w:color w:val="auto"/>
                <w:sz w:val="22"/>
                <w:szCs w:val="22"/>
                <w:highlight w:val="none"/>
                <w:lang w:eastAsia="zh-CN"/>
              </w:rPr>
              <w:t>）</w:t>
            </w:r>
          </w:p>
        </w:tc>
        <w:tc>
          <w:tcPr>
            <w:tcW w:w="3463" w:type="pct"/>
            <w:noWrap w:val="0"/>
            <w:vAlign w:val="center"/>
          </w:tcPr>
          <w:p w14:paraId="328A3A33">
            <w:pPr>
              <w:keepNext w:val="0"/>
              <w:keepLines w:val="0"/>
              <w:suppressLineNumbers w:val="0"/>
              <w:spacing w:before="0" w:beforeAutospacing="0" w:after="0" w:afterAutospacing="0"/>
              <w:ind w:left="0" w:right="0"/>
              <w:jc w:val="left"/>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自2023年1月1日以来（以合同签订时间为准），投标人承担与所投包号培训主题相似的培训业绩，以下按包号分别计分。</w:t>
            </w:r>
          </w:p>
          <w:p w14:paraId="1481A7D2">
            <w:pPr>
              <w:keepNext w:val="0"/>
              <w:keepLines w:val="0"/>
              <w:suppressLineNumbers w:val="0"/>
              <w:spacing w:before="0" w:beforeAutospacing="0" w:after="0" w:afterAutospacing="0"/>
              <w:ind w:left="0" w:right="0"/>
              <w:jc w:val="left"/>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1、包1投标人提供农业经理人培训班相似培训业绩的，每一个班次计15分，最多计30分。</w:t>
            </w:r>
          </w:p>
          <w:p w14:paraId="056FE2DD">
            <w:pPr>
              <w:keepNext w:val="0"/>
              <w:keepLines w:val="0"/>
              <w:suppressLineNumbers w:val="0"/>
              <w:spacing w:before="0" w:beforeAutospacing="0" w:after="0" w:afterAutospacing="0"/>
              <w:ind w:left="0" w:right="0"/>
              <w:jc w:val="left"/>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2、包2投标人提供农产品经纪人培训班相似培训业绩的，一个班次计15分，最多只计一个班次业绩；提供茶叶龙头企业负责人培训班相似培训业绩的，一个班次计15分，最多只计一个班次业绩。满分30分。</w:t>
            </w:r>
          </w:p>
          <w:p w14:paraId="6A28F9DA">
            <w:pPr>
              <w:keepNext w:val="0"/>
              <w:keepLines w:val="0"/>
              <w:suppressLineNumbers w:val="0"/>
              <w:spacing w:before="0" w:beforeAutospacing="0" w:after="0" w:afterAutospacing="0"/>
              <w:ind w:left="0" w:right="0"/>
              <w:jc w:val="left"/>
              <w:outlineLvl w:val="9"/>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3、包3投标人提供乡风文明培训班相似培训业绩的，一个班次计15分，最多只计一个班次业绩；提供数智技术应用培训班相似培训业绩的，一个班次计15分，最多只计一个班次业绩。满分30分。</w:t>
            </w:r>
          </w:p>
          <w:p w14:paraId="63033775">
            <w:pPr>
              <w:keepNext w:val="0"/>
              <w:keepLines w:val="0"/>
              <w:suppressLineNumbers w:val="0"/>
              <w:spacing w:before="0" w:beforeAutospacing="0" w:after="0" w:afterAutospacing="0"/>
              <w:ind w:left="0" w:right="0"/>
              <w:jc w:val="left"/>
              <w:outlineLvl w:val="9"/>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2"/>
                <w:szCs w:val="22"/>
                <w:highlight w:val="none"/>
                <w:lang w:val="en-US" w:eastAsia="zh-CN"/>
              </w:rPr>
              <w:t>注：提供合同扫描件和农业农村部农民教育培训信息管理系统查询截图，未提供的不计分。评审标准中对所投包相似培训业绩的认定，以评标委员会集体商议为准。</w:t>
            </w:r>
          </w:p>
        </w:tc>
      </w:tr>
      <w:tr w14:paraId="164A21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34" w:hRule="atLeast"/>
          <w:jc w:val="center"/>
        </w:trPr>
        <w:tc>
          <w:tcPr>
            <w:tcW w:w="260" w:type="pct"/>
            <w:vMerge w:val="continue"/>
            <w:tcBorders>
              <w:right w:val="single" w:color="auto" w:sz="4" w:space="0"/>
            </w:tcBorders>
            <w:noWrap w:val="0"/>
            <w:vAlign w:val="center"/>
          </w:tcPr>
          <w:p w14:paraId="2EAF20CA">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20" w:lineRule="exact"/>
              <w:ind w:left="0" w:right="0"/>
              <w:jc w:val="center"/>
              <w:textAlignment w:val="auto"/>
              <w:outlineLvl w:val="9"/>
              <w:rPr>
                <w:rFonts w:hint="eastAsia" w:ascii="新宋体" w:hAnsi="新宋体" w:eastAsia="新宋体" w:cs="新宋体"/>
                <w:color w:val="auto"/>
                <w:sz w:val="21"/>
                <w:szCs w:val="21"/>
                <w:highlight w:val="none"/>
              </w:rPr>
            </w:pPr>
          </w:p>
        </w:tc>
        <w:tc>
          <w:tcPr>
            <w:tcW w:w="634" w:type="pct"/>
            <w:vMerge w:val="continue"/>
            <w:tcBorders>
              <w:left w:val="single" w:color="auto" w:sz="4" w:space="0"/>
            </w:tcBorders>
            <w:noWrap w:val="0"/>
            <w:vAlign w:val="center"/>
          </w:tcPr>
          <w:p w14:paraId="2E9DBE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eastAsia" w:ascii="仿宋" w:hAnsi="仿宋" w:eastAsia="仿宋" w:cs="仿宋"/>
                <w:color w:val="auto"/>
                <w:sz w:val="20"/>
                <w:szCs w:val="20"/>
                <w:highlight w:val="none"/>
              </w:rPr>
            </w:pPr>
          </w:p>
        </w:tc>
        <w:tc>
          <w:tcPr>
            <w:tcW w:w="641" w:type="pct"/>
            <w:noWrap w:val="0"/>
            <w:vAlign w:val="center"/>
          </w:tcPr>
          <w:p w14:paraId="5DC3B37B">
            <w:pPr>
              <w:keepNext w:val="0"/>
              <w:keepLines w:val="0"/>
              <w:suppressLineNumbers w:val="0"/>
              <w:spacing w:before="0" w:beforeAutospacing="0" w:after="0" w:afterAutospacing="0"/>
              <w:ind w:left="0" w:right="0"/>
              <w:jc w:val="center"/>
              <w:outlineLvl w:val="9"/>
              <w:rPr>
                <w:rFonts w:hint="eastAsia" w:ascii="新宋体" w:hAnsi="新宋体" w:eastAsia="新宋体" w:cs="新宋体"/>
                <w:color w:val="auto"/>
                <w:sz w:val="22"/>
                <w:szCs w:val="22"/>
                <w:highlight w:val="none"/>
                <w:lang w:eastAsia="zh-CN"/>
              </w:rPr>
            </w:pPr>
            <w:r>
              <w:rPr>
                <w:rFonts w:hint="eastAsia" w:ascii="新宋体" w:hAnsi="新宋体" w:eastAsia="新宋体" w:cs="新宋体"/>
                <w:color w:val="auto"/>
                <w:sz w:val="22"/>
                <w:szCs w:val="22"/>
                <w:highlight w:val="none"/>
                <w:lang w:eastAsia="zh-CN"/>
              </w:rPr>
              <w:t>培育经验（</w:t>
            </w:r>
            <w:r>
              <w:rPr>
                <w:rFonts w:hint="eastAsia" w:ascii="新宋体" w:hAnsi="新宋体" w:eastAsia="新宋体" w:cs="新宋体"/>
                <w:color w:val="auto"/>
                <w:sz w:val="22"/>
                <w:szCs w:val="22"/>
                <w:highlight w:val="none"/>
                <w:lang w:val="en-US" w:eastAsia="zh-CN"/>
              </w:rPr>
              <w:t>15分</w:t>
            </w:r>
            <w:r>
              <w:rPr>
                <w:rFonts w:hint="eastAsia" w:ascii="新宋体" w:hAnsi="新宋体" w:eastAsia="新宋体" w:cs="新宋体"/>
                <w:color w:val="auto"/>
                <w:sz w:val="22"/>
                <w:szCs w:val="22"/>
                <w:highlight w:val="none"/>
                <w:lang w:eastAsia="zh-CN"/>
              </w:rPr>
              <w:t>）</w:t>
            </w:r>
          </w:p>
        </w:tc>
        <w:tc>
          <w:tcPr>
            <w:tcW w:w="3463" w:type="pct"/>
            <w:tcBorders>
              <w:bottom w:val="single" w:color="auto" w:sz="4" w:space="0"/>
            </w:tcBorders>
            <w:noWrap w:val="0"/>
            <w:vAlign w:val="center"/>
          </w:tcPr>
          <w:p w14:paraId="2394C4B8">
            <w:pPr>
              <w:keepNext w:val="0"/>
              <w:keepLines w:val="0"/>
              <w:widowControl w:val="0"/>
              <w:suppressLineNumbers w:val="0"/>
              <w:tabs>
                <w:tab w:val="left" w:pos="1601"/>
              </w:tabs>
              <w:spacing w:before="0" w:beforeAutospacing="0" w:after="0" w:afterAutospacing="0"/>
              <w:ind w:left="0" w:leftChars="0" w:right="0" w:firstLine="440" w:firstLineChars="200"/>
              <w:jc w:val="both"/>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投标人在“农民教育培训信息管理系统”中，根据培育次数进行分档计分。</w:t>
            </w:r>
          </w:p>
          <w:p w14:paraId="468641BB">
            <w:pPr>
              <w:keepNext w:val="0"/>
              <w:keepLines w:val="0"/>
              <w:widowControl w:val="0"/>
              <w:suppressLineNumbers w:val="0"/>
              <w:spacing w:before="0" w:beforeAutospacing="0" w:after="0" w:afterAutospacing="0"/>
              <w:ind w:left="0" w:right="0" w:firstLine="440" w:firstLineChars="200"/>
              <w:jc w:val="both"/>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1、培育次数总计50次以上的，计15分；</w:t>
            </w:r>
          </w:p>
          <w:p w14:paraId="7B6B2A13">
            <w:pPr>
              <w:keepNext w:val="0"/>
              <w:keepLines w:val="0"/>
              <w:widowControl w:val="0"/>
              <w:suppressLineNumbers w:val="0"/>
              <w:spacing w:before="0" w:beforeAutospacing="0" w:after="0" w:afterAutospacing="0"/>
              <w:ind w:left="0" w:right="0" w:firstLine="440" w:firstLineChars="200"/>
              <w:jc w:val="both"/>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2、培育次数总计26-50次的，计12分；</w:t>
            </w:r>
          </w:p>
          <w:p w14:paraId="6BB36059">
            <w:pPr>
              <w:keepNext w:val="0"/>
              <w:keepLines w:val="0"/>
              <w:widowControl w:val="0"/>
              <w:suppressLineNumbers w:val="0"/>
              <w:spacing w:before="0" w:beforeAutospacing="0" w:after="0" w:afterAutospacing="0"/>
              <w:ind w:left="0" w:right="0" w:firstLine="440" w:firstLineChars="200"/>
              <w:jc w:val="both"/>
              <w:outlineLvl w:val="9"/>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color w:val="auto"/>
                <w:kern w:val="2"/>
                <w:sz w:val="22"/>
                <w:szCs w:val="22"/>
                <w:highlight w:val="none"/>
                <w:lang w:val="en-US" w:eastAsia="zh-CN" w:bidi="ar-SA"/>
              </w:rPr>
              <w:t>3、培育次数总计1-25次的，计9分；</w:t>
            </w:r>
          </w:p>
          <w:p w14:paraId="02DD9A5F">
            <w:pPr>
              <w:keepNext w:val="0"/>
              <w:keepLines w:val="0"/>
              <w:widowControl w:val="0"/>
              <w:suppressLineNumbers w:val="0"/>
              <w:spacing w:before="0" w:beforeAutospacing="0" w:after="0" w:afterAutospacing="0"/>
              <w:ind w:left="0" w:right="0" w:firstLine="440" w:firstLineChars="200"/>
              <w:jc w:val="both"/>
              <w:outlineLvl w:val="9"/>
              <w:rPr>
                <w:rFonts w:hint="default" w:ascii="Calibri" w:hAnsi="Calibri" w:eastAsia="宋体" w:cs="Times New Roman"/>
                <w:color w:val="auto"/>
                <w:kern w:val="2"/>
                <w:sz w:val="21"/>
                <w:szCs w:val="21"/>
                <w:lang w:val="en-US" w:eastAsia="zh-CN" w:bidi="ar-SA"/>
              </w:rPr>
            </w:pPr>
            <w:r>
              <w:rPr>
                <w:rFonts w:hint="eastAsia" w:ascii="新宋体" w:hAnsi="新宋体" w:eastAsia="新宋体" w:cs="新宋体"/>
                <w:color w:val="auto"/>
                <w:kern w:val="2"/>
                <w:sz w:val="22"/>
                <w:szCs w:val="22"/>
                <w:highlight w:val="none"/>
                <w:lang w:val="en-US" w:eastAsia="zh-CN" w:bidi="ar-SA"/>
              </w:rPr>
              <w:t>注：提供在“农民教育培训信息管理系统”中体现培育次数的网页截图，网页截图应清晰可分辨，若图片过小或模糊不清无法识别的，投标人自行承担后果。</w:t>
            </w:r>
          </w:p>
        </w:tc>
      </w:tr>
      <w:tr w14:paraId="444D88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70" w:hRule="atLeast"/>
          <w:jc w:val="center"/>
        </w:trPr>
        <w:tc>
          <w:tcPr>
            <w:tcW w:w="260" w:type="pct"/>
            <w:vMerge w:val="continue"/>
            <w:tcBorders>
              <w:right w:val="single" w:color="auto" w:sz="4" w:space="0"/>
            </w:tcBorders>
            <w:noWrap w:val="0"/>
            <w:vAlign w:val="center"/>
          </w:tcPr>
          <w:p w14:paraId="72143CE8">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20" w:lineRule="exact"/>
              <w:ind w:left="0" w:right="0"/>
              <w:jc w:val="center"/>
              <w:textAlignment w:val="auto"/>
              <w:outlineLvl w:val="9"/>
              <w:rPr>
                <w:rFonts w:hint="eastAsia" w:ascii="新宋体" w:hAnsi="新宋体" w:eastAsia="新宋体" w:cs="新宋体"/>
                <w:color w:val="auto"/>
                <w:sz w:val="21"/>
                <w:szCs w:val="21"/>
                <w:highlight w:val="none"/>
              </w:rPr>
            </w:pPr>
          </w:p>
        </w:tc>
        <w:tc>
          <w:tcPr>
            <w:tcW w:w="634" w:type="pct"/>
            <w:vMerge w:val="continue"/>
            <w:tcBorders>
              <w:left w:val="single" w:color="auto" w:sz="4" w:space="0"/>
            </w:tcBorders>
            <w:noWrap w:val="0"/>
            <w:vAlign w:val="center"/>
          </w:tcPr>
          <w:p w14:paraId="6DFE1188">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240" w:lineRule="auto"/>
              <w:ind w:left="0" w:right="0"/>
              <w:jc w:val="center"/>
              <w:textAlignment w:val="auto"/>
              <w:outlineLvl w:val="9"/>
              <w:rPr>
                <w:rFonts w:hint="eastAsia" w:ascii="仿宋" w:hAnsi="仿宋" w:eastAsia="仿宋" w:cs="仿宋"/>
                <w:color w:val="auto"/>
                <w:sz w:val="20"/>
                <w:szCs w:val="20"/>
                <w:highlight w:val="none"/>
              </w:rPr>
            </w:pPr>
          </w:p>
        </w:tc>
        <w:tc>
          <w:tcPr>
            <w:tcW w:w="641" w:type="pct"/>
            <w:tcBorders>
              <w:top w:val="single" w:color="auto" w:sz="4" w:space="0"/>
              <w:bottom w:val="single" w:color="auto" w:sz="4" w:space="0"/>
            </w:tcBorders>
            <w:noWrap w:val="0"/>
            <w:vAlign w:val="center"/>
          </w:tcPr>
          <w:p w14:paraId="25D0A509">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outlineLvl w:val="9"/>
              <w:rPr>
                <w:rFonts w:hint="default" w:ascii="仿宋" w:hAnsi="仿宋" w:eastAsia="仿宋" w:cs="仿宋"/>
                <w:color w:val="auto"/>
                <w:kern w:val="0"/>
                <w:sz w:val="20"/>
                <w:szCs w:val="20"/>
                <w:highlight w:val="none"/>
                <w:lang w:val="en-US" w:eastAsia="zh-CN" w:bidi="ar-SA"/>
              </w:rPr>
            </w:pPr>
            <w:r>
              <w:rPr>
                <w:rFonts w:hint="eastAsia" w:ascii="宋体" w:hAnsi="宋体" w:cs="宋体"/>
                <w:color w:val="auto"/>
                <w:sz w:val="22"/>
                <w:szCs w:val="22"/>
                <w:lang w:val="en-US" w:eastAsia="zh-CN"/>
              </w:rPr>
              <w:t>师资配置</w:t>
            </w:r>
            <w:r>
              <w:rPr>
                <w:rFonts w:hint="eastAsia" w:ascii="宋体" w:hAnsi="宋体" w:eastAsia="宋体" w:cs="宋体"/>
                <w:color w:val="auto"/>
                <w:sz w:val="22"/>
                <w:szCs w:val="22"/>
                <w:lang w:val="en-US" w:eastAsia="zh-CN"/>
              </w:rPr>
              <w:t>（</w:t>
            </w:r>
            <w:r>
              <w:rPr>
                <w:rFonts w:hint="eastAsia" w:ascii="宋体" w:hAnsi="宋体" w:cs="宋体"/>
                <w:color w:val="auto"/>
                <w:sz w:val="22"/>
                <w:szCs w:val="22"/>
                <w:lang w:val="en-US" w:eastAsia="zh-CN"/>
              </w:rPr>
              <w:t>20</w:t>
            </w:r>
            <w:r>
              <w:rPr>
                <w:rFonts w:hint="eastAsia" w:ascii="宋体" w:hAnsi="宋体" w:eastAsia="宋体" w:cs="宋体"/>
                <w:color w:val="auto"/>
                <w:sz w:val="22"/>
                <w:szCs w:val="22"/>
                <w:lang w:val="en-US" w:eastAsia="zh-CN"/>
              </w:rPr>
              <w:t>分）</w:t>
            </w:r>
          </w:p>
        </w:tc>
        <w:tc>
          <w:tcPr>
            <w:tcW w:w="3463" w:type="pct"/>
            <w:tcBorders>
              <w:top w:val="single" w:color="auto" w:sz="4" w:space="0"/>
              <w:bottom w:val="single" w:color="auto" w:sz="4" w:space="0"/>
            </w:tcBorders>
            <w:noWrap w:val="0"/>
            <w:vAlign w:val="center"/>
          </w:tcPr>
          <w:p w14:paraId="279D18DC">
            <w:pPr>
              <w:pStyle w:val="31"/>
              <w:keepNext w:val="0"/>
              <w:keepLines w:val="0"/>
              <w:suppressLineNumbers w:val="0"/>
              <w:spacing w:before="0" w:beforeAutospacing="0" w:after="0" w:afterAutospacing="0"/>
              <w:ind w:left="0" w:right="0"/>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（1）具备农业类或教育类或所投包培训相关专业教师(中级及以上职称或职业技能等级)10人(含兼职)及以上,其中专职教师不少于3人，计20分；</w:t>
            </w:r>
          </w:p>
          <w:p w14:paraId="17E8AEEA">
            <w:pPr>
              <w:pStyle w:val="31"/>
              <w:keepNext w:val="0"/>
              <w:keepLines w:val="0"/>
              <w:suppressLineNumbers w:val="0"/>
              <w:spacing w:before="0" w:beforeAutospacing="0" w:after="0" w:afterAutospacing="0"/>
              <w:ind w:left="0" w:right="0"/>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（2）具备农业类或教育类或所投包培训相关专业教师(中级及以上职称或职业技能等级)8人(含兼职)及以上,其中专职教师不少于2人，计15分；</w:t>
            </w:r>
          </w:p>
          <w:p w14:paraId="406665F2">
            <w:pPr>
              <w:pStyle w:val="31"/>
              <w:keepNext w:val="0"/>
              <w:keepLines w:val="0"/>
              <w:suppressLineNumbers w:val="0"/>
              <w:spacing w:before="0" w:beforeAutospacing="0" w:after="0" w:afterAutospacing="0"/>
              <w:ind w:left="0" w:right="0"/>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（3）具备农业类或教育类或所投包培训相关专业教师(中级及以上职称或职业技能等级)5人(含兼职)及以上,其中专职教师不少于1人，计10分；</w:t>
            </w:r>
          </w:p>
          <w:p w14:paraId="4F1F8DD0">
            <w:pPr>
              <w:pStyle w:val="31"/>
              <w:keepNext w:val="0"/>
              <w:keepLines w:val="0"/>
              <w:suppressLineNumbers w:val="0"/>
              <w:spacing w:before="0" w:beforeAutospacing="0" w:after="0" w:afterAutospacing="0"/>
              <w:ind w:left="0" w:right="0"/>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注：提供师资配置明细表，附人员证书、身份证、劳动合同或投标截止时间近3个月内任意一个月的社保缴纳证明复印件，其中专职教师必须提供投标截止时间近3个月内任意一个月的社保缴纳证明复印件，未提供的不计分。培训教师为退休人员的视为兼职，师资配置、管理服务团队和跟踪服务人员配置可互相兼任。</w:t>
            </w:r>
          </w:p>
          <w:p w14:paraId="32C8985A">
            <w:pPr>
              <w:pStyle w:val="31"/>
              <w:keepNext w:val="0"/>
              <w:keepLines w:val="0"/>
              <w:suppressLineNumbers w:val="0"/>
              <w:spacing w:before="0" w:beforeAutospacing="0" w:after="0" w:afterAutospacing="0"/>
              <w:ind w:left="0" w:right="0"/>
              <w:rPr>
                <w:rFonts w:hint="default"/>
                <w:color w:val="auto"/>
                <w:lang w:val="en-US" w:eastAsia="zh-CN"/>
              </w:rPr>
            </w:pPr>
            <w:r>
              <w:rPr>
                <w:rFonts w:hint="eastAsia" w:ascii="新宋体" w:hAnsi="新宋体" w:eastAsia="新宋体" w:cs="新宋体"/>
                <w:color w:val="auto"/>
                <w:sz w:val="22"/>
                <w:szCs w:val="22"/>
                <w:highlight w:val="none"/>
                <w:lang w:val="en-US" w:eastAsia="zh-CN"/>
              </w:rPr>
              <w:t>评审标准中对所投包相关专业（培训）的认定，以评标委员会集体商议为准。</w:t>
            </w:r>
          </w:p>
        </w:tc>
      </w:tr>
      <w:tr w14:paraId="6BD63A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4" w:hRule="atLeast"/>
          <w:jc w:val="center"/>
        </w:trPr>
        <w:tc>
          <w:tcPr>
            <w:tcW w:w="260" w:type="pct"/>
            <w:vMerge w:val="continue"/>
            <w:tcBorders>
              <w:right w:val="single" w:color="auto" w:sz="4" w:space="0"/>
            </w:tcBorders>
            <w:noWrap w:val="0"/>
            <w:vAlign w:val="center"/>
          </w:tcPr>
          <w:p w14:paraId="7307305C">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20" w:lineRule="exact"/>
              <w:ind w:left="0" w:right="0"/>
              <w:jc w:val="center"/>
              <w:textAlignment w:val="auto"/>
              <w:outlineLvl w:val="9"/>
              <w:rPr>
                <w:rFonts w:hint="eastAsia" w:ascii="新宋体" w:hAnsi="新宋体" w:eastAsia="新宋体" w:cs="新宋体"/>
                <w:color w:val="auto"/>
                <w:sz w:val="21"/>
                <w:szCs w:val="21"/>
                <w:highlight w:val="none"/>
              </w:rPr>
            </w:pPr>
          </w:p>
        </w:tc>
        <w:tc>
          <w:tcPr>
            <w:tcW w:w="634" w:type="pct"/>
            <w:vMerge w:val="continue"/>
            <w:tcBorders>
              <w:left w:val="single" w:color="auto" w:sz="4" w:space="0"/>
            </w:tcBorders>
            <w:noWrap w:val="0"/>
            <w:vAlign w:val="center"/>
          </w:tcPr>
          <w:p w14:paraId="4BCA6EF1">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240" w:lineRule="auto"/>
              <w:ind w:left="0" w:right="0"/>
              <w:jc w:val="center"/>
              <w:textAlignment w:val="auto"/>
              <w:outlineLvl w:val="9"/>
              <w:rPr>
                <w:rFonts w:hint="eastAsia" w:ascii="仿宋" w:hAnsi="仿宋" w:eastAsia="仿宋" w:cs="仿宋"/>
                <w:color w:val="auto"/>
                <w:sz w:val="20"/>
                <w:szCs w:val="20"/>
                <w:highlight w:val="none"/>
              </w:rPr>
            </w:pPr>
          </w:p>
        </w:tc>
        <w:tc>
          <w:tcPr>
            <w:tcW w:w="641" w:type="pct"/>
            <w:tcBorders>
              <w:top w:val="single" w:color="auto" w:sz="4" w:space="0"/>
            </w:tcBorders>
            <w:noWrap w:val="0"/>
            <w:vAlign w:val="center"/>
          </w:tcPr>
          <w:p w14:paraId="4995B199">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outlineLvl w:val="9"/>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管理服务团队（20分）</w:t>
            </w:r>
          </w:p>
        </w:tc>
        <w:tc>
          <w:tcPr>
            <w:tcW w:w="3463" w:type="pct"/>
            <w:tcBorders>
              <w:top w:val="single" w:color="auto" w:sz="4" w:space="0"/>
            </w:tcBorders>
            <w:noWrap w:val="0"/>
            <w:vAlign w:val="center"/>
          </w:tcPr>
          <w:p w14:paraId="51E63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40" w:firstLineChars="200"/>
              <w:jc w:val="left"/>
              <w:textAlignment w:val="auto"/>
              <w:outlineLvl w:val="9"/>
              <w:rPr>
                <w:rFonts w:hint="default" w:ascii="新宋体" w:hAnsi="新宋体" w:eastAsia="新宋体" w:cs="新宋体"/>
                <w:color w:val="auto"/>
                <w:sz w:val="22"/>
                <w:szCs w:val="22"/>
                <w:highlight w:val="none"/>
                <w:lang w:val="en-US" w:eastAsia="zh-CN"/>
              </w:rPr>
            </w:pPr>
            <w:r>
              <w:rPr>
                <w:rFonts w:hint="default" w:ascii="新宋体" w:hAnsi="新宋体" w:eastAsia="新宋体" w:cs="新宋体"/>
                <w:color w:val="auto"/>
                <w:sz w:val="22"/>
                <w:szCs w:val="22"/>
                <w:highlight w:val="none"/>
                <w:lang w:val="en-US" w:eastAsia="zh-CN"/>
              </w:rPr>
              <w:t>(1)具有明确的管理服务团队分工细则，一般不少于5人，团队分工包括但不限于项目负责人</w:t>
            </w:r>
            <w:r>
              <w:rPr>
                <w:rFonts w:hint="eastAsia" w:ascii="新宋体" w:hAnsi="新宋体" w:eastAsia="新宋体" w:cs="新宋体"/>
                <w:color w:val="auto"/>
                <w:sz w:val="22"/>
                <w:szCs w:val="22"/>
                <w:highlight w:val="none"/>
                <w:lang w:val="en-US" w:eastAsia="zh-CN"/>
              </w:rPr>
              <w:t>（必须配置）</w:t>
            </w:r>
            <w:r>
              <w:rPr>
                <w:rFonts w:hint="default" w:ascii="新宋体" w:hAnsi="新宋体" w:eastAsia="新宋体" w:cs="新宋体"/>
                <w:color w:val="auto"/>
                <w:sz w:val="22"/>
                <w:szCs w:val="22"/>
                <w:highlight w:val="none"/>
                <w:lang w:val="en-US" w:eastAsia="zh-CN"/>
              </w:rPr>
              <w:t>、财务人员、班级管理人员、后勤保障人员等</w:t>
            </w:r>
            <w:r>
              <w:rPr>
                <w:rFonts w:hint="eastAsia" w:ascii="新宋体" w:hAnsi="新宋体" w:eastAsia="新宋体" w:cs="新宋体"/>
                <w:color w:val="auto"/>
                <w:sz w:val="22"/>
                <w:szCs w:val="22"/>
                <w:highlight w:val="none"/>
                <w:lang w:val="en-US" w:eastAsia="zh-CN"/>
              </w:rPr>
              <w:t>，</w:t>
            </w:r>
            <w:r>
              <w:rPr>
                <w:rFonts w:hint="default" w:ascii="新宋体" w:hAnsi="新宋体" w:eastAsia="新宋体" w:cs="新宋体"/>
                <w:color w:val="auto"/>
                <w:sz w:val="22"/>
                <w:szCs w:val="22"/>
                <w:highlight w:val="none"/>
                <w:lang w:val="en-US" w:eastAsia="zh-CN"/>
              </w:rPr>
              <w:t>该项目计</w:t>
            </w:r>
            <w:r>
              <w:rPr>
                <w:rFonts w:hint="eastAsia" w:ascii="新宋体" w:hAnsi="新宋体" w:eastAsia="新宋体" w:cs="新宋体"/>
                <w:color w:val="auto"/>
                <w:sz w:val="22"/>
                <w:szCs w:val="22"/>
                <w:highlight w:val="none"/>
                <w:lang w:val="en-US" w:eastAsia="zh-CN"/>
              </w:rPr>
              <w:t>15</w:t>
            </w:r>
            <w:r>
              <w:rPr>
                <w:rFonts w:hint="default" w:ascii="新宋体" w:hAnsi="新宋体" w:eastAsia="新宋体" w:cs="新宋体"/>
                <w:color w:val="auto"/>
                <w:sz w:val="22"/>
                <w:szCs w:val="22"/>
                <w:highlight w:val="none"/>
                <w:lang w:val="en-US" w:eastAsia="zh-CN"/>
              </w:rPr>
              <w:t>分，</w:t>
            </w:r>
            <w:r>
              <w:rPr>
                <w:rFonts w:hint="eastAsia" w:ascii="新宋体" w:hAnsi="新宋体" w:eastAsia="新宋体" w:cs="新宋体"/>
                <w:color w:val="auto"/>
                <w:sz w:val="22"/>
                <w:szCs w:val="22"/>
                <w:highlight w:val="none"/>
                <w:lang w:val="en-US" w:eastAsia="zh-CN"/>
              </w:rPr>
              <w:t>人员配置不足5人的每少1人</w:t>
            </w:r>
            <w:r>
              <w:rPr>
                <w:rFonts w:hint="default" w:ascii="新宋体" w:hAnsi="新宋体" w:eastAsia="新宋体" w:cs="新宋体"/>
                <w:color w:val="auto"/>
                <w:sz w:val="22"/>
                <w:szCs w:val="22"/>
                <w:highlight w:val="none"/>
                <w:lang w:val="en-US" w:eastAsia="zh-CN"/>
              </w:rPr>
              <w:t>扣</w:t>
            </w:r>
            <w:r>
              <w:rPr>
                <w:rFonts w:hint="eastAsia" w:ascii="新宋体" w:hAnsi="新宋体" w:eastAsia="新宋体" w:cs="新宋体"/>
                <w:color w:val="auto"/>
                <w:sz w:val="22"/>
                <w:szCs w:val="22"/>
                <w:highlight w:val="none"/>
                <w:lang w:val="en-US" w:eastAsia="zh-CN"/>
              </w:rPr>
              <w:t>3</w:t>
            </w:r>
            <w:r>
              <w:rPr>
                <w:rFonts w:hint="default" w:ascii="新宋体" w:hAnsi="新宋体" w:eastAsia="新宋体" w:cs="新宋体"/>
                <w:color w:val="auto"/>
                <w:sz w:val="22"/>
                <w:szCs w:val="22"/>
                <w:highlight w:val="none"/>
                <w:lang w:val="en-US" w:eastAsia="zh-CN"/>
              </w:rPr>
              <w:t>分。</w:t>
            </w:r>
          </w:p>
          <w:p w14:paraId="538B34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40" w:firstLineChars="200"/>
              <w:jc w:val="left"/>
              <w:textAlignment w:val="auto"/>
              <w:outlineLvl w:val="9"/>
              <w:rPr>
                <w:rFonts w:hint="default" w:ascii="新宋体" w:hAnsi="新宋体" w:eastAsia="新宋体" w:cs="新宋体"/>
                <w:color w:val="auto"/>
                <w:sz w:val="22"/>
                <w:szCs w:val="22"/>
                <w:highlight w:val="none"/>
                <w:lang w:val="en-US" w:eastAsia="zh-CN"/>
              </w:rPr>
            </w:pPr>
            <w:r>
              <w:rPr>
                <w:rFonts w:hint="default" w:ascii="新宋体" w:hAnsi="新宋体" w:eastAsia="新宋体" w:cs="新宋体"/>
                <w:color w:val="auto"/>
                <w:sz w:val="22"/>
                <w:szCs w:val="22"/>
                <w:highlight w:val="none"/>
                <w:lang w:val="en-US" w:eastAsia="zh-CN"/>
              </w:rPr>
              <w:t>(2)拟任本项目负责人具有</w:t>
            </w:r>
            <w:r>
              <w:rPr>
                <w:rFonts w:hint="eastAsia" w:ascii="新宋体" w:hAnsi="新宋体" w:eastAsia="新宋体" w:cs="新宋体"/>
                <w:color w:val="auto"/>
                <w:sz w:val="22"/>
                <w:szCs w:val="22"/>
                <w:highlight w:val="none"/>
                <w:lang w:val="en-US" w:eastAsia="zh-CN"/>
              </w:rPr>
              <w:t>农业类或教育类或所投包培训相关专业中级及以上</w:t>
            </w:r>
            <w:r>
              <w:rPr>
                <w:rFonts w:hint="default" w:ascii="新宋体" w:hAnsi="新宋体" w:eastAsia="新宋体" w:cs="新宋体"/>
                <w:color w:val="auto"/>
                <w:sz w:val="22"/>
                <w:szCs w:val="22"/>
                <w:highlight w:val="none"/>
                <w:lang w:val="en-US" w:eastAsia="zh-CN"/>
              </w:rPr>
              <w:t>职称的计</w:t>
            </w:r>
            <w:r>
              <w:rPr>
                <w:rFonts w:hint="eastAsia" w:ascii="新宋体" w:hAnsi="新宋体" w:eastAsia="新宋体" w:cs="新宋体"/>
                <w:color w:val="auto"/>
                <w:sz w:val="22"/>
                <w:szCs w:val="22"/>
                <w:highlight w:val="none"/>
                <w:lang w:val="en-US" w:eastAsia="zh-CN"/>
              </w:rPr>
              <w:t>5</w:t>
            </w:r>
            <w:r>
              <w:rPr>
                <w:rFonts w:hint="default" w:ascii="新宋体" w:hAnsi="新宋体" w:eastAsia="新宋体" w:cs="新宋体"/>
                <w:color w:val="auto"/>
                <w:sz w:val="22"/>
                <w:szCs w:val="22"/>
                <w:highlight w:val="none"/>
                <w:lang w:val="en-US" w:eastAsia="zh-CN"/>
              </w:rPr>
              <w:t>分。</w:t>
            </w:r>
          </w:p>
          <w:p w14:paraId="591465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40" w:firstLineChars="200"/>
              <w:jc w:val="left"/>
              <w:textAlignment w:val="auto"/>
              <w:outlineLvl w:val="9"/>
              <w:rPr>
                <w:rFonts w:hint="eastAsia" w:ascii="新宋体" w:hAnsi="新宋体" w:eastAsia="新宋体" w:cs="新宋体"/>
                <w:color w:val="auto"/>
                <w:sz w:val="22"/>
                <w:szCs w:val="22"/>
                <w:highlight w:val="none"/>
                <w:lang w:val="en-US" w:eastAsia="zh-CN"/>
              </w:rPr>
            </w:pPr>
            <w:r>
              <w:rPr>
                <w:rFonts w:hint="default" w:ascii="新宋体" w:hAnsi="新宋体" w:eastAsia="新宋体" w:cs="新宋体"/>
                <w:color w:val="auto"/>
                <w:sz w:val="22"/>
                <w:szCs w:val="22"/>
                <w:highlight w:val="none"/>
                <w:lang w:val="en-US" w:eastAsia="zh-CN"/>
              </w:rPr>
              <w:t>注:(1)</w:t>
            </w:r>
            <w:r>
              <w:rPr>
                <w:rFonts w:hint="eastAsia" w:ascii="新宋体" w:hAnsi="新宋体" w:eastAsia="新宋体" w:cs="新宋体"/>
                <w:color w:val="auto"/>
                <w:sz w:val="22"/>
                <w:szCs w:val="22"/>
                <w:highlight w:val="none"/>
                <w:lang w:val="en-US" w:eastAsia="zh-CN"/>
              </w:rPr>
              <w:t>项目负责人</w:t>
            </w:r>
            <w:r>
              <w:rPr>
                <w:rFonts w:hint="default" w:ascii="新宋体" w:hAnsi="新宋体" w:eastAsia="新宋体" w:cs="新宋体"/>
                <w:color w:val="auto"/>
                <w:sz w:val="22"/>
                <w:szCs w:val="22"/>
                <w:highlight w:val="none"/>
                <w:lang w:val="en-US" w:eastAsia="zh-CN"/>
              </w:rPr>
              <w:t>须提供职称证书</w:t>
            </w:r>
            <w:r>
              <w:rPr>
                <w:rFonts w:hint="eastAsia" w:ascii="新宋体" w:hAnsi="新宋体" w:eastAsia="新宋体" w:cs="新宋体"/>
                <w:color w:val="auto"/>
                <w:sz w:val="22"/>
                <w:szCs w:val="22"/>
                <w:highlight w:val="none"/>
                <w:lang w:val="en-US" w:eastAsia="zh-CN"/>
              </w:rPr>
              <w:t>、身份证和投标截止时间近3个月内任意一个月的社保缴纳证明复印件</w:t>
            </w:r>
            <w:r>
              <w:rPr>
                <w:rFonts w:hint="default" w:ascii="新宋体" w:hAnsi="新宋体" w:eastAsia="新宋体" w:cs="新宋体"/>
                <w:color w:val="auto"/>
                <w:sz w:val="22"/>
                <w:szCs w:val="22"/>
                <w:highlight w:val="none"/>
                <w:lang w:val="en-US" w:eastAsia="zh-CN"/>
              </w:rPr>
              <w:t>;(2)</w:t>
            </w:r>
            <w:r>
              <w:rPr>
                <w:rFonts w:hint="eastAsia" w:ascii="新宋体" w:hAnsi="新宋体" w:eastAsia="新宋体" w:cs="新宋体"/>
                <w:color w:val="auto"/>
                <w:sz w:val="22"/>
                <w:szCs w:val="22"/>
                <w:highlight w:val="none"/>
                <w:lang w:val="en-US" w:eastAsia="zh-CN"/>
              </w:rPr>
              <w:t>管理服务团队提供清单明细，且须</w:t>
            </w:r>
            <w:r>
              <w:rPr>
                <w:rFonts w:hint="default" w:ascii="新宋体" w:hAnsi="新宋体" w:eastAsia="新宋体" w:cs="新宋体"/>
                <w:color w:val="auto"/>
                <w:sz w:val="22"/>
                <w:szCs w:val="22"/>
                <w:highlight w:val="none"/>
                <w:lang w:val="en-US" w:eastAsia="zh-CN"/>
              </w:rPr>
              <w:t>提供</w:t>
            </w:r>
            <w:r>
              <w:rPr>
                <w:rFonts w:hint="eastAsia" w:ascii="新宋体" w:hAnsi="新宋体" w:eastAsia="新宋体" w:cs="新宋体"/>
                <w:color w:val="auto"/>
                <w:sz w:val="22"/>
                <w:szCs w:val="22"/>
                <w:highlight w:val="none"/>
                <w:lang w:val="en-US" w:eastAsia="zh-CN"/>
              </w:rPr>
              <w:t>身份证和投标截止时间近3个月内任意一个月的社保缴纳证明复印件</w:t>
            </w:r>
            <w:r>
              <w:rPr>
                <w:rFonts w:hint="default" w:ascii="新宋体" w:hAnsi="新宋体" w:eastAsia="新宋体" w:cs="新宋体"/>
                <w:color w:val="auto"/>
                <w:sz w:val="22"/>
                <w:szCs w:val="22"/>
                <w:highlight w:val="none"/>
                <w:lang w:val="en-US" w:eastAsia="zh-CN"/>
              </w:rPr>
              <w:t>:(3)</w:t>
            </w:r>
            <w:r>
              <w:rPr>
                <w:rFonts w:hint="eastAsia" w:ascii="新宋体" w:hAnsi="新宋体" w:eastAsia="新宋体" w:cs="新宋体"/>
                <w:color w:val="auto"/>
                <w:sz w:val="22"/>
                <w:szCs w:val="22"/>
                <w:highlight w:val="none"/>
                <w:lang w:val="en-US" w:eastAsia="zh-CN"/>
              </w:rPr>
              <w:t>师资配置、管理服务</w:t>
            </w:r>
            <w:r>
              <w:rPr>
                <w:rFonts w:hint="default" w:ascii="新宋体" w:hAnsi="新宋体" w:eastAsia="新宋体" w:cs="新宋体"/>
                <w:color w:val="auto"/>
                <w:sz w:val="22"/>
                <w:szCs w:val="22"/>
                <w:highlight w:val="none"/>
                <w:lang w:val="en-US" w:eastAsia="zh-CN"/>
              </w:rPr>
              <w:t>团队</w:t>
            </w:r>
            <w:r>
              <w:rPr>
                <w:rFonts w:hint="eastAsia" w:ascii="新宋体" w:hAnsi="新宋体" w:eastAsia="新宋体" w:cs="新宋体"/>
                <w:color w:val="auto"/>
                <w:sz w:val="22"/>
                <w:szCs w:val="22"/>
                <w:highlight w:val="none"/>
                <w:lang w:val="en-US" w:eastAsia="zh-CN"/>
              </w:rPr>
              <w:t>和跟踪服务人员配置可互相兼任。</w:t>
            </w:r>
          </w:p>
          <w:p w14:paraId="3867DD97">
            <w:pPr>
              <w:pStyle w:val="31"/>
              <w:keepNext w:val="0"/>
              <w:keepLines w:val="0"/>
              <w:suppressLineNumbers w:val="0"/>
              <w:spacing w:before="0" w:beforeAutospacing="0" w:after="0" w:afterAutospacing="0"/>
              <w:ind w:left="0" w:right="0"/>
              <w:rPr>
                <w:rFonts w:hint="default"/>
                <w:color w:val="auto"/>
                <w:lang w:val="en-US" w:eastAsia="zh-CN"/>
              </w:rPr>
            </w:pPr>
            <w:r>
              <w:rPr>
                <w:rFonts w:hint="eastAsia" w:ascii="宋体" w:hAnsi="宋体" w:cs="宋体"/>
                <w:color w:val="auto"/>
                <w:kern w:val="2"/>
                <w:sz w:val="22"/>
                <w:szCs w:val="22"/>
                <w:lang w:val="en-US" w:eastAsia="zh-CN" w:bidi="ar-SA"/>
              </w:rPr>
              <w:t>评审标准中对所投包相关专业（培训）的认定，以评标委员会集体商议为准。</w:t>
            </w:r>
          </w:p>
        </w:tc>
      </w:tr>
      <w:tr w14:paraId="1005F3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260" w:type="pct"/>
            <w:tcBorders>
              <w:right w:val="single" w:color="auto" w:sz="4" w:space="0"/>
            </w:tcBorders>
            <w:noWrap w:val="0"/>
            <w:vAlign w:val="center"/>
          </w:tcPr>
          <w:p w14:paraId="12DE8C99">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20" w:lineRule="exact"/>
              <w:ind w:left="0" w:right="0"/>
              <w:jc w:val="center"/>
              <w:textAlignment w:val="auto"/>
              <w:outlineLvl w:val="9"/>
              <w:rPr>
                <w:rFonts w:hint="eastAsia" w:ascii="新宋体" w:hAnsi="新宋体" w:eastAsia="新宋体" w:cs="新宋体"/>
                <w:color w:val="auto"/>
                <w:sz w:val="21"/>
                <w:szCs w:val="21"/>
                <w:highlight w:val="none"/>
              </w:rPr>
            </w:pPr>
          </w:p>
        </w:tc>
        <w:tc>
          <w:tcPr>
            <w:tcW w:w="634" w:type="pct"/>
            <w:vMerge w:val="continue"/>
            <w:tcBorders>
              <w:left w:val="single" w:color="auto" w:sz="4" w:space="0"/>
            </w:tcBorders>
            <w:noWrap w:val="0"/>
            <w:vAlign w:val="center"/>
          </w:tcPr>
          <w:p w14:paraId="162E4238">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240" w:lineRule="auto"/>
              <w:ind w:left="0" w:right="0"/>
              <w:jc w:val="center"/>
              <w:textAlignment w:val="auto"/>
              <w:outlineLvl w:val="9"/>
              <w:rPr>
                <w:rFonts w:hint="eastAsia" w:ascii="仿宋" w:hAnsi="仿宋" w:eastAsia="仿宋" w:cs="仿宋"/>
                <w:color w:val="auto"/>
                <w:sz w:val="20"/>
                <w:szCs w:val="20"/>
                <w:highlight w:val="none"/>
              </w:rPr>
            </w:pPr>
          </w:p>
        </w:tc>
        <w:tc>
          <w:tcPr>
            <w:tcW w:w="641" w:type="pct"/>
            <w:tcBorders>
              <w:top w:val="single" w:color="auto" w:sz="4" w:space="0"/>
            </w:tcBorders>
            <w:noWrap w:val="0"/>
            <w:vAlign w:val="center"/>
          </w:tcPr>
          <w:p w14:paraId="4DB5C7BE">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跟踪服务管理（15分）</w:t>
            </w:r>
          </w:p>
        </w:tc>
        <w:tc>
          <w:tcPr>
            <w:tcW w:w="3463" w:type="pct"/>
            <w:tcBorders>
              <w:top w:val="single" w:color="auto" w:sz="4" w:space="0"/>
            </w:tcBorders>
            <w:noWrap w:val="0"/>
            <w:vAlign w:val="center"/>
          </w:tcPr>
          <w:p w14:paraId="63BC51F3">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40" w:firstLineChars="200"/>
              <w:jc w:val="left"/>
              <w:textAlignment w:val="auto"/>
              <w:outlineLvl w:val="9"/>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1、</w:t>
            </w:r>
            <w:r>
              <w:rPr>
                <w:rFonts w:hint="eastAsia" w:ascii="宋体" w:hAnsi="宋体" w:eastAsia="宋体" w:cs="宋体"/>
                <w:color w:val="auto"/>
                <w:sz w:val="22"/>
                <w:szCs w:val="22"/>
                <w:lang w:val="en-US" w:eastAsia="zh-CN"/>
              </w:rPr>
              <w:t>培训机构具有稳定的</w:t>
            </w:r>
            <w:r>
              <w:rPr>
                <w:rFonts w:hint="eastAsia" w:ascii="宋体" w:hAnsi="宋体" w:cs="宋体"/>
                <w:color w:val="auto"/>
                <w:sz w:val="22"/>
                <w:szCs w:val="22"/>
                <w:lang w:val="en-US" w:eastAsia="zh-CN"/>
              </w:rPr>
              <w:t>后续跟踪服务</w:t>
            </w:r>
            <w:r>
              <w:rPr>
                <w:rFonts w:hint="eastAsia" w:ascii="宋体" w:hAnsi="宋体" w:eastAsia="宋体" w:cs="宋体"/>
                <w:color w:val="auto"/>
                <w:sz w:val="22"/>
                <w:szCs w:val="22"/>
                <w:lang w:val="en-US" w:eastAsia="zh-CN"/>
              </w:rPr>
              <w:t>团队，</w:t>
            </w:r>
            <w:r>
              <w:rPr>
                <w:rFonts w:hint="eastAsia" w:ascii="宋体" w:hAnsi="宋体" w:cs="宋体"/>
                <w:color w:val="auto"/>
                <w:sz w:val="22"/>
                <w:szCs w:val="22"/>
                <w:lang w:val="en-US" w:eastAsia="zh-CN"/>
              </w:rPr>
              <w:t>提供团队所有人员名单（须体现团队人员分工），计5分，未提供的不计分。</w:t>
            </w:r>
          </w:p>
          <w:p w14:paraId="36243445">
            <w:pPr>
              <w:keepNext w:val="0"/>
              <w:keepLines w:val="0"/>
              <w:widowControl w:val="0"/>
              <w:suppressLineNumbers w:val="0"/>
              <w:spacing w:before="0" w:beforeAutospacing="0" w:after="0" w:afterAutospacing="0"/>
              <w:ind w:left="0" w:right="0" w:firstLine="440" w:firstLineChars="200"/>
              <w:jc w:val="both"/>
              <w:outlineLvl w:val="9"/>
              <w:rPr>
                <w:rFonts w:hint="default" w:ascii="Calibri" w:hAnsi="Calibri" w:eastAsia="宋体" w:cs="Times New Roman"/>
                <w:color w:val="auto"/>
                <w:kern w:val="2"/>
                <w:sz w:val="24"/>
                <w:szCs w:val="21"/>
                <w:lang w:val="en-US" w:eastAsia="zh-CN" w:bidi="ar-SA"/>
              </w:rPr>
            </w:pPr>
            <w:r>
              <w:rPr>
                <w:rFonts w:hint="eastAsia" w:ascii="宋体" w:hAnsi="宋体" w:eastAsia="宋体" w:cs="宋体"/>
                <w:color w:val="auto"/>
                <w:kern w:val="2"/>
                <w:sz w:val="22"/>
                <w:szCs w:val="22"/>
                <w:lang w:val="en-US" w:eastAsia="zh-CN" w:bidi="ar-SA"/>
              </w:rPr>
              <w:t>注：提供团队人员</w:t>
            </w:r>
            <w:r>
              <w:rPr>
                <w:rFonts w:hint="eastAsia" w:ascii="宋体" w:hAnsi="宋体" w:cs="宋体"/>
                <w:color w:val="auto"/>
                <w:kern w:val="2"/>
                <w:sz w:val="22"/>
                <w:szCs w:val="22"/>
                <w:lang w:val="en-US" w:eastAsia="zh-CN" w:bidi="ar-SA"/>
              </w:rPr>
              <w:t>身份证和</w:t>
            </w:r>
            <w:r>
              <w:rPr>
                <w:rFonts w:hint="eastAsia" w:ascii="宋体" w:hAnsi="宋体" w:eastAsia="宋体" w:cs="宋体"/>
                <w:color w:val="auto"/>
                <w:kern w:val="2"/>
                <w:sz w:val="22"/>
                <w:szCs w:val="22"/>
                <w:lang w:val="en-US" w:eastAsia="zh-CN" w:bidi="ar-SA"/>
              </w:rPr>
              <w:t>投标截止时间近3个月内任意一个月的社保缴纳证明复印件</w:t>
            </w:r>
            <w:r>
              <w:rPr>
                <w:rFonts w:hint="eastAsia" w:ascii="宋体" w:hAnsi="宋体" w:cs="宋体"/>
                <w:color w:val="auto"/>
                <w:sz w:val="22"/>
                <w:szCs w:val="22"/>
                <w:lang w:val="en-US" w:eastAsia="zh-CN"/>
              </w:rPr>
              <w:t>，未提供的不计分</w:t>
            </w:r>
            <w:r>
              <w:rPr>
                <w:rFonts w:hint="eastAsia" w:ascii="宋体" w:hAnsi="宋体" w:eastAsia="宋体" w:cs="宋体"/>
                <w:color w:val="auto"/>
                <w:kern w:val="2"/>
                <w:sz w:val="22"/>
                <w:szCs w:val="22"/>
                <w:lang w:val="en-US" w:eastAsia="zh-CN" w:bidi="ar-SA"/>
              </w:rPr>
              <w:t>。</w:t>
            </w:r>
          </w:p>
          <w:p w14:paraId="481856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40" w:firstLineChars="200"/>
              <w:jc w:val="left"/>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2、提供跟踪服务方案，计5分，未提供的不计分。</w:t>
            </w:r>
          </w:p>
          <w:p w14:paraId="4B030991">
            <w:pPr>
              <w:keepNext w:val="0"/>
              <w:keepLines w:val="0"/>
              <w:widowControl w:val="0"/>
              <w:suppressLineNumbers w:val="0"/>
              <w:spacing w:before="0" w:beforeAutospacing="0" w:after="0" w:afterAutospacing="0"/>
              <w:ind w:left="0" w:right="0" w:firstLine="440" w:firstLineChars="200"/>
              <w:jc w:val="both"/>
              <w:outlineLvl w:val="9"/>
              <w:rPr>
                <w:rFonts w:hint="default" w:ascii="Calibri" w:hAnsi="Calibri" w:eastAsia="宋体" w:cs="Times New Roman"/>
                <w:color w:val="auto"/>
                <w:kern w:val="2"/>
                <w:sz w:val="24"/>
                <w:szCs w:val="21"/>
                <w:lang w:val="en-US" w:eastAsia="zh-CN" w:bidi="ar-SA"/>
              </w:rPr>
            </w:pPr>
            <w:r>
              <w:rPr>
                <w:rFonts w:hint="eastAsia" w:ascii="宋体" w:hAnsi="宋体" w:eastAsia="宋体" w:cs="宋体"/>
                <w:color w:val="auto"/>
                <w:kern w:val="2"/>
                <w:sz w:val="22"/>
                <w:szCs w:val="22"/>
                <w:lang w:val="en-US" w:eastAsia="zh-CN" w:bidi="ar-SA"/>
              </w:rPr>
              <w:t>3、有培训后续跟踪服务能力，提供后续跟踪服务记录案例的，一个计</w:t>
            </w:r>
            <w:r>
              <w:rPr>
                <w:rFonts w:hint="eastAsia" w:ascii="宋体" w:hAnsi="宋体" w:cs="宋体"/>
                <w:color w:val="auto"/>
                <w:kern w:val="2"/>
                <w:sz w:val="22"/>
                <w:szCs w:val="22"/>
                <w:lang w:val="en-US" w:eastAsia="zh-CN" w:bidi="ar-SA"/>
              </w:rPr>
              <w:t>2.5</w:t>
            </w:r>
            <w:r>
              <w:rPr>
                <w:rFonts w:hint="eastAsia" w:ascii="宋体" w:hAnsi="宋体" w:eastAsia="宋体" w:cs="宋体"/>
                <w:color w:val="auto"/>
                <w:kern w:val="2"/>
                <w:sz w:val="22"/>
                <w:szCs w:val="22"/>
                <w:lang w:val="en-US" w:eastAsia="zh-CN" w:bidi="ar-SA"/>
              </w:rPr>
              <w:t>分，最多计</w:t>
            </w:r>
            <w:r>
              <w:rPr>
                <w:rFonts w:hint="eastAsia" w:ascii="宋体" w:hAnsi="宋体" w:cs="宋体"/>
                <w:color w:val="auto"/>
                <w:kern w:val="2"/>
                <w:sz w:val="22"/>
                <w:szCs w:val="22"/>
                <w:lang w:val="en-US" w:eastAsia="zh-CN" w:bidi="ar-SA"/>
              </w:rPr>
              <w:t>5</w:t>
            </w:r>
            <w:r>
              <w:rPr>
                <w:rFonts w:hint="eastAsia" w:ascii="宋体" w:hAnsi="宋体" w:eastAsia="宋体" w:cs="宋体"/>
                <w:color w:val="auto"/>
                <w:kern w:val="2"/>
                <w:sz w:val="22"/>
                <w:szCs w:val="22"/>
                <w:lang w:val="en-US" w:eastAsia="zh-CN" w:bidi="ar-SA"/>
              </w:rPr>
              <w:t>分。</w:t>
            </w:r>
          </w:p>
          <w:p w14:paraId="04E943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40" w:firstLineChars="200"/>
              <w:jc w:val="left"/>
              <w:textAlignment w:val="auto"/>
              <w:outlineLvl w:val="9"/>
              <w:rPr>
                <w:rFonts w:hint="default" w:ascii="新宋体" w:hAnsi="新宋体" w:eastAsia="新宋体" w:cs="新宋体"/>
                <w:color w:val="auto"/>
                <w:sz w:val="22"/>
                <w:szCs w:val="22"/>
                <w:highlight w:val="none"/>
                <w:lang w:val="en-US" w:eastAsia="zh-CN"/>
              </w:rPr>
            </w:pPr>
            <w:r>
              <w:rPr>
                <w:rFonts w:hint="eastAsia" w:ascii="宋体" w:hAnsi="宋体" w:cs="宋体"/>
                <w:color w:val="auto"/>
                <w:sz w:val="22"/>
                <w:szCs w:val="22"/>
                <w:lang w:val="en-US" w:eastAsia="zh-CN"/>
              </w:rPr>
              <w:t>注：提供跟踪服务对象名单和跟踪服务情况记录表，未提供的不计分。</w:t>
            </w:r>
            <w:r>
              <w:rPr>
                <w:rFonts w:hint="eastAsia" w:ascii="新宋体" w:hAnsi="新宋体" w:eastAsia="新宋体" w:cs="新宋体"/>
                <w:color w:val="auto"/>
                <w:sz w:val="22"/>
                <w:szCs w:val="22"/>
                <w:highlight w:val="none"/>
                <w:lang w:val="en-US" w:eastAsia="zh-CN"/>
              </w:rPr>
              <w:t>师资配置、管理服务</w:t>
            </w:r>
            <w:r>
              <w:rPr>
                <w:rFonts w:hint="default" w:ascii="新宋体" w:hAnsi="新宋体" w:eastAsia="新宋体" w:cs="新宋体"/>
                <w:color w:val="auto"/>
                <w:sz w:val="22"/>
                <w:szCs w:val="22"/>
                <w:highlight w:val="none"/>
                <w:lang w:val="en-US" w:eastAsia="zh-CN"/>
              </w:rPr>
              <w:t>团队</w:t>
            </w:r>
            <w:r>
              <w:rPr>
                <w:rFonts w:hint="eastAsia" w:ascii="新宋体" w:hAnsi="新宋体" w:eastAsia="新宋体" w:cs="新宋体"/>
                <w:color w:val="auto"/>
                <w:sz w:val="22"/>
                <w:szCs w:val="22"/>
                <w:highlight w:val="none"/>
                <w:lang w:val="en-US" w:eastAsia="zh-CN"/>
              </w:rPr>
              <w:t>和跟踪服务人员配置可互相兼任。</w:t>
            </w:r>
          </w:p>
        </w:tc>
      </w:tr>
      <w:tr w14:paraId="4FD54A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260" w:type="pct"/>
            <w:tcBorders>
              <w:right w:val="single" w:color="auto" w:sz="4" w:space="0"/>
            </w:tcBorders>
            <w:noWrap w:val="0"/>
            <w:vAlign w:val="center"/>
          </w:tcPr>
          <w:p w14:paraId="2162CFD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w:t>
            </w:r>
          </w:p>
        </w:tc>
        <w:tc>
          <w:tcPr>
            <w:tcW w:w="4739" w:type="pct"/>
            <w:gridSpan w:val="3"/>
            <w:tcBorders>
              <w:left w:val="single" w:color="auto" w:sz="4" w:space="0"/>
            </w:tcBorders>
            <w:noWrap w:val="0"/>
            <w:vAlign w:val="center"/>
          </w:tcPr>
          <w:p w14:paraId="2D055A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outlineLvl w:val="9"/>
              <w:rPr>
                <w:rFonts w:hint="eastAsia" w:ascii="新宋体" w:hAnsi="新宋体" w:eastAsia="新宋体" w:cs="新宋体"/>
                <w:color w:val="auto"/>
                <w:sz w:val="20"/>
                <w:szCs w:val="20"/>
                <w:highlight w:val="none"/>
                <w:lang w:val="en-US" w:eastAsia="zh-CN"/>
              </w:rPr>
            </w:pPr>
            <w:r>
              <w:rPr>
                <w:rFonts w:hint="eastAsia" w:ascii="新宋体" w:hAnsi="新宋体" w:eastAsia="新宋体" w:cs="新宋体"/>
                <w:color w:val="auto"/>
                <w:sz w:val="20"/>
                <w:szCs w:val="20"/>
                <w:highlight w:val="none"/>
              </w:rPr>
              <w:t>F</w:t>
            </w:r>
            <w:r>
              <w:rPr>
                <w:rFonts w:hint="eastAsia" w:ascii="新宋体" w:hAnsi="新宋体" w:eastAsia="新宋体" w:cs="新宋体"/>
                <w:color w:val="auto"/>
                <w:sz w:val="20"/>
                <w:szCs w:val="20"/>
                <w:highlight w:val="none"/>
                <w:vertAlign w:val="subscript"/>
              </w:rPr>
              <w:t>3</w:t>
            </w:r>
            <w:r>
              <w:rPr>
                <w:rFonts w:hint="eastAsia" w:ascii="新宋体" w:hAnsi="新宋体" w:eastAsia="新宋体" w:cs="新宋体"/>
                <w:color w:val="auto"/>
                <w:sz w:val="20"/>
                <w:szCs w:val="20"/>
                <w:highlight w:val="none"/>
              </w:rPr>
              <w:t>=F</w:t>
            </w:r>
            <w:r>
              <w:rPr>
                <w:rFonts w:hint="eastAsia" w:ascii="新宋体" w:hAnsi="新宋体" w:eastAsia="新宋体" w:cs="新宋体"/>
                <w:color w:val="auto"/>
                <w:sz w:val="20"/>
                <w:szCs w:val="20"/>
                <w:highlight w:val="none"/>
                <w:vertAlign w:val="subscript"/>
              </w:rPr>
              <w:t>3</w:t>
            </w:r>
            <w:r>
              <w:rPr>
                <w:rFonts w:hint="eastAsia" w:ascii="新宋体" w:hAnsi="新宋体" w:eastAsia="新宋体" w:cs="新宋体"/>
                <w:color w:val="auto"/>
                <w:sz w:val="20"/>
                <w:szCs w:val="20"/>
                <w:highlight w:val="none"/>
                <w:lang w:val="en-US" w:eastAsia="zh-CN"/>
              </w:rPr>
              <w:t>x</w:t>
            </w:r>
            <w:r>
              <w:rPr>
                <w:rFonts w:hint="eastAsia" w:ascii="新宋体" w:hAnsi="新宋体" w:eastAsia="新宋体" w:cs="新宋体"/>
                <w:color w:val="auto"/>
                <w:kern w:val="0"/>
                <w:sz w:val="20"/>
                <w:szCs w:val="20"/>
                <w:highlight w:val="none"/>
                <w:lang w:val="ru-RU"/>
              </w:rPr>
              <w:t>A</w:t>
            </w:r>
            <w:r>
              <w:rPr>
                <w:rFonts w:hint="eastAsia" w:ascii="新宋体" w:hAnsi="新宋体" w:eastAsia="新宋体" w:cs="新宋体"/>
                <w:color w:val="auto"/>
                <w:kern w:val="0"/>
                <w:sz w:val="20"/>
                <w:szCs w:val="20"/>
                <w:highlight w:val="none"/>
                <w:lang w:val="en-US" w:eastAsia="zh-CN"/>
              </w:rPr>
              <w:t>3</w:t>
            </w:r>
          </w:p>
        </w:tc>
      </w:tr>
    </w:tbl>
    <w:p w14:paraId="5551B3D5">
      <w:pPr>
        <w:outlineLvl w:val="9"/>
        <w:rPr>
          <w:rFonts w:ascii="Times New Roman" w:hAnsi="Times New Roman" w:cs="Times New Roman"/>
          <w:color w:val="auto"/>
        </w:rPr>
      </w:pPr>
    </w:p>
    <w:p w14:paraId="45667B05">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新宋体" w:hAnsi="新宋体" w:eastAsia="新宋体" w:cs="新宋体"/>
          <w:b/>
          <w:color w:val="auto"/>
          <w:kern w:val="2"/>
          <w:sz w:val="32"/>
          <w:szCs w:val="32"/>
          <w:highlight w:val="none"/>
          <w:lang w:val="en-US" w:eastAsia="zh-CN" w:bidi="ar-SA"/>
        </w:rPr>
      </w:pPr>
      <w:r>
        <w:rPr>
          <w:rFonts w:hint="eastAsia" w:ascii="新宋体" w:hAnsi="新宋体" w:eastAsia="新宋体" w:cs="新宋体"/>
          <w:color w:val="auto"/>
          <w:sz w:val="32"/>
          <w:szCs w:val="32"/>
          <w:highlight w:val="none"/>
        </w:rPr>
        <w:br w:type="page"/>
      </w:r>
      <w:bookmarkStart w:id="144" w:name="_Toc19103"/>
      <w:bookmarkStart w:id="145" w:name="_Toc23965"/>
      <w:bookmarkStart w:id="146" w:name="_Toc8687"/>
      <w:bookmarkStart w:id="147" w:name="_Toc5036"/>
      <w:bookmarkStart w:id="148" w:name="_Toc5218"/>
      <w:bookmarkStart w:id="149" w:name="_Toc12252"/>
      <w:bookmarkStart w:id="150" w:name="_Toc14492"/>
      <w:r>
        <w:rPr>
          <w:rFonts w:hint="eastAsia" w:ascii="新宋体" w:hAnsi="新宋体" w:eastAsia="新宋体" w:cs="新宋体"/>
          <w:b/>
          <w:bCs/>
          <w:color w:val="auto"/>
          <w:sz w:val="32"/>
          <w:szCs w:val="32"/>
          <w:highlight w:val="none"/>
          <w:lang w:eastAsia="zh-CN"/>
        </w:rPr>
        <w:t>第五章</w:t>
      </w:r>
      <w:r>
        <w:rPr>
          <w:rFonts w:hint="eastAsia" w:ascii="新宋体" w:hAnsi="新宋体" w:eastAsia="新宋体" w:cs="新宋体"/>
          <w:b/>
          <w:bCs/>
          <w:color w:val="auto"/>
          <w:sz w:val="32"/>
          <w:szCs w:val="32"/>
          <w:highlight w:val="none"/>
          <w:lang w:val="en-US" w:eastAsia="zh-CN"/>
        </w:rPr>
        <w:t xml:space="preserve"> </w:t>
      </w:r>
      <w:r>
        <w:rPr>
          <w:rFonts w:hint="eastAsia" w:ascii="新宋体" w:hAnsi="新宋体" w:eastAsia="新宋体" w:cs="新宋体"/>
          <w:b/>
          <w:bCs/>
          <w:color w:val="auto"/>
          <w:sz w:val="32"/>
          <w:szCs w:val="32"/>
          <w:highlight w:val="none"/>
        </w:rPr>
        <w:t>采购需求</w:t>
      </w:r>
      <w:bookmarkEnd w:id="144"/>
      <w:bookmarkEnd w:id="145"/>
      <w:bookmarkEnd w:id="146"/>
      <w:bookmarkEnd w:id="147"/>
      <w:bookmarkEnd w:id="148"/>
      <w:bookmarkEnd w:id="149"/>
      <w:bookmarkEnd w:id="150"/>
    </w:p>
    <w:p w14:paraId="0CDEC189">
      <w:pPr>
        <w:widowControl w:val="0"/>
        <w:adjustRightInd w:val="0"/>
        <w:snapToGrid w:val="0"/>
        <w:spacing w:line="360" w:lineRule="auto"/>
        <w:ind w:firstLine="0" w:firstLineChars="0"/>
        <w:jc w:val="left"/>
        <w:outlineLvl w:val="9"/>
        <w:rPr>
          <w:rFonts w:hint="eastAsia" w:ascii="新宋体" w:hAnsi="新宋体" w:eastAsia="新宋体" w:cs="新宋体"/>
          <w:b/>
          <w:color w:val="auto"/>
          <w:kern w:val="2"/>
          <w:sz w:val="21"/>
          <w:szCs w:val="24"/>
          <w:highlight w:val="none"/>
          <w:lang w:val="en-US" w:eastAsia="zh-CN" w:bidi="ar-SA"/>
        </w:rPr>
      </w:pPr>
      <w:r>
        <w:rPr>
          <w:rFonts w:hint="eastAsia" w:ascii="新宋体" w:hAnsi="新宋体" w:eastAsia="新宋体" w:cs="新宋体"/>
          <w:b/>
          <w:color w:val="auto"/>
          <w:kern w:val="2"/>
          <w:sz w:val="21"/>
          <w:szCs w:val="24"/>
          <w:highlight w:val="none"/>
          <w:lang w:val="en-US" w:eastAsia="zh-CN" w:bidi="ar-SA"/>
        </w:rPr>
        <w:t>一、项目概况</w:t>
      </w:r>
    </w:p>
    <w:p w14:paraId="41396E25">
      <w:pPr>
        <w:widowControl w:val="0"/>
        <w:adjustRightInd w:val="0"/>
        <w:snapToGrid w:val="0"/>
        <w:spacing w:line="360" w:lineRule="auto"/>
        <w:ind w:firstLine="420" w:firstLineChars="200"/>
        <w:jc w:val="left"/>
        <w:outlineLvl w:val="9"/>
        <w:rPr>
          <w:rFonts w:hint="eastAsia" w:ascii="新宋体" w:hAnsi="新宋体" w:eastAsia="新宋体" w:cs="新宋体"/>
          <w:bCs/>
          <w:color w:val="auto"/>
          <w:kern w:val="2"/>
          <w:sz w:val="21"/>
          <w:szCs w:val="24"/>
          <w:highlight w:val="none"/>
          <w:lang w:val="en-US" w:eastAsia="zh-CN" w:bidi="ar-SA"/>
        </w:rPr>
      </w:pPr>
      <w:r>
        <w:rPr>
          <w:rFonts w:hint="eastAsia" w:ascii="新宋体" w:hAnsi="新宋体" w:eastAsia="新宋体" w:cs="新宋体"/>
          <w:bCs/>
          <w:color w:val="auto"/>
          <w:kern w:val="2"/>
          <w:sz w:val="21"/>
          <w:szCs w:val="24"/>
          <w:highlight w:val="none"/>
          <w:lang w:val="en-US" w:eastAsia="zh-CN" w:bidi="ar-SA"/>
        </w:rPr>
        <w:t>1、采购人：湘西土家族苗族自治州农业农村局</w:t>
      </w:r>
    </w:p>
    <w:p w14:paraId="2F8BBA51">
      <w:pPr>
        <w:widowControl w:val="0"/>
        <w:adjustRightInd w:val="0"/>
        <w:snapToGrid w:val="0"/>
        <w:spacing w:line="360" w:lineRule="auto"/>
        <w:ind w:firstLine="420" w:firstLineChars="200"/>
        <w:jc w:val="left"/>
        <w:outlineLvl w:val="9"/>
        <w:rPr>
          <w:rFonts w:hint="eastAsia" w:ascii="新宋体" w:hAnsi="新宋体" w:eastAsia="新宋体" w:cs="新宋体"/>
          <w:bCs/>
          <w:color w:val="auto"/>
          <w:kern w:val="2"/>
          <w:sz w:val="21"/>
          <w:szCs w:val="24"/>
          <w:highlight w:val="none"/>
          <w:lang w:val="en-US" w:eastAsia="zh-CN" w:bidi="ar-SA"/>
        </w:rPr>
      </w:pPr>
      <w:r>
        <w:rPr>
          <w:rFonts w:hint="eastAsia" w:ascii="新宋体" w:hAnsi="新宋体" w:eastAsia="新宋体" w:cs="新宋体"/>
          <w:bCs/>
          <w:color w:val="auto"/>
          <w:kern w:val="2"/>
          <w:sz w:val="21"/>
          <w:szCs w:val="24"/>
          <w:highlight w:val="none"/>
          <w:lang w:val="en-US" w:eastAsia="zh-CN" w:bidi="ar-SA"/>
        </w:rPr>
        <w:t>2、项目名称：湘西自治州农业农村局2026年州本级高素质农民培育项目</w:t>
      </w:r>
    </w:p>
    <w:p w14:paraId="081AF2E4">
      <w:pPr>
        <w:widowControl w:val="0"/>
        <w:adjustRightInd w:val="0"/>
        <w:snapToGrid w:val="0"/>
        <w:spacing w:line="360" w:lineRule="auto"/>
        <w:ind w:firstLine="420" w:firstLineChars="200"/>
        <w:jc w:val="left"/>
        <w:outlineLvl w:val="9"/>
        <w:rPr>
          <w:rFonts w:hint="eastAsia" w:ascii="新宋体" w:hAnsi="新宋体" w:eastAsia="新宋体" w:cs="新宋体"/>
          <w:bCs/>
          <w:color w:val="auto"/>
          <w:kern w:val="2"/>
          <w:sz w:val="21"/>
          <w:szCs w:val="24"/>
          <w:highlight w:val="none"/>
          <w:lang w:val="en-US" w:eastAsia="zh-CN" w:bidi="ar-SA"/>
        </w:rPr>
      </w:pPr>
      <w:r>
        <w:rPr>
          <w:rFonts w:hint="eastAsia" w:ascii="新宋体" w:hAnsi="新宋体" w:eastAsia="新宋体" w:cs="新宋体"/>
          <w:bCs/>
          <w:color w:val="auto"/>
          <w:kern w:val="2"/>
          <w:sz w:val="21"/>
          <w:szCs w:val="24"/>
          <w:highlight w:val="none"/>
          <w:lang w:val="en-US" w:eastAsia="zh-CN" w:bidi="ar-SA"/>
        </w:rPr>
        <w:t>3、服务期限：初定为2026年12月20日前结课，具体时间以实际合同签订时间为准。</w:t>
      </w:r>
    </w:p>
    <w:p w14:paraId="51950E8D">
      <w:pPr>
        <w:widowControl w:val="0"/>
        <w:adjustRightInd w:val="0"/>
        <w:snapToGrid w:val="0"/>
        <w:spacing w:line="360" w:lineRule="auto"/>
        <w:ind w:firstLine="420" w:firstLineChars="200"/>
        <w:jc w:val="left"/>
        <w:outlineLvl w:val="9"/>
        <w:rPr>
          <w:rFonts w:hint="eastAsia" w:ascii="新宋体" w:hAnsi="新宋体" w:eastAsia="新宋体" w:cs="新宋体"/>
          <w:bCs/>
          <w:color w:val="auto"/>
          <w:kern w:val="2"/>
          <w:sz w:val="21"/>
          <w:szCs w:val="24"/>
          <w:highlight w:val="none"/>
          <w:lang w:val="en-US" w:eastAsia="zh-CN" w:bidi="ar-SA"/>
        </w:rPr>
      </w:pPr>
      <w:r>
        <w:rPr>
          <w:rFonts w:hint="eastAsia" w:ascii="新宋体" w:hAnsi="新宋体" w:eastAsia="新宋体" w:cs="新宋体"/>
          <w:bCs/>
          <w:color w:val="auto"/>
          <w:kern w:val="2"/>
          <w:sz w:val="21"/>
          <w:szCs w:val="24"/>
          <w:highlight w:val="none"/>
          <w:lang w:val="en-US" w:eastAsia="zh-CN" w:bidi="ar-SA"/>
        </w:rPr>
        <w:t>4、</w:t>
      </w:r>
      <w:r>
        <w:rPr>
          <w:rFonts w:hint="eastAsia" w:ascii="Times New Roman" w:hAnsi="Times New Roman" w:eastAsia="宋体" w:cs="Times New Roman"/>
          <w:color w:val="auto"/>
          <w:kern w:val="2"/>
          <w:sz w:val="21"/>
          <w:szCs w:val="24"/>
          <w:highlight w:val="none"/>
          <w:lang w:val="en-US" w:eastAsia="zh-CN" w:bidi="ar-SA"/>
        </w:rPr>
        <w:t>★</w:t>
      </w:r>
      <w:r>
        <w:rPr>
          <w:rFonts w:hint="eastAsia" w:ascii="新宋体" w:hAnsi="新宋体" w:eastAsia="新宋体" w:cs="新宋体"/>
          <w:bCs/>
          <w:color w:val="auto"/>
          <w:kern w:val="2"/>
          <w:sz w:val="21"/>
          <w:szCs w:val="24"/>
          <w:highlight w:val="none"/>
          <w:lang w:val="en-US" w:eastAsia="zh-CN" w:bidi="ar-SA"/>
        </w:rPr>
        <w:t>培育地点</w:t>
      </w:r>
    </w:p>
    <w:tbl>
      <w:tblPr>
        <w:tblStyle w:val="27"/>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4434"/>
        <w:gridCol w:w="4010"/>
      </w:tblGrid>
      <w:tr w14:paraId="788A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11" w:type="pct"/>
            <w:vAlign w:val="center"/>
          </w:tcPr>
          <w:p w14:paraId="36CE53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包号</w:t>
            </w:r>
          </w:p>
        </w:tc>
        <w:tc>
          <w:tcPr>
            <w:tcW w:w="2252" w:type="pct"/>
            <w:vAlign w:val="center"/>
          </w:tcPr>
          <w:p w14:paraId="5553A8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标的名称</w:t>
            </w:r>
          </w:p>
        </w:tc>
        <w:tc>
          <w:tcPr>
            <w:tcW w:w="2035" w:type="pct"/>
            <w:vAlign w:val="center"/>
          </w:tcPr>
          <w:p w14:paraId="6D5348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培育地点（培训和实训）</w:t>
            </w:r>
          </w:p>
        </w:tc>
      </w:tr>
      <w:tr w14:paraId="08CD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11" w:type="pct"/>
            <w:vAlign w:val="center"/>
          </w:tcPr>
          <w:p w14:paraId="1DFA3C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包1</w:t>
            </w:r>
          </w:p>
        </w:tc>
        <w:tc>
          <w:tcPr>
            <w:tcW w:w="4435" w:type="dxa"/>
            <w:vAlign w:val="center"/>
          </w:tcPr>
          <w:p w14:paraId="773D97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农业经理人培训班</w:t>
            </w:r>
          </w:p>
        </w:tc>
        <w:tc>
          <w:tcPr>
            <w:tcW w:w="2035" w:type="pct"/>
            <w:vAlign w:val="center"/>
          </w:tcPr>
          <w:p w14:paraId="4046AB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培训及实训在省内外相关地区。</w:t>
            </w:r>
          </w:p>
        </w:tc>
      </w:tr>
      <w:tr w14:paraId="436F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11" w:type="pct"/>
            <w:vAlign w:val="center"/>
          </w:tcPr>
          <w:p w14:paraId="4CA8DD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包2</w:t>
            </w:r>
          </w:p>
        </w:tc>
        <w:tc>
          <w:tcPr>
            <w:tcW w:w="4435" w:type="dxa"/>
            <w:vAlign w:val="center"/>
          </w:tcPr>
          <w:p w14:paraId="29AEA6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农产品经纪人培训班和茶叶龙头企业负责人培训班</w:t>
            </w:r>
          </w:p>
        </w:tc>
        <w:tc>
          <w:tcPr>
            <w:tcW w:w="2035" w:type="pct"/>
            <w:vAlign w:val="center"/>
          </w:tcPr>
          <w:p w14:paraId="1FCE1B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highlight w:val="none"/>
                <w:vertAlign w:val="baseline"/>
                <w:lang w:eastAsia="zh-CN"/>
              </w:rPr>
            </w:pPr>
            <w:r>
              <w:rPr>
                <w:rFonts w:hint="eastAsia" w:ascii="新宋体" w:hAnsi="新宋体" w:eastAsia="新宋体" w:cs="新宋体"/>
                <w:b/>
                <w:bCs w:val="0"/>
                <w:color w:val="auto"/>
                <w:kern w:val="2"/>
                <w:sz w:val="21"/>
                <w:szCs w:val="24"/>
                <w:highlight w:val="none"/>
                <w:vertAlign w:val="baseline"/>
                <w:lang w:val="en-US" w:eastAsia="zh-CN" w:bidi="ar-SA"/>
              </w:rPr>
              <w:t>培训在湘西州，实训在省内相关地区。</w:t>
            </w:r>
          </w:p>
        </w:tc>
      </w:tr>
      <w:tr w14:paraId="3D71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11" w:type="pct"/>
            <w:vAlign w:val="center"/>
          </w:tcPr>
          <w:p w14:paraId="098B00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包3</w:t>
            </w:r>
          </w:p>
        </w:tc>
        <w:tc>
          <w:tcPr>
            <w:tcW w:w="4435" w:type="dxa"/>
            <w:vAlign w:val="center"/>
          </w:tcPr>
          <w:p w14:paraId="1C3331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乡风文明培训班和数智技术应用培训班</w:t>
            </w:r>
          </w:p>
        </w:tc>
        <w:tc>
          <w:tcPr>
            <w:tcW w:w="2035" w:type="pct"/>
            <w:vAlign w:val="center"/>
          </w:tcPr>
          <w:p w14:paraId="1834DF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highlight w:val="none"/>
                <w:vertAlign w:val="baseline"/>
                <w:lang w:eastAsia="zh-CN"/>
              </w:rPr>
            </w:pPr>
            <w:r>
              <w:rPr>
                <w:rFonts w:hint="eastAsia" w:ascii="新宋体" w:hAnsi="新宋体" w:eastAsia="新宋体" w:cs="新宋体"/>
                <w:b/>
                <w:bCs w:val="0"/>
                <w:color w:val="auto"/>
                <w:highlight w:val="none"/>
                <w:vertAlign w:val="baseline"/>
                <w:lang w:val="en-US" w:eastAsia="zh-CN"/>
              </w:rPr>
              <w:t>培训在湘西州，</w:t>
            </w:r>
            <w:r>
              <w:rPr>
                <w:rFonts w:hint="eastAsia" w:ascii="新宋体" w:hAnsi="新宋体" w:eastAsia="新宋体" w:cs="新宋体"/>
                <w:b/>
                <w:bCs w:val="0"/>
                <w:color w:val="auto"/>
                <w:kern w:val="2"/>
                <w:sz w:val="21"/>
                <w:szCs w:val="24"/>
                <w:highlight w:val="none"/>
                <w:vertAlign w:val="baseline"/>
                <w:lang w:val="en-US" w:eastAsia="zh-CN" w:bidi="ar-SA"/>
              </w:rPr>
              <w:t>实训在省内相关地区。</w:t>
            </w:r>
          </w:p>
        </w:tc>
      </w:tr>
      <w:tr w14:paraId="1EDC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vAlign w:val="center"/>
          </w:tcPr>
          <w:p w14:paraId="32CC42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outlineLvl w:val="9"/>
              <w:rPr>
                <w:rFonts w:hint="eastAsia" w:ascii="新宋体" w:hAnsi="新宋体" w:eastAsia="新宋体" w:cs="新宋体"/>
                <w:b/>
                <w:bCs w:val="0"/>
                <w:color w:val="auto"/>
                <w:highlight w:val="none"/>
                <w:vertAlign w:val="baseline"/>
                <w:lang w:eastAsia="zh-CN"/>
              </w:rPr>
            </w:pPr>
            <w:r>
              <w:rPr>
                <w:rFonts w:hint="eastAsia" w:ascii="新宋体" w:hAnsi="新宋体" w:eastAsia="新宋体" w:cs="新宋体"/>
                <w:b/>
                <w:bCs w:val="0"/>
                <w:color w:val="auto"/>
                <w:highlight w:val="none"/>
                <w:vertAlign w:val="baseline"/>
                <w:lang w:eastAsia="zh-CN"/>
              </w:rPr>
              <w:t>成交供应商必须服从培训和实训的地点安排，不得有异议。</w:t>
            </w:r>
          </w:p>
        </w:tc>
      </w:tr>
    </w:tbl>
    <w:p w14:paraId="519B7DD1">
      <w:pPr>
        <w:widowControl w:val="0"/>
        <w:adjustRightInd w:val="0"/>
        <w:snapToGrid w:val="0"/>
        <w:spacing w:line="360" w:lineRule="auto"/>
        <w:ind w:firstLine="0" w:firstLineChars="0"/>
        <w:jc w:val="left"/>
        <w:outlineLvl w:val="9"/>
        <w:rPr>
          <w:rFonts w:hint="eastAsia" w:ascii="新宋体" w:hAnsi="新宋体" w:eastAsia="新宋体" w:cs="新宋体"/>
          <w:b/>
          <w:color w:val="auto"/>
          <w:kern w:val="2"/>
          <w:sz w:val="21"/>
          <w:szCs w:val="24"/>
          <w:highlight w:val="none"/>
          <w:lang w:val="en-US" w:eastAsia="zh-CN" w:bidi="ar-SA"/>
        </w:rPr>
      </w:pPr>
    </w:p>
    <w:p w14:paraId="678E7E30">
      <w:pPr>
        <w:widowControl w:val="0"/>
        <w:adjustRightInd w:val="0"/>
        <w:snapToGrid w:val="0"/>
        <w:spacing w:line="360" w:lineRule="auto"/>
        <w:ind w:firstLine="0" w:firstLineChars="0"/>
        <w:jc w:val="left"/>
        <w:outlineLvl w:val="9"/>
        <w:rPr>
          <w:rFonts w:hint="eastAsia" w:ascii="新宋体" w:hAnsi="新宋体" w:eastAsia="新宋体" w:cs="新宋体"/>
          <w:b/>
          <w:color w:val="auto"/>
          <w:kern w:val="2"/>
          <w:sz w:val="21"/>
          <w:szCs w:val="24"/>
          <w:highlight w:val="none"/>
          <w:lang w:val="en-US" w:eastAsia="zh-CN" w:bidi="ar-SA"/>
        </w:rPr>
      </w:pPr>
      <w:r>
        <w:rPr>
          <w:rFonts w:hint="eastAsia" w:ascii="新宋体" w:hAnsi="新宋体" w:eastAsia="新宋体" w:cs="新宋体"/>
          <w:b/>
          <w:color w:val="auto"/>
          <w:kern w:val="2"/>
          <w:sz w:val="21"/>
          <w:szCs w:val="24"/>
          <w:highlight w:val="none"/>
          <w:lang w:val="en-US" w:eastAsia="zh-CN" w:bidi="ar-SA"/>
        </w:rPr>
        <w:t>二、采购内容</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3827"/>
        <w:gridCol w:w="1067"/>
        <w:gridCol w:w="2176"/>
        <w:gridCol w:w="1971"/>
      </w:tblGrid>
      <w:tr w14:paraId="6C74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3" w:type="dxa"/>
            <w:vAlign w:val="center"/>
          </w:tcPr>
          <w:p w14:paraId="6FC5B2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包号</w:t>
            </w:r>
          </w:p>
        </w:tc>
        <w:tc>
          <w:tcPr>
            <w:tcW w:w="3827" w:type="dxa"/>
            <w:vAlign w:val="center"/>
          </w:tcPr>
          <w:p w14:paraId="021A7E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标的名称</w:t>
            </w:r>
          </w:p>
        </w:tc>
        <w:tc>
          <w:tcPr>
            <w:tcW w:w="1067" w:type="dxa"/>
            <w:vAlign w:val="center"/>
          </w:tcPr>
          <w:p w14:paraId="08A8A7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数量</w:t>
            </w:r>
          </w:p>
        </w:tc>
        <w:tc>
          <w:tcPr>
            <w:tcW w:w="2176" w:type="dxa"/>
            <w:vAlign w:val="center"/>
          </w:tcPr>
          <w:p w14:paraId="476B1D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计划人数</w:t>
            </w:r>
          </w:p>
        </w:tc>
        <w:tc>
          <w:tcPr>
            <w:tcW w:w="1971" w:type="dxa"/>
            <w:vAlign w:val="center"/>
          </w:tcPr>
          <w:p w14:paraId="610939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最高限价</w:t>
            </w:r>
          </w:p>
        </w:tc>
      </w:tr>
      <w:tr w14:paraId="74CD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3" w:type="dxa"/>
            <w:vAlign w:val="center"/>
          </w:tcPr>
          <w:p w14:paraId="534CD0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包1</w:t>
            </w:r>
          </w:p>
        </w:tc>
        <w:tc>
          <w:tcPr>
            <w:tcW w:w="3827" w:type="dxa"/>
            <w:vAlign w:val="center"/>
          </w:tcPr>
          <w:p w14:paraId="3DDC80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农业经理人培训班</w:t>
            </w:r>
          </w:p>
        </w:tc>
        <w:tc>
          <w:tcPr>
            <w:tcW w:w="1067" w:type="dxa"/>
            <w:vAlign w:val="center"/>
          </w:tcPr>
          <w:p w14:paraId="6162F8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1期</w:t>
            </w:r>
          </w:p>
        </w:tc>
        <w:tc>
          <w:tcPr>
            <w:tcW w:w="2176" w:type="dxa"/>
            <w:vAlign w:val="center"/>
          </w:tcPr>
          <w:p w14:paraId="145EB0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50人</w:t>
            </w:r>
          </w:p>
        </w:tc>
        <w:tc>
          <w:tcPr>
            <w:tcW w:w="1971" w:type="dxa"/>
            <w:vAlign w:val="center"/>
          </w:tcPr>
          <w:p w14:paraId="0B9CDC34">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leftChars="0" w:right="0" w:rightChars="0"/>
              <w:jc w:val="center"/>
              <w:textAlignment w:val="auto"/>
              <w:outlineLvl w:val="9"/>
              <w:rPr>
                <w:rFonts w:hint="default"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szCs w:val="21"/>
                <w:highlight w:val="none"/>
                <w:u w:val="none"/>
                <w:lang w:val="en-US" w:eastAsia="zh-CN"/>
              </w:rPr>
              <w:t>500000.00元</w:t>
            </w:r>
          </w:p>
        </w:tc>
      </w:tr>
      <w:tr w14:paraId="0CE7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3" w:type="dxa"/>
            <w:vAlign w:val="center"/>
          </w:tcPr>
          <w:p w14:paraId="4F0D77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包2</w:t>
            </w:r>
          </w:p>
        </w:tc>
        <w:tc>
          <w:tcPr>
            <w:tcW w:w="3827" w:type="dxa"/>
            <w:vAlign w:val="center"/>
          </w:tcPr>
          <w:p w14:paraId="6B0464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农产品经纪人培训班和茶叶龙头企业负责人培训班</w:t>
            </w:r>
          </w:p>
        </w:tc>
        <w:tc>
          <w:tcPr>
            <w:tcW w:w="1067" w:type="dxa"/>
            <w:vAlign w:val="center"/>
          </w:tcPr>
          <w:p w14:paraId="6A98DF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highlight w:val="none"/>
                <w:vertAlign w:val="baseline"/>
                <w:lang w:eastAsia="zh-CN"/>
              </w:rPr>
            </w:pPr>
            <w:r>
              <w:rPr>
                <w:rFonts w:hint="eastAsia" w:ascii="新宋体" w:hAnsi="新宋体" w:eastAsia="新宋体" w:cs="新宋体"/>
                <w:b/>
                <w:bCs w:val="0"/>
                <w:color w:val="auto"/>
                <w:highlight w:val="none"/>
                <w:vertAlign w:val="baseline"/>
                <w:lang w:val="en-US" w:eastAsia="zh-CN"/>
              </w:rPr>
              <w:t>1期</w:t>
            </w:r>
          </w:p>
        </w:tc>
        <w:tc>
          <w:tcPr>
            <w:tcW w:w="2176" w:type="dxa"/>
            <w:vAlign w:val="center"/>
          </w:tcPr>
          <w:p w14:paraId="5220F1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新宋体" w:hAnsi="新宋体" w:eastAsia="新宋体" w:cs="新宋体"/>
                <w:b/>
                <w:bCs w:val="0"/>
                <w:color w:val="auto"/>
                <w:highlight w:val="none"/>
                <w:vertAlign w:val="baseline"/>
                <w:lang w:val="en-US" w:eastAsia="zh-CN"/>
              </w:rPr>
            </w:pPr>
            <w:r>
              <w:rPr>
                <w:rFonts w:hint="eastAsia" w:ascii="新宋体" w:hAnsi="新宋体" w:eastAsia="新宋体" w:cs="新宋体"/>
                <w:b/>
                <w:bCs w:val="0"/>
                <w:color w:val="auto"/>
                <w:kern w:val="2"/>
                <w:sz w:val="21"/>
                <w:szCs w:val="24"/>
                <w:highlight w:val="none"/>
                <w:vertAlign w:val="baseline"/>
                <w:lang w:val="en-US" w:eastAsia="zh-CN" w:bidi="ar-SA"/>
              </w:rPr>
              <w:t>农产品经纪人培训班</w:t>
            </w:r>
            <w:r>
              <w:rPr>
                <w:rFonts w:hint="eastAsia" w:ascii="新宋体" w:hAnsi="新宋体" w:eastAsia="新宋体" w:cs="新宋体"/>
                <w:b/>
                <w:bCs w:val="0"/>
                <w:color w:val="auto"/>
                <w:highlight w:val="none"/>
                <w:vertAlign w:val="baseline"/>
                <w:lang w:val="en-US" w:eastAsia="zh-CN"/>
              </w:rPr>
              <w:t>50人，</w:t>
            </w:r>
            <w:r>
              <w:rPr>
                <w:rFonts w:hint="eastAsia" w:ascii="新宋体" w:hAnsi="新宋体" w:eastAsia="新宋体" w:cs="新宋体"/>
                <w:b/>
                <w:bCs w:val="0"/>
                <w:color w:val="auto"/>
                <w:kern w:val="2"/>
                <w:sz w:val="21"/>
                <w:szCs w:val="24"/>
                <w:highlight w:val="none"/>
                <w:vertAlign w:val="baseline"/>
                <w:lang w:val="en-US" w:eastAsia="zh-CN" w:bidi="ar-SA"/>
              </w:rPr>
              <w:t>茶叶龙头企业负责人培训班50人。</w:t>
            </w:r>
          </w:p>
        </w:tc>
        <w:tc>
          <w:tcPr>
            <w:tcW w:w="1971" w:type="dxa"/>
            <w:vAlign w:val="center"/>
          </w:tcPr>
          <w:p w14:paraId="1F3676EB">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leftChars="0" w:right="0" w:rightChars="0"/>
              <w:jc w:val="center"/>
              <w:textAlignment w:val="auto"/>
              <w:outlineLvl w:val="9"/>
              <w:rPr>
                <w:rFonts w:hint="eastAsia" w:ascii="新宋体" w:hAnsi="新宋体" w:eastAsia="新宋体" w:cs="新宋体"/>
                <w:b/>
                <w:bCs w:val="0"/>
                <w:color w:val="auto"/>
                <w:highlight w:val="none"/>
                <w:vertAlign w:val="baseline"/>
                <w:lang w:eastAsia="zh-CN"/>
              </w:rPr>
            </w:pPr>
            <w:r>
              <w:rPr>
                <w:rFonts w:hint="eastAsia" w:ascii="新宋体" w:hAnsi="新宋体" w:eastAsia="新宋体" w:cs="新宋体"/>
                <w:b/>
                <w:bCs w:val="0"/>
                <w:color w:val="auto"/>
                <w:szCs w:val="21"/>
                <w:highlight w:val="none"/>
                <w:u w:val="none"/>
                <w:lang w:val="en-US" w:eastAsia="zh-CN"/>
              </w:rPr>
              <w:t>560000.00元</w:t>
            </w:r>
          </w:p>
        </w:tc>
      </w:tr>
      <w:tr w14:paraId="3B2B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3" w:type="dxa"/>
            <w:vAlign w:val="center"/>
          </w:tcPr>
          <w:p w14:paraId="198AE3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包3</w:t>
            </w:r>
          </w:p>
        </w:tc>
        <w:tc>
          <w:tcPr>
            <w:tcW w:w="3827" w:type="dxa"/>
            <w:vAlign w:val="center"/>
          </w:tcPr>
          <w:p w14:paraId="2DA449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kern w:val="2"/>
                <w:sz w:val="21"/>
                <w:szCs w:val="24"/>
                <w:highlight w:val="none"/>
                <w:vertAlign w:val="baseline"/>
                <w:lang w:val="en-US" w:eastAsia="zh-CN" w:bidi="ar-SA"/>
              </w:rPr>
            </w:pPr>
            <w:r>
              <w:rPr>
                <w:rFonts w:hint="eastAsia" w:ascii="新宋体" w:hAnsi="新宋体" w:eastAsia="新宋体" w:cs="新宋体"/>
                <w:b/>
                <w:bCs w:val="0"/>
                <w:color w:val="auto"/>
                <w:kern w:val="2"/>
                <w:sz w:val="21"/>
                <w:szCs w:val="24"/>
                <w:highlight w:val="none"/>
                <w:vertAlign w:val="baseline"/>
                <w:lang w:val="en-US" w:eastAsia="zh-CN" w:bidi="ar-SA"/>
              </w:rPr>
              <w:t>乡风文明培训班和数智技术应用培训班</w:t>
            </w:r>
          </w:p>
        </w:tc>
        <w:tc>
          <w:tcPr>
            <w:tcW w:w="1067" w:type="dxa"/>
            <w:vAlign w:val="center"/>
          </w:tcPr>
          <w:p w14:paraId="547169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highlight w:val="none"/>
                <w:vertAlign w:val="baseline"/>
                <w:lang w:eastAsia="zh-CN"/>
              </w:rPr>
            </w:pPr>
            <w:r>
              <w:rPr>
                <w:rFonts w:hint="eastAsia" w:ascii="新宋体" w:hAnsi="新宋体" w:eastAsia="新宋体" w:cs="新宋体"/>
                <w:b/>
                <w:bCs w:val="0"/>
                <w:color w:val="auto"/>
                <w:highlight w:val="none"/>
                <w:vertAlign w:val="baseline"/>
                <w:lang w:val="en-US" w:eastAsia="zh-CN"/>
              </w:rPr>
              <w:t>1期</w:t>
            </w:r>
          </w:p>
        </w:tc>
        <w:tc>
          <w:tcPr>
            <w:tcW w:w="2176" w:type="dxa"/>
            <w:vAlign w:val="center"/>
          </w:tcPr>
          <w:p w14:paraId="7EDE69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新宋体" w:hAnsi="新宋体" w:eastAsia="新宋体" w:cs="新宋体"/>
                <w:b/>
                <w:bCs w:val="0"/>
                <w:color w:val="auto"/>
                <w:highlight w:val="none"/>
                <w:vertAlign w:val="baseline"/>
                <w:lang w:eastAsia="zh-CN"/>
              </w:rPr>
            </w:pPr>
            <w:r>
              <w:rPr>
                <w:rFonts w:hint="eastAsia" w:ascii="新宋体" w:hAnsi="新宋体" w:eastAsia="新宋体" w:cs="新宋体"/>
                <w:b/>
                <w:bCs w:val="0"/>
                <w:color w:val="auto"/>
                <w:kern w:val="2"/>
                <w:sz w:val="21"/>
                <w:szCs w:val="24"/>
                <w:highlight w:val="none"/>
                <w:vertAlign w:val="baseline"/>
                <w:lang w:val="en-US" w:eastAsia="zh-CN" w:bidi="ar-SA"/>
              </w:rPr>
              <w:t>乡风文明培训班</w:t>
            </w:r>
            <w:r>
              <w:rPr>
                <w:rFonts w:hint="eastAsia" w:ascii="新宋体" w:hAnsi="新宋体" w:eastAsia="新宋体" w:cs="新宋体"/>
                <w:b/>
                <w:bCs w:val="0"/>
                <w:color w:val="auto"/>
                <w:highlight w:val="none"/>
                <w:vertAlign w:val="baseline"/>
                <w:lang w:val="en-US" w:eastAsia="zh-CN"/>
              </w:rPr>
              <w:t>50人，</w:t>
            </w:r>
            <w:r>
              <w:rPr>
                <w:rFonts w:hint="eastAsia" w:ascii="新宋体" w:hAnsi="新宋体" w:eastAsia="新宋体" w:cs="新宋体"/>
                <w:b/>
                <w:bCs w:val="0"/>
                <w:color w:val="auto"/>
                <w:kern w:val="2"/>
                <w:sz w:val="21"/>
                <w:szCs w:val="24"/>
                <w:highlight w:val="none"/>
                <w:vertAlign w:val="baseline"/>
                <w:lang w:val="en-US" w:eastAsia="zh-CN" w:bidi="ar-SA"/>
              </w:rPr>
              <w:t>数智技术应用培训班50人。</w:t>
            </w:r>
          </w:p>
        </w:tc>
        <w:tc>
          <w:tcPr>
            <w:tcW w:w="1971" w:type="dxa"/>
            <w:vAlign w:val="center"/>
          </w:tcPr>
          <w:p w14:paraId="33EF9F4C">
            <w:pPr>
              <w:keepNext w:val="0"/>
              <w:keepLines w:val="0"/>
              <w:pageBreakBefore w:val="0"/>
              <w:suppressLineNumbers w:val="0"/>
              <w:kinsoku/>
              <w:overflowPunct/>
              <w:topLinePunct w:val="0"/>
              <w:bidi w:val="0"/>
              <w:adjustRightInd w:val="0"/>
              <w:snapToGrid w:val="0"/>
              <w:spacing w:before="156" w:beforeLines="50" w:beforeAutospacing="0" w:after="0" w:afterAutospacing="0" w:line="360" w:lineRule="auto"/>
              <w:ind w:left="0" w:leftChars="0" w:right="0" w:rightChars="0"/>
              <w:jc w:val="center"/>
              <w:textAlignment w:val="auto"/>
              <w:outlineLvl w:val="9"/>
              <w:rPr>
                <w:rFonts w:hint="eastAsia" w:ascii="新宋体" w:hAnsi="新宋体" w:eastAsia="新宋体" w:cs="新宋体"/>
                <w:b/>
                <w:bCs w:val="0"/>
                <w:color w:val="auto"/>
                <w:highlight w:val="none"/>
                <w:vertAlign w:val="baseline"/>
                <w:lang w:eastAsia="zh-CN"/>
              </w:rPr>
            </w:pPr>
            <w:r>
              <w:rPr>
                <w:rFonts w:hint="eastAsia" w:ascii="新宋体" w:hAnsi="新宋体" w:eastAsia="新宋体" w:cs="新宋体"/>
                <w:b/>
                <w:bCs w:val="0"/>
                <w:color w:val="auto"/>
                <w:szCs w:val="21"/>
                <w:highlight w:val="none"/>
                <w:u w:val="none"/>
                <w:lang w:val="en-US" w:eastAsia="zh-CN"/>
              </w:rPr>
              <w:t>440000.00元</w:t>
            </w:r>
          </w:p>
        </w:tc>
      </w:tr>
    </w:tbl>
    <w:p w14:paraId="40B485D1">
      <w:pPr>
        <w:widowControl w:val="0"/>
        <w:adjustRightInd w:val="0"/>
        <w:snapToGrid w:val="0"/>
        <w:spacing w:line="360" w:lineRule="auto"/>
        <w:ind w:firstLine="0" w:firstLineChars="0"/>
        <w:jc w:val="left"/>
        <w:outlineLvl w:val="9"/>
        <w:rPr>
          <w:rFonts w:hint="eastAsia" w:ascii="新宋体" w:hAnsi="新宋体" w:eastAsia="新宋体" w:cs="新宋体"/>
          <w:b/>
          <w:bCs w:val="0"/>
          <w:color w:val="auto"/>
          <w:kern w:val="2"/>
          <w:sz w:val="21"/>
          <w:szCs w:val="24"/>
          <w:highlight w:val="none"/>
          <w:lang w:val="en-US" w:eastAsia="zh-CN" w:bidi="ar-SA"/>
        </w:rPr>
      </w:pPr>
    </w:p>
    <w:p w14:paraId="154D5ECD">
      <w:pPr>
        <w:widowControl w:val="0"/>
        <w:adjustRightInd w:val="0"/>
        <w:snapToGrid w:val="0"/>
        <w:spacing w:line="360" w:lineRule="auto"/>
        <w:ind w:firstLine="0" w:firstLineChars="0"/>
        <w:jc w:val="left"/>
        <w:outlineLvl w:val="9"/>
        <w:rPr>
          <w:rFonts w:hint="eastAsia" w:ascii="新宋体" w:hAnsi="新宋体" w:eastAsia="新宋体" w:cs="新宋体"/>
          <w:b/>
          <w:bCs w:val="0"/>
          <w:color w:val="auto"/>
          <w:kern w:val="2"/>
          <w:sz w:val="21"/>
          <w:szCs w:val="24"/>
          <w:highlight w:val="none"/>
          <w:lang w:val="en-US" w:eastAsia="zh-CN" w:bidi="ar-SA"/>
        </w:rPr>
      </w:pPr>
      <w:r>
        <w:rPr>
          <w:rFonts w:hint="eastAsia" w:ascii="新宋体" w:hAnsi="新宋体" w:eastAsia="新宋体" w:cs="新宋体"/>
          <w:b/>
          <w:bCs w:val="0"/>
          <w:color w:val="auto"/>
          <w:kern w:val="2"/>
          <w:sz w:val="21"/>
          <w:szCs w:val="24"/>
          <w:highlight w:val="none"/>
          <w:lang w:val="en-US" w:eastAsia="zh-CN" w:bidi="ar-SA"/>
        </w:rPr>
        <w:t>三、培训任务</w:t>
      </w:r>
    </w:p>
    <w:p w14:paraId="2CAA34B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9"/>
        <w:rPr>
          <w:rFonts w:hint="eastAsia" w:ascii="新宋体" w:hAnsi="新宋体" w:eastAsia="新宋体" w:cs="新宋体"/>
          <w:b/>
          <w:bCs w:val="0"/>
          <w:color w:val="auto"/>
          <w:kern w:val="2"/>
          <w:sz w:val="21"/>
          <w:szCs w:val="24"/>
          <w:highlight w:val="none"/>
          <w:lang w:val="en-US" w:eastAsia="zh-CN" w:bidi="ar-SA"/>
        </w:rPr>
      </w:pPr>
      <w:r>
        <w:rPr>
          <w:rFonts w:hint="eastAsia" w:ascii="新宋体" w:hAnsi="新宋体" w:eastAsia="新宋体" w:cs="新宋体"/>
          <w:b/>
          <w:bCs w:val="0"/>
          <w:color w:val="auto"/>
          <w:kern w:val="2"/>
          <w:sz w:val="21"/>
          <w:szCs w:val="24"/>
          <w:highlight w:val="none"/>
          <w:lang w:val="en-US" w:eastAsia="zh-CN" w:bidi="ar-SA"/>
        </w:rPr>
        <w:t>包1：农业经理人培训班(1期，50人)。</w:t>
      </w:r>
    </w:p>
    <w:p w14:paraId="0D436F7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(1)培训对象:面向农业产业化龙头企业、农民合作社、家庭农场、农业产业协会负责人等具有一定产业规模和发展潜力、能发挥示范带动作用的农业经营管理高层次人才。</w:t>
      </w:r>
    </w:p>
    <w:p w14:paraId="146853E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(2)培训方式:线上线下理论教学、实践实训、观摩交流等模式。</w:t>
      </w:r>
    </w:p>
    <w:p w14:paraId="6A01DA3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(3)培训内容:紧扣“企业管理与品牌营销”主题，围绕农业产业链构建、农业投融资与资本运营、品牌战略与数字化营销、农业数字化转型与智慧农业应用等内容开展培训。</w:t>
      </w:r>
    </w:p>
    <w:p w14:paraId="12713E7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(4)预期效果:着力培养一批具有战略眼光、市场意识和社会责任感的农业经理人，为湘西州农业产业发展、农村经济提升提供高层次经营管理人才支撑。</w:t>
      </w:r>
    </w:p>
    <w:p w14:paraId="14A355E6">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9"/>
        <w:rPr>
          <w:rFonts w:hint="eastAsia" w:ascii="新宋体" w:hAnsi="新宋体" w:eastAsia="新宋体" w:cs="新宋体"/>
          <w:b/>
          <w:bCs w:val="0"/>
          <w:color w:val="auto"/>
          <w:kern w:val="2"/>
          <w:sz w:val="21"/>
          <w:szCs w:val="24"/>
          <w:highlight w:val="none"/>
          <w:lang w:val="en-US" w:eastAsia="zh-CN" w:bidi="ar-SA"/>
        </w:rPr>
      </w:pPr>
      <w:r>
        <w:rPr>
          <w:rFonts w:hint="eastAsia" w:ascii="新宋体" w:hAnsi="新宋体" w:eastAsia="新宋体" w:cs="新宋体"/>
          <w:b/>
          <w:bCs w:val="0"/>
          <w:color w:val="auto"/>
          <w:kern w:val="2"/>
          <w:sz w:val="21"/>
          <w:szCs w:val="24"/>
          <w:highlight w:val="none"/>
          <w:lang w:val="en-US" w:eastAsia="zh-CN" w:bidi="ar-SA"/>
        </w:rPr>
        <w:t>包2：农产品经纪人培训班(1期，50人)</w:t>
      </w:r>
    </w:p>
    <w:p w14:paraId="5F0D4CC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(1)培训对象:农民合作社带头人、家庭农场主、农产品电商从业者及产销经纪人等。</w:t>
      </w:r>
    </w:p>
    <w:p w14:paraId="0B77370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(2)培训方式:线上线下理论教学、实践实训、观摩交流等模式。</w:t>
      </w:r>
    </w:p>
    <w:p w14:paraId="651D91E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(3)培训内容:设置农产品市场信息采集分析、品质鉴别与储运管理、电商直播营销、品牌打造及联农带农机制设计等课程。</w:t>
      </w:r>
    </w:p>
    <w:p w14:paraId="4B82C68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(4)预期效果:着力培养一批懂市场、善经营、会管理的高素质农产品经纪人。</w:t>
      </w:r>
    </w:p>
    <w:p w14:paraId="1B55A12D">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9"/>
        <w:rPr>
          <w:rFonts w:hint="eastAsia" w:ascii="新宋体" w:hAnsi="新宋体" w:eastAsia="新宋体" w:cs="新宋体"/>
          <w:b/>
          <w:bCs w:val="0"/>
          <w:color w:val="auto"/>
          <w:kern w:val="2"/>
          <w:sz w:val="21"/>
          <w:szCs w:val="24"/>
          <w:highlight w:val="none"/>
          <w:lang w:val="en-US" w:eastAsia="zh-CN" w:bidi="ar-SA"/>
        </w:rPr>
      </w:pPr>
      <w:r>
        <w:rPr>
          <w:rFonts w:hint="eastAsia" w:ascii="新宋体" w:hAnsi="新宋体" w:eastAsia="新宋体" w:cs="新宋体"/>
          <w:b/>
          <w:bCs w:val="0"/>
          <w:color w:val="auto"/>
          <w:kern w:val="2"/>
          <w:sz w:val="21"/>
          <w:szCs w:val="24"/>
          <w:highlight w:val="none"/>
          <w:lang w:val="en-US" w:eastAsia="zh-CN" w:bidi="ar-SA"/>
        </w:rPr>
        <w:t>茶叶龙头企业负责人培训班(1期，50人)</w:t>
      </w:r>
    </w:p>
    <w:p w14:paraId="5676B89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(1)培训对象:茶叶企业、新型农业经营主体负责人及行业专业人士等。</w:t>
      </w:r>
    </w:p>
    <w:p w14:paraId="4241635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(2)培训方式:线上线下理论教学、实践实训、观摩交流等模式。</w:t>
      </w:r>
    </w:p>
    <w:p w14:paraId="1863992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(3)培训内容:围绕技术、文化、管理、品牌与营销等重点，安排茶叶种植与加工技术、茶文化传承及茶旅融合发展规划、品牌定位、市场营销策略及案例分析，现代企业管理等培训内容，。</w:t>
      </w:r>
    </w:p>
    <w:p w14:paraId="0229A40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(4)预期效果：通过生态茶园、龙头企业、博物馆等现场教学点实践教学，学习标准化生产及产业链延伸技能与经验，帮助学员解决生产与经营难题，提升现代企业理念。</w:t>
      </w:r>
    </w:p>
    <w:p w14:paraId="4AAF37B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9"/>
        <w:rPr>
          <w:rFonts w:hint="eastAsia" w:ascii="新宋体" w:hAnsi="新宋体" w:eastAsia="新宋体" w:cs="新宋体"/>
          <w:b/>
          <w:bCs w:val="0"/>
          <w:color w:val="auto"/>
          <w:kern w:val="2"/>
          <w:sz w:val="21"/>
          <w:szCs w:val="24"/>
          <w:highlight w:val="none"/>
          <w:lang w:val="en-US" w:eastAsia="zh-CN" w:bidi="ar-SA"/>
        </w:rPr>
      </w:pPr>
      <w:r>
        <w:rPr>
          <w:rFonts w:hint="eastAsia" w:ascii="新宋体" w:hAnsi="新宋体" w:eastAsia="新宋体" w:cs="新宋体"/>
          <w:b/>
          <w:bCs w:val="0"/>
          <w:color w:val="auto"/>
          <w:kern w:val="2"/>
          <w:sz w:val="21"/>
          <w:szCs w:val="24"/>
          <w:highlight w:val="none"/>
          <w:lang w:val="en-US" w:eastAsia="zh-CN" w:bidi="ar-SA"/>
        </w:rPr>
        <w:t>包3：乡风文明培训班(1期，50人)。</w:t>
      </w:r>
    </w:p>
    <w:p w14:paraId="57D7C14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(1)培训对象:乡村文化能人、乡村治理与建设骨干、乡土文化与农民代表等。</w:t>
      </w:r>
    </w:p>
    <w:p w14:paraId="5C34BC4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(2)培训方式:线上线下理论教学、实践实训、观摩交流等模式。</w:t>
      </w:r>
    </w:p>
    <w:p w14:paraId="42D917A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(3)培训内容:紧扣湘西乡风文明建设实际痛点与农民核心需求，以“传承农耕文脉、涵养文明乡风”为核心主线，系统宣讲习近平新时代中国特色社会主义思想、乡村振兴相关政策，普及涉农法律法规、移风易俗知识，系统讲解民族特色传统技艺的保护与创新路径，开设村级文化活动策划、村规民约修订完善等实操课程，组织学员围绕高价彩礼治理等议题开展深度交流研讨，提升学员落地实操能力。</w:t>
      </w:r>
    </w:p>
    <w:p w14:paraId="45A5D1B6">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9"/>
        <w:rPr>
          <w:rFonts w:hint="eastAsia" w:ascii="新宋体" w:hAnsi="新宋体" w:eastAsia="新宋体" w:cs="新宋体"/>
          <w:b/>
          <w:bCs w:val="0"/>
          <w:color w:val="auto"/>
          <w:kern w:val="2"/>
          <w:sz w:val="21"/>
          <w:szCs w:val="24"/>
          <w:highlight w:val="none"/>
          <w:lang w:val="en-US" w:eastAsia="zh-CN" w:bidi="ar-SA"/>
        </w:rPr>
      </w:pPr>
      <w:r>
        <w:rPr>
          <w:rFonts w:hint="eastAsia" w:ascii="新宋体" w:hAnsi="新宋体" w:eastAsia="新宋体" w:cs="新宋体"/>
          <w:b/>
          <w:bCs w:val="0"/>
          <w:color w:val="auto"/>
          <w:kern w:val="2"/>
          <w:sz w:val="21"/>
          <w:szCs w:val="24"/>
          <w:highlight w:val="none"/>
          <w:lang w:val="en-US" w:eastAsia="zh-CN" w:bidi="ar-SA"/>
        </w:rPr>
        <w:t>数智技术应用培训班(1期，50人)</w:t>
      </w:r>
    </w:p>
    <w:p w14:paraId="0388398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(1)培训对象:面向正在从事或有意向发展智慧农业经营、农产品网络销售的青年农民、返乡从业人员及经营主体负责人等。</w:t>
      </w:r>
    </w:p>
    <w:p w14:paraId="7DDD615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(2)培训方式:线上线下理论教学、实践实训、观摩交流等模式。</w:t>
      </w:r>
    </w:p>
    <w:p w14:paraId="53CCDFE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(3)培训内容:围绕物联网、大数据、人工智能、机器人等信息技术在农业全链条的普及应用及农产品营销等内容开展培训。</w:t>
      </w:r>
    </w:p>
    <w:p w14:paraId="4ADE7F1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新宋体" w:hAnsi="新宋体" w:eastAsia="新宋体" w:cs="新宋体"/>
          <w:b w:val="0"/>
          <w:bCs/>
          <w:color w:val="auto"/>
          <w:kern w:val="2"/>
          <w:sz w:val="21"/>
          <w:szCs w:val="24"/>
          <w:highlight w:val="none"/>
          <w:lang w:val="en-US" w:eastAsia="zh-CN" w:bidi="ar-SA"/>
        </w:rPr>
      </w:pPr>
      <w:r>
        <w:rPr>
          <w:rFonts w:hint="eastAsia" w:ascii="新宋体" w:hAnsi="新宋体" w:eastAsia="新宋体" w:cs="新宋体"/>
          <w:b w:val="0"/>
          <w:bCs/>
          <w:color w:val="auto"/>
          <w:kern w:val="2"/>
          <w:sz w:val="21"/>
          <w:szCs w:val="24"/>
          <w:highlight w:val="none"/>
          <w:lang w:val="en-US" w:eastAsia="zh-CN" w:bidi="ar-SA"/>
        </w:rPr>
        <w:t>(4)预期效果：使学员掌握数智农业技术应用与农产品数字化营销核心能力，推动信息技术与农业生产、经营、管理、服务深度融合，培育一批既懂农业技术又擅数字运营的“新农人”，为全州智慧农业发展和农产品出村进城提供坚实人才支撑。</w:t>
      </w:r>
    </w:p>
    <w:p w14:paraId="1E145E33">
      <w:pPr>
        <w:widowControl w:val="0"/>
        <w:adjustRightInd w:val="0"/>
        <w:snapToGrid w:val="0"/>
        <w:spacing w:line="360" w:lineRule="auto"/>
        <w:ind w:firstLine="0" w:firstLineChars="0"/>
        <w:jc w:val="left"/>
        <w:outlineLvl w:val="9"/>
        <w:rPr>
          <w:rFonts w:hint="eastAsia" w:ascii="新宋体" w:hAnsi="新宋体" w:eastAsia="新宋体" w:cs="新宋体"/>
          <w:b/>
          <w:bCs w:val="0"/>
          <w:color w:val="auto"/>
          <w:kern w:val="2"/>
          <w:sz w:val="21"/>
          <w:szCs w:val="24"/>
          <w:highlight w:val="none"/>
          <w:lang w:val="en-US" w:eastAsia="zh-CN" w:bidi="ar-SA"/>
        </w:rPr>
      </w:pPr>
      <w:r>
        <w:rPr>
          <w:rFonts w:hint="eastAsia" w:ascii="新宋体" w:hAnsi="新宋体" w:eastAsia="新宋体" w:cs="新宋体"/>
          <w:b/>
          <w:bCs w:val="0"/>
          <w:color w:val="auto"/>
          <w:kern w:val="2"/>
          <w:sz w:val="21"/>
          <w:szCs w:val="24"/>
          <w:highlight w:val="none"/>
          <w:lang w:val="en-US" w:eastAsia="zh-CN" w:bidi="ar-SA"/>
        </w:rPr>
        <w:t>四、培训方式</w:t>
      </w:r>
    </w:p>
    <w:p w14:paraId="4A6E6F0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outlineLvl w:val="9"/>
        <w:rPr>
          <w:rFonts w:hint="eastAsia" w:ascii="新宋体" w:hAnsi="新宋体" w:eastAsia="新宋体" w:cs="新宋体"/>
          <w:bCs/>
          <w:color w:val="auto"/>
          <w:kern w:val="2"/>
          <w:sz w:val="21"/>
          <w:szCs w:val="24"/>
          <w:highlight w:val="none"/>
          <w:lang w:val="en-US" w:eastAsia="zh-CN" w:bidi="ar-SA"/>
        </w:rPr>
      </w:pPr>
      <w:r>
        <w:rPr>
          <w:rFonts w:hint="eastAsia" w:ascii="新宋体" w:hAnsi="新宋体" w:eastAsia="新宋体" w:cs="新宋体"/>
          <w:bCs/>
          <w:color w:val="auto"/>
          <w:kern w:val="2"/>
          <w:sz w:val="21"/>
          <w:szCs w:val="24"/>
          <w:highlight w:val="none"/>
          <w:lang w:val="en-US" w:eastAsia="zh-CN" w:bidi="ar-SA"/>
        </w:rPr>
        <w:t>培育课程主要通过课堂教学(包含线上线下)、实践教学、观摩交流等形式进行。鼓励培育机构创新教学方法,改进培育形式，提高教学效果。</w:t>
      </w:r>
    </w:p>
    <w:p w14:paraId="117F529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outlineLvl w:val="9"/>
        <w:rPr>
          <w:rFonts w:hint="eastAsia" w:ascii="新宋体" w:hAnsi="新宋体" w:eastAsia="新宋体" w:cs="新宋体"/>
          <w:bCs/>
          <w:color w:val="auto"/>
          <w:kern w:val="2"/>
          <w:sz w:val="21"/>
          <w:szCs w:val="24"/>
          <w:highlight w:val="none"/>
          <w:lang w:val="en-US" w:eastAsia="zh-CN" w:bidi="ar-SA"/>
        </w:rPr>
      </w:pPr>
      <w:r>
        <w:rPr>
          <w:rFonts w:hint="eastAsia" w:ascii="新宋体" w:hAnsi="新宋体" w:eastAsia="新宋体" w:cs="新宋体"/>
          <w:bCs/>
          <w:color w:val="auto"/>
          <w:kern w:val="2"/>
          <w:sz w:val="21"/>
          <w:szCs w:val="24"/>
          <w:highlight w:val="none"/>
          <w:lang w:val="en-US" w:eastAsia="zh-CN" w:bidi="ar-SA"/>
        </w:rPr>
        <w:t>课堂教学包括线上线下集中授课。鼓励采取案例教学、参与式教学、互动式教学等形式。线上学习可采取网络直播或课件学习的方式。线上学习平台应具备完善的在线学习、直播授课、课程考核及相关统计、监测和评价功能。</w:t>
      </w:r>
    </w:p>
    <w:p w14:paraId="1815D97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outlineLvl w:val="9"/>
        <w:rPr>
          <w:rFonts w:hint="eastAsia" w:ascii="新宋体" w:hAnsi="新宋体" w:eastAsia="新宋体" w:cs="新宋体"/>
          <w:bCs/>
          <w:color w:val="auto"/>
          <w:kern w:val="2"/>
          <w:sz w:val="21"/>
          <w:szCs w:val="24"/>
          <w:highlight w:val="none"/>
          <w:lang w:val="en-US" w:eastAsia="zh-CN" w:bidi="ar-SA"/>
        </w:rPr>
      </w:pPr>
      <w:r>
        <w:rPr>
          <w:rFonts w:hint="eastAsia" w:ascii="新宋体" w:hAnsi="新宋体" w:eastAsia="新宋体" w:cs="新宋体"/>
          <w:bCs/>
          <w:color w:val="auto"/>
          <w:kern w:val="2"/>
          <w:sz w:val="21"/>
          <w:szCs w:val="24"/>
          <w:highlight w:val="none"/>
          <w:lang w:val="en-US" w:eastAsia="zh-CN" w:bidi="ar-SA"/>
        </w:rPr>
        <w:t>实践教学应在与课程内容直接相关的实习实训场所或生产经营一线开展,包括场地实训、顶岗实习、跟岗见习、模拟教学、实践孵化等形式。</w:t>
      </w:r>
    </w:p>
    <w:p w14:paraId="568BC38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outlineLvl w:val="9"/>
        <w:rPr>
          <w:rFonts w:hint="eastAsia" w:ascii="新宋体" w:hAnsi="新宋体" w:eastAsia="新宋体" w:cs="新宋体"/>
          <w:bCs/>
          <w:color w:val="auto"/>
          <w:kern w:val="2"/>
          <w:sz w:val="21"/>
          <w:szCs w:val="24"/>
          <w:highlight w:val="none"/>
          <w:lang w:val="en-US" w:eastAsia="zh-CN" w:bidi="ar-SA"/>
        </w:rPr>
      </w:pPr>
      <w:r>
        <w:rPr>
          <w:rFonts w:hint="eastAsia" w:ascii="新宋体" w:hAnsi="新宋体" w:eastAsia="新宋体" w:cs="新宋体"/>
          <w:bCs/>
          <w:color w:val="auto"/>
          <w:kern w:val="2"/>
          <w:sz w:val="21"/>
          <w:szCs w:val="24"/>
          <w:highlight w:val="none"/>
          <w:lang w:val="en-US" w:eastAsia="zh-CN" w:bidi="ar-SA"/>
        </w:rPr>
        <w:t>交流观摩应选取与培育主题相符的地点或主体开展。</w:t>
      </w:r>
    </w:p>
    <w:p w14:paraId="7B5B5F36">
      <w:pPr>
        <w:widowControl w:val="0"/>
        <w:adjustRightInd w:val="0"/>
        <w:snapToGrid w:val="0"/>
        <w:spacing w:line="360" w:lineRule="auto"/>
        <w:ind w:left="0" w:leftChars="0" w:firstLine="0" w:firstLineChars="0"/>
        <w:jc w:val="left"/>
        <w:outlineLvl w:val="9"/>
        <w:rPr>
          <w:rFonts w:hint="eastAsia" w:ascii="新宋体" w:hAnsi="新宋体" w:eastAsia="新宋体" w:cs="新宋体"/>
          <w:b/>
          <w:bCs w:val="0"/>
          <w:color w:val="auto"/>
          <w:kern w:val="2"/>
          <w:sz w:val="21"/>
          <w:szCs w:val="24"/>
          <w:highlight w:val="none"/>
          <w:lang w:val="en-US" w:eastAsia="zh-CN" w:bidi="ar-SA"/>
        </w:rPr>
      </w:pPr>
      <w:r>
        <w:rPr>
          <w:rFonts w:hint="eastAsia" w:ascii="新宋体" w:hAnsi="新宋体" w:eastAsia="新宋体" w:cs="新宋体"/>
          <w:b/>
          <w:bCs w:val="0"/>
          <w:color w:val="auto"/>
          <w:kern w:val="2"/>
          <w:sz w:val="21"/>
          <w:szCs w:val="24"/>
          <w:highlight w:val="none"/>
          <w:lang w:val="en-US" w:eastAsia="zh-CN" w:bidi="ar-SA"/>
        </w:rPr>
        <w:t>五、课程要求</w:t>
      </w:r>
    </w:p>
    <w:p w14:paraId="7C0364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建立模块化课程体系,分为综合素养课、专业技能课、能力拓展课三类。培育机构综合考虑农时农事特点和人才培养规律，合理设计三类课程,选择集中或分时段开展。</w:t>
      </w:r>
    </w:p>
    <w:p w14:paraId="2F90CF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根据培育主题实际需要确定培训班总学时,每天不超过8个学时。农业经理人培训班不少于160学时/期，农产品经纪人培训班不少于104学时/期，茶叶龙头企业负责人培训班不少于104学时/期，乡风文明培训班不少于56学时/期，数智技术应用培训班不少于112学时/期。</w:t>
      </w:r>
    </w:p>
    <w:p w14:paraId="059773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综合素养课包括思想政治、政策法规、职业素养和文化素养类等课程,包含“开班第一课”。“开班第一课”应包括当年中央一号文件和农业农村部相关部署要求等内容。专业技能课应根据培育对象实际需求,紧紧围绕培育主题开设。能力拓展课由培育机构根据培育对象和培育目标自选开展、自行设计。</w:t>
      </w:r>
    </w:p>
    <w:p w14:paraId="5CD97A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新宋体" w:hAnsi="新宋体" w:eastAsia="新宋体" w:cs="新宋体"/>
          <w:bCs/>
          <w:color w:val="auto"/>
          <w:highlight w:val="none"/>
          <w:lang w:val="en-US" w:eastAsia="zh-CN"/>
        </w:rPr>
      </w:pPr>
      <w:r>
        <w:rPr>
          <w:rFonts w:hint="eastAsia" w:ascii="新宋体" w:hAnsi="新宋体" w:eastAsia="新宋体" w:cs="新宋体"/>
          <w:bCs/>
          <w:color w:val="auto"/>
          <w:highlight w:val="none"/>
          <w:lang w:val="en-US" w:eastAsia="zh-CN"/>
        </w:rPr>
        <w:t>配合重大农业灾害、动物疫病应急处置等开展的应急性培训学时要求可不受此限制。</w:t>
      </w:r>
    </w:p>
    <w:p w14:paraId="55C69B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color w:val="auto"/>
          <w:lang w:val="en-US" w:eastAsia="zh-CN"/>
        </w:rPr>
      </w:pPr>
      <w:r>
        <w:rPr>
          <w:rFonts w:hint="eastAsia" w:ascii="新宋体" w:hAnsi="新宋体" w:eastAsia="新宋体" w:cs="新宋体"/>
          <w:b/>
          <w:bCs w:val="0"/>
          <w:color w:val="auto"/>
          <w:highlight w:val="none"/>
          <w:lang w:val="en-US" w:eastAsia="zh-CN"/>
        </w:rPr>
        <w:t>六、</w:t>
      </w:r>
      <w:r>
        <w:rPr>
          <w:rFonts w:hint="eastAsia" w:ascii="Times New Roman" w:hAnsi="Times New Roman" w:eastAsia="宋体" w:cs="Times New Roman"/>
          <w:b/>
          <w:bCs/>
          <w:color w:val="auto"/>
          <w:lang w:val="en-US" w:eastAsia="zh-CN"/>
        </w:rPr>
        <w:t>培育师资</w:t>
      </w:r>
    </w:p>
    <w:p w14:paraId="3BA6BD2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培育师资应具备主题培训的师资、设施、场地，具有开设相应课程的专业条件，授课符合课程主题需求,授课方式易于农民接受,教案内容通俗实用。</w:t>
      </w:r>
    </w:p>
    <w:p w14:paraId="56B970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b/>
          <w:bCs/>
          <w:color w:val="auto"/>
          <w:szCs w:val="21"/>
          <w:highlight w:val="none"/>
          <w:lang w:val="en-US" w:eastAsia="zh-CN"/>
        </w:rPr>
      </w:pPr>
      <w:r>
        <w:rPr>
          <w:rFonts w:hint="eastAsia" w:ascii="新宋体" w:hAnsi="新宋体" w:eastAsia="新宋体" w:cs="新宋体"/>
          <w:b/>
          <w:bCs w:val="0"/>
          <w:color w:val="auto"/>
          <w:highlight w:val="none"/>
          <w:lang w:val="en-US" w:eastAsia="zh-CN"/>
        </w:rPr>
        <w:t>七</w:t>
      </w:r>
      <w:r>
        <w:rPr>
          <w:rFonts w:hint="eastAsia" w:ascii="新宋体" w:hAnsi="新宋体" w:eastAsia="新宋体" w:cs="新宋体"/>
          <w:b/>
          <w:bCs w:val="0"/>
          <w:color w:val="auto"/>
          <w:highlight w:val="none"/>
        </w:rPr>
        <w:t>、</w:t>
      </w:r>
      <w:r>
        <w:rPr>
          <w:rFonts w:hint="eastAsia" w:ascii="宋体" w:hAnsi="宋体" w:eastAsia="宋体" w:cs="Times New Roman"/>
          <w:b/>
          <w:bCs/>
          <w:color w:val="auto"/>
          <w:szCs w:val="21"/>
          <w:highlight w:val="none"/>
          <w:lang w:val="en-US" w:eastAsia="zh-CN"/>
        </w:rPr>
        <w:t xml:space="preserve">培训教材 </w:t>
      </w:r>
    </w:p>
    <w:p w14:paraId="60B8A1C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培育教材包括正式出版物和各级农业农村部门组织编制的培育手册。培育机构应严把教材质量关，经主管部门审核，选用规范、先进、实用的培育教材。</w:t>
      </w:r>
    </w:p>
    <w:p w14:paraId="070B99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lang w:val="en-US" w:eastAsia="zh-CN"/>
        </w:rPr>
      </w:pPr>
      <w:r>
        <w:rPr>
          <w:rFonts w:hint="eastAsia" w:ascii="新宋体" w:hAnsi="新宋体" w:eastAsia="新宋体" w:cs="新宋体"/>
          <w:b/>
          <w:bCs w:val="0"/>
          <w:color w:val="auto"/>
          <w:highlight w:val="none"/>
          <w:lang w:val="en-US" w:eastAsia="zh-CN"/>
        </w:rPr>
        <w:t>八</w:t>
      </w:r>
      <w:r>
        <w:rPr>
          <w:rFonts w:hint="eastAsia" w:ascii="新宋体" w:hAnsi="新宋体" w:eastAsia="新宋体" w:cs="新宋体"/>
          <w:b/>
          <w:bCs w:val="0"/>
          <w:color w:val="auto"/>
          <w:highlight w:val="none"/>
        </w:rPr>
        <w:t>、</w:t>
      </w:r>
      <w:r>
        <w:rPr>
          <w:rFonts w:hint="eastAsia" w:ascii="宋体" w:hAnsi="宋体" w:eastAsia="宋体" w:cs="Times New Roman"/>
          <w:b/>
          <w:bCs/>
          <w:color w:val="auto"/>
          <w:szCs w:val="21"/>
          <w:highlight w:val="none"/>
          <w:lang w:val="en-US" w:eastAsia="zh-CN"/>
        </w:rPr>
        <w:t>资金使用</w:t>
      </w:r>
    </w:p>
    <w:p w14:paraId="0F3E57D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outlineLvl w:val="9"/>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培育机构应当按照相关规定和合同、协议约定的用途使用培育资金。可使用培育资金支付培育全过程环节所需费用，按照“谁使用谁负责”的原则，规范资金使用。不得擅自改变资金用途或擅自转拨资金，不得给培育对象发放补助。</w:t>
      </w:r>
    </w:p>
    <w:p w14:paraId="7814115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outlineLvl w:val="9"/>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b/>
          <w:bCs/>
          <w:color w:val="auto"/>
          <w:kern w:val="2"/>
          <w:sz w:val="21"/>
          <w:szCs w:val="24"/>
          <w:lang w:val="en-US" w:eastAsia="zh-CN" w:bidi="ar-SA"/>
        </w:rPr>
        <w:t>九、培育管理</w:t>
      </w:r>
    </w:p>
    <w:p w14:paraId="364082E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outlineLvl w:val="9"/>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培育机构应加强培育对象管理，要求培育对象在集中培育期间，严格遵守班级管理制度,严禁酗酒、滋事或从事可能影响学习培训的娱乐活动。</w:t>
      </w:r>
    </w:p>
    <w:p w14:paraId="039A75B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outlineLvl w:val="9"/>
        <w:rPr>
          <w:rFonts w:hint="eastAsia" w:ascii="Times New Roman" w:hAnsi="Times New Roman" w:eastAsia="宋体" w:cs="Times New Roman"/>
          <w:b/>
          <w:bCs/>
          <w:color w:val="auto"/>
          <w:kern w:val="2"/>
          <w:sz w:val="21"/>
          <w:szCs w:val="24"/>
          <w:lang w:val="en-US" w:eastAsia="zh-CN" w:bidi="ar-SA"/>
        </w:rPr>
      </w:pPr>
      <w:r>
        <w:rPr>
          <w:rFonts w:hint="eastAsia" w:ascii="Times New Roman" w:hAnsi="Times New Roman" w:eastAsia="宋体" w:cs="Times New Roman"/>
          <w:b/>
          <w:bCs/>
          <w:color w:val="auto"/>
          <w:kern w:val="2"/>
          <w:sz w:val="21"/>
          <w:szCs w:val="24"/>
          <w:lang w:val="en-US" w:eastAsia="zh-CN" w:bidi="ar-SA"/>
        </w:rPr>
        <w:t>十、结业证书</w:t>
      </w:r>
    </w:p>
    <w:p w14:paraId="05A882E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outlineLvl w:val="9"/>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培育机构根据课程考核和考勤情况,综合评价学员学习成果对完成学习任务的培育对象颁发结业证书。证书及名单要报主管部门备案。</w:t>
      </w:r>
    </w:p>
    <w:p w14:paraId="7DF837F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outlineLvl w:val="9"/>
        <w:rPr>
          <w:rFonts w:hint="eastAsia" w:ascii="Times New Roman" w:hAnsi="Times New Roman" w:eastAsia="宋体" w:cs="Times New Roman"/>
          <w:b/>
          <w:bCs/>
          <w:color w:val="auto"/>
          <w:kern w:val="2"/>
          <w:sz w:val="21"/>
          <w:szCs w:val="24"/>
          <w:lang w:val="en-US" w:eastAsia="zh-CN" w:bidi="ar-SA"/>
        </w:rPr>
      </w:pPr>
      <w:r>
        <w:rPr>
          <w:rFonts w:hint="eastAsia" w:ascii="Times New Roman" w:hAnsi="Times New Roman" w:eastAsia="宋体" w:cs="Times New Roman"/>
          <w:b/>
          <w:bCs/>
          <w:color w:val="auto"/>
          <w:kern w:val="2"/>
          <w:sz w:val="21"/>
          <w:szCs w:val="24"/>
          <w:lang w:val="en-US" w:eastAsia="zh-CN" w:bidi="ar-SA"/>
        </w:rPr>
        <w:t>十一、跟踪服务</w:t>
      </w:r>
    </w:p>
    <w:p w14:paraId="0B8BE20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outlineLvl w:val="9"/>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★培育机构应在课堂教学、实践教学和交流观摩全部完成后对学员开展跟踪服务</w:t>
      </w:r>
      <w:r>
        <w:rPr>
          <w:rFonts w:hint="eastAsia" w:eastAsia="宋体" w:cs="Times New Roman"/>
          <w:color w:val="auto"/>
          <w:kern w:val="2"/>
          <w:sz w:val="21"/>
          <w:szCs w:val="24"/>
          <w:highlight w:val="none"/>
          <w:lang w:val="en-US" w:eastAsia="zh-CN" w:bidi="ar-SA"/>
        </w:rPr>
        <w:t>，</w:t>
      </w:r>
      <w:r>
        <w:rPr>
          <w:rFonts w:hint="eastAsia" w:ascii="Times New Roman" w:hAnsi="Times New Roman" w:eastAsia="宋体" w:cs="Times New Roman"/>
          <w:color w:val="auto"/>
          <w:kern w:val="2"/>
          <w:sz w:val="21"/>
          <w:szCs w:val="24"/>
          <w:highlight w:val="none"/>
          <w:lang w:val="en-US" w:eastAsia="zh-CN" w:bidi="ar-SA"/>
        </w:rPr>
        <w:t>时长不超过1年</w:t>
      </w:r>
      <w:r>
        <w:rPr>
          <w:rFonts w:hint="eastAsia" w:eastAsia="宋体" w:cs="Times New Roman"/>
          <w:color w:val="auto"/>
          <w:kern w:val="2"/>
          <w:sz w:val="21"/>
          <w:szCs w:val="24"/>
          <w:highlight w:val="none"/>
          <w:lang w:val="en-US" w:eastAsia="zh-CN" w:bidi="ar-SA"/>
        </w:rPr>
        <w:t>，</w:t>
      </w:r>
      <w:r>
        <w:rPr>
          <w:rFonts w:hint="eastAsia" w:ascii="Times New Roman" w:hAnsi="Times New Roman" w:eastAsia="宋体" w:cs="Times New Roman"/>
          <w:color w:val="auto"/>
          <w:kern w:val="2"/>
          <w:sz w:val="21"/>
          <w:szCs w:val="24"/>
          <w:highlight w:val="none"/>
          <w:lang w:val="en-US" w:eastAsia="zh-CN" w:bidi="ar-SA"/>
        </w:rPr>
        <w:t>次数不少于2次。跟踪服务人数不少于培训班总人数的60%。跟踪服务形式可包括技术指导、政策推介、发展帮扶、组织交流互助、组织参加与培育主题相关的展会和技能竞赛等</w:t>
      </w:r>
      <w:r>
        <w:rPr>
          <w:rFonts w:hint="eastAsia" w:eastAsia="宋体" w:cs="Times New Roman"/>
          <w:color w:val="auto"/>
          <w:kern w:val="2"/>
          <w:sz w:val="21"/>
          <w:szCs w:val="24"/>
          <w:highlight w:val="none"/>
          <w:lang w:val="en-US" w:eastAsia="zh-CN" w:bidi="ar-SA"/>
        </w:rPr>
        <w:t>。</w:t>
      </w:r>
    </w:p>
    <w:p w14:paraId="2C8024C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Times New Roman"/>
          <w:b/>
          <w:bCs/>
          <w:color w:val="auto"/>
          <w:szCs w:val="21"/>
          <w:lang w:val="en-US" w:eastAsia="zh-CN"/>
        </w:rPr>
      </w:pPr>
      <w:r>
        <w:rPr>
          <w:rFonts w:hint="eastAsia" w:ascii="宋体" w:hAnsi="宋体" w:eastAsia="宋体" w:cs="Times New Roman"/>
          <w:b/>
          <w:bCs/>
          <w:color w:val="auto"/>
          <w:szCs w:val="21"/>
          <w:lang w:val="en-US" w:eastAsia="zh-CN"/>
        </w:rPr>
        <w:t>十二、培训服务费及付款方式：</w:t>
      </w:r>
    </w:p>
    <w:p w14:paraId="7C169D7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outlineLvl w:val="9"/>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eastAsia="宋体" w:cs="Times New Roman"/>
          <w:color w:val="auto"/>
          <w:szCs w:val="21"/>
          <w:lang w:val="en-US" w:eastAsia="zh-CN"/>
        </w:rPr>
        <w:t>支付人：湘</w:t>
      </w:r>
      <w:r>
        <w:rPr>
          <w:rFonts w:hint="eastAsia" w:ascii="Times New Roman" w:hAnsi="Times New Roman" w:eastAsia="宋体" w:cs="Times New Roman"/>
          <w:color w:val="auto"/>
          <w:kern w:val="2"/>
          <w:sz w:val="21"/>
          <w:szCs w:val="24"/>
          <w:highlight w:val="none"/>
          <w:lang w:val="en-US" w:eastAsia="zh-CN" w:bidi="ar-SA"/>
        </w:rPr>
        <w:t>西土家族苗族自治州农业农村局</w:t>
      </w:r>
    </w:p>
    <w:p w14:paraId="37B1CEB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outlineLvl w:val="9"/>
        <w:rPr>
          <w:rFonts w:hint="eastAsia" w:ascii="Times New Roman" w:hAnsi="Times New Roman" w:eastAsia="宋体" w:cs="Times New Roman"/>
          <w:color w:val="auto"/>
          <w:kern w:val="2"/>
          <w:sz w:val="21"/>
          <w:szCs w:val="24"/>
          <w:highlight w:val="none"/>
          <w:lang w:val="en-US" w:eastAsia="zh-CN" w:bidi="ar-SA"/>
        </w:rPr>
      </w:pPr>
      <w:bookmarkStart w:id="151" w:name="OLE_LINK106"/>
      <w:r>
        <w:rPr>
          <w:rFonts w:hint="eastAsia" w:ascii="Times New Roman" w:hAnsi="Times New Roman" w:eastAsia="宋体" w:cs="Times New Roman"/>
          <w:color w:val="auto"/>
          <w:kern w:val="2"/>
          <w:sz w:val="21"/>
          <w:szCs w:val="24"/>
          <w:highlight w:val="none"/>
          <w:lang w:val="en-US" w:eastAsia="zh-CN" w:bidi="ar-SA"/>
        </w:rPr>
        <w:t>付款方式：省级平台录入完成并审核通过，提交正式发票及相关资料后予以支付。具体支付按如下情况确定：</w:t>
      </w:r>
    </w:p>
    <w:p w14:paraId="48A0D84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outlineLvl w:val="9"/>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1.培训结束后，乙方在规定时间内提供相关资料，经甲方审核通过，于2026年12月底前支付80%费用；</w:t>
      </w:r>
    </w:p>
    <w:p w14:paraId="5C2CE55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outlineLvl w:val="9"/>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2.乙方按要求及时完成审计、跟踪服务、典型培育等事项，提供相关资料，经甲方验收通过，于2027年</w:t>
      </w:r>
      <w:r>
        <w:rPr>
          <w:rFonts w:hint="eastAsia" w:cs="Times New Roman"/>
          <w:color w:val="auto"/>
          <w:kern w:val="2"/>
          <w:sz w:val="21"/>
          <w:szCs w:val="24"/>
          <w:highlight w:val="none"/>
          <w:lang w:val="en-US" w:eastAsia="zh-CN" w:bidi="ar-SA"/>
        </w:rPr>
        <w:t>7</w:t>
      </w:r>
      <w:r>
        <w:rPr>
          <w:rFonts w:hint="eastAsia" w:ascii="Times New Roman" w:hAnsi="Times New Roman" w:eastAsia="宋体" w:cs="Times New Roman"/>
          <w:color w:val="auto"/>
          <w:kern w:val="2"/>
          <w:sz w:val="21"/>
          <w:szCs w:val="24"/>
          <w:highlight w:val="none"/>
          <w:lang w:val="en-US" w:eastAsia="zh-CN" w:bidi="ar-SA"/>
        </w:rPr>
        <w:t>月底前支付剩余20%费用。</w:t>
      </w:r>
    </w:p>
    <w:bookmarkEnd w:id="151"/>
    <w:p w14:paraId="0466B85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Times New Roman"/>
          <w:b/>
          <w:bCs/>
          <w:color w:val="auto"/>
          <w:szCs w:val="21"/>
          <w:lang w:val="en-US" w:eastAsia="zh-CN"/>
        </w:rPr>
      </w:pPr>
      <w:r>
        <w:rPr>
          <w:rFonts w:hint="eastAsia" w:ascii="宋体" w:hAnsi="宋体" w:eastAsia="宋体" w:cs="Times New Roman"/>
          <w:b/>
          <w:bCs/>
          <w:color w:val="auto"/>
          <w:szCs w:val="21"/>
          <w:lang w:val="en-US" w:eastAsia="zh-CN"/>
        </w:rPr>
        <w:t>十三、其他要求及说明</w:t>
      </w:r>
    </w:p>
    <w:p w14:paraId="2ABA233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（一）本项目采用费用总包干方式，包含所需相关培训的所有费用，如一旦成交，在项目实施中出现任何遗漏，均由成交供应商自行提供，采购人不再支付任何费用。</w:t>
      </w:r>
    </w:p>
    <w:p w14:paraId="7209A8A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color w:val="auto"/>
          <w:shd w:val="clear" w:color="auto" w:fill="FFFFFF"/>
          <w:lang w:eastAsia="zh-CN"/>
        </w:rPr>
      </w:pPr>
      <w:r>
        <w:rPr>
          <w:rFonts w:hint="eastAsia" w:ascii="宋体" w:hAnsi="宋体" w:eastAsia="宋体" w:cs="Times New Roman"/>
          <w:color w:val="auto"/>
          <w:szCs w:val="21"/>
          <w:lang w:val="en-US" w:eastAsia="zh-CN"/>
        </w:rPr>
        <w:t>（二）相关要求不明确、不清晰部分均按照</w:t>
      </w:r>
      <w:r>
        <w:rPr>
          <w:rFonts w:hint="eastAsia" w:ascii="Times New Roman" w:hAnsi="Times New Roman" w:eastAsia="宋体" w:cs="Times New Roman"/>
          <w:color w:val="auto"/>
          <w:shd w:val="clear" w:color="auto" w:fill="FFFFFF"/>
        </w:rPr>
        <w:t>农业农村部农村社会事业促进司关于印发</w:t>
      </w:r>
      <w:r>
        <w:rPr>
          <w:rFonts w:hint="eastAsia" w:ascii="Times New Roman" w:hAnsi="Times New Roman" w:eastAsia="宋体" w:cs="Times New Roman"/>
          <w:color w:val="auto"/>
          <w:shd w:val="clear" w:color="auto" w:fill="FFFFFF"/>
          <w:lang w:eastAsia="zh-CN"/>
        </w:rPr>
        <w:t>《</w:t>
      </w:r>
      <w:r>
        <w:rPr>
          <w:rFonts w:hint="eastAsia" w:ascii="Times New Roman" w:hAnsi="Times New Roman" w:eastAsia="宋体" w:cs="Times New Roman"/>
          <w:color w:val="auto"/>
          <w:shd w:val="clear" w:color="auto" w:fill="FFFFFF"/>
        </w:rPr>
        <w:t>高素质农民培育项目管理工作规程(试行)》和</w:t>
      </w:r>
      <w:r>
        <w:rPr>
          <w:rFonts w:hint="eastAsia" w:ascii="Times New Roman" w:hAnsi="Times New Roman" w:eastAsia="宋体" w:cs="Times New Roman"/>
          <w:color w:val="auto"/>
          <w:shd w:val="clear" w:color="auto" w:fill="FFFFFF"/>
          <w:lang w:eastAsia="zh-CN"/>
        </w:rPr>
        <w:t>《</w:t>
      </w:r>
      <w:r>
        <w:rPr>
          <w:rFonts w:hint="eastAsia" w:ascii="Times New Roman" w:hAnsi="Times New Roman" w:eastAsia="宋体" w:cs="Times New Roman"/>
          <w:color w:val="auto"/>
          <w:shd w:val="clear" w:color="auto" w:fill="FFFFFF"/>
        </w:rPr>
        <w:t>高素质农民培育规范(修订)》的通知</w:t>
      </w:r>
      <w:r>
        <w:rPr>
          <w:rFonts w:ascii="Times New Roman" w:hAnsi="Times New Roman" w:eastAsia="宋体" w:cs="Times New Roman"/>
          <w:color w:val="auto"/>
          <w:shd w:val="clear" w:color="auto" w:fill="FFFFFF"/>
        </w:rPr>
        <w:t>（</w:t>
      </w:r>
      <w:r>
        <w:rPr>
          <w:rFonts w:hint="eastAsia" w:ascii="Times New Roman" w:hAnsi="Times New Roman" w:eastAsia="宋体" w:cs="Times New Roman"/>
          <w:color w:val="auto"/>
          <w:shd w:val="clear" w:color="auto" w:fill="FFFFFF"/>
        </w:rPr>
        <w:t>农社综函(2025]15号</w:t>
      </w:r>
      <w:r>
        <w:rPr>
          <w:rFonts w:ascii="Times New Roman" w:hAnsi="Times New Roman" w:eastAsia="宋体" w:cs="Times New Roman"/>
          <w:color w:val="auto"/>
          <w:shd w:val="clear" w:color="auto" w:fill="FFFFFF"/>
        </w:rPr>
        <w:t>）</w:t>
      </w:r>
      <w:r>
        <w:rPr>
          <w:rFonts w:hint="eastAsia" w:ascii="Times New Roman" w:hAnsi="Times New Roman" w:eastAsia="宋体" w:cs="Times New Roman"/>
          <w:color w:val="auto"/>
          <w:shd w:val="clear" w:color="auto" w:fill="FFFFFF"/>
          <w:lang w:eastAsia="zh-CN"/>
        </w:rPr>
        <w:t>、</w:t>
      </w:r>
      <w:r>
        <w:rPr>
          <w:rFonts w:hint="eastAsia" w:ascii="宋体" w:hAnsi="宋体" w:eastAsia="宋体" w:cs="Times New Roman"/>
          <w:color w:val="auto"/>
          <w:szCs w:val="21"/>
          <w:lang w:eastAsia="zh-CN"/>
        </w:rPr>
        <w:t>《湖南省高素质农民培育规范（试行）》和《湘西州202</w:t>
      </w:r>
      <w:r>
        <w:rPr>
          <w:rFonts w:hint="eastAsia" w:ascii="宋体" w:hAnsi="宋体" w:eastAsia="宋体" w:cs="Times New Roman"/>
          <w:color w:val="auto"/>
          <w:szCs w:val="21"/>
          <w:lang w:val="en-US" w:eastAsia="zh-CN"/>
        </w:rPr>
        <w:t>6</w:t>
      </w:r>
      <w:r>
        <w:rPr>
          <w:rFonts w:hint="eastAsia" w:ascii="宋体" w:hAnsi="宋体" w:eastAsia="宋体" w:cs="Times New Roman"/>
          <w:color w:val="auto"/>
          <w:szCs w:val="21"/>
          <w:lang w:eastAsia="zh-CN"/>
        </w:rPr>
        <w:t>年高素质农民培育工作实施方案》的通知（州农办发〔202</w:t>
      </w:r>
      <w:r>
        <w:rPr>
          <w:rFonts w:hint="eastAsia" w:ascii="宋体" w:hAnsi="宋体" w:eastAsia="宋体" w:cs="Times New Roman"/>
          <w:color w:val="auto"/>
          <w:szCs w:val="21"/>
          <w:lang w:val="en-US" w:eastAsia="zh-CN"/>
        </w:rPr>
        <w:t>6]5</w:t>
      </w:r>
      <w:r>
        <w:rPr>
          <w:rFonts w:hint="eastAsia" w:ascii="宋体" w:hAnsi="宋体" w:eastAsia="宋体" w:cs="Times New Roman"/>
          <w:color w:val="auto"/>
          <w:szCs w:val="21"/>
          <w:lang w:eastAsia="zh-CN"/>
        </w:rPr>
        <w:t>号）</w:t>
      </w:r>
      <w:r>
        <w:rPr>
          <w:rFonts w:ascii="Times New Roman" w:hAnsi="Times New Roman" w:eastAsia="宋体" w:cs="Times New Roman"/>
          <w:color w:val="auto"/>
          <w:shd w:val="clear" w:color="auto" w:fill="FFFFFF"/>
        </w:rPr>
        <w:t>文件要求</w:t>
      </w:r>
      <w:r>
        <w:rPr>
          <w:rFonts w:hint="eastAsia" w:ascii="Times New Roman" w:hAnsi="Times New Roman" w:eastAsia="宋体" w:cs="Times New Roman"/>
          <w:color w:val="auto"/>
          <w:shd w:val="clear" w:color="auto" w:fill="FFFFFF"/>
          <w:lang w:eastAsia="zh-CN"/>
        </w:rPr>
        <w:t>执行。</w:t>
      </w:r>
    </w:p>
    <w:p w14:paraId="436F5D21">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auto"/>
          <w:shd w:val="clear" w:color="auto" w:fill="FFFFFF"/>
          <w:lang w:val="en-US" w:eastAsia="zh-CN"/>
        </w:rPr>
      </w:pPr>
      <w:r>
        <w:rPr>
          <w:rFonts w:hint="eastAsia" w:ascii="Times New Roman" w:hAnsi="Times New Roman" w:eastAsia="宋体" w:cs="Times New Roman"/>
          <w:color w:val="auto"/>
          <w:shd w:val="clear" w:color="auto" w:fill="FFFFFF"/>
          <w:lang w:val="en-US" w:eastAsia="zh-CN"/>
        </w:rPr>
        <w:t>★（三）成交供应商在承办培训班时，须全程接入“农民教育培训信息管理系统”（https://ims.ngx.net.cn/state/web/common/index.html#/Login?VNK=438f1d83），实现培育全程可监管可追溯。</w:t>
      </w:r>
    </w:p>
    <w:p w14:paraId="6F8708D1">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auto"/>
          <w:shd w:val="clear" w:color="auto" w:fill="FFFFFF"/>
        </w:rPr>
      </w:pPr>
      <w:r>
        <w:rPr>
          <w:rFonts w:hint="eastAsia" w:ascii="Times New Roman" w:hAnsi="Times New Roman" w:eastAsia="宋体" w:cs="Times New Roman"/>
          <w:color w:val="auto"/>
          <w:shd w:val="clear" w:color="auto" w:fill="FFFFFF"/>
          <w:lang w:val="en-US" w:eastAsia="zh-CN"/>
        </w:rPr>
        <w:t>（四）</w:t>
      </w:r>
      <w:r>
        <w:rPr>
          <w:rFonts w:hint="eastAsia" w:eastAsia="宋体" w:cs="Times New Roman"/>
          <w:color w:val="auto"/>
          <w:shd w:val="clear" w:color="auto" w:fill="FFFFFF"/>
          <w:lang w:val="en-US" w:eastAsia="zh-CN"/>
        </w:rPr>
        <w:t>本章采购需求，除培育地点、采购内容和培训任务按包号内容，其他要求所有包号均适用。</w:t>
      </w:r>
    </w:p>
    <w:p w14:paraId="2B154123">
      <w:pPr>
        <w:outlineLvl w:val="9"/>
        <w:rPr>
          <w:rFonts w:hint="eastAsia" w:ascii="Times New Roman" w:hAnsi="Times New Roman" w:eastAsia="宋体" w:cs="Times New Roman"/>
          <w:color w:val="auto"/>
          <w:kern w:val="2"/>
          <w:sz w:val="21"/>
          <w:szCs w:val="24"/>
          <w:shd w:val="clear" w:color="auto" w:fill="FFFFFF"/>
          <w:lang w:val="en-US" w:eastAsia="zh-CN" w:bidi="ar-SA"/>
        </w:rPr>
      </w:pPr>
      <w:r>
        <w:rPr>
          <w:rFonts w:hint="eastAsia" w:ascii="Times New Roman" w:hAnsi="Times New Roman" w:eastAsia="宋体" w:cs="Times New Roman"/>
          <w:color w:val="auto"/>
          <w:kern w:val="2"/>
          <w:sz w:val="21"/>
          <w:szCs w:val="24"/>
          <w:shd w:val="clear" w:color="auto" w:fill="FFFFFF"/>
          <w:lang w:val="en-US" w:eastAsia="zh-CN" w:bidi="ar-SA"/>
        </w:rPr>
        <w:br w:type="page"/>
      </w:r>
    </w:p>
    <w:p w14:paraId="729CACA8">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附 件 1</w:t>
      </w:r>
    </w:p>
    <w:p w14:paraId="600F5F0D">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p>
    <w:p w14:paraId="01A8CE39">
      <w:pPr>
        <w:pStyle w:val="33"/>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高素质农民培育项目管理工作规程</w:t>
      </w:r>
    </w:p>
    <w:p w14:paraId="1B573551">
      <w:pPr>
        <w:pStyle w:val="33"/>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(试行)</w:t>
      </w:r>
    </w:p>
    <w:p w14:paraId="3898B24B">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第一章  总    则</w:t>
      </w:r>
    </w:p>
    <w:p w14:paraId="72C00948">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第一条  为加强高素质农民培育计划组织管理，提高资金使 用效率，提升培育质量效果，依据财政部《中央对地方专项转移支 付管理办法》、农业农村部《农业相关转移支付项目管理部内工作 规程》,制定本规程。</w:t>
      </w:r>
    </w:p>
    <w:p w14:paraId="4B510820">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第二条  本规程适用于各级农业农村部门使用中央财政转移 支付资金开展的高素质农民培育工作。</w:t>
      </w:r>
    </w:p>
    <w:p w14:paraId="512ED80C">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第三条  高素质农民培育采取统一部署、分层实施、分级管 理、育用结合的方式，坚持质量导向、突出培育实效，紧密围绕农业 农村高质量发展和乡村全面振兴人才需求组织开展。</w:t>
      </w:r>
    </w:p>
    <w:p w14:paraId="20973EED">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第四条  农业农村部农村社会事业促进司(以下简称“部社 会事业司”)负责高素质农民培育计划的管理和指导，制定《高素 质农民培育规范》和相关标准，对各省高素质农民培育计划实施情 况开展质量监管和总结评价。</w:t>
      </w:r>
    </w:p>
    <w:p w14:paraId="00B6CE98">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省级农业农村部门负责组织培育需求摸底，分解培育任务，指导市、县级落实培育计划，组织实施本级培育，开展质量监管和总 结评价。各级农业农村部门负责本地区高素质农民培育计划组织 实施和质量管理。</w:t>
      </w:r>
    </w:p>
    <w:p w14:paraId="5EFEB71D">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p>
    <w:p w14:paraId="6D1B31EF">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第二章  申报与下达</w:t>
      </w:r>
    </w:p>
    <w:p w14:paraId="7C455D26">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第五条  高素质农民培育计划任务围绕“三农”重点领域人 才需求确定，根据农业农村领域急需紧缺人才培养需求设置相关 专题任务，每年根据实际进行调整。</w:t>
      </w:r>
    </w:p>
    <w:p w14:paraId="5F7B1A8C">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第六条  部社会事业司、各省农业农村部门应提前组织培育 需求摸底，为确定年度培育任务提供参考。</w:t>
      </w:r>
    </w:p>
    <w:p w14:paraId="4A6A7FD5">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第七条  部社会事业司提出高素质农民培育计划年度任务， 下发专题任务申报指南，组织各省申报。</w:t>
      </w:r>
    </w:p>
    <w:p w14:paraId="743BF99E">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各省农业农村部门按照专题任务申报指南要求，编制专题任 务申报书，报送部社会事业司。</w:t>
      </w:r>
    </w:p>
    <w:p w14:paraId="6D2C887F">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第八条  部社会事业司组织项目评审，将通过评审的项目纳 入项目储备库，提出专题任务分配建议，并按有关规定纳入资金测算、下达绩效任务。</w:t>
      </w:r>
    </w:p>
    <w:p w14:paraId="2DAA79F0">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p>
    <w:p w14:paraId="379B2EF9">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第三章  组织实施</w:t>
      </w:r>
    </w:p>
    <w:p w14:paraId="3356F89D">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第九条  高素质农民培育计划按照制定实施方案、分解培育任务、遴选培育机构、签订培育协议、指导任务实施、开展质量监管和总结评价的程序组织实施。</w:t>
      </w:r>
    </w:p>
    <w:p w14:paraId="5ADAF426">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第十条  各省农业农村部门按照财政部、农业农村部联合下 达的年度高素质农民培育计划绩效任务和农业农村部印发的培育 工作通知，制定实施方案并报部社会事业司审核备案。</w:t>
      </w:r>
    </w:p>
    <w:p w14:paraId="49A222F2">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第十一条  各省农业农村部门根据部社会事业司审核备案的实施方案，通过因素测算、竞争立项等方式，确定市、县绩效任务，组织市、县编制实施方案并审核。优先支持上年任务完成情况和 培育效果好的市、县承担培育任务。</w:t>
      </w:r>
    </w:p>
    <w:p w14:paraId="07C89125">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第十二条  各级农业农村部门分层实施培育计划任务，分别举办本级高素质农民培训班。</w:t>
      </w:r>
    </w:p>
    <w:p w14:paraId="0095B545">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本地区教育培训条件无法满足培育需求的，培训班整体或部分培训环节可采取异地委托培训或上级调训的方式开展。</w:t>
      </w:r>
    </w:p>
    <w:p w14:paraId="30603359">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第十三条  各级农业农村部门应当坚持竞争择优原则遴选培育机构。</w:t>
      </w:r>
    </w:p>
    <w:p w14:paraId="60D8F160">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培育机构可跨区域承担培育任务。鼓励优质公益性培育机构连续稳定承担培育任务，对承担上一年度培育任务并高质高效完成的培育机构可优先选用。承担培育任务的培育机构经确定后，要按规定履行公开公示程序。</w:t>
      </w:r>
    </w:p>
    <w:p w14:paraId="3796BDFF">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通过招投标形式遴选培育机构的，应将《高素质农民培育规范》有关培育机构条件的内容纳入招标条件。</w:t>
      </w:r>
    </w:p>
    <w:p w14:paraId="2373E0A9">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承担实践教学环节的机构应具有满足培育主题要求的场地、设施设备、实践师资等条件。</w:t>
      </w:r>
    </w:p>
    <w:p w14:paraId="207554CA">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第十四条  各级农业农村部门应与承担任务的培育机构签订合同或服务协议，明确培育的目标任务、完成期限、培育对象遴选方式和要求、培训方式、质量要求、资金用途和绩效目标等。培育任务内容应包含培育对象遴选、课堂教学(包含线上线下培训)、实践教学、观摩交流、跟踪服务及相应实施机构等。</w:t>
      </w:r>
    </w:p>
    <w:p w14:paraId="1C356110">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第十五条  各级农业农村部门应指导本级培育机构精准遴选培育对象。高素质农民培育对象主要为新型农业经营主体带头人 和乡村振兴骨干人员。</w:t>
      </w:r>
    </w:p>
    <w:p w14:paraId="06FC560B">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本年度参加培育的农民，确因人才培养需要的，可在次年参加 不同主题或同一主题更高层级的培育。</w:t>
      </w:r>
    </w:p>
    <w:p w14:paraId="1680C3C1">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第十六条  各级农业农村部门应认真审核本级培育任务开班 计划，主要审核内容包括：</w:t>
      </w:r>
    </w:p>
    <w:p w14:paraId="2CE9CF83">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(一)培育主题是否符合下达任务的要求；</w:t>
      </w:r>
    </w:p>
    <w:p w14:paraId="714FF3EA">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(二)课程和培育对象是否与培育主题一致；</w:t>
      </w:r>
    </w:p>
    <w:p w14:paraId="2412657C">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(三)师资选用是否满足课程要求；</w:t>
      </w:r>
    </w:p>
    <w:p w14:paraId="00FA467A">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(四)课堂教学(包含线上线下)、实践教学、观摩交流等培育 方式是否合理，是否有利于提高培育质量；</w:t>
      </w:r>
    </w:p>
    <w:p w14:paraId="7A8F8FB9">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(五)培育经费支出计划是否合理合规；</w:t>
      </w:r>
    </w:p>
    <w:p w14:paraId="4A3073E5">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(六)培育预期效果。</w:t>
      </w:r>
    </w:p>
    <w:p w14:paraId="3874ADEA">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第十七条  培训开班时间和培训时长应综合考虑农时农事特点、产业发展需求和人才培养规律，同一班次可采取分段实施的方式组织培训。</w:t>
      </w:r>
    </w:p>
    <w:p w14:paraId="223DD2D7">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第十八条  培育师资应具备相应课程的专业条件。综合素养 课程师资原则上应来自政府及所属事业单位、大中专院校、科研院 所等公益性机构。鼓励聘请农业企业、新型农业经营主体管理人员等“土专家”以及实操经验丰富的专业人员、技术能手授课。各级农业农村部门应委派与培训班主题相符的主管单位人员讲授 “开班第一课”。跟踪服务应配备专门师资。</w:t>
      </w:r>
    </w:p>
    <w:p w14:paraId="0D2D5D86">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第十九条  培育机构应建立培育档案，包括开班计划、培育对 象信息、课程及考核结果记录、资金支出票据复印件、结业证书发 放情况和其他必要培育信息。培育档案至少保存5年。</w:t>
      </w:r>
    </w:p>
    <w:p w14:paraId="2A932702">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第二十条  各级农业农村部门可根据实际需要，指导培育机 构对培育对象开展跟踪服务。鼓励各级农业农村部门持续跟进培 育对象发展情况，提供技术指导、政策对接、金融帮扶和信息服务等支持。</w:t>
      </w:r>
    </w:p>
    <w:p w14:paraId="7C9C7397">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第二十一条  培育完成并验收合格后，培育机构应向培育对象发放结业证书，并将培育对象和结业证书档案报下达培育任务的农业农村部门备案。</w:t>
      </w:r>
    </w:p>
    <w:p w14:paraId="35CE2766">
      <w:pPr>
        <w:pStyle w:val="33"/>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p>
    <w:p w14:paraId="11E13429">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第四章  资金支出</w:t>
      </w:r>
    </w:p>
    <w:p w14:paraId="3C31B2E6">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第二十二条  培育经费支出应遵循节约高效原则。中央财政转移支付高素质农民培育资金可用于支付高素质农民培育计划实 施的需求摸底、课堂教学、实践教学、交流观摩、跟踪服务和总结评 价等培育环节必需费用和验收费用。不得列支招投标费用、审计费用和第三方评估费用等应从“三公”经费支出的其他费用。不得给培育对象发放补助。</w:t>
      </w:r>
    </w:p>
    <w:p w14:paraId="5834297A">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第二十三条  培育费用原则上按照实际需求支出，具体标准由各级农业农村部门商本级财政部门确定。课堂教学日均费用一 般不高于培训地干部培训标准。实践教学和跟踪服务费用应按实际支出。</w:t>
      </w:r>
    </w:p>
    <w:p w14:paraId="39244185">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第二十四条  培育费用可采取预拨、部分预拨、报账等方式支付。预拨比例由各级农业农村部门商财政部门确定。支付对象为承担任务的培育机构，相关支出、报账由培育机构具体负责。</w:t>
      </w:r>
    </w:p>
    <w:p w14:paraId="19FAA265">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第二十五条  用好农业农村部转移支付管理平台，及时填报各级实施方案和资金支出信息，确保真实准确。严禁数据造假。</w:t>
      </w:r>
    </w:p>
    <w:p w14:paraId="3312F41C">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p>
    <w:p w14:paraId="6314AB2D">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第五章  监督管理</w:t>
      </w:r>
    </w:p>
    <w:p w14:paraId="141BAF03">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第二十六条  严格按照中央财政转移支付资金管理的相关规 定做好培育项目实施监管。按照《农业农村部办公厅关于进一步加强财政支农相关资金使用全链条管理的通知》要求，全面提升资金使用效能。</w:t>
      </w:r>
    </w:p>
    <w:p w14:paraId="201D9497">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第二十七条  部社会事业司建立常态化抽核机制，通过电话</w:t>
      </w:r>
    </w:p>
    <w:p w14:paraId="23A5E4F0">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回访、平台数据核实、实地核验等方式对高素质农民培育计划实施情况进行全过程监管，对于培育过程不符合本规程和《高素质 农民培育规范》的情况，及时予以纠正。委托农业农村部农民科 技教育培训中心开展质量跟踪，必要时委托第三方机构开展实 地核验。平台数据核实依据农民教育培训信息管理系统和农业农村部转移支付管理平台开展。实地核验应符合“四不两直”相关要求。</w:t>
      </w:r>
    </w:p>
    <w:p w14:paraId="0640831E">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第二十八条  各级农业农村部门对本级培训班和下级培育任 务实施开展质量监管，建立职责明确、分工协作的质量监管体系。</w:t>
      </w:r>
    </w:p>
    <w:p w14:paraId="5266C7CC">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各级高素质农民培育归口主管业务部门对项目实施和资金使 用管理负主体责任和监督责任，明确项目管理目标、关键举措、时间进度和责任人，做好高素质农民培育政策公开，加强项目组织实 施和执行调度，强化项目日常实施监管。</w:t>
      </w:r>
    </w:p>
    <w:p w14:paraId="4477B3B0">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第二十九条  各级农业农村部门应当在立项评审、实施管理和验收评价等关键环节，开展全链条项目资金监管。制定培育机构公开遴选方案和专题班评审方案，公正开展遴选评审工作。规范开展项目招投标，坚决防止围标串标等违规行为，确保优质培育机构承担任务。按照年度实施方案，加强项目实施过程指导督促，确保项目执行进度，持续提升培育质量。对本级培训班使用教材、教案进行政策把关。</w:t>
      </w:r>
    </w:p>
    <w:p w14:paraId="40EFEB8D">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第三十条  按照“谁使用谁负责”的原则，规范资金使用，任何单位和个人不得挤占、截留、挪用或擅自改变用途，不得跨项目 整合资金，国家另有规定的除外。对企业为主体承担的项目，要商财政部门研究创新实施机制，防范骗取套取财政支农资金风险。 地方各级农业农村部门要积极配合有关部门，严肃查处相关违规违纪违法行为，并以适当形式对培育机构进行通报、约谈。</w:t>
      </w:r>
    </w:p>
    <w:p w14:paraId="1A496ACE">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第三十一条  部社会事业司在监督管理中发现以下问题时，应约谈该省份农业农村部门，提出整改要求并督促落实。对拒不整改的，商部计财司暂停下一年度培育任务。</w:t>
      </w:r>
    </w:p>
    <w:p w14:paraId="7DD45ACD">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(一)资金随意分配、挤占挪用的；</w:t>
      </w:r>
    </w:p>
    <w:p w14:paraId="5D066339">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(二)未按要求开展培育质量监管的；</w:t>
      </w:r>
    </w:p>
    <w:p w14:paraId="133CFEB7">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(三)多个培育班次不符合规范要求的；</w:t>
      </w:r>
    </w:p>
    <w:p w14:paraId="0C7F3F95">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(四)发生多起举报、上访事件并核查属实的。</w:t>
      </w:r>
    </w:p>
    <w:p w14:paraId="5E171EB1">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省级农业农村部门在对市、县实施项目的监督管理中发现以上问题的，参照以上要求处理。</w:t>
      </w:r>
    </w:p>
    <w:p w14:paraId="4E1C76E4">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第三十二条  各级农业农村部门对存在以下情况的培育机构，应暂停或取消其实施资格，追缴项目资金，三年内不再受理培育申请。</w:t>
      </w:r>
    </w:p>
    <w:p w14:paraId="3D0F9B18">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(一)培育机构申报条件和培育过程弄虚作假的；</w:t>
      </w:r>
    </w:p>
    <w:p w14:paraId="5D9CFC5C">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(二)私自分包、转包培育任务的；</w:t>
      </w:r>
    </w:p>
    <w:p w14:paraId="455EB75C">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(三)超出培育完成期限时间较长仍未能完成任务的；</w:t>
      </w:r>
    </w:p>
    <w:p w14:paraId="47707176">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(四)培育资金使用严重违规或违反合同协议的，存在虚报冒领、骗取套取行为的；</w:t>
      </w:r>
    </w:p>
    <w:p w14:paraId="66868AC1">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(五)培育过程中出现安全责任事故、违法违规情况的。</w:t>
      </w:r>
    </w:p>
    <w:p w14:paraId="58B85F3F">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p>
    <w:p w14:paraId="4DDD8F73">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第六章  总结评价</w:t>
      </w:r>
    </w:p>
    <w:p w14:paraId="7695E175">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第三十三条  部社会事业司配合部计财司对各省高素质农民培育计划实施情况开展绩效管理。</w:t>
      </w:r>
    </w:p>
    <w:p w14:paraId="731BB729">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第三十四条  各省农业农村部门每年1月10日前向部社会 事业司报送高素质农民培育计划实施情况年度总结。</w:t>
      </w:r>
    </w:p>
    <w:p w14:paraId="45788D92">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第三十五条  部社会事业司对各省实施情况开展总结性评 价，评价结果采取适当方式进行通报，并作为确定下一年度培育任务的重要依据。</w:t>
      </w:r>
    </w:p>
    <w:p w14:paraId="3E8862CE">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p>
    <w:p w14:paraId="5B04038E">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第七章  附    则</w:t>
      </w:r>
    </w:p>
    <w:p w14:paraId="54370DB2">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第三十六条  本规程所称省是指省、自治区、直辖市、计划单列市、新疆生产建设兵团以及北大荒农垦集团有限公司、广东省农垦总局。农业农村部门是指农业农村、农牧、畜牧兽医、渔业等行政主管部门。</w:t>
      </w:r>
    </w:p>
    <w:p w14:paraId="7AFD9499">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本规程相关规定与年度工作通知要求不一致的，按年度通知要求执行。</w:t>
      </w:r>
    </w:p>
    <w:p w14:paraId="3F0A8650">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第三十七条  各地农业农村部门可根据本规程，结合本地区的实际情况，制定具体实施细则。</w:t>
      </w:r>
    </w:p>
    <w:p w14:paraId="5BE54B0A">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第三十八条本规程由部社会事业司负责解释 。</w:t>
      </w:r>
    </w:p>
    <w:p w14:paraId="59A2D189">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第三十九条本规程自印发之日起施行 。</w:t>
      </w:r>
    </w:p>
    <w:p w14:paraId="637D2B27">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p>
    <w:p w14:paraId="08C8E2AE">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p>
    <w:p w14:paraId="7546935A">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p>
    <w:p w14:paraId="509BDEC4">
      <w:pPr>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br w:type="page"/>
      </w:r>
    </w:p>
    <w:p w14:paraId="64122713">
      <w:pPr>
        <w:pStyle w:val="33"/>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高素质农民培育规范(修订)</w:t>
      </w:r>
    </w:p>
    <w:p w14:paraId="3B38F46D">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p>
    <w:p w14:paraId="168678AF">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p>
    <w:p w14:paraId="799A1F76">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一 、适用范围</w:t>
      </w:r>
    </w:p>
    <w:p w14:paraId="16E18616">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承担高素质农民培育任务的机构应遵循本规范执行高素质农民培育任务。</w:t>
      </w:r>
    </w:p>
    <w:p w14:paraId="08C12A54">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二、培育对象</w:t>
      </w:r>
    </w:p>
    <w:p w14:paraId="6491996B">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培育对象应正在从事或有意愿从事农业农村领域生产、经营、 服务的农民和返乡人员，主要培育新型农业经营主体带头人和乡村振兴骨干人员。</w:t>
      </w:r>
    </w:p>
    <w:p w14:paraId="02EAE149">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本年度参加培育的农民，确因人才培养需要的，可在次年参加 不同主题或同一主题更高层级的培育。</w:t>
      </w:r>
    </w:p>
    <w:p w14:paraId="4B3AF223">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三、培育机构</w:t>
      </w:r>
    </w:p>
    <w:p w14:paraId="46C8A3A2">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申请承担培育任务的机构应当符合以下条件：</w:t>
      </w:r>
    </w:p>
    <w:p w14:paraId="6BBB2C39">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(一)成立3年以上，具有独立法人资格；</w:t>
      </w:r>
    </w:p>
    <w:p w14:paraId="0E0EEC01">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(二)具有教育、培训相关职能、资质或主营业务范围；</w:t>
      </w:r>
    </w:p>
    <w:p w14:paraId="74BE565E">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(三)能提供满足培育需要的教学场所及教学设施设备；</w:t>
      </w:r>
    </w:p>
    <w:p w14:paraId="6E180FA6">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(四)具备专职教学管理人员和与培育主题相匹配的专兼职师资 。</w:t>
      </w:r>
    </w:p>
    <w:p w14:paraId="1BB5A655">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承担实践教学环节的机构应当具有满足培育主题要求的场地、设施设备、实践师资等条件。</w:t>
      </w:r>
    </w:p>
    <w:p w14:paraId="1D9C3026">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培育机构负责建立培训班管理制度、制定开班计划、遴选培育对象、设置培训课程、委派或聘请授课师资、优选培育教材、落实培育任务、建立培育档案、开展跟踪服务，指定专人负责培训班组织 实施，接受质量监管和核验评价。培育机构将课堂教学、实践教学 和跟踪服务的部分环节委托给其他机构实施的，应与该机构签订合作协议，明确委托内容、质量要求、完成期限等，并对培育效果负责。鼓励培训班建立临时党组织，强化党建引领。</w:t>
      </w:r>
    </w:p>
    <w:p w14:paraId="24875C66">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四 、开班计划</w:t>
      </w:r>
    </w:p>
    <w:p w14:paraId="25B3ED0B">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开班计划应包括培育主题、课程、学时、培育对象、培育形式、 师资、教材、经费支出计划和预期效果等培育全过程内容，明确班级管理相关要求，经下达培育任务的农业农村部门审核后，由培育  机构公开发布。</w:t>
      </w:r>
    </w:p>
    <w:p w14:paraId="5A8292A4">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培育机构应严格按照开班计划实施培育。确有必要调整开班 计划的，需经原审核部门同意。原则上每个培训班人数不超过70人，以实践教学为主的，每班不超过50人。由于交通不便、培育条 件不足或培育内容专 一 性导致培育人数较少的，每班应不少于30人。</w:t>
      </w:r>
    </w:p>
    <w:p w14:paraId="05580678">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五、课程要求</w:t>
      </w:r>
    </w:p>
    <w:p w14:paraId="37D14BAB">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建立模块化课程体系，分为综合素养课、专业技能课、能力拓展课三类。培育机构综合考虑农时农事特点和人才培养规律，合理设计三类课程，选择集中或分时段开展。</w:t>
      </w:r>
    </w:p>
    <w:p w14:paraId="53C5B976">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根据培育主题实际需要确定培训班总学时，每个培训班原则上不少于40个学时(不包含报到、返程时间)。1学时为45分钟，每天不超过8个学时。</w:t>
      </w:r>
    </w:p>
    <w:p w14:paraId="2D675210">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综合素养课包括思想政治、政策法规、职业素养和文化素养类 等课程，包含“开班第一课”。“开班第一课”应包括当年中央一号文件和农业农村部相关部署要求等内容。专业技能课应根据培育对象实际需求，紧紧围绕培育主题开设。能力拓展课由培育机构 根据培育对象和培育目标自选开展、自行设计。</w:t>
      </w:r>
    </w:p>
    <w:p w14:paraId="5C45B7CF">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原则上，综合素养课学时不低于总学时数的10%。专业技能 课学时数应不低于总学时数的70%,其中，采取实践教学的比例不低于专业技能课学时数的50%。能力拓展课学时数应不高于总学时数的20%。全部专业技能课程结束后应进行课程考核。配合重大农业灾害、动物疫病应急处置等开展的应急性培训，学时要求可不受此限制。</w:t>
      </w:r>
    </w:p>
    <w:p w14:paraId="3C995AF5">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六、培育形式</w:t>
      </w:r>
    </w:p>
    <w:p w14:paraId="22458E6A">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培育课程主要通过课堂教学(包含线上线下)、实践教学、观 摩交流等形式进行。鼓励培育机构创新教学方法，改进培育形式，提高教学效果。</w:t>
      </w:r>
    </w:p>
    <w:p w14:paraId="0A053EE7">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课堂教学包括线上线下集中授课。鼓励采取案例教学、参与式教学、互动式教学等形式。线上学习可采取网络直播或课件学 习的方式。线上学习平台应具备完善的在线学习、直播授课、课程 考核及相关统计、监测和评价功能。其中，线上学习学时数不超过 总学时数的15%。</w:t>
      </w:r>
    </w:p>
    <w:p w14:paraId="1F896CDA">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实践教学应在与课程内容直接相关的实习实训场所或生产经 营一线开展，包括场地实训、顶岗实习、跟岗见习、模拟教学、实践 孵化等形式。交流观摩应选取与培育主题相符的地点或主体开展。</w:t>
      </w:r>
    </w:p>
    <w:p w14:paraId="0D5B6107">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七、培育师资</w:t>
      </w:r>
    </w:p>
    <w:p w14:paraId="6FEF5161">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培育师资应具备相应课程的专业条件，授课符合课程主题需 求，授课方式易于农民接受，教案内容通俗实用。</w:t>
      </w:r>
    </w:p>
    <w:p w14:paraId="4C4CABE7">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综合素养课程师资原则上应来自政府及所属事业单位、大中 专院校、科研院所等公益性机构。鼓励聘请农业企业、新型农业经 营主体管理人员等“土专家”以及实操经验丰富的专业人员、技术能手讲授实践课程。“开班第一课”应由各级农业农村部门委派与培训班主题相符的主管单位人员讲授。跟踪服务应配备专门师资 。</w:t>
      </w:r>
    </w:p>
    <w:p w14:paraId="778B1967">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八、培育教材</w:t>
      </w:r>
    </w:p>
    <w:p w14:paraId="5BFD96AC">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培育教材包括正式出版物和各级农业农村部门组织编制的培 育手册。培育机构应严把教材质量关，经主管部门审核，选用规 范、先进、实用的培育教材。</w:t>
      </w:r>
    </w:p>
    <w:p w14:paraId="0E57BF45">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优先选用农业农村部、教育部规划教材和各级农业农村部门 推荐教材。鼓励文字教材和视频教材配合使用。</w:t>
      </w:r>
    </w:p>
    <w:p w14:paraId="6C308341">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九、资金使用</w:t>
      </w:r>
    </w:p>
    <w:p w14:paraId="07041ADC">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培育机构应当按照相关规定和合同、协议约定的用途使用培育资金。可使用培育资金支付培育全过程环节所需费用，按照“谁使用谁负责”的原则，规范资金使用。不得擅自改变资金用途或擅自转拨资金，不得给培育对象发放补助。</w:t>
      </w:r>
    </w:p>
    <w:p w14:paraId="0D8273E2">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十、培育对象管理</w:t>
      </w:r>
    </w:p>
    <w:p w14:paraId="0D2EB77A">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培育机构应加强培育对象管理，要求培育对象在集中培育期 间，严格遵守班级管理制度，严禁酗酒、滋事或从事可能影响学习 培训的娱乐活动。</w:t>
      </w:r>
    </w:p>
    <w:p w14:paraId="14BDCE90">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十一、结业证书</w:t>
      </w:r>
    </w:p>
    <w:p w14:paraId="528338B8">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培育机构根据课程考核和考勤情况，综合评价学员学习成果， 对完成学习任务的培育对象颁发结业证书。</w:t>
      </w:r>
    </w:p>
    <w:p w14:paraId="0988ECA0">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十二、跟踪服务</w:t>
      </w:r>
    </w:p>
    <w:p w14:paraId="52043D71">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培育机构应在课堂教学、实践教学和交流观摩全部完成后对 学员开展跟踪服务，时长不超过1年，次数不少于2次。跟踪服务 人数不少于培训班总人数的30%。跟踪服务形式可包括技术指 导、政策推介、发展帮扶、组织交流互助、组织参加与培育主题相关 的展会和技能竞赛等。</w:t>
      </w:r>
    </w:p>
    <w:p w14:paraId="2B8CBBEE">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十三、信息档案</w:t>
      </w:r>
    </w:p>
    <w:p w14:paraId="265E9FAD">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培育机构应将开班计划、培育对象信息、课程、师资、跟踪服务 情况全部录入农民教育培训信息管理系统，及时更新相关培育、课 程考核和结业证书颁发情况。</w:t>
      </w:r>
    </w:p>
    <w:p w14:paraId="04C83F61">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t>培育机构应建立培育档案，包括开班计划、培育对象信息、课程及考核结果记录、资金支出票据复印件、结业证书发放情况和其 他必要培育信息。培育档案至少保存5年。</w:t>
      </w:r>
    </w:p>
    <w:p w14:paraId="577922DC">
      <w:pPr>
        <w:rPr>
          <w:rFonts w:hint="default" w:ascii="Times New Roman" w:hAnsi="Times New Roman" w:eastAsia="宋体" w:cs="Times New Roman"/>
          <w:color w:val="auto"/>
          <w:kern w:val="2"/>
          <w:sz w:val="21"/>
          <w:szCs w:val="24"/>
          <w:shd w:val="clear" w:color="auto" w:fill="FFFFFF"/>
          <w:lang w:val="en-US" w:eastAsia="zh-CN" w:bidi="ar-SA"/>
        </w:rPr>
      </w:pPr>
      <w:r>
        <w:rPr>
          <w:rFonts w:hint="default" w:ascii="Times New Roman" w:hAnsi="Times New Roman" w:eastAsia="宋体" w:cs="Times New Roman"/>
          <w:color w:val="auto"/>
          <w:kern w:val="2"/>
          <w:sz w:val="21"/>
          <w:szCs w:val="24"/>
          <w:shd w:val="clear" w:color="auto" w:fill="FFFFFF"/>
          <w:lang w:val="en-US" w:eastAsia="zh-CN" w:bidi="ar-SA"/>
        </w:rPr>
        <w:br w:type="page"/>
      </w:r>
    </w:p>
    <w:p w14:paraId="4409DB96">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Times New Roman" w:hAnsi="Times New Roman" w:eastAsia="宋体" w:cs="Times New Roman"/>
          <w:color w:val="auto"/>
          <w:kern w:val="2"/>
          <w:sz w:val="21"/>
          <w:szCs w:val="24"/>
          <w:shd w:val="clear" w:color="auto" w:fill="FFFFFF"/>
          <w:lang w:val="en-US" w:eastAsia="zh-CN" w:bidi="ar-SA"/>
        </w:rPr>
      </w:pPr>
      <w:r>
        <w:rPr>
          <w:rFonts w:hint="eastAsia" w:ascii="Times New Roman" w:hAnsi="Times New Roman" w:eastAsia="宋体" w:cs="Times New Roman"/>
          <w:color w:val="auto"/>
          <w:kern w:val="2"/>
          <w:sz w:val="21"/>
          <w:szCs w:val="24"/>
          <w:shd w:val="clear" w:color="auto" w:fill="FFFFFF"/>
          <w:lang w:val="en-US" w:eastAsia="zh-CN" w:bidi="ar-SA"/>
        </w:rPr>
        <w:t>附件2：</w:t>
      </w:r>
    </w:p>
    <w:p w14:paraId="3CD601FF">
      <w:pPr>
        <w:pStyle w:val="33"/>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color w:val="auto"/>
          <w:kern w:val="2"/>
          <w:sz w:val="21"/>
          <w:szCs w:val="24"/>
          <w:shd w:val="clear" w:color="auto" w:fill="FFFFFF"/>
          <w:lang w:val="en-US" w:eastAsia="zh-CN" w:bidi="ar-SA"/>
        </w:rPr>
      </w:pPr>
    </w:p>
    <w:p w14:paraId="2A06BFBE">
      <w:pPr>
        <w:pStyle w:val="33"/>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outlineLvl w:val="9"/>
        <w:rPr>
          <w:rFonts w:hint="eastAsia" w:ascii="宋体" w:hAnsi="宋体" w:eastAsia="宋体" w:cs="宋体"/>
          <w:bCs/>
          <w:color w:val="auto"/>
          <w:sz w:val="24"/>
          <w:szCs w:val="24"/>
          <w:lang w:val="en-US" w:eastAsia="zh-CN"/>
        </w:rPr>
      </w:pPr>
    </w:p>
    <w:p w14:paraId="48D87BAF">
      <w:pPr>
        <w:keepNext w:val="0"/>
        <w:keepLines w:val="0"/>
        <w:pageBreakBefore w:val="0"/>
        <w:widowControl w:val="0"/>
        <w:kinsoku/>
        <w:wordWrap/>
        <w:overflowPunct/>
        <w:topLinePunct w:val="0"/>
        <w:autoSpaceDE/>
        <w:autoSpaceDN/>
        <w:bidi w:val="0"/>
        <w:adjustRightInd w:val="0"/>
        <w:snapToGrid w:val="0"/>
        <w:spacing w:before="156" w:beforeLines="50" w:line="360" w:lineRule="auto"/>
        <w:jc w:val="center"/>
        <w:textAlignment w:val="auto"/>
        <w:outlineLvl w:val="0"/>
        <w:rPr>
          <w:rFonts w:hint="eastAsia" w:ascii="新宋体" w:hAnsi="新宋体" w:eastAsia="新宋体" w:cs="新宋体"/>
          <w:b/>
          <w:color w:val="auto"/>
          <w:sz w:val="32"/>
          <w:szCs w:val="32"/>
          <w:highlight w:val="none"/>
          <w:lang w:eastAsia="zh-CN"/>
        </w:rPr>
      </w:pPr>
      <w:r>
        <w:drawing>
          <wp:inline distT="0" distB="0" distL="114300" distR="114300">
            <wp:extent cx="6600825" cy="9191625"/>
            <wp:effectExtent l="0" t="0" r="13335" b="1333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5"/>
                    <a:stretch>
                      <a:fillRect/>
                    </a:stretch>
                  </pic:blipFill>
                  <pic:spPr>
                    <a:xfrm>
                      <a:off x="0" y="0"/>
                      <a:ext cx="6600825" cy="9191625"/>
                    </a:xfrm>
                    <a:prstGeom prst="rect">
                      <a:avLst/>
                    </a:prstGeom>
                    <a:noFill/>
                    <a:ln>
                      <a:noFill/>
                    </a:ln>
                  </pic:spPr>
                </pic:pic>
              </a:graphicData>
            </a:graphic>
          </wp:inline>
        </w:drawing>
      </w:r>
      <w:r>
        <w:drawing>
          <wp:inline distT="0" distB="0" distL="114300" distR="114300">
            <wp:extent cx="6486525" cy="9248775"/>
            <wp:effectExtent l="0" t="0" r="5715" b="1905"/>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6"/>
                    <a:stretch>
                      <a:fillRect/>
                    </a:stretch>
                  </pic:blipFill>
                  <pic:spPr>
                    <a:xfrm>
                      <a:off x="0" y="0"/>
                      <a:ext cx="6486525" cy="9248775"/>
                    </a:xfrm>
                    <a:prstGeom prst="rect">
                      <a:avLst/>
                    </a:prstGeom>
                    <a:noFill/>
                    <a:ln>
                      <a:noFill/>
                    </a:ln>
                  </pic:spPr>
                </pic:pic>
              </a:graphicData>
            </a:graphic>
          </wp:inline>
        </w:drawing>
      </w:r>
      <w:r>
        <w:drawing>
          <wp:inline distT="0" distB="0" distL="114300" distR="114300">
            <wp:extent cx="6581775" cy="9201150"/>
            <wp:effectExtent l="0" t="0" r="1905" b="381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7"/>
                    <a:stretch>
                      <a:fillRect/>
                    </a:stretch>
                  </pic:blipFill>
                  <pic:spPr>
                    <a:xfrm>
                      <a:off x="0" y="0"/>
                      <a:ext cx="6581775" cy="9201150"/>
                    </a:xfrm>
                    <a:prstGeom prst="rect">
                      <a:avLst/>
                    </a:prstGeom>
                    <a:noFill/>
                    <a:ln>
                      <a:noFill/>
                    </a:ln>
                  </pic:spPr>
                </pic:pic>
              </a:graphicData>
            </a:graphic>
          </wp:inline>
        </w:drawing>
      </w:r>
      <w:r>
        <w:drawing>
          <wp:inline distT="0" distB="0" distL="114300" distR="114300">
            <wp:extent cx="6581775" cy="9144000"/>
            <wp:effectExtent l="0" t="0" r="1905" b="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18"/>
                    <a:stretch>
                      <a:fillRect/>
                    </a:stretch>
                  </pic:blipFill>
                  <pic:spPr>
                    <a:xfrm>
                      <a:off x="0" y="0"/>
                      <a:ext cx="6581775" cy="9144000"/>
                    </a:xfrm>
                    <a:prstGeom prst="rect">
                      <a:avLst/>
                    </a:prstGeom>
                    <a:noFill/>
                    <a:ln>
                      <a:noFill/>
                    </a:ln>
                  </pic:spPr>
                </pic:pic>
              </a:graphicData>
            </a:graphic>
          </wp:inline>
        </w:drawing>
      </w:r>
      <w:r>
        <w:drawing>
          <wp:inline distT="0" distB="0" distL="114300" distR="114300">
            <wp:extent cx="6524625" cy="9277350"/>
            <wp:effectExtent l="0" t="0" r="13335" b="3810"/>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19"/>
                    <a:stretch>
                      <a:fillRect/>
                    </a:stretch>
                  </pic:blipFill>
                  <pic:spPr>
                    <a:xfrm>
                      <a:off x="0" y="0"/>
                      <a:ext cx="6524625" cy="9277350"/>
                    </a:xfrm>
                    <a:prstGeom prst="rect">
                      <a:avLst/>
                    </a:prstGeom>
                    <a:noFill/>
                    <a:ln>
                      <a:noFill/>
                    </a:ln>
                  </pic:spPr>
                </pic:pic>
              </a:graphicData>
            </a:graphic>
          </wp:inline>
        </w:drawing>
      </w:r>
      <w:r>
        <w:drawing>
          <wp:inline distT="0" distB="0" distL="114300" distR="114300">
            <wp:extent cx="6619875" cy="9201150"/>
            <wp:effectExtent l="0" t="0" r="9525" b="381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20"/>
                    <a:stretch>
                      <a:fillRect/>
                    </a:stretch>
                  </pic:blipFill>
                  <pic:spPr>
                    <a:xfrm>
                      <a:off x="0" y="0"/>
                      <a:ext cx="6619875" cy="9201150"/>
                    </a:xfrm>
                    <a:prstGeom prst="rect">
                      <a:avLst/>
                    </a:prstGeom>
                    <a:noFill/>
                    <a:ln>
                      <a:noFill/>
                    </a:ln>
                  </pic:spPr>
                </pic:pic>
              </a:graphicData>
            </a:graphic>
          </wp:inline>
        </w:drawing>
      </w:r>
      <w:r>
        <w:drawing>
          <wp:inline distT="0" distB="0" distL="114300" distR="114300">
            <wp:extent cx="6586220" cy="9239885"/>
            <wp:effectExtent l="0" t="0" r="12700" b="1079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21"/>
                    <a:stretch>
                      <a:fillRect/>
                    </a:stretch>
                  </pic:blipFill>
                  <pic:spPr>
                    <a:xfrm>
                      <a:off x="0" y="0"/>
                      <a:ext cx="6586220" cy="9239885"/>
                    </a:xfrm>
                    <a:prstGeom prst="rect">
                      <a:avLst/>
                    </a:prstGeom>
                    <a:noFill/>
                    <a:ln>
                      <a:noFill/>
                    </a:ln>
                  </pic:spPr>
                </pic:pic>
              </a:graphicData>
            </a:graphic>
          </wp:inline>
        </w:drawing>
      </w:r>
      <w:r>
        <w:rPr>
          <w:rFonts w:hint="eastAsia" w:ascii="新宋体" w:hAnsi="新宋体" w:eastAsia="新宋体" w:cs="新宋体"/>
          <w:b/>
          <w:bCs/>
          <w:color w:val="auto"/>
          <w:szCs w:val="21"/>
          <w:highlight w:val="none"/>
        </w:rPr>
        <w:br w:type="page"/>
      </w:r>
      <w:bookmarkStart w:id="152" w:name="_Toc24376"/>
      <w:bookmarkStart w:id="153" w:name="_Toc19159"/>
      <w:bookmarkStart w:id="154" w:name="_Toc3995"/>
      <w:bookmarkStart w:id="155" w:name="_Toc16731"/>
      <w:bookmarkStart w:id="156" w:name="_Toc17939"/>
      <w:bookmarkStart w:id="157" w:name="_Toc22836"/>
      <w:bookmarkStart w:id="158" w:name="_Toc27328"/>
      <w:r>
        <w:rPr>
          <w:rFonts w:hint="eastAsia" w:ascii="新宋体" w:hAnsi="新宋体" w:eastAsia="新宋体" w:cs="新宋体"/>
          <w:b/>
          <w:color w:val="auto"/>
          <w:sz w:val="32"/>
          <w:szCs w:val="32"/>
          <w:highlight w:val="none"/>
        </w:rPr>
        <w:t>第六章 政府采购合同</w:t>
      </w:r>
      <w:bookmarkEnd w:id="152"/>
      <w:bookmarkEnd w:id="153"/>
      <w:bookmarkEnd w:id="154"/>
      <w:bookmarkEnd w:id="155"/>
      <w:bookmarkEnd w:id="156"/>
      <w:bookmarkEnd w:id="157"/>
      <w:bookmarkEnd w:id="158"/>
    </w:p>
    <w:p w14:paraId="4252B206">
      <w:pPr>
        <w:spacing w:line="560" w:lineRule="exact"/>
        <w:jc w:val="center"/>
        <w:rPr>
          <w:rFonts w:hint="eastAsia" w:ascii="宋体" w:hAnsi="宋体" w:eastAsia="宋体" w:cs="宋体"/>
          <w:b/>
          <w:bCs/>
          <w:snapToGrid/>
          <w:w w:val="100"/>
          <w:kern w:val="2"/>
          <w:sz w:val="44"/>
          <w:szCs w:val="44"/>
          <w:highlight w:val="none"/>
          <w:lang w:val="en-US" w:eastAsia="zh-CN"/>
        </w:rPr>
      </w:pPr>
      <w:r>
        <w:rPr>
          <w:rFonts w:hint="eastAsia" w:ascii="宋体" w:hAnsi="宋体" w:eastAsia="宋体" w:cs="宋体"/>
          <w:b/>
          <w:bCs/>
          <w:snapToGrid/>
          <w:w w:val="100"/>
          <w:kern w:val="2"/>
          <w:sz w:val="44"/>
          <w:szCs w:val="44"/>
          <w:highlight w:val="none"/>
          <w:lang w:val="en-US" w:eastAsia="zh-CN"/>
        </w:rPr>
        <w:t>湘西自治州农业农村局2026年州本级</w:t>
      </w:r>
    </w:p>
    <w:p w14:paraId="3B870FA3">
      <w:pPr>
        <w:spacing w:line="560" w:lineRule="exact"/>
        <w:jc w:val="center"/>
        <w:rPr>
          <w:rFonts w:hint="eastAsia" w:ascii="宋体" w:hAnsi="宋体" w:eastAsia="宋体" w:cs="宋体"/>
          <w:b/>
          <w:snapToGrid/>
          <w:w w:val="100"/>
          <w:kern w:val="2"/>
          <w:sz w:val="10"/>
          <w:szCs w:val="10"/>
          <w:highlight w:val="none"/>
        </w:rPr>
      </w:pPr>
      <w:r>
        <w:rPr>
          <w:rFonts w:hint="eastAsia" w:ascii="宋体" w:hAnsi="宋体" w:eastAsia="宋体" w:cs="宋体"/>
          <w:b/>
          <w:bCs/>
          <w:snapToGrid/>
          <w:w w:val="100"/>
          <w:kern w:val="2"/>
          <w:sz w:val="44"/>
          <w:szCs w:val="44"/>
          <w:highlight w:val="none"/>
          <w:lang w:val="en-US" w:eastAsia="zh-CN"/>
        </w:rPr>
        <w:t>高素质农民培育项目</w:t>
      </w:r>
      <w:r>
        <w:rPr>
          <w:rFonts w:hint="eastAsia" w:ascii="宋体" w:hAnsi="宋体" w:eastAsia="宋体" w:cs="宋体"/>
          <w:b/>
          <w:bCs/>
          <w:snapToGrid/>
          <w:w w:val="100"/>
          <w:kern w:val="2"/>
          <w:sz w:val="44"/>
          <w:szCs w:val="44"/>
          <w:highlight w:val="none"/>
        </w:rPr>
        <w:t>培训委托协议书</w:t>
      </w:r>
      <w:r>
        <w:rPr>
          <w:rFonts w:hint="eastAsia" w:ascii="宋体" w:hAnsi="宋体" w:eastAsia="宋体" w:cs="宋体"/>
          <w:snapToGrid/>
          <w:w w:val="100"/>
          <w:kern w:val="2"/>
          <w:sz w:val="10"/>
          <w:szCs w:val="10"/>
          <w:highlight w:val="none"/>
        </w:rPr>
        <w:t xml:space="preserve">    </w:t>
      </w:r>
    </w:p>
    <w:p w14:paraId="07A1D11D">
      <w:pPr>
        <w:keepNext w:val="0"/>
        <w:keepLines w:val="0"/>
        <w:pageBreakBefore w:val="0"/>
        <w:widowControl w:val="0"/>
        <w:kinsoku/>
        <w:wordWrap/>
        <w:overflowPunct/>
        <w:topLinePunct w:val="0"/>
        <w:autoSpaceDE/>
        <w:autoSpaceDN/>
        <w:bidi w:val="0"/>
        <w:adjustRightInd w:val="0"/>
        <w:snapToGrid w:val="0"/>
        <w:spacing w:before="231" w:beforeLines="74" w:beforeAutospacing="0" w:line="560" w:lineRule="exact"/>
        <w:textAlignment w:val="auto"/>
        <w:rPr>
          <w:rFonts w:hint="eastAsia" w:ascii="新宋体" w:hAnsi="新宋体" w:eastAsia="新宋体" w:cs="新宋体"/>
          <w:b/>
          <w:snapToGrid/>
          <w:color w:val="auto"/>
          <w:w w:val="100"/>
          <w:kern w:val="2"/>
          <w:sz w:val="24"/>
          <w:szCs w:val="24"/>
          <w:highlight w:val="none"/>
        </w:rPr>
      </w:pPr>
      <w:r>
        <w:rPr>
          <w:rFonts w:hint="eastAsia" w:ascii="新宋体" w:hAnsi="新宋体" w:eastAsia="新宋体" w:cs="新宋体"/>
          <w:b/>
          <w:snapToGrid/>
          <w:color w:val="auto"/>
          <w:w w:val="100"/>
          <w:kern w:val="2"/>
          <w:sz w:val="24"/>
          <w:szCs w:val="24"/>
          <w:highlight w:val="none"/>
        </w:rPr>
        <w:t>委托方：</w:t>
      </w:r>
      <w:r>
        <w:rPr>
          <w:rFonts w:hint="eastAsia" w:ascii="新宋体" w:hAnsi="新宋体" w:eastAsia="新宋体" w:cs="新宋体"/>
          <w:b/>
          <w:snapToGrid/>
          <w:color w:val="auto"/>
          <w:w w:val="100"/>
          <w:kern w:val="2"/>
          <w:sz w:val="24"/>
          <w:szCs w:val="24"/>
          <w:highlight w:val="none"/>
          <w:lang w:val="en-US" w:eastAsia="zh-CN"/>
        </w:rPr>
        <w:t>湘西土家族苗族自治州农业农村局</w:t>
      </w:r>
      <w:r>
        <w:rPr>
          <w:rFonts w:hint="eastAsia" w:ascii="新宋体" w:hAnsi="新宋体" w:eastAsia="新宋体" w:cs="新宋体"/>
          <w:b/>
          <w:bCs/>
          <w:snapToGrid/>
          <w:color w:val="auto"/>
          <w:w w:val="100"/>
          <w:kern w:val="2"/>
          <w:sz w:val="24"/>
          <w:szCs w:val="24"/>
          <w:highlight w:val="none"/>
        </w:rPr>
        <w:t>（以下简称甲方</w:t>
      </w:r>
      <w:r>
        <w:rPr>
          <w:rFonts w:hint="eastAsia" w:ascii="新宋体" w:hAnsi="新宋体" w:eastAsia="新宋体" w:cs="新宋体"/>
          <w:b/>
          <w:snapToGrid/>
          <w:color w:val="auto"/>
          <w:w w:val="100"/>
          <w:kern w:val="2"/>
          <w:sz w:val="24"/>
          <w:szCs w:val="24"/>
          <w:highlight w:val="none"/>
        </w:rPr>
        <w:t>）</w:t>
      </w:r>
    </w:p>
    <w:p w14:paraId="0192674D">
      <w:pPr>
        <w:keepNext w:val="0"/>
        <w:keepLines w:val="0"/>
        <w:pageBreakBefore w:val="0"/>
        <w:widowControl w:val="0"/>
        <w:kinsoku/>
        <w:wordWrap/>
        <w:overflowPunct/>
        <w:topLinePunct w:val="0"/>
        <w:autoSpaceDE/>
        <w:autoSpaceDN/>
        <w:bidi w:val="0"/>
        <w:adjustRightInd w:val="0"/>
        <w:snapToGrid w:val="0"/>
        <w:spacing w:afterAutospacing="0" w:line="560" w:lineRule="exact"/>
        <w:jc w:val="left"/>
        <w:textAlignment w:val="auto"/>
        <w:rPr>
          <w:rFonts w:hint="eastAsia" w:ascii="新宋体" w:hAnsi="新宋体" w:eastAsia="新宋体" w:cs="新宋体"/>
          <w:b/>
          <w:snapToGrid/>
          <w:color w:val="auto"/>
          <w:w w:val="100"/>
          <w:kern w:val="2"/>
          <w:sz w:val="24"/>
          <w:szCs w:val="24"/>
          <w:highlight w:val="none"/>
        </w:rPr>
      </w:pPr>
      <w:r>
        <w:rPr>
          <w:rFonts w:hint="eastAsia" w:ascii="新宋体" w:hAnsi="新宋体" w:eastAsia="新宋体" w:cs="新宋体"/>
          <w:b/>
          <w:snapToGrid/>
          <w:color w:val="auto"/>
          <w:w w:val="100"/>
          <w:kern w:val="2"/>
          <w:sz w:val="24"/>
          <w:szCs w:val="24"/>
          <w:highlight w:val="none"/>
        </w:rPr>
        <w:t>受托方：</w:t>
      </w:r>
      <w:r>
        <w:rPr>
          <w:rFonts w:hint="eastAsia" w:ascii="新宋体" w:hAnsi="新宋体" w:eastAsia="新宋体" w:cs="新宋体"/>
          <w:b/>
          <w:i w:val="0"/>
          <w:iCs w:val="0"/>
          <w:snapToGrid/>
          <w:color w:val="auto"/>
          <w:w w:val="100"/>
          <w:kern w:val="2"/>
          <w:sz w:val="24"/>
          <w:szCs w:val="24"/>
          <w:highlight w:val="none"/>
          <w:u w:val="single"/>
          <w:lang w:val="en-US" w:eastAsia="zh-CN"/>
        </w:rPr>
        <w:t xml:space="preserve">                           </w:t>
      </w:r>
      <w:r>
        <w:rPr>
          <w:rFonts w:hint="eastAsia" w:ascii="新宋体" w:hAnsi="新宋体" w:eastAsia="新宋体" w:cs="新宋体"/>
          <w:b/>
          <w:snapToGrid/>
          <w:color w:val="auto"/>
          <w:w w:val="100"/>
          <w:kern w:val="2"/>
          <w:sz w:val="24"/>
          <w:szCs w:val="24"/>
          <w:highlight w:val="none"/>
          <w:lang w:val="en-US" w:eastAsia="zh-CN"/>
        </w:rPr>
        <w:t xml:space="preserve">  </w:t>
      </w:r>
      <w:r>
        <w:rPr>
          <w:rFonts w:hint="eastAsia" w:ascii="新宋体" w:hAnsi="新宋体" w:eastAsia="新宋体" w:cs="新宋体"/>
          <w:b/>
          <w:snapToGrid/>
          <w:color w:val="auto"/>
          <w:w w:val="100"/>
          <w:kern w:val="2"/>
          <w:sz w:val="24"/>
          <w:szCs w:val="24"/>
          <w:highlight w:val="none"/>
        </w:rPr>
        <w:t>（以下简称乙方）</w:t>
      </w:r>
    </w:p>
    <w:p w14:paraId="27D35A40">
      <w:pPr>
        <w:keepNext w:val="0"/>
        <w:keepLines w:val="0"/>
        <w:pageBreakBefore w:val="0"/>
        <w:widowControl w:val="0"/>
        <w:kinsoku/>
        <w:wordWrap/>
        <w:overflowPunct/>
        <w:topLinePunct w:val="0"/>
        <w:autoSpaceDE/>
        <w:autoSpaceDN/>
        <w:bidi w:val="0"/>
        <w:adjustRightInd w:val="0"/>
        <w:snapToGrid w:val="0"/>
        <w:spacing w:before="159" w:beforeLines="50" w:beforeAutospacing="0" w:line="560" w:lineRule="exact"/>
        <w:ind w:firstLine="480" w:firstLineChars="200"/>
        <w:textAlignment w:val="auto"/>
        <w:rPr>
          <w:rFonts w:hint="eastAsia" w:ascii="新宋体" w:hAnsi="新宋体" w:eastAsia="新宋体" w:cs="新宋体"/>
          <w:snapToGrid/>
          <w:color w:val="auto"/>
          <w:w w:val="100"/>
          <w:kern w:val="2"/>
          <w:sz w:val="24"/>
          <w:szCs w:val="24"/>
          <w:highlight w:val="none"/>
        </w:rPr>
      </w:pPr>
      <w:r>
        <w:rPr>
          <w:rFonts w:hint="eastAsia" w:ascii="新宋体" w:hAnsi="新宋体" w:eastAsia="新宋体" w:cs="新宋体"/>
          <w:snapToGrid/>
          <w:color w:val="auto"/>
          <w:w w:val="100"/>
          <w:kern w:val="2"/>
          <w:sz w:val="24"/>
          <w:szCs w:val="24"/>
          <w:highlight w:val="none"/>
          <w:lang w:eastAsia="zh-CN"/>
        </w:rPr>
        <w:t>经政府采购公共招投标，乙方以第一名中标甲方XX局2026年州本级高素质农民培育项目（包号：</w:t>
      </w:r>
      <w:r>
        <w:rPr>
          <w:rFonts w:hint="eastAsia" w:ascii="新宋体" w:hAnsi="新宋体" w:eastAsia="新宋体" w:cs="新宋体"/>
          <w:snapToGrid/>
          <w:color w:val="auto"/>
          <w:w w:val="100"/>
          <w:kern w:val="2"/>
          <w:sz w:val="24"/>
          <w:szCs w:val="24"/>
          <w:highlight w:val="none"/>
          <w:u w:val="single"/>
          <w:lang w:val="en-US" w:eastAsia="zh-CN"/>
        </w:rPr>
        <w:t xml:space="preserve">   </w:t>
      </w:r>
      <w:r>
        <w:rPr>
          <w:rFonts w:hint="eastAsia" w:ascii="新宋体" w:hAnsi="新宋体" w:eastAsia="新宋体" w:cs="新宋体"/>
          <w:snapToGrid/>
          <w:color w:val="auto"/>
          <w:w w:val="100"/>
          <w:kern w:val="2"/>
          <w:sz w:val="24"/>
          <w:szCs w:val="24"/>
          <w:highlight w:val="none"/>
          <w:lang w:eastAsia="zh-CN"/>
        </w:rPr>
        <w:t>）之“</w:t>
      </w:r>
      <w:r>
        <w:rPr>
          <w:rFonts w:hint="eastAsia" w:ascii="新宋体" w:hAnsi="新宋体" w:eastAsia="新宋体" w:cs="新宋体"/>
          <w:snapToGrid/>
          <w:color w:val="auto"/>
          <w:w w:val="100"/>
          <w:kern w:val="2"/>
          <w:sz w:val="24"/>
          <w:szCs w:val="24"/>
          <w:highlight w:val="none"/>
          <w:u w:val="single"/>
          <w:lang w:val="en-US" w:eastAsia="zh-CN"/>
        </w:rPr>
        <w:t xml:space="preserve">                                  ”</w:t>
      </w:r>
      <w:r>
        <w:rPr>
          <w:rFonts w:hint="eastAsia" w:ascii="新宋体" w:hAnsi="新宋体" w:eastAsia="新宋体" w:cs="新宋体"/>
          <w:snapToGrid/>
          <w:color w:val="auto"/>
          <w:w w:val="100"/>
          <w:kern w:val="2"/>
          <w:sz w:val="24"/>
          <w:szCs w:val="24"/>
          <w:highlight w:val="none"/>
          <w:lang w:eastAsia="zh-CN"/>
        </w:rPr>
        <w:t>培训任务。根据</w:t>
      </w:r>
      <w:r>
        <w:rPr>
          <w:rFonts w:hint="eastAsia" w:ascii="新宋体" w:hAnsi="新宋体" w:eastAsia="新宋体" w:cs="新宋体"/>
          <w:snapToGrid/>
          <w:color w:val="auto"/>
          <w:w w:val="100"/>
          <w:kern w:val="2"/>
          <w:sz w:val="24"/>
          <w:szCs w:val="24"/>
          <w:highlight w:val="none"/>
          <w:lang w:val="en-US" w:eastAsia="zh-CN"/>
        </w:rPr>
        <w:t>《中华人民共和国民法典》及相关法律法规，按照《</w:t>
      </w:r>
      <w:r>
        <w:rPr>
          <w:rFonts w:hint="eastAsia" w:ascii="新宋体" w:hAnsi="新宋体" w:eastAsia="新宋体" w:cs="新宋体"/>
          <w:snapToGrid/>
          <w:color w:val="auto"/>
          <w:w w:val="100"/>
          <w:kern w:val="2"/>
          <w:sz w:val="24"/>
          <w:szCs w:val="24"/>
          <w:highlight w:val="none"/>
          <w:lang w:eastAsia="zh-CN"/>
        </w:rPr>
        <w:t>湖南省农业农村厅</w:t>
      </w:r>
      <w:r>
        <w:rPr>
          <w:rFonts w:hint="eastAsia" w:ascii="新宋体" w:hAnsi="新宋体" w:eastAsia="新宋体" w:cs="新宋体"/>
          <w:snapToGrid/>
          <w:color w:val="auto"/>
          <w:w w:val="100"/>
          <w:kern w:val="2"/>
          <w:sz w:val="24"/>
          <w:szCs w:val="24"/>
          <w:highlight w:val="none"/>
          <w:lang w:val="en-US" w:eastAsia="zh-CN"/>
        </w:rPr>
        <w:t>办公室</w:t>
      </w:r>
      <w:r>
        <w:rPr>
          <w:rFonts w:hint="eastAsia" w:ascii="新宋体" w:hAnsi="新宋体" w:eastAsia="新宋体" w:cs="新宋体"/>
          <w:snapToGrid/>
          <w:color w:val="auto"/>
          <w:w w:val="100"/>
          <w:kern w:val="0"/>
          <w:sz w:val="24"/>
          <w:szCs w:val="24"/>
          <w:highlight w:val="none"/>
          <w:lang w:val="en-US" w:eastAsia="zh-CN" w:bidi="ar"/>
        </w:rPr>
        <w:t>关于印发〈湖南省202</w:t>
      </w:r>
      <w:r>
        <w:rPr>
          <w:rFonts w:hint="eastAsia" w:ascii="新宋体" w:hAnsi="新宋体" w:eastAsia="新宋体" w:cs="新宋体"/>
          <w:snapToGrid/>
          <w:color w:val="auto"/>
          <w:w w:val="100"/>
          <w:kern w:val="0"/>
          <w:sz w:val="24"/>
          <w:szCs w:val="24"/>
          <w:highlight w:val="none"/>
          <w:lang w:val="en" w:eastAsia="zh-CN" w:bidi="ar"/>
        </w:rPr>
        <w:t>6</w:t>
      </w:r>
      <w:r>
        <w:rPr>
          <w:rFonts w:hint="eastAsia" w:ascii="新宋体" w:hAnsi="新宋体" w:eastAsia="新宋体" w:cs="新宋体"/>
          <w:snapToGrid/>
          <w:color w:val="auto"/>
          <w:w w:val="100"/>
          <w:kern w:val="0"/>
          <w:sz w:val="24"/>
          <w:szCs w:val="24"/>
          <w:highlight w:val="none"/>
          <w:lang w:val="en-US" w:eastAsia="zh-CN" w:bidi="ar"/>
        </w:rPr>
        <w:t>年高素质农民培育工作实施方案〉的通知</w:t>
      </w:r>
      <w:r>
        <w:rPr>
          <w:rFonts w:hint="eastAsia" w:ascii="新宋体" w:hAnsi="新宋体" w:eastAsia="新宋体" w:cs="新宋体"/>
          <w:snapToGrid/>
          <w:color w:val="auto"/>
          <w:w w:val="100"/>
          <w:kern w:val="2"/>
          <w:sz w:val="24"/>
          <w:szCs w:val="24"/>
          <w:highlight w:val="none"/>
          <w:lang w:val="en-US" w:eastAsia="zh-CN"/>
        </w:rPr>
        <w:t>》</w:t>
      </w:r>
      <w:r>
        <w:rPr>
          <w:rFonts w:hint="eastAsia" w:ascii="新宋体" w:hAnsi="新宋体" w:eastAsia="新宋体" w:cs="新宋体"/>
          <w:snapToGrid/>
          <w:color w:val="auto"/>
          <w:w w:val="100"/>
          <w:kern w:val="0"/>
          <w:sz w:val="24"/>
          <w:szCs w:val="24"/>
          <w:highlight w:val="none"/>
          <w:lang w:val="en-US" w:eastAsia="zh-CN" w:bidi="ar"/>
        </w:rPr>
        <w:t>（湘农办发〔202</w:t>
      </w:r>
      <w:r>
        <w:rPr>
          <w:rFonts w:hint="eastAsia" w:ascii="新宋体" w:hAnsi="新宋体" w:eastAsia="新宋体" w:cs="新宋体"/>
          <w:snapToGrid/>
          <w:color w:val="auto"/>
          <w:w w:val="100"/>
          <w:kern w:val="0"/>
          <w:sz w:val="24"/>
          <w:szCs w:val="24"/>
          <w:highlight w:val="none"/>
          <w:lang w:val="en" w:eastAsia="zh-CN" w:bidi="ar"/>
        </w:rPr>
        <w:t>6</w:t>
      </w:r>
      <w:r>
        <w:rPr>
          <w:rFonts w:hint="eastAsia" w:ascii="新宋体" w:hAnsi="新宋体" w:eastAsia="新宋体" w:cs="新宋体"/>
          <w:snapToGrid/>
          <w:color w:val="auto"/>
          <w:w w:val="100"/>
          <w:kern w:val="0"/>
          <w:sz w:val="24"/>
          <w:szCs w:val="24"/>
          <w:highlight w:val="none"/>
          <w:lang w:val="en-US" w:eastAsia="zh-CN" w:bidi="ar"/>
        </w:rPr>
        <w:t>〕</w:t>
      </w:r>
      <w:r>
        <w:rPr>
          <w:rFonts w:hint="eastAsia" w:ascii="新宋体" w:hAnsi="新宋体" w:eastAsia="新宋体" w:cs="新宋体"/>
          <w:snapToGrid/>
          <w:color w:val="auto"/>
          <w:w w:val="100"/>
          <w:kern w:val="0"/>
          <w:sz w:val="24"/>
          <w:szCs w:val="24"/>
          <w:highlight w:val="none"/>
          <w:lang w:val="en" w:eastAsia="zh-CN" w:bidi="ar"/>
        </w:rPr>
        <w:t>22</w:t>
      </w:r>
      <w:r>
        <w:rPr>
          <w:rFonts w:hint="eastAsia" w:ascii="新宋体" w:hAnsi="新宋体" w:eastAsia="新宋体" w:cs="新宋体"/>
          <w:snapToGrid/>
          <w:color w:val="auto"/>
          <w:w w:val="100"/>
          <w:kern w:val="0"/>
          <w:sz w:val="24"/>
          <w:szCs w:val="24"/>
          <w:highlight w:val="none"/>
          <w:lang w:val="en-US" w:eastAsia="zh-CN" w:bidi="ar"/>
        </w:rPr>
        <w:t>号文件）和</w:t>
      </w:r>
      <w:r>
        <w:rPr>
          <w:rFonts w:hint="eastAsia" w:ascii="新宋体" w:hAnsi="新宋体" w:eastAsia="新宋体" w:cs="新宋体"/>
          <w:snapToGrid/>
          <w:color w:val="auto"/>
          <w:w w:val="100"/>
          <w:kern w:val="2"/>
          <w:sz w:val="24"/>
          <w:szCs w:val="24"/>
          <w:highlight w:val="none"/>
          <w:lang w:val="en-US" w:eastAsia="zh-CN"/>
        </w:rPr>
        <w:t>关于印发《湘西州202</w:t>
      </w:r>
      <w:r>
        <w:rPr>
          <w:rFonts w:hint="eastAsia" w:ascii="新宋体" w:hAnsi="新宋体" w:eastAsia="新宋体" w:cs="新宋体"/>
          <w:snapToGrid/>
          <w:color w:val="auto"/>
          <w:w w:val="100"/>
          <w:kern w:val="2"/>
          <w:sz w:val="24"/>
          <w:szCs w:val="24"/>
          <w:highlight w:val="none"/>
          <w:lang w:val="en" w:eastAsia="zh-CN"/>
        </w:rPr>
        <w:t>6</w:t>
      </w:r>
      <w:r>
        <w:rPr>
          <w:rFonts w:hint="eastAsia" w:ascii="新宋体" w:hAnsi="新宋体" w:eastAsia="新宋体" w:cs="新宋体"/>
          <w:snapToGrid/>
          <w:color w:val="auto"/>
          <w:w w:val="100"/>
          <w:kern w:val="2"/>
          <w:sz w:val="24"/>
          <w:szCs w:val="24"/>
          <w:highlight w:val="none"/>
          <w:lang w:val="en-US" w:eastAsia="zh-CN"/>
        </w:rPr>
        <w:t>年高素质农民培育工作实施方案》的通知（州农办发〔2026〕5号）等文件要求，</w:t>
      </w:r>
      <w:r>
        <w:rPr>
          <w:rFonts w:hint="eastAsia" w:ascii="新宋体" w:hAnsi="新宋体" w:eastAsia="新宋体" w:cs="新宋体"/>
          <w:snapToGrid/>
          <w:color w:val="auto"/>
          <w:w w:val="100"/>
          <w:kern w:val="2"/>
          <w:sz w:val="24"/>
          <w:szCs w:val="24"/>
          <w:highlight w:val="none"/>
        </w:rPr>
        <w:t>经甲乙双方协商一致，达成如下协议：</w:t>
      </w:r>
    </w:p>
    <w:p w14:paraId="7A89B01D">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482" w:firstLineChars="200"/>
        <w:textAlignment w:val="auto"/>
        <w:rPr>
          <w:rFonts w:hint="eastAsia" w:ascii="新宋体" w:hAnsi="新宋体" w:eastAsia="新宋体" w:cs="新宋体"/>
          <w:b/>
          <w:snapToGrid/>
          <w:color w:val="auto"/>
          <w:w w:val="100"/>
          <w:kern w:val="2"/>
          <w:sz w:val="24"/>
          <w:szCs w:val="24"/>
          <w:highlight w:val="none"/>
          <w:lang w:val="en-US" w:eastAsia="zh-CN"/>
        </w:rPr>
      </w:pPr>
      <w:r>
        <w:rPr>
          <w:rFonts w:hint="eastAsia" w:ascii="新宋体" w:hAnsi="新宋体" w:eastAsia="新宋体" w:cs="新宋体"/>
          <w:b/>
          <w:snapToGrid/>
          <w:color w:val="auto"/>
          <w:w w:val="100"/>
          <w:kern w:val="2"/>
          <w:sz w:val="24"/>
          <w:szCs w:val="24"/>
          <w:highlight w:val="none"/>
          <w:lang w:eastAsia="zh-CN"/>
        </w:rPr>
        <w:t>一、</w:t>
      </w:r>
      <w:r>
        <w:rPr>
          <w:rFonts w:hint="eastAsia" w:ascii="新宋体" w:hAnsi="新宋体" w:eastAsia="新宋体" w:cs="新宋体"/>
          <w:b/>
          <w:snapToGrid/>
          <w:color w:val="auto"/>
          <w:w w:val="100"/>
          <w:kern w:val="2"/>
          <w:sz w:val="24"/>
          <w:szCs w:val="24"/>
          <w:highlight w:val="none"/>
        </w:rPr>
        <w:t>培训</w:t>
      </w:r>
      <w:r>
        <w:rPr>
          <w:rFonts w:hint="eastAsia" w:ascii="新宋体" w:hAnsi="新宋体" w:eastAsia="新宋体" w:cs="新宋体"/>
          <w:b/>
          <w:snapToGrid/>
          <w:color w:val="auto"/>
          <w:w w:val="100"/>
          <w:kern w:val="2"/>
          <w:sz w:val="24"/>
          <w:szCs w:val="24"/>
          <w:highlight w:val="none"/>
          <w:lang w:val="en-US" w:eastAsia="zh-CN"/>
        </w:rPr>
        <w:t>人数、</w:t>
      </w:r>
      <w:r>
        <w:rPr>
          <w:rFonts w:hint="eastAsia" w:ascii="新宋体" w:hAnsi="新宋体" w:eastAsia="新宋体" w:cs="新宋体"/>
          <w:b/>
          <w:snapToGrid/>
          <w:color w:val="auto"/>
          <w:w w:val="100"/>
          <w:kern w:val="2"/>
          <w:sz w:val="24"/>
          <w:szCs w:val="24"/>
          <w:highlight w:val="none"/>
        </w:rPr>
        <w:t>时间</w:t>
      </w:r>
      <w:r>
        <w:rPr>
          <w:rFonts w:hint="eastAsia" w:ascii="新宋体" w:hAnsi="新宋体" w:eastAsia="新宋体" w:cs="新宋体"/>
          <w:b/>
          <w:snapToGrid/>
          <w:color w:val="auto"/>
          <w:w w:val="100"/>
          <w:kern w:val="2"/>
          <w:sz w:val="24"/>
          <w:szCs w:val="24"/>
          <w:highlight w:val="none"/>
          <w:lang w:val="en-US" w:eastAsia="zh-CN"/>
        </w:rPr>
        <w:t>与地点</w:t>
      </w:r>
    </w:p>
    <w:p w14:paraId="7174018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新宋体" w:hAnsi="新宋体" w:eastAsia="新宋体" w:cs="新宋体"/>
          <w:snapToGrid/>
          <w:color w:val="auto"/>
          <w:w w:val="100"/>
          <w:kern w:val="2"/>
          <w:sz w:val="24"/>
          <w:szCs w:val="24"/>
          <w:highlight w:val="none"/>
          <w:lang w:val="en-US" w:eastAsia="zh-CN"/>
        </w:rPr>
      </w:pPr>
      <w:r>
        <w:rPr>
          <w:rFonts w:hint="eastAsia" w:ascii="新宋体" w:hAnsi="新宋体" w:eastAsia="新宋体" w:cs="新宋体"/>
          <w:snapToGrid/>
          <w:color w:val="auto"/>
          <w:w w:val="100"/>
          <w:kern w:val="2"/>
          <w:sz w:val="24"/>
          <w:szCs w:val="24"/>
          <w:highlight w:val="none"/>
          <w:lang w:val="en-US" w:eastAsia="zh-CN"/>
        </w:rPr>
        <w:t>培训项目：</w:t>
      </w:r>
      <w:r>
        <w:rPr>
          <w:rFonts w:hint="eastAsia" w:ascii="新宋体" w:hAnsi="新宋体" w:eastAsia="新宋体" w:cs="新宋体"/>
          <w:snapToGrid/>
          <w:color w:val="auto"/>
          <w:w w:val="100"/>
          <w:kern w:val="2"/>
          <w:sz w:val="24"/>
          <w:szCs w:val="24"/>
          <w:highlight w:val="none"/>
          <w:u w:val="single"/>
          <w:lang w:val="en-US" w:eastAsia="zh-CN"/>
        </w:rPr>
        <w:t xml:space="preserve">              </w:t>
      </w:r>
      <w:r>
        <w:rPr>
          <w:rFonts w:hint="eastAsia" w:ascii="新宋体" w:hAnsi="新宋体" w:eastAsia="新宋体" w:cs="新宋体"/>
          <w:snapToGrid/>
          <w:color w:val="auto"/>
          <w:w w:val="100"/>
          <w:kern w:val="2"/>
          <w:sz w:val="24"/>
          <w:szCs w:val="24"/>
          <w:highlight w:val="none"/>
          <w:u w:val="none"/>
          <w:lang w:val="en-US" w:eastAsia="zh-CN"/>
        </w:rPr>
        <w:t xml:space="preserve"> ，</w:t>
      </w:r>
      <w:r>
        <w:rPr>
          <w:rFonts w:hint="eastAsia" w:ascii="新宋体" w:hAnsi="新宋体" w:eastAsia="新宋体" w:cs="新宋体"/>
          <w:snapToGrid/>
          <w:color w:val="auto"/>
          <w:w w:val="100"/>
          <w:kern w:val="2"/>
          <w:sz w:val="24"/>
          <w:szCs w:val="24"/>
          <w:highlight w:val="none"/>
          <w:lang w:val="en-US" w:eastAsia="zh-CN"/>
        </w:rPr>
        <w:t>培训人数</w:t>
      </w:r>
      <w:r>
        <w:rPr>
          <w:rFonts w:hint="eastAsia" w:ascii="新宋体" w:hAnsi="新宋体" w:eastAsia="新宋体" w:cs="新宋体"/>
          <w:snapToGrid/>
          <w:color w:val="auto"/>
          <w:w w:val="100"/>
          <w:kern w:val="2"/>
          <w:sz w:val="24"/>
          <w:szCs w:val="24"/>
          <w:highlight w:val="none"/>
          <w:u w:val="single"/>
          <w:lang w:val="en-US" w:eastAsia="zh-CN"/>
        </w:rPr>
        <w:t xml:space="preserve">    </w:t>
      </w:r>
      <w:r>
        <w:rPr>
          <w:rFonts w:hint="eastAsia" w:ascii="新宋体" w:hAnsi="新宋体" w:eastAsia="新宋体" w:cs="新宋体"/>
          <w:snapToGrid/>
          <w:color w:val="auto"/>
          <w:w w:val="100"/>
          <w:kern w:val="2"/>
          <w:sz w:val="24"/>
          <w:szCs w:val="24"/>
          <w:highlight w:val="none"/>
          <w:lang w:val="en-US" w:eastAsia="zh-CN"/>
        </w:rPr>
        <w:t>人。</w:t>
      </w:r>
    </w:p>
    <w:p w14:paraId="39267441">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新宋体" w:hAnsi="新宋体" w:eastAsia="新宋体" w:cs="新宋体"/>
          <w:snapToGrid/>
          <w:color w:val="auto"/>
          <w:w w:val="100"/>
          <w:kern w:val="2"/>
          <w:sz w:val="24"/>
          <w:szCs w:val="24"/>
          <w:highlight w:val="none"/>
          <w:lang w:val="en-US" w:eastAsia="zh-CN"/>
        </w:rPr>
      </w:pPr>
      <w:r>
        <w:rPr>
          <w:rFonts w:hint="eastAsia" w:ascii="新宋体" w:hAnsi="新宋体" w:eastAsia="新宋体" w:cs="新宋体"/>
          <w:snapToGrid/>
          <w:color w:val="auto"/>
          <w:w w:val="100"/>
          <w:kern w:val="2"/>
          <w:sz w:val="24"/>
          <w:szCs w:val="24"/>
          <w:highlight w:val="none"/>
          <w:lang w:val="en-US" w:eastAsia="zh-CN"/>
        </w:rPr>
        <w:t>培训时间：</w:t>
      </w:r>
      <w:r>
        <w:rPr>
          <w:rFonts w:hint="eastAsia" w:ascii="新宋体" w:hAnsi="新宋体" w:eastAsia="新宋体" w:cs="新宋体"/>
          <w:snapToGrid/>
          <w:color w:val="auto"/>
          <w:w w:val="100"/>
          <w:kern w:val="2"/>
          <w:sz w:val="24"/>
          <w:szCs w:val="24"/>
          <w:highlight w:val="none"/>
          <w:u w:val="single"/>
          <w:lang w:val="en-US" w:eastAsia="zh-CN"/>
        </w:rPr>
        <w:t xml:space="preserve">     </w:t>
      </w:r>
      <w:r>
        <w:rPr>
          <w:rFonts w:hint="eastAsia" w:ascii="新宋体" w:hAnsi="新宋体" w:eastAsia="新宋体" w:cs="新宋体"/>
          <w:snapToGrid/>
          <w:color w:val="auto"/>
          <w:w w:val="100"/>
          <w:kern w:val="2"/>
          <w:sz w:val="24"/>
          <w:szCs w:val="24"/>
          <w:highlight w:val="none"/>
        </w:rPr>
        <w:t>年</w:t>
      </w:r>
      <w:r>
        <w:rPr>
          <w:rFonts w:hint="eastAsia" w:ascii="新宋体" w:hAnsi="新宋体" w:eastAsia="新宋体" w:cs="新宋体"/>
          <w:snapToGrid/>
          <w:color w:val="auto"/>
          <w:w w:val="100"/>
          <w:kern w:val="2"/>
          <w:sz w:val="24"/>
          <w:szCs w:val="24"/>
          <w:highlight w:val="none"/>
          <w:u w:val="single"/>
          <w:lang w:val="en-US" w:eastAsia="zh-CN"/>
        </w:rPr>
        <w:t xml:space="preserve">   </w:t>
      </w:r>
      <w:r>
        <w:rPr>
          <w:rFonts w:hint="eastAsia" w:ascii="新宋体" w:hAnsi="新宋体" w:eastAsia="新宋体" w:cs="新宋体"/>
          <w:snapToGrid/>
          <w:color w:val="auto"/>
          <w:w w:val="100"/>
          <w:kern w:val="2"/>
          <w:sz w:val="24"/>
          <w:szCs w:val="24"/>
          <w:highlight w:val="none"/>
        </w:rPr>
        <w:t>月</w:t>
      </w:r>
      <w:r>
        <w:rPr>
          <w:rFonts w:hint="eastAsia" w:ascii="新宋体" w:hAnsi="新宋体" w:eastAsia="新宋体" w:cs="新宋体"/>
          <w:snapToGrid/>
          <w:color w:val="auto"/>
          <w:w w:val="100"/>
          <w:kern w:val="2"/>
          <w:sz w:val="24"/>
          <w:szCs w:val="24"/>
          <w:highlight w:val="none"/>
          <w:u w:val="single"/>
          <w:lang w:val="en-US" w:eastAsia="zh-CN"/>
        </w:rPr>
        <w:t xml:space="preserve">   </w:t>
      </w:r>
      <w:r>
        <w:rPr>
          <w:rFonts w:hint="eastAsia" w:ascii="新宋体" w:hAnsi="新宋体" w:eastAsia="新宋体" w:cs="新宋体"/>
          <w:snapToGrid/>
          <w:color w:val="auto"/>
          <w:w w:val="100"/>
          <w:kern w:val="2"/>
          <w:sz w:val="24"/>
          <w:szCs w:val="24"/>
          <w:highlight w:val="none"/>
          <w:lang w:val="en-US" w:eastAsia="zh-CN"/>
        </w:rPr>
        <w:t>日前</w:t>
      </w:r>
    </w:p>
    <w:p w14:paraId="567D641D">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eastAsia" w:ascii="新宋体" w:hAnsi="新宋体" w:eastAsia="新宋体" w:cs="新宋体"/>
          <w:snapToGrid/>
          <w:color w:val="auto"/>
          <w:w w:val="100"/>
          <w:kern w:val="2"/>
          <w:sz w:val="24"/>
          <w:szCs w:val="24"/>
          <w:highlight w:val="none"/>
          <w:u w:val="single"/>
          <w:lang w:val="en-US" w:eastAsia="zh-CN"/>
        </w:rPr>
      </w:pPr>
      <w:r>
        <w:rPr>
          <w:rFonts w:hint="eastAsia" w:ascii="新宋体" w:hAnsi="新宋体" w:eastAsia="新宋体" w:cs="新宋体"/>
          <w:snapToGrid/>
          <w:color w:val="auto"/>
          <w:w w:val="100"/>
          <w:kern w:val="2"/>
          <w:sz w:val="24"/>
          <w:szCs w:val="24"/>
          <w:highlight w:val="none"/>
          <w:lang w:val="en-US" w:eastAsia="zh-CN"/>
        </w:rPr>
        <w:t>培训地点：</w:t>
      </w:r>
      <w:r>
        <w:rPr>
          <w:rFonts w:hint="eastAsia" w:ascii="新宋体" w:hAnsi="新宋体" w:eastAsia="新宋体" w:cs="新宋体"/>
          <w:snapToGrid/>
          <w:color w:val="auto"/>
          <w:w w:val="100"/>
          <w:kern w:val="2"/>
          <w:sz w:val="24"/>
          <w:szCs w:val="24"/>
          <w:highlight w:val="none"/>
          <w:u w:val="single"/>
          <w:lang w:val="en-US" w:eastAsia="zh-CN"/>
        </w:rPr>
        <w:t xml:space="preserve">                    </w:t>
      </w:r>
    </w:p>
    <w:p w14:paraId="3BD744A2">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eastAsia" w:ascii="新宋体" w:hAnsi="新宋体" w:eastAsia="新宋体" w:cs="新宋体"/>
          <w:snapToGrid/>
          <w:color w:val="auto"/>
          <w:w w:val="100"/>
          <w:kern w:val="2"/>
          <w:sz w:val="24"/>
          <w:szCs w:val="24"/>
          <w:highlight w:val="none"/>
          <w:u w:val="single"/>
          <w:lang w:val="en-US" w:eastAsia="zh-CN"/>
        </w:rPr>
      </w:pPr>
      <w:r>
        <w:rPr>
          <w:rFonts w:hint="eastAsia" w:ascii="新宋体" w:hAnsi="新宋体" w:eastAsia="新宋体" w:cs="新宋体"/>
          <w:snapToGrid/>
          <w:color w:val="auto"/>
          <w:w w:val="100"/>
          <w:kern w:val="2"/>
          <w:sz w:val="24"/>
          <w:szCs w:val="24"/>
          <w:highlight w:val="none"/>
          <w:lang w:val="en-US" w:eastAsia="zh-CN"/>
        </w:rPr>
        <w:t>培训内容：</w:t>
      </w:r>
      <w:r>
        <w:rPr>
          <w:rFonts w:hint="eastAsia" w:ascii="新宋体" w:hAnsi="新宋体" w:eastAsia="新宋体" w:cs="新宋体"/>
          <w:snapToGrid/>
          <w:color w:val="auto"/>
          <w:w w:val="100"/>
          <w:kern w:val="2"/>
          <w:sz w:val="24"/>
          <w:szCs w:val="24"/>
          <w:highlight w:val="none"/>
          <w:u w:val="single"/>
          <w:lang w:val="en-US" w:eastAsia="zh-CN"/>
        </w:rPr>
        <w:t xml:space="preserve">                    </w:t>
      </w:r>
    </w:p>
    <w:p w14:paraId="51F4BE70">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textAlignment w:val="auto"/>
        <w:rPr>
          <w:rFonts w:hint="eastAsia" w:ascii="新宋体" w:hAnsi="新宋体" w:eastAsia="新宋体" w:cs="新宋体"/>
          <w:b/>
          <w:snapToGrid/>
          <w:color w:val="auto"/>
          <w:w w:val="100"/>
          <w:kern w:val="2"/>
          <w:sz w:val="24"/>
          <w:szCs w:val="24"/>
          <w:highlight w:val="none"/>
        </w:rPr>
      </w:pPr>
      <w:r>
        <w:rPr>
          <w:rFonts w:hint="eastAsia" w:ascii="新宋体" w:hAnsi="新宋体" w:eastAsia="新宋体" w:cs="新宋体"/>
          <w:b/>
          <w:snapToGrid/>
          <w:color w:val="auto"/>
          <w:w w:val="100"/>
          <w:kern w:val="2"/>
          <w:sz w:val="24"/>
          <w:szCs w:val="24"/>
          <w:highlight w:val="none"/>
          <w:lang w:eastAsia="zh-CN"/>
        </w:rPr>
        <w:t>二</w:t>
      </w:r>
      <w:r>
        <w:rPr>
          <w:rFonts w:hint="eastAsia" w:ascii="新宋体" w:hAnsi="新宋体" w:eastAsia="新宋体" w:cs="新宋体"/>
          <w:b/>
          <w:snapToGrid/>
          <w:color w:val="auto"/>
          <w:w w:val="100"/>
          <w:kern w:val="2"/>
          <w:sz w:val="24"/>
          <w:szCs w:val="24"/>
          <w:highlight w:val="none"/>
        </w:rPr>
        <w:t>、培训要求</w:t>
      </w:r>
    </w:p>
    <w:p w14:paraId="2C42CF81">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新宋体" w:hAnsi="新宋体" w:eastAsia="新宋体" w:cs="新宋体"/>
          <w:snapToGrid/>
          <w:color w:val="auto"/>
          <w:w w:val="100"/>
          <w:kern w:val="2"/>
          <w:sz w:val="24"/>
          <w:szCs w:val="24"/>
          <w:highlight w:val="none"/>
          <w:lang w:eastAsia="zh-CN"/>
        </w:rPr>
      </w:pPr>
      <w:r>
        <w:rPr>
          <w:rFonts w:hint="eastAsia" w:ascii="新宋体" w:hAnsi="新宋体" w:eastAsia="新宋体" w:cs="新宋体"/>
          <w:snapToGrid/>
          <w:color w:val="auto"/>
          <w:w w:val="100"/>
          <w:kern w:val="2"/>
          <w:sz w:val="24"/>
          <w:szCs w:val="24"/>
          <w:highlight w:val="none"/>
        </w:rPr>
        <w:t>按照</w:t>
      </w:r>
      <w:r>
        <w:rPr>
          <w:rFonts w:hint="eastAsia" w:ascii="新宋体" w:hAnsi="新宋体" w:eastAsia="新宋体" w:cs="新宋体"/>
          <w:snapToGrid/>
          <w:color w:val="auto"/>
          <w:w w:val="100"/>
          <w:kern w:val="0"/>
          <w:sz w:val="24"/>
          <w:szCs w:val="24"/>
          <w:highlight w:val="none"/>
          <w:lang w:val="en-US" w:eastAsia="zh-CN" w:bidi="ar"/>
        </w:rPr>
        <w:t>《湖南省2026年高素质农民培育工作实施方案》</w:t>
      </w:r>
      <w:r>
        <w:rPr>
          <w:rFonts w:hint="eastAsia" w:ascii="新宋体" w:hAnsi="新宋体" w:eastAsia="新宋体" w:cs="新宋体"/>
          <w:snapToGrid/>
          <w:color w:val="auto"/>
          <w:w w:val="100"/>
          <w:kern w:val="2"/>
          <w:sz w:val="24"/>
          <w:szCs w:val="24"/>
          <w:highlight w:val="none"/>
        </w:rPr>
        <w:t>要求设置培训课程，乙方在培训开班前</w:t>
      </w:r>
      <w:r>
        <w:rPr>
          <w:rFonts w:hint="eastAsia" w:ascii="新宋体" w:hAnsi="新宋体" w:eastAsia="新宋体" w:cs="新宋体"/>
          <w:snapToGrid/>
          <w:color w:val="auto"/>
          <w:w w:val="100"/>
          <w:kern w:val="2"/>
          <w:sz w:val="24"/>
          <w:szCs w:val="24"/>
          <w:highlight w:val="none"/>
          <w:lang w:eastAsia="zh-CN"/>
        </w:rPr>
        <w:t>按程序规范</w:t>
      </w:r>
      <w:r>
        <w:rPr>
          <w:rFonts w:hint="eastAsia" w:ascii="新宋体" w:hAnsi="新宋体" w:eastAsia="新宋体" w:cs="新宋体"/>
          <w:snapToGrid/>
          <w:color w:val="auto"/>
          <w:w w:val="100"/>
          <w:kern w:val="2"/>
          <w:sz w:val="24"/>
          <w:szCs w:val="24"/>
          <w:highlight w:val="none"/>
        </w:rPr>
        <w:t>报送培训方案、</w:t>
      </w:r>
      <w:r>
        <w:rPr>
          <w:rFonts w:hint="eastAsia" w:ascii="新宋体" w:hAnsi="新宋体" w:eastAsia="新宋体" w:cs="新宋体"/>
          <w:snapToGrid/>
          <w:color w:val="auto"/>
          <w:w w:val="100"/>
          <w:kern w:val="2"/>
          <w:sz w:val="24"/>
          <w:szCs w:val="24"/>
          <w:highlight w:val="none"/>
          <w:lang w:eastAsia="zh-CN"/>
        </w:rPr>
        <w:t>教材清单、</w:t>
      </w:r>
      <w:r>
        <w:rPr>
          <w:rFonts w:hint="eastAsia" w:ascii="新宋体" w:hAnsi="新宋体" w:eastAsia="新宋体" w:cs="新宋体"/>
          <w:snapToGrid/>
          <w:color w:val="auto"/>
          <w:w w:val="100"/>
          <w:kern w:val="2"/>
          <w:sz w:val="24"/>
          <w:szCs w:val="24"/>
          <w:highlight w:val="none"/>
        </w:rPr>
        <w:t>课堂教学方案、实习实训方案</w:t>
      </w:r>
      <w:r>
        <w:rPr>
          <w:rFonts w:hint="eastAsia" w:ascii="新宋体" w:hAnsi="新宋体" w:eastAsia="新宋体" w:cs="新宋体"/>
          <w:snapToGrid/>
          <w:color w:val="auto"/>
          <w:w w:val="100"/>
          <w:kern w:val="2"/>
          <w:sz w:val="24"/>
          <w:szCs w:val="24"/>
          <w:highlight w:val="none"/>
          <w:lang w:eastAsia="zh-CN"/>
        </w:rPr>
        <w:t>、</w:t>
      </w:r>
      <w:r>
        <w:rPr>
          <w:rFonts w:hint="eastAsia" w:ascii="新宋体" w:hAnsi="新宋体" w:eastAsia="新宋体" w:cs="新宋体"/>
          <w:snapToGrid/>
          <w:color w:val="auto"/>
          <w:w w:val="100"/>
          <w:kern w:val="2"/>
          <w:sz w:val="24"/>
          <w:szCs w:val="24"/>
          <w:highlight w:val="none"/>
          <w:lang w:val="en-US" w:eastAsia="zh-CN"/>
        </w:rPr>
        <w:t>跟踪服务计划</w:t>
      </w:r>
      <w:r>
        <w:rPr>
          <w:rFonts w:hint="eastAsia" w:ascii="新宋体" w:hAnsi="新宋体" w:eastAsia="新宋体" w:cs="新宋体"/>
          <w:snapToGrid/>
          <w:color w:val="auto"/>
          <w:w w:val="100"/>
          <w:kern w:val="2"/>
          <w:sz w:val="24"/>
          <w:szCs w:val="24"/>
          <w:highlight w:val="none"/>
        </w:rPr>
        <w:t>等规范性培训资料，并按照双方确认的培训计划与课程执行</w:t>
      </w:r>
      <w:r>
        <w:rPr>
          <w:rFonts w:hint="eastAsia" w:ascii="新宋体" w:hAnsi="新宋体" w:eastAsia="新宋体" w:cs="新宋体"/>
          <w:snapToGrid/>
          <w:color w:val="auto"/>
          <w:w w:val="100"/>
          <w:kern w:val="2"/>
          <w:sz w:val="24"/>
          <w:szCs w:val="24"/>
          <w:highlight w:val="none"/>
          <w:lang w:eastAsia="zh-CN"/>
        </w:rPr>
        <w:t>。</w:t>
      </w:r>
    </w:p>
    <w:p w14:paraId="5A7889C7">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textAlignment w:val="auto"/>
        <w:rPr>
          <w:rFonts w:hint="eastAsia" w:ascii="新宋体" w:hAnsi="新宋体" w:eastAsia="新宋体" w:cs="新宋体"/>
          <w:b/>
          <w:snapToGrid/>
          <w:color w:val="auto"/>
          <w:w w:val="100"/>
          <w:kern w:val="2"/>
          <w:sz w:val="24"/>
          <w:szCs w:val="24"/>
          <w:highlight w:val="none"/>
        </w:rPr>
      </w:pPr>
      <w:r>
        <w:rPr>
          <w:rFonts w:hint="eastAsia" w:ascii="新宋体" w:hAnsi="新宋体" w:eastAsia="新宋体" w:cs="新宋体"/>
          <w:b/>
          <w:snapToGrid/>
          <w:color w:val="auto"/>
          <w:w w:val="100"/>
          <w:kern w:val="2"/>
          <w:sz w:val="24"/>
          <w:szCs w:val="24"/>
          <w:highlight w:val="none"/>
          <w:lang w:eastAsia="zh-CN"/>
        </w:rPr>
        <w:t>三</w:t>
      </w:r>
      <w:r>
        <w:rPr>
          <w:rFonts w:hint="eastAsia" w:ascii="新宋体" w:hAnsi="新宋体" w:eastAsia="新宋体" w:cs="新宋体"/>
          <w:b/>
          <w:snapToGrid/>
          <w:color w:val="auto"/>
          <w:w w:val="100"/>
          <w:kern w:val="2"/>
          <w:sz w:val="24"/>
          <w:szCs w:val="24"/>
          <w:highlight w:val="none"/>
        </w:rPr>
        <w:t>、获证类型</w:t>
      </w:r>
    </w:p>
    <w:p w14:paraId="2AAEE6ED">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highlight w:val="none"/>
        </w:rPr>
      </w:pPr>
      <w:r>
        <w:rPr>
          <w:rFonts w:hint="eastAsia" w:ascii="新宋体" w:hAnsi="新宋体" w:eastAsia="新宋体" w:cs="新宋体"/>
          <w:snapToGrid/>
          <w:color w:val="auto"/>
          <w:w w:val="100"/>
          <w:kern w:val="2"/>
          <w:sz w:val="24"/>
          <w:szCs w:val="24"/>
          <w:highlight w:val="none"/>
        </w:rPr>
        <w:t>学员经考核合格后发放结业证书。</w:t>
      </w:r>
    </w:p>
    <w:p w14:paraId="2AD19FD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2" w:firstLineChars="200"/>
        <w:textAlignment w:val="auto"/>
        <w:rPr>
          <w:rFonts w:hint="eastAsia" w:ascii="新宋体" w:hAnsi="新宋体" w:eastAsia="新宋体" w:cs="新宋体"/>
          <w:b/>
          <w:snapToGrid/>
          <w:color w:val="auto"/>
          <w:w w:val="100"/>
          <w:kern w:val="2"/>
          <w:sz w:val="24"/>
          <w:szCs w:val="24"/>
          <w:highlight w:val="none"/>
        </w:rPr>
      </w:pPr>
      <w:r>
        <w:rPr>
          <w:rFonts w:hint="eastAsia" w:ascii="新宋体" w:hAnsi="新宋体" w:eastAsia="新宋体" w:cs="新宋体"/>
          <w:b/>
          <w:snapToGrid/>
          <w:color w:val="auto"/>
          <w:w w:val="100"/>
          <w:kern w:val="2"/>
          <w:sz w:val="24"/>
          <w:szCs w:val="24"/>
          <w:highlight w:val="none"/>
          <w:lang w:eastAsia="zh-CN"/>
        </w:rPr>
        <w:t>四、</w:t>
      </w:r>
      <w:r>
        <w:rPr>
          <w:rFonts w:hint="eastAsia" w:ascii="新宋体" w:hAnsi="新宋体" w:eastAsia="新宋体" w:cs="新宋体"/>
          <w:b/>
          <w:snapToGrid/>
          <w:color w:val="auto"/>
          <w:w w:val="100"/>
          <w:kern w:val="2"/>
          <w:sz w:val="24"/>
          <w:szCs w:val="24"/>
          <w:highlight w:val="none"/>
        </w:rPr>
        <w:t>培训费用及付款方式</w:t>
      </w:r>
    </w:p>
    <w:p w14:paraId="66AC3726">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textAlignment w:val="auto"/>
        <w:rPr>
          <w:rFonts w:hint="eastAsia" w:ascii="新宋体" w:hAnsi="新宋体" w:eastAsia="新宋体" w:cs="新宋体"/>
          <w:snapToGrid/>
          <w:color w:val="auto"/>
          <w:w w:val="100"/>
          <w:kern w:val="2"/>
          <w:sz w:val="24"/>
          <w:szCs w:val="24"/>
          <w:lang w:val="en-US" w:eastAsia="zh-CN"/>
        </w:rPr>
      </w:pPr>
      <w:r>
        <w:rPr>
          <w:rFonts w:hint="eastAsia" w:ascii="新宋体" w:hAnsi="新宋体" w:eastAsia="新宋体" w:cs="新宋体"/>
          <w:b/>
          <w:snapToGrid/>
          <w:color w:val="auto"/>
          <w:w w:val="100"/>
          <w:kern w:val="2"/>
          <w:sz w:val="24"/>
          <w:szCs w:val="24"/>
          <w:highlight w:val="none"/>
        </w:rPr>
        <w:t>1．费用标准：</w:t>
      </w:r>
      <w:r>
        <w:rPr>
          <w:rFonts w:hint="eastAsia" w:ascii="新宋体" w:hAnsi="新宋体" w:eastAsia="新宋体" w:cs="新宋体"/>
          <w:snapToGrid/>
          <w:color w:val="auto"/>
          <w:w w:val="100"/>
          <w:kern w:val="2"/>
          <w:sz w:val="24"/>
          <w:szCs w:val="24"/>
          <w:highlight w:val="none"/>
          <w:lang w:val="en-US" w:eastAsia="zh-CN"/>
        </w:rPr>
        <w:t>按照</w:t>
      </w:r>
      <w:r>
        <w:rPr>
          <w:rFonts w:hint="eastAsia" w:ascii="新宋体" w:hAnsi="新宋体" w:eastAsia="新宋体" w:cs="新宋体"/>
          <w:snapToGrid/>
          <w:color w:val="auto"/>
          <w:w w:val="100"/>
          <w:kern w:val="0"/>
          <w:sz w:val="24"/>
          <w:szCs w:val="24"/>
          <w:highlight w:val="none"/>
          <w:lang w:val="en-US" w:eastAsia="zh-CN" w:bidi="ar"/>
        </w:rPr>
        <w:t>《湖南省2026年高素质农民培育工作实施方案》</w:t>
      </w:r>
      <w:r>
        <w:rPr>
          <w:rFonts w:hint="eastAsia" w:ascii="新宋体" w:hAnsi="新宋体" w:eastAsia="新宋体" w:cs="新宋体"/>
          <w:snapToGrid/>
          <w:color w:val="auto"/>
          <w:w w:val="100"/>
          <w:kern w:val="2"/>
          <w:sz w:val="24"/>
          <w:szCs w:val="24"/>
          <w:highlight w:val="none"/>
          <w:lang w:val="en-US" w:eastAsia="zh-CN"/>
        </w:rPr>
        <w:t>《湘西州202</w:t>
      </w:r>
      <w:r>
        <w:rPr>
          <w:rFonts w:hint="eastAsia" w:ascii="新宋体" w:hAnsi="新宋体" w:eastAsia="新宋体" w:cs="新宋体"/>
          <w:snapToGrid/>
          <w:color w:val="auto"/>
          <w:w w:val="100"/>
          <w:kern w:val="2"/>
          <w:sz w:val="24"/>
          <w:szCs w:val="24"/>
          <w:highlight w:val="none"/>
          <w:lang w:val="en" w:eastAsia="zh-CN"/>
        </w:rPr>
        <w:t>6</w:t>
      </w:r>
      <w:r>
        <w:rPr>
          <w:rFonts w:hint="eastAsia" w:ascii="新宋体" w:hAnsi="新宋体" w:eastAsia="新宋体" w:cs="新宋体"/>
          <w:snapToGrid/>
          <w:color w:val="auto"/>
          <w:w w:val="100"/>
          <w:kern w:val="2"/>
          <w:sz w:val="24"/>
          <w:szCs w:val="24"/>
          <w:highlight w:val="none"/>
          <w:lang w:val="en-US" w:eastAsia="zh-CN"/>
        </w:rPr>
        <w:t>年高素质农民培育工作实施方案》等文件要求，本次委托</w:t>
      </w:r>
      <w:r>
        <w:rPr>
          <w:rFonts w:hint="eastAsia" w:ascii="新宋体" w:hAnsi="新宋体" w:eastAsia="新宋体" w:cs="新宋体"/>
          <w:snapToGrid/>
          <w:color w:val="auto"/>
          <w:w w:val="100"/>
          <w:kern w:val="2"/>
          <w:sz w:val="24"/>
          <w:szCs w:val="24"/>
          <w:highlight w:val="none"/>
          <w:u w:val="single"/>
          <w:lang w:val="en-US" w:eastAsia="zh-CN"/>
        </w:rPr>
        <w:t xml:space="preserve">             </w:t>
      </w:r>
      <w:r>
        <w:rPr>
          <w:rFonts w:hint="eastAsia" w:ascii="新宋体" w:hAnsi="新宋体" w:eastAsia="新宋体" w:cs="新宋体"/>
          <w:snapToGrid/>
          <w:color w:val="auto"/>
          <w:w w:val="100"/>
          <w:kern w:val="2"/>
          <w:sz w:val="24"/>
          <w:szCs w:val="24"/>
          <w:highlight w:val="none"/>
          <w:lang w:val="en-US" w:eastAsia="zh-CN"/>
        </w:rPr>
        <w:t>，中标金额</w:t>
      </w:r>
      <w:r>
        <w:rPr>
          <w:rFonts w:hint="eastAsia" w:ascii="新宋体" w:hAnsi="新宋体" w:eastAsia="新宋体" w:cs="新宋体"/>
          <w:snapToGrid/>
          <w:color w:val="auto"/>
          <w:w w:val="100"/>
          <w:kern w:val="2"/>
          <w:sz w:val="24"/>
          <w:szCs w:val="24"/>
          <w:highlight w:val="none"/>
          <w:u w:val="single"/>
          <w:lang w:val="en-US" w:eastAsia="zh-CN"/>
        </w:rPr>
        <w:t xml:space="preserve">              </w:t>
      </w:r>
      <w:r>
        <w:rPr>
          <w:rFonts w:hint="eastAsia" w:ascii="新宋体" w:hAnsi="新宋体" w:eastAsia="新宋体" w:cs="新宋体"/>
          <w:snapToGrid/>
          <w:color w:val="auto"/>
          <w:w w:val="100"/>
          <w:kern w:val="2"/>
          <w:sz w:val="24"/>
          <w:szCs w:val="24"/>
          <w:highlight w:val="none"/>
          <w:lang w:val="en-US" w:eastAsia="zh-CN"/>
        </w:rPr>
        <w:t>元。包含购买学员保险、学习用品、教材、学员食宿、教师讲课</w:t>
      </w:r>
      <w:r>
        <w:rPr>
          <w:rFonts w:hint="eastAsia" w:ascii="新宋体" w:hAnsi="新宋体" w:eastAsia="新宋体" w:cs="新宋体"/>
          <w:snapToGrid/>
          <w:color w:val="auto"/>
          <w:w w:val="100"/>
          <w:kern w:val="2"/>
          <w:sz w:val="24"/>
          <w:szCs w:val="24"/>
          <w:lang w:val="en-US" w:eastAsia="zh-CN"/>
        </w:rPr>
        <w:t>费、培训物资等培训全程各项规定费用。</w:t>
      </w:r>
      <w:r>
        <w:rPr>
          <w:rFonts w:hint="eastAsia" w:ascii="新宋体" w:hAnsi="新宋体" w:eastAsia="新宋体" w:cs="新宋体"/>
          <w:snapToGrid/>
          <w:color w:val="auto"/>
          <w:w w:val="100"/>
          <w:kern w:val="2"/>
          <w:sz w:val="24"/>
          <w:szCs w:val="24"/>
          <w:highlight w:val="none"/>
          <w:lang w:val="en-US" w:eastAsia="zh-CN"/>
        </w:rPr>
        <w:t>其中，组织农民参加培训和后续指导服务严格按照相关规定执行。</w:t>
      </w:r>
    </w:p>
    <w:p w14:paraId="671C8301">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textAlignment w:val="auto"/>
        <w:rPr>
          <w:rFonts w:hint="eastAsia" w:ascii="新宋体" w:hAnsi="新宋体" w:eastAsia="新宋体" w:cs="新宋体"/>
          <w:b/>
          <w:snapToGrid/>
          <w:color w:val="auto"/>
          <w:w w:val="100"/>
          <w:kern w:val="2"/>
          <w:sz w:val="24"/>
          <w:szCs w:val="24"/>
        </w:rPr>
      </w:pPr>
      <w:r>
        <w:rPr>
          <w:rFonts w:hint="eastAsia" w:ascii="新宋体" w:hAnsi="新宋体" w:eastAsia="新宋体" w:cs="新宋体"/>
          <w:b/>
          <w:snapToGrid/>
          <w:color w:val="auto"/>
          <w:w w:val="100"/>
          <w:kern w:val="2"/>
          <w:sz w:val="24"/>
          <w:szCs w:val="24"/>
        </w:rPr>
        <w:t>2．经费拨付要求：</w:t>
      </w:r>
    </w:p>
    <w:p w14:paraId="764A9B4C">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lang w:eastAsia="zh-CN"/>
        </w:rPr>
      </w:pPr>
      <w:r>
        <w:rPr>
          <w:rFonts w:hint="eastAsia" w:ascii="新宋体" w:hAnsi="新宋体" w:eastAsia="新宋体" w:cs="新宋体"/>
          <w:snapToGrid/>
          <w:color w:val="auto"/>
          <w:w w:val="100"/>
          <w:kern w:val="2"/>
          <w:sz w:val="24"/>
          <w:szCs w:val="24"/>
        </w:rPr>
        <w:t>培训班结束后，乙方须按要求将培训资料如培训手册（含培训方案、课堂教学方案、实习实训方案等）、跟踪服务协议、学员花名册、学员登记表、学员考勤表、培训回访信息表、培训总结、学员资料、培训图片、培训班申请表等整理汇编成册，印制</w:t>
      </w:r>
      <w:r>
        <w:rPr>
          <w:rFonts w:hint="eastAsia" w:ascii="新宋体" w:hAnsi="新宋体" w:eastAsia="新宋体" w:cs="新宋体"/>
          <w:snapToGrid/>
          <w:color w:val="auto"/>
          <w:w w:val="100"/>
          <w:kern w:val="2"/>
          <w:sz w:val="24"/>
          <w:szCs w:val="24"/>
          <w:lang w:val="en-US" w:eastAsia="zh-CN"/>
        </w:rPr>
        <w:t>两</w:t>
      </w:r>
      <w:r>
        <w:rPr>
          <w:rFonts w:hint="eastAsia" w:ascii="新宋体" w:hAnsi="新宋体" w:eastAsia="新宋体" w:cs="新宋体"/>
          <w:snapToGrid/>
          <w:color w:val="auto"/>
          <w:w w:val="100"/>
          <w:kern w:val="2"/>
          <w:sz w:val="24"/>
          <w:szCs w:val="24"/>
        </w:rPr>
        <w:t>本，其中</w:t>
      </w:r>
      <w:r>
        <w:rPr>
          <w:rFonts w:hint="eastAsia" w:ascii="新宋体" w:hAnsi="新宋体" w:eastAsia="新宋体" w:cs="新宋体"/>
          <w:snapToGrid/>
          <w:color w:val="auto"/>
          <w:w w:val="100"/>
          <w:kern w:val="2"/>
          <w:sz w:val="24"/>
          <w:szCs w:val="24"/>
          <w:lang w:val="en-US" w:eastAsia="zh-CN"/>
        </w:rPr>
        <w:t>一</w:t>
      </w:r>
      <w:r>
        <w:rPr>
          <w:rFonts w:hint="eastAsia" w:ascii="新宋体" w:hAnsi="新宋体" w:eastAsia="新宋体" w:cs="新宋体"/>
          <w:snapToGrid/>
          <w:color w:val="auto"/>
          <w:w w:val="100"/>
          <w:kern w:val="2"/>
          <w:sz w:val="24"/>
          <w:szCs w:val="24"/>
        </w:rPr>
        <w:t>本报甲方（含电子档）。</w:t>
      </w:r>
      <w:r>
        <w:rPr>
          <w:rFonts w:hint="eastAsia" w:ascii="新宋体" w:hAnsi="新宋体" w:eastAsia="新宋体" w:cs="新宋体"/>
          <w:snapToGrid/>
          <w:color w:val="auto"/>
          <w:w w:val="100"/>
          <w:kern w:val="2"/>
          <w:sz w:val="24"/>
          <w:szCs w:val="24"/>
          <w:lang w:eastAsia="zh-CN"/>
        </w:rPr>
        <w:t>同时提供专业机构出具的培训项目情况审计报告。</w:t>
      </w:r>
      <w:r>
        <w:rPr>
          <w:rFonts w:hint="eastAsia" w:ascii="新宋体" w:hAnsi="新宋体" w:eastAsia="新宋体" w:cs="新宋体"/>
          <w:snapToGrid/>
          <w:color w:val="auto"/>
          <w:w w:val="100"/>
          <w:kern w:val="2"/>
          <w:sz w:val="24"/>
          <w:szCs w:val="24"/>
        </w:rPr>
        <w:t>甲方收到相关资料</w:t>
      </w:r>
      <w:r>
        <w:rPr>
          <w:rFonts w:hint="eastAsia" w:ascii="新宋体" w:hAnsi="新宋体" w:eastAsia="新宋体" w:cs="新宋体"/>
          <w:snapToGrid/>
          <w:color w:val="auto"/>
          <w:w w:val="100"/>
          <w:kern w:val="2"/>
          <w:sz w:val="24"/>
          <w:szCs w:val="24"/>
          <w:lang w:val="en-US" w:eastAsia="zh-CN"/>
        </w:rPr>
        <w:t>并验收合格</w:t>
      </w:r>
      <w:r>
        <w:rPr>
          <w:rFonts w:hint="eastAsia" w:ascii="新宋体" w:hAnsi="新宋体" w:eastAsia="新宋体" w:cs="新宋体"/>
          <w:snapToGrid/>
          <w:color w:val="auto"/>
          <w:w w:val="100"/>
          <w:kern w:val="2"/>
          <w:sz w:val="24"/>
          <w:szCs w:val="24"/>
        </w:rPr>
        <w:t>，</w:t>
      </w:r>
      <w:r>
        <w:rPr>
          <w:rFonts w:hint="eastAsia" w:ascii="新宋体" w:hAnsi="新宋体" w:eastAsia="新宋体" w:cs="新宋体"/>
          <w:snapToGrid/>
          <w:color w:val="auto"/>
          <w:w w:val="100"/>
          <w:kern w:val="2"/>
          <w:sz w:val="24"/>
          <w:szCs w:val="24"/>
          <w:lang w:val="en-US" w:eastAsia="zh-CN"/>
        </w:rPr>
        <w:t>乙方提交合法有效的等额税票后，甲方按约定培训费标准100%拨付</w:t>
      </w:r>
      <w:r>
        <w:rPr>
          <w:rFonts w:hint="eastAsia" w:ascii="新宋体" w:hAnsi="新宋体" w:eastAsia="新宋体" w:cs="新宋体"/>
          <w:snapToGrid/>
          <w:color w:val="auto"/>
          <w:w w:val="100"/>
          <w:kern w:val="2"/>
          <w:sz w:val="24"/>
          <w:szCs w:val="24"/>
        </w:rPr>
        <w:t>培训经费</w:t>
      </w:r>
      <w:r>
        <w:rPr>
          <w:rFonts w:hint="eastAsia" w:ascii="新宋体" w:hAnsi="新宋体" w:eastAsia="新宋体" w:cs="新宋体"/>
          <w:snapToGrid/>
          <w:color w:val="auto"/>
          <w:w w:val="100"/>
          <w:kern w:val="2"/>
          <w:sz w:val="24"/>
          <w:szCs w:val="24"/>
          <w:lang w:eastAsia="zh-CN"/>
        </w:rPr>
        <w:t>到乙方指定账户</w:t>
      </w:r>
      <w:r>
        <w:rPr>
          <w:rFonts w:hint="eastAsia" w:ascii="新宋体" w:hAnsi="新宋体" w:eastAsia="新宋体" w:cs="新宋体"/>
          <w:snapToGrid/>
          <w:color w:val="auto"/>
          <w:w w:val="100"/>
          <w:kern w:val="2"/>
          <w:sz w:val="24"/>
          <w:szCs w:val="24"/>
        </w:rPr>
        <w:t>。</w:t>
      </w:r>
      <w:r>
        <w:rPr>
          <w:rFonts w:hint="eastAsia" w:ascii="新宋体" w:hAnsi="新宋体" w:eastAsia="新宋体" w:cs="新宋体"/>
          <w:snapToGrid/>
          <w:color w:val="auto"/>
          <w:w w:val="100"/>
          <w:kern w:val="2"/>
          <w:sz w:val="24"/>
          <w:szCs w:val="24"/>
          <w:lang w:eastAsia="zh-CN"/>
        </w:rPr>
        <w:t>具体支付按如下情况确定：</w:t>
      </w:r>
    </w:p>
    <w:p w14:paraId="7EBD102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lang w:val="en-US" w:eastAsia="zh-CN"/>
        </w:rPr>
      </w:pPr>
      <w:r>
        <w:rPr>
          <w:rFonts w:hint="eastAsia" w:ascii="新宋体" w:hAnsi="新宋体" w:eastAsia="新宋体" w:cs="新宋体"/>
          <w:snapToGrid/>
          <w:color w:val="auto"/>
          <w:w w:val="100"/>
          <w:kern w:val="2"/>
          <w:sz w:val="24"/>
          <w:szCs w:val="24"/>
          <w:lang w:val="en-US" w:eastAsia="zh-CN"/>
        </w:rPr>
        <w:t>1.培训结束后，乙方在规定时间内提供相关资料，经甲方审核通过，于2026年12月底前支付80%费用；</w:t>
      </w:r>
    </w:p>
    <w:p w14:paraId="737679C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textAlignment w:val="auto"/>
        <w:rPr>
          <w:rFonts w:hint="eastAsia" w:ascii="新宋体" w:hAnsi="新宋体" w:eastAsia="新宋体" w:cs="新宋体"/>
          <w:snapToGrid/>
          <w:color w:val="auto"/>
          <w:w w:val="100"/>
          <w:kern w:val="2"/>
          <w:sz w:val="24"/>
          <w:szCs w:val="24"/>
          <w:lang w:val="en-US" w:eastAsia="zh-CN"/>
        </w:rPr>
      </w:pPr>
      <w:r>
        <w:rPr>
          <w:rFonts w:hint="eastAsia" w:ascii="新宋体" w:hAnsi="新宋体" w:eastAsia="新宋体" w:cs="新宋体"/>
          <w:snapToGrid/>
          <w:color w:val="auto"/>
          <w:w w:val="100"/>
          <w:kern w:val="2"/>
          <w:sz w:val="24"/>
          <w:szCs w:val="24"/>
          <w:lang w:val="en-US" w:eastAsia="zh-CN"/>
        </w:rPr>
        <w:t>2.乙方按要求及时完成审计、跟踪服务、典型培育等事项，提供相关资料，经甲方验收通过，于2027年6月底前支付剩余20%费用</w:t>
      </w:r>
      <w:r>
        <w:rPr>
          <w:rFonts w:hint="eastAsia" w:ascii="新宋体" w:hAnsi="新宋体" w:eastAsia="新宋体" w:cs="新宋体"/>
          <w:snapToGrid w:val="0"/>
          <w:color w:val="auto"/>
          <w:w w:val="100"/>
          <w:kern w:val="21"/>
          <w:sz w:val="24"/>
          <w:szCs w:val="24"/>
          <w:lang w:eastAsia="zh-CN"/>
        </w:rPr>
        <w:t>；</w:t>
      </w:r>
    </w:p>
    <w:p w14:paraId="4E73C1B5">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val="0"/>
          <w:color w:val="auto"/>
          <w:w w:val="100"/>
          <w:kern w:val="21"/>
          <w:sz w:val="24"/>
          <w:szCs w:val="24"/>
        </w:rPr>
      </w:pPr>
      <w:r>
        <w:rPr>
          <w:rFonts w:hint="eastAsia" w:ascii="新宋体" w:hAnsi="新宋体" w:eastAsia="新宋体" w:cs="新宋体"/>
          <w:snapToGrid w:val="0"/>
          <w:color w:val="auto"/>
          <w:w w:val="100"/>
          <w:kern w:val="21"/>
          <w:sz w:val="24"/>
          <w:szCs w:val="24"/>
          <w:lang w:val="en-US" w:eastAsia="zh-CN"/>
        </w:rPr>
        <w:t>3.</w:t>
      </w:r>
      <w:r>
        <w:rPr>
          <w:rFonts w:hint="eastAsia" w:ascii="新宋体" w:hAnsi="新宋体" w:eastAsia="新宋体" w:cs="新宋体"/>
          <w:snapToGrid w:val="0"/>
          <w:color w:val="auto"/>
          <w:w w:val="100"/>
          <w:kern w:val="21"/>
          <w:sz w:val="24"/>
          <w:szCs w:val="24"/>
        </w:rPr>
        <w:t>乙方应在收款前向甲方开具合法有效的发票。</w:t>
      </w:r>
    </w:p>
    <w:p w14:paraId="4C52990B">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textAlignment w:val="auto"/>
        <w:rPr>
          <w:rFonts w:hint="eastAsia" w:ascii="新宋体" w:hAnsi="新宋体" w:eastAsia="新宋体" w:cs="新宋体"/>
          <w:b/>
          <w:snapToGrid/>
          <w:color w:val="auto"/>
          <w:w w:val="100"/>
          <w:kern w:val="2"/>
          <w:sz w:val="24"/>
          <w:szCs w:val="24"/>
        </w:rPr>
      </w:pPr>
      <w:r>
        <w:rPr>
          <w:rFonts w:hint="eastAsia" w:ascii="新宋体" w:hAnsi="新宋体" w:eastAsia="新宋体" w:cs="新宋体"/>
          <w:b/>
          <w:snapToGrid/>
          <w:color w:val="auto"/>
          <w:w w:val="100"/>
          <w:kern w:val="2"/>
          <w:sz w:val="24"/>
          <w:szCs w:val="24"/>
          <w:lang w:eastAsia="zh-CN"/>
        </w:rPr>
        <w:t>五</w:t>
      </w:r>
      <w:r>
        <w:rPr>
          <w:rFonts w:hint="eastAsia" w:ascii="新宋体" w:hAnsi="新宋体" w:eastAsia="新宋体" w:cs="新宋体"/>
          <w:b/>
          <w:snapToGrid/>
          <w:color w:val="auto"/>
          <w:w w:val="100"/>
          <w:kern w:val="2"/>
          <w:sz w:val="24"/>
          <w:szCs w:val="24"/>
        </w:rPr>
        <w:t>、双方职责</w:t>
      </w:r>
    </w:p>
    <w:p w14:paraId="0E19ED04">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textAlignment w:val="auto"/>
        <w:rPr>
          <w:rFonts w:hint="eastAsia" w:ascii="新宋体" w:hAnsi="新宋体" w:eastAsia="新宋体" w:cs="新宋体"/>
          <w:b/>
          <w:bCs w:val="0"/>
          <w:snapToGrid/>
          <w:color w:val="auto"/>
          <w:w w:val="100"/>
          <w:kern w:val="2"/>
          <w:sz w:val="24"/>
          <w:szCs w:val="24"/>
        </w:rPr>
      </w:pPr>
      <w:r>
        <w:rPr>
          <w:rFonts w:hint="eastAsia" w:ascii="新宋体" w:hAnsi="新宋体" w:eastAsia="新宋体" w:cs="新宋体"/>
          <w:b/>
          <w:snapToGrid/>
          <w:color w:val="auto"/>
          <w:w w:val="100"/>
          <w:kern w:val="2"/>
          <w:sz w:val="24"/>
          <w:szCs w:val="24"/>
        </w:rPr>
        <w:t>（一）甲方职责</w:t>
      </w:r>
    </w:p>
    <w:p w14:paraId="71FCD8D6">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rPr>
      </w:pPr>
      <w:r>
        <w:rPr>
          <w:rFonts w:hint="eastAsia" w:ascii="新宋体" w:hAnsi="新宋体" w:eastAsia="新宋体" w:cs="新宋体"/>
          <w:snapToGrid/>
          <w:color w:val="auto"/>
          <w:w w:val="100"/>
          <w:kern w:val="2"/>
          <w:sz w:val="24"/>
          <w:szCs w:val="24"/>
        </w:rPr>
        <w:t>1.甲方</w:t>
      </w:r>
      <w:r>
        <w:rPr>
          <w:rFonts w:hint="eastAsia" w:ascii="新宋体" w:hAnsi="新宋体" w:eastAsia="新宋体" w:cs="新宋体"/>
          <w:snapToGrid/>
          <w:color w:val="auto"/>
          <w:w w:val="100"/>
          <w:kern w:val="2"/>
          <w:sz w:val="24"/>
          <w:szCs w:val="24"/>
          <w:lang w:eastAsia="zh-CN"/>
        </w:rPr>
        <w:t>指导</w:t>
      </w:r>
      <w:r>
        <w:rPr>
          <w:rFonts w:hint="eastAsia" w:ascii="新宋体" w:hAnsi="新宋体" w:eastAsia="新宋体" w:cs="新宋体"/>
          <w:snapToGrid/>
          <w:color w:val="auto"/>
          <w:w w:val="100"/>
          <w:kern w:val="2"/>
          <w:sz w:val="24"/>
          <w:szCs w:val="24"/>
        </w:rPr>
        <w:t>学员的</w:t>
      </w:r>
      <w:r>
        <w:rPr>
          <w:rFonts w:hint="eastAsia" w:ascii="新宋体" w:hAnsi="新宋体" w:eastAsia="新宋体" w:cs="新宋体"/>
          <w:snapToGrid/>
          <w:color w:val="auto"/>
          <w:w w:val="100"/>
          <w:kern w:val="2"/>
          <w:sz w:val="24"/>
          <w:szCs w:val="24"/>
          <w:lang w:val="en-US" w:eastAsia="zh-CN"/>
        </w:rPr>
        <w:t>组织参训</w:t>
      </w:r>
      <w:r>
        <w:rPr>
          <w:rFonts w:hint="eastAsia" w:ascii="新宋体" w:hAnsi="新宋体" w:eastAsia="新宋体" w:cs="新宋体"/>
          <w:snapToGrid/>
          <w:color w:val="auto"/>
          <w:w w:val="100"/>
          <w:kern w:val="2"/>
          <w:sz w:val="24"/>
          <w:szCs w:val="24"/>
        </w:rPr>
        <w:t>工作，对乙方</w:t>
      </w:r>
      <w:r>
        <w:rPr>
          <w:rFonts w:hint="eastAsia" w:ascii="新宋体" w:hAnsi="新宋体" w:eastAsia="新宋体" w:cs="新宋体"/>
          <w:snapToGrid/>
          <w:color w:val="auto"/>
          <w:w w:val="100"/>
          <w:kern w:val="2"/>
          <w:sz w:val="24"/>
          <w:szCs w:val="24"/>
          <w:lang w:eastAsia="zh-CN"/>
        </w:rPr>
        <w:t>训前提交的培训计划等进行审核把关，对</w:t>
      </w:r>
      <w:r>
        <w:rPr>
          <w:rFonts w:hint="eastAsia" w:ascii="新宋体" w:hAnsi="新宋体" w:eastAsia="新宋体" w:cs="新宋体"/>
          <w:snapToGrid/>
          <w:color w:val="auto"/>
          <w:w w:val="100"/>
          <w:kern w:val="2"/>
          <w:sz w:val="24"/>
          <w:szCs w:val="24"/>
        </w:rPr>
        <w:t>教学计划的执行情况、教学进度、实习、实训、跟踪服务等环节及培训质量进行监督，提出意见和建议</w:t>
      </w:r>
      <w:r>
        <w:rPr>
          <w:rFonts w:hint="eastAsia" w:ascii="新宋体" w:hAnsi="新宋体" w:eastAsia="新宋体" w:cs="新宋体"/>
          <w:snapToGrid/>
          <w:color w:val="auto"/>
          <w:w w:val="100"/>
          <w:kern w:val="2"/>
          <w:sz w:val="24"/>
          <w:szCs w:val="24"/>
          <w:lang w:eastAsia="zh-CN"/>
        </w:rPr>
        <w:t>，如乙方严重违反相关规定，甲方可责令其立即中止培训，按要求整改到位</w:t>
      </w:r>
      <w:r>
        <w:rPr>
          <w:rFonts w:hint="eastAsia" w:ascii="新宋体" w:hAnsi="新宋体" w:eastAsia="新宋体" w:cs="新宋体"/>
          <w:snapToGrid/>
          <w:color w:val="auto"/>
          <w:w w:val="100"/>
          <w:kern w:val="2"/>
          <w:sz w:val="24"/>
          <w:szCs w:val="24"/>
        </w:rPr>
        <w:t>。</w:t>
      </w:r>
    </w:p>
    <w:p w14:paraId="4BE7F11C">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rPr>
      </w:pPr>
      <w:r>
        <w:rPr>
          <w:rFonts w:hint="eastAsia" w:ascii="新宋体" w:hAnsi="新宋体" w:eastAsia="新宋体" w:cs="新宋体"/>
          <w:snapToGrid/>
          <w:color w:val="auto"/>
          <w:w w:val="100"/>
          <w:kern w:val="2"/>
          <w:sz w:val="24"/>
          <w:szCs w:val="24"/>
        </w:rPr>
        <w:t>2.督导乙方加强学员学习、生活和安全方面的管理，督促乙方履行安全管理职责。</w:t>
      </w:r>
    </w:p>
    <w:p w14:paraId="7B775AF0">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rPr>
      </w:pPr>
      <w:r>
        <w:rPr>
          <w:rFonts w:hint="eastAsia" w:ascii="新宋体" w:hAnsi="新宋体" w:eastAsia="新宋体" w:cs="新宋体"/>
          <w:snapToGrid/>
          <w:color w:val="auto"/>
          <w:w w:val="100"/>
          <w:kern w:val="2"/>
          <w:sz w:val="24"/>
          <w:szCs w:val="24"/>
        </w:rPr>
        <w:t>3.对培训项目实施情况进行考评验收，并以此作为评价乙方培训工作质量的重要依据。</w:t>
      </w:r>
    </w:p>
    <w:p w14:paraId="255AA359">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rPr>
      </w:pPr>
      <w:r>
        <w:rPr>
          <w:rFonts w:hint="eastAsia" w:ascii="新宋体" w:hAnsi="新宋体" w:eastAsia="新宋体" w:cs="新宋体"/>
          <w:snapToGrid/>
          <w:color w:val="auto"/>
          <w:w w:val="100"/>
          <w:kern w:val="2"/>
          <w:sz w:val="24"/>
          <w:szCs w:val="24"/>
        </w:rPr>
        <w:t>4.按本协议约定，向乙方支付培训费用。</w:t>
      </w:r>
    </w:p>
    <w:p w14:paraId="5DFF5C73">
      <w:pPr>
        <w:keepNext w:val="0"/>
        <w:keepLines w:val="0"/>
        <w:pageBreakBefore w:val="0"/>
        <w:widowControl w:val="0"/>
        <w:tabs>
          <w:tab w:val="left" w:pos="2460"/>
        </w:tabs>
        <w:kinsoku/>
        <w:wordWrap/>
        <w:overflowPunct/>
        <w:topLinePunct w:val="0"/>
        <w:autoSpaceDE/>
        <w:autoSpaceDN/>
        <w:bidi w:val="0"/>
        <w:adjustRightInd w:val="0"/>
        <w:snapToGrid w:val="0"/>
        <w:spacing w:line="560" w:lineRule="exact"/>
        <w:ind w:firstLine="482" w:firstLineChars="200"/>
        <w:textAlignment w:val="auto"/>
        <w:rPr>
          <w:rFonts w:hint="eastAsia" w:ascii="新宋体" w:hAnsi="新宋体" w:eastAsia="新宋体" w:cs="新宋体"/>
          <w:b/>
          <w:snapToGrid/>
          <w:color w:val="auto"/>
          <w:w w:val="100"/>
          <w:kern w:val="2"/>
          <w:sz w:val="24"/>
          <w:szCs w:val="24"/>
          <w:highlight w:val="none"/>
        </w:rPr>
      </w:pPr>
      <w:r>
        <w:rPr>
          <w:rFonts w:hint="eastAsia" w:ascii="新宋体" w:hAnsi="新宋体" w:eastAsia="新宋体" w:cs="新宋体"/>
          <w:b/>
          <w:snapToGrid/>
          <w:color w:val="auto"/>
          <w:w w:val="100"/>
          <w:kern w:val="2"/>
          <w:sz w:val="24"/>
          <w:szCs w:val="24"/>
          <w:highlight w:val="none"/>
        </w:rPr>
        <w:t>（二）乙方职责</w:t>
      </w:r>
      <w:r>
        <w:rPr>
          <w:rFonts w:hint="eastAsia" w:ascii="新宋体" w:hAnsi="新宋体" w:eastAsia="新宋体" w:cs="新宋体"/>
          <w:b/>
          <w:snapToGrid/>
          <w:color w:val="auto"/>
          <w:w w:val="100"/>
          <w:kern w:val="2"/>
          <w:sz w:val="24"/>
          <w:szCs w:val="24"/>
          <w:highlight w:val="none"/>
        </w:rPr>
        <w:tab/>
      </w:r>
    </w:p>
    <w:p w14:paraId="4969C3E9">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highlight w:val="none"/>
        </w:rPr>
      </w:pPr>
      <w:r>
        <w:rPr>
          <w:rFonts w:hint="eastAsia" w:ascii="新宋体" w:hAnsi="新宋体" w:eastAsia="新宋体" w:cs="新宋体"/>
          <w:snapToGrid/>
          <w:color w:val="auto"/>
          <w:w w:val="100"/>
          <w:kern w:val="2"/>
          <w:sz w:val="24"/>
          <w:szCs w:val="24"/>
          <w:highlight w:val="none"/>
        </w:rPr>
        <w:t>1.乙方根据《湖南省</w:t>
      </w:r>
      <w:r>
        <w:rPr>
          <w:rFonts w:hint="eastAsia" w:ascii="新宋体" w:hAnsi="新宋体" w:eastAsia="新宋体" w:cs="新宋体"/>
          <w:snapToGrid/>
          <w:color w:val="auto"/>
          <w:w w:val="100"/>
          <w:kern w:val="2"/>
          <w:sz w:val="24"/>
          <w:szCs w:val="24"/>
          <w:highlight w:val="none"/>
          <w:lang w:val="en-US" w:eastAsia="zh-CN"/>
        </w:rPr>
        <w:t>2026年</w:t>
      </w:r>
      <w:r>
        <w:rPr>
          <w:rFonts w:hint="eastAsia" w:ascii="新宋体" w:hAnsi="新宋体" w:eastAsia="新宋体" w:cs="新宋体"/>
          <w:snapToGrid/>
          <w:color w:val="auto"/>
          <w:w w:val="100"/>
          <w:kern w:val="2"/>
          <w:sz w:val="24"/>
          <w:szCs w:val="24"/>
          <w:highlight w:val="none"/>
        </w:rPr>
        <w:t>高素质农民</w:t>
      </w:r>
      <w:r>
        <w:rPr>
          <w:rFonts w:hint="eastAsia" w:ascii="新宋体" w:hAnsi="新宋体" w:eastAsia="新宋体" w:cs="新宋体"/>
          <w:snapToGrid/>
          <w:color w:val="auto"/>
          <w:w w:val="100"/>
          <w:kern w:val="2"/>
          <w:sz w:val="24"/>
          <w:szCs w:val="24"/>
          <w:highlight w:val="none"/>
          <w:lang w:val="en-US" w:eastAsia="zh-CN"/>
        </w:rPr>
        <w:t>培</w:t>
      </w:r>
      <w:r>
        <w:rPr>
          <w:rFonts w:hint="eastAsia" w:ascii="新宋体" w:hAnsi="新宋体" w:eastAsia="新宋体" w:cs="新宋体"/>
          <w:snapToGrid/>
          <w:color w:val="auto"/>
          <w:w w:val="100"/>
          <w:kern w:val="2"/>
          <w:sz w:val="24"/>
          <w:szCs w:val="24"/>
          <w:highlight w:val="none"/>
        </w:rPr>
        <w:t>育工作</w:t>
      </w:r>
      <w:r>
        <w:rPr>
          <w:rFonts w:hint="eastAsia" w:ascii="新宋体" w:hAnsi="新宋体" w:eastAsia="新宋体" w:cs="新宋体"/>
          <w:snapToGrid/>
          <w:color w:val="auto"/>
          <w:w w:val="100"/>
          <w:kern w:val="2"/>
          <w:sz w:val="24"/>
          <w:szCs w:val="24"/>
          <w:highlight w:val="none"/>
          <w:lang w:val="en-US" w:eastAsia="zh-CN"/>
        </w:rPr>
        <w:t>实施</w:t>
      </w:r>
      <w:r>
        <w:rPr>
          <w:rFonts w:hint="eastAsia" w:ascii="新宋体" w:hAnsi="新宋体" w:eastAsia="新宋体" w:cs="新宋体"/>
          <w:snapToGrid/>
          <w:color w:val="auto"/>
          <w:w w:val="100"/>
          <w:kern w:val="2"/>
          <w:sz w:val="24"/>
          <w:szCs w:val="24"/>
          <w:highlight w:val="none"/>
        </w:rPr>
        <w:t>方案》、《湖南省高素质农民</w:t>
      </w:r>
      <w:r>
        <w:rPr>
          <w:rFonts w:hint="eastAsia" w:ascii="新宋体" w:hAnsi="新宋体" w:eastAsia="新宋体" w:cs="新宋体"/>
          <w:snapToGrid/>
          <w:color w:val="auto"/>
          <w:w w:val="100"/>
          <w:kern w:val="2"/>
          <w:sz w:val="24"/>
          <w:szCs w:val="24"/>
          <w:highlight w:val="none"/>
          <w:lang w:val="en-US" w:eastAsia="zh-CN"/>
        </w:rPr>
        <w:t>培育</w:t>
      </w:r>
      <w:r>
        <w:rPr>
          <w:rFonts w:hint="eastAsia" w:ascii="新宋体" w:hAnsi="新宋体" w:eastAsia="新宋体" w:cs="新宋体"/>
          <w:snapToGrid/>
          <w:color w:val="auto"/>
          <w:w w:val="100"/>
          <w:kern w:val="2"/>
          <w:sz w:val="24"/>
          <w:szCs w:val="24"/>
          <w:highlight w:val="none"/>
        </w:rPr>
        <w:t>规范》和《</w:t>
      </w:r>
      <w:r>
        <w:rPr>
          <w:rFonts w:hint="eastAsia" w:ascii="新宋体" w:hAnsi="新宋体" w:eastAsia="新宋体" w:cs="新宋体"/>
          <w:snapToGrid/>
          <w:color w:val="auto"/>
          <w:w w:val="100"/>
          <w:kern w:val="2"/>
          <w:sz w:val="24"/>
          <w:szCs w:val="24"/>
          <w:highlight w:val="none"/>
          <w:lang w:val="en-US" w:eastAsia="zh-CN"/>
        </w:rPr>
        <w:t>湘西州</w:t>
      </w:r>
      <w:r>
        <w:rPr>
          <w:rFonts w:hint="eastAsia" w:ascii="新宋体" w:hAnsi="新宋体" w:eastAsia="新宋体" w:cs="新宋体"/>
          <w:snapToGrid/>
          <w:color w:val="auto"/>
          <w:w w:val="100"/>
          <w:kern w:val="2"/>
          <w:sz w:val="24"/>
          <w:szCs w:val="24"/>
          <w:highlight w:val="none"/>
          <w:lang w:eastAsia="zh-CN"/>
        </w:rPr>
        <w:t>202</w:t>
      </w:r>
      <w:r>
        <w:rPr>
          <w:rFonts w:hint="eastAsia" w:ascii="新宋体" w:hAnsi="新宋体" w:eastAsia="新宋体" w:cs="新宋体"/>
          <w:snapToGrid/>
          <w:color w:val="auto"/>
          <w:w w:val="100"/>
          <w:kern w:val="2"/>
          <w:sz w:val="24"/>
          <w:szCs w:val="24"/>
          <w:highlight w:val="none"/>
          <w:lang w:val="en-US" w:eastAsia="zh-CN"/>
        </w:rPr>
        <w:t>6</w:t>
      </w:r>
      <w:r>
        <w:rPr>
          <w:rFonts w:hint="eastAsia" w:ascii="新宋体" w:hAnsi="新宋体" w:eastAsia="新宋体" w:cs="新宋体"/>
          <w:snapToGrid/>
          <w:color w:val="auto"/>
          <w:w w:val="100"/>
          <w:kern w:val="2"/>
          <w:sz w:val="24"/>
          <w:szCs w:val="24"/>
          <w:highlight w:val="none"/>
        </w:rPr>
        <w:t>年高素质农民</w:t>
      </w:r>
      <w:r>
        <w:rPr>
          <w:rFonts w:hint="eastAsia" w:ascii="新宋体" w:hAnsi="新宋体" w:eastAsia="新宋体" w:cs="新宋体"/>
          <w:snapToGrid/>
          <w:color w:val="auto"/>
          <w:w w:val="100"/>
          <w:kern w:val="2"/>
          <w:sz w:val="24"/>
          <w:szCs w:val="24"/>
          <w:highlight w:val="none"/>
          <w:lang w:val="en-US" w:eastAsia="zh-CN"/>
        </w:rPr>
        <w:t>培育</w:t>
      </w:r>
      <w:r>
        <w:rPr>
          <w:rFonts w:hint="eastAsia" w:ascii="新宋体" w:hAnsi="新宋体" w:eastAsia="新宋体" w:cs="新宋体"/>
          <w:snapToGrid/>
          <w:color w:val="auto"/>
          <w:w w:val="100"/>
          <w:kern w:val="2"/>
          <w:sz w:val="24"/>
          <w:szCs w:val="24"/>
          <w:highlight w:val="none"/>
        </w:rPr>
        <w:t>工作</w:t>
      </w:r>
      <w:r>
        <w:rPr>
          <w:rFonts w:hint="eastAsia" w:ascii="新宋体" w:hAnsi="新宋体" w:eastAsia="新宋体" w:cs="新宋体"/>
          <w:snapToGrid/>
          <w:color w:val="auto"/>
          <w:w w:val="100"/>
          <w:kern w:val="2"/>
          <w:sz w:val="24"/>
          <w:szCs w:val="24"/>
          <w:highlight w:val="none"/>
          <w:lang w:val="en-US" w:eastAsia="zh-CN"/>
        </w:rPr>
        <w:t>实施</w:t>
      </w:r>
      <w:r>
        <w:rPr>
          <w:rFonts w:hint="eastAsia" w:ascii="新宋体" w:hAnsi="新宋体" w:eastAsia="新宋体" w:cs="新宋体"/>
          <w:snapToGrid/>
          <w:color w:val="auto"/>
          <w:w w:val="100"/>
          <w:kern w:val="2"/>
          <w:sz w:val="24"/>
          <w:szCs w:val="24"/>
          <w:highlight w:val="none"/>
        </w:rPr>
        <w:t>方案》等文件精神，严格执行</w:t>
      </w:r>
      <w:r>
        <w:rPr>
          <w:rFonts w:hint="eastAsia" w:ascii="新宋体" w:hAnsi="新宋体" w:eastAsia="新宋体" w:cs="新宋体"/>
          <w:snapToGrid/>
          <w:color w:val="auto"/>
          <w:w w:val="100"/>
          <w:kern w:val="2"/>
          <w:sz w:val="24"/>
          <w:szCs w:val="24"/>
          <w:highlight w:val="none"/>
          <w:lang w:val="en-US" w:eastAsia="zh-CN"/>
        </w:rPr>
        <w:t>高素质</w:t>
      </w:r>
      <w:r>
        <w:rPr>
          <w:rFonts w:hint="eastAsia" w:ascii="新宋体" w:hAnsi="新宋体" w:eastAsia="新宋体" w:cs="新宋体"/>
          <w:snapToGrid/>
          <w:color w:val="auto"/>
          <w:w w:val="100"/>
          <w:kern w:val="2"/>
          <w:sz w:val="24"/>
          <w:szCs w:val="24"/>
          <w:highlight w:val="none"/>
        </w:rPr>
        <w:t>农民培育相关制度。</w:t>
      </w:r>
    </w:p>
    <w:p w14:paraId="13A13F43">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rPr>
      </w:pPr>
      <w:r>
        <w:rPr>
          <w:rFonts w:hint="eastAsia" w:ascii="新宋体" w:hAnsi="新宋体" w:eastAsia="新宋体" w:cs="新宋体"/>
          <w:snapToGrid/>
          <w:color w:val="auto"/>
          <w:w w:val="100"/>
          <w:kern w:val="2"/>
          <w:sz w:val="24"/>
          <w:szCs w:val="24"/>
        </w:rPr>
        <w:t>2.乙方根据农民特点和培训要求，科学制定培训方案、教学管理方案、实习实训方案等规范性资料，合理安排课程与教学进度、实训实习等，做到“一班一案”。</w:t>
      </w:r>
    </w:p>
    <w:p w14:paraId="3E5593AD">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rPr>
      </w:pPr>
      <w:r>
        <w:rPr>
          <w:rFonts w:hint="eastAsia" w:ascii="新宋体" w:hAnsi="新宋体" w:eastAsia="新宋体" w:cs="新宋体"/>
          <w:snapToGrid/>
          <w:color w:val="auto"/>
          <w:w w:val="100"/>
          <w:kern w:val="2"/>
          <w:sz w:val="24"/>
          <w:szCs w:val="24"/>
        </w:rPr>
        <w:t>3.乙方安排专职班主任管理，聘请符合要求的专家、教师授课，提供满足本期培训专业要求的教室、实训场地、实训设备、实训消耗材料，根据甲方要求安排跟踪服务工作。</w:t>
      </w:r>
    </w:p>
    <w:p w14:paraId="0AB6D81C">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highlight w:val="none"/>
        </w:rPr>
      </w:pPr>
      <w:r>
        <w:rPr>
          <w:rFonts w:hint="eastAsia" w:ascii="新宋体" w:hAnsi="新宋体" w:eastAsia="新宋体" w:cs="新宋体"/>
          <w:snapToGrid/>
          <w:color w:val="auto"/>
          <w:w w:val="100"/>
          <w:kern w:val="2"/>
          <w:sz w:val="24"/>
          <w:szCs w:val="24"/>
          <w:highlight w:val="none"/>
        </w:rPr>
        <w:t>4.乙方对培训期间学员的人身和财产安全承担主体责任。乙方法定代表人为本项目安全工作的第一责任人，对安全管理工作负直接领导责任，应亲自组织制定安全管理制度、督促落实安全措施、及时消除安全隐患。因乙方或其工作人员未尽到安全保障义务造成学员人身、财产损害的，由乙方依法承担相应法律责任，乙方法定代表人承担直接管理责任。</w:t>
      </w:r>
    </w:p>
    <w:p w14:paraId="7C674848">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rPr>
      </w:pPr>
      <w:r>
        <w:rPr>
          <w:rFonts w:hint="eastAsia" w:ascii="新宋体" w:hAnsi="新宋体" w:eastAsia="新宋体" w:cs="新宋体"/>
          <w:snapToGrid/>
          <w:color w:val="auto"/>
          <w:w w:val="100"/>
          <w:kern w:val="2"/>
          <w:sz w:val="24"/>
          <w:szCs w:val="24"/>
        </w:rPr>
        <w:t>5.乙方加强教学管理，为每位学员发放</w:t>
      </w:r>
      <w:r>
        <w:rPr>
          <w:rFonts w:hint="eastAsia" w:ascii="新宋体" w:hAnsi="新宋体" w:eastAsia="新宋体" w:cs="新宋体"/>
          <w:snapToGrid/>
          <w:color w:val="auto"/>
          <w:w w:val="100"/>
          <w:kern w:val="2"/>
          <w:sz w:val="24"/>
          <w:szCs w:val="24"/>
          <w:lang w:eastAsia="zh-CN"/>
        </w:rPr>
        <w:t>符合农业农村部门要求的</w:t>
      </w:r>
      <w:r>
        <w:rPr>
          <w:rFonts w:hint="eastAsia" w:ascii="新宋体" w:hAnsi="新宋体" w:eastAsia="新宋体" w:cs="新宋体"/>
          <w:snapToGrid/>
          <w:color w:val="auto"/>
          <w:w w:val="100"/>
          <w:kern w:val="2"/>
          <w:sz w:val="24"/>
          <w:szCs w:val="24"/>
        </w:rPr>
        <w:t>教材，提高教学水平，确保</w:t>
      </w:r>
      <w:r>
        <w:rPr>
          <w:rFonts w:hint="eastAsia" w:ascii="新宋体" w:hAnsi="新宋体" w:eastAsia="新宋体" w:cs="新宋体"/>
          <w:snapToGrid/>
          <w:color w:val="auto"/>
          <w:w w:val="100"/>
          <w:kern w:val="2"/>
          <w:sz w:val="24"/>
          <w:szCs w:val="24"/>
          <w:lang w:eastAsia="zh-CN"/>
        </w:rPr>
        <w:t>学员满意率</w:t>
      </w:r>
      <w:r>
        <w:rPr>
          <w:rFonts w:hint="eastAsia" w:ascii="新宋体" w:hAnsi="新宋体" w:eastAsia="新宋体" w:cs="新宋体"/>
          <w:snapToGrid/>
          <w:color w:val="auto"/>
          <w:w w:val="100"/>
          <w:kern w:val="2"/>
          <w:sz w:val="24"/>
          <w:szCs w:val="24"/>
          <w:lang w:val="en-US" w:eastAsia="zh-CN"/>
        </w:rPr>
        <w:t>95%以上、</w:t>
      </w:r>
      <w:r>
        <w:rPr>
          <w:rFonts w:hint="eastAsia" w:ascii="新宋体" w:hAnsi="新宋体" w:eastAsia="新宋体" w:cs="新宋体"/>
          <w:snapToGrid/>
          <w:color w:val="auto"/>
          <w:w w:val="100"/>
          <w:kern w:val="2"/>
          <w:sz w:val="24"/>
          <w:szCs w:val="24"/>
        </w:rPr>
        <w:t>结业率达100%。</w:t>
      </w:r>
    </w:p>
    <w:p w14:paraId="0907FE51">
      <w:pPr>
        <w:keepNext w:val="0"/>
        <w:keepLines w:val="0"/>
        <w:pageBreakBefore w:val="0"/>
        <w:widowControl w:val="0"/>
        <w:tabs>
          <w:tab w:val="left" w:pos="4500"/>
          <w:tab w:val="left" w:pos="4680"/>
        </w:tabs>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lang w:val="en-US" w:eastAsia="zh-CN"/>
        </w:rPr>
      </w:pPr>
      <w:r>
        <w:rPr>
          <w:rFonts w:hint="eastAsia" w:ascii="新宋体" w:hAnsi="新宋体" w:eastAsia="新宋体" w:cs="新宋体"/>
          <w:snapToGrid/>
          <w:color w:val="auto"/>
          <w:w w:val="100"/>
          <w:kern w:val="2"/>
          <w:sz w:val="24"/>
          <w:szCs w:val="24"/>
        </w:rPr>
        <w:t>6.乙方须按规定做好学员培训项目</w:t>
      </w:r>
      <w:r>
        <w:rPr>
          <w:rFonts w:hint="eastAsia" w:ascii="新宋体" w:hAnsi="新宋体" w:eastAsia="新宋体" w:cs="新宋体"/>
          <w:snapToGrid/>
          <w:color w:val="auto"/>
          <w:w w:val="100"/>
          <w:kern w:val="2"/>
          <w:sz w:val="24"/>
          <w:szCs w:val="24"/>
          <w:lang w:eastAsia="zh-CN"/>
        </w:rPr>
        <w:t>台账</w:t>
      </w:r>
      <w:r>
        <w:rPr>
          <w:rFonts w:hint="eastAsia" w:ascii="新宋体" w:hAnsi="新宋体" w:eastAsia="新宋体" w:cs="新宋体"/>
          <w:snapToGrid/>
          <w:color w:val="auto"/>
          <w:w w:val="100"/>
          <w:kern w:val="2"/>
          <w:sz w:val="24"/>
          <w:szCs w:val="24"/>
        </w:rPr>
        <w:t>（档案）等培训资料汇编，连同电子档在培训结束后20日内报至甲方。</w:t>
      </w:r>
    </w:p>
    <w:p w14:paraId="43F02E49">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rPr>
      </w:pPr>
      <w:r>
        <w:rPr>
          <w:rFonts w:hint="eastAsia" w:ascii="新宋体" w:hAnsi="新宋体" w:eastAsia="新宋体" w:cs="新宋体"/>
          <w:snapToGrid/>
          <w:color w:val="auto"/>
          <w:w w:val="100"/>
          <w:kern w:val="2"/>
          <w:sz w:val="24"/>
          <w:szCs w:val="24"/>
        </w:rPr>
        <w:t>7.学员培训期间，乙方不得以任何名义向学员收取其他费用，不得随意、擅自调整教学计划和培训、实习实训课时。</w:t>
      </w:r>
    </w:p>
    <w:p w14:paraId="5744782F">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rPr>
      </w:pPr>
      <w:r>
        <w:rPr>
          <w:rFonts w:hint="eastAsia" w:ascii="新宋体" w:hAnsi="新宋体" w:eastAsia="新宋体" w:cs="新宋体"/>
          <w:snapToGrid/>
          <w:color w:val="auto"/>
          <w:w w:val="100"/>
          <w:kern w:val="2"/>
          <w:sz w:val="24"/>
          <w:szCs w:val="24"/>
        </w:rPr>
        <w:t>8．乙方不能借助甲方名义做有损害甲方利益的活动。</w:t>
      </w:r>
    </w:p>
    <w:p w14:paraId="62FB91E5">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lang w:eastAsia="zh-CN"/>
        </w:rPr>
      </w:pPr>
      <w:r>
        <w:rPr>
          <w:rFonts w:hint="eastAsia" w:ascii="新宋体" w:hAnsi="新宋体" w:eastAsia="新宋体" w:cs="新宋体"/>
          <w:snapToGrid/>
          <w:color w:val="auto"/>
          <w:w w:val="100"/>
          <w:kern w:val="2"/>
          <w:sz w:val="24"/>
          <w:szCs w:val="24"/>
          <w:lang w:val="en-US" w:eastAsia="zh-CN"/>
        </w:rPr>
        <w:t>9.</w:t>
      </w:r>
      <w:r>
        <w:rPr>
          <w:rFonts w:hint="eastAsia" w:ascii="新宋体" w:hAnsi="新宋体" w:eastAsia="新宋体" w:cs="新宋体"/>
          <w:snapToGrid/>
          <w:color w:val="auto"/>
          <w:w w:val="100"/>
          <w:kern w:val="2"/>
          <w:sz w:val="24"/>
          <w:szCs w:val="24"/>
        </w:rPr>
        <w:t>培育资金的管理使用:培训资金设立专账管理，以备各级</w:t>
      </w:r>
      <w:r>
        <w:rPr>
          <w:rFonts w:hint="eastAsia" w:ascii="新宋体" w:hAnsi="新宋体" w:eastAsia="新宋体" w:cs="新宋体"/>
          <w:snapToGrid/>
          <w:color w:val="auto"/>
          <w:w w:val="100"/>
          <w:kern w:val="2"/>
          <w:sz w:val="24"/>
          <w:szCs w:val="24"/>
          <w:lang w:eastAsia="zh-CN"/>
        </w:rPr>
        <w:t>行政主管部门及相关</w:t>
      </w:r>
      <w:r>
        <w:rPr>
          <w:rFonts w:hint="eastAsia" w:ascii="新宋体" w:hAnsi="新宋体" w:eastAsia="新宋体" w:cs="新宋体"/>
          <w:snapToGrid/>
          <w:color w:val="auto"/>
          <w:w w:val="100"/>
          <w:kern w:val="2"/>
          <w:sz w:val="24"/>
          <w:szCs w:val="24"/>
        </w:rPr>
        <w:t>督查机构审查。</w:t>
      </w:r>
      <w:r>
        <w:rPr>
          <w:rFonts w:hint="eastAsia" w:ascii="新宋体" w:hAnsi="新宋体" w:eastAsia="新宋体" w:cs="新宋体"/>
          <w:snapToGrid/>
          <w:color w:val="auto"/>
          <w:w w:val="100"/>
          <w:kern w:val="2"/>
          <w:sz w:val="24"/>
          <w:szCs w:val="24"/>
          <w:lang w:val="en-US" w:eastAsia="zh-CN"/>
        </w:rPr>
        <w:t>资金</w:t>
      </w:r>
      <w:r>
        <w:rPr>
          <w:rFonts w:hint="eastAsia" w:ascii="新宋体" w:hAnsi="新宋体" w:eastAsia="新宋体" w:cs="新宋体"/>
          <w:snapToGrid/>
          <w:color w:val="auto"/>
          <w:w w:val="100"/>
          <w:kern w:val="2"/>
          <w:sz w:val="24"/>
          <w:szCs w:val="24"/>
        </w:rPr>
        <w:t>只能用于培育学员的食宿、讲课费</w:t>
      </w:r>
      <w:r>
        <w:rPr>
          <w:rFonts w:hint="eastAsia" w:ascii="新宋体" w:hAnsi="新宋体" w:eastAsia="新宋体" w:cs="新宋体"/>
          <w:snapToGrid/>
          <w:color w:val="auto"/>
          <w:w w:val="100"/>
          <w:kern w:val="2"/>
          <w:sz w:val="24"/>
          <w:szCs w:val="24"/>
          <w:lang w:eastAsia="zh-CN"/>
        </w:rPr>
        <w:t>、</w:t>
      </w:r>
      <w:r>
        <w:rPr>
          <w:rFonts w:hint="eastAsia" w:ascii="新宋体" w:hAnsi="新宋体" w:eastAsia="新宋体" w:cs="新宋体"/>
          <w:snapToGrid/>
          <w:color w:val="auto"/>
          <w:w w:val="100"/>
          <w:kern w:val="2"/>
          <w:sz w:val="24"/>
          <w:szCs w:val="24"/>
        </w:rPr>
        <w:t>实践操作、购买教材资料</w:t>
      </w:r>
      <w:r>
        <w:rPr>
          <w:rFonts w:hint="eastAsia" w:ascii="新宋体" w:hAnsi="新宋体" w:eastAsia="新宋体" w:cs="新宋体"/>
          <w:snapToGrid/>
          <w:color w:val="auto"/>
          <w:w w:val="100"/>
          <w:kern w:val="2"/>
          <w:sz w:val="24"/>
          <w:szCs w:val="24"/>
          <w:lang w:eastAsia="zh-CN"/>
        </w:rPr>
        <w:t>、</w:t>
      </w:r>
      <w:r>
        <w:rPr>
          <w:rFonts w:hint="eastAsia" w:ascii="新宋体" w:hAnsi="新宋体" w:eastAsia="新宋体" w:cs="新宋体"/>
          <w:snapToGrid/>
          <w:color w:val="auto"/>
          <w:w w:val="100"/>
          <w:kern w:val="2"/>
          <w:sz w:val="24"/>
          <w:szCs w:val="24"/>
          <w:lang w:val="en-US" w:eastAsia="zh-CN"/>
        </w:rPr>
        <w:t>教学相关物料</w:t>
      </w:r>
      <w:r>
        <w:rPr>
          <w:rFonts w:hint="eastAsia" w:ascii="新宋体" w:hAnsi="新宋体" w:eastAsia="新宋体" w:cs="新宋体"/>
          <w:snapToGrid/>
          <w:color w:val="auto"/>
          <w:w w:val="100"/>
          <w:kern w:val="2"/>
          <w:sz w:val="24"/>
          <w:szCs w:val="24"/>
        </w:rPr>
        <w:t>、交通</w:t>
      </w:r>
      <w:r>
        <w:rPr>
          <w:rFonts w:hint="eastAsia" w:ascii="新宋体" w:hAnsi="新宋体" w:eastAsia="新宋体" w:cs="新宋体"/>
          <w:snapToGrid/>
          <w:color w:val="auto"/>
          <w:w w:val="100"/>
          <w:kern w:val="2"/>
          <w:sz w:val="24"/>
          <w:szCs w:val="24"/>
          <w:lang w:val="en-US" w:eastAsia="zh-CN"/>
        </w:rPr>
        <w:t>费</w:t>
      </w:r>
      <w:r>
        <w:rPr>
          <w:rFonts w:hint="eastAsia" w:ascii="新宋体" w:hAnsi="新宋体" w:eastAsia="新宋体" w:cs="新宋体"/>
          <w:snapToGrid/>
          <w:color w:val="auto"/>
          <w:w w:val="100"/>
          <w:kern w:val="2"/>
          <w:sz w:val="24"/>
          <w:szCs w:val="24"/>
        </w:rPr>
        <w:t>，宣传费等</w:t>
      </w:r>
      <w:r>
        <w:rPr>
          <w:rFonts w:hint="eastAsia" w:ascii="新宋体" w:hAnsi="新宋体" w:eastAsia="新宋体" w:cs="新宋体"/>
          <w:snapToGrid/>
          <w:color w:val="auto"/>
          <w:w w:val="100"/>
          <w:kern w:val="2"/>
          <w:sz w:val="24"/>
          <w:szCs w:val="24"/>
          <w:lang w:eastAsia="zh-CN"/>
        </w:rPr>
        <w:t>培训工作相关费用。</w:t>
      </w:r>
    </w:p>
    <w:p w14:paraId="2A04B80C">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lang w:val="en-US" w:eastAsia="zh-CN"/>
        </w:rPr>
      </w:pPr>
      <w:r>
        <w:rPr>
          <w:rFonts w:hint="eastAsia" w:ascii="新宋体" w:hAnsi="新宋体" w:eastAsia="新宋体" w:cs="新宋体"/>
          <w:snapToGrid/>
          <w:color w:val="auto"/>
          <w:w w:val="100"/>
          <w:kern w:val="2"/>
          <w:sz w:val="24"/>
          <w:szCs w:val="24"/>
          <w:lang w:val="en-US" w:eastAsia="zh-CN"/>
        </w:rPr>
        <w:t>10.</w:t>
      </w:r>
      <w:r>
        <w:rPr>
          <w:rFonts w:hint="eastAsia" w:ascii="新宋体" w:hAnsi="新宋体" w:eastAsia="新宋体" w:cs="新宋体"/>
          <w:snapToGrid/>
          <w:color w:val="auto"/>
          <w:w w:val="100"/>
          <w:kern w:val="2"/>
          <w:sz w:val="24"/>
          <w:szCs w:val="24"/>
          <w:lang w:eastAsia="zh-CN"/>
        </w:rPr>
        <w:t>建立台帐:培训中必须建立培育档</w:t>
      </w:r>
      <w:r>
        <w:rPr>
          <w:rFonts w:hint="eastAsia" w:ascii="新宋体" w:hAnsi="新宋体" w:eastAsia="新宋体" w:cs="新宋体"/>
          <w:snapToGrid/>
          <w:color w:val="auto"/>
          <w:w w:val="100"/>
          <w:kern w:val="2"/>
          <w:sz w:val="24"/>
          <w:szCs w:val="24"/>
          <w:lang w:val="en-US" w:eastAsia="zh-CN"/>
        </w:rPr>
        <w:t>案</w:t>
      </w:r>
      <w:r>
        <w:rPr>
          <w:rFonts w:hint="eastAsia" w:ascii="新宋体" w:hAnsi="新宋体" w:eastAsia="新宋体" w:cs="新宋体"/>
          <w:snapToGrid/>
          <w:color w:val="auto"/>
          <w:w w:val="100"/>
          <w:kern w:val="2"/>
          <w:sz w:val="24"/>
          <w:szCs w:val="24"/>
          <w:lang w:eastAsia="zh-CN"/>
        </w:rPr>
        <w:t>。培育档案要记录受训农民姓名、年龄、性别、身份证号、培育专业、培育时间和联系电话等，学校对台帐的真实性负责。</w:t>
      </w:r>
      <w:r>
        <w:rPr>
          <w:rFonts w:hint="eastAsia" w:ascii="新宋体" w:hAnsi="新宋体" w:eastAsia="新宋体" w:cs="新宋体"/>
          <w:snapToGrid/>
          <w:color w:val="auto"/>
          <w:w w:val="100"/>
          <w:kern w:val="2"/>
          <w:sz w:val="24"/>
          <w:szCs w:val="24"/>
          <w:lang w:val="en-US" w:eastAsia="zh-CN"/>
        </w:rPr>
        <w:t>并根据相关要求及时将学员信息录入农民教育培训信息管理系统。</w:t>
      </w:r>
    </w:p>
    <w:p w14:paraId="3024EA51">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lang w:val="en-US" w:eastAsia="zh-CN"/>
        </w:rPr>
      </w:pPr>
      <w:r>
        <w:rPr>
          <w:rFonts w:hint="eastAsia" w:ascii="新宋体" w:hAnsi="新宋体" w:eastAsia="新宋体" w:cs="新宋体"/>
          <w:snapToGrid/>
          <w:color w:val="auto"/>
          <w:w w:val="100"/>
          <w:kern w:val="2"/>
          <w:sz w:val="24"/>
          <w:szCs w:val="24"/>
          <w:lang w:val="en-US" w:eastAsia="zh-CN"/>
        </w:rPr>
        <w:t>11.按需求落实宣传推介工作，在中央、省级媒体发布宣传新闻稿，挖掘培育宣传典型案例和优秀学员。</w:t>
      </w:r>
    </w:p>
    <w:p w14:paraId="3737131E">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lang w:val="en-US" w:eastAsia="zh-CN"/>
        </w:rPr>
      </w:pPr>
      <w:r>
        <w:rPr>
          <w:rFonts w:hint="eastAsia" w:ascii="新宋体" w:hAnsi="新宋体" w:eastAsia="新宋体" w:cs="新宋体"/>
          <w:snapToGrid/>
          <w:color w:val="auto"/>
          <w:w w:val="100"/>
          <w:kern w:val="2"/>
          <w:sz w:val="24"/>
          <w:szCs w:val="24"/>
          <w:lang w:val="en-US" w:eastAsia="zh-CN"/>
        </w:rPr>
        <w:t>12.乙方按要求要在培训结束后一年内，对学员开展不少于2次的跟踪服务，人员覆盖面不少于60%。</w:t>
      </w:r>
    </w:p>
    <w:p w14:paraId="702C1142">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lang w:val="en-US" w:eastAsia="zh-CN"/>
        </w:rPr>
      </w:pPr>
      <w:r>
        <w:rPr>
          <w:rFonts w:hint="eastAsia" w:ascii="新宋体" w:hAnsi="新宋体" w:eastAsia="新宋体" w:cs="新宋体"/>
          <w:snapToGrid/>
          <w:color w:val="auto"/>
          <w:w w:val="100"/>
          <w:kern w:val="2"/>
          <w:sz w:val="24"/>
          <w:szCs w:val="24"/>
          <w:lang w:val="en-US" w:eastAsia="zh-CN"/>
        </w:rPr>
        <w:t>13.乙方未按本合同约定履行培训、跟踪服务等义务的，应承担相应责任，甲方有权视情节扣减培训费用；擅自转包、分包的，甲方有权解除合同并追回已付费用。</w:t>
      </w:r>
    </w:p>
    <w:p w14:paraId="61B36703">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textAlignment w:val="auto"/>
        <w:rPr>
          <w:rFonts w:hint="eastAsia" w:ascii="新宋体" w:hAnsi="新宋体" w:eastAsia="新宋体" w:cs="新宋体"/>
          <w:b/>
          <w:snapToGrid/>
          <w:color w:val="auto"/>
          <w:w w:val="100"/>
          <w:kern w:val="2"/>
          <w:sz w:val="24"/>
          <w:szCs w:val="24"/>
        </w:rPr>
      </w:pPr>
      <w:r>
        <w:rPr>
          <w:rFonts w:hint="eastAsia" w:ascii="新宋体" w:hAnsi="新宋体" w:eastAsia="新宋体" w:cs="新宋体"/>
          <w:b/>
          <w:snapToGrid/>
          <w:color w:val="auto"/>
          <w:w w:val="100"/>
          <w:kern w:val="2"/>
          <w:sz w:val="24"/>
          <w:szCs w:val="24"/>
          <w:lang w:eastAsia="zh-CN"/>
        </w:rPr>
        <w:t>六</w:t>
      </w:r>
      <w:r>
        <w:rPr>
          <w:rFonts w:hint="eastAsia" w:ascii="新宋体" w:hAnsi="新宋体" w:eastAsia="新宋体" w:cs="新宋体"/>
          <w:b/>
          <w:snapToGrid/>
          <w:color w:val="auto"/>
          <w:w w:val="100"/>
          <w:kern w:val="2"/>
          <w:sz w:val="24"/>
          <w:szCs w:val="24"/>
        </w:rPr>
        <w:t xml:space="preserve">、其他事项 </w:t>
      </w:r>
    </w:p>
    <w:p w14:paraId="64221EF3">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b/>
          <w:snapToGrid/>
          <w:color w:val="auto"/>
          <w:w w:val="100"/>
          <w:kern w:val="2"/>
          <w:sz w:val="24"/>
          <w:szCs w:val="24"/>
        </w:rPr>
      </w:pPr>
      <w:r>
        <w:rPr>
          <w:rFonts w:hint="eastAsia" w:ascii="新宋体" w:hAnsi="新宋体" w:eastAsia="新宋体" w:cs="新宋体"/>
          <w:b w:val="0"/>
          <w:bCs/>
          <w:snapToGrid/>
          <w:color w:val="auto"/>
          <w:w w:val="100"/>
          <w:kern w:val="2"/>
          <w:sz w:val="24"/>
          <w:szCs w:val="24"/>
        </w:rPr>
        <w:t>1.</w:t>
      </w:r>
      <w:r>
        <w:rPr>
          <w:rFonts w:hint="eastAsia" w:ascii="新宋体" w:hAnsi="新宋体" w:eastAsia="新宋体" w:cs="新宋体"/>
          <w:snapToGrid/>
          <w:color w:val="auto"/>
          <w:w w:val="100"/>
          <w:kern w:val="2"/>
          <w:sz w:val="24"/>
          <w:szCs w:val="24"/>
        </w:rPr>
        <w:t>乙方承接的高素质农民教育培训，严禁转包、分包。</w:t>
      </w:r>
    </w:p>
    <w:p w14:paraId="4E3F1579">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新宋体" w:hAnsi="新宋体" w:eastAsia="新宋体" w:cs="新宋体"/>
          <w:snapToGrid/>
          <w:color w:val="auto"/>
          <w:w w:val="100"/>
          <w:kern w:val="2"/>
          <w:sz w:val="24"/>
          <w:szCs w:val="24"/>
          <w:lang w:val="en-US" w:eastAsia="zh-CN"/>
        </w:rPr>
      </w:pPr>
      <w:r>
        <w:rPr>
          <w:rFonts w:hint="eastAsia" w:ascii="新宋体" w:hAnsi="新宋体" w:eastAsia="新宋体" w:cs="新宋体"/>
          <w:b w:val="0"/>
          <w:bCs/>
          <w:snapToGrid/>
          <w:color w:val="auto"/>
          <w:w w:val="100"/>
          <w:kern w:val="2"/>
          <w:sz w:val="24"/>
          <w:szCs w:val="24"/>
        </w:rPr>
        <w:t>2.</w:t>
      </w:r>
      <w:r>
        <w:rPr>
          <w:rFonts w:hint="eastAsia" w:ascii="新宋体" w:hAnsi="新宋体" w:eastAsia="新宋体" w:cs="新宋体"/>
          <w:snapToGrid/>
          <w:color w:val="auto"/>
          <w:w w:val="100"/>
          <w:kern w:val="2"/>
          <w:sz w:val="24"/>
          <w:szCs w:val="24"/>
        </w:rPr>
        <w:t>甲乙双方须严格遵守本协议，</w:t>
      </w:r>
      <w:r>
        <w:rPr>
          <w:rFonts w:hint="eastAsia" w:ascii="新宋体" w:hAnsi="新宋体" w:eastAsia="新宋体" w:cs="新宋体"/>
          <w:snapToGrid/>
          <w:color w:val="auto"/>
          <w:w w:val="100"/>
          <w:kern w:val="2"/>
          <w:sz w:val="24"/>
          <w:szCs w:val="24"/>
          <w:lang w:eastAsia="zh-CN"/>
        </w:rPr>
        <w:t>无特殊情况</w:t>
      </w:r>
      <w:r>
        <w:rPr>
          <w:rFonts w:hint="eastAsia" w:ascii="新宋体" w:hAnsi="新宋体" w:eastAsia="新宋体" w:cs="新宋体"/>
          <w:snapToGrid/>
          <w:color w:val="auto"/>
          <w:w w:val="100"/>
          <w:kern w:val="2"/>
          <w:sz w:val="24"/>
          <w:szCs w:val="24"/>
        </w:rPr>
        <w:t>任何一方不得单方终止或变更本协议。任何一方违约给对方造成损失的，应依法承担赔偿责任。</w:t>
      </w:r>
      <w:r>
        <w:rPr>
          <w:rFonts w:hint="eastAsia" w:ascii="新宋体" w:hAnsi="新宋体" w:eastAsia="新宋体" w:cs="新宋体"/>
          <w:snapToGrid/>
          <w:color w:val="auto"/>
          <w:w w:val="100"/>
          <w:kern w:val="2"/>
          <w:sz w:val="24"/>
          <w:szCs w:val="24"/>
          <w:lang w:eastAsia="zh-CN"/>
        </w:rPr>
        <w:t>本协议未尽事宜，农业农村部农村社会事业促进司、湖南省农业农村厅相关文件有明确规定的，以文件规定为准，其余</w:t>
      </w:r>
      <w:r>
        <w:rPr>
          <w:rFonts w:hint="eastAsia" w:ascii="新宋体" w:hAnsi="新宋体" w:eastAsia="新宋体" w:cs="新宋体"/>
          <w:snapToGrid/>
          <w:color w:val="auto"/>
          <w:w w:val="100"/>
          <w:kern w:val="2"/>
          <w:sz w:val="24"/>
          <w:szCs w:val="24"/>
        </w:rPr>
        <w:t>事宜双方另行友好协商解决。</w:t>
      </w:r>
      <w:r>
        <w:rPr>
          <w:rFonts w:hint="eastAsia" w:ascii="新宋体" w:hAnsi="新宋体" w:eastAsia="新宋体" w:cs="新宋体"/>
          <w:snapToGrid/>
          <w:color w:val="auto"/>
          <w:w w:val="100"/>
          <w:kern w:val="2"/>
          <w:sz w:val="24"/>
          <w:szCs w:val="24"/>
          <w:lang w:val="en-US" w:eastAsia="zh-CN"/>
        </w:rPr>
        <w:t>协商解决不成的，均可向甲方所在地人民法院诉讼解决。</w:t>
      </w:r>
    </w:p>
    <w:p w14:paraId="4EB7DA6D">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480" w:firstLineChars="200"/>
        <w:textAlignment w:val="auto"/>
        <w:rPr>
          <w:rFonts w:hint="eastAsia" w:ascii="新宋体" w:hAnsi="新宋体" w:eastAsia="新宋体" w:cs="新宋体"/>
          <w:snapToGrid/>
          <w:color w:val="auto"/>
          <w:w w:val="100"/>
          <w:kern w:val="2"/>
          <w:sz w:val="24"/>
          <w:szCs w:val="24"/>
        </w:rPr>
      </w:pPr>
      <w:r>
        <w:rPr>
          <w:rFonts w:hint="eastAsia" w:ascii="新宋体" w:hAnsi="新宋体" w:eastAsia="新宋体" w:cs="新宋体"/>
          <w:b w:val="0"/>
          <w:bCs/>
          <w:snapToGrid/>
          <w:color w:val="auto"/>
          <w:w w:val="100"/>
          <w:kern w:val="2"/>
          <w:sz w:val="24"/>
          <w:szCs w:val="24"/>
        </w:rPr>
        <w:t>3.</w:t>
      </w:r>
      <w:r>
        <w:rPr>
          <w:rFonts w:hint="eastAsia" w:ascii="新宋体" w:hAnsi="新宋体" w:eastAsia="新宋体" w:cs="新宋体"/>
          <w:snapToGrid/>
          <w:color w:val="auto"/>
          <w:w w:val="100"/>
          <w:kern w:val="2"/>
          <w:sz w:val="24"/>
          <w:szCs w:val="24"/>
        </w:rPr>
        <w:t>本协议一式</w:t>
      </w:r>
      <w:r>
        <w:rPr>
          <w:rFonts w:hint="eastAsia" w:ascii="新宋体" w:hAnsi="新宋体" w:eastAsia="新宋体" w:cs="新宋体"/>
          <w:snapToGrid/>
          <w:color w:val="auto"/>
          <w:w w:val="100"/>
          <w:kern w:val="2"/>
          <w:sz w:val="24"/>
          <w:szCs w:val="24"/>
          <w:lang w:val="en-US" w:eastAsia="zh-CN"/>
        </w:rPr>
        <w:t>肆</w:t>
      </w:r>
      <w:r>
        <w:rPr>
          <w:rFonts w:hint="eastAsia" w:ascii="新宋体" w:hAnsi="新宋体" w:eastAsia="新宋体" w:cs="新宋体"/>
          <w:snapToGrid/>
          <w:color w:val="auto"/>
          <w:w w:val="100"/>
          <w:kern w:val="2"/>
          <w:sz w:val="24"/>
          <w:szCs w:val="24"/>
        </w:rPr>
        <w:t>份，双方各执</w:t>
      </w:r>
      <w:r>
        <w:rPr>
          <w:rFonts w:hint="eastAsia" w:ascii="新宋体" w:hAnsi="新宋体" w:eastAsia="新宋体" w:cs="新宋体"/>
          <w:snapToGrid/>
          <w:color w:val="auto"/>
          <w:w w:val="100"/>
          <w:kern w:val="2"/>
          <w:sz w:val="24"/>
          <w:szCs w:val="24"/>
          <w:lang w:val="en-US" w:eastAsia="zh-CN"/>
        </w:rPr>
        <w:t>贰</w:t>
      </w:r>
      <w:r>
        <w:rPr>
          <w:rFonts w:hint="eastAsia" w:ascii="新宋体" w:hAnsi="新宋体" w:eastAsia="新宋体" w:cs="新宋体"/>
          <w:snapToGrid/>
          <w:color w:val="auto"/>
          <w:w w:val="100"/>
          <w:kern w:val="2"/>
          <w:sz w:val="24"/>
          <w:szCs w:val="24"/>
        </w:rPr>
        <w:t>份，</w:t>
      </w:r>
      <w:r>
        <w:rPr>
          <w:rFonts w:hint="eastAsia" w:ascii="新宋体" w:hAnsi="新宋体" w:eastAsia="新宋体" w:cs="新宋体"/>
          <w:snapToGrid/>
          <w:color w:val="auto"/>
          <w:w w:val="100"/>
          <w:kern w:val="2"/>
          <w:sz w:val="24"/>
          <w:szCs w:val="24"/>
          <w:lang w:val="en-US" w:eastAsia="zh-CN"/>
        </w:rPr>
        <w:t>双方授权代表</w:t>
      </w:r>
      <w:r>
        <w:rPr>
          <w:rFonts w:hint="eastAsia" w:ascii="新宋体" w:hAnsi="新宋体" w:eastAsia="新宋体" w:cs="新宋体"/>
          <w:snapToGrid/>
          <w:color w:val="auto"/>
          <w:w w:val="100"/>
          <w:kern w:val="2"/>
          <w:sz w:val="24"/>
          <w:szCs w:val="24"/>
        </w:rPr>
        <w:t>签字盖章后生效，</w:t>
      </w:r>
      <w:r>
        <w:rPr>
          <w:rFonts w:hint="eastAsia" w:ascii="新宋体" w:hAnsi="新宋体" w:eastAsia="新宋体" w:cs="新宋体"/>
          <w:snapToGrid/>
          <w:color w:val="auto"/>
          <w:w w:val="100"/>
          <w:kern w:val="2"/>
          <w:sz w:val="24"/>
          <w:szCs w:val="24"/>
          <w:lang w:val="en-US" w:eastAsia="zh-CN"/>
        </w:rPr>
        <w:t>双方权利义务履行完毕后</w:t>
      </w:r>
      <w:r>
        <w:rPr>
          <w:rFonts w:hint="eastAsia" w:ascii="新宋体" w:hAnsi="新宋体" w:eastAsia="新宋体" w:cs="新宋体"/>
          <w:snapToGrid/>
          <w:color w:val="auto"/>
          <w:w w:val="100"/>
          <w:kern w:val="2"/>
          <w:sz w:val="24"/>
          <w:szCs w:val="24"/>
        </w:rPr>
        <w:t>自动终止。</w:t>
      </w:r>
    </w:p>
    <w:p w14:paraId="7CBB85B2">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480" w:firstLineChars="200"/>
        <w:textAlignment w:val="auto"/>
        <w:rPr>
          <w:rFonts w:hint="eastAsia" w:ascii="新宋体" w:hAnsi="新宋体" w:eastAsia="新宋体" w:cs="新宋体"/>
          <w:snapToGrid/>
          <w:color w:val="auto"/>
          <w:w w:val="100"/>
          <w:kern w:val="2"/>
          <w:sz w:val="24"/>
          <w:szCs w:val="24"/>
          <w:lang w:val="en-US" w:eastAsia="zh-CN"/>
        </w:rPr>
      </w:pPr>
      <w:r>
        <w:rPr>
          <w:rFonts w:hint="eastAsia" w:ascii="新宋体" w:hAnsi="新宋体" w:eastAsia="新宋体" w:cs="新宋体"/>
          <w:snapToGrid/>
          <w:color w:val="auto"/>
          <w:w w:val="100"/>
          <w:kern w:val="2"/>
          <w:sz w:val="24"/>
          <w:szCs w:val="24"/>
          <w:lang w:val="en-US" w:eastAsia="zh-CN"/>
        </w:rPr>
        <w:t>4.乙方收款账户如下：</w:t>
      </w:r>
    </w:p>
    <w:p w14:paraId="63466637">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480" w:firstLineChars="200"/>
        <w:textAlignment w:val="auto"/>
        <w:rPr>
          <w:rFonts w:hint="eastAsia" w:ascii="新宋体" w:hAnsi="新宋体" w:eastAsia="新宋体" w:cs="新宋体"/>
          <w:snapToGrid/>
          <w:color w:val="auto"/>
          <w:w w:val="100"/>
          <w:kern w:val="2"/>
          <w:sz w:val="24"/>
          <w:szCs w:val="24"/>
          <w:highlight w:val="none"/>
          <w:lang w:val="en-US" w:eastAsia="zh-CN"/>
        </w:rPr>
      </w:pPr>
      <w:r>
        <w:rPr>
          <w:rFonts w:hint="eastAsia" w:ascii="新宋体" w:hAnsi="新宋体" w:eastAsia="新宋体" w:cs="新宋体"/>
          <w:snapToGrid/>
          <w:color w:val="auto"/>
          <w:w w:val="100"/>
          <w:kern w:val="2"/>
          <w:sz w:val="24"/>
          <w:szCs w:val="24"/>
          <w:highlight w:val="none"/>
          <w:lang w:val="en-US" w:eastAsia="zh-CN"/>
        </w:rPr>
        <w:t>乙方户名：</w:t>
      </w:r>
      <w:r>
        <w:rPr>
          <w:rFonts w:hint="eastAsia" w:ascii="新宋体" w:hAnsi="新宋体" w:eastAsia="新宋体" w:cs="新宋体"/>
          <w:snapToGrid/>
          <w:color w:val="auto"/>
          <w:w w:val="100"/>
          <w:kern w:val="2"/>
          <w:sz w:val="24"/>
          <w:szCs w:val="24"/>
          <w:u w:val="single"/>
          <w:lang w:val="en-US" w:eastAsia="zh-CN"/>
        </w:rPr>
        <w:t xml:space="preserve">                 </w:t>
      </w:r>
      <w:r>
        <w:rPr>
          <w:rFonts w:hint="eastAsia" w:ascii="新宋体" w:hAnsi="新宋体" w:eastAsia="新宋体" w:cs="新宋体"/>
          <w:snapToGrid/>
          <w:color w:val="auto"/>
          <w:w w:val="100"/>
          <w:kern w:val="2"/>
          <w:sz w:val="24"/>
          <w:szCs w:val="24"/>
          <w:highlight w:val="none"/>
          <w:lang w:val="en-US" w:eastAsia="zh-CN"/>
        </w:rPr>
        <w:t xml:space="preserve"> </w:t>
      </w:r>
    </w:p>
    <w:p w14:paraId="3E758AF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新宋体" w:hAnsi="新宋体" w:eastAsia="新宋体" w:cs="新宋体"/>
          <w:snapToGrid/>
          <w:color w:val="auto"/>
          <w:w w:val="100"/>
          <w:kern w:val="2"/>
          <w:sz w:val="24"/>
          <w:szCs w:val="24"/>
          <w:highlight w:val="none"/>
          <w:u w:val="none"/>
        </w:rPr>
      </w:pPr>
      <w:r>
        <w:rPr>
          <w:rFonts w:hint="eastAsia" w:ascii="新宋体" w:hAnsi="新宋体" w:eastAsia="新宋体" w:cs="新宋体"/>
          <w:snapToGrid/>
          <w:color w:val="auto"/>
          <w:w w:val="100"/>
          <w:kern w:val="2"/>
          <w:sz w:val="24"/>
          <w:szCs w:val="24"/>
          <w:highlight w:val="none"/>
          <w:lang w:val="en-US" w:eastAsia="zh-CN"/>
        </w:rPr>
        <w:t>账    号：</w:t>
      </w:r>
      <w:r>
        <w:rPr>
          <w:rFonts w:hint="eastAsia" w:ascii="新宋体" w:hAnsi="新宋体" w:eastAsia="新宋体" w:cs="新宋体"/>
          <w:snapToGrid/>
          <w:color w:val="auto"/>
          <w:w w:val="100"/>
          <w:kern w:val="2"/>
          <w:sz w:val="24"/>
          <w:szCs w:val="24"/>
          <w:u w:val="single"/>
          <w:lang w:val="en-US" w:eastAsia="zh-CN"/>
        </w:rPr>
        <w:t xml:space="preserve">                 </w:t>
      </w:r>
      <w:r>
        <w:rPr>
          <w:rFonts w:hint="eastAsia" w:ascii="新宋体" w:hAnsi="新宋体" w:eastAsia="新宋体" w:cs="新宋体"/>
          <w:snapToGrid/>
          <w:color w:val="auto"/>
          <w:w w:val="100"/>
          <w:kern w:val="2"/>
          <w:sz w:val="24"/>
          <w:szCs w:val="24"/>
          <w:highlight w:val="none"/>
          <w:u w:val="none"/>
        </w:rPr>
        <w:t xml:space="preserve">   </w:t>
      </w:r>
    </w:p>
    <w:p w14:paraId="51CC221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新宋体" w:hAnsi="新宋体" w:eastAsia="新宋体" w:cs="新宋体"/>
          <w:snapToGrid/>
          <w:color w:val="auto"/>
          <w:w w:val="100"/>
          <w:kern w:val="2"/>
          <w:sz w:val="24"/>
          <w:szCs w:val="24"/>
          <w:highlight w:val="none"/>
          <w:u w:val="none"/>
          <w:lang w:val="en-US" w:eastAsia="zh-CN"/>
        </w:rPr>
      </w:pPr>
      <w:r>
        <w:rPr>
          <w:rFonts w:hint="eastAsia" w:ascii="新宋体" w:hAnsi="新宋体" w:eastAsia="新宋体" w:cs="新宋体"/>
          <w:snapToGrid/>
          <w:color w:val="auto"/>
          <w:w w:val="100"/>
          <w:kern w:val="2"/>
          <w:sz w:val="24"/>
          <w:szCs w:val="24"/>
          <w:highlight w:val="none"/>
          <w:u w:val="none"/>
          <w:lang w:val="en-US" w:eastAsia="zh-CN"/>
        </w:rPr>
        <w:t>开 户 行：</w:t>
      </w:r>
      <w:r>
        <w:rPr>
          <w:rFonts w:hint="eastAsia" w:ascii="新宋体" w:hAnsi="新宋体" w:eastAsia="新宋体" w:cs="新宋体"/>
          <w:snapToGrid/>
          <w:color w:val="auto"/>
          <w:w w:val="100"/>
          <w:kern w:val="2"/>
          <w:sz w:val="24"/>
          <w:szCs w:val="24"/>
          <w:u w:val="single"/>
          <w:lang w:val="en-US" w:eastAsia="zh-CN"/>
        </w:rPr>
        <w:t xml:space="preserve">                 </w:t>
      </w:r>
    </w:p>
    <w:p w14:paraId="3131EB82">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新宋体" w:hAnsi="新宋体" w:eastAsia="新宋体" w:cs="新宋体"/>
          <w:snapToGrid/>
          <w:color w:val="auto"/>
          <w:w w:val="100"/>
          <w:kern w:val="2"/>
          <w:sz w:val="24"/>
          <w:szCs w:val="24"/>
        </w:rPr>
      </w:pPr>
    </w:p>
    <w:p w14:paraId="7BAF38F0">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新宋体" w:hAnsi="新宋体" w:eastAsia="新宋体" w:cs="新宋体"/>
          <w:snapToGrid/>
          <w:color w:val="auto"/>
          <w:w w:val="100"/>
          <w:kern w:val="2"/>
          <w:sz w:val="24"/>
          <w:szCs w:val="24"/>
        </w:rPr>
      </w:pPr>
      <w:r>
        <w:rPr>
          <w:rFonts w:hint="eastAsia" w:ascii="新宋体" w:hAnsi="新宋体" w:eastAsia="新宋体" w:cs="新宋体"/>
          <w:snapToGrid/>
          <w:color w:val="auto"/>
          <w:w w:val="100"/>
          <w:kern w:val="2"/>
          <w:sz w:val="24"/>
          <w:szCs w:val="24"/>
        </w:rPr>
        <w:t>甲方签字（盖章）               乙方签字（盖章）</w:t>
      </w:r>
    </w:p>
    <w:p w14:paraId="2D62DF44">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新宋体" w:hAnsi="新宋体" w:eastAsia="新宋体" w:cs="新宋体"/>
          <w:snapToGrid/>
          <w:color w:val="auto"/>
          <w:w w:val="100"/>
          <w:kern w:val="2"/>
          <w:sz w:val="24"/>
          <w:szCs w:val="24"/>
        </w:rPr>
      </w:pPr>
      <w:r>
        <w:rPr>
          <w:rFonts w:hint="eastAsia" w:ascii="新宋体" w:hAnsi="新宋体" w:eastAsia="新宋体" w:cs="新宋体"/>
          <w:snapToGrid/>
          <w:color w:val="auto"/>
          <w:w w:val="100"/>
          <w:kern w:val="2"/>
          <w:sz w:val="24"/>
          <w:szCs w:val="24"/>
        </w:rPr>
        <w:t>甲方代表：                     乙方代表：</w:t>
      </w:r>
    </w:p>
    <w:p w14:paraId="01C3C73C">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新宋体" w:hAnsi="新宋体" w:eastAsia="新宋体" w:cs="新宋体"/>
          <w:snapToGrid/>
          <w:color w:val="auto"/>
          <w:w w:val="100"/>
          <w:kern w:val="2"/>
          <w:sz w:val="24"/>
          <w:szCs w:val="24"/>
        </w:rPr>
      </w:pPr>
      <w:r>
        <w:rPr>
          <w:rFonts w:hint="eastAsia" w:ascii="新宋体" w:hAnsi="新宋体" w:eastAsia="新宋体" w:cs="新宋体"/>
          <w:snapToGrid/>
          <w:color w:val="auto"/>
          <w:w w:val="100"/>
          <w:kern w:val="2"/>
          <w:sz w:val="24"/>
          <w:szCs w:val="24"/>
        </w:rPr>
        <w:t>甲方电话：                     乙方电话：</w:t>
      </w:r>
    </w:p>
    <w:p w14:paraId="2D0295D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新宋体" w:hAnsi="新宋体" w:eastAsia="新宋体" w:cs="新宋体"/>
          <w:snapToGrid w:val="0"/>
          <w:color w:val="auto"/>
          <w:w w:val="100"/>
          <w:kern w:val="21"/>
          <w:sz w:val="24"/>
          <w:szCs w:val="24"/>
        </w:rPr>
      </w:pPr>
      <w:r>
        <w:rPr>
          <w:rFonts w:hint="eastAsia" w:ascii="新宋体" w:hAnsi="新宋体" w:eastAsia="新宋体" w:cs="新宋体"/>
          <w:snapToGrid/>
          <w:color w:val="auto"/>
          <w:w w:val="100"/>
          <w:kern w:val="2"/>
          <w:sz w:val="24"/>
          <w:szCs w:val="24"/>
        </w:rPr>
        <w:t>签</w:t>
      </w:r>
      <w:r>
        <w:rPr>
          <w:rFonts w:hint="eastAsia" w:ascii="新宋体" w:hAnsi="新宋体" w:eastAsia="新宋体" w:cs="新宋体"/>
          <w:snapToGrid/>
          <w:color w:val="auto"/>
          <w:w w:val="100"/>
          <w:kern w:val="2"/>
          <w:sz w:val="24"/>
          <w:szCs w:val="24"/>
          <w:lang w:eastAsia="zh-CN"/>
        </w:rPr>
        <w:t>字</w:t>
      </w:r>
      <w:r>
        <w:rPr>
          <w:rFonts w:hint="eastAsia" w:ascii="新宋体" w:hAnsi="新宋体" w:eastAsia="新宋体" w:cs="新宋体"/>
          <w:snapToGrid/>
          <w:color w:val="auto"/>
          <w:w w:val="100"/>
          <w:kern w:val="2"/>
          <w:sz w:val="24"/>
          <w:szCs w:val="24"/>
        </w:rPr>
        <w:t>日期：</w:t>
      </w:r>
      <w:r>
        <w:rPr>
          <w:rFonts w:hint="eastAsia" w:ascii="新宋体" w:hAnsi="新宋体" w:eastAsia="新宋体" w:cs="新宋体"/>
          <w:snapToGrid/>
          <w:color w:val="auto"/>
          <w:w w:val="100"/>
          <w:kern w:val="2"/>
          <w:sz w:val="24"/>
          <w:szCs w:val="24"/>
          <w:lang w:val="en-US" w:eastAsia="zh-CN"/>
        </w:rPr>
        <w:t xml:space="preserve"> </w:t>
      </w:r>
      <w:r>
        <w:rPr>
          <w:rFonts w:hint="eastAsia" w:ascii="新宋体" w:hAnsi="新宋体" w:eastAsia="新宋体" w:cs="新宋体"/>
          <w:snapToGrid/>
          <w:color w:val="auto"/>
          <w:w w:val="100"/>
          <w:kern w:val="2"/>
          <w:sz w:val="24"/>
          <w:szCs w:val="24"/>
        </w:rPr>
        <w:t>年</w:t>
      </w:r>
      <w:r>
        <w:rPr>
          <w:rFonts w:hint="eastAsia" w:ascii="新宋体" w:hAnsi="新宋体" w:eastAsia="新宋体" w:cs="新宋体"/>
          <w:snapToGrid/>
          <w:color w:val="auto"/>
          <w:w w:val="100"/>
          <w:kern w:val="2"/>
          <w:sz w:val="24"/>
          <w:szCs w:val="24"/>
          <w:lang w:val="en-US" w:eastAsia="zh-CN"/>
        </w:rPr>
        <w:t xml:space="preserve">  </w:t>
      </w:r>
      <w:r>
        <w:rPr>
          <w:rFonts w:hint="eastAsia" w:ascii="新宋体" w:hAnsi="新宋体" w:eastAsia="新宋体" w:cs="新宋体"/>
          <w:snapToGrid/>
          <w:color w:val="auto"/>
          <w:w w:val="100"/>
          <w:kern w:val="2"/>
          <w:sz w:val="24"/>
          <w:szCs w:val="24"/>
        </w:rPr>
        <w:t>月</w:t>
      </w:r>
      <w:r>
        <w:rPr>
          <w:rFonts w:hint="eastAsia" w:ascii="新宋体" w:hAnsi="新宋体" w:eastAsia="新宋体" w:cs="新宋体"/>
          <w:snapToGrid/>
          <w:color w:val="auto"/>
          <w:w w:val="100"/>
          <w:kern w:val="2"/>
          <w:sz w:val="24"/>
          <w:szCs w:val="24"/>
          <w:lang w:val="en-US" w:eastAsia="zh-CN"/>
        </w:rPr>
        <w:t xml:space="preserve">  </w:t>
      </w:r>
      <w:r>
        <w:rPr>
          <w:rFonts w:hint="eastAsia" w:ascii="新宋体" w:hAnsi="新宋体" w:eastAsia="新宋体" w:cs="新宋体"/>
          <w:snapToGrid/>
          <w:color w:val="auto"/>
          <w:w w:val="100"/>
          <w:kern w:val="2"/>
          <w:sz w:val="24"/>
          <w:szCs w:val="24"/>
        </w:rPr>
        <w:t>日</w:t>
      </w:r>
      <w:r>
        <w:rPr>
          <w:rFonts w:hint="eastAsia" w:ascii="新宋体" w:hAnsi="新宋体" w:eastAsia="新宋体" w:cs="新宋体"/>
          <w:snapToGrid/>
          <w:color w:val="auto"/>
          <w:w w:val="100"/>
          <w:kern w:val="2"/>
          <w:sz w:val="24"/>
          <w:szCs w:val="24"/>
          <w:lang w:val="en-US" w:eastAsia="zh-CN"/>
        </w:rPr>
        <w:t xml:space="preserve">          </w:t>
      </w:r>
      <w:r>
        <w:rPr>
          <w:rFonts w:hint="eastAsia" w:ascii="新宋体" w:hAnsi="新宋体" w:eastAsia="新宋体" w:cs="新宋体"/>
          <w:snapToGrid/>
          <w:color w:val="auto"/>
          <w:w w:val="100"/>
          <w:kern w:val="2"/>
          <w:sz w:val="24"/>
          <w:szCs w:val="24"/>
        </w:rPr>
        <w:t>签</w:t>
      </w:r>
      <w:r>
        <w:rPr>
          <w:rFonts w:hint="eastAsia" w:ascii="新宋体" w:hAnsi="新宋体" w:eastAsia="新宋体" w:cs="新宋体"/>
          <w:snapToGrid/>
          <w:color w:val="auto"/>
          <w:w w:val="100"/>
          <w:kern w:val="2"/>
          <w:sz w:val="24"/>
          <w:szCs w:val="24"/>
          <w:lang w:eastAsia="zh-CN"/>
        </w:rPr>
        <w:t>字</w:t>
      </w:r>
      <w:r>
        <w:rPr>
          <w:rFonts w:hint="eastAsia" w:ascii="新宋体" w:hAnsi="新宋体" w:eastAsia="新宋体" w:cs="新宋体"/>
          <w:snapToGrid/>
          <w:color w:val="auto"/>
          <w:w w:val="100"/>
          <w:kern w:val="2"/>
          <w:sz w:val="24"/>
          <w:szCs w:val="24"/>
        </w:rPr>
        <w:t>日期：年</w:t>
      </w:r>
      <w:r>
        <w:rPr>
          <w:rFonts w:hint="eastAsia" w:ascii="新宋体" w:hAnsi="新宋体" w:eastAsia="新宋体" w:cs="新宋体"/>
          <w:snapToGrid/>
          <w:color w:val="auto"/>
          <w:w w:val="100"/>
          <w:kern w:val="2"/>
          <w:sz w:val="24"/>
          <w:szCs w:val="24"/>
          <w:lang w:val="en-US" w:eastAsia="zh-CN"/>
        </w:rPr>
        <w:t xml:space="preserve">  </w:t>
      </w:r>
      <w:r>
        <w:rPr>
          <w:rFonts w:hint="eastAsia" w:ascii="新宋体" w:hAnsi="新宋体" w:eastAsia="新宋体" w:cs="新宋体"/>
          <w:snapToGrid/>
          <w:color w:val="auto"/>
          <w:w w:val="100"/>
          <w:kern w:val="2"/>
          <w:sz w:val="24"/>
          <w:szCs w:val="24"/>
        </w:rPr>
        <w:t>月</w:t>
      </w:r>
      <w:r>
        <w:rPr>
          <w:rFonts w:hint="eastAsia" w:ascii="新宋体" w:hAnsi="新宋体" w:eastAsia="新宋体" w:cs="新宋体"/>
          <w:snapToGrid/>
          <w:color w:val="auto"/>
          <w:w w:val="100"/>
          <w:kern w:val="2"/>
          <w:sz w:val="24"/>
          <w:szCs w:val="24"/>
          <w:lang w:val="en-US" w:eastAsia="zh-CN"/>
        </w:rPr>
        <w:t xml:space="preserve">  </w:t>
      </w:r>
      <w:r>
        <w:rPr>
          <w:rFonts w:hint="eastAsia" w:ascii="新宋体" w:hAnsi="新宋体" w:eastAsia="新宋体" w:cs="新宋体"/>
          <w:snapToGrid/>
          <w:color w:val="auto"/>
          <w:w w:val="100"/>
          <w:kern w:val="2"/>
          <w:sz w:val="24"/>
          <w:szCs w:val="24"/>
        </w:rPr>
        <w:t>日</w:t>
      </w:r>
    </w:p>
    <w:p w14:paraId="62E1E731">
      <w:pPr>
        <w:rPr>
          <w:rFonts w:ascii="Calibri" w:hAnsi="Calibri" w:eastAsia="宋体" w:cs="宋体"/>
          <w:snapToGrid w:val="0"/>
          <w:w w:val="100"/>
          <w:kern w:val="21"/>
          <w:sz w:val="24"/>
        </w:rPr>
      </w:pPr>
    </w:p>
    <w:p w14:paraId="26670C0A">
      <w:pPr>
        <w:pStyle w:val="12"/>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新宋体" w:hAnsi="新宋体" w:eastAsia="新宋体" w:cs="新宋体"/>
          <w:b/>
          <w:color w:val="auto"/>
          <w:sz w:val="32"/>
          <w:szCs w:val="32"/>
          <w:highlight w:val="none"/>
        </w:rPr>
      </w:pPr>
      <w:r>
        <w:rPr>
          <w:rFonts w:hint="eastAsia" w:ascii="新宋体" w:hAnsi="新宋体" w:eastAsia="新宋体" w:cs="新宋体"/>
          <w:b/>
          <w:bCs/>
          <w:color w:val="auto"/>
          <w:sz w:val="52"/>
          <w:szCs w:val="30"/>
          <w:highlight w:val="none"/>
        </w:rPr>
        <w:br w:type="page"/>
      </w:r>
      <w:bookmarkStart w:id="159" w:name="_Toc29313"/>
      <w:bookmarkStart w:id="160" w:name="_Toc21490"/>
      <w:bookmarkStart w:id="161" w:name="_Toc8763"/>
      <w:bookmarkStart w:id="162" w:name="_Toc18533"/>
      <w:bookmarkStart w:id="163" w:name="_Toc21574"/>
      <w:bookmarkStart w:id="164" w:name="_Toc23611"/>
      <w:bookmarkStart w:id="165" w:name="_Toc2177"/>
      <w:r>
        <w:rPr>
          <w:rFonts w:hint="eastAsia" w:ascii="新宋体" w:hAnsi="新宋体" w:eastAsia="新宋体" w:cs="新宋体"/>
          <w:b/>
          <w:color w:val="auto"/>
          <w:sz w:val="32"/>
          <w:szCs w:val="32"/>
          <w:highlight w:val="none"/>
        </w:rPr>
        <w:t>第七章 投标文件的组成</w:t>
      </w:r>
      <w:bookmarkEnd w:id="159"/>
      <w:bookmarkEnd w:id="160"/>
      <w:bookmarkEnd w:id="161"/>
      <w:bookmarkEnd w:id="162"/>
      <w:bookmarkEnd w:id="163"/>
      <w:bookmarkEnd w:id="164"/>
      <w:bookmarkEnd w:id="165"/>
    </w:p>
    <w:p w14:paraId="25F14797">
      <w:pPr>
        <w:pageBreakBefore w:val="0"/>
        <w:kinsoku/>
        <w:overflowPunct/>
        <w:topLinePunct w:val="0"/>
        <w:bidi w:val="0"/>
        <w:adjustRightInd w:val="0"/>
        <w:snapToGrid w:val="0"/>
        <w:spacing w:line="360" w:lineRule="auto"/>
        <w:ind w:left="-88" w:leftChars="-42"/>
        <w:jc w:val="center"/>
        <w:textAlignment w:val="auto"/>
        <w:outlineLvl w:val="9"/>
        <w:rPr>
          <w:rFonts w:hint="eastAsia" w:ascii="新宋体" w:hAnsi="新宋体" w:eastAsia="新宋体" w:cs="新宋体"/>
          <w:b/>
          <w:bCs/>
          <w:color w:val="auto"/>
          <w:sz w:val="32"/>
          <w:highlight w:val="none"/>
        </w:rPr>
      </w:pPr>
    </w:p>
    <w:p w14:paraId="314BB368">
      <w:pPr>
        <w:pageBreakBefore w:val="0"/>
        <w:kinsoku/>
        <w:overflowPunct/>
        <w:topLinePunct w:val="0"/>
        <w:bidi w:val="0"/>
        <w:adjustRightInd w:val="0"/>
        <w:snapToGrid w:val="0"/>
        <w:spacing w:before="156" w:beforeLines="50" w:line="360" w:lineRule="auto"/>
        <w:jc w:val="left"/>
        <w:textAlignment w:val="auto"/>
        <w:outlineLvl w:val="9"/>
        <w:rPr>
          <w:rFonts w:hint="eastAsia" w:ascii="新宋体" w:hAnsi="新宋体" w:eastAsia="新宋体" w:cs="新宋体"/>
          <w:b/>
          <w:color w:val="auto"/>
          <w:szCs w:val="21"/>
          <w:highlight w:val="none"/>
        </w:rPr>
      </w:pPr>
      <w:r>
        <w:rPr>
          <w:rFonts w:hint="eastAsia" w:ascii="新宋体" w:hAnsi="新宋体" w:eastAsia="新宋体" w:cs="新宋体"/>
          <w:b/>
          <w:color w:val="auto"/>
          <w:szCs w:val="21"/>
          <w:highlight w:val="none"/>
        </w:rPr>
        <w:t>第一部分 资格证明文件</w:t>
      </w:r>
    </w:p>
    <w:p w14:paraId="253392FF">
      <w:pPr>
        <w:pageBreakBefore w:val="0"/>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一、投标人具备投标资格的证明文件</w:t>
      </w:r>
    </w:p>
    <w:p w14:paraId="672BD6FE">
      <w:pPr>
        <w:pageBreakBefore w:val="0"/>
        <w:kinsoku/>
        <w:overflowPunct/>
        <w:topLinePunct w:val="0"/>
        <w:bidi w:val="0"/>
        <w:adjustRightInd w:val="0"/>
        <w:snapToGrid w:val="0"/>
        <w:spacing w:before="156" w:beforeLines="50" w:line="360" w:lineRule="auto"/>
        <w:jc w:val="left"/>
        <w:textAlignment w:val="auto"/>
        <w:outlineLvl w:val="9"/>
        <w:rPr>
          <w:rFonts w:hint="eastAsia" w:ascii="新宋体" w:hAnsi="新宋体" w:eastAsia="新宋体" w:cs="新宋体"/>
          <w:b/>
          <w:color w:val="auto"/>
          <w:szCs w:val="21"/>
          <w:highlight w:val="none"/>
        </w:rPr>
      </w:pPr>
      <w:r>
        <w:rPr>
          <w:rFonts w:hint="eastAsia" w:ascii="新宋体" w:hAnsi="新宋体" w:eastAsia="新宋体" w:cs="新宋体"/>
          <w:b/>
          <w:color w:val="auto"/>
          <w:szCs w:val="21"/>
          <w:highlight w:val="none"/>
        </w:rPr>
        <w:t>第二部分 商务文件</w:t>
      </w:r>
    </w:p>
    <w:p w14:paraId="5380F064">
      <w:pPr>
        <w:pageBreakBefore w:val="0"/>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二、投标函</w:t>
      </w:r>
    </w:p>
    <w:p w14:paraId="45C87617">
      <w:pPr>
        <w:pageBreakBefore w:val="0"/>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三、开标一览表</w:t>
      </w:r>
    </w:p>
    <w:p w14:paraId="5EAE189D">
      <w:pPr>
        <w:pageBreakBefore w:val="0"/>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四、分项价格表</w:t>
      </w:r>
    </w:p>
    <w:p w14:paraId="10AACD3F">
      <w:pPr>
        <w:pageBreakBefore w:val="0"/>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五、商务与合同偏离表</w:t>
      </w:r>
    </w:p>
    <w:p w14:paraId="025603AC">
      <w:pPr>
        <w:pageBreakBefore w:val="0"/>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六、投标保证金</w:t>
      </w:r>
    </w:p>
    <w:p w14:paraId="2756FBFF">
      <w:pPr>
        <w:pageBreakBefore w:val="0"/>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七、中小企业声明函</w:t>
      </w:r>
    </w:p>
    <w:p w14:paraId="1A93807C">
      <w:pPr>
        <w:pageBreakBefore w:val="0"/>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八、残疾人福利性单位声明函</w:t>
      </w:r>
    </w:p>
    <w:p w14:paraId="1D769AF7">
      <w:pPr>
        <w:pageBreakBefore w:val="0"/>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九、招标文件规定的其他与本项目相关的证明文件</w:t>
      </w:r>
    </w:p>
    <w:p w14:paraId="4F5919FD">
      <w:pPr>
        <w:pageBreakBefore w:val="0"/>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十、商务部分评审资料</w:t>
      </w:r>
    </w:p>
    <w:p w14:paraId="613AC168">
      <w:pPr>
        <w:pageBreakBefore w:val="0"/>
        <w:kinsoku/>
        <w:overflowPunct/>
        <w:topLinePunct w:val="0"/>
        <w:bidi w:val="0"/>
        <w:adjustRightInd w:val="0"/>
        <w:snapToGrid w:val="0"/>
        <w:spacing w:before="156" w:beforeLines="50" w:line="360" w:lineRule="auto"/>
        <w:jc w:val="left"/>
        <w:textAlignment w:val="auto"/>
        <w:outlineLvl w:val="9"/>
        <w:rPr>
          <w:rFonts w:hint="eastAsia" w:ascii="新宋体" w:hAnsi="新宋体" w:eastAsia="新宋体" w:cs="新宋体"/>
          <w:b/>
          <w:color w:val="auto"/>
          <w:szCs w:val="21"/>
          <w:highlight w:val="none"/>
          <w:lang w:val="en-US" w:eastAsia="zh-CN"/>
        </w:rPr>
      </w:pPr>
      <w:r>
        <w:rPr>
          <w:rFonts w:hint="eastAsia" w:ascii="新宋体" w:hAnsi="新宋体" w:eastAsia="新宋体" w:cs="新宋体"/>
          <w:b/>
          <w:color w:val="auto"/>
          <w:szCs w:val="21"/>
          <w:highlight w:val="none"/>
          <w:lang w:val="en-US" w:eastAsia="zh-CN"/>
        </w:rPr>
        <w:t>第三部分  技术文件</w:t>
      </w:r>
    </w:p>
    <w:p w14:paraId="5C1CEDB8">
      <w:pPr>
        <w:pageBreakBefore w:val="0"/>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十一、采购需求响应</w:t>
      </w:r>
    </w:p>
    <w:p w14:paraId="26545915">
      <w:pPr>
        <w:pageBreakBefore w:val="0"/>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十二、采购需求偏离表</w:t>
      </w:r>
    </w:p>
    <w:p w14:paraId="48C95032">
      <w:pPr>
        <w:pageBreakBefore w:val="0"/>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kern w:val="2"/>
          <w:sz w:val="21"/>
          <w:szCs w:val="21"/>
          <w:highlight w:val="none"/>
          <w:lang w:val="en-US" w:eastAsia="zh-CN" w:bidi="ar-SA"/>
        </w:rPr>
        <w:t>十三、技术部分评审资料</w:t>
      </w:r>
    </w:p>
    <w:p w14:paraId="50310B5C">
      <w:pPr>
        <w:pageBreakBefore w:val="0"/>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szCs w:val="21"/>
          <w:highlight w:val="none"/>
        </w:rPr>
      </w:pPr>
    </w:p>
    <w:p w14:paraId="4834091B">
      <w:pPr>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color w:val="auto"/>
          <w:szCs w:val="21"/>
          <w:highlight w:val="none"/>
        </w:rPr>
      </w:pPr>
    </w:p>
    <w:p w14:paraId="70381976">
      <w:pPr>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color w:val="auto"/>
          <w:sz w:val="32"/>
          <w:szCs w:val="32"/>
          <w:highlight w:val="none"/>
        </w:rPr>
      </w:pPr>
      <w:r>
        <w:rPr>
          <w:rFonts w:hint="eastAsia" w:ascii="新宋体" w:hAnsi="新宋体" w:eastAsia="新宋体" w:cs="新宋体"/>
          <w:color w:val="auto"/>
          <w:szCs w:val="21"/>
          <w:highlight w:val="none"/>
        </w:rPr>
        <w:br w:type="page"/>
      </w:r>
    </w:p>
    <w:p w14:paraId="3F109686">
      <w:pPr>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color w:val="auto"/>
          <w:sz w:val="32"/>
          <w:szCs w:val="32"/>
          <w:highlight w:val="none"/>
        </w:rPr>
      </w:pPr>
    </w:p>
    <w:p w14:paraId="3E930EF6">
      <w:pPr>
        <w:pStyle w:val="12"/>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b/>
          <w:bCs/>
          <w:color w:val="auto"/>
          <w:sz w:val="72"/>
          <w:szCs w:val="72"/>
          <w:highlight w:val="none"/>
        </w:rPr>
      </w:pPr>
      <w:r>
        <w:rPr>
          <w:rFonts w:hint="eastAsia" w:ascii="新宋体" w:hAnsi="新宋体" w:eastAsia="新宋体" w:cs="新宋体"/>
          <w:b/>
          <w:bCs/>
          <w:color w:val="auto"/>
          <w:sz w:val="72"/>
          <w:szCs w:val="72"/>
          <w:highlight w:val="none"/>
        </w:rPr>
        <w:t>政府采购</w:t>
      </w:r>
    </w:p>
    <w:p w14:paraId="66912B0A">
      <w:pPr>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b/>
          <w:bCs/>
          <w:color w:val="auto"/>
          <w:sz w:val="84"/>
          <w:szCs w:val="84"/>
          <w:highlight w:val="none"/>
        </w:rPr>
      </w:pPr>
      <w:r>
        <w:rPr>
          <w:rFonts w:hint="eastAsia" w:ascii="新宋体" w:hAnsi="新宋体" w:eastAsia="新宋体" w:cs="新宋体"/>
          <w:b/>
          <w:bCs/>
          <w:color w:val="auto"/>
          <w:sz w:val="84"/>
          <w:szCs w:val="84"/>
          <w:highlight w:val="none"/>
        </w:rPr>
        <w:t>投 标 文 件</w:t>
      </w:r>
    </w:p>
    <w:p w14:paraId="1E624328">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新宋体" w:hAnsi="新宋体" w:eastAsia="新宋体" w:cs="新宋体"/>
          <w:color w:val="auto"/>
          <w:sz w:val="44"/>
          <w:szCs w:val="44"/>
          <w:highlight w:val="none"/>
        </w:rPr>
      </w:pPr>
      <w:bookmarkStart w:id="166" w:name="_Toc12272"/>
      <w:bookmarkStart w:id="167" w:name="_Toc5193"/>
      <w:bookmarkStart w:id="168" w:name="_Toc22027"/>
      <w:r>
        <w:rPr>
          <w:rFonts w:hint="eastAsia" w:ascii="新宋体" w:hAnsi="新宋体" w:eastAsia="新宋体" w:cs="新宋体"/>
          <w:color w:val="auto"/>
          <w:sz w:val="44"/>
          <w:szCs w:val="44"/>
          <w:highlight w:val="none"/>
        </w:rPr>
        <w:t>第一部分 资格证明文件</w:t>
      </w:r>
      <w:bookmarkEnd w:id="166"/>
      <w:bookmarkEnd w:id="167"/>
      <w:bookmarkEnd w:id="168"/>
    </w:p>
    <w:p w14:paraId="77DB0323">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b/>
          <w:color w:val="auto"/>
          <w:sz w:val="32"/>
          <w:szCs w:val="32"/>
          <w:highlight w:val="none"/>
        </w:rPr>
      </w:pPr>
    </w:p>
    <w:p w14:paraId="7330203D">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b/>
          <w:color w:val="auto"/>
          <w:sz w:val="30"/>
          <w:szCs w:val="30"/>
          <w:highlight w:val="none"/>
        </w:rPr>
      </w:pPr>
      <w:r>
        <w:rPr>
          <w:rFonts w:hint="eastAsia" w:ascii="新宋体" w:hAnsi="新宋体" w:eastAsia="新宋体" w:cs="新宋体"/>
          <w:b/>
          <w:color w:val="auto"/>
          <w:sz w:val="32"/>
          <w:szCs w:val="32"/>
          <w:highlight w:val="none"/>
        </w:rPr>
        <w:t xml:space="preserve">                     </w:t>
      </w:r>
    </w:p>
    <w:p w14:paraId="058754F2">
      <w:pPr>
        <w:pStyle w:val="12"/>
        <w:keepNext w:val="0"/>
        <w:keepLines w:val="0"/>
        <w:pageBreakBefore w:val="0"/>
        <w:widowControl w:val="0"/>
        <w:kinsoku/>
        <w:wordWrap/>
        <w:overflowPunct/>
        <w:topLinePunct w:val="0"/>
        <w:autoSpaceDE/>
        <w:autoSpaceDN/>
        <w:bidi w:val="0"/>
        <w:adjustRightInd w:val="0"/>
        <w:snapToGrid w:val="0"/>
        <w:spacing w:line="360" w:lineRule="auto"/>
        <w:ind w:firstLine="1988" w:firstLineChars="660"/>
        <w:textAlignment w:val="auto"/>
        <w:outlineLvl w:val="9"/>
        <w:rPr>
          <w:rFonts w:hint="eastAsia"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采购项目名称:</w:t>
      </w:r>
      <w:r>
        <w:rPr>
          <w:rFonts w:hint="eastAsia" w:ascii="新宋体" w:hAnsi="新宋体" w:eastAsia="新宋体" w:cs="新宋体"/>
          <w:b/>
          <w:bCs/>
          <w:color w:val="auto"/>
          <w:sz w:val="30"/>
          <w:szCs w:val="30"/>
          <w:highlight w:val="none"/>
          <w:u w:val="single"/>
        </w:rPr>
        <w:t xml:space="preserve">                       </w:t>
      </w:r>
    </w:p>
    <w:p w14:paraId="49B4B881">
      <w:pPr>
        <w:pStyle w:val="7"/>
        <w:keepNext w:val="0"/>
        <w:keepLines w:val="0"/>
        <w:pageBreakBefore w:val="0"/>
        <w:widowControl w:val="0"/>
        <w:kinsoku/>
        <w:wordWrap/>
        <w:overflowPunct/>
        <w:topLinePunct w:val="0"/>
        <w:autoSpaceDE/>
        <w:autoSpaceDN/>
        <w:bidi w:val="0"/>
        <w:adjustRightInd w:val="0"/>
        <w:snapToGrid w:val="0"/>
        <w:spacing w:line="360" w:lineRule="auto"/>
        <w:ind w:left="0" w:leftChars="0" w:firstLine="2108" w:firstLineChars="700"/>
        <w:textAlignment w:val="auto"/>
        <w:outlineLvl w:val="9"/>
        <w:rPr>
          <w:rFonts w:hint="eastAsia" w:eastAsia="新宋体"/>
          <w:color w:val="auto"/>
          <w:lang w:eastAsia="zh-CN"/>
        </w:rPr>
      </w:pPr>
      <w:r>
        <w:rPr>
          <w:rFonts w:hint="eastAsia" w:ascii="新宋体" w:hAnsi="新宋体" w:eastAsia="新宋体" w:cs="新宋体"/>
          <w:b/>
          <w:bCs/>
          <w:color w:val="auto"/>
          <w:sz w:val="30"/>
          <w:szCs w:val="30"/>
          <w:highlight w:val="none"/>
          <w:u w:val="none"/>
          <w:lang w:eastAsia="zh-CN"/>
        </w:rPr>
        <w:t>包号及标的名称</w:t>
      </w:r>
      <w:r>
        <w:rPr>
          <w:rFonts w:hint="eastAsia" w:ascii="新宋体" w:hAnsi="新宋体" w:eastAsia="新宋体" w:cs="新宋体"/>
          <w:b/>
          <w:bCs/>
          <w:color w:val="auto"/>
          <w:sz w:val="30"/>
          <w:szCs w:val="30"/>
          <w:highlight w:val="none"/>
        </w:rPr>
        <w:t>:</w:t>
      </w:r>
      <w:r>
        <w:rPr>
          <w:rFonts w:hint="eastAsia" w:ascii="新宋体" w:hAnsi="新宋体" w:eastAsia="新宋体" w:cs="新宋体"/>
          <w:b/>
          <w:bCs/>
          <w:color w:val="auto"/>
          <w:sz w:val="30"/>
          <w:szCs w:val="30"/>
          <w:highlight w:val="none"/>
          <w:u w:val="single"/>
        </w:rPr>
        <w:t xml:space="preserve">                    </w:t>
      </w:r>
    </w:p>
    <w:p w14:paraId="4A3AF2B3">
      <w:pPr>
        <w:pStyle w:val="12"/>
        <w:keepNext w:val="0"/>
        <w:keepLines w:val="0"/>
        <w:pageBreakBefore w:val="0"/>
        <w:widowControl w:val="0"/>
        <w:kinsoku/>
        <w:wordWrap/>
        <w:overflowPunct/>
        <w:topLinePunct w:val="0"/>
        <w:autoSpaceDE/>
        <w:autoSpaceDN/>
        <w:bidi w:val="0"/>
        <w:adjustRightInd w:val="0"/>
        <w:snapToGrid w:val="0"/>
        <w:spacing w:line="360" w:lineRule="auto"/>
        <w:ind w:firstLine="1988" w:firstLineChars="660"/>
        <w:textAlignment w:val="auto"/>
        <w:outlineLvl w:val="9"/>
        <w:rPr>
          <w:rFonts w:hint="eastAsia" w:ascii="新宋体" w:hAnsi="新宋体" w:eastAsia="新宋体" w:cs="新宋体"/>
          <w:b/>
          <w:bCs/>
          <w:color w:val="auto"/>
          <w:sz w:val="30"/>
          <w:szCs w:val="30"/>
          <w:highlight w:val="none"/>
        </w:rPr>
      </w:pPr>
      <w:r>
        <w:rPr>
          <w:rFonts w:hint="eastAsia" w:ascii="新宋体" w:hAnsi="新宋体" w:eastAsia="新宋体" w:cs="新宋体"/>
          <w:b/>
          <w:bCs/>
          <w:color w:val="auto"/>
          <w:sz w:val="30"/>
          <w:szCs w:val="30"/>
          <w:highlight w:val="none"/>
        </w:rPr>
        <w:t>采   购   人：</w:t>
      </w:r>
      <w:r>
        <w:rPr>
          <w:rFonts w:hint="eastAsia" w:ascii="新宋体" w:hAnsi="新宋体" w:eastAsia="新宋体" w:cs="新宋体"/>
          <w:b/>
          <w:bCs/>
          <w:color w:val="auto"/>
          <w:sz w:val="30"/>
          <w:szCs w:val="30"/>
          <w:highlight w:val="none"/>
          <w:u w:val="single"/>
        </w:rPr>
        <w:t xml:space="preserve">                      </w:t>
      </w:r>
    </w:p>
    <w:p w14:paraId="6C9B9FF8">
      <w:pPr>
        <w:pStyle w:val="12"/>
        <w:keepNext w:val="0"/>
        <w:keepLines w:val="0"/>
        <w:pageBreakBefore w:val="0"/>
        <w:widowControl w:val="0"/>
        <w:kinsoku/>
        <w:wordWrap/>
        <w:overflowPunct/>
        <w:topLinePunct w:val="0"/>
        <w:autoSpaceDE/>
        <w:autoSpaceDN/>
        <w:bidi w:val="0"/>
        <w:adjustRightInd w:val="0"/>
        <w:snapToGrid w:val="0"/>
        <w:spacing w:line="360" w:lineRule="auto"/>
        <w:ind w:firstLine="1988" w:firstLineChars="660"/>
        <w:textAlignment w:val="auto"/>
        <w:outlineLvl w:val="9"/>
        <w:rPr>
          <w:rFonts w:hint="eastAsia"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政府采购计划编号:</w:t>
      </w:r>
      <w:r>
        <w:rPr>
          <w:rFonts w:hint="eastAsia" w:ascii="新宋体" w:hAnsi="新宋体" w:eastAsia="新宋体" w:cs="新宋体"/>
          <w:b/>
          <w:bCs/>
          <w:color w:val="auto"/>
          <w:sz w:val="30"/>
          <w:szCs w:val="30"/>
          <w:highlight w:val="none"/>
          <w:u w:val="single"/>
        </w:rPr>
        <w:t xml:space="preserve">                   </w:t>
      </w:r>
    </w:p>
    <w:p w14:paraId="2D7F895F">
      <w:pPr>
        <w:pStyle w:val="12"/>
        <w:keepNext w:val="0"/>
        <w:keepLines w:val="0"/>
        <w:pageBreakBefore w:val="0"/>
        <w:widowControl w:val="0"/>
        <w:kinsoku/>
        <w:wordWrap/>
        <w:overflowPunct/>
        <w:topLinePunct w:val="0"/>
        <w:autoSpaceDE/>
        <w:autoSpaceDN/>
        <w:bidi w:val="0"/>
        <w:adjustRightInd w:val="0"/>
        <w:snapToGrid w:val="0"/>
        <w:spacing w:line="360" w:lineRule="auto"/>
        <w:ind w:firstLine="1988" w:firstLineChars="660"/>
        <w:textAlignment w:val="auto"/>
        <w:outlineLvl w:val="9"/>
        <w:rPr>
          <w:rFonts w:hint="eastAsia"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lang w:eastAsia="zh-CN"/>
        </w:rPr>
        <w:t>委托代理编号</w:t>
      </w:r>
      <w:r>
        <w:rPr>
          <w:rFonts w:hint="eastAsia" w:ascii="新宋体" w:hAnsi="新宋体" w:eastAsia="新宋体" w:cs="新宋体"/>
          <w:b/>
          <w:bCs/>
          <w:color w:val="auto"/>
          <w:sz w:val="30"/>
          <w:szCs w:val="30"/>
          <w:highlight w:val="none"/>
        </w:rPr>
        <w:t>:</w:t>
      </w:r>
      <w:r>
        <w:rPr>
          <w:rFonts w:hint="eastAsia" w:ascii="新宋体" w:hAnsi="新宋体" w:eastAsia="新宋体" w:cs="新宋体"/>
          <w:b/>
          <w:bCs/>
          <w:color w:val="auto"/>
          <w:sz w:val="30"/>
          <w:szCs w:val="30"/>
          <w:highlight w:val="none"/>
          <w:u w:val="single"/>
        </w:rPr>
        <w:t xml:space="preserve">                       </w:t>
      </w:r>
    </w:p>
    <w:p w14:paraId="1482F5E2">
      <w:pPr>
        <w:pStyle w:val="12"/>
        <w:keepNext w:val="0"/>
        <w:keepLines w:val="0"/>
        <w:pageBreakBefore w:val="0"/>
        <w:widowControl w:val="0"/>
        <w:kinsoku/>
        <w:wordWrap/>
        <w:overflowPunct/>
        <w:topLinePunct w:val="0"/>
        <w:autoSpaceDE/>
        <w:autoSpaceDN/>
        <w:bidi w:val="0"/>
        <w:adjustRightInd w:val="0"/>
        <w:snapToGrid w:val="0"/>
        <w:spacing w:line="360" w:lineRule="auto"/>
        <w:ind w:firstLine="1988" w:firstLineChars="660"/>
        <w:textAlignment w:val="auto"/>
        <w:outlineLvl w:val="9"/>
        <w:rPr>
          <w:rFonts w:hint="eastAsia"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采购代理机构：</w:t>
      </w:r>
      <w:r>
        <w:rPr>
          <w:rFonts w:hint="eastAsia" w:ascii="新宋体" w:hAnsi="新宋体" w:eastAsia="新宋体" w:cs="新宋体"/>
          <w:b/>
          <w:bCs/>
          <w:color w:val="auto"/>
          <w:sz w:val="30"/>
          <w:szCs w:val="30"/>
          <w:highlight w:val="none"/>
          <w:u w:val="single"/>
        </w:rPr>
        <w:t xml:space="preserve">                      </w:t>
      </w:r>
    </w:p>
    <w:p w14:paraId="0518AD6A">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 w:val="30"/>
          <w:szCs w:val="30"/>
          <w:highlight w:val="none"/>
        </w:rPr>
      </w:pPr>
    </w:p>
    <w:p w14:paraId="7E325A40">
      <w:pPr>
        <w:pageBreakBefore w:val="0"/>
        <w:kinsoku/>
        <w:overflowPunct/>
        <w:topLinePunct w:val="0"/>
        <w:bidi w:val="0"/>
        <w:adjustRightInd w:val="0"/>
        <w:snapToGrid w:val="0"/>
        <w:textAlignment w:val="auto"/>
        <w:outlineLvl w:val="9"/>
        <w:rPr>
          <w:rFonts w:hint="eastAsia" w:ascii="新宋体" w:hAnsi="新宋体" w:eastAsia="新宋体" w:cs="新宋体"/>
          <w:color w:val="auto"/>
          <w:sz w:val="30"/>
          <w:szCs w:val="30"/>
          <w:highlight w:val="none"/>
        </w:rPr>
      </w:pPr>
    </w:p>
    <w:p w14:paraId="10631F14">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 w:val="30"/>
          <w:szCs w:val="30"/>
          <w:highlight w:val="none"/>
        </w:rPr>
      </w:pPr>
    </w:p>
    <w:p w14:paraId="0EF1B899">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 w:val="30"/>
          <w:szCs w:val="30"/>
          <w:highlight w:val="none"/>
        </w:rPr>
      </w:pPr>
    </w:p>
    <w:p w14:paraId="3C348805">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 w:val="30"/>
          <w:szCs w:val="30"/>
          <w:highlight w:val="none"/>
        </w:rPr>
      </w:pPr>
    </w:p>
    <w:p w14:paraId="1414B8D0">
      <w:pPr>
        <w:pageBreakBefore w:val="0"/>
        <w:kinsoku/>
        <w:overflowPunct/>
        <w:topLinePunct w:val="0"/>
        <w:bidi w:val="0"/>
        <w:adjustRightInd w:val="0"/>
        <w:snapToGrid w:val="0"/>
        <w:spacing w:line="360" w:lineRule="auto"/>
        <w:ind w:firstLine="1984" w:firstLineChars="620"/>
        <w:textAlignment w:val="auto"/>
        <w:outlineLvl w:val="9"/>
        <w:rPr>
          <w:rFonts w:hint="eastAsia" w:ascii="新宋体" w:hAnsi="新宋体" w:eastAsia="新宋体" w:cs="新宋体"/>
          <w:color w:val="auto"/>
          <w:sz w:val="32"/>
          <w:szCs w:val="32"/>
          <w:highlight w:val="none"/>
          <w:u w:val="single"/>
        </w:rPr>
      </w:pPr>
      <w:r>
        <w:rPr>
          <w:rFonts w:hint="eastAsia" w:ascii="新宋体" w:hAnsi="新宋体" w:eastAsia="新宋体" w:cs="新宋体"/>
          <w:color w:val="auto"/>
          <w:sz w:val="32"/>
          <w:szCs w:val="32"/>
          <w:highlight w:val="none"/>
        </w:rPr>
        <w:t>投标人</w:t>
      </w:r>
      <w:r>
        <w:rPr>
          <w:rFonts w:hint="eastAsia" w:ascii="新宋体" w:hAnsi="新宋体" w:eastAsia="新宋体" w:cs="新宋体"/>
          <w:color w:val="auto"/>
          <w:sz w:val="32"/>
          <w:szCs w:val="32"/>
          <w:highlight w:val="none"/>
          <w:u w:val="single"/>
        </w:rPr>
        <w:t xml:space="preserve">                         </w:t>
      </w:r>
    </w:p>
    <w:p w14:paraId="1DC5E4B7">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outlineLvl w:val="9"/>
        <w:rPr>
          <w:rFonts w:hint="eastAsia" w:ascii="新宋体" w:hAnsi="新宋体" w:eastAsia="新宋体" w:cs="新宋体"/>
          <w:b/>
          <w:bCs/>
          <w:color w:val="auto"/>
          <w:sz w:val="28"/>
          <w:szCs w:val="28"/>
          <w:highlight w:val="none"/>
          <w:lang w:eastAsia="zh-CN"/>
        </w:rPr>
      </w:pPr>
      <w:r>
        <w:rPr>
          <w:rFonts w:hint="eastAsia" w:ascii="新宋体" w:hAnsi="新宋体" w:eastAsia="新宋体" w:cs="新宋体"/>
          <w:color w:val="auto"/>
          <w:sz w:val="32"/>
          <w:szCs w:val="32"/>
          <w:highlight w:val="none"/>
        </w:rPr>
        <w:t>年  月  日</w:t>
      </w:r>
      <w:r>
        <w:rPr>
          <w:rFonts w:hint="eastAsia" w:ascii="新宋体" w:hAnsi="新宋体" w:eastAsia="新宋体" w:cs="新宋体"/>
          <w:color w:val="auto"/>
          <w:sz w:val="28"/>
          <w:szCs w:val="28"/>
          <w:highlight w:val="none"/>
        </w:rPr>
        <w:br w:type="page"/>
      </w:r>
      <w:bookmarkStart w:id="169" w:name="_Toc13587"/>
      <w:r>
        <w:rPr>
          <w:rFonts w:hint="eastAsia" w:ascii="新宋体" w:hAnsi="新宋体" w:eastAsia="新宋体" w:cs="新宋体"/>
          <w:b/>
          <w:bCs/>
          <w:color w:val="auto"/>
          <w:sz w:val="28"/>
          <w:szCs w:val="28"/>
          <w:highlight w:val="none"/>
          <w:lang w:eastAsia="zh-CN"/>
        </w:rPr>
        <w:t>一、投标人具备投标资格的证明文件</w:t>
      </w:r>
    </w:p>
    <w:bookmarkEnd w:id="169"/>
    <w:p w14:paraId="3A2476E5">
      <w:pPr>
        <w:keepNext w:val="0"/>
        <w:keepLines w:val="0"/>
        <w:pageBreakBefore w:val="0"/>
        <w:widowControl w:val="0"/>
        <w:tabs>
          <w:tab w:val="left" w:pos="4725"/>
        </w:tabs>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w w:val="100"/>
          <w:sz w:val="21"/>
          <w:szCs w:val="21"/>
          <w:highlight w:val="none"/>
          <w:u w:val="none"/>
          <w:lang w:val="en-US" w:eastAsia="zh-CN"/>
        </w:rPr>
      </w:pPr>
      <w:r>
        <w:rPr>
          <w:rFonts w:hint="eastAsia" w:ascii="宋体" w:hAnsi="宋体" w:eastAsia="宋体" w:cs="宋体"/>
          <w:color w:val="auto"/>
          <w:w w:val="100"/>
          <w:sz w:val="21"/>
          <w:szCs w:val="21"/>
          <w:highlight w:val="none"/>
          <w:u w:val="none"/>
          <w:lang w:val="en-US" w:eastAsia="zh-CN"/>
        </w:rPr>
        <w:t>附件1 法定代表人（单位负责人）身份证明</w:t>
      </w:r>
    </w:p>
    <w:p w14:paraId="524469D0">
      <w:pPr>
        <w:keepNext w:val="0"/>
        <w:keepLines w:val="0"/>
        <w:pageBreakBefore w:val="0"/>
        <w:widowControl w:val="0"/>
        <w:tabs>
          <w:tab w:val="left" w:pos="4725"/>
        </w:tabs>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w w:val="100"/>
          <w:sz w:val="21"/>
          <w:szCs w:val="21"/>
          <w:highlight w:val="none"/>
          <w:u w:val="none"/>
        </w:rPr>
      </w:pPr>
      <w:r>
        <w:rPr>
          <w:rFonts w:hint="eastAsia" w:ascii="宋体" w:hAnsi="宋体" w:eastAsia="宋体" w:cs="宋体"/>
          <w:color w:val="auto"/>
          <w:w w:val="100"/>
          <w:sz w:val="21"/>
          <w:szCs w:val="21"/>
          <w:highlight w:val="none"/>
          <w:u w:val="none"/>
        </w:rPr>
        <w:t>附件</w:t>
      </w:r>
      <w:r>
        <w:rPr>
          <w:rFonts w:hint="eastAsia" w:ascii="宋体" w:hAnsi="宋体" w:eastAsia="宋体" w:cs="宋体"/>
          <w:color w:val="auto"/>
          <w:w w:val="100"/>
          <w:sz w:val="21"/>
          <w:szCs w:val="21"/>
          <w:highlight w:val="none"/>
          <w:u w:val="none"/>
          <w:lang w:val="en-US" w:eastAsia="zh-CN"/>
        </w:rPr>
        <w:t>2 法定代表人授权委托书</w:t>
      </w:r>
    </w:p>
    <w:p w14:paraId="4E1F1969">
      <w:pPr>
        <w:keepNext w:val="0"/>
        <w:keepLines w:val="0"/>
        <w:pageBreakBefore w:val="0"/>
        <w:widowControl w:val="0"/>
        <w:tabs>
          <w:tab w:val="left" w:pos="4725"/>
        </w:tabs>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color w:val="auto"/>
          <w:w w:val="100"/>
          <w:sz w:val="21"/>
          <w:szCs w:val="21"/>
          <w:highlight w:val="none"/>
          <w:u w:val="none"/>
          <w:lang w:val="en-US" w:eastAsia="zh-CN"/>
        </w:rPr>
      </w:pPr>
      <w:r>
        <w:rPr>
          <w:rFonts w:hint="eastAsia" w:ascii="宋体" w:hAnsi="宋体" w:eastAsia="宋体" w:cs="宋体"/>
          <w:color w:val="auto"/>
          <w:w w:val="100"/>
          <w:sz w:val="21"/>
          <w:szCs w:val="21"/>
          <w:highlight w:val="none"/>
          <w:u w:val="none"/>
        </w:rPr>
        <w:t>附件</w:t>
      </w:r>
      <w:r>
        <w:rPr>
          <w:rFonts w:hint="eastAsia" w:ascii="宋体" w:hAnsi="宋体" w:eastAsia="宋体" w:cs="宋体"/>
          <w:color w:val="auto"/>
          <w:w w:val="100"/>
          <w:sz w:val="21"/>
          <w:szCs w:val="21"/>
          <w:highlight w:val="none"/>
          <w:u w:val="none"/>
          <w:lang w:val="en-US" w:eastAsia="zh-CN"/>
        </w:rPr>
        <w:t>3</w:t>
      </w:r>
      <w:r>
        <w:rPr>
          <w:rFonts w:hint="eastAsia" w:ascii="宋体" w:hAnsi="宋体" w:eastAsia="宋体" w:cs="宋体"/>
          <w:color w:val="auto"/>
          <w:w w:val="100"/>
          <w:sz w:val="21"/>
          <w:szCs w:val="21"/>
          <w:highlight w:val="none"/>
          <w:u w:val="none"/>
        </w:rPr>
        <w:t xml:space="preserve"> 投标人</w:t>
      </w:r>
      <w:r>
        <w:rPr>
          <w:rFonts w:hint="eastAsia" w:ascii="宋体" w:hAnsi="宋体" w:eastAsia="宋体" w:cs="宋体"/>
          <w:color w:val="auto"/>
          <w:w w:val="100"/>
          <w:sz w:val="21"/>
          <w:szCs w:val="21"/>
          <w:highlight w:val="none"/>
          <w:u w:val="none"/>
          <w:lang w:val="en-US" w:eastAsia="zh-CN"/>
        </w:rPr>
        <w:t>提供的</w:t>
      </w:r>
      <w:r>
        <w:rPr>
          <w:rFonts w:hint="eastAsia" w:ascii="宋体" w:hAnsi="宋体" w:eastAsia="宋体" w:cs="宋体"/>
          <w:color w:val="auto"/>
          <w:w w:val="100"/>
          <w:sz w:val="21"/>
          <w:szCs w:val="21"/>
          <w:highlight w:val="none"/>
          <w:u w:val="none"/>
        </w:rPr>
        <w:t>资格</w:t>
      </w:r>
      <w:r>
        <w:rPr>
          <w:rFonts w:hint="eastAsia" w:ascii="宋体" w:hAnsi="宋体" w:eastAsia="宋体" w:cs="宋体"/>
          <w:color w:val="auto"/>
          <w:w w:val="100"/>
          <w:sz w:val="21"/>
          <w:szCs w:val="21"/>
          <w:highlight w:val="none"/>
          <w:u w:val="none"/>
          <w:lang w:val="en-US" w:eastAsia="zh-CN"/>
        </w:rPr>
        <w:t>证明文件</w:t>
      </w:r>
    </w:p>
    <w:p w14:paraId="6B96EC6D">
      <w:pPr>
        <w:pageBreakBefore w:val="0"/>
        <w:widowControl/>
        <w:kinsoku/>
        <w:overflowPunct/>
        <w:topLinePunct w:val="0"/>
        <w:bidi w:val="0"/>
        <w:jc w:val="center"/>
        <w:textAlignment w:val="auto"/>
        <w:outlineLvl w:val="9"/>
        <w:rPr>
          <w:rFonts w:hint="eastAsia" w:ascii="新宋体" w:hAnsi="新宋体" w:eastAsia="新宋体" w:cs="新宋体"/>
          <w:b/>
          <w:bCs/>
          <w:color w:val="auto"/>
          <w:sz w:val="28"/>
          <w:szCs w:val="28"/>
          <w:highlight w:val="none"/>
          <w:lang w:val="en-US" w:eastAsia="zh-CN"/>
        </w:rPr>
      </w:pPr>
      <w:r>
        <w:rPr>
          <w:rFonts w:hint="eastAsia" w:ascii="新宋体" w:hAnsi="新宋体" w:eastAsia="新宋体" w:cs="新宋体"/>
          <w:color w:val="auto"/>
          <w:szCs w:val="21"/>
          <w:highlight w:val="none"/>
        </w:rPr>
        <w:br w:type="page"/>
      </w:r>
      <w:bookmarkStart w:id="170" w:name="_Toc4162"/>
      <w:r>
        <w:rPr>
          <w:rFonts w:hint="eastAsia" w:ascii="新宋体" w:hAnsi="新宋体" w:eastAsia="新宋体" w:cs="新宋体"/>
          <w:b/>
          <w:bCs/>
          <w:color w:val="auto"/>
          <w:sz w:val="28"/>
          <w:szCs w:val="28"/>
          <w:highlight w:val="none"/>
          <w:lang w:val="en-US" w:eastAsia="zh-CN"/>
        </w:rPr>
        <w:t xml:space="preserve">附件1 </w:t>
      </w:r>
      <w:r>
        <w:rPr>
          <w:rFonts w:hint="eastAsia" w:ascii="新宋体" w:hAnsi="新宋体" w:eastAsia="新宋体" w:cs="新宋体"/>
          <w:b/>
          <w:bCs/>
          <w:color w:val="auto"/>
          <w:sz w:val="28"/>
          <w:szCs w:val="28"/>
          <w:highlight w:val="none"/>
          <w:lang w:eastAsia="zh-CN"/>
        </w:rPr>
        <w:t>法定代表人（</w:t>
      </w:r>
      <w:r>
        <w:rPr>
          <w:rFonts w:hint="eastAsia" w:ascii="新宋体" w:hAnsi="新宋体" w:eastAsia="新宋体" w:cs="新宋体"/>
          <w:b/>
          <w:bCs/>
          <w:color w:val="auto"/>
          <w:sz w:val="28"/>
          <w:szCs w:val="28"/>
          <w:highlight w:val="none"/>
          <w:lang w:val="en-US" w:eastAsia="zh-CN"/>
        </w:rPr>
        <w:t>单位</w:t>
      </w:r>
      <w:r>
        <w:rPr>
          <w:rFonts w:hint="eastAsia" w:ascii="新宋体" w:hAnsi="新宋体" w:eastAsia="新宋体" w:cs="新宋体"/>
          <w:b/>
          <w:bCs/>
          <w:color w:val="auto"/>
          <w:sz w:val="28"/>
          <w:szCs w:val="28"/>
          <w:highlight w:val="none"/>
          <w:lang w:eastAsia="zh-CN"/>
        </w:rPr>
        <w:t>负责人）身份证明</w:t>
      </w:r>
      <w:bookmarkEnd w:id="170"/>
    </w:p>
    <w:p w14:paraId="7FB5B636">
      <w:pPr>
        <w:keepNext w:val="0"/>
        <w:keepLines w:val="0"/>
        <w:pageBreakBefore w:val="0"/>
        <w:widowControl w:val="0"/>
        <w:tabs>
          <w:tab w:val="left" w:pos="3880"/>
        </w:tabs>
        <w:kinsoku/>
        <w:wordWrap/>
        <w:overflowPunct/>
        <w:topLinePunct w:val="0"/>
        <w:autoSpaceDE w:val="0"/>
        <w:autoSpaceDN w:val="0"/>
        <w:bidi w:val="0"/>
        <w:adjustRightInd w:val="0"/>
        <w:snapToGrid w:val="0"/>
        <w:spacing w:line="400" w:lineRule="exact"/>
        <w:ind w:left="0" w:right="0" w:firstLine="0" w:firstLineChars="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position w:val="-4"/>
          <w:sz w:val="22"/>
          <w:szCs w:val="22"/>
          <w:highlight w:val="none"/>
        </w:rPr>
        <w:t>投标</w:t>
      </w:r>
      <w:r>
        <w:rPr>
          <w:rFonts w:hint="eastAsia" w:ascii="新宋体" w:hAnsi="新宋体" w:eastAsia="新宋体" w:cs="新宋体"/>
          <w:color w:val="auto"/>
          <w:spacing w:val="-2"/>
          <w:kern w:val="0"/>
          <w:position w:val="-4"/>
          <w:sz w:val="22"/>
          <w:szCs w:val="22"/>
          <w:highlight w:val="none"/>
        </w:rPr>
        <w:t>人</w:t>
      </w:r>
      <w:r>
        <w:rPr>
          <w:rFonts w:hint="eastAsia" w:ascii="新宋体" w:hAnsi="新宋体" w:eastAsia="新宋体" w:cs="新宋体"/>
          <w:color w:val="auto"/>
          <w:kern w:val="0"/>
          <w:position w:val="-4"/>
          <w:sz w:val="22"/>
          <w:szCs w:val="22"/>
          <w:highlight w:val="none"/>
        </w:rPr>
        <w:t>名</w:t>
      </w:r>
      <w:r>
        <w:rPr>
          <w:rFonts w:hint="eastAsia" w:ascii="新宋体" w:hAnsi="新宋体" w:eastAsia="新宋体" w:cs="新宋体"/>
          <w:color w:val="auto"/>
          <w:spacing w:val="-2"/>
          <w:kern w:val="0"/>
          <w:position w:val="-4"/>
          <w:sz w:val="22"/>
          <w:szCs w:val="22"/>
          <w:highlight w:val="none"/>
        </w:rPr>
        <w:t>称</w:t>
      </w:r>
      <w:r>
        <w:rPr>
          <w:rFonts w:hint="eastAsia" w:ascii="新宋体" w:hAnsi="新宋体" w:eastAsia="新宋体" w:cs="新宋体"/>
          <w:color w:val="auto"/>
          <w:kern w:val="0"/>
          <w:position w:val="-4"/>
          <w:sz w:val="22"/>
          <w:szCs w:val="22"/>
          <w:highlight w:val="none"/>
        </w:rPr>
        <w:t>：</w:t>
      </w:r>
      <w:r>
        <w:rPr>
          <w:rFonts w:hint="eastAsia" w:ascii="新宋体" w:hAnsi="新宋体" w:eastAsia="新宋体" w:cs="新宋体"/>
          <w:color w:val="auto"/>
          <w:sz w:val="22"/>
          <w:szCs w:val="22"/>
          <w:highlight w:val="none"/>
          <w:u w:val="single"/>
        </w:rPr>
        <w:t xml:space="preserve">                 </w:t>
      </w:r>
    </w:p>
    <w:p w14:paraId="530CFE8B">
      <w:pPr>
        <w:keepNext w:val="0"/>
        <w:keepLines w:val="0"/>
        <w:pageBreakBefore w:val="0"/>
        <w:widowControl w:val="0"/>
        <w:tabs>
          <w:tab w:val="left" w:pos="2400"/>
          <w:tab w:val="left" w:pos="3880"/>
          <w:tab w:val="left" w:pos="5340"/>
          <w:tab w:val="left" w:pos="6820"/>
        </w:tabs>
        <w:kinsoku/>
        <w:wordWrap/>
        <w:overflowPunct/>
        <w:topLinePunct w:val="0"/>
        <w:autoSpaceDE w:val="0"/>
        <w:autoSpaceDN w:val="0"/>
        <w:bidi w:val="0"/>
        <w:adjustRightInd w:val="0"/>
        <w:snapToGrid w:val="0"/>
        <w:spacing w:line="400" w:lineRule="exact"/>
        <w:ind w:left="0" w:right="0" w:firstLine="0" w:firstLineChars="0"/>
        <w:jc w:val="left"/>
        <w:textAlignment w:val="auto"/>
        <w:outlineLvl w:val="9"/>
        <w:rPr>
          <w:rFonts w:hint="eastAsia" w:ascii="新宋体" w:hAnsi="新宋体" w:eastAsia="新宋体" w:cs="新宋体"/>
          <w:color w:val="auto"/>
          <w:kern w:val="0"/>
          <w:position w:val="-2"/>
          <w:sz w:val="22"/>
          <w:szCs w:val="22"/>
          <w:highlight w:val="none"/>
        </w:rPr>
      </w:pPr>
      <w:r>
        <w:rPr>
          <w:rFonts w:hint="eastAsia" w:ascii="新宋体" w:hAnsi="新宋体" w:eastAsia="新宋体" w:cs="新宋体"/>
          <w:color w:val="auto"/>
          <w:kern w:val="0"/>
          <w:position w:val="-2"/>
          <w:sz w:val="22"/>
          <w:szCs w:val="22"/>
          <w:highlight w:val="none"/>
        </w:rPr>
        <w:t>统一社会信用代码：</w:t>
      </w:r>
      <w:r>
        <w:rPr>
          <w:rFonts w:hint="eastAsia" w:ascii="新宋体" w:hAnsi="新宋体" w:eastAsia="新宋体" w:cs="新宋体"/>
          <w:color w:val="auto"/>
          <w:sz w:val="22"/>
          <w:szCs w:val="22"/>
          <w:highlight w:val="none"/>
          <w:u w:val="single"/>
        </w:rPr>
        <w:t xml:space="preserve">                 </w:t>
      </w:r>
    </w:p>
    <w:p w14:paraId="1399FFC2">
      <w:pPr>
        <w:keepNext w:val="0"/>
        <w:keepLines w:val="0"/>
        <w:pageBreakBefore w:val="0"/>
        <w:widowControl w:val="0"/>
        <w:tabs>
          <w:tab w:val="left" w:pos="2400"/>
          <w:tab w:val="left" w:pos="3880"/>
          <w:tab w:val="left" w:pos="5340"/>
          <w:tab w:val="left" w:pos="6820"/>
        </w:tabs>
        <w:kinsoku/>
        <w:wordWrap/>
        <w:overflowPunct/>
        <w:topLinePunct w:val="0"/>
        <w:autoSpaceDE w:val="0"/>
        <w:autoSpaceDN w:val="0"/>
        <w:bidi w:val="0"/>
        <w:adjustRightInd w:val="0"/>
        <w:snapToGrid w:val="0"/>
        <w:spacing w:line="400" w:lineRule="exact"/>
        <w:ind w:left="0" w:right="0" w:firstLine="0" w:firstLineChars="0"/>
        <w:jc w:val="left"/>
        <w:textAlignment w:val="auto"/>
        <w:outlineLvl w:val="9"/>
        <w:rPr>
          <w:rFonts w:hint="eastAsia" w:ascii="新宋体" w:hAnsi="新宋体" w:eastAsia="新宋体" w:cs="新宋体"/>
          <w:color w:val="auto"/>
          <w:kern w:val="0"/>
          <w:position w:val="-2"/>
          <w:sz w:val="22"/>
          <w:szCs w:val="22"/>
          <w:highlight w:val="none"/>
        </w:rPr>
      </w:pPr>
      <w:r>
        <w:rPr>
          <w:rFonts w:hint="eastAsia" w:ascii="新宋体" w:hAnsi="新宋体" w:eastAsia="新宋体" w:cs="新宋体"/>
          <w:color w:val="auto"/>
          <w:kern w:val="0"/>
          <w:position w:val="-2"/>
          <w:sz w:val="22"/>
          <w:szCs w:val="22"/>
          <w:highlight w:val="none"/>
        </w:rPr>
        <w:t>注册地址：</w:t>
      </w:r>
      <w:r>
        <w:rPr>
          <w:rFonts w:hint="eastAsia" w:ascii="新宋体" w:hAnsi="新宋体" w:eastAsia="新宋体" w:cs="新宋体"/>
          <w:color w:val="auto"/>
          <w:sz w:val="22"/>
          <w:szCs w:val="22"/>
          <w:highlight w:val="none"/>
          <w:u w:val="single"/>
        </w:rPr>
        <w:t xml:space="preserve">                 </w:t>
      </w:r>
    </w:p>
    <w:p w14:paraId="2ECD0EC3">
      <w:pPr>
        <w:keepNext w:val="0"/>
        <w:keepLines w:val="0"/>
        <w:pageBreakBefore w:val="0"/>
        <w:widowControl w:val="0"/>
        <w:tabs>
          <w:tab w:val="left" w:pos="2400"/>
          <w:tab w:val="left" w:pos="3880"/>
          <w:tab w:val="left" w:pos="5340"/>
          <w:tab w:val="left" w:pos="6820"/>
        </w:tabs>
        <w:kinsoku/>
        <w:wordWrap/>
        <w:overflowPunct/>
        <w:topLinePunct w:val="0"/>
        <w:autoSpaceDE w:val="0"/>
        <w:autoSpaceDN w:val="0"/>
        <w:bidi w:val="0"/>
        <w:adjustRightInd w:val="0"/>
        <w:snapToGrid w:val="0"/>
        <w:spacing w:line="400" w:lineRule="exact"/>
        <w:ind w:left="0" w:right="0" w:firstLine="0" w:firstLineChars="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position w:val="-2"/>
          <w:sz w:val="22"/>
          <w:szCs w:val="22"/>
          <w:highlight w:val="none"/>
        </w:rPr>
        <w:t>姓名</w:t>
      </w:r>
      <w:r>
        <w:rPr>
          <w:rFonts w:hint="eastAsia" w:ascii="新宋体" w:hAnsi="新宋体" w:eastAsia="新宋体" w:cs="新宋体"/>
          <w:color w:val="auto"/>
          <w:spacing w:val="-2"/>
          <w:kern w:val="0"/>
          <w:position w:val="-2"/>
          <w:sz w:val="22"/>
          <w:szCs w:val="22"/>
          <w:highlight w:val="none"/>
        </w:rPr>
        <w:t>：</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kern w:val="0"/>
          <w:position w:val="-2"/>
          <w:sz w:val="22"/>
          <w:szCs w:val="22"/>
          <w:highlight w:val="none"/>
        </w:rPr>
        <w:t>性别</w:t>
      </w:r>
      <w:r>
        <w:rPr>
          <w:rFonts w:hint="eastAsia" w:ascii="新宋体" w:hAnsi="新宋体" w:eastAsia="新宋体" w:cs="新宋体"/>
          <w:color w:val="auto"/>
          <w:spacing w:val="-2"/>
          <w:kern w:val="0"/>
          <w:position w:val="-2"/>
          <w:sz w:val="22"/>
          <w:szCs w:val="22"/>
          <w:highlight w:val="none"/>
        </w:rPr>
        <w:t>：</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kern w:val="0"/>
          <w:position w:val="-2"/>
          <w:sz w:val="22"/>
          <w:szCs w:val="22"/>
          <w:highlight w:val="none"/>
        </w:rPr>
        <w:t>年</w:t>
      </w:r>
      <w:r>
        <w:rPr>
          <w:rFonts w:hint="eastAsia" w:ascii="新宋体" w:hAnsi="新宋体" w:eastAsia="新宋体" w:cs="新宋体"/>
          <w:color w:val="auto"/>
          <w:spacing w:val="-2"/>
          <w:kern w:val="0"/>
          <w:position w:val="-2"/>
          <w:sz w:val="22"/>
          <w:szCs w:val="22"/>
          <w:highlight w:val="none"/>
        </w:rPr>
        <w:t>龄</w:t>
      </w:r>
      <w:r>
        <w:rPr>
          <w:rFonts w:hint="eastAsia" w:ascii="新宋体" w:hAnsi="新宋体" w:eastAsia="新宋体" w:cs="新宋体"/>
          <w:color w:val="auto"/>
          <w:kern w:val="0"/>
          <w:position w:val="-2"/>
          <w:sz w:val="22"/>
          <w:szCs w:val="22"/>
          <w:highlight w:val="none"/>
        </w:rPr>
        <w:t>：</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kern w:val="0"/>
          <w:position w:val="-2"/>
          <w:sz w:val="22"/>
          <w:szCs w:val="22"/>
          <w:highlight w:val="none"/>
        </w:rPr>
        <w:t>职</w:t>
      </w:r>
      <w:r>
        <w:rPr>
          <w:rFonts w:hint="eastAsia" w:ascii="新宋体" w:hAnsi="新宋体" w:eastAsia="新宋体" w:cs="新宋体"/>
          <w:color w:val="auto"/>
          <w:spacing w:val="-2"/>
          <w:kern w:val="0"/>
          <w:position w:val="-2"/>
          <w:sz w:val="22"/>
          <w:szCs w:val="22"/>
          <w:highlight w:val="none"/>
        </w:rPr>
        <w:t>务</w:t>
      </w:r>
      <w:r>
        <w:rPr>
          <w:rFonts w:hint="eastAsia" w:ascii="新宋体" w:hAnsi="新宋体" w:eastAsia="新宋体" w:cs="新宋体"/>
          <w:color w:val="auto"/>
          <w:kern w:val="0"/>
          <w:position w:val="-2"/>
          <w:sz w:val="22"/>
          <w:szCs w:val="22"/>
          <w:highlight w:val="none"/>
        </w:rPr>
        <w:t>：</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kern w:val="0"/>
          <w:position w:val="-2"/>
          <w:sz w:val="22"/>
          <w:szCs w:val="22"/>
          <w:highlight w:val="none"/>
        </w:rPr>
        <w:t>系</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pacing w:val="-2"/>
          <w:kern w:val="0"/>
          <w:position w:val="-2"/>
          <w:sz w:val="22"/>
          <w:szCs w:val="22"/>
          <w:highlight w:val="none"/>
        </w:rPr>
        <w:t>（</w:t>
      </w:r>
      <w:r>
        <w:rPr>
          <w:rFonts w:hint="eastAsia" w:ascii="新宋体" w:hAnsi="新宋体" w:eastAsia="新宋体" w:cs="新宋体"/>
          <w:color w:val="auto"/>
          <w:kern w:val="0"/>
          <w:position w:val="-2"/>
          <w:sz w:val="22"/>
          <w:szCs w:val="22"/>
          <w:highlight w:val="none"/>
        </w:rPr>
        <w:t>投</w:t>
      </w:r>
      <w:r>
        <w:rPr>
          <w:rFonts w:hint="eastAsia" w:ascii="新宋体" w:hAnsi="新宋体" w:eastAsia="新宋体" w:cs="新宋体"/>
          <w:color w:val="auto"/>
          <w:spacing w:val="-2"/>
          <w:kern w:val="0"/>
          <w:position w:val="-2"/>
          <w:sz w:val="22"/>
          <w:szCs w:val="22"/>
          <w:highlight w:val="none"/>
        </w:rPr>
        <w:t>标</w:t>
      </w:r>
      <w:r>
        <w:rPr>
          <w:rFonts w:hint="eastAsia" w:ascii="新宋体" w:hAnsi="新宋体" w:eastAsia="新宋体" w:cs="新宋体"/>
          <w:color w:val="auto"/>
          <w:kern w:val="0"/>
          <w:position w:val="-2"/>
          <w:sz w:val="22"/>
          <w:szCs w:val="22"/>
          <w:highlight w:val="none"/>
        </w:rPr>
        <w:t>人</w:t>
      </w:r>
      <w:r>
        <w:rPr>
          <w:rFonts w:hint="eastAsia" w:ascii="新宋体" w:hAnsi="新宋体" w:eastAsia="新宋体" w:cs="新宋体"/>
          <w:color w:val="auto"/>
          <w:spacing w:val="-2"/>
          <w:kern w:val="0"/>
          <w:position w:val="-2"/>
          <w:sz w:val="22"/>
          <w:szCs w:val="22"/>
          <w:highlight w:val="none"/>
        </w:rPr>
        <w:t>名</w:t>
      </w:r>
      <w:r>
        <w:rPr>
          <w:rFonts w:hint="eastAsia" w:ascii="新宋体" w:hAnsi="新宋体" w:eastAsia="新宋体" w:cs="新宋体"/>
          <w:color w:val="auto"/>
          <w:kern w:val="0"/>
          <w:position w:val="-2"/>
          <w:sz w:val="22"/>
          <w:szCs w:val="22"/>
          <w:highlight w:val="none"/>
        </w:rPr>
        <w:t>称</w:t>
      </w:r>
      <w:r>
        <w:rPr>
          <w:rFonts w:hint="eastAsia" w:ascii="新宋体" w:hAnsi="新宋体" w:eastAsia="新宋体" w:cs="新宋体"/>
          <w:color w:val="auto"/>
          <w:spacing w:val="-2"/>
          <w:kern w:val="0"/>
          <w:position w:val="-2"/>
          <w:sz w:val="22"/>
          <w:szCs w:val="22"/>
          <w:highlight w:val="none"/>
        </w:rPr>
        <w:t>）</w:t>
      </w:r>
      <w:r>
        <w:rPr>
          <w:rFonts w:hint="eastAsia" w:ascii="新宋体" w:hAnsi="新宋体" w:eastAsia="新宋体" w:cs="新宋体"/>
          <w:color w:val="auto"/>
          <w:kern w:val="0"/>
          <w:position w:val="-2"/>
          <w:sz w:val="22"/>
          <w:szCs w:val="22"/>
          <w:highlight w:val="none"/>
        </w:rPr>
        <w:t>的</w:t>
      </w:r>
      <w:r>
        <w:rPr>
          <w:rFonts w:hint="eastAsia" w:ascii="新宋体" w:hAnsi="新宋体" w:eastAsia="新宋体" w:cs="新宋体"/>
          <w:color w:val="auto"/>
          <w:spacing w:val="-2"/>
          <w:kern w:val="0"/>
          <w:position w:val="-2"/>
          <w:sz w:val="22"/>
          <w:szCs w:val="22"/>
          <w:highlight w:val="none"/>
        </w:rPr>
        <w:t>法定</w:t>
      </w:r>
      <w:r>
        <w:rPr>
          <w:rFonts w:hint="eastAsia" w:ascii="新宋体" w:hAnsi="新宋体" w:eastAsia="新宋体" w:cs="新宋体"/>
          <w:color w:val="auto"/>
          <w:kern w:val="0"/>
          <w:position w:val="-2"/>
          <w:sz w:val="22"/>
          <w:szCs w:val="22"/>
          <w:highlight w:val="none"/>
        </w:rPr>
        <w:t>代表</w:t>
      </w:r>
      <w:r>
        <w:rPr>
          <w:rFonts w:hint="eastAsia" w:ascii="新宋体" w:hAnsi="新宋体" w:eastAsia="新宋体" w:cs="新宋体"/>
          <w:color w:val="auto"/>
          <w:spacing w:val="-2"/>
          <w:kern w:val="0"/>
          <w:position w:val="-2"/>
          <w:sz w:val="22"/>
          <w:szCs w:val="22"/>
          <w:highlight w:val="none"/>
        </w:rPr>
        <w:t>人</w:t>
      </w:r>
      <w:r>
        <w:rPr>
          <w:rFonts w:hint="eastAsia" w:ascii="新宋体" w:hAnsi="新宋体" w:eastAsia="新宋体" w:cs="新宋体"/>
          <w:color w:val="auto"/>
          <w:kern w:val="0"/>
          <w:position w:val="-2"/>
          <w:sz w:val="22"/>
          <w:szCs w:val="22"/>
          <w:highlight w:val="none"/>
        </w:rPr>
        <w:t>（</w:t>
      </w:r>
      <w:r>
        <w:rPr>
          <w:rFonts w:hint="eastAsia" w:ascii="新宋体" w:hAnsi="新宋体" w:eastAsia="新宋体" w:cs="新宋体"/>
          <w:color w:val="auto"/>
          <w:spacing w:val="-2"/>
          <w:kern w:val="0"/>
          <w:position w:val="-2"/>
          <w:sz w:val="22"/>
          <w:szCs w:val="22"/>
          <w:highlight w:val="none"/>
        </w:rPr>
        <w:t>单</w:t>
      </w:r>
      <w:r>
        <w:rPr>
          <w:rFonts w:hint="eastAsia" w:ascii="新宋体" w:hAnsi="新宋体" w:eastAsia="新宋体" w:cs="新宋体"/>
          <w:color w:val="auto"/>
          <w:kern w:val="0"/>
          <w:position w:val="-2"/>
          <w:sz w:val="22"/>
          <w:szCs w:val="22"/>
          <w:highlight w:val="none"/>
        </w:rPr>
        <w:t>位</w:t>
      </w:r>
      <w:r>
        <w:rPr>
          <w:rFonts w:hint="eastAsia" w:ascii="新宋体" w:hAnsi="新宋体" w:eastAsia="新宋体" w:cs="新宋体"/>
          <w:color w:val="auto"/>
          <w:spacing w:val="-2"/>
          <w:kern w:val="0"/>
          <w:position w:val="-2"/>
          <w:sz w:val="22"/>
          <w:szCs w:val="22"/>
          <w:highlight w:val="none"/>
        </w:rPr>
        <w:t>负</w:t>
      </w:r>
      <w:r>
        <w:rPr>
          <w:rFonts w:hint="eastAsia" w:ascii="新宋体" w:hAnsi="新宋体" w:eastAsia="新宋体" w:cs="新宋体"/>
          <w:color w:val="auto"/>
          <w:kern w:val="0"/>
          <w:position w:val="-2"/>
          <w:sz w:val="22"/>
          <w:szCs w:val="22"/>
          <w:highlight w:val="none"/>
        </w:rPr>
        <w:t>责</w:t>
      </w:r>
      <w:r>
        <w:rPr>
          <w:rFonts w:hint="eastAsia" w:ascii="新宋体" w:hAnsi="新宋体" w:eastAsia="新宋体" w:cs="新宋体"/>
          <w:color w:val="auto"/>
          <w:spacing w:val="-2"/>
          <w:kern w:val="0"/>
          <w:position w:val="-2"/>
          <w:sz w:val="22"/>
          <w:szCs w:val="22"/>
          <w:highlight w:val="none"/>
        </w:rPr>
        <w:t>人</w:t>
      </w:r>
      <w:r>
        <w:rPr>
          <w:rFonts w:hint="eastAsia" w:ascii="新宋体" w:hAnsi="新宋体" w:eastAsia="新宋体" w:cs="新宋体"/>
          <w:color w:val="auto"/>
          <w:spacing w:val="-106"/>
          <w:kern w:val="0"/>
          <w:position w:val="-2"/>
          <w:sz w:val="22"/>
          <w:szCs w:val="22"/>
          <w:highlight w:val="none"/>
        </w:rPr>
        <w:t>）</w:t>
      </w:r>
      <w:r>
        <w:rPr>
          <w:rFonts w:hint="eastAsia" w:ascii="新宋体" w:hAnsi="新宋体" w:eastAsia="新宋体" w:cs="新宋体"/>
          <w:color w:val="auto"/>
          <w:kern w:val="0"/>
          <w:position w:val="-2"/>
          <w:sz w:val="22"/>
          <w:szCs w:val="22"/>
          <w:highlight w:val="none"/>
        </w:rPr>
        <w:t>。</w:t>
      </w:r>
    </w:p>
    <w:p w14:paraId="21C608EE">
      <w:pPr>
        <w:keepNext w:val="0"/>
        <w:keepLines w:val="0"/>
        <w:pageBreakBefore w:val="0"/>
        <w:widowControl w:val="0"/>
        <w:kinsoku/>
        <w:wordWrap/>
        <w:overflowPunct/>
        <w:topLinePunct w:val="0"/>
        <w:autoSpaceDE w:val="0"/>
        <w:autoSpaceDN w:val="0"/>
        <w:bidi w:val="0"/>
        <w:adjustRightInd w:val="0"/>
        <w:snapToGrid w:val="0"/>
        <w:spacing w:line="400" w:lineRule="exact"/>
        <w:ind w:left="0" w:right="0" w:firstLine="0" w:firstLineChars="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特此</w:t>
      </w:r>
      <w:r>
        <w:rPr>
          <w:rFonts w:hint="eastAsia" w:ascii="新宋体" w:hAnsi="新宋体" w:eastAsia="新宋体" w:cs="新宋体"/>
          <w:color w:val="auto"/>
          <w:spacing w:val="-2"/>
          <w:kern w:val="0"/>
          <w:sz w:val="22"/>
          <w:szCs w:val="22"/>
          <w:highlight w:val="none"/>
        </w:rPr>
        <w:t>证</w:t>
      </w:r>
      <w:r>
        <w:rPr>
          <w:rFonts w:hint="eastAsia" w:ascii="新宋体" w:hAnsi="新宋体" w:eastAsia="新宋体" w:cs="新宋体"/>
          <w:color w:val="auto"/>
          <w:kern w:val="0"/>
          <w:sz w:val="22"/>
          <w:szCs w:val="22"/>
          <w:highlight w:val="none"/>
        </w:rPr>
        <w:t>明。</w:t>
      </w:r>
    </w:p>
    <w:p w14:paraId="3B163F08">
      <w:pPr>
        <w:keepNext w:val="0"/>
        <w:keepLines w:val="0"/>
        <w:pageBreakBefore w:val="0"/>
        <w:widowControl w:val="0"/>
        <w:kinsoku/>
        <w:wordWrap/>
        <w:overflowPunct/>
        <w:topLinePunct w:val="0"/>
        <w:autoSpaceDE w:val="0"/>
        <w:autoSpaceDN w:val="0"/>
        <w:bidi w:val="0"/>
        <w:adjustRightInd w:val="0"/>
        <w:snapToGrid w:val="0"/>
        <w:spacing w:line="400" w:lineRule="exact"/>
        <w:ind w:left="0" w:right="0" w:firstLine="0" w:firstLineChars="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附：</w:t>
      </w:r>
      <w:r>
        <w:rPr>
          <w:rFonts w:hint="eastAsia" w:ascii="新宋体" w:hAnsi="新宋体" w:eastAsia="新宋体" w:cs="新宋体"/>
          <w:color w:val="auto"/>
          <w:spacing w:val="-2"/>
          <w:kern w:val="0"/>
          <w:sz w:val="22"/>
          <w:szCs w:val="22"/>
          <w:highlight w:val="none"/>
        </w:rPr>
        <w:t>法</w:t>
      </w:r>
      <w:r>
        <w:rPr>
          <w:rFonts w:hint="eastAsia" w:ascii="新宋体" w:hAnsi="新宋体" w:eastAsia="新宋体" w:cs="新宋体"/>
          <w:color w:val="auto"/>
          <w:kern w:val="0"/>
          <w:sz w:val="22"/>
          <w:szCs w:val="22"/>
          <w:highlight w:val="none"/>
        </w:rPr>
        <w:t>定</w:t>
      </w:r>
      <w:r>
        <w:rPr>
          <w:rFonts w:hint="eastAsia" w:ascii="新宋体" w:hAnsi="新宋体" w:eastAsia="新宋体" w:cs="新宋体"/>
          <w:color w:val="auto"/>
          <w:spacing w:val="-2"/>
          <w:kern w:val="0"/>
          <w:sz w:val="22"/>
          <w:szCs w:val="22"/>
          <w:highlight w:val="none"/>
        </w:rPr>
        <w:t>代</w:t>
      </w:r>
      <w:r>
        <w:rPr>
          <w:rFonts w:hint="eastAsia" w:ascii="新宋体" w:hAnsi="新宋体" w:eastAsia="新宋体" w:cs="新宋体"/>
          <w:color w:val="auto"/>
          <w:kern w:val="0"/>
          <w:sz w:val="22"/>
          <w:szCs w:val="22"/>
          <w:highlight w:val="none"/>
        </w:rPr>
        <w:t>表</w:t>
      </w:r>
      <w:r>
        <w:rPr>
          <w:rFonts w:hint="eastAsia" w:ascii="新宋体" w:hAnsi="新宋体" w:eastAsia="新宋体" w:cs="新宋体"/>
          <w:color w:val="auto"/>
          <w:spacing w:val="-2"/>
          <w:kern w:val="0"/>
          <w:sz w:val="22"/>
          <w:szCs w:val="22"/>
          <w:highlight w:val="none"/>
        </w:rPr>
        <w:t>人</w:t>
      </w:r>
      <w:r>
        <w:rPr>
          <w:rFonts w:hint="eastAsia" w:ascii="新宋体" w:hAnsi="新宋体" w:eastAsia="新宋体" w:cs="新宋体"/>
          <w:color w:val="auto"/>
          <w:kern w:val="0"/>
          <w:sz w:val="22"/>
          <w:szCs w:val="22"/>
          <w:highlight w:val="none"/>
        </w:rPr>
        <w:t>（</w:t>
      </w:r>
      <w:r>
        <w:rPr>
          <w:rFonts w:hint="eastAsia" w:ascii="新宋体" w:hAnsi="新宋体" w:eastAsia="新宋体" w:cs="新宋体"/>
          <w:color w:val="auto"/>
          <w:spacing w:val="-2"/>
          <w:kern w:val="0"/>
          <w:sz w:val="22"/>
          <w:szCs w:val="22"/>
          <w:highlight w:val="none"/>
        </w:rPr>
        <w:t>单</w:t>
      </w:r>
      <w:r>
        <w:rPr>
          <w:rFonts w:hint="eastAsia" w:ascii="新宋体" w:hAnsi="新宋体" w:eastAsia="新宋体" w:cs="新宋体"/>
          <w:color w:val="auto"/>
          <w:kern w:val="0"/>
          <w:sz w:val="22"/>
          <w:szCs w:val="22"/>
          <w:highlight w:val="none"/>
        </w:rPr>
        <w:t>位</w:t>
      </w:r>
      <w:r>
        <w:rPr>
          <w:rFonts w:hint="eastAsia" w:ascii="新宋体" w:hAnsi="新宋体" w:eastAsia="新宋体" w:cs="新宋体"/>
          <w:color w:val="auto"/>
          <w:spacing w:val="-2"/>
          <w:kern w:val="0"/>
          <w:sz w:val="22"/>
          <w:szCs w:val="22"/>
          <w:highlight w:val="none"/>
        </w:rPr>
        <w:t>负</w:t>
      </w:r>
      <w:r>
        <w:rPr>
          <w:rFonts w:hint="eastAsia" w:ascii="新宋体" w:hAnsi="新宋体" w:eastAsia="新宋体" w:cs="新宋体"/>
          <w:color w:val="auto"/>
          <w:kern w:val="0"/>
          <w:sz w:val="22"/>
          <w:szCs w:val="22"/>
          <w:highlight w:val="none"/>
        </w:rPr>
        <w:t>责人</w:t>
      </w:r>
      <w:r>
        <w:rPr>
          <w:rFonts w:hint="eastAsia" w:ascii="新宋体" w:hAnsi="新宋体" w:eastAsia="新宋体" w:cs="新宋体"/>
          <w:color w:val="auto"/>
          <w:spacing w:val="-2"/>
          <w:kern w:val="0"/>
          <w:sz w:val="22"/>
          <w:szCs w:val="22"/>
          <w:highlight w:val="none"/>
        </w:rPr>
        <w:t>）</w:t>
      </w:r>
      <w:r>
        <w:rPr>
          <w:rFonts w:hint="eastAsia" w:ascii="新宋体" w:hAnsi="新宋体" w:eastAsia="新宋体" w:cs="新宋体"/>
          <w:color w:val="auto"/>
          <w:kern w:val="0"/>
          <w:sz w:val="22"/>
          <w:szCs w:val="22"/>
          <w:highlight w:val="none"/>
        </w:rPr>
        <w:t>身</w:t>
      </w:r>
      <w:r>
        <w:rPr>
          <w:rFonts w:hint="eastAsia" w:ascii="新宋体" w:hAnsi="新宋体" w:eastAsia="新宋体" w:cs="新宋体"/>
          <w:color w:val="auto"/>
          <w:spacing w:val="-2"/>
          <w:kern w:val="0"/>
          <w:sz w:val="22"/>
          <w:szCs w:val="22"/>
          <w:highlight w:val="none"/>
        </w:rPr>
        <w:t>份</w:t>
      </w:r>
      <w:r>
        <w:rPr>
          <w:rFonts w:hint="eastAsia" w:ascii="新宋体" w:hAnsi="新宋体" w:eastAsia="新宋体" w:cs="新宋体"/>
          <w:color w:val="auto"/>
          <w:kern w:val="0"/>
          <w:sz w:val="22"/>
          <w:szCs w:val="22"/>
          <w:highlight w:val="none"/>
        </w:rPr>
        <w:t>证</w:t>
      </w:r>
      <w:r>
        <w:rPr>
          <w:rFonts w:hint="eastAsia" w:ascii="新宋体" w:hAnsi="新宋体" w:eastAsia="新宋体" w:cs="新宋体"/>
          <w:color w:val="auto"/>
          <w:spacing w:val="-2"/>
          <w:kern w:val="0"/>
          <w:sz w:val="22"/>
          <w:szCs w:val="22"/>
          <w:highlight w:val="none"/>
        </w:rPr>
        <w:t>复</w:t>
      </w:r>
      <w:r>
        <w:rPr>
          <w:rFonts w:hint="eastAsia" w:ascii="新宋体" w:hAnsi="新宋体" w:eastAsia="新宋体" w:cs="新宋体"/>
          <w:color w:val="auto"/>
          <w:kern w:val="0"/>
          <w:sz w:val="22"/>
          <w:szCs w:val="22"/>
          <w:highlight w:val="none"/>
        </w:rPr>
        <w:t>印</w:t>
      </w:r>
      <w:r>
        <w:rPr>
          <w:rFonts w:hint="eastAsia" w:ascii="新宋体" w:hAnsi="新宋体" w:eastAsia="新宋体" w:cs="新宋体"/>
          <w:color w:val="auto"/>
          <w:spacing w:val="-2"/>
          <w:kern w:val="0"/>
          <w:sz w:val="22"/>
          <w:szCs w:val="22"/>
          <w:highlight w:val="none"/>
        </w:rPr>
        <w:t>件</w:t>
      </w:r>
      <w:r>
        <w:rPr>
          <w:rFonts w:hint="eastAsia" w:ascii="新宋体" w:hAnsi="新宋体" w:eastAsia="新宋体" w:cs="新宋体"/>
          <w:color w:val="auto"/>
          <w:kern w:val="0"/>
          <w:sz w:val="22"/>
          <w:szCs w:val="22"/>
          <w:highlight w:val="none"/>
        </w:rPr>
        <w:t>。</w:t>
      </w:r>
    </w:p>
    <w:p w14:paraId="205A9FD1">
      <w:pPr>
        <w:pStyle w:val="24"/>
        <w:outlineLvl w:val="9"/>
        <w:rPr>
          <w:rFonts w:hint="eastAsia" w:ascii="新宋体" w:hAnsi="新宋体" w:eastAsia="新宋体" w:cs="新宋体"/>
          <w:color w:val="auto"/>
          <w:kern w:val="0"/>
          <w:sz w:val="22"/>
          <w:szCs w:val="22"/>
          <w:highlight w:val="none"/>
        </w:rPr>
      </w:pPr>
    </w:p>
    <w:p w14:paraId="6FFA8BA1">
      <w:pPr>
        <w:outlineLvl w:val="9"/>
        <w:rPr>
          <w:rFonts w:hint="eastAsia" w:ascii="新宋体" w:hAnsi="新宋体" w:eastAsia="新宋体" w:cs="新宋体"/>
          <w:color w:val="auto"/>
          <w:highlight w:val="none"/>
        </w:rPr>
      </w:pPr>
    </w:p>
    <w:tbl>
      <w:tblPr>
        <w:tblStyle w:val="27"/>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7"/>
      </w:tblGrid>
      <w:tr w14:paraId="5A35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7797" w:type="dxa"/>
            <w:noWrap w:val="0"/>
            <w:vAlign w:val="center"/>
          </w:tcPr>
          <w:p w14:paraId="50ADA46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00" w:lineRule="exact"/>
              <w:ind w:left="0" w:right="0" w:firstLine="0" w:firstLineChars="0"/>
              <w:jc w:val="center"/>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法定代表人（单位负责人）身份证（正</w:t>
            </w:r>
            <w:r>
              <w:rPr>
                <w:rFonts w:hint="eastAsia" w:ascii="新宋体" w:hAnsi="新宋体" w:eastAsia="新宋体" w:cs="新宋体"/>
                <w:color w:val="auto"/>
                <w:sz w:val="22"/>
                <w:szCs w:val="22"/>
                <w:highlight w:val="none"/>
                <w:lang w:eastAsia="zh-CN"/>
              </w:rPr>
              <w:t>、</w:t>
            </w:r>
            <w:r>
              <w:rPr>
                <w:rFonts w:hint="eastAsia" w:ascii="新宋体" w:hAnsi="新宋体" w:eastAsia="新宋体" w:cs="新宋体"/>
                <w:color w:val="auto"/>
                <w:sz w:val="22"/>
                <w:szCs w:val="22"/>
                <w:highlight w:val="none"/>
                <w:lang w:val="en-US" w:eastAsia="zh-CN"/>
              </w:rPr>
              <w:t>反</w:t>
            </w:r>
            <w:r>
              <w:rPr>
                <w:rFonts w:hint="eastAsia" w:ascii="新宋体" w:hAnsi="新宋体" w:eastAsia="新宋体" w:cs="新宋体"/>
                <w:color w:val="auto"/>
                <w:sz w:val="22"/>
                <w:szCs w:val="22"/>
                <w:highlight w:val="none"/>
              </w:rPr>
              <w:t>面）</w:t>
            </w:r>
            <w:r>
              <w:rPr>
                <w:rFonts w:hint="eastAsia" w:ascii="新宋体" w:hAnsi="新宋体" w:eastAsia="新宋体" w:cs="新宋体"/>
                <w:color w:val="auto"/>
                <w:spacing w:val="-2"/>
                <w:kern w:val="0"/>
                <w:sz w:val="22"/>
                <w:szCs w:val="22"/>
                <w:highlight w:val="none"/>
              </w:rPr>
              <w:t>复</w:t>
            </w:r>
            <w:r>
              <w:rPr>
                <w:rFonts w:hint="eastAsia" w:ascii="新宋体" w:hAnsi="新宋体" w:eastAsia="新宋体" w:cs="新宋体"/>
                <w:color w:val="auto"/>
                <w:kern w:val="0"/>
                <w:sz w:val="22"/>
                <w:szCs w:val="22"/>
                <w:highlight w:val="none"/>
              </w:rPr>
              <w:t>印</w:t>
            </w:r>
            <w:r>
              <w:rPr>
                <w:rFonts w:hint="eastAsia" w:ascii="新宋体" w:hAnsi="新宋体" w:eastAsia="新宋体" w:cs="新宋体"/>
                <w:color w:val="auto"/>
                <w:spacing w:val="-2"/>
                <w:kern w:val="0"/>
                <w:sz w:val="22"/>
                <w:szCs w:val="22"/>
                <w:highlight w:val="none"/>
              </w:rPr>
              <w:t>件</w:t>
            </w:r>
          </w:p>
        </w:tc>
      </w:tr>
    </w:tbl>
    <w:p w14:paraId="258C04B7">
      <w:pPr>
        <w:keepNext w:val="0"/>
        <w:keepLines w:val="0"/>
        <w:pageBreakBefore w:val="0"/>
        <w:widowControl w:val="0"/>
        <w:kinsoku/>
        <w:wordWrap/>
        <w:overflowPunct/>
        <w:topLinePunct w:val="0"/>
        <w:bidi w:val="0"/>
        <w:adjustRightInd w:val="0"/>
        <w:snapToGrid w:val="0"/>
        <w:spacing w:line="400" w:lineRule="exact"/>
        <w:ind w:left="0" w:right="0" w:firstLine="0" w:firstLineChars="0"/>
        <w:textAlignment w:val="auto"/>
        <w:outlineLvl w:val="9"/>
        <w:rPr>
          <w:rFonts w:hint="eastAsia" w:ascii="新宋体" w:hAnsi="新宋体" w:eastAsia="新宋体" w:cs="新宋体"/>
          <w:color w:val="auto"/>
          <w:sz w:val="22"/>
          <w:szCs w:val="22"/>
          <w:highlight w:val="none"/>
        </w:rPr>
      </w:pPr>
    </w:p>
    <w:p w14:paraId="0F51DD98">
      <w:pPr>
        <w:keepNext w:val="0"/>
        <w:keepLines w:val="0"/>
        <w:pageBreakBefore w:val="0"/>
        <w:widowControl w:val="0"/>
        <w:kinsoku/>
        <w:wordWrap/>
        <w:overflowPunct/>
        <w:topLinePunct w:val="0"/>
        <w:bidi w:val="0"/>
        <w:adjustRightInd w:val="0"/>
        <w:snapToGrid w:val="0"/>
        <w:spacing w:line="400" w:lineRule="exact"/>
        <w:ind w:left="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注：投标人代表为法定代表人（单位负责人）的提供。自然人投标的无需提供。</w:t>
      </w:r>
    </w:p>
    <w:p w14:paraId="00BB3796">
      <w:pPr>
        <w:keepNext w:val="0"/>
        <w:keepLines w:val="0"/>
        <w:pageBreakBefore w:val="0"/>
        <w:widowControl w:val="0"/>
        <w:kinsoku/>
        <w:wordWrap/>
        <w:overflowPunct/>
        <w:topLinePunct w:val="0"/>
        <w:bidi w:val="0"/>
        <w:adjustRightInd w:val="0"/>
        <w:snapToGrid w:val="0"/>
        <w:spacing w:line="400" w:lineRule="exact"/>
        <w:ind w:left="0" w:right="0" w:firstLine="0" w:firstLineChars="0"/>
        <w:textAlignment w:val="auto"/>
        <w:outlineLvl w:val="9"/>
        <w:rPr>
          <w:rFonts w:hint="eastAsia" w:ascii="新宋体" w:hAnsi="新宋体" w:eastAsia="新宋体" w:cs="新宋体"/>
          <w:color w:val="auto"/>
          <w:sz w:val="22"/>
          <w:szCs w:val="22"/>
          <w:highlight w:val="none"/>
        </w:rPr>
      </w:pPr>
    </w:p>
    <w:p w14:paraId="72C18661">
      <w:pPr>
        <w:keepNext w:val="0"/>
        <w:keepLines w:val="0"/>
        <w:pageBreakBefore w:val="0"/>
        <w:widowControl w:val="0"/>
        <w:kinsoku/>
        <w:wordWrap/>
        <w:overflowPunct/>
        <w:topLinePunct w:val="0"/>
        <w:bidi w:val="0"/>
        <w:adjustRightInd w:val="0"/>
        <w:snapToGrid w:val="0"/>
        <w:spacing w:line="400" w:lineRule="exact"/>
        <w:ind w:left="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投标人名称（盖单位章）：</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u w:val="single"/>
          <w:lang w:val="en-US" w:eastAsia="zh-CN"/>
        </w:rPr>
        <w:t xml:space="preserve">    </w:t>
      </w:r>
      <w:r>
        <w:rPr>
          <w:rFonts w:hint="eastAsia" w:ascii="新宋体" w:hAnsi="新宋体" w:eastAsia="新宋体" w:cs="新宋体"/>
          <w:color w:val="auto"/>
          <w:sz w:val="22"/>
          <w:szCs w:val="22"/>
          <w:highlight w:val="none"/>
          <w:u w:val="single"/>
        </w:rPr>
        <w:t xml:space="preserve">   </w:t>
      </w:r>
    </w:p>
    <w:p w14:paraId="3AAB589A">
      <w:pPr>
        <w:keepNext w:val="0"/>
        <w:keepLines w:val="0"/>
        <w:pageBreakBefore w:val="0"/>
        <w:widowControl w:val="0"/>
        <w:kinsoku/>
        <w:wordWrap/>
        <w:overflowPunct/>
        <w:topLinePunct w:val="0"/>
        <w:bidi w:val="0"/>
        <w:adjustRightInd w:val="0"/>
        <w:snapToGrid w:val="0"/>
        <w:spacing w:line="400" w:lineRule="exact"/>
        <w:ind w:left="0" w:right="0" w:firstLine="0" w:firstLineChars="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日期：</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年</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月</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日</w:t>
      </w:r>
    </w:p>
    <w:p w14:paraId="35C9AFD3">
      <w:pPr>
        <w:pStyle w:val="31"/>
        <w:pageBreakBefore w:val="0"/>
        <w:kinsoku/>
        <w:overflowPunct/>
        <w:topLinePunct w:val="0"/>
        <w:bidi w:val="0"/>
        <w:textAlignment w:val="auto"/>
        <w:outlineLvl w:val="9"/>
        <w:rPr>
          <w:rFonts w:hint="eastAsia" w:ascii="新宋体" w:hAnsi="新宋体" w:eastAsia="新宋体" w:cs="新宋体"/>
          <w:color w:val="auto"/>
          <w:highlight w:val="none"/>
        </w:rPr>
      </w:pPr>
    </w:p>
    <w:p w14:paraId="18FF63C6">
      <w:pPr>
        <w:pageBreakBefore w:val="0"/>
        <w:kinsoku/>
        <w:overflowPunct/>
        <w:topLinePunct w:val="0"/>
        <w:bidi w:val="0"/>
        <w:adjustRightInd w:val="0"/>
        <w:snapToGrid w:val="0"/>
        <w:spacing w:before="0" w:after="0" w:line="360" w:lineRule="auto"/>
        <w:jc w:val="center"/>
        <w:textAlignment w:val="auto"/>
        <w:outlineLvl w:val="9"/>
        <w:rPr>
          <w:rFonts w:hint="eastAsia" w:ascii="新宋体" w:hAnsi="新宋体" w:eastAsia="新宋体" w:cs="新宋体"/>
          <w:color w:val="auto"/>
          <w:sz w:val="28"/>
          <w:szCs w:val="28"/>
          <w:highlight w:val="none"/>
        </w:rPr>
      </w:pPr>
      <w:r>
        <w:rPr>
          <w:rFonts w:hint="eastAsia" w:ascii="新宋体" w:hAnsi="新宋体" w:eastAsia="新宋体" w:cs="新宋体"/>
          <w:color w:val="auto"/>
          <w:sz w:val="32"/>
          <w:szCs w:val="32"/>
          <w:highlight w:val="none"/>
        </w:rPr>
        <w:br w:type="page"/>
      </w:r>
      <w:bookmarkStart w:id="171" w:name="_Toc12400"/>
      <w:r>
        <w:rPr>
          <w:rFonts w:hint="eastAsia" w:ascii="新宋体" w:hAnsi="新宋体" w:eastAsia="新宋体" w:cs="新宋体"/>
          <w:b/>
          <w:bCs/>
          <w:color w:val="auto"/>
          <w:sz w:val="28"/>
          <w:szCs w:val="28"/>
          <w:highlight w:val="none"/>
          <w:lang w:val="en-US" w:eastAsia="zh-CN"/>
        </w:rPr>
        <w:t>附件2 法定代表人授权委托书</w:t>
      </w:r>
      <w:bookmarkEnd w:id="171"/>
    </w:p>
    <w:p w14:paraId="3E4F224D">
      <w:pPr>
        <w:pageBreakBefore w:val="0"/>
        <w:kinsoku/>
        <w:overflowPunct/>
        <w:topLinePunct w:val="0"/>
        <w:autoSpaceDE w:val="0"/>
        <w:autoSpaceDN w:val="0"/>
        <w:bidi w:val="0"/>
        <w:adjustRightInd w:val="0"/>
        <w:snapToGrid w:val="0"/>
        <w:spacing w:line="360" w:lineRule="auto"/>
        <w:ind w:firstLine="446" w:firstLineChars="200"/>
        <w:jc w:val="left"/>
        <w:textAlignment w:val="auto"/>
        <w:outlineLvl w:val="9"/>
        <w:rPr>
          <w:rFonts w:hint="eastAsia" w:ascii="新宋体" w:hAnsi="新宋体" w:eastAsia="新宋体" w:cs="新宋体"/>
          <w:b/>
          <w:color w:val="auto"/>
          <w:spacing w:val="6"/>
          <w:szCs w:val="21"/>
          <w:highlight w:val="none"/>
        </w:rPr>
      </w:pPr>
    </w:p>
    <w:p w14:paraId="31B8C415">
      <w:pPr>
        <w:pageBreakBefore w:val="0"/>
        <w:kinsoku/>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新宋体" w:hAnsi="新宋体" w:eastAsia="新宋体" w:cs="新宋体"/>
          <w:color w:val="auto"/>
          <w:kern w:val="0"/>
          <w:szCs w:val="21"/>
          <w:highlight w:val="none"/>
        </w:rPr>
      </w:pPr>
    </w:p>
    <w:p w14:paraId="7920DC95">
      <w:pPr>
        <w:pageBreakBefore w:val="0"/>
        <w:kinsoku/>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新宋体" w:hAnsi="新宋体" w:eastAsia="新宋体" w:cs="新宋体"/>
          <w:color w:val="auto"/>
          <w:kern w:val="0"/>
          <w:szCs w:val="21"/>
          <w:highlight w:val="none"/>
        </w:rPr>
      </w:pPr>
      <w:r>
        <w:rPr>
          <w:rFonts w:hint="eastAsia" w:ascii="新宋体" w:hAnsi="新宋体" w:eastAsia="新宋体" w:cs="新宋体"/>
          <w:color w:val="auto"/>
          <w:kern w:val="0"/>
          <w:szCs w:val="21"/>
          <w:highlight w:val="none"/>
        </w:rPr>
        <w:t>本人</w:t>
      </w:r>
      <w:r>
        <w:rPr>
          <w:rFonts w:hint="eastAsia" w:ascii="新宋体" w:hAnsi="新宋体" w:eastAsia="新宋体" w:cs="新宋体"/>
          <w:color w:val="auto"/>
          <w:kern w:val="0"/>
          <w:szCs w:val="21"/>
          <w:highlight w:val="none"/>
          <w:u w:val="single"/>
        </w:rPr>
        <w:t xml:space="preserve">          </w:t>
      </w:r>
      <w:r>
        <w:rPr>
          <w:rFonts w:hint="eastAsia" w:ascii="新宋体" w:hAnsi="新宋体" w:eastAsia="新宋体" w:cs="新宋体"/>
          <w:color w:val="auto"/>
          <w:kern w:val="0"/>
          <w:szCs w:val="21"/>
          <w:highlight w:val="none"/>
        </w:rPr>
        <w:t>（姓名、职务）系</w:t>
      </w:r>
      <w:r>
        <w:rPr>
          <w:rFonts w:hint="eastAsia" w:ascii="新宋体" w:hAnsi="新宋体" w:eastAsia="新宋体" w:cs="新宋体"/>
          <w:color w:val="auto"/>
          <w:kern w:val="0"/>
          <w:szCs w:val="21"/>
          <w:highlight w:val="none"/>
          <w:u w:val="single"/>
        </w:rPr>
        <w:t xml:space="preserve">                        </w:t>
      </w:r>
      <w:r>
        <w:rPr>
          <w:rFonts w:hint="eastAsia" w:ascii="新宋体" w:hAnsi="新宋体" w:eastAsia="新宋体" w:cs="新宋体"/>
          <w:color w:val="auto"/>
          <w:kern w:val="0"/>
          <w:szCs w:val="21"/>
          <w:highlight w:val="none"/>
        </w:rPr>
        <w:t xml:space="preserve"> （</w:t>
      </w:r>
      <w:r>
        <w:rPr>
          <w:rFonts w:hint="eastAsia" w:ascii="新宋体" w:hAnsi="新宋体" w:eastAsia="新宋体" w:cs="新宋体"/>
          <w:color w:val="auto"/>
          <w:szCs w:val="21"/>
          <w:highlight w:val="none"/>
        </w:rPr>
        <w:t>投标人</w:t>
      </w:r>
      <w:r>
        <w:rPr>
          <w:rFonts w:hint="eastAsia" w:ascii="新宋体" w:hAnsi="新宋体" w:eastAsia="新宋体" w:cs="新宋体"/>
          <w:color w:val="auto"/>
          <w:kern w:val="0"/>
          <w:szCs w:val="21"/>
          <w:highlight w:val="none"/>
        </w:rPr>
        <w:t>名称）的法定代表人（</w:t>
      </w:r>
      <w:r>
        <w:rPr>
          <w:rFonts w:hint="eastAsia" w:ascii="新宋体" w:hAnsi="新宋体" w:eastAsia="新宋体" w:cs="新宋体"/>
          <w:color w:val="auto"/>
          <w:spacing w:val="-2"/>
          <w:kern w:val="0"/>
          <w:szCs w:val="21"/>
          <w:highlight w:val="none"/>
        </w:rPr>
        <w:t>单</w:t>
      </w:r>
      <w:r>
        <w:rPr>
          <w:rFonts w:hint="eastAsia" w:ascii="新宋体" w:hAnsi="新宋体" w:eastAsia="新宋体" w:cs="新宋体"/>
          <w:color w:val="auto"/>
          <w:kern w:val="0"/>
          <w:szCs w:val="21"/>
          <w:highlight w:val="none"/>
        </w:rPr>
        <w:t>位</w:t>
      </w:r>
      <w:r>
        <w:rPr>
          <w:rFonts w:hint="eastAsia" w:ascii="新宋体" w:hAnsi="新宋体" w:eastAsia="新宋体" w:cs="新宋体"/>
          <w:color w:val="auto"/>
          <w:spacing w:val="-2"/>
          <w:kern w:val="0"/>
          <w:szCs w:val="21"/>
          <w:highlight w:val="none"/>
        </w:rPr>
        <w:t>负</w:t>
      </w:r>
      <w:r>
        <w:rPr>
          <w:rFonts w:hint="eastAsia" w:ascii="新宋体" w:hAnsi="新宋体" w:eastAsia="新宋体" w:cs="新宋体"/>
          <w:color w:val="auto"/>
          <w:kern w:val="0"/>
          <w:szCs w:val="21"/>
          <w:highlight w:val="none"/>
        </w:rPr>
        <w:t>责人</w:t>
      </w:r>
      <w:r>
        <w:rPr>
          <w:rFonts w:hint="eastAsia" w:ascii="新宋体" w:hAnsi="新宋体" w:eastAsia="新宋体" w:cs="新宋体"/>
          <w:color w:val="auto"/>
          <w:spacing w:val="-2"/>
          <w:kern w:val="0"/>
          <w:szCs w:val="21"/>
          <w:highlight w:val="none"/>
        </w:rPr>
        <w:t>）</w:t>
      </w:r>
      <w:r>
        <w:rPr>
          <w:rFonts w:hint="eastAsia" w:ascii="新宋体" w:hAnsi="新宋体" w:eastAsia="新宋体" w:cs="新宋体"/>
          <w:color w:val="auto"/>
          <w:kern w:val="0"/>
          <w:szCs w:val="21"/>
          <w:highlight w:val="none"/>
        </w:rPr>
        <w:t>，现授权</w:t>
      </w:r>
      <w:r>
        <w:rPr>
          <w:rFonts w:hint="eastAsia" w:ascii="新宋体" w:hAnsi="新宋体" w:eastAsia="新宋体" w:cs="新宋体"/>
          <w:color w:val="auto"/>
          <w:kern w:val="0"/>
          <w:szCs w:val="21"/>
          <w:highlight w:val="none"/>
          <w:u w:val="single"/>
        </w:rPr>
        <w:t xml:space="preserve">          </w:t>
      </w:r>
      <w:r>
        <w:rPr>
          <w:rFonts w:hint="eastAsia" w:ascii="新宋体" w:hAnsi="新宋体" w:eastAsia="新宋体" w:cs="新宋体"/>
          <w:color w:val="auto"/>
          <w:kern w:val="0"/>
          <w:szCs w:val="21"/>
          <w:highlight w:val="none"/>
        </w:rPr>
        <w:t>（姓名、职务）为我方代理人。代理人根据授权，以我方名义签署、澄清、说明、补正、递交、撤回、修改</w:t>
      </w:r>
      <w:r>
        <w:rPr>
          <w:rFonts w:hint="eastAsia" w:ascii="新宋体" w:hAnsi="新宋体" w:eastAsia="新宋体" w:cs="新宋体"/>
          <w:color w:val="auto"/>
          <w:kern w:val="0"/>
          <w:szCs w:val="21"/>
          <w:highlight w:val="none"/>
          <w:u w:val="single"/>
        </w:rPr>
        <w:t xml:space="preserve">              </w:t>
      </w:r>
      <w:r>
        <w:rPr>
          <w:rFonts w:hint="eastAsia" w:ascii="新宋体" w:hAnsi="新宋体" w:eastAsia="新宋体" w:cs="新宋体"/>
          <w:color w:val="auto"/>
          <w:kern w:val="0"/>
          <w:szCs w:val="21"/>
          <w:highlight w:val="none"/>
        </w:rPr>
        <w:t>（项目名称）</w:t>
      </w:r>
      <w:r>
        <w:rPr>
          <w:rFonts w:hint="eastAsia" w:ascii="新宋体" w:hAnsi="新宋体" w:eastAsia="新宋体" w:cs="新宋体"/>
          <w:color w:val="auto"/>
          <w:kern w:val="0"/>
          <w:szCs w:val="21"/>
          <w:highlight w:val="none"/>
          <w:u w:val="single"/>
          <w:lang w:val="en-US" w:eastAsia="zh-CN"/>
        </w:rPr>
        <w:t xml:space="preserve">        （</w:t>
      </w:r>
      <w:r>
        <w:rPr>
          <w:rFonts w:hint="eastAsia" w:ascii="新宋体" w:hAnsi="新宋体" w:eastAsia="新宋体" w:cs="新宋体"/>
          <w:color w:val="auto"/>
          <w:kern w:val="0"/>
          <w:szCs w:val="21"/>
          <w:highlight w:val="none"/>
          <w:lang w:eastAsia="zh-CN"/>
        </w:rPr>
        <w:t>包号及标的名称</w:t>
      </w:r>
      <w:r>
        <w:rPr>
          <w:rFonts w:hint="eastAsia" w:ascii="新宋体" w:hAnsi="新宋体" w:eastAsia="新宋体" w:cs="新宋体"/>
          <w:color w:val="auto"/>
          <w:kern w:val="0"/>
          <w:szCs w:val="21"/>
          <w:highlight w:val="none"/>
          <w:u w:val="none"/>
          <w:lang w:val="en-US" w:eastAsia="zh-CN"/>
        </w:rPr>
        <w:t>）</w:t>
      </w:r>
      <w:r>
        <w:rPr>
          <w:rFonts w:hint="eastAsia" w:ascii="新宋体" w:hAnsi="新宋体" w:eastAsia="新宋体" w:cs="新宋体"/>
          <w:color w:val="auto"/>
          <w:kern w:val="0"/>
          <w:szCs w:val="21"/>
          <w:highlight w:val="none"/>
        </w:rPr>
        <w:t>（</w:t>
      </w:r>
      <w:r>
        <w:rPr>
          <w:rFonts w:hint="eastAsia" w:ascii="新宋体" w:hAnsi="新宋体" w:eastAsia="新宋体" w:cs="新宋体"/>
          <w:color w:val="auto"/>
          <w:highlight w:val="none"/>
        </w:rPr>
        <w:t>政府采购计划编号</w:t>
      </w:r>
      <w:r>
        <w:rPr>
          <w:rFonts w:hint="eastAsia" w:ascii="新宋体" w:hAnsi="新宋体" w:eastAsia="新宋体" w:cs="新宋体"/>
          <w:iCs/>
          <w:color w:val="auto"/>
          <w:highlight w:val="none"/>
        </w:rPr>
        <w:t>：</w:t>
      </w:r>
      <w:r>
        <w:rPr>
          <w:rFonts w:hint="eastAsia" w:ascii="新宋体" w:hAnsi="新宋体" w:eastAsia="新宋体" w:cs="新宋体"/>
          <w:iCs/>
          <w:color w:val="auto"/>
          <w:highlight w:val="none"/>
          <w:u w:val="single"/>
        </w:rPr>
        <w:t xml:space="preserve">      </w:t>
      </w:r>
      <w:r>
        <w:rPr>
          <w:rFonts w:hint="eastAsia" w:ascii="新宋体" w:hAnsi="新宋体" w:eastAsia="新宋体" w:cs="新宋体"/>
          <w:iCs/>
          <w:color w:val="auto"/>
          <w:highlight w:val="none"/>
        </w:rPr>
        <w:t xml:space="preserve"> ，</w:t>
      </w:r>
      <w:r>
        <w:rPr>
          <w:rFonts w:hint="eastAsia" w:ascii="新宋体" w:hAnsi="新宋体" w:eastAsia="新宋体" w:cs="新宋体"/>
          <w:color w:val="auto"/>
          <w:kern w:val="0"/>
          <w:szCs w:val="21"/>
          <w:highlight w:val="none"/>
          <w:lang w:eastAsia="zh-CN"/>
        </w:rPr>
        <w:t>委托代理编号</w:t>
      </w:r>
      <w:r>
        <w:rPr>
          <w:rFonts w:hint="eastAsia" w:ascii="新宋体" w:hAnsi="新宋体" w:eastAsia="新宋体" w:cs="新宋体"/>
          <w:color w:val="auto"/>
          <w:kern w:val="0"/>
          <w:szCs w:val="21"/>
          <w:highlight w:val="none"/>
        </w:rPr>
        <w:t>：</w:t>
      </w:r>
      <w:r>
        <w:rPr>
          <w:rFonts w:hint="eastAsia" w:ascii="新宋体" w:hAnsi="新宋体" w:eastAsia="新宋体" w:cs="新宋体"/>
          <w:color w:val="auto"/>
          <w:kern w:val="0"/>
          <w:szCs w:val="21"/>
          <w:highlight w:val="none"/>
          <w:u w:val="single"/>
        </w:rPr>
        <w:t xml:space="preserve">       </w:t>
      </w:r>
      <w:r>
        <w:rPr>
          <w:rFonts w:hint="eastAsia" w:ascii="新宋体" w:hAnsi="新宋体" w:eastAsia="新宋体" w:cs="新宋体"/>
          <w:color w:val="auto"/>
          <w:kern w:val="0"/>
          <w:szCs w:val="21"/>
          <w:highlight w:val="none"/>
        </w:rPr>
        <w:t>）投标文件、签订合同和处理有关事宜，其法律后果由我方承担。</w:t>
      </w:r>
    </w:p>
    <w:p w14:paraId="3D353822">
      <w:pPr>
        <w:pageBreakBefore w:val="0"/>
        <w:kinsoku/>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新宋体" w:hAnsi="新宋体" w:eastAsia="新宋体" w:cs="新宋体"/>
          <w:color w:val="auto"/>
          <w:kern w:val="0"/>
          <w:szCs w:val="21"/>
          <w:highlight w:val="none"/>
        </w:rPr>
      </w:pPr>
      <w:r>
        <w:rPr>
          <w:rFonts w:hint="eastAsia" w:ascii="新宋体" w:hAnsi="新宋体" w:eastAsia="新宋体" w:cs="新宋体"/>
          <w:color w:val="auto"/>
          <w:kern w:val="0"/>
          <w:szCs w:val="21"/>
          <w:highlight w:val="none"/>
        </w:rPr>
        <w:t>委托期限：</w:t>
      </w:r>
      <w:r>
        <w:rPr>
          <w:rFonts w:hint="eastAsia" w:ascii="新宋体" w:hAnsi="新宋体" w:eastAsia="新宋体" w:cs="新宋体"/>
          <w:color w:val="auto"/>
          <w:kern w:val="0"/>
          <w:szCs w:val="21"/>
          <w:highlight w:val="none"/>
          <w:u w:val="single"/>
        </w:rPr>
        <w:t xml:space="preserve"> </w:t>
      </w:r>
      <w:r>
        <w:rPr>
          <w:rFonts w:hint="eastAsia" w:ascii="新宋体" w:hAnsi="新宋体" w:eastAsia="新宋体" w:cs="新宋体"/>
          <w:color w:val="auto"/>
          <w:kern w:val="0"/>
          <w:szCs w:val="21"/>
          <w:highlight w:val="none"/>
          <w:u w:val="single"/>
          <w:lang w:eastAsia="zh-CN"/>
        </w:rPr>
        <w:t>自</w:t>
      </w:r>
      <w:r>
        <w:rPr>
          <w:rFonts w:hint="eastAsia" w:ascii="新宋体" w:hAnsi="新宋体" w:eastAsia="新宋体" w:cs="新宋体"/>
          <w:color w:val="auto"/>
          <w:kern w:val="0"/>
          <w:szCs w:val="21"/>
          <w:highlight w:val="none"/>
          <w:u w:val="single"/>
        </w:rPr>
        <w:t xml:space="preserve">提交投标文件截止之日起90日历日 </w:t>
      </w:r>
      <w:r>
        <w:rPr>
          <w:rFonts w:hint="eastAsia" w:ascii="新宋体" w:hAnsi="新宋体" w:eastAsia="新宋体" w:cs="新宋体"/>
          <w:color w:val="auto"/>
          <w:kern w:val="0"/>
          <w:szCs w:val="21"/>
          <w:highlight w:val="none"/>
        </w:rPr>
        <w:t xml:space="preserve"> 。</w:t>
      </w:r>
    </w:p>
    <w:p w14:paraId="5938BBA6">
      <w:pPr>
        <w:pageBreakBefore w:val="0"/>
        <w:kinsoku/>
        <w:overflowPunct/>
        <w:topLinePunct w:val="0"/>
        <w:bidi w:val="0"/>
        <w:adjustRightInd w:val="0"/>
        <w:snapToGrid w:val="0"/>
        <w:spacing w:line="360" w:lineRule="auto"/>
        <w:ind w:firstLine="435"/>
        <w:textAlignment w:val="auto"/>
        <w:outlineLvl w:val="9"/>
        <w:rPr>
          <w:rFonts w:hint="eastAsia" w:ascii="新宋体" w:hAnsi="新宋体" w:eastAsia="新宋体" w:cs="新宋体"/>
          <w:color w:val="auto"/>
          <w:kern w:val="0"/>
          <w:szCs w:val="21"/>
          <w:highlight w:val="none"/>
        </w:rPr>
      </w:pPr>
      <w:r>
        <w:rPr>
          <w:rFonts w:hint="eastAsia" w:ascii="新宋体" w:hAnsi="新宋体" w:eastAsia="新宋体" w:cs="新宋体"/>
          <w:color w:val="auto"/>
          <w:kern w:val="0"/>
          <w:szCs w:val="21"/>
          <w:highlight w:val="none"/>
        </w:rPr>
        <w:t>代理人无转委托权。</w:t>
      </w:r>
    </w:p>
    <w:p w14:paraId="11F4B231">
      <w:pPr>
        <w:pageBreakBefore w:val="0"/>
        <w:kinsoku/>
        <w:overflowPunct/>
        <w:topLinePunct w:val="0"/>
        <w:bidi w:val="0"/>
        <w:adjustRightInd w:val="0"/>
        <w:snapToGrid w:val="0"/>
        <w:spacing w:line="360" w:lineRule="auto"/>
        <w:ind w:firstLine="435"/>
        <w:textAlignment w:val="auto"/>
        <w:outlineLvl w:val="9"/>
        <w:rPr>
          <w:rFonts w:hint="eastAsia" w:ascii="新宋体" w:hAnsi="新宋体" w:eastAsia="新宋体" w:cs="新宋体"/>
          <w:color w:val="auto"/>
          <w:kern w:val="0"/>
          <w:szCs w:val="21"/>
          <w:highlight w:val="none"/>
        </w:rPr>
      </w:pPr>
      <w:r>
        <w:rPr>
          <w:rFonts w:hint="eastAsia" w:ascii="新宋体" w:hAnsi="新宋体" w:eastAsia="新宋体" w:cs="新宋体"/>
          <w:color w:val="auto"/>
          <w:szCs w:val="21"/>
          <w:highlight w:val="none"/>
        </w:rPr>
        <w:t>本授权书于</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年</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月</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日签字生效，特此声明。</w:t>
      </w:r>
    </w:p>
    <w:tbl>
      <w:tblPr>
        <w:tblStyle w:val="2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8"/>
      </w:tblGrid>
      <w:tr w14:paraId="018F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trPr>
        <w:tc>
          <w:tcPr>
            <w:tcW w:w="5000" w:type="pct"/>
            <w:noWrap w:val="0"/>
            <w:vAlign w:val="center"/>
          </w:tcPr>
          <w:p w14:paraId="51027125">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jc w:val="center"/>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委托代理人身份证（正面</w:t>
            </w:r>
            <w:r>
              <w:rPr>
                <w:rFonts w:hint="eastAsia" w:ascii="新宋体" w:hAnsi="新宋体" w:eastAsia="新宋体" w:cs="新宋体"/>
                <w:color w:val="auto"/>
                <w:szCs w:val="21"/>
                <w:highlight w:val="none"/>
                <w:lang w:eastAsia="zh-CN"/>
              </w:rPr>
              <w:t>和反面</w:t>
            </w:r>
            <w:r>
              <w:rPr>
                <w:rFonts w:hint="eastAsia" w:ascii="新宋体" w:hAnsi="新宋体" w:eastAsia="新宋体" w:cs="新宋体"/>
                <w:color w:val="auto"/>
                <w:szCs w:val="21"/>
                <w:highlight w:val="none"/>
              </w:rPr>
              <w:t>）</w:t>
            </w:r>
            <w:r>
              <w:rPr>
                <w:rFonts w:hint="eastAsia" w:ascii="新宋体" w:hAnsi="新宋体" w:eastAsia="新宋体" w:cs="新宋体"/>
                <w:color w:val="auto"/>
                <w:spacing w:val="-2"/>
                <w:kern w:val="0"/>
                <w:szCs w:val="21"/>
                <w:highlight w:val="none"/>
              </w:rPr>
              <w:t>复</w:t>
            </w:r>
            <w:r>
              <w:rPr>
                <w:rFonts w:hint="eastAsia" w:ascii="新宋体" w:hAnsi="新宋体" w:eastAsia="新宋体" w:cs="新宋体"/>
                <w:color w:val="auto"/>
                <w:kern w:val="0"/>
                <w:szCs w:val="21"/>
                <w:highlight w:val="none"/>
              </w:rPr>
              <w:t>印</w:t>
            </w:r>
            <w:r>
              <w:rPr>
                <w:rFonts w:hint="eastAsia" w:ascii="新宋体" w:hAnsi="新宋体" w:eastAsia="新宋体" w:cs="新宋体"/>
                <w:color w:val="auto"/>
                <w:spacing w:val="-2"/>
                <w:kern w:val="0"/>
                <w:szCs w:val="21"/>
                <w:highlight w:val="none"/>
              </w:rPr>
              <w:t>件</w:t>
            </w:r>
          </w:p>
        </w:tc>
      </w:tr>
      <w:tr w14:paraId="543E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trPr>
        <w:tc>
          <w:tcPr>
            <w:tcW w:w="5000" w:type="pct"/>
            <w:noWrap w:val="0"/>
            <w:vAlign w:val="center"/>
          </w:tcPr>
          <w:p w14:paraId="7440086D">
            <w:pPr>
              <w:keepNext w:val="0"/>
              <w:keepLines w:val="0"/>
              <w:pageBreakBefore w:val="0"/>
              <w:suppressLineNumbers w:val="0"/>
              <w:kinsoku/>
              <w:overflowPunct/>
              <w:topLinePunct w:val="0"/>
              <w:bidi w:val="0"/>
              <w:adjustRightInd w:val="0"/>
              <w:snapToGrid w:val="0"/>
              <w:spacing w:before="0" w:beforeAutospacing="0" w:after="0" w:afterAutospacing="0" w:line="360" w:lineRule="auto"/>
              <w:ind w:left="0" w:right="0"/>
              <w:jc w:val="center"/>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法定代表人身份证（正面</w:t>
            </w:r>
            <w:r>
              <w:rPr>
                <w:rFonts w:hint="eastAsia" w:ascii="新宋体" w:hAnsi="新宋体" w:eastAsia="新宋体" w:cs="新宋体"/>
                <w:color w:val="auto"/>
                <w:szCs w:val="21"/>
                <w:highlight w:val="none"/>
                <w:lang w:eastAsia="zh-CN"/>
              </w:rPr>
              <w:t>和反面</w:t>
            </w:r>
            <w:r>
              <w:rPr>
                <w:rFonts w:hint="eastAsia" w:ascii="新宋体" w:hAnsi="新宋体" w:eastAsia="新宋体" w:cs="新宋体"/>
                <w:color w:val="auto"/>
                <w:szCs w:val="21"/>
                <w:highlight w:val="none"/>
              </w:rPr>
              <w:t>）</w:t>
            </w:r>
            <w:r>
              <w:rPr>
                <w:rFonts w:hint="eastAsia" w:ascii="新宋体" w:hAnsi="新宋体" w:eastAsia="新宋体" w:cs="新宋体"/>
                <w:color w:val="auto"/>
                <w:spacing w:val="-2"/>
                <w:kern w:val="0"/>
                <w:szCs w:val="21"/>
                <w:highlight w:val="none"/>
              </w:rPr>
              <w:t>复</w:t>
            </w:r>
            <w:r>
              <w:rPr>
                <w:rFonts w:hint="eastAsia" w:ascii="新宋体" w:hAnsi="新宋体" w:eastAsia="新宋体" w:cs="新宋体"/>
                <w:color w:val="auto"/>
                <w:kern w:val="0"/>
                <w:szCs w:val="21"/>
                <w:highlight w:val="none"/>
              </w:rPr>
              <w:t>印</w:t>
            </w:r>
            <w:r>
              <w:rPr>
                <w:rFonts w:hint="eastAsia" w:ascii="新宋体" w:hAnsi="新宋体" w:eastAsia="新宋体" w:cs="新宋体"/>
                <w:color w:val="auto"/>
                <w:spacing w:val="-2"/>
                <w:kern w:val="0"/>
                <w:szCs w:val="21"/>
                <w:highlight w:val="none"/>
              </w:rPr>
              <w:t>件</w:t>
            </w:r>
          </w:p>
        </w:tc>
      </w:tr>
    </w:tbl>
    <w:p w14:paraId="4EF57395">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p>
    <w:p w14:paraId="4BF815D5">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p>
    <w:p w14:paraId="5B7109C0">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注：1、投标人代表不是投标人的法定代表人（单位负责人）的提供。自然人投标的无需提供。</w:t>
      </w:r>
    </w:p>
    <w:p w14:paraId="492A7992">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p>
    <w:p w14:paraId="17690A03">
      <w:pPr>
        <w:pageBreakBefore w:val="0"/>
        <w:kinsoku/>
        <w:overflowPunct/>
        <w:topLinePunct w:val="0"/>
        <w:bidi w:val="0"/>
        <w:adjustRightInd w:val="0"/>
        <w:snapToGrid w:val="0"/>
        <w:spacing w:line="360" w:lineRule="auto"/>
        <w:ind w:firstLine="420" w:firstLineChars="200"/>
        <w:textAlignment w:val="auto"/>
        <w:outlineLvl w:val="9"/>
        <w:rPr>
          <w:rFonts w:hint="eastAsia" w:ascii="新宋体" w:hAnsi="新宋体" w:eastAsia="新宋体" w:cs="新宋体"/>
          <w:color w:val="auto"/>
          <w:szCs w:val="21"/>
          <w:highlight w:val="none"/>
        </w:rPr>
      </w:pPr>
    </w:p>
    <w:p w14:paraId="0063A214">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投标人名称（盖单位章）：</w:t>
      </w:r>
    </w:p>
    <w:p w14:paraId="4B29CB9C">
      <w:pPr>
        <w:pageBreakBefore w:val="0"/>
        <w:kinsoku/>
        <w:overflowPunct/>
        <w:topLinePunct w:val="0"/>
        <w:bidi w:val="0"/>
        <w:adjustRightInd w:val="0"/>
        <w:snapToGrid w:val="0"/>
        <w:spacing w:line="360" w:lineRule="auto"/>
        <w:ind w:right="42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pacing w:val="-2"/>
          <w:kern w:val="0"/>
          <w:szCs w:val="21"/>
          <w:highlight w:val="none"/>
        </w:rPr>
        <w:t>法</w:t>
      </w:r>
      <w:r>
        <w:rPr>
          <w:rFonts w:hint="eastAsia" w:ascii="新宋体" w:hAnsi="新宋体" w:eastAsia="新宋体" w:cs="新宋体"/>
          <w:color w:val="auto"/>
          <w:kern w:val="0"/>
          <w:szCs w:val="21"/>
          <w:highlight w:val="none"/>
        </w:rPr>
        <w:t>定</w:t>
      </w:r>
      <w:r>
        <w:rPr>
          <w:rFonts w:hint="eastAsia" w:ascii="新宋体" w:hAnsi="新宋体" w:eastAsia="新宋体" w:cs="新宋体"/>
          <w:color w:val="auto"/>
          <w:spacing w:val="-2"/>
          <w:kern w:val="0"/>
          <w:szCs w:val="21"/>
          <w:highlight w:val="none"/>
        </w:rPr>
        <w:t>代</w:t>
      </w:r>
      <w:r>
        <w:rPr>
          <w:rFonts w:hint="eastAsia" w:ascii="新宋体" w:hAnsi="新宋体" w:eastAsia="新宋体" w:cs="新宋体"/>
          <w:color w:val="auto"/>
          <w:kern w:val="0"/>
          <w:szCs w:val="21"/>
          <w:highlight w:val="none"/>
        </w:rPr>
        <w:t>表</w:t>
      </w:r>
      <w:r>
        <w:rPr>
          <w:rFonts w:hint="eastAsia" w:ascii="新宋体" w:hAnsi="新宋体" w:eastAsia="新宋体" w:cs="新宋体"/>
          <w:color w:val="auto"/>
          <w:spacing w:val="-2"/>
          <w:kern w:val="0"/>
          <w:szCs w:val="21"/>
          <w:highlight w:val="none"/>
        </w:rPr>
        <w:t>人</w:t>
      </w:r>
      <w:r>
        <w:rPr>
          <w:rFonts w:hint="eastAsia" w:ascii="新宋体" w:hAnsi="新宋体" w:eastAsia="新宋体" w:cs="新宋体"/>
          <w:color w:val="auto"/>
          <w:kern w:val="0"/>
          <w:szCs w:val="21"/>
          <w:highlight w:val="none"/>
        </w:rPr>
        <w:t>（</w:t>
      </w:r>
      <w:r>
        <w:rPr>
          <w:rFonts w:hint="eastAsia" w:ascii="新宋体" w:hAnsi="新宋体" w:eastAsia="新宋体" w:cs="新宋体"/>
          <w:color w:val="auto"/>
          <w:spacing w:val="-2"/>
          <w:kern w:val="0"/>
          <w:szCs w:val="21"/>
          <w:highlight w:val="none"/>
        </w:rPr>
        <w:t>单</w:t>
      </w:r>
      <w:r>
        <w:rPr>
          <w:rFonts w:hint="eastAsia" w:ascii="新宋体" w:hAnsi="新宋体" w:eastAsia="新宋体" w:cs="新宋体"/>
          <w:color w:val="auto"/>
          <w:kern w:val="0"/>
          <w:szCs w:val="21"/>
          <w:highlight w:val="none"/>
        </w:rPr>
        <w:t>位</w:t>
      </w:r>
      <w:r>
        <w:rPr>
          <w:rFonts w:hint="eastAsia" w:ascii="新宋体" w:hAnsi="新宋体" w:eastAsia="新宋体" w:cs="新宋体"/>
          <w:color w:val="auto"/>
          <w:spacing w:val="-2"/>
          <w:kern w:val="0"/>
          <w:szCs w:val="21"/>
          <w:highlight w:val="none"/>
        </w:rPr>
        <w:t>负</w:t>
      </w:r>
      <w:r>
        <w:rPr>
          <w:rFonts w:hint="eastAsia" w:ascii="新宋体" w:hAnsi="新宋体" w:eastAsia="新宋体" w:cs="新宋体"/>
          <w:color w:val="auto"/>
          <w:kern w:val="0"/>
          <w:szCs w:val="21"/>
          <w:highlight w:val="none"/>
        </w:rPr>
        <w:t>责人</w:t>
      </w:r>
      <w:r>
        <w:rPr>
          <w:rFonts w:hint="eastAsia" w:ascii="新宋体" w:hAnsi="新宋体" w:eastAsia="新宋体" w:cs="新宋体"/>
          <w:color w:val="auto"/>
          <w:spacing w:val="-2"/>
          <w:kern w:val="0"/>
          <w:szCs w:val="21"/>
          <w:highlight w:val="none"/>
        </w:rPr>
        <w:t>）</w:t>
      </w:r>
      <w:r>
        <w:rPr>
          <w:rFonts w:hint="eastAsia" w:ascii="新宋体" w:hAnsi="新宋体" w:eastAsia="新宋体" w:cs="新宋体"/>
          <w:color w:val="auto"/>
          <w:szCs w:val="21"/>
          <w:highlight w:val="none"/>
        </w:rPr>
        <w:t>（签字或印章）：</w:t>
      </w:r>
      <w:r>
        <w:rPr>
          <w:rFonts w:hint="eastAsia" w:ascii="新宋体" w:hAnsi="新宋体" w:eastAsia="新宋体" w:cs="新宋体"/>
          <w:color w:val="auto"/>
          <w:szCs w:val="21"/>
          <w:highlight w:val="none"/>
          <w:u w:val="single"/>
        </w:rPr>
        <w:t xml:space="preserve">                     </w:t>
      </w:r>
    </w:p>
    <w:p w14:paraId="6480766A">
      <w:pPr>
        <w:pageBreakBefore w:val="0"/>
        <w:kinsoku/>
        <w:overflowPunct/>
        <w:topLinePunct w:val="0"/>
        <w:bidi w:val="0"/>
        <w:adjustRightInd w:val="0"/>
        <w:snapToGrid w:val="0"/>
        <w:spacing w:line="360" w:lineRule="auto"/>
        <w:ind w:right="42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委托代理人（签字或印章）：</w:t>
      </w:r>
      <w:r>
        <w:rPr>
          <w:rFonts w:hint="eastAsia" w:ascii="新宋体" w:hAnsi="新宋体" w:eastAsia="新宋体" w:cs="新宋体"/>
          <w:color w:val="auto"/>
          <w:szCs w:val="21"/>
          <w:highlight w:val="none"/>
          <w:u w:val="single"/>
        </w:rPr>
        <w:t xml:space="preserve">                     </w:t>
      </w:r>
    </w:p>
    <w:p w14:paraId="0CE0E5E4">
      <w:pPr>
        <w:pageBreakBefore w:val="0"/>
        <w:kinsoku/>
        <w:overflowPunct/>
        <w:topLinePunct w:val="0"/>
        <w:bidi w:val="0"/>
        <w:adjustRightInd w:val="0"/>
        <w:snapToGrid w:val="0"/>
        <w:spacing w:line="360" w:lineRule="auto"/>
        <w:ind w:right="42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日期：</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年</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月</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日</w:t>
      </w:r>
    </w:p>
    <w:p w14:paraId="473A37C6">
      <w:pPr>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color w:val="auto"/>
          <w:sz w:val="28"/>
          <w:szCs w:val="28"/>
          <w:highlight w:val="none"/>
        </w:rPr>
      </w:pPr>
      <w:r>
        <w:rPr>
          <w:rFonts w:hint="eastAsia" w:ascii="新宋体" w:hAnsi="新宋体" w:eastAsia="新宋体" w:cs="新宋体"/>
          <w:bCs/>
          <w:color w:val="auto"/>
          <w:sz w:val="28"/>
          <w:szCs w:val="28"/>
          <w:highlight w:val="none"/>
        </w:rPr>
        <w:br w:type="page"/>
      </w:r>
      <w:bookmarkStart w:id="172" w:name="_Toc11741"/>
      <w:r>
        <w:rPr>
          <w:rFonts w:hint="eastAsia" w:ascii="新宋体" w:hAnsi="新宋体" w:eastAsia="新宋体" w:cs="新宋体"/>
          <w:b/>
          <w:bCs/>
          <w:color w:val="auto"/>
          <w:sz w:val="28"/>
          <w:szCs w:val="28"/>
          <w:highlight w:val="none"/>
          <w:lang w:val="en-US" w:eastAsia="zh-CN"/>
        </w:rPr>
        <w:t>附件3 投标人提供的资格证明文件</w:t>
      </w:r>
      <w:bookmarkEnd w:id="172"/>
      <w:bookmarkStart w:id="173" w:name="_Toc294186060"/>
      <w:bookmarkStart w:id="174" w:name="_Toc294206743"/>
    </w:p>
    <w:p w14:paraId="54DB7A75">
      <w:pPr>
        <w:pStyle w:val="12"/>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b/>
          <w:bCs/>
          <w:color w:val="auto"/>
          <w:sz w:val="24"/>
          <w:szCs w:val="24"/>
          <w:highlight w:val="none"/>
        </w:rPr>
      </w:pPr>
    </w:p>
    <w:p w14:paraId="1719010C">
      <w:pPr>
        <w:pStyle w:val="12"/>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b/>
          <w:bCs/>
          <w:color w:val="auto"/>
          <w:sz w:val="28"/>
          <w:szCs w:val="28"/>
          <w:highlight w:val="none"/>
        </w:rPr>
      </w:pPr>
      <w:r>
        <w:rPr>
          <w:rFonts w:hint="eastAsia" w:ascii="新宋体" w:hAnsi="新宋体" w:eastAsia="新宋体" w:cs="新宋体"/>
          <w:b/>
          <w:bCs/>
          <w:color w:val="auto"/>
          <w:sz w:val="28"/>
          <w:szCs w:val="28"/>
          <w:highlight w:val="none"/>
        </w:rPr>
        <w:t>须  知</w:t>
      </w:r>
    </w:p>
    <w:p w14:paraId="62DB76D9">
      <w:pPr>
        <w:pageBreakBefore w:val="0"/>
        <w:tabs>
          <w:tab w:val="left" w:pos="4725"/>
        </w:tabs>
        <w:kinsoku/>
        <w:overflowPunct/>
        <w:topLinePunct w:val="0"/>
        <w:bidi w:val="0"/>
        <w:adjustRightInd w:val="0"/>
        <w:snapToGrid w:val="0"/>
        <w:spacing w:before="156" w:beforeLines="50" w:line="360" w:lineRule="auto"/>
        <w:ind w:firstLine="422" w:firstLineChars="200"/>
        <w:textAlignment w:val="auto"/>
        <w:outlineLvl w:val="9"/>
        <w:rPr>
          <w:rFonts w:hint="eastAsia" w:ascii="新宋体" w:hAnsi="新宋体" w:eastAsia="新宋体" w:cs="新宋体"/>
          <w:b/>
          <w:bCs/>
          <w:color w:val="auto"/>
          <w:szCs w:val="21"/>
          <w:highlight w:val="none"/>
        </w:rPr>
      </w:pPr>
      <w:r>
        <w:rPr>
          <w:rFonts w:hint="eastAsia" w:ascii="新宋体" w:hAnsi="新宋体" w:eastAsia="新宋体" w:cs="新宋体"/>
          <w:b/>
          <w:color w:val="auto"/>
          <w:szCs w:val="21"/>
          <w:highlight w:val="none"/>
        </w:rPr>
        <w:t>1、投标人</w:t>
      </w:r>
      <w:r>
        <w:rPr>
          <w:rFonts w:hint="eastAsia" w:ascii="新宋体" w:hAnsi="新宋体" w:eastAsia="新宋体" w:cs="新宋体"/>
          <w:b/>
          <w:bCs/>
          <w:color w:val="auto"/>
          <w:szCs w:val="21"/>
          <w:highlight w:val="none"/>
        </w:rPr>
        <w:t>应按第二章第15.1款要求提供下列的证明材料</w:t>
      </w:r>
    </w:p>
    <w:p w14:paraId="20979EEB">
      <w:pPr>
        <w:pageBreakBefore w:val="0"/>
        <w:tabs>
          <w:tab w:val="left" w:pos="4725"/>
        </w:tabs>
        <w:kinsoku/>
        <w:overflowPunct/>
        <w:topLinePunct w:val="0"/>
        <w:bidi w:val="0"/>
        <w:adjustRightInd w:val="0"/>
        <w:snapToGrid w:val="0"/>
        <w:spacing w:before="156" w:beforeLines="50" w:line="360" w:lineRule="auto"/>
        <w:ind w:firstLine="735" w:firstLineChars="35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附件</w:t>
      </w:r>
      <w:r>
        <w:rPr>
          <w:rFonts w:hint="eastAsia" w:ascii="新宋体" w:hAnsi="新宋体" w:eastAsia="新宋体" w:cs="新宋体"/>
          <w:color w:val="auto"/>
          <w:szCs w:val="21"/>
          <w:highlight w:val="none"/>
          <w:lang w:val="en-US" w:eastAsia="zh-CN"/>
        </w:rPr>
        <w:t>3</w:t>
      </w:r>
      <w:r>
        <w:rPr>
          <w:rFonts w:hint="eastAsia" w:ascii="新宋体" w:hAnsi="新宋体" w:eastAsia="新宋体" w:cs="新宋体"/>
          <w:color w:val="auto"/>
          <w:szCs w:val="21"/>
          <w:highlight w:val="none"/>
        </w:rPr>
        <w:t>-1 法人或者其他组织的营业执照等主体资格证明文件，自然人的身份证明</w:t>
      </w:r>
    </w:p>
    <w:p w14:paraId="47E66474">
      <w:pPr>
        <w:pageBreakBefore w:val="0"/>
        <w:tabs>
          <w:tab w:val="left" w:pos="4725"/>
        </w:tabs>
        <w:kinsoku/>
        <w:overflowPunct/>
        <w:topLinePunct w:val="0"/>
        <w:bidi w:val="0"/>
        <w:adjustRightInd w:val="0"/>
        <w:snapToGrid w:val="0"/>
        <w:spacing w:before="156" w:beforeLines="50" w:line="360" w:lineRule="auto"/>
        <w:ind w:firstLine="735" w:firstLineChars="35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附件</w:t>
      </w:r>
      <w:r>
        <w:rPr>
          <w:rFonts w:hint="eastAsia" w:ascii="新宋体" w:hAnsi="新宋体" w:eastAsia="新宋体" w:cs="新宋体"/>
          <w:color w:val="auto"/>
          <w:szCs w:val="21"/>
          <w:highlight w:val="none"/>
          <w:lang w:val="en-US" w:eastAsia="zh-CN"/>
        </w:rPr>
        <w:t>3</w:t>
      </w:r>
      <w:r>
        <w:rPr>
          <w:rFonts w:hint="eastAsia" w:ascii="新宋体" w:hAnsi="新宋体" w:eastAsia="新宋体" w:cs="新宋体"/>
          <w:color w:val="auto"/>
          <w:szCs w:val="21"/>
          <w:highlight w:val="none"/>
        </w:rPr>
        <w:t>-2 投标人资格声明(格式)</w:t>
      </w:r>
    </w:p>
    <w:p w14:paraId="4D678C84">
      <w:pPr>
        <w:keepNext w:val="0"/>
        <w:keepLines w:val="0"/>
        <w:pageBreakBefore w:val="0"/>
        <w:widowControl w:val="0"/>
        <w:tabs>
          <w:tab w:val="left" w:pos="4725"/>
        </w:tabs>
        <w:kinsoku/>
        <w:wordWrap/>
        <w:overflowPunct/>
        <w:topLinePunct w:val="0"/>
        <w:autoSpaceDE/>
        <w:autoSpaceDN/>
        <w:bidi w:val="0"/>
        <w:adjustRightInd w:val="0"/>
        <w:snapToGrid w:val="0"/>
        <w:spacing w:before="157" w:beforeLines="50" w:line="360" w:lineRule="auto"/>
        <w:ind w:firstLine="735" w:firstLineChars="350"/>
        <w:textAlignment w:val="auto"/>
        <w:outlineLvl w:val="9"/>
        <w:rPr>
          <w:rFonts w:hint="eastAsia" w:ascii="宋体" w:hAnsi="宋体" w:eastAsia="宋体" w:cs="宋体"/>
          <w:color w:val="auto"/>
          <w:w w:val="100"/>
          <w:sz w:val="21"/>
          <w:szCs w:val="21"/>
          <w:highlight w:val="none"/>
          <w:u w:val="none"/>
        </w:rPr>
      </w:pPr>
      <w:r>
        <w:rPr>
          <w:rFonts w:hint="eastAsia" w:ascii="新宋体" w:hAnsi="新宋体" w:eastAsia="新宋体" w:cs="新宋体"/>
          <w:color w:val="auto"/>
          <w:szCs w:val="21"/>
          <w:highlight w:val="none"/>
        </w:rPr>
        <w:t>附件</w:t>
      </w:r>
      <w:r>
        <w:rPr>
          <w:rFonts w:hint="eastAsia" w:ascii="新宋体" w:hAnsi="新宋体" w:eastAsia="新宋体" w:cs="新宋体"/>
          <w:color w:val="auto"/>
          <w:szCs w:val="21"/>
          <w:highlight w:val="none"/>
          <w:lang w:val="en-US" w:eastAsia="zh-CN"/>
        </w:rPr>
        <w:t>3</w:t>
      </w:r>
      <w:r>
        <w:rPr>
          <w:rFonts w:hint="eastAsia" w:ascii="新宋体" w:hAnsi="新宋体" w:eastAsia="新宋体" w:cs="新宋体"/>
          <w:color w:val="auto"/>
          <w:szCs w:val="21"/>
          <w:highlight w:val="none"/>
        </w:rPr>
        <w:t xml:space="preserve">-3 </w:t>
      </w:r>
      <w:r>
        <w:rPr>
          <w:rFonts w:hint="eastAsia" w:ascii="宋体" w:hAnsi="宋体" w:eastAsia="宋体" w:cs="宋体"/>
          <w:color w:val="auto"/>
          <w:w w:val="100"/>
          <w:sz w:val="21"/>
          <w:szCs w:val="21"/>
          <w:highlight w:val="none"/>
          <w:u w:val="none"/>
        </w:rPr>
        <w:t>湖南省政府采购供应商资格承诺函(格式)</w:t>
      </w:r>
    </w:p>
    <w:p w14:paraId="7378FC06">
      <w:pPr>
        <w:pStyle w:val="31"/>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735" w:firstLineChars="350"/>
        <w:textAlignment w:val="auto"/>
        <w:outlineLvl w:val="9"/>
        <w:rPr>
          <w:rFonts w:hint="default"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附件3-4 投标人认为须提供的其他资料</w:t>
      </w:r>
    </w:p>
    <w:p w14:paraId="6085DAA0">
      <w:pPr>
        <w:pStyle w:val="31"/>
        <w:pageBreakBefore w:val="0"/>
        <w:kinsoku/>
        <w:overflowPunct/>
        <w:topLinePunct w:val="0"/>
        <w:bidi w:val="0"/>
        <w:textAlignment w:val="auto"/>
        <w:outlineLvl w:val="9"/>
        <w:rPr>
          <w:rFonts w:hint="eastAsia" w:ascii="新宋体" w:hAnsi="新宋体" w:eastAsia="新宋体" w:cs="新宋体"/>
          <w:color w:val="auto"/>
          <w:highlight w:val="none"/>
        </w:rPr>
      </w:pPr>
    </w:p>
    <w:p w14:paraId="3FFC15A9">
      <w:pPr>
        <w:pageBreakBefore w:val="0"/>
        <w:tabs>
          <w:tab w:val="left" w:pos="4725"/>
        </w:tabs>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Cs w:val="21"/>
          <w:highlight w:val="none"/>
        </w:rPr>
      </w:pPr>
    </w:p>
    <w:p w14:paraId="128260FE">
      <w:pPr>
        <w:pageBreakBefore w:val="0"/>
        <w:widowControl/>
        <w:kinsoku/>
        <w:overflowPunct/>
        <w:topLinePunct w:val="0"/>
        <w:bidi w:val="0"/>
        <w:adjustRightInd w:val="0"/>
        <w:snapToGrid w:val="0"/>
        <w:spacing w:line="360" w:lineRule="auto"/>
        <w:jc w:val="left"/>
        <w:textAlignment w:val="auto"/>
        <w:outlineLvl w:val="9"/>
        <w:rPr>
          <w:rFonts w:hint="eastAsia" w:ascii="新宋体" w:hAnsi="新宋体" w:eastAsia="新宋体" w:cs="新宋体"/>
          <w:color w:val="auto"/>
          <w:sz w:val="10"/>
          <w:szCs w:val="10"/>
          <w:highlight w:val="none"/>
        </w:rPr>
      </w:pPr>
      <w:r>
        <w:rPr>
          <w:rFonts w:hint="eastAsia" w:ascii="新宋体" w:hAnsi="新宋体" w:eastAsia="新宋体" w:cs="新宋体"/>
          <w:color w:val="auto"/>
          <w:szCs w:val="21"/>
          <w:highlight w:val="none"/>
        </w:rPr>
        <w:br w:type="page"/>
      </w:r>
    </w:p>
    <w:p w14:paraId="1DEDF0A2">
      <w:pPr>
        <w:pageBreakBefore w:val="0"/>
        <w:kinsoku/>
        <w:overflowPunct/>
        <w:topLinePunct w:val="0"/>
        <w:bidi w:val="0"/>
        <w:textAlignment w:val="auto"/>
        <w:outlineLvl w:val="9"/>
        <w:rPr>
          <w:rFonts w:hint="eastAsia" w:ascii="新宋体" w:hAnsi="新宋体" w:eastAsia="新宋体" w:cs="新宋体"/>
          <w:b w:val="0"/>
          <w:color w:val="auto"/>
          <w:sz w:val="21"/>
          <w:szCs w:val="21"/>
          <w:highlight w:val="none"/>
        </w:rPr>
      </w:pPr>
      <w:bookmarkStart w:id="175" w:name="_Toc590"/>
      <w:r>
        <w:rPr>
          <w:rFonts w:hint="eastAsia" w:ascii="新宋体" w:hAnsi="新宋体" w:eastAsia="新宋体" w:cs="新宋体"/>
          <w:b w:val="0"/>
          <w:color w:val="auto"/>
          <w:sz w:val="21"/>
          <w:szCs w:val="21"/>
          <w:highlight w:val="none"/>
        </w:rPr>
        <w:t>附件</w:t>
      </w:r>
      <w:r>
        <w:rPr>
          <w:rFonts w:hint="eastAsia" w:ascii="新宋体" w:hAnsi="新宋体" w:eastAsia="新宋体" w:cs="新宋体"/>
          <w:b w:val="0"/>
          <w:color w:val="auto"/>
          <w:sz w:val="21"/>
          <w:szCs w:val="21"/>
          <w:highlight w:val="none"/>
          <w:lang w:val="en-US" w:eastAsia="zh-CN"/>
        </w:rPr>
        <w:t>3</w:t>
      </w:r>
      <w:r>
        <w:rPr>
          <w:rFonts w:hint="eastAsia" w:ascii="新宋体" w:hAnsi="新宋体" w:eastAsia="新宋体" w:cs="新宋体"/>
          <w:b w:val="0"/>
          <w:color w:val="auto"/>
          <w:sz w:val="21"/>
          <w:szCs w:val="21"/>
          <w:highlight w:val="none"/>
        </w:rPr>
        <w:t>-1 法人或者其他组织的营业执照等主体资格证明文件，自然人的身份证明</w:t>
      </w:r>
      <w:bookmarkEnd w:id="175"/>
    </w:p>
    <w:p w14:paraId="1EF8C94C">
      <w:pPr>
        <w:pStyle w:val="14"/>
        <w:outlineLvl w:val="9"/>
        <w:rPr>
          <w:rFonts w:hint="eastAsia"/>
          <w:color w:val="auto"/>
        </w:rPr>
      </w:pPr>
    </w:p>
    <w:p w14:paraId="605D62B4">
      <w:pPr>
        <w:pageBreakBefore w:val="0"/>
        <w:widowControl/>
        <w:kinsoku/>
        <w:overflowPunct/>
        <w:topLinePunct w:val="0"/>
        <w:bidi w:val="0"/>
        <w:adjustRightInd w:val="0"/>
        <w:snapToGrid w:val="0"/>
        <w:spacing w:line="360" w:lineRule="auto"/>
        <w:jc w:val="center"/>
        <w:textAlignment w:val="auto"/>
        <w:outlineLvl w:val="9"/>
        <w:rPr>
          <w:rFonts w:hint="eastAsia" w:ascii="新宋体" w:hAnsi="新宋体" w:eastAsia="新宋体" w:cs="新宋体"/>
          <w:b/>
          <w:color w:val="auto"/>
          <w:sz w:val="28"/>
          <w:szCs w:val="28"/>
          <w:highlight w:val="none"/>
        </w:rPr>
      </w:pPr>
      <w:r>
        <w:rPr>
          <w:rFonts w:hint="eastAsia" w:ascii="新宋体" w:hAnsi="新宋体" w:eastAsia="新宋体" w:cs="新宋体"/>
          <w:b/>
          <w:color w:val="auto"/>
          <w:sz w:val="28"/>
          <w:szCs w:val="28"/>
          <w:highlight w:val="none"/>
        </w:rPr>
        <w:t>法人或者其他组织的营业执照等主体资格证明文件，自然人的身份证明</w:t>
      </w:r>
    </w:p>
    <w:p w14:paraId="5475C8E9">
      <w:pPr>
        <w:pageBreakBefore w:val="0"/>
        <w:widowControl/>
        <w:kinsoku/>
        <w:overflowPunct/>
        <w:topLinePunct w:val="0"/>
        <w:bidi w:val="0"/>
        <w:adjustRightInd w:val="0"/>
        <w:snapToGrid w:val="0"/>
        <w:spacing w:before="156" w:beforeLines="50" w:line="360" w:lineRule="auto"/>
        <w:ind w:firstLine="420" w:firstLineChars="200"/>
        <w:jc w:val="left"/>
        <w:textAlignment w:val="auto"/>
        <w:outlineLvl w:val="9"/>
        <w:rPr>
          <w:rFonts w:hint="eastAsia" w:ascii="新宋体" w:hAnsi="新宋体" w:eastAsia="新宋体" w:cs="新宋体"/>
          <w:color w:val="auto"/>
          <w:szCs w:val="21"/>
          <w:highlight w:val="none"/>
        </w:rPr>
      </w:pPr>
    </w:p>
    <w:p w14:paraId="14CAED99">
      <w:pPr>
        <w:pageBreakBefore w:val="0"/>
        <w:kinsoku/>
        <w:overflowPunct/>
        <w:topLinePunct w:val="0"/>
        <w:bidi w:val="0"/>
        <w:adjustRightInd w:val="0"/>
        <w:snapToGrid w:val="0"/>
        <w:spacing w:before="156" w:beforeLines="50" w:line="360" w:lineRule="auto"/>
        <w:ind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注：按第二章第14.1（</w:t>
      </w:r>
      <w:r>
        <w:rPr>
          <w:rFonts w:hint="eastAsia" w:ascii="新宋体" w:hAnsi="新宋体" w:eastAsia="新宋体" w:cs="新宋体"/>
          <w:color w:val="auto"/>
          <w:szCs w:val="21"/>
          <w:highlight w:val="none"/>
          <w:lang w:val="en-US" w:eastAsia="zh-CN"/>
        </w:rPr>
        <w:t>1</w:t>
      </w:r>
      <w:r>
        <w:rPr>
          <w:rFonts w:hint="eastAsia" w:ascii="新宋体" w:hAnsi="新宋体" w:eastAsia="新宋体" w:cs="新宋体"/>
          <w:color w:val="auto"/>
          <w:szCs w:val="21"/>
          <w:highlight w:val="none"/>
        </w:rPr>
        <w:t>）项要求提供。</w:t>
      </w:r>
    </w:p>
    <w:p w14:paraId="370A7837">
      <w:pPr>
        <w:pageBreakBefore w:val="0"/>
        <w:kinsoku/>
        <w:overflowPunct/>
        <w:topLinePunct w:val="0"/>
        <w:bidi w:val="0"/>
        <w:adjustRightInd w:val="0"/>
        <w:snapToGrid w:val="0"/>
        <w:spacing w:before="156" w:beforeLines="50" w:line="360" w:lineRule="auto"/>
        <w:ind w:firstLine="420" w:firstLineChars="200"/>
        <w:textAlignment w:val="auto"/>
        <w:outlineLvl w:val="9"/>
        <w:rPr>
          <w:rFonts w:hint="eastAsia" w:ascii="新宋体" w:hAnsi="新宋体" w:eastAsia="新宋体" w:cs="新宋体"/>
          <w:color w:val="auto"/>
          <w:highlight w:val="none"/>
        </w:rPr>
      </w:pPr>
      <w:r>
        <w:rPr>
          <w:rFonts w:hint="eastAsia" w:ascii="新宋体" w:hAnsi="新宋体" w:eastAsia="新宋体" w:cs="新宋体"/>
          <w:color w:val="auto"/>
          <w:szCs w:val="21"/>
          <w:highlight w:val="none"/>
        </w:rPr>
        <w:t>（1）</w:t>
      </w:r>
      <w:r>
        <w:rPr>
          <w:rFonts w:hint="eastAsia" w:ascii="新宋体" w:hAnsi="新宋体" w:eastAsia="新宋体" w:cs="新宋体"/>
          <w:color w:val="auto"/>
          <w:highlight w:val="none"/>
        </w:rPr>
        <w:t>投标人为法人的，应提交营业执照或法人登记证书的复印件；</w:t>
      </w:r>
    </w:p>
    <w:p w14:paraId="4A2F551A">
      <w:pPr>
        <w:pageBreakBefore w:val="0"/>
        <w:kinsoku/>
        <w:overflowPunct/>
        <w:topLinePunct w:val="0"/>
        <w:bidi w:val="0"/>
        <w:adjustRightInd w:val="0"/>
        <w:snapToGrid w:val="0"/>
        <w:spacing w:before="156" w:beforeLines="50" w:line="360" w:lineRule="auto"/>
        <w:ind w:firstLine="420" w:firstLineChars="200"/>
        <w:textAlignment w:val="auto"/>
        <w:outlineLvl w:val="9"/>
        <w:rPr>
          <w:rFonts w:hint="eastAsia" w:ascii="新宋体" w:hAnsi="新宋体" w:eastAsia="新宋体" w:cs="新宋体"/>
          <w:color w:val="auto"/>
          <w:highlight w:val="none"/>
        </w:rPr>
      </w:pPr>
      <w:r>
        <w:rPr>
          <w:rFonts w:hint="eastAsia" w:ascii="新宋体" w:hAnsi="新宋体" w:eastAsia="新宋体" w:cs="新宋体"/>
          <w:color w:val="auto"/>
          <w:szCs w:val="21"/>
          <w:highlight w:val="none"/>
        </w:rPr>
        <w:t>（2）</w:t>
      </w:r>
      <w:r>
        <w:rPr>
          <w:rFonts w:hint="eastAsia" w:ascii="新宋体" w:hAnsi="新宋体" w:eastAsia="新宋体" w:cs="新宋体"/>
          <w:color w:val="auto"/>
          <w:highlight w:val="none"/>
        </w:rPr>
        <w:t>投标人为非法人组织的，应提交依法登记证书复印件；</w:t>
      </w:r>
    </w:p>
    <w:p w14:paraId="591E15BE">
      <w:pPr>
        <w:pageBreakBefore w:val="0"/>
        <w:kinsoku/>
        <w:overflowPunct/>
        <w:topLinePunct w:val="0"/>
        <w:bidi w:val="0"/>
        <w:adjustRightInd w:val="0"/>
        <w:snapToGrid w:val="0"/>
        <w:spacing w:before="156" w:beforeLines="50" w:line="360" w:lineRule="auto"/>
        <w:ind w:firstLine="420" w:firstLineChars="200"/>
        <w:textAlignment w:val="auto"/>
        <w:outlineLvl w:val="9"/>
        <w:rPr>
          <w:rFonts w:hint="eastAsia" w:ascii="新宋体" w:hAnsi="新宋体" w:eastAsia="新宋体" w:cs="新宋体"/>
          <w:color w:val="auto"/>
          <w:highlight w:val="none"/>
        </w:rPr>
      </w:pPr>
      <w:r>
        <w:rPr>
          <w:rFonts w:hint="eastAsia" w:ascii="新宋体" w:hAnsi="新宋体" w:eastAsia="新宋体" w:cs="新宋体"/>
          <w:color w:val="auto"/>
          <w:szCs w:val="21"/>
          <w:highlight w:val="none"/>
        </w:rPr>
        <w:t>（3）</w:t>
      </w:r>
      <w:r>
        <w:rPr>
          <w:rFonts w:hint="eastAsia" w:ascii="新宋体" w:hAnsi="新宋体" w:eastAsia="新宋体" w:cs="新宋体"/>
          <w:color w:val="auto"/>
          <w:highlight w:val="none"/>
        </w:rPr>
        <w:t>投标人为个体工商户的，应提交个体工商户营业执照复印件；</w:t>
      </w:r>
    </w:p>
    <w:p w14:paraId="72B6DEA6">
      <w:pPr>
        <w:pageBreakBefore w:val="0"/>
        <w:kinsoku/>
        <w:overflowPunct/>
        <w:topLinePunct w:val="0"/>
        <w:bidi w:val="0"/>
        <w:adjustRightInd w:val="0"/>
        <w:snapToGrid w:val="0"/>
        <w:spacing w:before="156" w:beforeLines="50" w:line="360" w:lineRule="auto"/>
        <w:ind w:firstLine="420" w:firstLineChars="200"/>
        <w:textAlignment w:val="auto"/>
        <w:outlineLvl w:val="9"/>
        <w:rPr>
          <w:rFonts w:hint="eastAsia" w:ascii="新宋体" w:hAnsi="新宋体" w:eastAsia="新宋体" w:cs="新宋体"/>
          <w:color w:val="auto"/>
          <w:highlight w:val="none"/>
        </w:rPr>
      </w:pPr>
      <w:r>
        <w:rPr>
          <w:rFonts w:hint="eastAsia" w:ascii="新宋体" w:hAnsi="新宋体" w:eastAsia="新宋体" w:cs="新宋体"/>
          <w:color w:val="auto"/>
          <w:szCs w:val="21"/>
          <w:highlight w:val="none"/>
        </w:rPr>
        <w:t>（4）</w:t>
      </w:r>
      <w:r>
        <w:rPr>
          <w:rFonts w:hint="eastAsia" w:ascii="新宋体" w:hAnsi="新宋体" w:eastAsia="新宋体" w:cs="新宋体"/>
          <w:color w:val="auto"/>
          <w:highlight w:val="none"/>
        </w:rPr>
        <w:t>投标人为自然人的，应提交自然人的身份证明复印件。</w:t>
      </w:r>
    </w:p>
    <w:p w14:paraId="66844E66">
      <w:pPr>
        <w:pageBreakBefore w:val="0"/>
        <w:kinsoku/>
        <w:overflowPunct/>
        <w:topLinePunct w:val="0"/>
        <w:bidi w:val="0"/>
        <w:adjustRightInd w:val="0"/>
        <w:snapToGrid w:val="0"/>
        <w:spacing w:before="156" w:beforeLines="50" w:line="360" w:lineRule="auto"/>
        <w:ind w:firstLine="420" w:firstLineChars="200"/>
        <w:textAlignment w:val="auto"/>
        <w:outlineLvl w:val="9"/>
        <w:rPr>
          <w:rFonts w:hint="eastAsia" w:ascii="新宋体" w:hAnsi="新宋体" w:eastAsia="新宋体" w:cs="新宋体"/>
          <w:color w:val="auto"/>
          <w:highlight w:val="none"/>
        </w:rPr>
      </w:pPr>
    </w:p>
    <w:p w14:paraId="46801D3A">
      <w:pPr>
        <w:pageBreakBefore w:val="0"/>
        <w:widowControl/>
        <w:kinsoku/>
        <w:overflowPunct/>
        <w:topLinePunct w:val="0"/>
        <w:bidi w:val="0"/>
        <w:jc w:val="left"/>
        <w:textAlignment w:val="auto"/>
        <w:outlineLvl w:val="9"/>
        <w:rPr>
          <w:rFonts w:hint="eastAsia" w:ascii="新宋体" w:hAnsi="新宋体" w:eastAsia="新宋体" w:cs="新宋体"/>
          <w:b w:val="0"/>
          <w:color w:val="auto"/>
          <w:sz w:val="21"/>
          <w:szCs w:val="21"/>
          <w:highlight w:val="none"/>
        </w:rPr>
      </w:pPr>
      <w:r>
        <w:rPr>
          <w:rFonts w:hint="eastAsia" w:ascii="新宋体" w:hAnsi="新宋体" w:eastAsia="新宋体" w:cs="新宋体"/>
          <w:b/>
          <w:color w:val="auto"/>
          <w:szCs w:val="21"/>
          <w:highlight w:val="none"/>
        </w:rPr>
        <w:br w:type="page"/>
      </w:r>
      <w:bookmarkStart w:id="176" w:name="_Toc24449"/>
      <w:r>
        <w:rPr>
          <w:rFonts w:hint="eastAsia" w:ascii="新宋体" w:hAnsi="新宋体" w:eastAsia="新宋体" w:cs="新宋体"/>
          <w:b w:val="0"/>
          <w:color w:val="auto"/>
          <w:sz w:val="21"/>
          <w:szCs w:val="21"/>
          <w:highlight w:val="none"/>
        </w:rPr>
        <w:t>附件</w:t>
      </w:r>
      <w:r>
        <w:rPr>
          <w:rFonts w:hint="eastAsia" w:ascii="新宋体" w:hAnsi="新宋体" w:eastAsia="新宋体" w:cs="新宋体"/>
          <w:b w:val="0"/>
          <w:color w:val="auto"/>
          <w:sz w:val="21"/>
          <w:szCs w:val="21"/>
          <w:highlight w:val="none"/>
          <w:lang w:val="en-US" w:eastAsia="zh-CN"/>
        </w:rPr>
        <w:t>3</w:t>
      </w:r>
      <w:r>
        <w:rPr>
          <w:rFonts w:hint="eastAsia" w:ascii="新宋体" w:hAnsi="新宋体" w:eastAsia="新宋体" w:cs="新宋体"/>
          <w:b w:val="0"/>
          <w:color w:val="auto"/>
          <w:sz w:val="21"/>
          <w:szCs w:val="21"/>
          <w:highlight w:val="none"/>
        </w:rPr>
        <w:t>-2 投标人资格声明(格式)</w:t>
      </w:r>
      <w:bookmarkEnd w:id="176"/>
    </w:p>
    <w:p w14:paraId="58225DDE">
      <w:pPr>
        <w:pageBreakBefore w:val="0"/>
        <w:widowControl/>
        <w:kinsoku/>
        <w:overflowPunct/>
        <w:topLinePunct w:val="0"/>
        <w:bidi w:val="0"/>
        <w:adjustRightInd w:val="0"/>
        <w:snapToGrid w:val="0"/>
        <w:spacing w:before="468" w:beforeLines="150" w:line="360" w:lineRule="auto"/>
        <w:jc w:val="center"/>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b/>
          <w:color w:val="auto"/>
          <w:sz w:val="28"/>
          <w:szCs w:val="28"/>
          <w:highlight w:val="none"/>
        </w:rPr>
        <w:t>投标人资格声明(格式)</w:t>
      </w:r>
    </w:p>
    <w:p w14:paraId="6C99DC86">
      <w:pPr>
        <w:keepNext w:val="0"/>
        <w:keepLines w:val="0"/>
        <w:pageBreakBefore w:val="0"/>
        <w:widowControl/>
        <w:kinsoku/>
        <w:wordWrap/>
        <w:overflowPunct/>
        <w:topLinePunct w:val="0"/>
        <w:autoSpaceDE/>
        <w:autoSpaceDN/>
        <w:bidi w:val="0"/>
        <w:adjustRightInd w:val="0"/>
        <w:snapToGrid w:val="0"/>
        <w:spacing w:line="320" w:lineRule="exact"/>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sz w:val="22"/>
          <w:szCs w:val="22"/>
          <w:highlight w:val="none"/>
        </w:rPr>
        <w:t>致</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(采购人、采购代理机构)：</w:t>
      </w:r>
    </w:p>
    <w:p w14:paraId="329E9E3D">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sz w:val="22"/>
          <w:szCs w:val="22"/>
          <w:highlight w:val="none"/>
        </w:rPr>
        <w:t>按照《中华人民共和国政府采购法》第二十二条和招标文件的规定，我单位郑重声明如下：</w:t>
      </w:r>
    </w:p>
    <w:p w14:paraId="7C1108FF">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sz w:val="22"/>
          <w:szCs w:val="22"/>
          <w:highlight w:val="none"/>
        </w:rPr>
        <w:t>一、我单位是按照中华人民共和国法律规定登记注册的，注册地点为</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，全称为</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，统一社会信用代码为</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，法定代表人</w:t>
      </w:r>
      <w:r>
        <w:rPr>
          <w:rFonts w:hint="eastAsia" w:ascii="新宋体" w:hAnsi="新宋体" w:eastAsia="新宋体" w:cs="新宋体"/>
          <w:color w:val="auto"/>
          <w:kern w:val="0"/>
          <w:sz w:val="22"/>
          <w:szCs w:val="22"/>
          <w:highlight w:val="none"/>
        </w:rPr>
        <w:t>（</w:t>
      </w:r>
      <w:r>
        <w:rPr>
          <w:rFonts w:hint="eastAsia" w:ascii="新宋体" w:hAnsi="新宋体" w:eastAsia="新宋体" w:cs="新宋体"/>
          <w:color w:val="auto"/>
          <w:spacing w:val="-2"/>
          <w:kern w:val="0"/>
          <w:sz w:val="22"/>
          <w:szCs w:val="22"/>
          <w:highlight w:val="none"/>
        </w:rPr>
        <w:t>单</w:t>
      </w:r>
      <w:r>
        <w:rPr>
          <w:rFonts w:hint="eastAsia" w:ascii="新宋体" w:hAnsi="新宋体" w:eastAsia="新宋体" w:cs="新宋体"/>
          <w:color w:val="auto"/>
          <w:kern w:val="0"/>
          <w:sz w:val="22"/>
          <w:szCs w:val="22"/>
          <w:highlight w:val="none"/>
        </w:rPr>
        <w:t>位</w:t>
      </w:r>
      <w:r>
        <w:rPr>
          <w:rFonts w:hint="eastAsia" w:ascii="新宋体" w:hAnsi="新宋体" w:eastAsia="新宋体" w:cs="新宋体"/>
          <w:color w:val="auto"/>
          <w:spacing w:val="-2"/>
          <w:kern w:val="0"/>
          <w:sz w:val="22"/>
          <w:szCs w:val="22"/>
          <w:highlight w:val="none"/>
        </w:rPr>
        <w:t>负</w:t>
      </w:r>
      <w:r>
        <w:rPr>
          <w:rFonts w:hint="eastAsia" w:ascii="新宋体" w:hAnsi="新宋体" w:eastAsia="新宋体" w:cs="新宋体"/>
          <w:color w:val="auto"/>
          <w:kern w:val="0"/>
          <w:sz w:val="22"/>
          <w:szCs w:val="22"/>
          <w:highlight w:val="none"/>
        </w:rPr>
        <w:t>责人</w:t>
      </w:r>
      <w:r>
        <w:rPr>
          <w:rFonts w:hint="eastAsia" w:ascii="新宋体" w:hAnsi="新宋体" w:eastAsia="新宋体" w:cs="新宋体"/>
          <w:color w:val="auto"/>
          <w:spacing w:val="-2"/>
          <w:kern w:val="0"/>
          <w:sz w:val="22"/>
          <w:szCs w:val="22"/>
          <w:highlight w:val="none"/>
        </w:rPr>
        <w:t>）</w:t>
      </w:r>
      <w:r>
        <w:rPr>
          <w:rFonts w:hint="eastAsia" w:ascii="新宋体" w:hAnsi="新宋体" w:eastAsia="新宋体" w:cs="新宋体"/>
          <w:color w:val="auto"/>
          <w:sz w:val="22"/>
          <w:szCs w:val="22"/>
          <w:highlight w:val="none"/>
        </w:rPr>
        <w:t>为</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，具有独立承担民事责任的能力。</w:t>
      </w:r>
    </w:p>
    <w:p w14:paraId="77073183">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二、我单位未被“国家企业信用信息系统”列入经营异常名录或者严重违法企业名单。</w:t>
      </w:r>
    </w:p>
    <w:p w14:paraId="5CB958D2">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rPr>
        <w:t>三、</w:t>
      </w:r>
      <w:r>
        <w:rPr>
          <w:rFonts w:hint="eastAsia" w:ascii="新宋体" w:hAnsi="新宋体" w:eastAsia="新宋体" w:cs="新宋体"/>
          <w:color w:val="auto"/>
          <w:sz w:val="22"/>
          <w:szCs w:val="22"/>
          <w:highlight w:val="none"/>
        </w:rPr>
        <w:t>我单位具有良好的商业信誉和健全的财务会计制度。</w:t>
      </w:r>
    </w:p>
    <w:p w14:paraId="40FE5184">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四、我</w:t>
      </w:r>
      <w:r>
        <w:rPr>
          <w:rFonts w:hint="eastAsia" w:ascii="新宋体" w:hAnsi="新宋体" w:eastAsia="新宋体" w:cs="新宋体"/>
          <w:color w:val="auto"/>
          <w:sz w:val="22"/>
          <w:szCs w:val="22"/>
          <w:highlight w:val="none"/>
        </w:rPr>
        <w:t>单位</w:t>
      </w:r>
      <w:r>
        <w:rPr>
          <w:rFonts w:hint="eastAsia" w:ascii="新宋体" w:hAnsi="新宋体" w:eastAsia="新宋体" w:cs="新宋体"/>
          <w:color w:val="auto"/>
          <w:kern w:val="0"/>
          <w:sz w:val="22"/>
          <w:szCs w:val="22"/>
          <w:highlight w:val="none"/>
        </w:rPr>
        <w:t>依法进行纳税和社会保险申报并实际履行了义务。</w:t>
      </w:r>
    </w:p>
    <w:p w14:paraId="5B729431">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sz w:val="22"/>
          <w:szCs w:val="22"/>
          <w:highlight w:val="none"/>
        </w:rPr>
        <w:t>五、我单位具有履行本项目采购合同所必需的设备和专业技术能力，并具有履行合同的良好记录。</w:t>
      </w:r>
    </w:p>
    <w:p w14:paraId="0CE9B547">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35BBF86">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供应商在参加政府采购活动前3年内因违法经营被禁止在一定期限内参加政府采购活动，期限届满的，可以参加政府采购活动。</w:t>
      </w:r>
    </w:p>
    <w:p w14:paraId="158C3CF7">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七、我单位具备法律、行政法规规定的其他条件。</w:t>
      </w:r>
    </w:p>
    <w:p w14:paraId="62B9F131">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kern w:val="0"/>
          <w:sz w:val="22"/>
          <w:szCs w:val="22"/>
          <w:highlight w:val="none"/>
        </w:rPr>
        <w:t>八、</w:t>
      </w:r>
      <w:r>
        <w:rPr>
          <w:rFonts w:hint="eastAsia" w:ascii="新宋体" w:hAnsi="新宋体" w:eastAsia="新宋体" w:cs="新宋体"/>
          <w:color w:val="auto"/>
          <w:sz w:val="22"/>
          <w:szCs w:val="22"/>
          <w:highlight w:val="none"/>
        </w:rPr>
        <w:t>与我单位存在“单位负责人为同一人或者存在直接控股、管理关系”的其他单位信息如下（如无，填写“无”）：</w:t>
      </w:r>
    </w:p>
    <w:p w14:paraId="17D5BB9E">
      <w:pPr>
        <w:keepNext w:val="0"/>
        <w:keepLines w:val="0"/>
        <w:pageBreakBefore w:val="0"/>
        <w:kinsoku/>
        <w:wordWrap/>
        <w:overflowPunct/>
        <w:topLinePunct w:val="0"/>
        <w:autoSpaceDE/>
        <w:autoSpaceDN/>
        <w:bidi w:val="0"/>
        <w:adjustRightInd w:val="0"/>
        <w:snapToGrid w:val="0"/>
        <w:spacing w:line="320" w:lineRule="exact"/>
        <w:ind w:firstLine="440" w:firstLineChars="20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1、与我单位的法定代表人（单位负责人）为同一人的其他单位如下：</w:t>
      </w:r>
      <w:r>
        <w:rPr>
          <w:rFonts w:hint="eastAsia" w:ascii="新宋体" w:hAnsi="新宋体" w:eastAsia="新宋体" w:cs="新宋体"/>
          <w:color w:val="auto"/>
          <w:sz w:val="22"/>
          <w:szCs w:val="22"/>
          <w:highlight w:val="none"/>
          <w:u w:val="single"/>
        </w:rPr>
        <w:t xml:space="preserve">               </w:t>
      </w:r>
    </w:p>
    <w:p w14:paraId="3827EEB8">
      <w:pPr>
        <w:keepNext w:val="0"/>
        <w:keepLines w:val="0"/>
        <w:pageBreakBefore w:val="0"/>
        <w:kinsoku/>
        <w:wordWrap/>
        <w:overflowPunct/>
        <w:topLinePunct w:val="0"/>
        <w:autoSpaceDE/>
        <w:autoSpaceDN/>
        <w:bidi w:val="0"/>
        <w:adjustRightInd w:val="0"/>
        <w:snapToGrid w:val="0"/>
        <w:spacing w:line="320" w:lineRule="exact"/>
        <w:ind w:firstLine="440" w:firstLineChars="20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2、我单位直接控股的其他单位如下：</w:t>
      </w:r>
      <w:r>
        <w:rPr>
          <w:rFonts w:hint="eastAsia" w:ascii="新宋体" w:hAnsi="新宋体" w:eastAsia="新宋体" w:cs="新宋体"/>
          <w:color w:val="auto"/>
          <w:sz w:val="22"/>
          <w:szCs w:val="22"/>
          <w:highlight w:val="none"/>
          <w:u w:val="single"/>
        </w:rPr>
        <w:t xml:space="preserve">               </w:t>
      </w:r>
    </w:p>
    <w:p w14:paraId="79E74653">
      <w:pPr>
        <w:keepNext w:val="0"/>
        <w:keepLines w:val="0"/>
        <w:pageBreakBefore w:val="0"/>
        <w:kinsoku/>
        <w:wordWrap/>
        <w:overflowPunct/>
        <w:topLinePunct w:val="0"/>
        <w:autoSpaceDE/>
        <w:autoSpaceDN/>
        <w:bidi w:val="0"/>
        <w:adjustRightInd w:val="0"/>
        <w:snapToGrid w:val="0"/>
        <w:spacing w:line="320" w:lineRule="exact"/>
        <w:ind w:firstLine="440" w:firstLineChars="200"/>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3、与我单位存在管理关系的其他单位如下：</w:t>
      </w:r>
      <w:r>
        <w:rPr>
          <w:rFonts w:hint="eastAsia" w:ascii="新宋体" w:hAnsi="新宋体" w:eastAsia="新宋体" w:cs="新宋体"/>
          <w:color w:val="auto"/>
          <w:sz w:val="22"/>
          <w:szCs w:val="22"/>
          <w:highlight w:val="none"/>
          <w:u w:val="single"/>
        </w:rPr>
        <w:t xml:space="preserve">               </w:t>
      </w:r>
    </w:p>
    <w:p w14:paraId="5024E219">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九、我单位不属于为本项目提供整体设计、规范编制或者项目管理、监理、检测等服务的投标人。</w:t>
      </w:r>
    </w:p>
    <w:p w14:paraId="3FCE066B">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十、我单位无以下不良信用记录情形：</w:t>
      </w:r>
    </w:p>
    <w:p w14:paraId="0BA54F96">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1、在“信用中国”网站被列入失信被执行人和重大税收违法案件当事人名单；</w:t>
      </w:r>
    </w:p>
    <w:p w14:paraId="638AAAEF">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2、在“中国政府采购网”网站被列入政府采购严重违法失信行为记录名单；</w:t>
      </w:r>
    </w:p>
    <w:p w14:paraId="343B3DBD">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3、不符合《政府采购法》第二十二条规定的条件。</w:t>
      </w:r>
    </w:p>
    <w:p w14:paraId="2EF85117">
      <w:pPr>
        <w:keepNext w:val="0"/>
        <w:keepLines w:val="0"/>
        <w:pageBreakBefore w:val="0"/>
        <w:widowControl/>
        <w:kinsoku/>
        <w:wordWrap/>
        <w:overflowPunct/>
        <w:topLinePunct w:val="0"/>
        <w:autoSpaceDE/>
        <w:autoSpaceDN/>
        <w:bidi w:val="0"/>
        <w:adjustRightInd w:val="0"/>
        <w:snapToGrid w:val="0"/>
        <w:spacing w:line="320" w:lineRule="exact"/>
        <w:ind w:firstLine="440" w:firstLineChars="200"/>
        <w:jc w:val="left"/>
        <w:textAlignment w:val="auto"/>
        <w:outlineLvl w:val="9"/>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sz w:val="22"/>
          <w:szCs w:val="22"/>
          <w:highlight w:val="none"/>
        </w:rPr>
        <w:t>我单位保证上述声明的事项都是真实的，如有虚假，我单位愿意承担相应的法律责任，并承担因此所造成的一切损失。</w:t>
      </w:r>
    </w:p>
    <w:p w14:paraId="77178FD3">
      <w:pPr>
        <w:keepNext w:val="0"/>
        <w:keepLines w:val="0"/>
        <w:pageBreakBefore w:val="0"/>
        <w:widowControl/>
        <w:kinsoku/>
        <w:wordWrap/>
        <w:overflowPunct/>
        <w:topLinePunct w:val="0"/>
        <w:autoSpaceDE/>
        <w:autoSpaceDN/>
        <w:bidi w:val="0"/>
        <w:adjustRightInd w:val="0"/>
        <w:snapToGrid w:val="0"/>
        <w:spacing w:line="320" w:lineRule="exact"/>
        <w:jc w:val="left"/>
        <w:textAlignment w:val="auto"/>
        <w:outlineLvl w:val="9"/>
        <w:rPr>
          <w:rFonts w:hint="eastAsia" w:ascii="新宋体" w:hAnsi="新宋体" w:eastAsia="新宋体" w:cs="新宋体"/>
          <w:color w:val="auto"/>
          <w:sz w:val="22"/>
          <w:szCs w:val="22"/>
          <w:highlight w:val="none"/>
        </w:rPr>
      </w:pPr>
    </w:p>
    <w:p w14:paraId="33F0C6C8">
      <w:pPr>
        <w:keepNext w:val="0"/>
        <w:keepLines w:val="0"/>
        <w:pageBreakBefore w:val="0"/>
        <w:widowControl/>
        <w:kinsoku/>
        <w:wordWrap/>
        <w:overflowPunct/>
        <w:topLinePunct w:val="0"/>
        <w:autoSpaceDE/>
        <w:autoSpaceDN/>
        <w:bidi w:val="0"/>
        <w:adjustRightInd w:val="0"/>
        <w:snapToGrid w:val="0"/>
        <w:spacing w:line="320" w:lineRule="exact"/>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注：第三条“良好的商业信誉”是指投标人经营状况良好，无本资格声明第十条情形。</w:t>
      </w:r>
    </w:p>
    <w:p w14:paraId="7A23CE77">
      <w:pPr>
        <w:keepNext w:val="0"/>
        <w:keepLines w:val="0"/>
        <w:pageBreakBefore w:val="0"/>
        <w:widowControl/>
        <w:kinsoku/>
        <w:wordWrap/>
        <w:overflowPunct/>
        <w:topLinePunct w:val="0"/>
        <w:autoSpaceDE/>
        <w:autoSpaceDN/>
        <w:bidi w:val="0"/>
        <w:adjustRightInd w:val="0"/>
        <w:snapToGrid w:val="0"/>
        <w:spacing w:line="320" w:lineRule="exact"/>
        <w:jc w:val="left"/>
        <w:textAlignment w:val="auto"/>
        <w:outlineLvl w:val="9"/>
        <w:rPr>
          <w:rFonts w:hint="eastAsia" w:ascii="新宋体" w:hAnsi="新宋体" w:eastAsia="新宋体" w:cs="新宋体"/>
          <w:color w:val="auto"/>
          <w:sz w:val="22"/>
          <w:szCs w:val="22"/>
          <w:highlight w:val="none"/>
        </w:rPr>
      </w:pPr>
    </w:p>
    <w:p w14:paraId="43D5280A">
      <w:pPr>
        <w:keepNext w:val="0"/>
        <w:keepLines w:val="0"/>
        <w:pageBreakBefore w:val="0"/>
        <w:widowControl/>
        <w:kinsoku/>
        <w:wordWrap/>
        <w:overflowPunct/>
        <w:topLinePunct w:val="0"/>
        <w:autoSpaceDE/>
        <w:autoSpaceDN/>
        <w:bidi w:val="0"/>
        <w:adjustRightInd w:val="0"/>
        <w:snapToGrid w:val="0"/>
        <w:spacing w:line="320" w:lineRule="exact"/>
        <w:jc w:val="left"/>
        <w:textAlignment w:val="auto"/>
        <w:outlineLvl w:val="9"/>
        <w:rPr>
          <w:rFonts w:hint="eastAsia" w:ascii="新宋体" w:hAnsi="新宋体" w:eastAsia="新宋体" w:cs="新宋体"/>
          <w:color w:val="auto"/>
          <w:kern w:val="0"/>
          <w:sz w:val="22"/>
          <w:szCs w:val="22"/>
          <w:highlight w:val="none"/>
          <w:u w:val="single"/>
          <w:lang w:val="en-US" w:eastAsia="zh-CN"/>
        </w:rPr>
      </w:pPr>
      <w:r>
        <w:rPr>
          <w:rFonts w:hint="eastAsia" w:ascii="新宋体" w:hAnsi="新宋体" w:eastAsia="新宋体" w:cs="新宋体"/>
          <w:color w:val="auto"/>
          <w:sz w:val="22"/>
          <w:szCs w:val="22"/>
          <w:highlight w:val="none"/>
        </w:rPr>
        <w:t>投标人名称（盖单位公章）：</w:t>
      </w:r>
      <w:r>
        <w:rPr>
          <w:rFonts w:hint="eastAsia" w:ascii="新宋体" w:hAnsi="新宋体" w:eastAsia="新宋体" w:cs="新宋体"/>
          <w:color w:val="auto"/>
          <w:sz w:val="22"/>
          <w:szCs w:val="22"/>
          <w:highlight w:val="none"/>
          <w:u w:val="single"/>
          <w:lang w:val="en-US" w:eastAsia="zh-CN"/>
        </w:rPr>
        <w:t xml:space="preserve">                        </w:t>
      </w:r>
    </w:p>
    <w:p w14:paraId="1EA2DD4C">
      <w:pPr>
        <w:keepNext w:val="0"/>
        <w:keepLines w:val="0"/>
        <w:pageBreakBefore w:val="0"/>
        <w:widowControl/>
        <w:kinsoku/>
        <w:wordWrap/>
        <w:overflowPunct/>
        <w:topLinePunct w:val="0"/>
        <w:autoSpaceDE/>
        <w:autoSpaceDN/>
        <w:bidi w:val="0"/>
        <w:adjustRightInd w:val="0"/>
        <w:snapToGrid w:val="0"/>
        <w:spacing w:line="320" w:lineRule="exact"/>
        <w:jc w:val="left"/>
        <w:textAlignment w:val="auto"/>
        <w:outlineLvl w:val="9"/>
        <w:rPr>
          <w:rFonts w:hint="eastAsia" w:ascii="新宋体" w:hAnsi="新宋体" w:eastAsia="新宋体" w:cs="新宋体"/>
          <w:b/>
          <w:bCs/>
          <w:color w:val="auto"/>
          <w:kern w:val="0"/>
          <w:sz w:val="22"/>
          <w:szCs w:val="22"/>
          <w:highlight w:val="none"/>
        </w:rPr>
      </w:pPr>
      <w:r>
        <w:rPr>
          <w:rFonts w:hint="eastAsia" w:ascii="新宋体" w:hAnsi="新宋体" w:eastAsia="新宋体" w:cs="新宋体"/>
          <w:color w:val="auto"/>
          <w:spacing w:val="-2"/>
          <w:kern w:val="0"/>
          <w:sz w:val="22"/>
          <w:szCs w:val="22"/>
          <w:highlight w:val="none"/>
        </w:rPr>
        <w:t>法</w:t>
      </w:r>
      <w:r>
        <w:rPr>
          <w:rFonts w:hint="eastAsia" w:ascii="新宋体" w:hAnsi="新宋体" w:eastAsia="新宋体" w:cs="新宋体"/>
          <w:color w:val="auto"/>
          <w:kern w:val="0"/>
          <w:sz w:val="22"/>
          <w:szCs w:val="22"/>
          <w:highlight w:val="none"/>
        </w:rPr>
        <w:t>定</w:t>
      </w:r>
      <w:r>
        <w:rPr>
          <w:rFonts w:hint="eastAsia" w:ascii="新宋体" w:hAnsi="新宋体" w:eastAsia="新宋体" w:cs="新宋体"/>
          <w:color w:val="auto"/>
          <w:spacing w:val="-2"/>
          <w:kern w:val="0"/>
          <w:sz w:val="22"/>
          <w:szCs w:val="22"/>
          <w:highlight w:val="none"/>
        </w:rPr>
        <w:t>代</w:t>
      </w:r>
      <w:r>
        <w:rPr>
          <w:rFonts w:hint="eastAsia" w:ascii="新宋体" w:hAnsi="新宋体" w:eastAsia="新宋体" w:cs="新宋体"/>
          <w:color w:val="auto"/>
          <w:kern w:val="0"/>
          <w:sz w:val="22"/>
          <w:szCs w:val="22"/>
          <w:highlight w:val="none"/>
        </w:rPr>
        <w:t>表</w:t>
      </w:r>
      <w:r>
        <w:rPr>
          <w:rFonts w:hint="eastAsia" w:ascii="新宋体" w:hAnsi="新宋体" w:eastAsia="新宋体" w:cs="新宋体"/>
          <w:color w:val="auto"/>
          <w:spacing w:val="-2"/>
          <w:kern w:val="0"/>
          <w:sz w:val="22"/>
          <w:szCs w:val="22"/>
          <w:highlight w:val="none"/>
        </w:rPr>
        <w:t>人</w:t>
      </w:r>
      <w:r>
        <w:rPr>
          <w:rFonts w:hint="eastAsia" w:ascii="新宋体" w:hAnsi="新宋体" w:eastAsia="新宋体" w:cs="新宋体"/>
          <w:color w:val="auto"/>
          <w:kern w:val="0"/>
          <w:sz w:val="22"/>
          <w:szCs w:val="22"/>
          <w:highlight w:val="none"/>
        </w:rPr>
        <w:t>（</w:t>
      </w:r>
      <w:r>
        <w:rPr>
          <w:rFonts w:hint="eastAsia" w:ascii="新宋体" w:hAnsi="新宋体" w:eastAsia="新宋体" w:cs="新宋体"/>
          <w:color w:val="auto"/>
          <w:spacing w:val="-2"/>
          <w:kern w:val="0"/>
          <w:sz w:val="22"/>
          <w:szCs w:val="22"/>
          <w:highlight w:val="none"/>
        </w:rPr>
        <w:t>单</w:t>
      </w:r>
      <w:r>
        <w:rPr>
          <w:rFonts w:hint="eastAsia" w:ascii="新宋体" w:hAnsi="新宋体" w:eastAsia="新宋体" w:cs="新宋体"/>
          <w:color w:val="auto"/>
          <w:kern w:val="0"/>
          <w:sz w:val="22"/>
          <w:szCs w:val="22"/>
          <w:highlight w:val="none"/>
        </w:rPr>
        <w:t>位</w:t>
      </w:r>
      <w:r>
        <w:rPr>
          <w:rFonts w:hint="eastAsia" w:ascii="新宋体" w:hAnsi="新宋体" w:eastAsia="新宋体" w:cs="新宋体"/>
          <w:color w:val="auto"/>
          <w:spacing w:val="-2"/>
          <w:kern w:val="0"/>
          <w:sz w:val="22"/>
          <w:szCs w:val="22"/>
          <w:highlight w:val="none"/>
        </w:rPr>
        <w:t>负</w:t>
      </w:r>
      <w:r>
        <w:rPr>
          <w:rFonts w:hint="eastAsia" w:ascii="新宋体" w:hAnsi="新宋体" w:eastAsia="新宋体" w:cs="新宋体"/>
          <w:color w:val="auto"/>
          <w:kern w:val="0"/>
          <w:sz w:val="22"/>
          <w:szCs w:val="22"/>
          <w:highlight w:val="none"/>
        </w:rPr>
        <w:t>责人</w:t>
      </w:r>
      <w:r>
        <w:rPr>
          <w:rFonts w:hint="eastAsia" w:ascii="新宋体" w:hAnsi="新宋体" w:eastAsia="新宋体" w:cs="新宋体"/>
          <w:color w:val="auto"/>
          <w:spacing w:val="-2"/>
          <w:kern w:val="0"/>
          <w:sz w:val="22"/>
          <w:szCs w:val="22"/>
          <w:highlight w:val="none"/>
        </w:rPr>
        <w:t>）</w:t>
      </w:r>
      <w:r>
        <w:rPr>
          <w:rFonts w:hint="eastAsia" w:ascii="新宋体" w:hAnsi="新宋体" w:eastAsia="新宋体" w:cs="新宋体"/>
          <w:color w:val="auto"/>
          <w:sz w:val="22"/>
          <w:szCs w:val="22"/>
          <w:highlight w:val="none"/>
        </w:rPr>
        <w:t>或委托代理人：</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（签字或印章）</w:t>
      </w:r>
    </w:p>
    <w:p w14:paraId="74578029">
      <w:pPr>
        <w:keepNext w:val="0"/>
        <w:keepLines w:val="0"/>
        <w:pageBreakBefore w:val="0"/>
        <w:widowControl/>
        <w:kinsoku/>
        <w:wordWrap/>
        <w:overflowPunct/>
        <w:topLinePunct w:val="0"/>
        <w:autoSpaceDE/>
        <w:autoSpaceDN/>
        <w:bidi w:val="0"/>
        <w:adjustRightInd w:val="0"/>
        <w:snapToGrid w:val="0"/>
        <w:spacing w:line="320" w:lineRule="exact"/>
        <w:jc w:val="left"/>
        <w:textAlignment w:val="auto"/>
        <w:outlineLvl w:val="9"/>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日期：</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年</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u w:val="single"/>
          <w:lang w:val="en-US" w:eastAsia="zh-CN"/>
        </w:rPr>
        <w:t xml:space="preserve">    </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月</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u w:val="single"/>
          <w:lang w:val="en-US" w:eastAsia="zh-CN"/>
        </w:rPr>
        <w:t xml:space="preserve">    </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日</w:t>
      </w:r>
    </w:p>
    <w:p w14:paraId="4A5107E3">
      <w:pPr>
        <w:pageBreakBefore w:val="0"/>
        <w:widowControl/>
        <w:kinsoku/>
        <w:overflowPunct/>
        <w:topLinePunct w:val="0"/>
        <w:bidi w:val="0"/>
        <w:spacing w:beforeAutospacing="0" w:afterAutospacing="0" w:line="360" w:lineRule="auto"/>
        <w:jc w:val="left"/>
        <w:textAlignment w:val="auto"/>
        <w:outlineLvl w:val="9"/>
        <w:rPr>
          <w:rFonts w:hint="eastAsia" w:ascii="新宋体" w:hAnsi="新宋体" w:eastAsia="新宋体" w:cs="新宋体"/>
          <w:b w:val="0"/>
          <w:color w:val="auto"/>
          <w:sz w:val="21"/>
          <w:szCs w:val="21"/>
          <w:highlight w:val="none"/>
        </w:rPr>
      </w:pPr>
      <w:r>
        <w:rPr>
          <w:rFonts w:hint="eastAsia" w:ascii="新宋体" w:hAnsi="新宋体" w:eastAsia="新宋体" w:cs="新宋体"/>
          <w:b/>
          <w:color w:val="auto"/>
          <w:szCs w:val="21"/>
          <w:highlight w:val="none"/>
        </w:rPr>
        <w:br w:type="page"/>
      </w:r>
      <w:bookmarkStart w:id="177" w:name="_Toc13891"/>
      <w:r>
        <w:rPr>
          <w:rFonts w:hint="eastAsia" w:ascii="新宋体" w:hAnsi="新宋体" w:eastAsia="新宋体" w:cs="新宋体"/>
          <w:b w:val="0"/>
          <w:color w:val="auto"/>
          <w:sz w:val="21"/>
          <w:szCs w:val="21"/>
          <w:highlight w:val="none"/>
        </w:rPr>
        <w:t>附件</w:t>
      </w:r>
      <w:r>
        <w:rPr>
          <w:rFonts w:hint="eastAsia" w:ascii="新宋体" w:hAnsi="新宋体" w:eastAsia="新宋体" w:cs="新宋体"/>
          <w:b w:val="0"/>
          <w:color w:val="auto"/>
          <w:sz w:val="21"/>
          <w:szCs w:val="21"/>
          <w:highlight w:val="none"/>
          <w:lang w:val="en-US" w:eastAsia="zh-CN"/>
        </w:rPr>
        <w:t>3</w:t>
      </w:r>
      <w:r>
        <w:rPr>
          <w:rFonts w:hint="eastAsia" w:ascii="新宋体" w:hAnsi="新宋体" w:eastAsia="新宋体" w:cs="新宋体"/>
          <w:b w:val="0"/>
          <w:color w:val="auto"/>
          <w:sz w:val="21"/>
          <w:szCs w:val="21"/>
          <w:highlight w:val="none"/>
        </w:rPr>
        <w:t>-</w:t>
      </w:r>
      <w:bookmarkEnd w:id="173"/>
      <w:bookmarkEnd w:id="174"/>
      <w:bookmarkEnd w:id="177"/>
      <w:r>
        <w:rPr>
          <w:rFonts w:hint="eastAsia" w:ascii="新宋体" w:hAnsi="新宋体" w:eastAsia="新宋体" w:cs="新宋体"/>
          <w:b w:val="0"/>
          <w:color w:val="auto"/>
          <w:sz w:val="21"/>
          <w:szCs w:val="21"/>
          <w:highlight w:val="none"/>
          <w:lang w:val="en-US" w:eastAsia="zh-CN"/>
        </w:rPr>
        <w:t>3</w:t>
      </w:r>
      <w:r>
        <w:rPr>
          <w:rFonts w:hint="eastAsia" w:ascii="新宋体" w:hAnsi="新宋体" w:eastAsia="新宋体" w:cs="新宋体"/>
          <w:b w:val="0"/>
          <w:color w:val="auto"/>
          <w:sz w:val="21"/>
          <w:szCs w:val="21"/>
          <w:highlight w:val="none"/>
        </w:rPr>
        <w:t xml:space="preserve"> </w:t>
      </w:r>
      <w:r>
        <w:rPr>
          <w:rFonts w:hint="eastAsia" w:ascii="宋体" w:hAnsi="宋体" w:eastAsia="宋体" w:cs="宋体"/>
          <w:color w:val="auto"/>
          <w:w w:val="100"/>
          <w:sz w:val="21"/>
          <w:szCs w:val="21"/>
          <w:highlight w:val="none"/>
          <w:u w:val="none"/>
        </w:rPr>
        <w:t>湖南省政府采购供应商资格承诺函(格式)</w:t>
      </w:r>
    </w:p>
    <w:p w14:paraId="6D01DAA1">
      <w:pPr>
        <w:pageBreakBefore w:val="0"/>
        <w:widowControl/>
        <w:kinsoku/>
        <w:overflowPunct/>
        <w:topLinePunct w:val="0"/>
        <w:bidi w:val="0"/>
        <w:adjustRightInd w:val="0"/>
        <w:snapToGrid w:val="0"/>
        <w:spacing w:line="360" w:lineRule="auto"/>
        <w:jc w:val="center"/>
        <w:textAlignment w:val="auto"/>
        <w:outlineLvl w:val="9"/>
        <w:rPr>
          <w:rFonts w:hint="eastAsia" w:ascii="新宋体" w:hAnsi="新宋体" w:eastAsia="新宋体" w:cs="新宋体"/>
          <w:b/>
          <w:color w:val="auto"/>
          <w:sz w:val="28"/>
          <w:szCs w:val="28"/>
          <w:highlight w:val="none"/>
        </w:rPr>
      </w:pPr>
    </w:p>
    <w:p w14:paraId="7E55B573">
      <w:pPr>
        <w:pageBreakBefore w:val="0"/>
        <w:widowControl/>
        <w:kinsoku/>
        <w:overflowPunct/>
        <w:topLinePunct w:val="0"/>
        <w:bidi w:val="0"/>
        <w:adjustRightInd w:val="0"/>
        <w:snapToGrid w:val="0"/>
        <w:spacing w:line="360" w:lineRule="auto"/>
        <w:jc w:val="center"/>
        <w:textAlignment w:val="auto"/>
        <w:outlineLvl w:val="9"/>
        <w:rPr>
          <w:rFonts w:hint="eastAsia" w:ascii="新宋体" w:hAnsi="新宋体" w:eastAsia="新宋体" w:cs="新宋体"/>
          <w:b/>
          <w:color w:val="auto"/>
          <w:sz w:val="28"/>
          <w:szCs w:val="28"/>
          <w:highlight w:val="none"/>
        </w:rPr>
      </w:pPr>
      <w:r>
        <w:rPr>
          <w:rFonts w:hint="eastAsia" w:ascii="新宋体" w:hAnsi="新宋体" w:eastAsia="新宋体" w:cs="新宋体"/>
          <w:b/>
          <w:color w:val="auto"/>
          <w:sz w:val="28"/>
          <w:szCs w:val="28"/>
          <w:highlight w:val="none"/>
        </w:rPr>
        <w:t>湖南省政府采购供应商资格承诺函(格式)</w:t>
      </w:r>
    </w:p>
    <w:p w14:paraId="730841EF">
      <w:pPr>
        <w:keepNext w:val="0"/>
        <w:keepLines w:val="0"/>
        <w:pageBreakBefore w:val="0"/>
        <w:widowControl w:val="0"/>
        <w:kinsoku/>
        <w:wordWrap/>
        <w:overflowPunct/>
        <w:topLinePunct w:val="0"/>
        <w:autoSpaceDE/>
        <w:autoSpaceDN/>
        <w:bidi w:val="0"/>
        <w:adjustRightInd w:val="0"/>
        <w:snapToGrid w:val="0"/>
        <w:spacing w:before="313" w:beforeLines="100"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583B799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按照《政府采购促进中小企业发展管理办法》(财库〔2020〕46号),本公司企业规模为: 大型□中型□小型□微型□。</w:t>
      </w:r>
    </w:p>
    <w:p w14:paraId="1F142EE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□本公司自愿入驻湖南省政府采购电子卖场,遵守《湖南省政府采购电子卖场管理办法》(湘财购〔2019〕27号),如违反承诺,同意金融机构将增信保证划缴国库(非电子卖场采购活动项目不需勾选)。</w:t>
      </w:r>
    </w:p>
    <w:p w14:paraId="1B672A1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公司(单位)名称(盖章)：</w:t>
      </w:r>
      <w:r>
        <w:rPr>
          <w:rFonts w:hint="eastAsia" w:ascii="新宋体" w:hAnsi="新宋体" w:eastAsia="新宋体" w:cs="新宋体"/>
          <w:color w:val="auto"/>
          <w:w w:val="100"/>
          <w:sz w:val="21"/>
          <w:szCs w:val="21"/>
          <w:highlight w:val="none"/>
          <w:u w:val="single"/>
          <w:lang w:val="en-US" w:eastAsia="zh-CN"/>
        </w:rPr>
        <w:t xml:space="preserve">                       </w:t>
      </w:r>
    </w:p>
    <w:p w14:paraId="5692893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机构代码：</w:t>
      </w:r>
      <w:r>
        <w:rPr>
          <w:rFonts w:hint="eastAsia" w:ascii="新宋体" w:hAnsi="新宋体" w:eastAsia="新宋体" w:cs="新宋体"/>
          <w:color w:val="auto"/>
          <w:w w:val="100"/>
          <w:sz w:val="21"/>
          <w:szCs w:val="21"/>
          <w:highlight w:val="none"/>
          <w:u w:val="single"/>
          <w:lang w:val="en-US" w:eastAsia="zh-CN"/>
        </w:rPr>
        <w:t xml:space="preserve">                                   </w:t>
      </w:r>
    </w:p>
    <w:p w14:paraId="49AF2DA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注册登记机构：</w:t>
      </w:r>
      <w:r>
        <w:rPr>
          <w:rFonts w:hint="eastAsia" w:ascii="新宋体" w:hAnsi="新宋体" w:eastAsia="新宋体" w:cs="新宋体"/>
          <w:color w:val="auto"/>
          <w:w w:val="100"/>
          <w:sz w:val="21"/>
          <w:szCs w:val="21"/>
          <w:highlight w:val="none"/>
          <w:u w:val="single"/>
          <w:lang w:val="en-US" w:eastAsia="zh-CN"/>
        </w:rPr>
        <w:t xml:space="preserve">                               </w:t>
      </w:r>
    </w:p>
    <w:p w14:paraId="3F0945B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日期：</w:t>
      </w:r>
      <w:r>
        <w:rPr>
          <w:rFonts w:hint="eastAsia" w:ascii="新宋体" w:hAnsi="新宋体" w:eastAsia="新宋体" w:cs="新宋体"/>
          <w:color w:val="auto"/>
          <w:w w:val="100"/>
          <w:sz w:val="21"/>
          <w:szCs w:val="21"/>
          <w:highlight w:val="none"/>
          <w:u w:val="single"/>
          <w:lang w:val="en-US" w:eastAsia="zh-CN"/>
        </w:rPr>
        <w:t xml:space="preserve">                                       </w:t>
      </w:r>
    </w:p>
    <w:p w14:paraId="3DD1537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有效期：</w:t>
      </w:r>
      <w:r>
        <w:rPr>
          <w:rFonts w:hint="eastAsia" w:ascii="新宋体" w:hAnsi="新宋体" w:eastAsia="新宋体" w:cs="新宋体"/>
          <w:color w:val="auto"/>
          <w:w w:val="100"/>
          <w:sz w:val="21"/>
          <w:szCs w:val="21"/>
          <w:highlight w:val="none"/>
          <w:u w:val="single"/>
          <w:lang w:val="en-US" w:eastAsia="zh-CN"/>
        </w:rPr>
        <w:t xml:space="preserve">                                     </w:t>
      </w:r>
    </w:p>
    <w:p w14:paraId="0F34163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注册资本：</w:t>
      </w:r>
      <w:r>
        <w:rPr>
          <w:rFonts w:hint="eastAsia" w:ascii="新宋体" w:hAnsi="新宋体" w:eastAsia="新宋体" w:cs="新宋体"/>
          <w:color w:val="auto"/>
          <w:w w:val="100"/>
          <w:sz w:val="21"/>
          <w:szCs w:val="21"/>
          <w:highlight w:val="none"/>
          <w:u w:val="single"/>
          <w:lang w:val="en-US" w:eastAsia="zh-CN"/>
        </w:rPr>
        <w:t xml:space="preserve">                                   </w:t>
      </w:r>
    </w:p>
    <w:p w14:paraId="0265C05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地址：</w:t>
      </w:r>
      <w:r>
        <w:rPr>
          <w:rFonts w:hint="eastAsia" w:ascii="新宋体" w:hAnsi="新宋体" w:eastAsia="新宋体" w:cs="新宋体"/>
          <w:color w:val="auto"/>
          <w:w w:val="100"/>
          <w:sz w:val="21"/>
          <w:szCs w:val="21"/>
          <w:highlight w:val="none"/>
          <w:u w:val="single"/>
          <w:lang w:val="en-US" w:eastAsia="zh-CN"/>
        </w:rPr>
        <w:t xml:space="preserve">                                       </w:t>
      </w:r>
    </w:p>
    <w:p w14:paraId="485D502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经济行业：</w:t>
      </w:r>
      <w:r>
        <w:rPr>
          <w:rFonts w:hint="eastAsia" w:ascii="新宋体" w:hAnsi="新宋体" w:eastAsia="新宋体" w:cs="新宋体"/>
          <w:color w:val="auto"/>
          <w:w w:val="100"/>
          <w:sz w:val="21"/>
          <w:szCs w:val="21"/>
          <w:highlight w:val="none"/>
          <w:u w:val="single"/>
          <w:lang w:val="en-US" w:eastAsia="zh-CN"/>
        </w:rPr>
        <w:t xml:space="preserve">                                   </w:t>
      </w:r>
    </w:p>
    <w:p w14:paraId="13DB455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经济性质：</w:t>
      </w:r>
      <w:r>
        <w:rPr>
          <w:rFonts w:hint="eastAsia" w:ascii="新宋体" w:hAnsi="新宋体" w:eastAsia="新宋体" w:cs="新宋体"/>
          <w:color w:val="auto"/>
          <w:w w:val="100"/>
          <w:sz w:val="21"/>
          <w:szCs w:val="21"/>
          <w:highlight w:val="none"/>
          <w:u w:val="single"/>
          <w:lang w:val="en-US" w:eastAsia="zh-CN"/>
        </w:rPr>
        <w:t xml:space="preserve">                                   </w:t>
      </w:r>
    </w:p>
    <w:p w14:paraId="2461640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法定代表人(负责人)姓名(签字或印章)：</w:t>
      </w:r>
      <w:r>
        <w:rPr>
          <w:rFonts w:hint="eastAsia" w:ascii="新宋体" w:hAnsi="新宋体" w:eastAsia="新宋体" w:cs="新宋体"/>
          <w:color w:val="auto"/>
          <w:w w:val="100"/>
          <w:sz w:val="21"/>
          <w:szCs w:val="21"/>
          <w:highlight w:val="none"/>
          <w:u w:val="single"/>
          <w:lang w:val="en-US" w:eastAsia="zh-CN"/>
        </w:rPr>
        <w:t xml:space="preserve">               </w:t>
      </w:r>
    </w:p>
    <w:p w14:paraId="110058D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身份证号：</w:t>
      </w:r>
      <w:r>
        <w:rPr>
          <w:rFonts w:hint="eastAsia" w:ascii="新宋体" w:hAnsi="新宋体" w:eastAsia="新宋体" w:cs="新宋体"/>
          <w:color w:val="auto"/>
          <w:w w:val="100"/>
          <w:sz w:val="21"/>
          <w:szCs w:val="21"/>
          <w:highlight w:val="none"/>
          <w:u w:val="single"/>
          <w:lang w:val="en-US" w:eastAsia="zh-CN"/>
        </w:rPr>
        <w:t xml:space="preserve">                                   </w:t>
      </w:r>
    </w:p>
    <w:p w14:paraId="1685A86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手机号：</w:t>
      </w:r>
      <w:r>
        <w:rPr>
          <w:rFonts w:hint="eastAsia" w:ascii="新宋体" w:hAnsi="新宋体" w:eastAsia="新宋体" w:cs="新宋体"/>
          <w:color w:val="auto"/>
          <w:w w:val="100"/>
          <w:sz w:val="21"/>
          <w:szCs w:val="21"/>
          <w:highlight w:val="none"/>
          <w:u w:val="single"/>
          <w:lang w:val="en-US" w:eastAsia="zh-CN"/>
        </w:rPr>
        <w:t xml:space="preserve">                                     </w:t>
      </w:r>
    </w:p>
    <w:p w14:paraId="299E509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授权代表人姓名(签字或印章)：</w:t>
      </w:r>
      <w:r>
        <w:rPr>
          <w:rFonts w:hint="eastAsia" w:ascii="新宋体" w:hAnsi="新宋体" w:eastAsia="新宋体" w:cs="新宋体"/>
          <w:color w:val="auto"/>
          <w:w w:val="100"/>
          <w:sz w:val="21"/>
          <w:szCs w:val="21"/>
          <w:highlight w:val="none"/>
          <w:u w:val="single"/>
          <w:lang w:val="en-US" w:eastAsia="zh-CN"/>
        </w:rPr>
        <w:t xml:space="preserve">                       </w:t>
      </w:r>
    </w:p>
    <w:p w14:paraId="062F326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新宋体" w:hAnsi="新宋体" w:eastAsia="新宋体" w:cs="新宋体"/>
          <w:color w:val="auto"/>
          <w:w w:val="100"/>
          <w:sz w:val="21"/>
          <w:szCs w:val="21"/>
          <w:highlight w:val="none"/>
          <w:u w:val="none"/>
          <w:lang w:val="en-US" w:eastAsia="zh-CN"/>
        </w:rPr>
      </w:pPr>
      <w:r>
        <w:rPr>
          <w:rFonts w:hint="eastAsia" w:ascii="新宋体" w:hAnsi="新宋体" w:eastAsia="新宋体" w:cs="新宋体"/>
          <w:color w:val="auto"/>
          <w:w w:val="100"/>
          <w:sz w:val="21"/>
          <w:szCs w:val="21"/>
          <w:highlight w:val="none"/>
          <w:u w:val="none"/>
          <w:lang w:val="en-US" w:eastAsia="zh-CN"/>
        </w:rPr>
        <w:t>身份证号：</w:t>
      </w:r>
      <w:r>
        <w:rPr>
          <w:rFonts w:hint="eastAsia" w:ascii="新宋体" w:hAnsi="新宋体" w:eastAsia="新宋体" w:cs="新宋体"/>
          <w:color w:val="auto"/>
          <w:w w:val="100"/>
          <w:sz w:val="21"/>
          <w:szCs w:val="21"/>
          <w:highlight w:val="none"/>
          <w:u w:val="single"/>
          <w:lang w:val="en-US" w:eastAsia="zh-CN"/>
        </w:rPr>
        <w:t xml:space="preserve">                                    </w:t>
      </w:r>
    </w:p>
    <w:p w14:paraId="17CA165C">
      <w:pPr>
        <w:pageBreakBefore w:val="0"/>
        <w:widowControl/>
        <w:kinsoku/>
        <w:overflowPunct/>
        <w:topLinePunct w:val="0"/>
        <w:bidi w:val="0"/>
        <w:adjustRightInd w:val="0"/>
        <w:snapToGrid w:val="0"/>
        <w:spacing w:line="360" w:lineRule="auto"/>
        <w:ind w:firstLine="420" w:firstLineChars="2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w w:val="100"/>
          <w:sz w:val="21"/>
          <w:szCs w:val="21"/>
          <w:highlight w:val="none"/>
          <w:u w:val="none"/>
          <w:lang w:val="en-US" w:eastAsia="zh-CN"/>
        </w:rPr>
        <w:t>手机号：</w:t>
      </w:r>
      <w:r>
        <w:rPr>
          <w:rFonts w:hint="eastAsia" w:ascii="新宋体" w:hAnsi="新宋体" w:eastAsia="新宋体" w:cs="新宋体"/>
          <w:color w:val="auto"/>
          <w:w w:val="100"/>
          <w:sz w:val="21"/>
          <w:szCs w:val="21"/>
          <w:highlight w:val="none"/>
          <w:u w:val="single"/>
          <w:lang w:val="en-US" w:eastAsia="zh-CN"/>
        </w:rPr>
        <w:t xml:space="preserve">                                      </w:t>
      </w:r>
    </w:p>
    <w:p w14:paraId="527BD36C">
      <w:pPr>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color w:val="auto"/>
          <w:sz w:val="32"/>
          <w:szCs w:val="32"/>
          <w:highlight w:val="none"/>
        </w:rPr>
      </w:pPr>
    </w:p>
    <w:p w14:paraId="36AF5BF8">
      <w:pPr>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color w:val="auto"/>
          <w:sz w:val="32"/>
          <w:szCs w:val="32"/>
          <w:highlight w:val="none"/>
        </w:rPr>
      </w:pPr>
    </w:p>
    <w:p w14:paraId="65E10BB0">
      <w:pPr>
        <w:pStyle w:val="14"/>
        <w:outlineLvl w:val="9"/>
        <w:rPr>
          <w:rFonts w:hint="eastAsia" w:ascii="新宋体" w:hAnsi="新宋体" w:eastAsia="新宋体" w:cs="新宋体"/>
          <w:color w:val="auto"/>
          <w:sz w:val="32"/>
          <w:szCs w:val="32"/>
          <w:highlight w:val="none"/>
        </w:rPr>
      </w:pPr>
    </w:p>
    <w:p w14:paraId="044BF61B">
      <w:pPr>
        <w:pStyle w:val="14"/>
        <w:outlineLvl w:val="9"/>
        <w:rPr>
          <w:rFonts w:hint="eastAsia" w:ascii="新宋体" w:hAnsi="新宋体" w:eastAsia="新宋体" w:cs="新宋体"/>
          <w:color w:val="auto"/>
          <w:sz w:val="32"/>
          <w:szCs w:val="32"/>
          <w:highlight w:val="none"/>
        </w:rPr>
      </w:pPr>
    </w:p>
    <w:p w14:paraId="4CE13594">
      <w:pPr>
        <w:pStyle w:val="14"/>
        <w:outlineLvl w:val="9"/>
        <w:rPr>
          <w:rFonts w:hint="eastAsia" w:ascii="新宋体" w:hAnsi="新宋体" w:eastAsia="新宋体" w:cs="新宋体"/>
          <w:color w:val="auto"/>
          <w:sz w:val="32"/>
          <w:szCs w:val="32"/>
          <w:highlight w:val="none"/>
        </w:rPr>
      </w:pPr>
    </w:p>
    <w:p w14:paraId="1958608F">
      <w:pPr>
        <w:pStyle w:val="31"/>
        <w:keepNext w:val="0"/>
        <w:keepLines w:val="0"/>
        <w:pageBreakBefore w:val="0"/>
        <w:widowControl w:val="0"/>
        <w:kinsoku/>
        <w:wordWrap/>
        <w:overflowPunct/>
        <w:topLinePunct w:val="0"/>
        <w:autoSpaceDE/>
        <w:autoSpaceDN/>
        <w:bidi w:val="0"/>
        <w:adjustRightInd w:val="0"/>
        <w:snapToGrid w:val="0"/>
        <w:spacing w:before="157" w:beforeLines="50" w:line="240" w:lineRule="auto"/>
        <w:ind w:left="0" w:leftChars="0" w:firstLine="0" w:firstLineChars="0"/>
        <w:textAlignment w:val="auto"/>
        <w:outlineLvl w:val="9"/>
        <w:rPr>
          <w:rFonts w:hint="eastAsia" w:ascii="新宋体" w:hAnsi="新宋体" w:eastAsia="新宋体" w:cs="新宋体"/>
          <w:color w:val="auto"/>
          <w:kern w:val="2"/>
          <w:sz w:val="21"/>
          <w:szCs w:val="21"/>
          <w:highlight w:val="none"/>
          <w:lang w:val="en-US" w:eastAsia="zh-CN" w:bidi="ar-SA"/>
        </w:rPr>
      </w:pPr>
    </w:p>
    <w:p w14:paraId="6D2D810E">
      <w:pPr>
        <w:pStyle w:val="31"/>
        <w:keepNext w:val="0"/>
        <w:keepLines w:val="0"/>
        <w:pageBreakBefore w:val="0"/>
        <w:widowControl w:val="0"/>
        <w:kinsoku/>
        <w:wordWrap/>
        <w:overflowPunct/>
        <w:topLinePunct w:val="0"/>
        <w:autoSpaceDE/>
        <w:autoSpaceDN/>
        <w:bidi w:val="0"/>
        <w:adjustRightInd w:val="0"/>
        <w:snapToGrid w:val="0"/>
        <w:spacing w:before="157" w:beforeLines="50" w:line="240" w:lineRule="auto"/>
        <w:ind w:left="0" w:leftChars="0" w:firstLine="0" w:firstLineChars="0"/>
        <w:textAlignment w:val="auto"/>
        <w:outlineLvl w:val="9"/>
        <w:rPr>
          <w:rFonts w:hint="eastAsia" w:ascii="新宋体" w:hAnsi="新宋体" w:eastAsia="新宋体" w:cs="新宋体"/>
          <w:color w:val="auto"/>
          <w:kern w:val="2"/>
          <w:sz w:val="21"/>
          <w:szCs w:val="21"/>
          <w:highlight w:val="none"/>
          <w:lang w:val="en-US" w:eastAsia="zh-CN" w:bidi="ar-SA"/>
        </w:rPr>
      </w:pPr>
    </w:p>
    <w:p w14:paraId="754F3B98">
      <w:pPr>
        <w:pStyle w:val="31"/>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firstLine="0" w:firstLineChars="0"/>
        <w:textAlignment w:val="auto"/>
        <w:outlineLvl w:val="9"/>
        <w:rPr>
          <w:rFonts w:hint="default"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附件3-4 投标人认为须提供的其他资料</w:t>
      </w:r>
    </w:p>
    <w:p w14:paraId="33F015D8">
      <w:pPr>
        <w:pStyle w:val="14"/>
        <w:outlineLvl w:val="9"/>
        <w:rPr>
          <w:rFonts w:hint="eastAsia" w:ascii="新宋体" w:hAnsi="新宋体" w:eastAsia="新宋体" w:cs="新宋体"/>
          <w:color w:val="auto"/>
          <w:sz w:val="32"/>
          <w:szCs w:val="32"/>
          <w:highlight w:val="none"/>
        </w:rPr>
      </w:pPr>
    </w:p>
    <w:p w14:paraId="51BD1A36">
      <w:pPr>
        <w:outlineLvl w:val="9"/>
        <w:rPr>
          <w:rFonts w:hint="eastAsia" w:ascii="新宋体" w:hAnsi="新宋体" w:eastAsia="新宋体" w:cs="新宋体"/>
          <w:color w:val="auto"/>
          <w:sz w:val="32"/>
          <w:szCs w:val="32"/>
          <w:highlight w:val="none"/>
        </w:rPr>
      </w:pPr>
      <w:r>
        <w:rPr>
          <w:rFonts w:hint="eastAsia" w:ascii="新宋体" w:hAnsi="新宋体" w:eastAsia="新宋体" w:cs="新宋体"/>
          <w:color w:val="auto"/>
          <w:sz w:val="32"/>
          <w:szCs w:val="32"/>
          <w:highlight w:val="none"/>
        </w:rPr>
        <w:br w:type="page"/>
      </w:r>
    </w:p>
    <w:p w14:paraId="00443204">
      <w:pPr>
        <w:pStyle w:val="14"/>
        <w:outlineLvl w:val="9"/>
        <w:rPr>
          <w:rFonts w:hint="eastAsia" w:ascii="新宋体" w:hAnsi="新宋体" w:eastAsia="新宋体" w:cs="新宋体"/>
          <w:color w:val="auto"/>
          <w:sz w:val="32"/>
          <w:szCs w:val="32"/>
          <w:highlight w:val="none"/>
        </w:rPr>
      </w:pPr>
    </w:p>
    <w:p w14:paraId="7DDC7DB8">
      <w:pPr>
        <w:pStyle w:val="12"/>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bCs/>
          <w:color w:val="auto"/>
          <w:sz w:val="72"/>
          <w:szCs w:val="72"/>
          <w:highlight w:val="none"/>
        </w:rPr>
      </w:pPr>
      <w:r>
        <w:rPr>
          <w:rFonts w:hint="eastAsia" w:ascii="新宋体" w:hAnsi="新宋体" w:eastAsia="新宋体" w:cs="新宋体"/>
          <w:bCs/>
          <w:color w:val="auto"/>
          <w:sz w:val="72"/>
          <w:szCs w:val="72"/>
          <w:highlight w:val="none"/>
        </w:rPr>
        <w:t>政府采购</w:t>
      </w:r>
    </w:p>
    <w:p w14:paraId="1BD95A5E">
      <w:pPr>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b/>
          <w:bCs/>
          <w:color w:val="auto"/>
          <w:sz w:val="84"/>
          <w:szCs w:val="84"/>
          <w:highlight w:val="none"/>
        </w:rPr>
      </w:pPr>
      <w:r>
        <w:rPr>
          <w:rFonts w:hint="eastAsia" w:ascii="新宋体" w:hAnsi="新宋体" w:eastAsia="新宋体" w:cs="新宋体"/>
          <w:b/>
          <w:bCs/>
          <w:color w:val="auto"/>
          <w:sz w:val="84"/>
          <w:szCs w:val="84"/>
          <w:highlight w:val="none"/>
        </w:rPr>
        <w:t>投 标 文 件</w:t>
      </w:r>
    </w:p>
    <w:p w14:paraId="0E65FA2F">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新宋体" w:hAnsi="新宋体" w:eastAsia="新宋体" w:cs="新宋体"/>
          <w:color w:val="auto"/>
          <w:sz w:val="44"/>
          <w:szCs w:val="44"/>
          <w:highlight w:val="none"/>
        </w:rPr>
      </w:pPr>
      <w:bookmarkStart w:id="178" w:name="_Toc6064"/>
      <w:bookmarkStart w:id="179" w:name="_Toc13942"/>
      <w:bookmarkStart w:id="180" w:name="_Toc6690"/>
      <w:r>
        <w:rPr>
          <w:rFonts w:hint="eastAsia" w:ascii="新宋体" w:hAnsi="新宋体" w:eastAsia="新宋体" w:cs="新宋体"/>
          <w:color w:val="auto"/>
          <w:sz w:val="44"/>
          <w:szCs w:val="44"/>
          <w:highlight w:val="none"/>
        </w:rPr>
        <w:t>第二部分 商务文件</w:t>
      </w:r>
      <w:bookmarkEnd w:id="178"/>
      <w:bookmarkEnd w:id="179"/>
      <w:bookmarkEnd w:id="180"/>
    </w:p>
    <w:p w14:paraId="6752D4A0">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 w:val="32"/>
          <w:szCs w:val="32"/>
          <w:highlight w:val="none"/>
        </w:rPr>
      </w:pPr>
    </w:p>
    <w:p w14:paraId="023E8BBB">
      <w:pPr>
        <w:pStyle w:val="12"/>
        <w:pageBreakBefore w:val="0"/>
        <w:kinsoku/>
        <w:overflowPunct/>
        <w:topLinePunct w:val="0"/>
        <w:bidi w:val="0"/>
        <w:adjustRightInd w:val="0"/>
        <w:snapToGrid w:val="0"/>
        <w:spacing w:line="360" w:lineRule="auto"/>
        <w:ind w:firstLine="1988" w:firstLineChars="660"/>
        <w:textAlignment w:val="auto"/>
        <w:outlineLvl w:val="9"/>
        <w:rPr>
          <w:rFonts w:hint="eastAsia" w:ascii="新宋体" w:hAnsi="新宋体" w:eastAsia="新宋体" w:cs="新宋体"/>
          <w:b/>
          <w:bCs/>
          <w:color w:val="auto"/>
          <w:sz w:val="30"/>
          <w:szCs w:val="30"/>
          <w:highlight w:val="none"/>
        </w:rPr>
      </w:pPr>
    </w:p>
    <w:p w14:paraId="66E750B5">
      <w:pPr>
        <w:pStyle w:val="12"/>
        <w:keepNext w:val="0"/>
        <w:keepLines w:val="0"/>
        <w:pageBreakBefore w:val="0"/>
        <w:widowControl w:val="0"/>
        <w:kinsoku/>
        <w:wordWrap/>
        <w:overflowPunct/>
        <w:topLinePunct w:val="0"/>
        <w:autoSpaceDE/>
        <w:autoSpaceDN/>
        <w:bidi w:val="0"/>
        <w:adjustRightInd w:val="0"/>
        <w:snapToGrid w:val="0"/>
        <w:spacing w:line="360" w:lineRule="auto"/>
        <w:ind w:firstLine="1988" w:firstLineChars="660"/>
        <w:textAlignment w:val="auto"/>
        <w:outlineLvl w:val="9"/>
        <w:rPr>
          <w:rFonts w:hint="eastAsia"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采购项目名称:</w:t>
      </w:r>
      <w:r>
        <w:rPr>
          <w:rFonts w:hint="eastAsia" w:ascii="新宋体" w:hAnsi="新宋体" w:eastAsia="新宋体" w:cs="新宋体"/>
          <w:b/>
          <w:bCs/>
          <w:color w:val="auto"/>
          <w:sz w:val="30"/>
          <w:szCs w:val="30"/>
          <w:highlight w:val="none"/>
          <w:u w:val="single"/>
        </w:rPr>
        <w:t xml:space="preserve">                        </w:t>
      </w:r>
    </w:p>
    <w:p w14:paraId="170CABE4">
      <w:pPr>
        <w:pStyle w:val="7"/>
        <w:keepNext w:val="0"/>
        <w:keepLines w:val="0"/>
        <w:pageBreakBefore w:val="0"/>
        <w:widowControl w:val="0"/>
        <w:kinsoku/>
        <w:wordWrap/>
        <w:overflowPunct/>
        <w:topLinePunct w:val="0"/>
        <w:autoSpaceDE/>
        <w:autoSpaceDN/>
        <w:bidi w:val="0"/>
        <w:adjustRightInd w:val="0"/>
        <w:snapToGrid w:val="0"/>
        <w:spacing w:line="360" w:lineRule="auto"/>
        <w:ind w:left="0" w:leftChars="0" w:firstLine="2108" w:firstLineChars="700"/>
        <w:textAlignment w:val="auto"/>
        <w:outlineLvl w:val="9"/>
        <w:rPr>
          <w:rFonts w:hint="eastAsia"/>
          <w:color w:val="auto"/>
        </w:rPr>
      </w:pPr>
      <w:r>
        <w:rPr>
          <w:rFonts w:hint="eastAsia" w:ascii="新宋体" w:hAnsi="新宋体" w:eastAsia="新宋体" w:cs="新宋体"/>
          <w:b/>
          <w:bCs/>
          <w:color w:val="auto"/>
          <w:sz w:val="30"/>
          <w:szCs w:val="30"/>
          <w:highlight w:val="none"/>
          <w:lang w:eastAsia="zh-CN"/>
        </w:rPr>
        <w:t>包号及标的名称</w:t>
      </w:r>
      <w:r>
        <w:rPr>
          <w:rFonts w:hint="eastAsia" w:ascii="新宋体" w:hAnsi="新宋体" w:eastAsia="新宋体" w:cs="新宋体"/>
          <w:b/>
          <w:bCs/>
          <w:color w:val="auto"/>
          <w:sz w:val="30"/>
          <w:szCs w:val="30"/>
          <w:highlight w:val="none"/>
        </w:rPr>
        <w:t>：</w:t>
      </w:r>
      <w:r>
        <w:rPr>
          <w:rFonts w:hint="eastAsia" w:ascii="新宋体" w:hAnsi="新宋体" w:eastAsia="新宋体" w:cs="新宋体"/>
          <w:b/>
          <w:bCs/>
          <w:color w:val="auto"/>
          <w:sz w:val="30"/>
          <w:szCs w:val="30"/>
          <w:highlight w:val="none"/>
          <w:u w:val="single"/>
        </w:rPr>
        <w:t xml:space="preserve">                    </w:t>
      </w:r>
    </w:p>
    <w:p w14:paraId="3A6265B3">
      <w:pPr>
        <w:pStyle w:val="12"/>
        <w:keepNext w:val="0"/>
        <w:keepLines w:val="0"/>
        <w:pageBreakBefore w:val="0"/>
        <w:widowControl w:val="0"/>
        <w:kinsoku/>
        <w:wordWrap/>
        <w:overflowPunct/>
        <w:topLinePunct w:val="0"/>
        <w:autoSpaceDE/>
        <w:autoSpaceDN/>
        <w:bidi w:val="0"/>
        <w:adjustRightInd w:val="0"/>
        <w:snapToGrid w:val="0"/>
        <w:spacing w:line="360" w:lineRule="auto"/>
        <w:ind w:firstLine="1988" w:firstLineChars="660"/>
        <w:textAlignment w:val="auto"/>
        <w:outlineLvl w:val="9"/>
        <w:rPr>
          <w:rFonts w:hint="eastAsia" w:ascii="新宋体" w:hAnsi="新宋体" w:eastAsia="新宋体" w:cs="新宋体"/>
          <w:b/>
          <w:bCs/>
          <w:color w:val="auto"/>
          <w:sz w:val="30"/>
          <w:szCs w:val="30"/>
          <w:highlight w:val="none"/>
        </w:rPr>
      </w:pPr>
      <w:r>
        <w:rPr>
          <w:rFonts w:hint="eastAsia" w:ascii="新宋体" w:hAnsi="新宋体" w:eastAsia="新宋体" w:cs="新宋体"/>
          <w:b/>
          <w:bCs/>
          <w:color w:val="auto"/>
          <w:sz w:val="30"/>
          <w:szCs w:val="30"/>
          <w:highlight w:val="none"/>
        </w:rPr>
        <w:t>采   购   人：</w:t>
      </w:r>
      <w:r>
        <w:rPr>
          <w:rFonts w:hint="eastAsia" w:ascii="新宋体" w:hAnsi="新宋体" w:eastAsia="新宋体" w:cs="新宋体"/>
          <w:b/>
          <w:bCs/>
          <w:color w:val="auto"/>
          <w:sz w:val="30"/>
          <w:szCs w:val="30"/>
          <w:highlight w:val="none"/>
          <w:u w:val="single"/>
        </w:rPr>
        <w:t xml:space="preserve">                       </w:t>
      </w:r>
    </w:p>
    <w:p w14:paraId="635B0581">
      <w:pPr>
        <w:pStyle w:val="12"/>
        <w:keepNext w:val="0"/>
        <w:keepLines w:val="0"/>
        <w:pageBreakBefore w:val="0"/>
        <w:widowControl w:val="0"/>
        <w:kinsoku/>
        <w:wordWrap/>
        <w:overflowPunct/>
        <w:topLinePunct w:val="0"/>
        <w:autoSpaceDE/>
        <w:autoSpaceDN/>
        <w:bidi w:val="0"/>
        <w:adjustRightInd w:val="0"/>
        <w:snapToGrid w:val="0"/>
        <w:spacing w:line="360" w:lineRule="auto"/>
        <w:ind w:firstLine="1988" w:firstLineChars="660"/>
        <w:textAlignment w:val="auto"/>
        <w:outlineLvl w:val="9"/>
        <w:rPr>
          <w:rFonts w:hint="eastAsia"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政府采购计划编号:</w:t>
      </w:r>
      <w:r>
        <w:rPr>
          <w:rFonts w:hint="eastAsia" w:ascii="新宋体" w:hAnsi="新宋体" w:eastAsia="新宋体" w:cs="新宋体"/>
          <w:b/>
          <w:bCs/>
          <w:color w:val="auto"/>
          <w:sz w:val="30"/>
          <w:szCs w:val="30"/>
          <w:highlight w:val="none"/>
          <w:u w:val="single"/>
        </w:rPr>
        <w:t xml:space="preserve">                    </w:t>
      </w:r>
    </w:p>
    <w:p w14:paraId="43BD2A65">
      <w:pPr>
        <w:pStyle w:val="12"/>
        <w:keepNext w:val="0"/>
        <w:keepLines w:val="0"/>
        <w:pageBreakBefore w:val="0"/>
        <w:widowControl w:val="0"/>
        <w:kinsoku/>
        <w:wordWrap/>
        <w:overflowPunct/>
        <w:topLinePunct w:val="0"/>
        <w:autoSpaceDE/>
        <w:autoSpaceDN/>
        <w:bidi w:val="0"/>
        <w:adjustRightInd w:val="0"/>
        <w:snapToGrid w:val="0"/>
        <w:spacing w:line="360" w:lineRule="auto"/>
        <w:ind w:firstLine="1988" w:firstLineChars="660"/>
        <w:textAlignment w:val="auto"/>
        <w:outlineLvl w:val="9"/>
        <w:rPr>
          <w:rFonts w:hint="eastAsia"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lang w:eastAsia="zh-CN"/>
        </w:rPr>
        <w:t>委托代理编号</w:t>
      </w:r>
      <w:r>
        <w:rPr>
          <w:rFonts w:hint="eastAsia" w:ascii="新宋体" w:hAnsi="新宋体" w:eastAsia="新宋体" w:cs="新宋体"/>
          <w:b/>
          <w:bCs/>
          <w:color w:val="auto"/>
          <w:sz w:val="30"/>
          <w:szCs w:val="30"/>
          <w:highlight w:val="none"/>
        </w:rPr>
        <w:t>:</w:t>
      </w:r>
      <w:r>
        <w:rPr>
          <w:rFonts w:hint="eastAsia" w:ascii="新宋体" w:hAnsi="新宋体" w:eastAsia="新宋体" w:cs="新宋体"/>
          <w:b/>
          <w:bCs/>
          <w:color w:val="auto"/>
          <w:sz w:val="30"/>
          <w:szCs w:val="30"/>
          <w:highlight w:val="none"/>
          <w:u w:val="single"/>
        </w:rPr>
        <w:t xml:space="preserve">                        </w:t>
      </w:r>
    </w:p>
    <w:p w14:paraId="69558F39">
      <w:pPr>
        <w:pStyle w:val="12"/>
        <w:keepNext w:val="0"/>
        <w:keepLines w:val="0"/>
        <w:pageBreakBefore w:val="0"/>
        <w:widowControl w:val="0"/>
        <w:kinsoku/>
        <w:wordWrap/>
        <w:overflowPunct/>
        <w:topLinePunct w:val="0"/>
        <w:autoSpaceDE/>
        <w:autoSpaceDN/>
        <w:bidi w:val="0"/>
        <w:adjustRightInd w:val="0"/>
        <w:snapToGrid w:val="0"/>
        <w:spacing w:line="360" w:lineRule="auto"/>
        <w:ind w:firstLine="1988" w:firstLineChars="660"/>
        <w:textAlignment w:val="auto"/>
        <w:outlineLvl w:val="9"/>
        <w:rPr>
          <w:rFonts w:hint="eastAsia"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采购代理机构：</w:t>
      </w:r>
      <w:r>
        <w:rPr>
          <w:rFonts w:hint="eastAsia" w:ascii="新宋体" w:hAnsi="新宋体" w:eastAsia="新宋体" w:cs="新宋体"/>
          <w:b/>
          <w:bCs/>
          <w:color w:val="auto"/>
          <w:sz w:val="30"/>
          <w:szCs w:val="30"/>
          <w:highlight w:val="none"/>
          <w:u w:val="single"/>
        </w:rPr>
        <w:t xml:space="preserve">                       </w:t>
      </w:r>
    </w:p>
    <w:p w14:paraId="5C20C779">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 w:val="30"/>
          <w:szCs w:val="30"/>
          <w:highlight w:val="none"/>
        </w:rPr>
      </w:pPr>
    </w:p>
    <w:p w14:paraId="24EC82FD">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 w:val="30"/>
          <w:szCs w:val="30"/>
          <w:highlight w:val="none"/>
        </w:rPr>
      </w:pPr>
    </w:p>
    <w:p w14:paraId="4DA02E5C">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 w:val="30"/>
          <w:szCs w:val="30"/>
          <w:highlight w:val="none"/>
        </w:rPr>
      </w:pPr>
    </w:p>
    <w:p w14:paraId="05AB9D8B">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b w:val="0"/>
          <w:bCs w:val="0"/>
          <w:color w:val="auto"/>
          <w:sz w:val="30"/>
          <w:szCs w:val="30"/>
          <w:highlight w:val="none"/>
        </w:rPr>
      </w:pPr>
    </w:p>
    <w:p w14:paraId="7E733B0C">
      <w:pPr>
        <w:pageBreakBefore w:val="0"/>
        <w:kinsoku/>
        <w:overflowPunct/>
        <w:topLinePunct w:val="0"/>
        <w:bidi w:val="0"/>
        <w:adjustRightInd w:val="0"/>
        <w:snapToGrid w:val="0"/>
        <w:spacing w:line="360" w:lineRule="auto"/>
        <w:ind w:left="1273" w:leftChars="606" w:firstLine="640" w:firstLineChars="200"/>
        <w:textAlignment w:val="auto"/>
        <w:outlineLvl w:val="9"/>
        <w:rPr>
          <w:rFonts w:hint="eastAsia" w:ascii="新宋体" w:hAnsi="新宋体" w:eastAsia="新宋体" w:cs="新宋体"/>
          <w:b w:val="0"/>
          <w:bCs w:val="0"/>
          <w:color w:val="auto"/>
          <w:sz w:val="32"/>
          <w:szCs w:val="32"/>
          <w:highlight w:val="none"/>
          <w:u w:val="single"/>
        </w:rPr>
      </w:pPr>
      <w:r>
        <w:rPr>
          <w:rFonts w:hint="eastAsia" w:ascii="新宋体" w:hAnsi="新宋体" w:eastAsia="新宋体" w:cs="新宋体"/>
          <w:b w:val="0"/>
          <w:bCs w:val="0"/>
          <w:color w:val="auto"/>
          <w:sz w:val="32"/>
          <w:szCs w:val="32"/>
          <w:highlight w:val="none"/>
        </w:rPr>
        <w:t>投标人</w:t>
      </w:r>
      <w:r>
        <w:rPr>
          <w:rFonts w:hint="eastAsia" w:ascii="新宋体" w:hAnsi="新宋体" w:eastAsia="新宋体" w:cs="新宋体"/>
          <w:b w:val="0"/>
          <w:bCs w:val="0"/>
          <w:color w:val="auto"/>
          <w:sz w:val="32"/>
          <w:szCs w:val="32"/>
          <w:highlight w:val="none"/>
          <w:u w:val="single"/>
        </w:rPr>
        <w:t xml:space="preserve">                         </w:t>
      </w:r>
    </w:p>
    <w:p w14:paraId="607D7057">
      <w:pPr>
        <w:pageBreakBefore w:val="0"/>
        <w:kinsoku/>
        <w:overflowPunct/>
        <w:topLinePunct w:val="0"/>
        <w:bidi w:val="0"/>
        <w:adjustRightInd w:val="0"/>
        <w:snapToGrid w:val="0"/>
        <w:spacing w:line="360" w:lineRule="auto"/>
        <w:jc w:val="center"/>
        <w:textAlignment w:val="auto"/>
        <w:outlineLvl w:val="9"/>
        <w:rPr>
          <w:rFonts w:hint="eastAsia" w:ascii="新宋体" w:hAnsi="新宋体" w:eastAsia="新宋体" w:cs="新宋体"/>
          <w:b w:val="0"/>
          <w:bCs w:val="0"/>
          <w:color w:val="auto"/>
          <w:sz w:val="32"/>
          <w:szCs w:val="32"/>
          <w:highlight w:val="none"/>
        </w:rPr>
      </w:pPr>
      <w:r>
        <w:rPr>
          <w:rFonts w:hint="eastAsia" w:ascii="新宋体" w:hAnsi="新宋体" w:eastAsia="新宋体" w:cs="新宋体"/>
          <w:b w:val="0"/>
          <w:bCs w:val="0"/>
          <w:color w:val="auto"/>
          <w:sz w:val="32"/>
          <w:szCs w:val="32"/>
          <w:highlight w:val="none"/>
        </w:rPr>
        <w:t>年  月  日</w:t>
      </w:r>
    </w:p>
    <w:p w14:paraId="45501EFF">
      <w:pPr>
        <w:pageBreakBefore w:val="0"/>
        <w:widowControl/>
        <w:kinsoku/>
        <w:overflowPunct/>
        <w:topLinePunct w:val="0"/>
        <w:bidi w:val="0"/>
        <w:jc w:val="center"/>
        <w:textAlignment w:val="auto"/>
        <w:outlineLvl w:val="9"/>
        <w:rPr>
          <w:rFonts w:hint="eastAsia" w:ascii="新宋体" w:hAnsi="新宋体" w:eastAsia="新宋体" w:cs="新宋体"/>
          <w:color w:val="auto"/>
          <w:sz w:val="28"/>
          <w:szCs w:val="28"/>
          <w:highlight w:val="none"/>
        </w:rPr>
      </w:pPr>
      <w:r>
        <w:rPr>
          <w:rFonts w:hint="eastAsia" w:ascii="新宋体" w:hAnsi="新宋体" w:eastAsia="新宋体" w:cs="新宋体"/>
          <w:color w:val="auto"/>
          <w:highlight w:val="none"/>
          <w:u w:val="single"/>
        </w:rPr>
        <w:br w:type="page"/>
      </w:r>
      <w:bookmarkStart w:id="181" w:name="_Toc6290"/>
      <w:r>
        <w:rPr>
          <w:rFonts w:hint="eastAsia" w:ascii="新宋体" w:hAnsi="新宋体" w:eastAsia="新宋体" w:cs="新宋体"/>
          <w:b/>
          <w:bCs/>
          <w:color w:val="auto"/>
          <w:sz w:val="28"/>
          <w:szCs w:val="28"/>
          <w:highlight w:val="none"/>
          <w:lang w:eastAsia="zh-CN"/>
        </w:rPr>
        <w:t>二、</w:t>
      </w:r>
      <w:r>
        <w:rPr>
          <w:rFonts w:hint="eastAsia" w:ascii="新宋体" w:hAnsi="新宋体" w:eastAsia="新宋体" w:cs="新宋体"/>
          <w:b/>
          <w:bCs/>
          <w:color w:val="auto"/>
          <w:sz w:val="28"/>
          <w:szCs w:val="28"/>
          <w:highlight w:val="none"/>
        </w:rPr>
        <w:t>投标函</w:t>
      </w:r>
      <w:bookmarkEnd w:id="181"/>
    </w:p>
    <w:p w14:paraId="39C6C850">
      <w:pPr>
        <w:pageBreakBefore w:val="0"/>
        <w:kinsoku/>
        <w:overflowPunct/>
        <w:topLinePunct w:val="0"/>
        <w:bidi w:val="0"/>
        <w:adjustRightInd w:val="0"/>
        <w:snapToGrid w:val="0"/>
        <w:spacing w:before="156" w:beforeLines="50" w:line="360" w:lineRule="auto"/>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致：</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（采购人、采购代理机构）：</w:t>
      </w:r>
    </w:p>
    <w:p w14:paraId="59C836B6">
      <w:pPr>
        <w:keepNext w:val="0"/>
        <w:keepLines w:val="0"/>
        <w:pageBreakBefore w:val="0"/>
        <w:widowControl w:val="0"/>
        <w:kinsoku/>
        <w:wordWrap/>
        <w:overflowPunct/>
        <w:topLinePunct w:val="0"/>
        <w:autoSpaceDE/>
        <w:autoSpaceDN/>
        <w:bidi w:val="0"/>
        <w:adjustRightInd w:val="0"/>
        <w:snapToGrid w:val="0"/>
        <w:spacing w:line="360" w:lineRule="exact"/>
        <w:ind w:firstLine="435"/>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根据贵方为</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（项目名称）</w:t>
      </w:r>
      <w:r>
        <w:rPr>
          <w:rFonts w:hint="eastAsia" w:ascii="新宋体" w:hAnsi="新宋体" w:eastAsia="新宋体" w:cs="新宋体"/>
          <w:color w:val="auto"/>
          <w:sz w:val="21"/>
          <w:szCs w:val="21"/>
          <w:highlight w:val="none"/>
          <w:lang w:eastAsia="zh-CN"/>
        </w:rPr>
        <w:t>包号及标的名称</w:t>
      </w:r>
      <w:r>
        <w:rPr>
          <w:rFonts w:hint="eastAsia" w:ascii="新宋体" w:hAnsi="新宋体" w:eastAsia="新宋体" w:cs="新宋体"/>
          <w:color w:val="auto"/>
          <w:sz w:val="21"/>
          <w:szCs w:val="21"/>
          <w:highlight w:val="none"/>
          <w:u w:val="single"/>
          <w:lang w:val="en-US" w:eastAsia="zh-CN"/>
        </w:rPr>
        <w:t xml:space="preserve">       </w:t>
      </w:r>
      <w:r>
        <w:rPr>
          <w:rFonts w:hint="eastAsia" w:ascii="新宋体" w:hAnsi="新宋体" w:eastAsia="新宋体" w:cs="新宋体"/>
          <w:color w:val="auto"/>
          <w:sz w:val="21"/>
          <w:szCs w:val="21"/>
          <w:highlight w:val="none"/>
        </w:rPr>
        <w:t>的投标邀请（政府采购计划编号</w:t>
      </w:r>
      <w:r>
        <w:rPr>
          <w:rFonts w:hint="eastAsia" w:ascii="新宋体" w:hAnsi="新宋体" w:eastAsia="新宋体" w:cs="新宋体"/>
          <w:iCs/>
          <w:color w:val="auto"/>
          <w:sz w:val="21"/>
          <w:szCs w:val="21"/>
          <w:highlight w:val="none"/>
        </w:rPr>
        <w:t>：</w:t>
      </w:r>
      <w:r>
        <w:rPr>
          <w:rFonts w:hint="eastAsia" w:ascii="新宋体" w:hAnsi="新宋体" w:eastAsia="新宋体" w:cs="新宋体"/>
          <w:iCs/>
          <w:color w:val="auto"/>
          <w:sz w:val="21"/>
          <w:szCs w:val="21"/>
          <w:highlight w:val="none"/>
          <w:u w:val="single"/>
        </w:rPr>
        <w:t xml:space="preserve">      </w:t>
      </w:r>
      <w:r>
        <w:rPr>
          <w:rFonts w:hint="eastAsia" w:ascii="新宋体" w:hAnsi="新宋体" w:eastAsia="新宋体" w:cs="新宋体"/>
          <w:iCs/>
          <w:color w:val="auto"/>
          <w:sz w:val="21"/>
          <w:szCs w:val="21"/>
          <w:highlight w:val="none"/>
        </w:rPr>
        <w:t xml:space="preserve"> ，</w:t>
      </w:r>
      <w:r>
        <w:rPr>
          <w:rFonts w:hint="eastAsia" w:ascii="新宋体" w:hAnsi="新宋体" w:eastAsia="新宋体" w:cs="新宋体"/>
          <w:color w:val="auto"/>
          <w:sz w:val="21"/>
          <w:szCs w:val="21"/>
          <w:highlight w:val="none"/>
          <w:lang w:eastAsia="zh-CN"/>
        </w:rPr>
        <w:t>委托代理编号</w:t>
      </w:r>
      <w:r>
        <w:rPr>
          <w:rFonts w:hint="eastAsia" w:ascii="新宋体" w:hAnsi="新宋体" w:eastAsia="新宋体" w:cs="新宋体"/>
          <w:color w:val="auto"/>
          <w:sz w:val="21"/>
          <w:szCs w:val="21"/>
          <w:highlight w:val="none"/>
        </w:rPr>
        <w:t>：</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 xml:space="preserve">），签字代表 </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（姓名、职务）经正式授权并代表投标人</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 xml:space="preserve"> （投标人名称）提交下述投标文件：电子文档一份，参加采购项目投标，并在此声明，所递交的投标文件内容完整、真实。</w:t>
      </w:r>
    </w:p>
    <w:p w14:paraId="63D1C498">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jc w:val="left"/>
        <w:textAlignment w:val="auto"/>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第一部分 资格证明文件</w:t>
      </w:r>
    </w:p>
    <w:p w14:paraId="5B97D98C">
      <w:pPr>
        <w:keepNext w:val="0"/>
        <w:keepLines w:val="0"/>
        <w:pageBreakBefore w:val="0"/>
        <w:widowControl w:val="0"/>
        <w:kinsoku/>
        <w:wordWrap/>
        <w:overflowPunct/>
        <w:topLinePunct w:val="0"/>
        <w:autoSpaceDE/>
        <w:autoSpaceDN/>
        <w:bidi w:val="0"/>
        <w:adjustRightInd w:val="0"/>
        <w:snapToGrid w:val="0"/>
        <w:spacing w:line="360" w:lineRule="exact"/>
        <w:ind w:firstLine="630" w:firstLineChars="3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一、投标人具备投标资格的证明文件</w:t>
      </w:r>
    </w:p>
    <w:p w14:paraId="7BD53ACB">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jc w:val="left"/>
        <w:textAlignment w:val="auto"/>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第二部分 商务文件</w:t>
      </w:r>
    </w:p>
    <w:p w14:paraId="7F326773">
      <w:pPr>
        <w:keepNext w:val="0"/>
        <w:keepLines w:val="0"/>
        <w:pageBreakBefore w:val="0"/>
        <w:widowControl w:val="0"/>
        <w:kinsoku/>
        <w:wordWrap/>
        <w:overflowPunct/>
        <w:topLinePunct w:val="0"/>
        <w:autoSpaceDE/>
        <w:autoSpaceDN/>
        <w:bidi w:val="0"/>
        <w:adjustRightInd w:val="0"/>
        <w:snapToGrid w:val="0"/>
        <w:spacing w:line="360" w:lineRule="exact"/>
        <w:ind w:firstLine="630" w:firstLineChars="3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二、投标函</w:t>
      </w:r>
    </w:p>
    <w:p w14:paraId="6BEBEAF5">
      <w:pPr>
        <w:keepNext w:val="0"/>
        <w:keepLines w:val="0"/>
        <w:pageBreakBefore w:val="0"/>
        <w:widowControl w:val="0"/>
        <w:kinsoku/>
        <w:wordWrap/>
        <w:overflowPunct/>
        <w:topLinePunct w:val="0"/>
        <w:autoSpaceDE/>
        <w:autoSpaceDN/>
        <w:bidi w:val="0"/>
        <w:adjustRightInd w:val="0"/>
        <w:snapToGrid w:val="0"/>
        <w:spacing w:line="360" w:lineRule="exact"/>
        <w:ind w:firstLine="630" w:firstLineChars="3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三、开标一览表</w:t>
      </w:r>
    </w:p>
    <w:p w14:paraId="7D0C1905">
      <w:pPr>
        <w:keepNext w:val="0"/>
        <w:keepLines w:val="0"/>
        <w:pageBreakBefore w:val="0"/>
        <w:widowControl w:val="0"/>
        <w:kinsoku/>
        <w:wordWrap/>
        <w:overflowPunct/>
        <w:topLinePunct w:val="0"/>
        <w:autoSpaceDE/>
        <w:autoSpaceDN/>
        <w:bidi w:val="0"/>
        <w:adjustRightInd w:val="0"/>
        <w:snapToGrid w:val="0"/>
        <w:spacing w:line="360" w:lineRule="exact"/>
        <w:ind w:firstLine="630" w:firstLineChars="300"/>
        <w:jc w:val="left"/>
        <w:textAlignment w:val="auto"/>
        <w:outlineLvl w:val="9"/>
        <w:rPr>
          <w:rFonts w:hint="default" w:ascii="新宋体" w:hAnsi="新宋体" w:eastAsia="新宋体" w:cs="新宋体"/>
          <w:color w:val="auto"/>
          <w:sz w:val="21"/>
          <w:szCs w:val="21"/>
          <w:highlight w:val="none"/>
          <w:lang w:val="en-US" w:eastAsia="zh-CN"/>
        </w:rPr>
      </w:pPr>
      <w:r>
        <w:rPr>
          <w:rFonts w:hint="eastAsia" w:ascii="新宋体" w:hAnsi="新宋体" w:eastAsia="新宋体" w:cs="新宋体"/>
          <w:color w:val="auto"/>
          <w:sz w:val="21"/>
          <w:szCs w:val="21"/>
          <w:highlight w:val="none"/>
        </w:rPr>
        <w:t>四、</w:t>
      </w:r>
      <w:r>
        <w:rPr>
          <w:rFonts w:hint="eastAsia" w:ascii="新宋体" w:hAnsi="新宋体" w:eastAsia="新宋体" w:cs="新宋体"/>
          <w:color w:val="auto"/>
          <w:sz w:val="21"/>
          <w:szCs w:val="21"/>
          <w:highlight w:val="none"/>
          <w:lang w:val="en-US" w:eastAsia="zh-CN"/>
        </w:rPr>
        <w:t>分项价格表</w:t>
      </w:r>
    </w:p>
    <w:p w14:paraId="30AA7FEC">
      <w:pPr>
        <w:keepNext w:val="0"/>
        <w:keepLines w:val="0"/>
        <w:pageBreakBefore w:val="0"/>
        <w:widowControl w:val="0"/>
        <w:kinsoku/>
        <w:wordWrap/>
        <w:overflowPunct/>
        <w:topLinePunct w:val="0"/>
        <w:autoSpaceDE/>
        <w:autoSpaceDN/>
        <w:bidi w:val="0"/>
        <w:adjustRightInd w:val="0"/>
        <w:snapToGrid w:val="0"/>
        <w:spacing w:line="360" w:lineRule="exact"/>
        <w:ind w:firstLine="630" w:firstLineChars="3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eastAsia="zh-CN"/>
        </w:rPr>
        <w:t>五</w:t>
      </w:r>
      <w:r>
        <w:rPr>
          <w:rFonts w:hint="eastAsia" w:ascii="新宋体" w:hAnsi="新宋体" w:eastAsia="新宋体" w:cs="新宋体"/>
          <w:color w:val="auto"/>
          <w:sz w:val="21"/>
          <w:szCs w:val="21"/>
          <w:highlight w:val="none"/>
        </w:rPr>
        <w:t>、商务</w:t>
      </w:r>
      <w:r>
        <w:rPr>
          <w:rFonts w:hint="eastAsia" w:ascii="新宋体" w:hAnsi="新宋体" w:eastAsia="新宋体" w:cs="新宋体"/>
          <w:color w:val="auto"/>
          <w:sz w:val="21"/>
          <w:szCs w:val="21"/>
          <w:highlight w:val="none"/>
          <w:lang w:eastAsia="zh-CN"/>
        </w:rPr>
        <w:t>与</w:t>
      </w:r>
      <w:r>
        <w:rPr>
          <w:rFonts w:hint="eastAsia" w:ascii="新宋体" w:hAnsi="新宋体" w:eastAsia="新宋体" w:cs="新宋体"/>
          <w:color w:val="auto"/>
          <w:sz w:val="21"/>
          <w:szCs w:val="21"/>
          <w:highlight w:val="none"/>
        </w:rPr>
        <w:t>合同偏离表</w:t>
      </w:r>
    </w:p>
    <w:p w14:paraId="7D27E81E">
      <w:pPr>
        <w:keepNext w:val="0"/>
        <w:keepLines w:val="0"/>
        <w:pageBreakBefore w:val="0"/>
        <w:widowControl w:val="0"/>
        <w:kinsoku/>
        <w:wordWrap/>
        <w:overflowPunct/>
        <w:topLinePunct w:val="0"/>
        <w:autoSpaceDE/>
        <w:autoSpaceDN/>
        <w:bidi w:val="0"/>
        <w:adjustRightInd w:val="0"/>
        <w:snapToGrid w:val="0"/>
        <w:spacing w:line="360" w:lineRule="exact"/>
        <w:ind w:firstLine="630" w:firstLineChars="300"/>
        <w:jc w:val="left"/>
        <w:textAlignment w:val="auto"/>
        <w:outlineLvl w:val="9"/>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lang w:eastAsia="zh-CN"/>
        </w:rPr>
        <w:t>六、投标保证金</w:t>
      </w:r>
    </w:p>
    <w:p w14:paraId="2E5F1E09">
      <w:pPr>
        <w:keepNext w:val="0"/>
        <w:keepLines w:val="0"/>
        <w:pageBreakBefore w:val="0"/>
        <w:widowControl w:val="0"/>
        <w:kinsoku/>
        <w:wordWrap/>
        <w:overflowPunct/>
        <w:topLinePunct w:val="0"/>
        <w:autoSpaceDE/>
        <w:autoSpaceDN/>
        <w:bidi w:val="0"/>
        <w:adjustRightInd w:val="0"/>
        <w:snapToGrid w:val="0"/>
        <w:spacing w:line="360" w:lineRule="exact"/>
        <w:ind w:firstLine="630" w:firstLineChars="3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eastAsia="zh-CN"/>
        </w:rPr>
        <w:t>七、</w:t>
      </w:r>
      <w:r>
        <w:rPr>
          <w:rFonts w:hint="eastAsia" w:ascii="新宋体" w:hAnsi="新宋体" w:eastAsia="新宋体" w:cs="新宋体"/>
          <w:color w:val="auto"/>
          <w:sz w:val="21"/>
          <w:szCs w:val="21"/>
          <w:highlight w:val="none"/>
        </w:rPr>
        <w:t>中小企业声明函</w:t>
      </w:r>
    </w:p>
    <w:p w14:paraId="6A93B5B1">
      <w:pPr>
        <w:keepNext w:val="0"/>
        <w:keepLines w:val="0"/>
        <w:pageBreakBefore w:val="0"/>
        <w:widowControl w:val="0"/>
        <w:kinsoku/>
        <w:wordWrap/>
        <w:overflowPunct/>
        <w:topLinePunct w:val="0"/>
        <w:autoSpaceDE/>
        <w:autoSpaceDN/>
        <w:bidi w:val="0"/>
        <w:adjustRightInd w:val="0"/>
        <w:snapToGrid w:val="0"/>
        <w:spacing w:line="360" w:lineRule="exact"/>
        <w:ind w:firstLine="630" w:firstLineChars="3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eastAsia="zh-CN"/>
        </w:rPr>
        <w:t>八</w:t>
      </w:r>
      <w:r>
        <w:rPr>
          <w:rFonts w:hint="eastAsia" w:ascii="新宋体" w:hAnsi="新宋体" w:eastAsia="新宋体" w:cs="新宋体"/>
          <w:color w:val="auto"/>
          <w:sz w:val="21"/>
          <w:szCs w:val="21"/>
          <w:highlight w:val="none"/>
        </w:rPr>
        <w:t>、残疾人福利性单位声明函</w:t>
      </w:r>
    </w:p>
    <w:p w14:paraId="1BE57EB4">
      <w:pPr>
        <w:keepNext w:val="0"/>
        <w:keepLines w:val="0"/>
        <w:pageBreakBefore w:val="0"/>
        <w:widowControl w:val="0"/>
        <w:kinsoku/>
        <w:wordWrap/>
        <w:overflowPunct/>
        <w:topLinePunct w:val="0"/>
        <w:autoSpaceDE/>
        <w:autoSpaceDN/>
        <w:bidi w:val="0"/>
        <w:adjustRightInd w:val="0"/>
        <w:snapToGrid w:val="0"/>
        <w:spacing w:line="360" w:lineRule="exact"/>
        <w:ind w:firstLine="630" w:firstLineChars="300"/>
        <w:jc w:val="left"/>
        <w:textAlignment w:val="auto"/>
        <w:outlineLvl w:val="9"/>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lang w:eastAsia="zh-CN"/>
        </w:rPr>
        <w:t>九</w:t>
      </w:r>
      <w:r>
        <w:rPr>
          <w:rFonts w:hint="eastAsia" w:ascii="新宋体" w:hAnsi="新宋体" w:eastAsia="新宋体" w:cs="新宋体"/>
          <w:color w:val="auto"/>
          <w:sz w:val="21"/>
          <w:szCs w:val="21"/>
          <w:highlight w:val="none"/>
        </w:rPr>
        <w:t>、</w:t>
      </w:r>
      <w:r>
        <w:rPr>
          <w:rFonts w:hint="eastAsia" w:ascii="新宋体" w:hAnsi="新宋体" w:eastAsia="新宋体" w:cs="新宋体"/>
          <w:color w:val="auto"/>
          <w:sz w:val="21"/>
          <w:szCs w:val="21"/>
          <w:highlight w:val="none"/>
          <w:lang w:eastAsia="zh-CN"/>
        </w:rPr>
        <w:t>招标文件规定的其他与本项目相关的证明文件</w:t>
      </w:r>
    </w:p>
    <w:p w14:paraId="43CF4E0C">
      <w:pPr>
        <w:keepNext w:val="0"/>
        <w:keepLines w:val="0"/>
        <w:pageBreakBefore w:val="0"/>
        <w:widowControl w:val="0"/>
        <w:kinsoku/>
        <w:wordWrap/>
        <w:overflowPunct/>
        <w:topLinePunct w:val="0"/>
        <w:autoSpaceDE/>
        <w:autoSpaceDN/>
        <w:bidi w:val="0"/>
        <w:adjustRightInd w:val="0"/>
        <w:snapToGrid w:val="0"/>
        <w:spacing w:line="360" w:lineRule="exact"/>
        <w:ind w:firstLine="630" w:firstLineChars="300"/>
        <w:jc w:val="left"/>
        <w:textAlignment w:val="auto"/>
        <w:outlineLvl w:val="9"/>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lang w:eastAsia="zh-CN"/>
        </w:rPr>
        <w:t>十、商务部分评审资料</w:t>
      </w:r>
    </w:p>
    <w:p w14:paraId="7C787B52">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jc w:val="left"/>
        <w:textAlignment w:val="auto"/>
        <w:outlineLvl w:val="9"/>
        <w:rPr>
          <w:rFonts w:hint="eastAsia" w:ascii="新宋体" w:hAnsi="新宋体" w:eastAsia="新宋体" w:cs="新宋体"/>
          <w:b/>
          <w:color w:val="auto"/>
          <w:sz w:val="21"/>
          <w:szCs w:val="21"/>
          <w:highlight w:val="none"/>
          <w:lang w:val="en-US" w:eastAsia="zh-CN"/>
        </w:rPr>
      </w:pPr>
      <w:r>
        <w:rPr>
          <w:rFonts w:hint="eastAsia" w:ascii="新宋体" w:hAnsi="新宋体" w:eastAsia="新宋体" w:cs="新宋体"/>
          <w:b/>
          <w:color w:val="auto"/>
          <w:sz w:val="21"/>
          <w:szCs w:val="21"/>
          <w:highlight w:val="none"/>
          <w:lang w:eastAsia="zh-CN"/>
        </w:rPr>
        <w:t>第三部分</w:t>
      </w:r>
      <w:r>
        <w:rPr>
          <w:rFonts w:hint="eastAsia" w:ascii="新宋体" w:hAnsi="新宋体" w:eastAsia="新宋体" w:cs="新宋体"/>
          <w:b/>
          <w:color w:val="auto"/>
          <w:sz w:val="21"/>
          <w:szCs w:val="21"/>
          <w:highlight w:val="none"/>
          <w:lang w:val="en-US" w:eastAsia="zh-CN"/>
        </w:rPr>
        <w:t xml:space="preserve">  技术文件</w:t>
      </w:r>
    </w:p>
    <w:p w14:paraId="7BBE1151">
      <w:pPr>
        <w:keepNext w:val="0"/>
        <w:keepLines w:val="0"/>
        <w:pageBreakBefore w:val="0"/>
        <w:widowControl w:val="0"/>
        <w:kinsoku/>
        <w:wordWrap/>
        <w:overflowPunct/>
        <w:topLinePunct w:val="0"/>
        <w:autoSpaceDE/>
        <w:autoSpaceDN/>
        <w:bidi w:val="0"/>
        <w:adjustRightInd w:val="0"/>
        <w:snapToGrid w:val="0"/>
        <w:spacing w:line="360" w:lineRule="exact"/>
        <w:ind w:firstLine="630" w:firstLineChars="300"/>
        <w:jc w:val="left"/>
        <w:textAlignment w:val="auto"/>
        <w:outlineLvl w:val="9"/>
        <w:rPr>
          <w:rFonts w:hint="eastAsia" w:ascii="新宋体" w:hAnsi="新宋体" w:eastAsia="新宋体" w:cs="新宋体"/>
          <w:color w:val="auto"/>
          <w:sz w:val="21"/>
          <w:szCs w:val="21"/>
          <w:highlight w:val="none"/>
          <w:lang w:val="en-US" w:eastAsia="zh-CN"/>
        </w:rPr>
      </w:pPr>
      <w:r>
        <w:rPr>
          <w:rFonts w:hint="eastAsia" w:ascii="新宋体" w:hAnsi="新宋体" w:eastAsia="新宋体" w:cs="新宋体"/>
          <w:color w:val="auto"/>
          <w:sz w:val="21"/>
          <w:szCs w:val="21"/>
          <w:highlight w:val="none"/>
          <w:lang w:val="en-US" w:eastAsia="zh-CN"/>
        </w:rPr>
        <w:t>十一、采购需求响应</w:t>
      </w:r>
    </w:p>
    <w:p w14:paraId="66701641">
      <w:pPr>
        <w:keepNext w:val="0"/>
        <w:keepLines w:val="0"/>
        <w:pageBreakBefore w:val="0"/>
        <w:widowControl w:val="0"/>
        <w:kinsoku/>
        <w:wordWrap/>
        <w:overflowPunct/>
        <w:topLinePunct w:val="0"/>
        <w:autoSpaceDE/>
        <w:autoSpaceDN/>
        <w:bidi w:val="0"/>
        <w:adjustRightInd w:val="0"/>
        <w:snapToGrid w:val="0"/>
        <w:spacing w:line="360" w:lineRule="exact"/>
        <w:ind w:firstLine="630" w:firstLineChars="300"/>
        <w:jc w:val="left"/>
        <w:textAlignment w:val="auto"/>
        <w:outlineLvl w:val="9"/>
        <w:rPr>
          <w:rFonts w:hint="eastAsia" w:ascii="新宋体" w:hAnsi="新宋体" w:eastAsia="新宋体" w:cs="新宋体"/>
          <w:color w:val="auto"/>
          <w:sz w:val="21"/>
          <w:szCs w:val="21"/>
          <w:highlight w:val="none"/>
          <w:lang w:val="en-US" w:eastAsia="zh-CN"/>
        </w:rPr>
      </w:pPr>
      <w:r>
        <w:rPr>
          <w:rFonts w:hint="eastAsia" w:ascii="新宋体" w:hAnsi="新宋体" w:eastAsia="新宋体" w:cs="新宋体"/>
          <w:color w:val="auto"/>
          <w:sz w:val="21"/>
          <w:szCs w:val="21"/>
          <w:highlight w:val="none"/>
          <w:lang w:val="en-US" w:eastAsia="zh-CN"/>
        </w:rPr>
        <w:t>十二、采购需求偏离表</w:t>
      </w:r>
    </w:p>
    <w:p w14:paraId="1325F7C0">
      <w:pPr>
        <w:keepNext w:val="0"/>
        <w:keepLines w:val="0"/>
        <w:pageBreakBefore w:val="0"/>
        <w:widowControl w:val="0"/>
        <w:kinsoku/>
        <w:wordWrap/>
        <w:overflowPunct/>
        <w:topLinePunct w:val="0"/>
        <w:autoSpaceDE/>
        <w:autoSpaceDN/>
        <w:bidi w:val="0"/>
        <w:adjustRightInd w:val="0"/>
        <w:snapToGrid w:val="0"/>
        <w:spacing w:line="360" w:lineRule="exact"/>
        <w:ind w:firstLine="630" w:firstLineChars="300"/>
        <w:jc w:val="left"/>
        <w:textAlignment w:val="auto"/>
        <w:outlineLvl w:val="9"/>
        <w:rPr>
          <w:rFonts w:hint="eastAsia" w:ascii="新宋体" w:hAnsi="新宋体" w:eastAsia="新宋体" w:cs="新宋体"/>
          <w:color w:val="auto"/>
          <w:sz w:val="21"/>
          <w:szCs w:val="21"/>
          <w:highlight w:val="none"/>
          <w:lang w:val="en-US" w:eastAsia="zh-CN"/>
        </w:rPr>
      </w:pPr>
      <w:r>
        <w:rPr>
          <w:rFonts w:hint="eastAsia" w:ascii="新宋体" w:hAnsi="新宋体" w:eastAsia="新宋体" w:cs="新宋体"/>
          <w:color w:val="auto"/>
          <w:sz w:val="21"/>
          <w:szCs w:val="21"/>
          <w:highlight w:val="none"/>
          <w:lang w:val="en-US" w:eastAsia="zh-CN"/>
        </w:rPr>
        <w:t>十三、技术部分评审资料</w:t>
      </w:r>
    </w:p>
    <w:p w14:paraId="755C0ECE">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在此，签字代表宣布同意如下：</w:t>
      </w:r>
    </w:p>
    <w:p w14:paraId="1C0D16EC">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1、投标人严格按照招标文件的规定报价，见《开标一览表》。</w:t>
      </w:r>
    </w:p>
    <w:p w14:paraId="74D83C27">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2、投标人将按招标文件的规定履行合同责任和义务。</w:t>
      </w:r>
    </w:p>
    <w:p w14:paraId="10115ACC">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3、投标人已详细审查招标文件。我们完全理解并同意放弃对这方面有不明及误解的权力。</w:t>
      </w:r>
    </w:p>
    <w:p w14:paraId="63E7138D">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4、本投标有效期为自招标文件规定的提交投标文件截止之日起</w:t>
      </w:r>
      <w:r>
        <w:rPr>
          <w:rFonts w:hint="eastAsia" w:ascii="新宋体" w:hAnsi="新宋体" w:eastAsia="新宋体" w:cs="新宋体"/>
          <w:color w:val="auto"/>
          <w:sz w:val="21"/>
          <w:szCs w:val="21"/>
          <w:highlight w:val="none"/>
          <w:u w:val="single"/>
          <w:lang w:val="en-US" w:eastAsia="zh-CN"/>
        </w:rPr>
        <w:t>90</w:t>
      </w:r>
      <w:r>
        <w:rPr>
          <w:rFonts w:hint="eastAsia" w:ascii="新宋体" w:hAnsi="新宋体" w:eastAsia="新宋体" w:cs="新宋体"/>
          <w:color w:val="auto"/>
          <w:sz w:val="21"/>
          <w:szCs w:val="21"/>
          <w:highlight w:val="none"/>
        </w:rPr>
        <w:t>个日历日。在投标有效期内，投标人同意遵守本投标文件中的承诺且在此期限期满之前投标文件对我方具有法律约束力。</w:t>
      </w:r>
    </w:p>
    <w:p w14:paraId="1DB11C26">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5、同意提供贵方可能要求的与其投标有关的一切数据或资料。</w:t>
      </w:r>
    </w:p>
    <w:p w14:paraId="57D5E07D">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6、与本投标有关的一切正式往来信函请寄：</w:t>
      </w:r>
    </w:p>
    <w:p w14:paraId="696470EB">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地址：</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；邮编：</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 xml:space="preserve"> ；电话：</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；电子邮箱：</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 xml:space="preserve"> 。</w:t>
      </w:r>
    </w:p>
    <w:p w14:paraId="1C1AD9A5">
      <w:pPr>
        <w:pStyle w:val="12"/>
        <w:pageBreakBefore w:val="0"/>
        <w:kinsoku/>
        <w:overflowPunct/>
        <w:topLinePunct w:val="0"/>
        <w:bidi w:val="0"/>
        <w:adjustRightInd w:val="0"/>
        <w:snapToGrid w:val="0"/>
        <w:spacing w:before="156" w:beforeLines="50" w:line="360" w:lineRule="auto"/>
        <w:textAlignment w:val="auto"/>
        <w:outlineLvl w:val="9"/>
        <w:rPr>
          <w:rFonts w:hint="eastAsia" w:ascii="新宋体" w:hAnsi="新宋体" w:eastAsia="新宋体" w:cs="新宋体"/>
          <w:color w:val="auto"/>
          <w:sz w:val="21"/>
          <w:szCs w:val="21"/>
          <w:highlight w:val="none"/>
        </w:rPr>
      </w:pPr>
    </w:p>
    <w:p w14:paraId="5AE4F6B6">
      <w:pPr>
        <w:keepNext w:val="0"/>
        <w:keepLines w:val="0"/>
        <w:widowControl w:val="0"/>
        <w:suppressLineNumbers w:val="0"/>
        <w:adjustRightInd w:val="0"/>
        <w:snapToGrid w:val="0"/>
        <w:spacing w:before="120" w:beforeLines="50" w:beforeAutospacing="0" w:after="0" w:afterAutospacing="0" w:line="360" w:lineRule="auto"/>
        <w:ind w:left="0" w:right="0"/>
        <w:jc w:val="both"/>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投标人名称（盖单位章）：</w:t>
      </w:r>
      <w:r>
        <w:rPr>
          <w:rFonts w:hint="eastAsia" w:ascii="新宋体" w:hAnsi="新宋体" w:eastAsia="新宋体" w:cs="新宋体"/>
          <w:color w:val="auto"/>
          <w:kern w:val="2"/>
          <w:sz w:val="21"/>
          <w:szCs w:val="22"/>
          <w:u w:val="single"/>
          <w:lang w:val="en-US" w:eastAsia="zh-CN" w:bidi="ar"/>
        </w:rPr>
        <w:t xml:space="preserve">               </w:t>
      </w:r>
      <w:r>
        <w:rPr>
          <w:rFonts w:hint="eastAsia" w:ascii="新宋体" w:hAnsi="新宋体" w:eastAsia="新宋体" w:cs="新宋体"/>
          <w:color w:val="auto"/>
          <w:sz w:val="21"/>
          <w:szCs w:val="21"/>
          <w:highlight w:val="none"/>
        </w:rPr>
        <w:t xml:space="preserve"> </w:t>
      </w:r>
    </w:p>
    <w:p w14:paraId="65FCBAE4">
      <w:pPr>
        <w:pageBreakBefore w:val="0"/>
        <w:kinsoku/>
        <w:overflowPunct/>
        <w:topLinePunct w:val="0"/>
        <w:bidi w:val="0"/>
        <w:adjustRightInd w:val="0"/>
        <w:snapToGrid w:val="0"/>
        <w:spacing w:before="156" w:beforeLines="50" w:line="360" w:lineRule="auto"/>
        <w:textAlignment w:val="auto"/>
        <w:outlineLvl w:val="9"/>
        <w:rPr>
          <w:rFonts w:hint="eastAsia" w:ascii="新宋体" w:hAnsi="新宋体" w:eastAsia="新宋体" w:cs="新宋体"/>
          <w:color w:val="auto"/>
          <w:sz w:val="21"/>
          <w:szCs w:val="21"/>
          <w:highlight w:val="none"/>
          <w:u w:val="single"/>
        </w:rPr>
      </w:pPr>
      <w:r>
        <w:rPr>
          <w:rFonts w:hint="eastAsia" w:ascii="新宋体" w:hAnsi="新宋体" w:eastAsia="新宋体" w:cs="新宋体"/>
          <w:color w:val="auto"/>
          <w:spacing w:val="-2"/>
          <w:kern w:val="0"/>
          <w:sz w:val="21"/>
          <w:szCs w:val="21"/>
          <w:highlight w:val="none"/>
        </w:rPr>
        <w:t>法</w:t>
      </w:r>
      <w:r>
        <w:rPr>
          <w:rFonts w:hint="eastAsia" w:ascii="新宋体" w:hAnsi="新宋体" w:eastAsia="新宋体" w:cs="新宋体"/>
          <w:color w:val="auto"/>
          <w:kern w:val="0"/>
          <w:sz w:val="21"/>
          <w:szCs w:val="21"/>
          <w:highlight w:val="none"/>
        </w:rPr>
        <w:t>定</w:t>
      </w:r>
      <w:r>
        <w:rPr>
          <w:rFonts w:hint="eastAsia" w:ascii="新宋体" w:hAnsi="新宋体" w:eastAsia="新宋体" w:cs="新宋体"/>
          <w:color w:val="auto"/>
          <w:spacing w:val="-2"/>
          <w:kern w:val="0"/>
          <w:sz w:val="21"/>
          <w:szCs w:val="21"/>
          <w:highlight w:val="none"/>
        </w:rPr>
        <w:t>代</w:t>
      </w:r>
      <w:r>
        <w:rPr>
          <w:rFonts w:hint="eastAsia" w:ascii="新宋体" w:hAnsi="新宋体" w:eastAsia="新宋体" w:cs="新宋体"/>
          <w:color w:val="auto"/>
          <w:kern w:val="0"/>
          <w:sz w:val="21"/>
          <w:szCs w:val="21"/>
          <w:highlight w:val="none"/>
        </w:rPr>
        <w:t>表</w:t>
      </w:r>
      <w:r>
        <w:rPr>
          <w:rFonts w:hint="eastAsia" w:ascii="新宋体" w:hAnsi="新宋体" w:eastAsia="新宋体" w:cs="新宋体"/>
          <w:color w:val="auto"/>
          <w:spacing w:val="-2"/>
          <w:kern w:val="0"/>
          <w:sz w:val="21"/>
          <w:szCs w:val="21"/>
          <w:highlight w:val="none"/>
        </w:rPr>
        <w:t>人</w:t>
      </w:r>
      <w:r>
        <w:rPr>
          <w:rFonts w:hint="eastAsia" w:ascii="新宋体" w:hAnsi="新宋体" w:eastAsia="新宋体" w:cs="新宋体"/>
          <w:color w:val="auto"/>
          <w:kern w:val="0"/>
          <w:sz w:val="21"/>
          <w:szCs w:val="21"/>
          <w:highlight w:val="none"/>
        </w:rPr>
        <w:t>（</w:t>
      </w:r>
      <w:r>
        <w:rPr>
          <w:rFonts w:hint="eastAsia" w:ascii="新宋体" w:hAnsi="新宋体" w:eastAsia="新宋体" w:cs="新宋体"/>
          <w:color w:val="auto"/>
          <w:spacing w:val="-2"/>
          <w:kern w:val="0"/>
          <w:sz w:val="21"/>
          <w:szCs w:val="21"/>
          <w:highlight w:val="none"/>
        </w:rPr>
        <w:t>单</w:t>
      </w:r>
      <w:r>
        <w:rPr>
          <w:rFonts w:hint="eastAsia" w:ascii="新宋体" w:hAnsi="新宋体" w:eastAsia="新宋体" w:cs="新宋体"/>
          <w:color w:val="auto"/>
          <w:kern w:val="0"/>
          <w:sz w:val="21"/>
          <w:szCs w:val="21"/>
          <w:highlight w:val="none"/>
        </w:rPr>
        <w:t>位</w:t>
      </w:r>
      <w:r>
        <w:rPr>
          <w:rFonts w:hint="eastAsia" w:ascii="新宋体" w:hAnsi="新宋体" w:eastAsia="新宋体" w:cs="新宋体"/>
          <w:color w:val="auto"/>
          <w:spacing w:val="-2"/>
          <w:kern w:val="0"/>
          <w:sz w:val="21"/>
          <w:szCs w:val="21"/>
          <w:highlight w:val="none"/>
        </w:rPr>
        <w:t>负</w:t>
      </w:r>
      <w:r>
        <w:rPr>
          <w:rFonts w:hint="eastAsia" w:ascii="新宋体" w:hAnsi="新宋体" w:eastAsia="新宋体" w:cs="新宋体"/>
          <w:color w:val="auto"/>
          <w:kern w:val="0"/>
          <w:sz w:val="21"/>
          <w:szCs w:val="21"/>
          <w:highlight w:val="none"/>
        </w:rPr>
        <w:t>责人</w:t>
      </w:r>
      <w:r>
        <w:rPr>
          <w:rFonts w:hint="eastAsia" w:ascii="新宋体" w:hAnsi="新宋体" w:eastAsia="新宋体" w:cs="新宋体"/>
          <w:color w:val="auto"/>
          <w:spacing w:val="-2"/>
          <w:kern w:val="0"/>
          <w:sz w:val="21"/>
          <w:szCs w:val="21"/>
          <w:highlight w:val="none"/>
        </w:rPr>
        <w:t>）</w:t>
      </w:r>
      <w:r>
        <w:rPr>
          <w:rFonts w:hint="eastAsia" w:ascii="新宋体" w:hAnsi="新宋体" w:eastAsia="新宋体" w:cs="新宋体"/>
          <w:color w:val="auto"/>
          <w:sz w:val="21"/>
          <w:szCs w:val="21"/>
          <w:highlight w:val="none"/>
        </w:rPr>
        <w:t>或其授权的代理人（签字或印章）：</w:t>
      </w:r>
      <w:r>
        <w:rPr>
          <w:rFonts w:hint="eastAsia" w:ascii="新宋体" w:hAnsi="新宋体" w:eastAsia="新宋体" w:cs="新宋体"/>
          <w:color w:val="auto"/>
          <w:sz w:val="21"/>
          <w:szCs w:val="21"/>
          <w:highlight w:val="none"/>
          <w:u w:val="single"/>
        </w:rPr>
        <w:t xml:space="preserve">               </w:t>
      </w:r>
    </w:p>
    <w:p w14:paraId="16B5ACB1">
      <w:pPr>
        <w:pageBreakBefore w:val="0"/>
        <w:kinsoku/>
        <w:overflowPunct/>
        <w:topLinePunct w:val="0"/>
        <w:bidi w:val="0"/>
        <w:adjustRightInd w:val="0"/>
        <w:snapToGrid w:val="0"/>
        <w:spacing w:before="156" w:beforeLines="50" w:line="120" w:lineRule="auto"/>
        <w:textAlignment w:val="auto"/>
        <w:outlineLvl w:val="9"/>
        <w:rPr>
          <w:rFonts w:hint="eastAsia" w:ascii="新宋体" w:hAnsi="新宋体" w:eastAsia="新宋体" w:cs="新宋体"/>
          <w:b/>
          <w:bCs/>
          <w:color w:val="auto"/>
          <w:sz w:val="28"/>
          <w:szCs w:val="28"/>
          <w:highlight w:val="none"/>
        </w:rPr>
      </w:pPr>
      <w:r>
        <w:rPr>
          <w:rFonts w:hint="eastAsia" w:ascii="新宋体" w:hAnsi="新宋体" w:eastAsia="新宋体" w:cs="新宋体"/>
          <w:color w:val="auto"/>
          <w:sz w:val="21"/>
          <w:szCs w:val="21"/>
          <w:highlight w:val="none"/>
        </w:rPr>
        <w:t>日期：</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年</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月</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日</w:t>
      </w:r>
      <w:r>
        <w:rPr>
          <w:rFonts w:hint="eastAsia" w:ascii="新宋体" w:hAnsi="新宋体" w:eastAsia="新宋体" w:cs="新宋体"/>
          <w:b/>
          <w:bCs/>
          <w:color w:val="auto"/>
          <w:sz w:val="28"/>
          <w:szCs w:val="28"/>
          <w:highlight w:val="none"/>
        </w:rPr>
        <w:br w:type="page"/>
      </w:r>
    </w:p>
    <w:p w14:paraId="136DD89F">
      <w:pPr>
        <w:adjustRightInd w:val="0"/>
        <w:snapToGrid w:val="0"/>
        <w:spacing w:before="156" w:beforeLines="50" w:line="360" w:lineRule="auto"/>
        <w:jc w:val="center"/>
        <w:outlineLvl w:val="9"/>
        <w:rPr>
          <w:rFonts w:hint="eastAsia" w:ascii="新宋体" w:hAnsi="新宋体" w:eastAsia="新宋体" w:cs="新宋体"/>
          <w:b/>
          <w:bCs/>
          <w:color w:val="auto"/>
          <w:kern w:val="2"/>
          <w:sz w:val="28"/>
          <w:szCs w:val="28"/>
          <w:highlight w:val="none"/>
          <w:lang w:val="en-US" w:eastAsia="zh-CN" w:bidi="ar-SA"/>
        </w:rPr>
      </w:pPr>
      <w:bookmarkStart w:id="182" w:name="_Toc32263"/>
      <w:bookmarkStart w:id="183" w:name="_Toc25014"/>
      <w:bookmarkStart w:id="184" w:name="_Toc17645"/>
      <w:r>
        <w:rPr>
          <w:rFonts w:hint="eastAsia" w:ascii="新宋体" w:hAnsi="新宋体" w:eastAsia="新宋体" w:cs="新宋体"/>
          <w:b/>
          <w:bCs/>
          <w:color w:val="auto"/>
          <w:kern w:val="2"/>
          <w:sz w:val="28"/>
          <w:szCs w:val="28"/>
          <w:highlight w:val="none"/>
          <w:lang w:val="en-US" w:eastAsia="zh-CN" w:bidi="ar-SA"/>
        </w:rPr>
        <w:t>三、开标一览表</w:t>
      </w:r>
      <w:bookmarkEnd w:id="182"/>
      <w:bookmarkEnd w:id="183"/>
      <w:bookmarkEnd w:id="184"/>
    </w:p>
    <w:p w14:paraId="4CBE10D9">
      <w:pPr>
        <w:spacing w:before="101" w:line="235" w:lineRule="auto"/>
        <w:ind w:left="3720"/>
        <w:outlineLvl w:val="9"/>
        <w:rPr>
          <w:rFonts w:hint="eastAsia" w:ascii="宋体" w:hAnsi="宋体" w:eastAsia="宋体" w:cs="宋体"/>
          <w:color w:val="auto"/>
          <w:sz w:val="21"/>
          <w:szCs w:val="21"/>
          <w:lang w:val="en-US" w:eastAsia="zh-CN"/>
        </w:rPr>
      </w:pPr>
      <w:bookmarkStart w:id="185" w:name="_Toc23279"/>
      <w:bookmarkStart w:id="186" w:name="_Toc7948"/>
      <w:bookmarkStart w:id="187" w:name="_Toc30674"/>
    </w:p>
    <w:p w14:paraId="00B29D4D">
      <w:pPr>
        <w:spacing w:line="232" w:lineRule="exact"/>
        <w:outlineLvl w:val="9"/>
        <w:rPr>
          <w:rFonts w:hint="eastAsia" w:ascii="宋体" w:hAnsi="宋体" w:eastAsia="宋体" w:cs="宋体"/>
          <w:color w:val="auto"/>
          <w:sz w:val="21"/>
          <w:szCs w:val="21"/>
        </w:rPr>
      </w:pPr>
    </w:p>
    <w:tbl>
      <w:tblPr>
        <w:tblStyle w:val="39"/>
        <w:tblW w:w="8637" w:type="dxa"/>
        <w:tblInd w:w="50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37"/>
        <w:gridCol w:w="5700"/>
      </w:tblGrid>
      <w:tr w14:paraId="21FAD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2937" w:type="dxa"/>
            <w:noWrap w:val="0"/>
            <w:vAlign w:val="top"/>
          </w:tcPr>
          <w:p w14:paraId="12A0F879">
            <w:pPr>
              <w:spacing w:before="201" w:line="221" w:lineRule="auto"/>
              <w:ind w:left="1196"/>
              <w:outlineLvl w:val="9"/>
              <w:rPr>
                <w:rFonts w:hint="eastAsia" w:ascii="宋体" w:hAnsi="宋体" w:eastAsia="宋体" w:cs="宋体"/>
                <w:color w:val="auto"/>
                <w:sz w:val="21"/>
                <w:szCs w:val="21"/>
              </w:rPr>
            </w:pPr>
            <w:r>
              <w:rPr>
                <w:rFonts w:hint="eastAsia" w:ascii="宋体" w:hAnsi="宋体" w:eastAsia="宋体" w:cs="宋体"/>
                <w:color w:val="auto"/>
                <w:spacing w:val="-6"/>
                <w:sz w:val="21"/>
                <w:szCs w:val="21"/>
              </w:rPr>
              <w:t>标</w:t>
            </w:r>
            <w:r>
              <w:rPr>
                <w:rFonts w:hint="eastAsia" w:ascii="宋体" w:hAnsi="宋体" w:eastAsia="宋体" w:cs="宋体"/>
                <w:color w:val="auto"/>
                <w:spacing w:val="-5"/>
                <w:sz w:val="21"/>
                <w:szCs w:val="21"/>
              </w:rPr>
              <w:t>题</w:t>
            </w:r>
          </w:p>
        </w:tc>
        <w:tc>
          <w:tcPr>
            <w:tcW w:w="5700" w:type="dxa"/>
            <w:noWrap w:val="0"/>
            <w:vAlign w:val="top"/>
          </w:tcPr>
          <w:p w14:paraId="14251064">
            <w:pPr>
              <w:spacing w:before="202" w:line="220" w:lineRule="auto"/>
              <w:ind w:left="2607"/>
              <w:outlineLvl w:val="9"/>
              <w:rPr>
                <w:rFonts w:hint="eastAsia" w:ascii="宋体" w:hAnsi="宋体" w:eastAsia="宋体" w:cs="宋体"/>
                <w:color w:val="auto"/>
                <w:sz w:val="21"/>
                <w:szCs w:val="21"/>
              </w:rPr>
            </w:pPr>
            <w:r>
              <w:rPr>
                <w:rFonts w:hint="eastAsia" w:ascii="宋体" w:hAnsi="宋体" w:eastAsia="宋体" w:cs="宋体"/>
                <w:color w:val="auto"/>
                <w:spacing w:val="-23"/>
                <w:sz w:val="21"/>
                <w:szCs w:val="21"/>
              </w:rPr>
              <w:t>内</w:t>
            </w:r>
            <w:r>
              <w:rPr>
                <w:rFonts w:hint="eastAsia" w:ascii="宋体" w:hAnsi="宋体" w:eastAsia="宋体" w:cs="宋体"/>
                <w:color w:val="auto"/>
                <w:spacing w:val="-21"/>
                <w:sz w:val="21"/>
                <w:szCs w:val="21"/>
              </w:rPr>
              <w:t>容</w:t>
            </w:r>
          </w:p>
        </w:tc>
      </w:tr>
      <w:tr w14:paraId="7D9EF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2937" w:type="dxa"/>
            <w:noWrap w:val="0"/>
            <w:vAlign w:val="top"/>
          </w:tcPr>
          <w:p w14:paraId="45068B54">
            <w:pPr>
              <w:spacing w:before="149" w:line="378" w:lineRule="exact"/>
              <w:ind w:left="423"/>
              <w:outlineLvl w:val="9"/>
              <w:rPr>
                <w:rFonts w:hint="eastAsia" w:ascii="宋体" w:hAnsi="宋体" w:eastAsia="宋体" w:cs="宋体"/>
                <w:color w:val="auto"/>
                <w:sz w:val="21"/>
                <w:szCs w:val="21"/>
              </w:rPr>
            </w:pPr>
            <w:r>
              <w:rPr>
                <w:rFonts w:hint="eastAsia" w:ascii="宋体" w:hAnsi="宋体" w:eastAsia="宋体" w:cs="宋体"/>
                <w:color w:val="auto"/>
                <w:spacing w:val="-2"/>
                <w:position w:val="1"/>
                <w:sz w:val="21"/>
                <w:szCs w:val="21"/>
              </w:rPr>
              <w:t>总报价/折扣/单价</w:t>
            </w:r>
          </w:p>
        </w:tc>
        <w:tc>
          <w:tcPr>
            <w:tcW w:w="5700" w:type="dxa"/>
            <w:noWrap w:val="0"/>
            <w:vAlign w:val="top"/>
          </w:tcPr>
          <w:p w14:paraId="09256166">
            <w:pPr>
              <w:outlineLvl w:val="9"/>
              <w:rPr>
                <w:rFonts w:hint="eastAsia" w:ascii="宋体" w:hAnsi="宋体" w:eastAsia="宋体" w:cs="宋体"/>
                <w:color w:val="auto"/>
                <w:sz w:val="21"/>
                <w:szCs w:val="21"/>
              </w:rPr>
            </w:pPr>
          </w:p>
        </w:tc>
      </w:tr>
      <w:tr w14:paraId="7D0CB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2937" w:type="dxa"/>
            <w:noWrap w:val="0"/>
            <w:vAlign w:val="top"/>
          </w:tcPr>
          <w:p w14:paraId="7D08B7D0">
            <w:pPr>
              <w:spacing w:before="203" w:line="219" w:lineRule="auto"/>
              <w:ind w:left="1059"/>
              <w:outlineLvl w:val="9"/>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lang w:val="en-US" w:eastAsia="zh-CN"/>
              </w:rPr>
              <w:t>合同周期</w:t>
            </w:r>
          </w:p>
        </w:tc>
        <w:tc>
          <w:tcPr>
            <w:tcW w:w="5700" w:type="dxa"/>
            <w:noWrap w:val="0"/>
            <w:vAlign w:val="top"/>
          </w:tcPr>
          <w:p w14:paraId="66D1DA0D">
            <w:pPr>
              <w:spacing w:before="203" w:line="219" w:lineRule="auto"/>
              <w:jc w:val="center"/>
              <w:outlineLvl w:val="9"/>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初定为202</w:t>
            </w:r>
            <w:r>
              <w:rPr>
                <w:rFonts w:hint="eastAsia" w:ascii="宋体" w:hAnsi="宋体" w:cs="宋体"/>
                <w:color w:val="auto"/>
                <w:spacing w:val="0"/>
                <w:sz w:val="21"/>
                <w:szCs w:val="21"/>
                <w:lang w:val="en-US" w:eastAsia="zh-CN"/>
              </w:rPr>
              <w:t>6</w:t>
            </w:r>
            <w:r>
              <w:rPr>
                <w:rFonts w:hint="eastAsia" w:ascii="宋体" w:hAnsi="宋体" w:eastAsia="宋体" w:cs="宋体"/>
                <w:color w:val="auto"/>
                <w:spacing w:val="0"/>
                <w:sz w:val="21"/>
                <w:szCs w:val="21"/>
              </w:rPr>
              <w:t>年12月底前结课，具体时间以实际合同签订时间为准。</w:t>
            </w:r>
          </w:p>
        </w:tc>
      </w:tr>
      <w:tr w14:paraId="4A9C5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2937" w:type="dxa"/>
            <w:noWrap w:val="0"/>
            <w:vAlign w:val="top"/>
          </w:tcPr>
          <w:p w14:paraId="7B883CF7">
            <w:pPr>
              <w:spacing w:before="203" w:line="219" w:lineRule="auto"/>
              <w:ind w:left="1059"/>
              <w:outlineLvl w:val="9"/>
              <w:rPr>
                <w:rFonts w:hint="eastAsia" w:ascii="宋体" w:hAnsi="宋体" w:eastAsia="宋体" w:cs="宋体"/>
                <w:color w:val="auto"/>
                <w:spacing w:val="-5"/>
                <w:sz w:val="21"/>
                <w:szCs w:val="21"/>
              </w:rPr>
            </w:pPr>
            <w:r>
              <w:rPr>
                <w:rFonts w:hint="eastAsia" w:ascii="宋体" w:hAnsi="宋体" w:eastAsia="宋体" w:cs="宋体"/>
                <w:color w:val="auto"/>
                <w:spacing w:val="-5"/>
                <w:sz w:val="21"/>
                <w:szCs w:val="21"/>
              </w:rPr>
              <w:t>服务要求</w:t>
            </w:r>
          </w:p>
        </w:tc>
        <w:tc>
          <w:tcPr>
            <w:tcW w:w="5700" w:type="dxa"/>
            <w:noWrap w:val="0"/>
            <w:vAlign w:val="top"/>
          </w:tcPr>
          <w:p w14:paraId="0494D315">
            <w:pPr>
              <w:spacing w:before="203" w:line="219" w:lineRule="auto"/>
              <w:ind w:left="1059"/>
              <w:outlineLvl w:val="9"/>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5"/>
                <w:sz w:val="21"/>
                <w:szCs w:val="21"/>
                <w:lang w:val="en-US" w:eastAsia="zh-CN"/>
              </w:rPr>
              <w:t>完全响应招标文件要求</w:t>
            </w:r>
          </w:p>
        </w:tc>
      </w:tr>
      <w:tr w14:paraId="727EB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2937" w:type="dxa"/>
            <w:noWrap w:val="0"/>
            <w:vAlign w:val="top"/>
          </w:tcPr>
          <w:p w14:paraId="7293CF5A">
            <w:pPr>
              <w:spacing w:before="203" w:line="219" w:lineRule="auto"/>
              <w:ind w:left="1059"/>
              <w:outlineLvl w:val="9"/>
              <w:rPr>
                <w:rFonts w:hint="eastAsia" w:ascii="宋体" w:hAnsi="宋体" w:eastAsia="宋体" w:cs="宋体"/>
                <w:color w:val="auto"/>
                <w:spacing w:val="-5"/>
                <w:sz w:val="21"/>
                <w:szCs w:val="21"/>
              </w:rPr>
            </w:pPr>
            <w:r>
              <w:rPr>
                <w:rFonts w:hint="eastAsia" w:ascii="宋体" w:hAnsi="宋体" w:eastAsia="宋体" w:cs="宋体"/>
                <w:color w:val="auto"/>
                <w:spacing w:val="-5"/>
                <w:sz w:val="21"/>
                <w:szCs w:val="21"/>
              </w:rPr>
              <w:t>保证金</w:t>
            </w:r>
          </w:p>
        </w:tc>
        <w:tc>
          <w:tcPr>
            <w:tcW w:w="5700" w:type="dxa"/>
            <w:noWrap w:val="0"/>
            <w:vAlign w:val="top"/>
          </w:tcPr>
          <w:p w14:paraId="03A2CC8E">
            <w:pPr>
              <w:spacing w:before="203" w:line="219" w:lineRule="auto"/>
              <w:ind w:firstLine="2000" w:firstLineChars="1000"/>
              <w:outlineLvl w:val="9"/>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5"/>
                <w:sz w:val="21"/>
                <w:szCs w:val="21"/>
                <w:lang w:val="en-US" w:eastAsia="zh-CN"/>
              </w:rPr>
              <w:t>/</w:t>
            </w:r>
          </w:p>
        </w:tc>
      </w:tr>
      <w:tr w14:paraId="1D4D3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2937" w:type="dxa"/>
            <w:noWrap w:val="0"/>
            <w:vAlign w:val="top"/>
          </w:tcPr>
          <w:p w14:paraId="54A21651">
            <w:pPr>
              <w:spacing w:before="215" w:line="221" w:lineRule="auto"/>
              <w:ind w:left="1198"/>
              <w:outlineLvl w:val="9"/>
              <w:rPr>
                <w:rFonts w:hint="eastAsia" w:ascii="宋体" w:hAnsi="宋体" w:eastAsia="宋体" w:cs="宋体"/>
                <w:color w:val="auto"/>
                <w:sz w:val="21"/>
                <w:szCs w:val="21"/>
              </w:rPr>
            </w:pPr>
            <w:r>
              <w:rPr>
                <w:rFonts w:hint="eastAsia" w:ascii="宋体" w:hAnsi="宋体" w:eastAsia="宋体" w:cs="宋体"/>
                <w:color w:val="auto"/>
                <w:spacing w:val="-7"/>
                <w:sz w:val="21"/>
                <w:szCs w:val="21"/>
              </w:rPr>
              <w:t>备</w:t>
            </w:r>
            <w:r>
              <w:rPr>
                <w:rFonts w:hint="eastAsia" w:ascii="宋体" w:hAnsi="宋体" w:eastAsia="宋体" w:cs="宋体"/>
                <w:color w:val="auto"/>
                <w:spacing w:val="-6"/>
                <w:sz w:val="21"/>
                <w:szCs w:val="21"/>
              </w:rPr>
              <w:t>注</w:t>
            </w:r>
          </w:p>
        </w:tc>
        <w:tc>
          <w:tcPr>
            <w:tcW w:w="5700" w:type="dxa"/>
            <w:noWrap w:val="0"/>
            <w:vAlign w:val="top"/>
          </w:tcPr>
          <w:p w14:paraId="0B3F54FE">
            <w:pPr>
              <w:outlineLvl w:val="9"/>
              <w:rPr>
                <w:rFonts w:hint="eastAsia" w:ascii="宋体" w:hAnsi="宋体" w:eastAsia="宋体" w:cs="宋体"/>
                <w:color w:val="auto"/>
                <w:sz w:val="21"/>
                <w:szCs w:val="21"/>
              </w:rPr>
            </w:pPr>
          </w:p>
        </w:tc>
      </w:tr>
    </w:tbl>
    <w:p w14:paraId="3BA8154F">
      <w:pPr>
        <w:spacing w:before="35" w:line="228" w:lineRule="auto"/>
        <w:outlineLvl w:val="9"/>
        <w:rPr>
          <w:rFonts w:hint="eastAsia" w:ascii="宋体" w:hAnsi="宋体" w:eastAsia="宋体" w:cs="宋体"/>
          <w:color w:val="auto"/>
          <w:sz w:val="21"/>
          <w:szCs w:val="21"/>
        </w:rPr>
      </w:pPr>
      <w:r>
        <w:rPr>
          <w:rFonts w:hint="eastAsia" w:ascii="宋体" w:hAnsi="宋体" w:eastAsia="宋体" w:cs="宋体"/>
          <w:color w:val="auto"/>
          <w:spacing w:val="15"/>
          <w:sz w:val="21"/>
          <w:szCs w:val="21"/>
        </w:rPr>
        <w:t>注</w:t>
      </w:r>
      <w:r>
        <w:rPr>
          <w:rFonts w:hint="eastAsia" w:ascii="宋体" w:hAnsi="宋体" w:eastAsia="宋体" w:cs="宋体"/>
          <w:color w:val="auto"/>
          <w:spacing w:val="9"/>
          <w:sz w:val="21"/>
          <w:szCs w:val="21"/>
        </w:rPr>
        <w:t>：1.投标人对采购项目内容只允许有一个投标报价，否则其投标无效。</w:t>
      </w:r>
    </w:p>
    <w:p w14:paraId="2798E4EF">
      <w:pPr>
        <w:numPr>
          <w:ilvl w:val="0"/>
          <w:numId w:val="0"/>
        </w:numPr>
        <w:spacing w:before="182" w:line="380" w:lineRule="auto"/>
        <w:ind w:right="193" w:rightChars="0"/>
        <w:outlineLvl w:val="9"/>
        <w:rPr>
          <w:rFonts w:hint="eastAsia" w:ascii="宋体" w:hAnsi="宋体" w:eastAsia="宋体" w:cs="宋体"/>
          <w:color w:val="auto"/>
          <w:spacing w:val="4"/>
          <w:sz w:val="21"/>
          <w:szCs w:val="21"/>
        </w:rPr>
      </w:pPr>
      <w:r>
        <w:rPr>
          <w:rFonts w:hint="eastAsia" w:ascii="宋体" w:hAnsi="宋体" w:cs="宋体"/>
          <w:color w:val="auto"/>
          <w:spacing w:val="10"/>
          <w:sz w:val="21"/>
          <w:szCs w:val="21"/>
          <w:lang w:val="en-US" w:eastAsia="zh-CN"/>
        </w:rPr>
        <w:t>2.</w:t>
      </w:r>
      <w:r>
        <w:rPr>
          <w:rFonts w:hint="eastAsia" w:ascii="宋体" w:hAnsi="宋体" w:eastAsia="宋体" w:cs="宋体"/>
          <w:color w:val="auto"/>
          <w:spacing w:val="10"/>
          <w:sz w:val="21"/>
          <w:szCs w:val="21"/>
        </w:rPr>
        <w:t>投</w:t>
      </w:r>
      <w:r>
        <w:rPr>
          <w:rFonts w:hint="eastAsia" w:ascii="宋体" w:hAnsi="宋体" w:eastAsia="宋体" w:cs="宋体"/>
          <w:color w:val="auto"/>
          <w:spacing w:val="9"/>
          <w:sz w:val="21"/>
          <w:szCs w:val="21"/>
        </w:rPr>
        <w:t>标人在投标截止时间前修改“开标一览表”中的投标报价的，应同时修改投</w:t>
      </w:r>
      <w:r>
        <w:rPr>
          <w:rFonts w:hint="eastAsia" w:ascii="宋体" w:hAnsi="宋体" w:eastAsia="宋体" w:cs="宋体"/>
          <w:color w:val="auto"/>
          <w:spacing w:val="14"/>
          <w:sz w:val="21"/>
          <w:szCs w:val="21"/>
        </w:rPr>
        <w:t>标文件“</w:t>
      </w:r>
      <w:r>
        <w:rPr>
          <w:rFonts w:hint="eastAsia" w:ascii="宋体" w:hAnsi="宋体" w:eastAsia="宋体" w:cs="宋体"/>
          <w:color w:val="auto"/>
          <w:spacing w:val="8"/>
          <w:sz w:val="21"/>
          <w:szCs w:val="21"/>
        </w:rPr>
        <w:t>分</w:t>
      </w:r>
      <w:r>
        <w:rPr>
          <w:rFonts w:hint="eastAsia" w:ascii="宋体" w:hAnsi="宋体" w:eastAsia="宋体" w:cs="宋体"/>
          <w:color w:val="auto"/>
          <w:spacing w:val="7"/>
          <w:sz w:val="21"/>
          <w:szCs w:val="21"/>
        </w:rPr>
        <w:t>项报价明细表”“享受政府采购政策优惠的证明资料”(如果影响)等相</w:t>
      </w:r>
      <w:r>
        <w:rPr>
          <w:rFonts w:hint="eastAsia" w:ascii="宋体" w:hAnsi="宋体" w:eastAsia="宋体" w:cs="宋体"/>
          <w:color w:val="auto"/>
          <w:spacing w:val="5"/>
          <w:sz w:val="21"/>
          <w:szCs w:val="21"/>
        </w:rPr>
        <w:t>关内容</w:t>
      </w:r>
      <w:r>
        <w:rPr>
          <w:rFonts w:hint="eastAsia" w:ascii="宋体" w:hAnsi="宋体" w:eastAsia="宋体" w:cs="宋体"/>
          <w:color w:val="auto"/>
          <w:spacing w:val="4"/>
          <w:sz w:val="21"/>
          <w:szCs w:val="21"/>
        </w:rPr>
        <w:t>。</w:t>
      </w:r>
    </w:p>
    <w:p w14:paraId="6A029F07">
      <w:pPr>
        <w:numPr>
          <w:ilvl w:val="0"/>
          <w:numId w:val="0"/>
        </w:numPr>
        <w:spacing w:before="182" w:line="380" w:lineRule="auto"/>
        <w:ind w:right="193" w:rightChars="0"/>
        <w:outlineLvl w:val="9"/>
        <w:rPr>
          <w:rFonts w:hint="default" w:ascii="宋体" w:hAnsi="宋体" w:eastAsia="宋体" w:cs="宋体"/>
          <w:color w:val="auto"/>
          <w:spacing w:val="4"/>
          <w:sz w:val="21"/>
          <w:szCs w:val="21"/>
          <w:lang w:val="en-US"/>
        </w:rPr>
      </w:pPr>
      <w:r>
        <w:rPr>
          <w:rFonts w:hint="eastAsia" w:ascii="宋体" w:hAnsi="宋体" w:cs="宋体"/>
          <w:color w:val="auto"/>
          <w:spacing w:val="4"/>
          <w:sz w:val="21"/>
          <w:szCs w:val="21"/>
          <w:lang w:val="en-US" w:eastAsia="zh-CN"/>
        </w:rPr>
        <w:t>3.</w:t>
      </w:r>
      <w:r>
        <w:rPr>
          <w:rFonts w:hint="eastAsia" w:ascii="宋体" w:hAnsi="宋体" w:eastAsia="宋体" w:cs="宋体"/>
          <w:color w:val="auto"/>
          <w:spacing w:val="4"/>
          <w:sz w:val="21"/>
          <w:szCs w:val="21"/>
          <w:lang w:val="en-US" w:eastAsia="zh-CN"/>
        </w:rPr>
        <w:t>因本表为电子招标文件固定格式，相关描述无法修改，建议投标人除了报价（报价栏填写所投包的总报价即可）外，可以按照本表格填写的内容进行填报</w:t>
      </w:r>
      <w:r>
        <w:rPr>
          <w:rFonts w:hint="eastAsia" w:ascii="宋体" w:hAnsi="宋体" w:cs="宋体"/>
          <w:color w:val="auto"/>
          <w:spacing w:val="4"/>
          <w:sz w:val="21"/>
          <w:szCs w:val="21"/>
          <w:lang w:val="en-US" w:eastAsia="zh-CN"/>
        </w:rPr>
        <w:t>。具体格式以系统为准。</w:t>
      </w:r>
    </w:p>
    <w:p w14:paraId="415D5707">
      <w:pPr>
        <w:spacing w:line="266" w:lineRule="auto"/>
        <w:outlineLvl w:val="9"/>
        <w:rPr>
          <w:rFonts w:hint="eastAsia" w:ascii="宋体" w:hAnsi="宋体" w:eastAsia="宋体" w:cs="宋体"/>
          <w:color w:val="auto"/>
          <w:sz w:val="21"/>
          <w:szCs w:val="21"/>
        </w:rPr>
      </w:pPr>
    </w:p>
    <w:p w14:paraId="61D2FC2B">
      <w:pPr>
        <w:spacing w:line="267" w:lineRule="auto"/>
        <w:outlineLvl w:val="9"/>
        <w:rPr>
          <w:rFonts w:hint="eastAsia" w:ascii="宋体" w:hAnsi="宋体" w:eastAsia="宋体" w:cs="宋体"/>
          <w:color w:val="auto"/>
          <w:sz w:val="21"/>
          <w:szCs w:val="21"/>
        </w:rPr>
      </w:pPr>
      <w:bookmarkStart w:id="238" w:name="_GoBack"/>
      <w:bookmarkEnd w:id="238"/>
    </w:p>
    <w:p w14:paraId="50038CE5">
      <w:pPr>
        <w:spacing w:line="267" w:lineRule="auto"/>
        <w:outlineLvl w:val="9"/>
        <w:rPr>
          <w:rFonts w:hint="eastAsia" w:ascii="宋体" w:hAnsi="宋体" w:eastAsia="宋体" w:cs="宋体"/>
          <w:color w:val="auto"/>
          <w:sz w:val="21"/>
          <w:szCs w:val="21"/>
        </w:rPr>
      </w:pPr>
    </w:p>
    <w:p w14:paraId="1741BB9E">
      <w:pPr>
        <w:outlineLvl w:val="9"/>
        <w:rPr>
          <w:rFonts w:hint="eastAsia" w:ascii="仿宋" w:hAnsi="仿宋" w:eastAsia="仿宋" w:cs="仿宋"/>
          <w:color w:val="auto"/>
          <w:spacing w:val="-9"/>
          <w:sz w:val="23"/>
          <w:szCs w:val="23"/>
        </w:rPr>
      </w:pPr>
    </w:p>
    <w:p w14:paraId="3ABDFCA6">
      <w:pPr>
        <w:pStyle w:val="24"/>
        <w:outlineLvl w:val="9"/>
        <w:rPr>
          <w:rFonts w:hint="eastAsia" w:ascii="仿宋" w:hAnsi="仿宋" w:eastAsia="仿宋" w:cs="仿宋"/>
          <w:color w:val="auto"/>
          <w:spacing w:val="-9"/>
          <w:sz w:val="23"/>
          <w:szCs w:val="23"/>
        </w:rPr>
      </w:pPr>
    </w:p>
    <w:p w14:paraId="446C0090">
      <w:pPr>
        <w:pStyle w:val="25"/>
        <w:outlineLvl w:val="9"/>
        <w:rPr>
          <w:rFonts w:hint="eastAsia" w:ascii="仿宋" w:hAnsi="仿宋" w:eastAsia="仿宋" w:cs="仿宋"/>
          <w:color w:val="auto"/>
          <w:spacing w:val="-9"/>
          <w:sz w:val="23"/>
          <w:szCs w:val="23"/>
        </w:rPr>
      </w:pPr>
    </w:p>
    <w:p w14:paraId="2FF75E5F">
      <w:pPr>
        <w:pStyle w:val="25"/>
        <w:outlineLvl w:val="9"/>
        <w:rPr>
          <w:rFonts w:hint="eastAsia" w:ascii="仿宋" w:hAnsi="仿宋" w:eastAsia="仿宋" w:cs="仿宋"/>
          <w:color w:val="auto"/>
          <w:spacing w:val="-9"/>
          <w:sz w:val="23"/>
          <w:szCs w:val="23"/>
        </w:rPr>
      </w:pPr>
    </w:p>
    <w:p w14:paraId="0DFF29B5">
      <w:pPr>
        <w:pStyle w:val="25"/>
        <w:outlineLvl w:val="9"/>
        <w:rPr>
          <w:rFonts w:hint="eastAsia" w:ascii="仿宋" w:hAnsi="仿宋" w:eastAsia="仿宋" w:cs="仿宋"/>
          <w:color w:val="auto"/>
          <w:spacing w:val="-9"/>
          <w:sz w:val="23"/>
          <w:szCs w:val="23"/>
        </w:rPr>
      </w:pPr>
    </w:p>
    <w:p w14:paraId="77C650EC">
      <w:pPr>
        <w:pStyle w:val="25"/>
        <w:outlineLvl w:val="9"/>
        <w:rPr>
          <w:rFonts w:hint="eastAsia" w:ascii="仿宋" w:hAnsi="仿宋" w:eastAsia="仿宋" w:cs="仿宋"/>
          <w:color w:val="auto"/>
          <w:spacing w:val="-9"/>
          <w:sz w:val="23"/>
          <w:szCs w:val="23"/>
        </w:rPr>
      </w:pPr>
    </w:p>
    <w:p w14:paraId="3CFC0F7F">
      <w:pPr>
        <w:pStyle w:val="25"/>
        <w:outlineLvl w:val="9"/>
        <w:rPr>
          <w:rFonts w:hint="eastAsia" w:ascii="仿宋" w:hAnsi="仿宋" w:eastAsia="仿宋" w:cs="仿宋"/>
          <w:color w:val="auto"/>
          <w:spacing w:val="-9"/>
          <w:sz w:val="23"/>
          <w:szCs w:val="23"/>
        </w:rPr>
      </w:pPr>
    </w:p>
    <w:p w14:paraId="7C3AA3A7">
      <w:pPr>
        <w:pStyle w:val="25"/>
        <w:outlineLvl w:val="9"/>
        <w:rPr>
          <w:rFonts w:hint="eastAsia" w:ascii="仿宋" w:hAnsi="仿宋" w:eastAsia="仿宋" w:cs="仿宋"/>
          <w:color w:val="auto"/>
          <w:spacing w:val="-9"/>
          <w:sz w:val="23"/>
          <w:szCs w:val="23"/>
        </w:rPr>
      </w:pPr>
    </w:p>
    <w:p w14:paraId="6FFF347D">
      <w:pPr>
        <w:pStyle w:val="25"/>
        <w:outlineLvl w:val="9"/>
        <w:rPr>
          <w:rFonts w:hint="eastAsia" w:ascii="仿宋" w:hAnsi="仿宋" w:eastAsia="仿宋" w:cs="仿宋"/>
          <w:color w:val="auto"/>
          <w:spacing w:val="-9"/>
          <w:sz w:val="23"/>
          <w:szCs w:val="23"/>
        </w:rPr>
      </w:pPr>
    </w:p>
    <w:p w14:paraId="5F7A0118">
      <w:pPr>
        <w:pStyle w:val="25"/>
        <w:outlineLvl w:val="9"/>
        <w:rPr>
          <w:rFonts w:hint="eastAsia" w:ascii="仿宋" w:hAnsi="仿宋" w:eastAsia="仿宋" w:cs="仿宋"/>
          <w:color w:val="auto"/>
          <w:spacing w:val="-9"/>
          <w:sz w:val="23"/>
          <w:szCs w:val="23"/>
        </w:rPr>
      </w:pPr>
    </w:p>
    <w:p w14:paraId="16900896">
      <w:pPr>
        <w:pStyle w:val="25"/>
        <w:outlineLvl w:val="9"/>
        <w:rPr>
          <w:rFonts w:hint="eastAsia" w:ascii="仿宋" w:hAnsi="仿宋" w:eastAsia="仿宋" w:cs="仿宋"/>
          <w:color w:val="auto"/>
          <w:spacing w:val="-9"/>
          <w:sz w:val="23"/>
          <w:szCs w:val="23"/>
          <w:lang w:val="en-US" w:eastAsia="zh-CN"/>
        </w:rPr>
      </w:pPr>
    </w:p>
    <w:p w14:paraId="220BEA0F">
      <w:pPr>
        <w:pStyle w:val="25"/>
        <w:outlineLvl w:val="9"/>
        <w:rPr>
          <w:rFonts w:hint="eastAsia" w:ascii="仿宋" w:hAnsi="仿宋" w:eastAsia="仿宋" w:cs="仿宋"/>
          <w:color w:val="auto"/>
          <w:spacing w:val="-9"/>
          <w:sz w:val="23"/>
          <w:szCs w:val="23"/>
          <w:lang w:val="en-US" w:eastAsia="zh-CN"/>
        </w:rPr>
      </w:pPr>
    </w:p>
    <w:p w14:paraId="3BAA6538">
      <w:pPr>
        <w:jc w:val="center"/>
        <w:rPr>
          <w:rFonts w:hint="eastAsia" w:ascii="新宋体" w:hAnsi="新宋体" w:eastAsia="新宋体" w:cs="新宋体"/>
          <w:b/>
          <w:bCs/>
          <w:color w:val="auto"/>
          <w:kern w:val="2"/>
          <w:sz w:val="28"/>
          <w:szCs w:val="28"/>
          <w:highlight w:val="none"/>
          <w:lang w:val="en-US" w:eastAsia="zh-CN" w:bidi="ar-SA"/>
        </w:rPr>
      </w:pPr>
      <w:bookmarkStart w:id="188" w:name="_Toc9268"/>
      <w:bookmarkStart w:id="189" w:name="_Toc22007"/>
      <w:r>
        <w:rPr>
          <w:rFonts w:hint="eastAsia" w:ascii="新宋体" w:hAnsi="新宋体" w:eastAsia="新宋体" w:cs="新宋体"/>
          <w:b/>
          <w:bCs/>
          <w:color w:val="auto"/>
          <w:kern w:val="2"/>
          <w:sz w:val="28"/>
          <w:szCs w:val="28"/>
          <w:highlight w:val="none"/>
          <w:lang w:val="en-US" w:eastAsia="zh-CN" w:bidi="ar-SA"/>
        </w:rPr>
        <w:br w:type="page"/>
      </w:r>
      <w:r>
        <w:rPr>
          <w:rFonts w:hint="eastAsia" w:ascii="新宋体" w:hAnsi="新宋体" w:eastAsia="新宋体" w:cs="新宋体"/>
          <w:b/>
          <w:bCs/>
          <w:color w:val="auto"/>
          <w:kern w:val="2"/>
          <w:sz w:val="28"/>
          <w:szCs w:val="28"/>
          <w:highlight w:val="none"/>
          <w:lang w:val="en-US" w:eastAsia="zh-CN" w:bidi="ar-SA"/>
        </w:rPr>
        <w:t>四、分项价格表</w:t>
      </w:r>
      <w:bookmarkEnd w:id="185"/>
      <w:bookmarkEnd w:id="188"/>
      <w:bookmarkEnd w:id="189"/>
      <w:bookmarkStart w:id="190" w:name="_Toc25755"/>
      <w:bookmarkStart w:id="191" w:name="_Toc8983776"/>
    </w:p>
    <w:bookmarkEnd w:id="190"/>
    <w:bookmarkEnd w:id="191"/>
    <w:p w14:paraId="1C361ACA">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9"/>
        <w:rPr>
          <w:rFonts w:hint="eastAsia" w:ascii="宋体" w:hAnsi="宋体" w:eastAsia="宋体" w:cs="宋体"/>
          <w:b w:val="0"/>
          <w:bCs w:val="0"/>
          <w:color w:val="auto"/>
          <w:sz w:val="21"/>
          <w:szCs w:val="21"/>
          <w:highlight w:val="none"/>
          <w:lang w:val="en-US" w:eastAsia="zh-CN"/>
        </w:rPr>
      </w:pPr>
      <w:bookmarkStart w:id="192" w:name="_Toc21172"/>
      <w:bookmarkStart w:id="193" w:name="_Toc8335"/>
      <w:r>
        <w:rPr>
          <w:rFonts w:hint="eastAsia" w:ascii="宋体" w:hAnsi="宋体" w:eastAsia="宋体" w:cs="宋体"/>
          <w:b w:val="0"/>
          <w:bCs w:val="0"/>
          <w:color w:val="auto"/>
          <w:sz w:val="21"/>
          <w:szCs w:val="21"/>
          <w:highlight w:val="none"/>
          <w:lang w:val="en-US" w:eastAsia="zh-CN"/>
        </w:rPr>
        <w:t>（格式仅供参考，供应商可自行制作格式）</w:t>
      </w:r>
      <w:bookmarkEnd w:id="192"/>
    </w:p>
    <w:p w14:paraId="683E93ED">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包1适用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
        <w:gridCol w:w="1685"/>
        <w:gridCol w:w="1622"/>
        <w:gridCol w:w="1760"/>
        <w:gridCol w:w="1053"/>
        <w:gridCol w:w="1236"/>
        <w:gridCol w:w="1971"/>
      </w:tblGrid>
      <w:tr w14:paraId="4539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noWrap w:val="0"/>
            <w:vAlign w:val="top"/>
          </w:tcPr>
          <w:p w14:paraId="7F51258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bookmarkStart w:id="194" w:name="_Toc7736"/>
            <w:r>
              <w:rPr>
                <w:rFonts w:hint="eastAsia" w:ascii="宋体" w:hAnsi="宋体" w:eastAsia="宋体" w:cs="宋体"/>
                <w:b w:val="0"/>
                <w:bCs w:val="0"/>
                <w:color w:val="auto"/>
                <w:sz w:val="21"/>
                <w:szCs w:val="21"/>
                <w:highlight w:val="none"/>
                <w:vertAlign w:val="baseline"/>
                <w:lang w:val="en-US" w:eastAsia="zh-CN"/>
              </w:rPr>
              <w:t>序号</w:t>
            </w:r>
            <w:bookmarkEnd w:id="194"/>
          </w:p>
        </w:tc>
        <w:tc>
          <w:tcPr>
            <w:tcW w:w="1685" w:type="dxa"/>
            <w:noWrap w:val="0"/>
            <w:vAlign w:val="center"/>
          </w:tcPr>
          <w:p w14:paraId="54A0EC9E">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bookmarkStart w:id="195" w:name="_Toc19410"/>
            <w:r>
              <w:rPr>
                <w:rFonts w:hint="eastAsia" w:ascii="宋体" w:hAnsi="宋体" w:cs="宋体"/>
                <w:b w:val="0"/>
                <w:bCs w:val="0"/>
                <w:color w:val="auto"/>
                <w:sz w:val="21"/>
                <w:szCs w:val="21"/>
                <w:highlight w:val="none"/>
                <w:vertAlign w:val="baseline"/>
                <w:lang w:val="en-US" w:eastAsia="zh-CN"/>
              </w:rPr>
              <w:t>品目代码</w:t>
            </w:r>
            <w:bookmarkEnd w:id="195"/>
          </w:p>
        </w:tc>
        <w:tc>
          <w:tcPr>
            <w:tcW w:w="1622" w:type="dxa"/>
            <w:noWrap w:val="0"/>
            <w:vAlign w:val="center"/>
          </w:tcPr>
          <w:p w14:paraId="2EBA3D16">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cs="宋体"/>
                <w:b w:val="0"/>
                <w:bCs w:val="0"/>
                <w:color w:val="auto"/>
                <w:sz w:val="21"/>
                <w:szCs w:val="21"/>
                <w:highlight w:val="none"/>
                <w:vertAlign w:val="baseline"/>
                <w:lang w:val="en-US" w:eastAsia="zh-CN"/>
              </w:rPr>
            </w:pPr>
            <w:bookmarkStart w:id="196" w:name="_Toc4867"/>
            <w:r>
              <w:rPr>
                <w:rFonts w:hint="eastAsia" w:ascii="宋体" w:hAnsi="宋体" w:cs="宋体"/>
                <w:b w:val="0"/>
                <w:bCs w:val="0"/>
                <w:color w:val="auto"/>
                <w:sz w:val="21"/>
                <w:szCs w:val="21"/>
                <w:highlight w:val="none"/>
                <w:vertAlign w:val="baseline"/>
                <w:lang w:val="en-US" w:eastAsia="zh-CN"/>
              </w:rPr>
              <w:t>服务名称</w:t>
            </w:r>
            <w:bookmarkEnd w:id="196"/>
          </w:p>
          <w:p w14:paraId="7C1E813E">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bookmarkStart w:id="197" w:name="_Toc3104"/>
            <w:r>
              <w:rPr>
                <w:rFonts w:hint="eastAsia" w:ascii="宋体" w:hAnsi="宋体" w:cs="宋体"/>
                <w:b w:val="0"/>
                <w:bCs w:val="0"/>
                <w:color w:val="auto"/>
                <w:sz w:val="21"/>
                <w:szCs w:val="21"/>
                <w:highlight w:val="none"/>
                <w:vertAlign w:val="baseline"/>
                <w:lang w:val="en-US" w:eastAsia="zh-CN"/>
              </w:rPr>
              <w:t>（标的名称）</w:t>
            </w:r>
            <w:bookmarkEnd w:id="197"/>
          </w:p>
        </w:tc>
        <w:tc>
          <w:tcPr>
            <w:tcW w:w="1760" w:type="dxa"/>
            <w:noWrap w:val="0"/>
            <w:vAlign w:val="center"/>
          </w:tcPr>
          <w:p w14:paraId="742EC3BE">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bookmarkStart w:id="198" w:name="_Toc14505"/>
            <w:r>
              <w:rPr>
                <w:rFonts w:hint="eastAsia" w:ascii="宋体" w:hAnsi="宋体" w:eastAsia="宋体" w:cs="宋体"/>
                <w:b w:val="0"/>
                <w:bCs w:val="0"/>
                <w:color w:val="auto"/>
                <w:sz w:val="21"/>
                <w:szCs w:val="21"/>
                <w:highlight w:val="none"/>
                <w:vertAlign w:val="baseline"/>
                <w:lang w:val="en-US" w:eastAsia="zh-CN"/>
              </w:rPr>
              <w:t>服务内容</w:t>
            </w:r>
            <w:bookmarkEnd w:id="198"/>
          </w:p>
        </w:tc>
        <w:tc>
          <w:tcPr>
            <w:tcW w:w="1053" w:type="dxa"/>
            <w:noWrap w:val="0"/>
            <w:vAlign w:val="center"/>
          </w:tcPr>
          <w:p w14:paraId="07390E2D">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人数</w:t>
            </w:r>
          </w:p>
        </w:tc>
        <w:tc>
          <w:tcPr>
            <w:tcW w:w="1236" w:type="dxa"/>
            <w:noWrap w:val="0"/>
            <w:vAlign w:val="center"/>
          </w:tcPr>
          <w:p w14:paraId="52FDC03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bookmarkStart w:id="199" w:name="_Toc18544"/>
            <w:r>
              <w:rPr>
                <w:rFonts w:hint="eastAsia" w:ascii="宋体" w:hAnsi="宋体" w:eastAsia="宋体" w:cs="宋体"/>
                <w:b w:val="0"/>
                <w:bCs w:val="0"/>
                <w:color w:val="auto"/>
                <w:sz w:val="21"/>
                <w:szCs w:val="21"/>
                <w:highlight w:val="none"/>
                <w:vertAlign w:val="baseline"/>
                <w:lang w:val="en-US" w:eastAsia="zh-CN"/>
              </w:rPr>
              <w:t>单价</w:t>
            </w:r>
            <w:bookmarkEnd w:id="199"/>
          </w:p>
        </w:tc>
        <w:tc>
          <w:tcPr>
            <w:tcW w:w="1971" w:type="dxa"/>
            <w:noWrap w:val="0"/>
            <w:vAlign w:val="center"/>
          </w:tcPr>
          <w:p w14:paraId="43A9A3FF">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bookmarkStart w:id="200" w:name="_Toc2695"/>
            <w:r>
              <w:rPr>
                <w:rFonts w:hint="eastAsia" w:ascii="宋体" w:hAnsi="宋体" w:eastAsia="宋体" w:cs="宋体"/>
                <w:b w:val="0"/>
                <w:bCs w:val="0"/>
                <w:color w:val="auto"/>
                <w:sz w:val="21"/>
                <w:szCs w:val="21"/>
                <w:highlight w:val="none"/>
                <w:vertAlign w:val="baseline"/>
                <w:lang w:val="en-US" w:eastAsia="zh-CN"/>
              </w:rPr>
              <w:t>小计金额（元）</w:t>
            </w:r>
            <w:bookmarkEnd w:id="200"/>
          </w:p>
        </w:tc>
      </w:tr>
      <w:tr w14:paraId="0661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noWrap w:val="0"/>
            <w:vAlign w:val="top"/>
          </w:tcPr>
          <w:p w14:paraId="7E9E1741">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bookmarkStart w:id="201" w:name="_Toc19883"/>
            <w:r>
              <w:rPr>
                <w:rFonts w:hint="eastAsia" w:ascii="宋体" w:hAnsi="宋体" w:eastAsia="宋体" w:cs="宋体"/>
                <w:b w:val="0"/>
                <w:bCs w:val="0"/>
                <w:color w:val="auto"/>
                <w:sz w:val="21"/>
                <w:szCs w:val="21"/>
                <w:highlight w:val="none"/>
                <w:vertAlign w:val="baseline"/>
                <w:lang w:val="en-US" w:eastAsia="zh-CN"/>
              </w:rPr>
              <w:t>1</w:t>
            </w:r>
            <w:bookmarkEnd w:id="201"/>
          </w:p>
        </w:tc>
        <w:tc>
          <w:tcPr>
            <w:tcW w:w="1685" w:type="dxa"/>
            <w:noWrap w:val="0"/>
            <w:vAlign w:val="top"/>
          </w:tcPr>
          <w:p w14:paraId="4F93B18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default" w:ascii="宋体" w:hAnsi="宋体" w:eastAsia="宋体" w:cs="宋体"/>
                <w:b w:val="0"/>
                <w:bCs w:val="0"/>
                <w:color w:val="auto"/>
                <w:sz w:val="21"/>
                <w:szCs w:val="21"/>
                <w:highlight w:val="none"/>
                <w:vertAlign w:val="baseline"/>
                <w:lang w:val="en-US" w:eastAsia="zh-CN"/>
              </w:rPr>
            </w:pPr>
            <w:bookmarkStart w:id="202" w:name="_Toc27449"/>
            <w:r>
              <w:rPr>
                <w:rFonts w:hint="eastAsia" w:ascii="宋体" w:hAnsi="宋体" w:cs="宋体"/>
                <w:b w:val="0"/>
                <w:bCs w:val="0"/>
                <w:color w:val="auto"/>
                <w:sz w:val="21"/>
                <w:szCs w:val="21"/>
                <w:highlight w:val="none"/>
                <w:vertAlign w:val="baseline"/>
                <w:lang w:val="en-US" w:eastAsia="zh-CN"/>
              </w:rPr>
              <w:t>C02060000培训服务</w:t>
            </w:r>
            <w:bookmarkEnd w:id="202"/>
          </w:p>
        </w:tc>
        <w:tc>
          <w:tcPr>
            <w:tcW w:w="1622" w:type="dxa"/>
            <w:noWrap w:val="0"/>
            <w:vAlign w:val="top"/>
          </w:tcPr>
          <w:p w14:paraId="530D8CDD">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农业经理人培训班</w:t>
            </w:r>
          </w:p>
        </w:tc>
        <w:tc>
          <w:tcPr>
            <w:tcW w:w="1760" w:type="dxa"/>
            <w:noWrap w:val="0"/>
            <w:vAlign w:val="top"/>
          </w:tcPr>
          <w:p w14:paraId="46AD56C2">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农业经理人培训班</w:t>
            </w:r>
          </w:p>
        </w:tc>
        <w:tc>
          <w:tcPr>
            <w:tcW w:w="1053" w:type="dxa"/>
            <w:noWrap w:val="0"/>
            <w:vAlign w:val="top"/>
          </w:tcPr>
          <w:p w14:paraId="73F16DE4">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50</w:t>
            </w:r>
          </w:p>
        </w:tc>
        <w:tc>
          <w:tcPr>
            <w:tcW w:w="1236" w:type="dxa"/>
            <w:noWrap w:val="0"/>
            <w:vAlign w:val="top"/>
          </w:tcPr>
          <w:p w14:paraId="2A460F1E">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c>
          <w:tcPr>
            <w:tcW w:w="1971" w:type="dxa"/>
            <w:noWrap w:val="0"/>
            <w:vAlign w:val="top"/>
          </w:tcPr>
          <w:p w14:paraId="62508495">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r>
      <w:tr w14:paraId="01B0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noWrap w:val="0"/>
            <w:vAlign w:val="top"/>
          </w:tcPr>
          <w:p w14:paraId="70A8327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bookmarkStart w:id="203" w:name="_Toc5135"/>
            <w:r>
              <w:rPr>
                <w:rFonts w:hint="eastAsia" w:ascii="宋体" w:hAnsi="宋体" w:eastAsia="宋体" w:cs="宋体"/>
                <w:b w:val="0"/>
                <w:bCs w:val="0"/>
                <w:color w:val="auto"/>
                <w:sz w:val="21"/>
                <w:szCs w:val="21"/>
                <w:highlight w:val="none"/>
                <w:vertAlign w:val="baseline"/>
                <w:lang w:val="en-US" w:eastAsia="zh-CN"/>
              </w:rPr>
              <w:t>2</w:t>
            </w:r>
            <w:bookmarkEnd w:id="203"/>
          </w:p>
        </w:tc>
        <w:tc>
          <w:tcPr>
            <w:tcW w:w="1685" w:type="dxa"/>
            <w:noWrap w:val="0"/>
            <w:vAlign w:val="top"/>
          </w:tcPr>
          <w:p w14:paraId="794EB842">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c>
          <w:tcPr>
            <w:tcW w:w="1622" w:type="dxa"/>
            <w:noWrap w:val="0"/>
            <w:vAlign w:val="top"/>
          </w:tcPr>
          <w:p w14:paraId="03D9D5B6">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c>
          <w:tcPr>
            <w:tcW w:w="1760" w:type="dxa"/>
            <w:noWrap w:val="0"/>
            <w:vAlign w:val="top"/>
          </w:tcPr>
          <w:p w14:paraId="620A99A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c>
          <w:tcPr>
            <w:tcW w:w="1053" w:type="dxa"/>
            <w:noWrap w:val="0"/>
            <w:vAlign w:val="top"/>
          </w:tcPr>
          <w:p w14:paraId="6EE275C7">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c>
          <w:tcPr>
            <w:tcW w:w="1236" w:type="dxa"/>
            <w:noWrap w:val="0"/>
            <w:vAlign w:val="top"/>
          </w:tcPr>
          <w:p w14:paraId="6644D404">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c>
          <w:tcPr>
            <w:tcW w:w="1971" w:type="dxa"/>
            <w:noWrap w:val="0"/>
            <w:vAlign w:val="top"/>
          </w:tcPr>
          <w:p w14:paraId="310EE64E">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r>
      <w:tr w14:paraId="13E7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3" w:type="dxa"/>
            <w:gridSpan w:val="6"/>
            <w:noWrap w:val="0"/>
            <w:vAlign w:val="top"/>
          </w:tcPr>
          <w:p w14:paraId="3A64CD22">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bookmarkStart w:id="204" w:name="_Toc16188"/>
            <w:r>
              <w:rPr>
                <w:rFonts w:hint="eastAsia" w:ascii="宋体" w:hAnsi="宋体" w:eastAsia="宋体" w:cs="宋体"/>
                <w:b w:val="0"/>
                <w:bCs w:val="0"/>
                <w:color w:val="auto"/>
                <w:sz w:val="21"/>
                <w:szCs w:val="21"/>
                <w:highlight w:val="none"/>
                <w:vertAlign w:val="baseline"/>
                <w:lang w:val="en-US" w:eastAsia="zh-CN"/>
              </w:rPr>
              <w:t>合计金额（元）</w:t>
            </w:r>
            <w:bookmarkEnd w:id="204"/>
          </w:p>
        </w:tc>
        <w:tc>
          <w:tcPr>
            <w:tcW w:w="1971" w:type="dxa"/>
            <w:noWrap w:val="0"/>
            <w:vAlign w:val="top"/>
          </w:tcPr>
          <w:p w14:paraId="31A7DB17">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r>
    </w:tbl>
    <w:p w14:paraId="5019D711">
      <w:pPr>
        <w:keepNext w:val="0"/>
        <w:keepLines w:val="0"/>
        <w:pageBreakBefore w:val="0"/>
        <w:widowControl w:val="0"/>
        <w:kinsoku/>
        <w:wordWrap/>
        <w:overflowPunct/>
        <w:topLinePunct w:val="0"/>
        <w:autoSpaceDE/>
        <w:autoSpaceDN/>
        <w:bidi w:val="0"/>
        <w:adjustRightInd/>
        <w:snapToGrid/>
        <w:spacing w:before="157" w:beforeLines="50"/>
        <w:jc w:val="both"/>
        <w:textAlignment w:val="auto"/>
        <w:outlineLvl w:val="9"/>
        <w:rPr>
          <w:rFonts w:hint="default" w:ascii="宋体" w:hAnsi="宋体" w:eastAsia="宋体" w:cs="宋体"/>
          <w:b w:val="0"/>
          <w:bCs w:val="0"/>
          <w:color w:val="auto"/>
          <w:sz w:val="21"/>
          <w:szCs w:val="21"/>
          <w:highlight w:val="none"/>
          <w:lang w:val="en-US" w:eastAsia="zh-CN"/>
        </w:rPr>
      </w:pPr>
    </w:p>
    <w:p w14:paraId="296EC7EB">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包2适用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
        <w:gridCol w:w="1685"/>
        <w:gridCol w:w="1622"/>
        <w:gridCol w:w="1760"/>
        <w:gridCol w:w="1053"/>
        <w:gridCol w:w="1236"/>
        <w:gridCol w:w="1971"/>
      </w:tblGrid>
      <w:tr w14:paraId="370D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noWrap w:val="0"/>
            <w:vAlign w:val="top"/>
          </w:tcPr>
          <w:p w14:paraId="30E67F94">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序号</w:t>
            </w:r>
          </w:p>
        </w:tc>
        <w:tc>
          <w:tcPr>
            <w:tcW w:w="1685" w:type="dxa"/>
            <w:noWrap w:val="0"/>
            <w:vAlign w:val="center"/>
          </w:tcPr>
          <w:p w14:paraId="6D879219">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品目代码</w:t>
            </w:r>
          </w:p>
        </w:tc>
        <w:tc>
          <w:tcPr>
            <w:tcW w:w="1622" w:type="dxa"/>
            <w:noWrap w:val="0"/>
            <w:vAlign w:val="center"/>
          </w:tcPr>
          <w:p w14:paraId="55B1DC13">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服务名称</w:t>
            </w:r>
          </w:p>
          <w:p w14:paraId="5EB68A8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（标的名称）</w:t>
            </w:r>
          </w:p>
        </w:tc>
        <w:tc>
          <w:tcPr>
            <w:tcW w:w="1760" w:type="dxa"/>
            <w:noWrap w:val="0"/>
            <w:vAlign w:val="center"/>
          </w:tcPr>
          <w:p w14:paraId="3F491CED">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服务内容</w:t>
            </w:r>
          </w:p>
        </w:tc>
        <w:tc>
          <w:tcPr>
            <w:tcW w:w="1053" w:type="dxa"/>
            <w:noWrap w:val="0"/>
            <w:vAlign w:val="center"/>
          </w:tcPr>
          <w:p w14:paraId="29D66C3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人数</w:t>
            </w:r>
          </w:p>
        </w:tc>
        <w:tc>
          <w:tcPr>
            <w:tcW w:w="1236" w:type="dxa"/>
            <w:noWrap w:val="0"/>
            <w:vAlign w:val="center"/>
          </w:tcPr>
          <w:p w14:paraId="67DD82E1">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单价</w:t>
            </w:r>
          </w:p>
        </w:tc>
        <w:tc>
          <w:tcPr>
            <w:tcW w:w="1971" w:type="dxa"/>
            <w:noWrap w:val="0"/>
            <w:vAlign w:val="center"/>
          </w:tcPr>
          <w:p w14:paraId="385899D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小计金额（元）</w:t>
            </w:r>
          </w:p>
        </w:tc>
      </w:tr>
      <w:tr w14:paraId="71DD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noWrap w:val="0"/>
            <w:vAlign w:val="top"/>
          </w:tcPr>
          <w:p w14:paraId="7E2257CC">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c>
          <w:tcPr>
            <w:tcW w:w="1685" w:type="dxa"/>
            <w:noWrap w:val="0"/>
            <w:vAlign w:val="top"/>
          </w:tcPr>
          <w:p w14:paraId="3E57A08E">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C02060000培训服务</w:t>
            </w:r>
          </w:p>
        </w:tc>
        <w:tc>
          <w:tcPr>
            <w:tcW w:w="1622" w:type="dxa"/>
            <w:vMerge w:val="restart"/>
            <w:noWrap w:val="0"/>
            <w:vAlign w:val="top"/>
          </w:tcPr>
          <w:p w14:paraId="2D7FF30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rPr>
              <w:t>农产品经纪人培训班和茶叶龙头企业负责人培训班</w:t>
            </w:r>
          </w:p>
        </w:tc>
        <w:tc>
          <w:tcPr>
            <w:tcW w:w="1760" w:type="dxa"/>
            <w:noWrap w:val="0"/>
            <w:vAlign w:val="top"/>
          </w:tcPr>
          <w:p w14:paraId="2EFC366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eastAsia="宋体"/>
                <w:lang w:val="en-US" w:eastAsia="zh-CN"/>
              </w:rPr>
            </w:pPr>
            <w:r>
              <w:rPr>
                <w:rFonts w:hint="eastAsia" w:eastAsia="宋体"/>
                <w:lang w:val="en-US" w:eastAsia="zh-CN"/>
              </w:rPr>
              <w:t>农产品经纪人培训班</w:t>
            </w:r>
          </w:p>
        </w:tc>
        <w:tc>
          <w:tcPr>
            <w:tcW w:w="1053" w:type="dxa"/>
            <w:noWrap w:val="0"/>
            <w:vAlign w:val="top"/>
          </w:tcPr>
          <w:p w14:paraId="08F21802">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50</w:t>
            </w:r>
          </w:p>
        </w:tc>
        <w:tc>
          <w:tcPr>
            <w:tcW w:w="1236" w:type="dxa"/>
            <w:noWrap w:val="0"/>
            <w:vAlign w:val="top"/>
          </w:tcPr>
          <w:p w14:paraId="74B16357">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c>
          <w:tcPr>
            <w:tcW w:w="1971" w:type="dxa"/>
            <w:noWrap w:val="0"/>
            <w:vAlign w:val="top"/>
          </w:tcPr>
          <w:p w14:paraId="03BB0CA2">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r>
      <w:tr w14:paraId="742F2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noWrap w:val="0"/>
            <w:vAlign w:val="top"/>
          </w:tcPr>
          <w:p w14:paraId="0F005BD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2</w:t>
            </w:r>
          </w:p>
        </w:tc>
        <w:tc>
          <w:tcPr>
            <w:tcW w:w="1685" w:type="dxa"/>
            <w:noWrap w:val="0"/>
            <w:vAlign w:val="top"/>
          </w:tcPr>
          <w:p w14:paraId="1BF741E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C02060000培训服务</w:t>
            </w:r>
          </w:p>
        </w:tc>
        <w:tc>
          <w:tcPr>
            <w:tcW w:w="1622" w:type="dxa"/>
            <w:vMerge w:val="continue"/>
            <w:noWrap w:val="0"/>
            <w:vAlign w:val="top"/>
          </w:tcPr>
          <w:p w14:paraId="2E8292FD">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c>
          <w:tcPr>
            <w:tcW w:w="1760" w:type="dxa"/>
            <w:noWrap w:val="0"/>
            <w:vAlign w:val="top"/>
          </w:tcPr>
          <w:p w14:paraId="3BF38E87">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eastAsia="宋体"/>
                <w:lang w:val="en-US" w:eastAsia="zh-CN"/>
              </w:rPr>
            </w:pPr>
            <w:r>
              <w:rPr>
                <w:rFonts w:hint="eastAsia" w:eastAsia="宋体"/>
                <w:lang w:val="en-US" w:eastAsia="zh-CN"/>
              </w:rPr>
              <w:t>茶叶龙头企业负责人培训班</w:t>
            </w:r>
          </w:p>
        </w:tc>
        <w:tc>
          <w:tcPr>
            <w:tcW w:w="1053" w:type="dxa"/>
            <w:noWrap w:val="0"/>
            <w:vAlign w:val="top"/>
          </w:tcPr>
          <w:p w14:paraId="727C0BD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50</w:t>
            </w:r>
          </w:p>
        </w:tc>
        <w:tc>
          <w:tcPr>
            <w:tcW w:w="1236" w:type="dxa"/>
            <w:noWrap w:val="0"/>
            <w:vAlign w:val="top"/>
          </w:tcPr>
          <w:p w14:paraId="3B223FB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c>
          <w:tcPr>
            <w:tcW w:w="1971" w:type="dxa"/>
            <w:noWrap w:val="0"/>
            <w:vAlign w:val="top"/>
          </w:tcPr>
          <w:p w14:paraId="0F87829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r>
      <w:tr w14:paraId="0342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3" w:type="dxa"/>
            <w:gridSpan w:val="6"/>
            <w:noWrap w:val="0"/>
            <w:vAlign w:val="top"/>
          </w:tcPr>
          <w:p w14:paraId="4D0D5AA6">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合计金额（元）</w:t>
            </w:r>
          </w:p>
        </w:tc>
        <w:tc>
          <w:tcPr>
            <w:tcW w:w="1971" w:type="dxa"/>
            <w:noWrap w:val="0"/>
            <w:vAlign w:val="top"/>
          </w:tcPr>
          <w:p w14:paraId="1E836EA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r>
    </w:tbl>
    <w:p w14:paraId="1CD5D08C">
      <w:pPr>
        <w:keepNext w:val="0"/>
        <w:keepLines w:val="0"/>
        <w:pageBreakBefore w:val="0"/>
        <w:widowControl w:val="0"/>
        <w:kinsoku/>
        <w:wordWrap/>
        <w:overflowPunct/>
        <w:topLinePunct w:val="0"/>
        <w:autoSpaceDE/>
        <w:autoSpaceDN/>
        <w:bidi w:val="0"/>
        <w:adjustRightInd/>
        <w:snapToGrid/>
        <w:spacing w:before="157" w:beforeLines="50"/>
        <w:jc w:val="both"/>
        <w:textAlignment w:val="auto"/>
        <w:outlineLvl w:val="9"/>
        <w:rPr>
          <w:rFonts w:hint="default" w:ascii="宋体" w:hAnsi="宋体" w:eastAsia="宋体" w:cs="宋体"/>
          <w:b w:val="0"/>
          <w:bCs w:val="0"/>
          <w:color w:val="auto"/>
          <w:sz w:val="21"/>
          <w:szCs w:val="21"/>
          <w:highlight w:val="none"/>
          <w:lang w:val="en-US" w:eastAsia="zh-CN"/>
        </w:rPr>
      </w:pPr>
    </w:p>
    <w:p w14:paraId="1DC703B9">
      <w:pPr>
        <w:bidi w:val="0"/>
        <w:outlineLvl w:val="9"/>
        <w:rPr>
          <w:rFonts w:hint="eastAsia"/>
          <w:color w:val="auto"/>
        </w:rPr>
      </w:pPr>
    </w:p>
    <w:p w14:paraId="1971D456">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包3适用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
        <w:gridCol w:w="1685"/>
        <w:gridCol w:w="1622"/>
        <w:gridCol w:w="1760"/>
        <w:gridCol w:w="1053"/>
        <w:gridCol w:w="1236"/>
        <w:gridCol w:w="1971"/>
      </w:tblGrid>
      <w:tr w14:paraId="493E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noWrap w:val="0"/>
            <w:vAlign w:val="top"/>
          </w:tcPr>
          <w:p w14:paraId="17C8109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序号</w:t>
            </w:r>
          </w:p>
        </w:tc>
        <w:tc>
          <w:tcPr>
            <w:tcW w:w="1685" w:type="dxa"/>
            <w:noWrap w:val="0"/>
            <w:vAlign w:val="center"/>
          </w:tcPr>
          <w:p w14:paraId="2E81E047">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品目代码</w:t>
            </w:r>
          </w:p>
        </w:tc>
        <w:tc>
          <w:tcPr>
            <w:tcW w:w="1622" w:type="dxa"/>
            <w:noWrap w:val="0"/>
            <w:vAlign w:val="center"/>
          </w:tcPr>
          <w:p w14:paraId="5FCB6625">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服务名称</w:t>
            </w:r>
          </w:p>
          <w:p w14:paraId="3E4E94B7">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（标的名称）</w:t>
            </w:r>
          </w:p>
        </w:tc>
        <w:tc>
          <w:tcPr>
            <w:tcW w:w="1760" w:type="dxa"/>
            <w:noWrap w:val="0"/>
            <w:vAlign w:val="center"/>
          </w:tcPr>
          <w:p w14:paraId="15DA3C1E">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服务内容</w:t>
            </w:r>
          </w:p>
        </w:tc>
        <w:tc>
          <w:tcPr>
            <w:tcW w:w="1053" w:type="dxa"/>
            <w:noWrap w:val="0"/>
            <w:vAlign w:val="center"/>
          </w:tcPr>
          <w:p w14:paraId="5667B6C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人数</w:t>
            </w:r>
          </w:p>
        </w:tc>
        <w:tc>
          <w:tcPr>
            <w:tcW w:w="1236" w:type="dxa"/>
            <w:noWrap w:val="0"/>
            <w:vAlign w:val="center"/>
          </w:tcPr>
          <w:p w14:paraId="5680C8F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单价</w:t>
            </w:r>
          </w:p>
        </w:tc>
        <w:tc>
          <w:tcPr>
            <w:tcW w:w="1971" w:type="dxa"/>
            <w:noWrap w:val="0"/>
            <w:vAlign w:val="center"/>
          </w:tcPr>
          <w:p w14:paraId="76A904AD">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小计金额（元）</w:t>
            </w:r>
          </w:p>
        </w:tc>
      </w:tr>
      <w:tr w14:paraId="023E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noWrap w:val="0"/>
            <w:vAlign w:val="top"/>
          </w:tcPr>
          <w:p w14:paraId="10E148D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c>
          <w:tcPr>
            <w:tcW w:w="1685" w:type="dxa"/>
            <w:noWrap w:val="0"/>
            <w:vAlign w:val="top"/>
          </w:tcPr>
          <w:p w14:paraId="53167A8E">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C02060000培训服务</w:t>
            </w:r>
          </w:p>
        </w:tc>
        <w:tc>
          <w:tcPr>
            <w:tcW w:w="1622" w:type="dxa"/>
            <w:vMerge w:val="restart"/>
            <w:noWrap w:val="0"/>
            <w:vAlign w:val="center"/>
          </w:tcPr>
          <w:p w14:paraId="5B654AC4">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乡风文明培训班和数智技术应用培训班</w:t>
            </w:r>
          </w:p>
        </w:tc>
        <w:tc>
          <w:tcPr>
            <w:tcW w:w="1760" w:type="dxa"/>
            <w:noWrap w:val="0"/>
            <w:vAlign w:val="top"/>
          </w:tcPr>
          <w:p w14:paraId="52A1D0DC">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乡风文明培训班</w:t>
            </w:r>
          </w:p>
        </w:tc>
        <w:tc>
          <w:tcPr>
            <w:tcW w:w="1053" w:type="dxa"/>
            <w:noWrap w:val="0"/>
            <w:vAlign w:val="top"/>
          </w:tcPr>
          <w:p w14:paraId="66177B2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50</w:t>
            </w:r>
          </w:p>
        </w:tc>
        <w:tc>
          <w:tcPr>
            <w:tcW w:w="1236" w:type="dxa"/>
            <w:noWrap w:val="0"/>
            <w:vAlign w:val="top"/>
          </w:tcPr>
          <w:p w14:paraId="21DA6C55">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c>
          <w:tcPr>
            <w:tcW w:w="1971" w:type="dxa"/>
            <w:noWrap w:val="0"/>
            <w:vAlign w:val="top"/>
          </w:tcPr>
          <w:p w14:paraId="3E401209">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r>
      <w:tr w14:paraId="5748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noWrap w:val="0"/>
            <w:vAlign w:val="top"/>
          </w:tcPr>
          <w:p w14:paraId="1B67A984">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2</w:t>
            </w:r>
          </w:p>
        </w:tc>
        <w:tc>
          <w:tcPr>
            <w:tcW w:w="1685" w:type="dxa"/>
            <w:noWrap w:val="0"/>
            <w:vAlign w:val="top"/>
          </w:tcPr>
          <w:p w14:paraId="26BB4CC2">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C02060000培训服务</w:t>
            </w:r>
          </w:p>
        </w:tc>
        <w:tc>
          <w:tcPr>
            <w:tcW w:w="1622" w:type="dxa"/>
            <w:vMerge w:val="continue"/>
            <w:noWrap w:val="0"/>
            <w:vAlign w:val="top"/>
          </w:tcPr>
          <w:p w14:paraId="01A0954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c>
          <w:tcPr>
            <w:tcW w:w="1760" w:type="dxa"/>
            <w:noWrap w:val="0"/>
            <w:vAlign w:val="top"/>
          </w:tcPr>
          <w:p w14:paraId="5F6C46D3">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数智技术应用培训班</w:t>
            </w:r>
          </w:p>
        </w:tc>
        <w:tc>
          <w:tcPr>
            <w:tcW w:w="1053" w:type="dxa"/>
            <w:noWrap w:val="0"/>
            <w:vAlign w:val="top"/>
          </w:tcPr>
          <w:p w14:paraId="7AD9981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50</w:t>
            </w:r>
          </w:p>
        </w:tc>
        <w:tc>
          <w:tcPr>
            <w:tcW w:w="1236" w:type="dxa"/>
            <w:noWrap w:val="0"/>
            <w:vAlign w:val="top"/>
          </w:tcPr>
          <w:p w14:paraId="04B8498C">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c>
          <w:tcPr>
            <w:tcW w:w="1971" w:type="dxa"/>
            <w:noWrap w:val="0"/>
            <w:vAlign w:val="top"/>
          </w:tcPr>
          <w:p w14:paraId="4B8A6E5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r>
      <w:tr w14:paraId="73B30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3" w:type="dxa"/>
            <w:gridSpan w:val="6"/>
            <w:noWrap w:val="0"/>
            <w:vAlign w:val="top"/>
          </w:tcPr>
          <w:p w14:paraId="41E301E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合计金额（元）</w:t>
            </w:r>
          </w:p>
        </w:tc>
        <w:tc>
          <w:tcPr>
            <w:tcW w:w="1971" w:type="dxa"/>
            <w:noWrap w:val="0"/>
            <w:vAlign w:val="top"/>
          </w:tcPr>
          <w:p w14:paraId="6EB3386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jc w:val="center"/>
              <w:textAlignment w:val="auto"/>
              <w:outlineLvl w:val="9"/>
              <w:rPr>
                <w:rFonts w:hint="eastAsia" w:ascii="宋体" w:hAnsi="宋体" w:eastAsia="宋体" w:cs="宋体"/>
                <w:b w:val="0"/>
                <w:bCs w:val="0"/>
                <w:color w:val="auto"/>
                <w:sz w:val="21"/>
                <w:szCs w:val="21"/>
                <w:highlight w:val="none"/>
                <w:vertAlign w:val="baseline"/>
                <w:lang w:val="en-US" w:eastAsia="zh-CN"/>
              </w:rPr>
            </w:pPr>
          </w:p>
        </w:tc>
      </w:tr>
    </w:tbl>
    <w:p w14:paraId="76F7276F">
      <w:pPr>
        <w:keepNext w:val="0"/>
        <w:keepLines w:val="0"/>
        <w:pageBreakBefore w:val="0"/>
        <w:widowControl w:val="0"/>
        <w:kinsoku/>
        <w:wordWrap/>
        <w:overflowPunct/>
        <w:topLinePunct w:val="0"/>
        <w:autoSpaceDE/>
        <w:autoSpaceDN/>
        <w:bidi w:val="0"/>
        <w:adjustRightInd/>
        <w:snapToGrid/>
        <w:spacing w:before="157" w:beforeLines="50"/>
        <w:jc w:val="both"/>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备注：只需提供所投包适用的表格。</w:t>
      </w:r>
    </w:p>
    <w:p w14:paraId="107A529F">
      <w:pPr>
        <w:bidi w:val="0"/>
        <w:outlineLvl w:val="9"/>
        <w:rPr>
          <w:rFonts w:hint="eastAsia"/>
          <w:color w:val="auto"/>
        </w:rPr>
      </w:pPr>
    </w:p>
    <w:p w14:paraId="7ABB3A99">
      <w:pPr>
        <w:bidi w:val="0"/>
        <w:outlineLvl w:val="9"/>
        <w:rPr>
          <w:rFonts w:hint="eastAsia"/>
          <w:color w:val="auto"/>
        </w:rPr>
      </w:pPr>
      <w:r>
        <w:rPr>
          <w:rFonts w:hint="eastAsia"/>
          <w:color w:val="auto"/>
        </w:rPr>
        <w:t xml:space="preserve">投标人名称 (盖单位公章) ：                        </w:t>
      </w:r>
    </w:p>
    <w:p w14:paraId="156FF4E2">
      <w:pPr>
        <w:bidi w:val="0"/>
        <w:outlineLvl w:val="9"/>
        <w:rPr>
          <w:rFonts w:hint="eastAsia"/>
          <w:color w:val="auto"/>
        </w:rPr>
      </w:pPr>
      <w:r>
        <w:rPr>
          <w:rFonts w:hint="eastAsia"/>
          <w:color w:val="auto"/>
        </w:rPr>
        <w:t xml:space="preserve">法定代表人 (单位负责人) 或其授权的代理人 (签字或印章) ：            </w:t>
      </w:r>
    </w:p>
    <w:p w14:paraId="7112413A">
      <w:pPr>
        <w:bidi w:val="0"/>
        <w:outlineLvl w:val="9"/>
        <w:rPr>
          <w:rFonts w:hint="eastAsia" w:ascii="新宋体" w:hAnsi="新宋体" w:eastAsia="新宋体" w:cs="新宋体"/>
          <w:b/>
          <w:bCs/>
          <w:color w:val="auto"/>
          <w:sz w:val="28"/>
          <w:szCs w:val="28"/>
          <w:highlight w:val="none"/>
          <w:lang w:val="en-US" w:eastAsia="zh-CN"/>
        </w:rPr>
      </w:pPr>
      <w:r>
        <w:rPr>
          <w:rFonts w:hint="eastAsia"/>
          <w:color w:val="auto"/>
        </w:rPr>
        <w:t>日 期：       年    月    日</w:t>
      </w:r>
    </w:p>
    <w:p w14:paraId="78466E7F">
      <w:pPr>
        <w:tabs>
          <w:tab w:val="left" w:pos="4144"/>
        </w:tabs>
        <w:outlineLvl w:val="9"/>
        <w:rPr>
          <w:rFonts w:hint="eastAsia" w:ascii="新宋体" w:hAnsi="新宋体" w:eastAsia="新宋体" w:cs="新宋体"/>
          <w:b/>
          <w:bCs/>
          <w:color w:val="auto"/>
          <w:sz w:val="28"/>
          <w:szCs w:val="28"/>
          <w:highlight w:val="none"/>
          <w:lang w:val="en-US" w:eastAsia="zh-CN"/>
        </w:rPr>
      </w:pPr>
    </w:p>
    <w:p w14:paraId="6447E423">
      <w:pPr>
        <w:jc w:val="center"/>
        <w:outlineLvl w:val="9"/>
        <w:rPr>
          <w:rFonts w:hint="eastAsia" w:ascii="新宋体" w:hAnsi="新宋体" w:eastAsia="新宋体" w:cs="新宋体"/>
          <w:b/>
          <w:bCs/>
          <w:color w:val="auto"/>
          <w:sz w:val="32"/>
          <w:szCs w:val="32"/>
          <w:highlight w:val="none"/>
          <w:lang w:eastAsia="zh-CN"/>
        </w:rPr>
      </w:pPr>
      <w:bookmarkStart w:id="205" w:name="_Toc20162"/>
      <w:bookmarkStart w:id="206" w:name="_Toc22382"/>
      <w:r>
        <w:rPr>
          <w:rFonts w:hint="eastAsia" w:ascii="新宋体" w:hAnsi="新宋体" w:eastAsia="新宋体" w:cs="新宋体"/>
          <w:b/>
          <w:bCs/>
          <w:color w:val="auto"/>
          <w:sz w:val="28"/>
          <w:szCs w:val="28"/>
          <w:highlight w:val="none"/>
          <w:lang w:val="en-US" w:eastAsia="zh-CN"/>
        </w:rPr>
        <w:t>五</w:t>
      </w:r>
      <w:r>
        <w:rPr>
          <w:rFonts w:hint="eastAsia" w:ascii="新宋体" w:hAnsi="新宋体" w:eastAsia="新宋体" w:cs="新宋体"/>
          <w:b/>
          <w:bCs/>
          <w:color w:val="auto"/>
          <w:sz w:val="28"/>
          <w:szCs w:val="28"/>
          <w:highlight w:val="none"/>
          <w:lang w:eastAsia="zh-CN"/>
        </w:rPr>
        <w:t>、</w:t>
      </w:r>
      <w:r>
        <w:rPr>
          <w:rFonts w:hint="eastAsia" w:ascii="新宋体" w:hAnsi="新宋体" w:eastAsia="新宋体" w:cs="新宋体"/>
          <w:b/>
          <w:bCs/>
          <w:color w:val="auto"/>
          <w:sz w:val="28"/>
          <w:szCs w:val="28"/>
          <w:highlight w:val="none"/>
          <w:lang w:val="en-US" w:eastAsia="zh-CN"/>
        </w:rPr>
        <w:t>商务与合同条款偏离表</w:t>
      </w:r>
      <w:bookmarkEnd w:id="205"/>
      <w:bookmarkEnd w:id="206"/>
    </w:p>
    <w:p w14:paraId="7102A85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eastAsia" w:ascii="新宋体" w:hAnsi="新宋体" w:eastAsia="新宋体" w:cs="新宋体"/>
          <w:color w:val="auto"/>
          <w:sz w:val="21"/>
          <w:szCs w:val="21"/>
          <w:highlight w:val="none"/>
          <w:u w:val="single"/>
        </w:rPr>
      </w:pPr>
      <w:r>
        <w:rPr>
          <w:rFonts w:hint="eastAsia" w:ascii="新宋体" w:hAnsi="新宋体" w:eastAsia="新宋体" w:cs="新宋体"/>
          <w:color w:val="auto"/>
          <w:spacing w:val="0"/>
          <w:sz w:val="21"/>
          <w:szCs w:val="21"/>
          <w:highlight w:val="none"/>
        </w:rPr>
        <w:t>政府采购计划编号</w:t>
      </w:r>
      <w:r>
        <w:rPr>
          <w:rFonts w:hint="eastAsia" w:ascii="新宋体" w:hAnsi="新宋体" w:eastAsia="新宋体" w:cs="新宋体"/>
          <w:color w:val="auto"/>
          <w:sz w:val="21"/>
          <w:szCs w:val="21"/>
          <w:highlight w:val="none"/>
        </w:rPr>
        <w:t xml:space="preserve">: </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 xml:space="preserve">     </w:t>
      </w:r>
      <w:r>
        <w:rPr>
          <w:rFonts w:hint="eastAsia" w:ascii="新宋体" w:hAnsi="新宋体" w:eastAsia="新宋体" w:cs="新宋体"/>
          <w:color w:val="auto"/>
          <w:sz w:val="21"/>
          <w:szCs w:val="21"/>
          <w:highlight w:val="none"/>
          <w:lang w:val="en-US" w:eastAsia="zh-CN"/>
        </w:rPr>
        <w:t xml:space="preserve">   </w:t>
      </w:r>
      <w:r>
        <w:rPr>
          <w:rFonts w:hint="eastAsia" w:ascii="新宋体" w:hAnsi="新宋体" w:eastAsia="新宋体" w:cs="新宋体"/>
          <w:color w:val="auto"/>
          <w:sz w:val="21"/>
          <w:szCs w:val="21"/>
          <w:highlight w:val="none"/>
        </w:rPr>
        <w:t xml:space="preserve"> 项目名称：</w:t>
      </w:r>
      <w:r>
        <w:rPr>
          <w:rFonts w:hint="eastAsia" w:ascii="新宋体" w:hAnsi="新宋体" w:eastAsia="新宋体" w:cs="新宋体"/>
          <w:color w:val="auto"/>
          <w:sz w:val="21"/>
          <w:szCs w:val="21"/>
          <w:highlight w:val="none"/>
          <w:u w:val="single"/>
        </w:rPr>
        <w:t xml:space="preserve">                            </w:t>
      </w:r>
    </w:p>
    <w:p w14:paraId="6DFB5506">
      <w:pPr>
        <w:pStyle w:val="31"/>
        <w:ind w:left="0" w:leftChars="0" w:firstLine="0" w:firstLineChars="0"/>
        <w:outlineLvl w:val="9"/>
        <w:rPr>
          <w:rFonts w:hint="eastAsia"/>
          <w:color w:val="auto"/>
        </w:rPr>
      </w:pPr>
      <w:r>
        <w:rPr>
          <w:rFonts w:hint="eastAsia" w:ascii="新宋体" w:hAnsi="新宋体" w:eastAsia="新宋体" w:cs="新宋体"/>
          <w:color w:val="auto"/>
          <w:sz w:val="21"/>
          <w:szCs w:val="21"/>
          <w:highlight w:val="none"/>
          <w:u w:val="none"/>
          <w:lang w:eastAsia="zh-CN"/>
        </w:rPr>
        <w:t>包号及标的名称：</w:t>
      </w:r>
      <w:r>
        <w:rPr>
          <w:rFonts w:hint="eastAsia" w:ascii="新宋体" w:hAnsi="新宋体" w:eastAsia="新宋体" w:cs="新宋体"/>
          <w:color w:val="auto"/>
          <w:sz w:val="21"/>
          <w:szCs w:val="21"/>
          <w:highlight w:val="none"/>
          <w:u w:val="single"/>
          <w:lang w:val="en-US" w:eastAsia="zh-CN"/>
        </w:rPr>
        <w:t xml:space="preserve">              </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 xml:space="preserve"> </w:t>
      </w:r>
    </w:p>
    <w:tbl>
      <w:tblPr>
        <w:tblStyle w:val="26"/>
        <w:tblW w:w="4996"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635"/>
        <w:gridCol w:w="2588"/>
        <w:gridCol w:w="2133"/>
        <w:gridCol w:w="2237"/>
        <w:gridCol w:w="2093"/>
      </w:tblGrid>
      <w:tr w14:paraId="53A169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000" w:type="pct"/>
            <w:gridSpan w:val="5"/>
            <w:noWrap w:val="0"/>
            <w:vAlign w:val="center"/>
          </w:tcPr>
          <w:p w14:paraId="65EA61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center"/>
              <w:textAlignment w:val="auto"/>
              <w:outlineLvl w:val="9"/>
              <w:rPr>
                <w:rFonts w:hint="eastAsia" w:ascii="新宋体" w:hAnsi="新宋体" w:eastAsia="新宋体" w:cs="新宋体"/>
                <w:b/>
                <w:bCs/>
                <w:color w:val="auto"/>
                <w:sz w:val="22"/>
                <w:szCs w:val="22"/>
              </w:rPr>
            </w:pPr>
            <w:r>
              <w:rPr>
                <w:rFonts w:hint="eastAsia" w:ascii="新宋体" w:hAnsi="新宋体" w:eastAsia="新宋体" w:cs="新宋体"/>
                <w:b/>
                <w:bCs/>
                <w:color w:val="auto"/>
                <w:sz w:val="22"/>
                <w:szCs w:val="22"/>
              </w:rPr>
              <w:t>对本项目</w:t>
            </w:r>
            <w:r>
              <w:rPr>
                <w:rFonts w:hint="eastAsia" w:ascii="新宋体" w:hAnsi="新宋体" w:eastAsia="新宋体" w:cs="新宋体"/>
                <w:b/>
                <w:bCs/>
                <w:color w:val="auto"/>
                <w:sz w:val="22"/>
                <w:szCs w:val="22"/>
                <w:lang w:val="en-US" w:eastAsia="zh-CN"/>
              </w:rPr>
              <w:t>商务、合同</w:t>
            </w:r>
            <w:r>
              <w:rPr>
                <w:rFonts w:hint="eastAsia" w:ascii="新宋体" w:hAnsi="新宋体" w:eastAsia="新宋体" w:cs="新宋体"/>
                <w:b/>
                <w:bCs/>
                <w:color w:val="auto"/>
                <w:sz w:val="22"/>
                <w:szCs w:val="22"/>
              </w:rPr>
              <w:t>条款的偏离情况（请用“√”进行勾选）</w:t>
            </w:r>
          </w:p>
          <w:p w14:paraId="04B8B9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left"/>
              <w:textAlignment w:val="auto"/>
              <w:outlineLvl w:val="9"/>
              <w:rPr>
                <w:rFonts w:hint="eastAsia" w:ascii="新宋体" w:hAnsi="新宋体" w:eastAsia="新宋体" w:cs="新宋体"/>
                <w:color w:val="auto"/>
                <w:sz w:val="22"/>
                <w:szCs w:val="22"/>
              </w:rPr>
            </w:pPr>
            <w:r>
              <w:rPr>
                <w:rFonts w:hint="eastAsia" w:ascii="新宋体" w:hAnsi="新宋体" w:eastAsia="新宋体" w:cs="新宋体"/>
                <w:color w:val="auto"/>
                <w:szCs w:val="21"/>
              </w:rPr>
              <w:t></w:t>
            </w:r>
            <w:r>
              <w:rPr>
                <w:rFonts w:hint="eastAsia" w:ascii="新宋体" w:hAnsi="新宋体" w:eastAsia="新宋体" w:cs="新宋体"/>
                <w:color w:val="auto"/>
                <w:kern w:val="0"/>
                <w:sz w:val="22"/>
                <w:szCs w:val="22"/>
                <w:lang w:bidi="ar"/>
              </w:rPr>
              <w:t>□</w:t>
            </w:r>
            <w:r>
              <w:rPr>
                <w:rFonts w:hint="eastAsia" w:ascii="新宋体" w:hAnsi="新宋体" w:eastAsia="新宋体" w:cs="新宋体"/>
                <w:b/>
                <w:bCs/>
                <w:color w:val="auto"/>
                <w:sz w:val="22"/>
                <w:szCs w:val="22"/>
              </w:rPr>
              <w:t>无偏离</w:t>
            </w:r>
            <w:r>
              <w:rPr>
                <w:rFonts w:hint="eastAsia" w:ascii="新宋体" w:hAnsi="新宋体" w:eastAsia="新宋体" w:cs="新宋体"/>
                <w:color w:val="auto"/>
                <w:sz w:val="22"/>
                <w:szCs w:val="22"/>
              </w:rPr>
              <w:t>（如无偏离，仅勾选无偏离即可）</w:t>
            </w:r>
          </w:p>
          <w:p w14:paraId="6B8CAD6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2"/>
                <w:szCs w:val="22"/>
              </w:rPr>
              <w:t></w:t>
            </w:r>
            <w:r>
              <w:rPr>
                <w:rFonts w:hint="eastAsia" w:ascii="新宋体" w:hAnsi="新宋体" w:eastAsia="新宋体" w:cs="新宋体"/>
                <w:color w:val="auto"/>
                <w:kern w:val="0"/>
                <w:sz w:val="22"/>
                <w:szCs w:val="22"/>
                <w:lang w:bidi="ar"/>
              </w:rPr>
              <w:t>□</w:t>
            </w:r>
            <w:r>
              <w:rPr>
                <w:rFonts w:hint="eastAsia" w:ascii="新宋体" w:hAnsi="新宋体" w:eastAsia="新宋体" w:cs="新宋体"/>
                <w:b/>
                <w:bCs/>
                <w:color w:val="auto"/>
                <w:sz w:val="22"/>
                <w:szCs w:val="22"/>
              </w:rPr>
              <w:t>有偏离</w:t>
            </w:r>
            <w:r>
              <w:rPr>
                <w:rFonts w:hint="eastAsia" w:ascii="新宋体" w:hAnsi="新宋体" w:eastAsia="新宋体" w:cs="新宋体"/>
                <w:color w:val="auto"/>
                <w:sz w:val="22"/>
                <w:szCs w:val="22"/>
              </w:rPr>
              <w:t>（如有偏离，则应在本表中对偏离项逐一列明）</w:t>
            </w:r>
          </w:p>
        </w:tc>
      </w:tr>
      <w:tr w14:paraId="3A8143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28" w:type="pct"/>
            <w:noWrap w:val="0"/>
            <w:vAlign w:val="center"/>
          </w:tcPr>
          <w:p w14:paraId="3BD1EBD5">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bCs/>
                <w:color w:val="auto"/>
                <w:sz w:val="21"/>
                <w:szCs w:val="21"/>
                <w:highlight w:val="none"/>
              </w:rPr>
              <w:t>序</w:t>
            </w:r>
            <w:r>
              <w:rPr>
                <w:rFonts w:hint="eastAsia" w:ascii="新宋体" w:hAnsi="新宋体" w:eastAsia="新宋体" w:cs="新宋体"/>
                <w:color w:val="auto"/>
                <w:sz w:val="21"/>
                <w:szCs w:val="21"/>
                <w:highlight w:val="none"/>
              </w:rPr>
              <w:t>号</w:t>
            </w:r>
          </w:p>
        </w:tc>
        <w:tc>
          <w:tcPr>
            <w:tcW w:w="1336" w:type="pct"/>
            <w:noWrap w:val="0"/>
            <w:vAlign w:val="center"/>
          </w:tcPr>
          <w:p w14:paraId="78F44B1E">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sz w:val="21"/>
                <w:szCs w:val="21"/>
                <w:highlight w:val="none"/>
              </w:rPr>
              <w:t>招标文件章节</w:t>
            </w:r>
            <w:r>
              <w:rPr>
                <w:rFonts w:hint="eastAsia" w:ascii="新宋体" w:hAnsi="新宋体" w:eastAsia="新宋体" w:cs="新宋体"/>
                <w:bCs/>
                <w:color w:val="auto"/>
                <w:sz w:val="21"/>
                <w:szCs w:val="21"/>
                <w:highlight w:val="none"/>
              </w:rPr>
              <w:t>条</w:t>
            </w:r>
            <w:r>
              <w:rPr>
                <w:rFonts w:hint="eastAsia" w:ascii="新宋体" w:hAnsi="新宋体" w:eastAsia="新宋体" w:cs="新宋体"/>
                <w:color w:val="auto"/>
                <w:sz w:val="21"/>
                <w:szCs w:val="21"/>
                <w:highlight w:val="none"/>
              </w:rPr>
              <w:t>款号</w:t>
            </w:r>
          </w:p>
        </w:tc>
        <w:tc>
          <w:tcPr>
            <w:tcW w:w="1101" w:type="pct"/>
            <w:noWrap w:val="0"/>
            <w:vAlign w:val="center"/>
          </w:tcPr>
          <w:p w14:paraId="4DDFDD7E">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sz w:val="21"/>
                <w:szCs w:val="21"/>
                <w:highlight w:val="none"/>
              </w:rPr>
              <w:t>招标文件要求</w:t>
            </w:r>
          </w:p>
        </w:tc>
        <w:tc>
          <w:tcPr>
            <w:tcW w:w="1155" w:type="pct"/>
            <w:tcBorders>
              <w:right w:val="single" w:color="auto" w:sz="4" w:space="0"/>
            </w:tcBorders>
            <w:noWrap w:val="0"/>
            <w:vAlign w:val="center"/>
          </w:tcPr>
          <w:p w14:paraId="143FE8A6">
            <w:pPr>
              <w:keepNext w:val="0"/>
              <w:keepLines w:val="0"/>
              <w:suppressLineNumbers w:val="0"/>
              <w:adjustRightInd w:val="0"/>
              <w:snapToGrid w:val="0"/>
              <w:spacing w:before="50" w:beforeAutospacing="0" w:after="0" w:afterAutospacing="0" w:line="360" w:lineRule="auto"/>
              <w:ind w:left="0" w:right="0"/>
              <w:jc w:val="center"/>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sz w:val="21"/>
                <w:szCs w:val="21"/>
                <w:highlight w:val="none"/>
              </w:rPr>
              <w:t>投标文件的应答</w:t>
            </w:r>
          </w:p>
        </w:tc>
        <w:tc>
          <w:tcPr>
            <w:tcW w:w="1077" w:type="pct"/>
            <w:tcBorders>
              <w:left w:val="single" w:color="auto" w:sz="4" w:space="0"/>
            </w:tcBorders>
            <w:noWrap w:val="0"/>
            <w:vAlign w:val="center"/>
          </w:tcPr>
          <w:p w14:paraId="79B6CE97">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sz w:val="21"/>
                <w:szCs w:val="21"/>
                <w:highlight w:val="none"/>
              </w:rPr>
              <w:t>偏离说明</w:t>
            </w:r>
          </w:p>
        </w:tc>
      </w:tr>
      <w:tr w14:paraId="5216DC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28" w:type="pct"/>
            <w:noWrap w:val="0"/>
            <w:vAlign w:val="center"/>
          </w:tcPr>
          <w:p w14:paraId="37A4EA1E">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336" w:type="pct"/>
            <w:noWrap w:val="0"/>
            <w:vAlign w:val="center"/>
          </w:tcPr>
          <w:p w14:paraId="71BFE87B">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101" w:type="pct"/>
            <w:noWrap w:val="0"/>
            <w:vAlign w:val="top"/>
          </w:tcPr>
          <w:p w14:paraId="0229D657">
            <w:pPr>
              <w:keepNext w:val="0"/>
              <w:keepLines w:val="0"/>
              <w:suppressLineNumbers w:val="0"/>
              <w:adjustRightInd w:val="0"/>
              <w:snapToGrid w:val="0"/>
              <w:spacing w:before="50" w:beforeAutospacing="0" w:after="0" w:afterAutospacing="0" w:line="360" w:lineRule="auto"/>
              <w:ind w:left="0" w:right="0"/>
              <w:outlineLvl w:val="9"/>
              <w:rPr>
                <w:rFonts w:hint="eastAsia" w:ascii="新宋体" w:hAnsi="新宋体" w:eastAsia="新宋体" w:cs="新宋体"/>
                <w:color w:val="auto"/>
                <w:sz w:val="21"/>
                <w:szCs w:val="21"/>
                <w:highlight w:val="none"/>
              </w:rPr>
            </w:pPr>
          </w:p>
        </w:tc>
        <w:tc>
          <w:tcPr>
            <w:tcW w:w="1155" w:type="pct"/>
            <w:tcBorders>
              <w:right w:val="single" w:color="auto" w:sz="4" w:space="0"/>
            </w:tcBorders>
            <w:noWrap w:val="0"/>
            <w:vAlign w:val="top"/>
          </w:tcPr>
          <w:p w14:paraId="30BA2418">
            <w:pPr>
              <w:keepNext w:val="0"/>
              <w:keepLines w:val="0"/>
              <w:suppressLineNumbers w:val="0"/>
              <w:adjustRightInd w:val="0"/>
              <w:snapToGrid w:val="0"/>
              <w:spacing w:before="50" w:beforeAutospacing="0" w:after="0" w:afterAutospacing="0" w:line="360" w:lineRule="auto"/>
              <w:ind w:left="0" w:right="0"/>
              <w:outlineLvl w:val="9"/>
              <w:rPr>
                <w:rFonts w:hint="eastAsia" w:ascii="新宋体" w:hAnsi="新宋体" w:eastAsia="新宋体" w:cs="新宋体"/>
                <w:color w:val="auto"/>
                <w:sz w:val="21"/>
                <w:szCs w:val="21"/>
                <w:highlight w:val="none"/>
              </w:rPr>
            </w:pPr>
          </w:p>
        </w:tc>
        <w:tc>
          <w:tcPr>
            <w:tcW w:w="1077" w:type="pct"/>
            <w:tcBorders>
              <w:left w:val="single" w:color="auto" w:sz="4" w:space="0"/>
            </w:tcBorders>
            <w:noWrap w:val="0"/>
            <w:vAlign w:val="top"/>
          </w:tcPr>
          <w:p w14:paraId="72D5A511">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r>
      <w:tr w14:paraId="4CEE85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28" w:type="pct"/>
            <w:noWrap w:val="0"/>
            <w:vAlign w:val="center"/>
          </w:tcPr>
          <w:p w14:paraId="64325D2B">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336" w:type="pct"/>
            <w:noWrap w:val="0"/>
            <w:vAlign w:val="center"/>
          </w:tcPr>
          <w:p w14:paraId="4545D291">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101" w:type="pct"/>
            <w:noWrap w:val="0"/>
            <w:vAlign w:val="center"/>
          </w:tcPr>
          <w:p w14:paraId="72561A21">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155" w:type="pct"/>
            <w:tcBorders>
              <w:right w:val="single" w:color="auto" w:sz="4" w:space="0"/>
            </w:tcBorders>
            <w:noWrap w:val="0"/>
            <w:vAlign w:val="center"/>
          </w:tcPr>
          <w:p w14:paraId="3BB6C52C">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077" w:type="pct"/>
            <w:tcBorders>
              <w:left w:val="single" w:color="auto" w:sz="4" w:space="0"/>
            </w:tcBorders>
            <w:noWrap w:val="0"/>
            <w:vAlign w:val="center"/>
          </w:tcPr>
          <w:p w14:paraId="48553012">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r>
      <w:tr w14:paraId="5A3CAD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28" w:type="pct"/>
            <w:noWrap w:val="0"/>
            <w:vAlign w:val="center"/>
          </w:tcPr>
          <w:p w14:paraId="6F625A29">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336" w:type="pct"/>
            <w:noWrap w:val="0"/>
            <w:vAlign w:val="center"/>
          </w:tcPr>
          <w:p w14:paraId="1C966D36">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101" w:type="pct"/>
            <w:noWrap w:val="0"/>
            <w:vAlign w:val="center"/>
          </w:tcPr>
          <w:p w14:paraId="67353DE8">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155" w:type="pct"/>
            <w:tcBorders>
              <w:right w:val="single" w:color="auto" w:sz="4" w:space="0"/>
            </w:tcBorders>
            <w:noWrap w:val="0"/>
            <w:vAlign w:val="center"/>
          </w:tcPr>
          <w:p w14:paraId="328EEDB5">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077" w:type="pct"/>
            <w:tcBorders>
              <w:left w:val="single" w:color="auto" w:sz="4" w:space="0"/>
            </w:tcBorders>
            <w:noWrap w:val="0"/>
            <w:vAlign w:val="center"/>
          </w:tcPr>
          <w:p w14:paraId="151CC87A">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r>
      <w:tr w14:paraId="397BD4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28" w:type="pct"/>
            <w:noWrap w:val="0"/>
            <w:vAlign w:val="center"/>
          </w:tcPr>
          <w:p w14:paraId="09B938B0">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336" w:type="pct"/>
            <w:noWrap w:val="0"/>
            <w:vAlign w:val="center"/>
          </w:tcPr>
          <w:p w14:paraId="567D33CE">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101" w:type="pct"/>
            <w:noWrap w:val="0"/>
            <w:vAlign w:val="center"/>
          </w:tcPr>
          <w:p w14:paraId="7BF98CD0">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155" w:type="pct"/>
            <w:tcBorders>
              <w:right w:val="single" w:color="auto" w:sz="4" w:space="0"/>
            </w:tcBorders>
            <w:noWrap w:val="0"/>
            <w:vAlign w:val="center"/>
          </w:tcPr>
          <w:p w14:paraId="45574D70">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077" w:type="pct"/>
            <w:tcBorders>
              <w:left w:val="single" w:color="auto" w:sz="4" w:space="0"/>
            </w:tcBorders>
            <w:noWrap w:val="0"/>
            <w:vAlign w:val="center"/>
          </w:tcPr>
          <w:p w14:paraId="348FE36D">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r>
      <w:tr w14:paraId="06EF31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28" w:type="pct"/>
            <w:noWrap w:val="0"/>
            <w:vAlign w:val="center"/>
          </w:tcPr>
          <w:p w14:paraId="6FDA4794">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336" w:type="pct"/>
            <w:noWrap w:val="0"/>
            <w:vAlign w:val="center"/>
          </w:tcPr>
          <w:p w14:paraId="6D086986">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101" w:type="pct"/>
            <w:noWrap w:val="0"/>
            <w:vAlign w:val="center"/>
          </w:tcPr>
          <w:p w14:paraId="6BC4B514">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155" w:type="pct"/>
            <w:tcBorders>
              <w:right w:val="single" w:color="auto" w:sz="4" w:space="0"/>
            </w:tcBorders>
            <w:noWrap w:val="0"/>
            <w:vAlign w:val="center"/>
          </w:tcPr>
          <w:p w14:paraId="31B54048">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077" w:type="pct"/>
            <w:tcBorders>
              <w:left w:val="single" w:color="auto" w:sz="4" w:space="0"/>
            </w:tcBorders>
            <w:noWrap w:val="0"/>
            <w:vAlign w:val="center"/>
          </w:tcPr>
          <w:p w14:paraId="416BDA1C">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r>
      <w:tr w14:paraId="71F540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28" w:type="pct"/>
            <w:noWrap w:val="0"/>
            <w:vAlign w:val="center"/>
          </w:tcPr>
          <w:p w14:paraId="4567E8B0">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336" w:type="pct"/>
            <w:noWrap w:val="0"/>
            <w:vAlign w:val="center"/>
          </w:tcPr>
          <w:p w14:paraId="7AEAABE0">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101" w:type="pct"/>
            <w:noWrap w:val="0"/>
            <w:vAlign w:val="center"/>
          </w:tcPr>
          <w:p w14:paraId="620AC87D">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155" w:type="pct"/>
            <w:tcBorders>
              <w:right w:val="single" w:color="auto" w:sz="4" w:space="0"/>
            </w:tcBorders>
            <w:noWrap w:val="0"/>
            <w:vAlign w:val="center"/>
          </w:tcPr>
          <w:p w14:paraId="0977FFE5">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077" w:type="pct"/>
            <w:tcBorders>
              <w:left w:val="single" w:color="auto" w:sz="4" w:space="0"/>
            </w:tcBorders>
            <w:noWrap w:val="0"/>
            <w:vAlign w:val="center"/>
          </w:tcPr>
          <w:p w14:paraId="1D5AAF01">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r>
      <w:tr w14:paraId="0E3F32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28" w:type="pct"/>
            <w:noWrap w:val="0"/>
            <w:vAlign w:val="center"/>
          </w:tcPr>
          <w:p w14:paraId="047A082B">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336" w:type="pct"/>
            <w:noWrap w:val="0"/>
            <w:vAlign w:val="center"/>
          </w:tcPr>
          <w:p w14:paraId="1778F21E">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1101" w:type="pct"/>
            <w:noWrap w:val="0"/>
            <w:vAlign w:val="center"/>
          </w:tcPr>
          <w:p w14:paraId="2CABF873">
            <w:pPr>
              <w:keepNext w:val="0"/>
              <w:keepLines w:val="0"/>
              <w:suppressLineNumbers w:val="0"/>
              <w:adjustRightInd w:val="0"/>
              <w:snapToGrid w:val="0"/>
              <w:spacing w:before="50" w:beforeAutospacing="0" w:after="0" w:afterAutospacing="0" w:line="360" w:lineRule="auto"/>
              <w:ind w:left="-88" w:leftChars="-42" w:right="0"/>
              <w:jc w:val="center"/>
              <w:outlineLvl w:val="9"/>
              <w:rPr>
                <w:rFonts w:hint="eastAsia" w:ascii="新宋体" w:hAnsi="新宋体" w:eastAsia="新宋体" w:cs="新宋体"/>
                <w:color w:val="auto"/>
                <w:sz w:val="21"/>
                <w:szCs w:val="21"/>
                <w:highlight w:val="none"/>
              </w:rPr>
            </w:pPr>
          </w:p>
        </w:tc>
        <w:tc>
          <w:tcPr>
            <w:tcW w:w="2233" w:type="pct"/>
            <w:gridSpan w:val="2"/>
            <w:noWrap w:val="0"/>
            <w:vAlign w:val="center"/>
          </w:tcPr>
          <w:p w14:paraId="6CBFCCB4">
            <w:pPr>
              <w:keepNext w:val="0"/>
              <w:keepLines w:val="0"/>
              <w:suppressLineNumbers w:val="0"/>
              <w:adjustRightInd w:val="0"/>
              <w:snapToGrid w:val="0"/>
              <w:spacing w:before="50" w:beforeAutospacing="0" w:after="0" w:afterAutospacing="0" w:line="360" w:lineRule="auto"/>
              <w:ind w:left="0" w:right="0" w:firstLine="422" w:firstLineChars="200"/>
              <w:jc w:val="left"/>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投标人保证：除本</w:t>
            </w:r>
            <w:r>
              <w:rPr>
                <w:rFonts w:hint="eastAsia" w:ascii="新宋体" w:hAnsi="新宋体" w:eastAsia="新宋体" w:cs="新宋体"/>
                <w:b/>
                <w:color w:val="auto"/>
                <w:sz w:val="21"/>
                <w:szCs w:val="21"/>
                <w:highlight w:val="none"/>
                <w:lang w:eastAsia="zh-CN"/>
              </w:rPr>
              <w:t>商务和</w:t>
            </w:r>
            <w:r>
              <w:rPr>
                <w:rFonts w:hint="eastAsia" w:ascii="新宋体" w:hAnsi="新宋体" w:eastAsia="新宋体" w:cs="新宋体"/>
                <w:b/>
                <w:color w:val="auto"/>
                <w:sz w:val="21"/>
                <w:szCs w:val="21"/>
                <w:highlight w:val="none"/>
              </w:rPr>
              <w:t>合同条款偏离表列出的偏离外，我单位对招标文件的其他商务、合同条款完全响应，无偏离。</w:t>
            </w:r>
          </w:p>
        </w:tc>
      </w:tr>
    </w:tbl>
    <w:p w14:paraId="147A3BA7">
      <w:pPr>
        <w:adjustRightInd w:val="0"/>
        <w:snapToGrid w:val="0"/>
        <w:spacing w:before="50" w:line="360" w:lineRule="auto"/>
        <w:ind w:left="-88" w:leftChars="-42"/>
        <w:outlineLvl w:val="9"/>
        <w:rPr>
          <w:rFonts w:hint="eastAsia" w:ascii="新宋体" w:hAnsi="新宋体" w:eastAsia="新宋体" w:cs="新宋体"/>
          <w:color w:val="auto"/>
          <w:sz w:val="21"/>
          <w:szCs w:val="21"/>
          <w:highlight w:val="none"/>
        </w:rPr>
      </w:pPr>
      <w:r>
        <w:rPr>
          <w:rFonts w:hint="eastAsia" w:ascii="新宋体" w:hAnsi="新宋体" w:eastAsia="新宋体" w:cs="新宋体"/>
          <w:bCs/>
          <w:color w:val="auto"/>
          <w:sz w:val="21"/>
          <w:szCs w:val="21"/>
          <w:highlight w:val="none"/>
        </w:rPr>
        <w:t>注：</w:t>
      </w:r>
      <w:r>
        <w:rPr>
          <w:rFonts w:hint="eastAsia" w:ascii="新宋体" w:hAnsi="新宋体" w:eastAsia="新宋体" w:cs="新宋体"/>
          <w:color w:val="auto"/>
          <w:sz w:val="21"/>
          <w:szCs w:val="21"/>
          <w:highlight w:val="none"/>
        </w:rPr>
        <w:t>1.投标人应根据招标文件第二章投标人须知及第六章“政府采购合同”填写本表；</w:t>
      </w:r>
    </w:p>
    <w:p w14:paraId="6AE274B8">
      <w:pPr>
        <w:adjustRightInd w:val="0"/>
        <w:snapToGrid w:val="0"/>
        <w:spacing w:before="50" w:line="360" w:lineRule="auto"/>
        <w:ind w:left="-88" w:leftChars="-42" w:firstLine="420" w:firstLineChars="200"/>
        <w:outlineLvl w:val="9"/>
        <w:rPr>
          <w:rFonts w:hint="eastAsia" w:ascii="新宋体" w:hAnsi="新宋体" w:eastAsia="新宋体" w:cs="新宋体"/>
          <w:b/>
          <w:color w:val="auto"/>
          <w:sz w:val="21"/>
          <w:szCs w:val="21"/>
          <w:highlight w:val="none"/>
        </w:rPr>
      </w:pPr>
      <w:r>
        <w:rPr>
          <w:rFonts w:hint="eastAsia" w:ascii="新宋体" w:hAnsi="新宋体" w:eastAsia="新宋体" w:cs="新宋体"/>
          <w:color w:val="auto"/>
          <w:sz w:val="21"/>
          <w:szCs w:val="21"/>
          <w:highlight w:val="none"/>
        </w:rPr>
        <w:t>2.</w:t>
      </w:r>
      <w:r>
        <w:rPr>
          <w:rFonts w:hint="eastAsia" w:ascii="新宋体" w:hAnsi="新宋体" w:eastAsia="新宋体" w:cs="新宋体"/>
          <w:b/>
          <w:color w:val="auto"/>
          <w:sz w:val="21"/>
          <w:szCs w:val="21"/>
          <w:highlight w:val="none"/>
        </w:rPr>
        <w:t>投标人如果对招标文件</w:t>
      </w:r>
      <w:r>
        <w:rPr>
          <w:rFonts w:hint="eastAsia" w:ascii="新宋体" w:hAnsi="新宋体" w:eastAsia="新宋体" w:cs="新宋体"/>
          <w:b/>
          <w:color w:val="auto"/>
          <w:sz w:val="21"/>
          <w:szCs w:val="21"/>
          <w:highlight w:val="none"/>
          <w:lang w:eastAsia="zh-CN"/>
        </w:rPr>
        <w:t>第二章投标人须知及</w:t>
      </w:r>
      <w:r>
        <w:rPr>
          <w:rFonts w:hint="eastAsia" w:ascii="新宋体" w:hAnsi="新宋体" w:eastAsia="新宋体" w:cs="新宋体"/>
          <w:b/>
          <w:color w:val="auto"/>
          <w:sz w:val="21"/>
          <w:szCs w:val="21"/>
          <w:highlight w:val="none"/>
        </w:rPr>
        <w:t>第六章“政府采购合同”的响应有偏离，应将偏离条款逐条如实应答，并作出说明；</w:t>
      </w:r>
    </w:p>
    <w:p w14:paraId="25D76C3A">
      <w:pPr>
        <w:adjustRightInd w:val="0"/>
        <w:snapToGrid w:val="0"/>
        <w:spacing w:before="50" w:line="360" w:lineRule="auto"/>
        <w:ind w:left="-88" w:leftChars="-42" w:firstLine="420" w:firstLineChars="200"/>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3.如不提供此表，则视为投标人不满足招标文件第六章的所有条款要求，其</w:t>
      </w:r>
      <w:r>
        <w:rPr>
          <w:rFonts w:hint="eastAsia" w:ascii="新宋体" w:hAnsi="新宋体" w:eastAsia="新宋体" w:cs="新宋体"/>
          <w:b/>
          <w:color w:val="auto"/>
          <w:sz w:val="21"/>
          <w:szCs w:val="21"/>
          <w:highlight w:val="none"/>
        </w:rPr>
        <w:t>投标无效</w:t>
      </w:r>
      <w:r>
        <w:rPr>
          <w:rFonts w:hint="eastAsia" w:ascii="新宋体" w:hAnsi="新宋体" w:eastAsia="新宋体" w:cs="新宋体"/>
          <w:color w:val="auto"/>
          <w:sz w:val="21"/>
          <w:szCs w:val="21"/>
          <w:highlight w:val="none"/>
        </w:rPr>
        <w:t>。</w:t>
      </w:r>
    </w:p>
    <w:p w14:paraId="7012BCC0">
      <w:pPr>
        <w:adjustRightInd w:val="0"/>
        <w:snapToGrid w:val="0"/>
        <w:spacing w:before="50" w:line="360" w:lineRule="auto"/>
        <w:ind w:left="-88" w:leftChars="-42" w:firstLine="420" w:firstLineChars="200"/>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4.在采购人与中标人签订合同时，如中标人未在投标文件“</w:t>
      </w:r>
      <w:r>
        <w:rPr>
          <w:rFonts w:hint="eastAsia" w:ascii="新宋体" w:hAnsi="新宋体" w:eastAsia="新宋体" w:cs="新宋体"/>
          <w:color w:val="auto"/>
          <w:sz w:val="21"/>
          <w:szCs w:val="21"/>
          <w:highlight w:val="none"/>
          <w:lang w:eastAsia="zh-CN"/>
        </w:rPr>
        <w:t>商务和</w:t>
      </w:r>
      <w:r>
        <w:rPr>
          <w:rFonts w:hint="eastAsia" w:ascii="新宋体" w:hAnsi="新宋体" w:eastAsia="新宋体" w:cs="新宋体"/>
          <w:color w:val="auto"/>
          <w:sz w:val="21"/>
          <w:szCs w:val="21"/>
          <w:highlight w:val="none"/>
        </w:rPr>
        <w:t>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28D061DF">
      <w:pPr>
        <w:adjustRightInd w:val="0"/>
        <w:snapToGrid w:val="0"/>
        <w:spacing w:before="50" w:line="360" w:lineRule="auto"/>
        <w:outlineLvl w:val="9"/>
        <w:rPr>
          <w:rFonts w:hint="eastAsia" w:ascii="新宋体" w:hAnsi="新宋体" w:eastAsia="新宋体" w:cs="新宋体"/>
          <w:color w:val="auto"/>
          <w:sz w:val="21"/>
          <w:szCs w:val="21"/>
          <w:highlight w:val="none"/>
        </w:rPr>
      </w:pPr>
    </w:p>
    <w:p w14:paraId="2A95B2DF">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投标人名称（盖单位章）：</w:t>
      </w:r>
    </w:p>
    <w:p w14:paraId="7A3E8452">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pacing w:val="-2"/>
          <w:kern w:val="0"/>
          <w:sz w:val="21"/>
          <w:szCs w:val="21"/>
          <w:highlight w:val="none"/>
        </w:rPr>
        <w:t>法</w:t>
      </w:r>
      <w:r>
        <w:rPr>
          <w:rFonts w:hint="eastAsia" w:ascii="新宋体" w:hAnsi="新宋体" w:eastAsia="新宋体" w:cs="新宋体"/>
          <w:color w:val="auto"/>
          <w:kern w:val="0"/>
          <w:sz w:val="21"/>
          <w:szCs w:val="21"/>
          <w:highlight w:val="none"/>
        </w:rPr>
        <w:t>定</w:t>
      </w:r>
      <w:r>
        <w:rPr>
          <w:rFonts w:hint="eastAsia" w:ascii="新宋体" w:hAnsi="新宋体" w:eastAsia="新宋体" w:cs="新宋体"/>
          <w:color w:val="auto"/>
          <w:spacing w:val="-2"/>
          <w:kern w:val="0"/>
          <w:sz w:val="21"/>
          <w:szCs w:val="21"/>
          <w:highlight w:val="none"/>
        </w:rPr>
        <w:t>代</w:t>
      </w:r>
      <w:r>
        <w:rPr>
          <w:rFonts w:hint="eastAsia" w:ascii="新宋体" w:hAnsi="新宋体" w:eastAsia="新宋体" w:cs="新宋体"/>
          <w:color w:val="auto"/>
          <w:kern w:val="0"/>
          <w:sz w:val="21"/>
          <w:szCs w:val="21"/>
          <w:highlight w:val="none"/>
        </w:rPr>
        <w:t>表</w:t>
      </w:r>
      <w:r>
        <w:rPr>
          <w:rFonts w:hint="eastAsia" w:ascii="新宋体" w:hAnsi="新宋体" w:eastAsia="新宋体" w:cs="新宋体"/>
          <w:color w:val="auto"/>
          <w:spacing w:val="-2"/>
          <w:kern w:val="0"/>
          <w:sz w:val="21"/>
          <w:szCs w:val="21"/>
          <w:highlight w:val="none"/>
        </w:rPr>
        <w:t>人</w:t>
      </w:r>
      <w:r>
        <w:rPr>
          <w:rFonts w:hint="eastAsia" w:ascii="新宋体" w:hAnsi="新宋体" w:eastAsia="新宋体" w:cs="新宋体"/>
          <w:color w:val="auto"/>
          <w:kern w:val="0"/>
          <w:sz w:val="21"/>
          <w:szCs w:val="21"/>
          <w:highlight w:val="none"/>
        </w:rPr>
        <w:t>（</w:t>
      </w:r>
      <w:r>
        <w:rPr>
          <w:rFonts w:hint="eastAsia" w:ascii="新宋体" w:hAnsi="新宋体" w:eastAsia="新宋体" w:cs="新宋体"/>
          <w:color w:val="auto"/>
          <w:spacing w:val="-2"/>
          <w:kern w:val="0"/>
          <w:sz w:val="21"/>
          <w:szCs w:val="21"/>
          <w:highlight w:val="none"/>
        </w:rPr>
        <w:t>单</w:t>
      </w:r>
      <w:r>
        <w:rPr>
          <w:rFonts w:hint="eastAsia" w:ascii="新宋体" w:hAnsi="新宋体" w:eastAsia="新宋体" w:cs="新宋体"/>
          <w:color w:val="auto"/>
          <w:kern w:val="0"/>
          <w:sz w:val="21"/>
          <w:szCs w:val="21"/>
          <w:highlight w:val="none"/>
        </w:rPr>
        <w:t>位</w:t>
      </w:r>
      <w:r>
        <w:rPr>
          <w:rFonts w:hint="eastAsia" w:ascii="新宋体" w:hAnsi="新宋体" w:eastAsia="新宋体" w:cs="新宋体"/>
          <w:color w:val="auto"/>
          <w:spacing w:val="-2"/>
          <w:kern w:val="0"/>
          <w:sz w:val="21"/>
          <w:szCs w:val="21"/>
          <w:highlight w:val="none"/>
        </w:rPr>
        <w:t>负</w:t>
      </w:r>
      <w:r>
        <w:rPr>
          <w:rFonts w:hint="eastAsia" w:ascii="新宋体" w:hAnsi="新宋体" w:eastAsia="新宋体" w:cs="新宋体"/>
          <w:color w:val="auto"/>
          <w:kern w:val="0"/>
          <w:sz w:val="21"/>
          <w:szCs w:val="21"/>
          <w:highlight w:val="none"/>
        </w:rPr>
        <w:t>责人</w:t>
      </w:r>
      <w:r>
        <w:rPr>
          <w:rFonts w:hint="eastAsia" w:ascii="新宋体" w:hAnsi="新宋体" w:eastAsia="新宋体" w:cs="新宋体"/>
          <w:color w:val="auto"/>
          <w:spacing w:val="-2"/>
          <w:kern w:val="0"/>
          <w:sz w:val="21"/>
          <w:szCs w:val="21"/>
          <w:highlight w:val="none"/>
        </w:rPr>
        <w:t>）</w:t>
      </w:r>
      <w:r>
        <w:rPr>
          <w:rFonts w:hint="eastAsia" w:ascii="新宋体" w:hAnsi="新宋体" w:eastAsia="新宋体" w:cs="新宋体"/>
          <w:color w:val="auto"/>
          <w:sz w:val="21"/>
          <w:szCs w:val="21"/>
          <w:highlight w:val="none"/>
        </w:rPr>
        <w:t>或其授权的代理人（签字或印章）：</w:t>
      </w:r>
      <w:r>
        <w:rPr>
          <w:rFonts w:hint="eastAsia" w:ascii="新宋体" w:hAnsi="新宋体" w:eastAsia="新宋体" w:cs="新宋体"/>
          <w:color w:val="auto"/>
          <w:sz w:val="21"/>
          <w:szCs w:val="21"/>
          <w:highlight w:val="none"/>
          <w:u w:val="single"/>
        </w:rPr>
        <w:t xml:space="preserve">                     </w:t>
      </w:r>
    </w:p>
    <w:p w14:paraId="21BA881F">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9"/>
        <w:rPr>
          <w:rFonts w:hint="eastAsia" w:ascii="新宋体" w:hAnsi="新宋体" w:eastAsia="新宋体" w:cs="新宋体"/>
          <w:b/>
          <w:bCs/>
          <w:color w:val="auto"/>
          <w:sz w:val="28"/>
          <w:szCs w:val="28"/>
          <w:highlight w:val="none"/>
          <w:lang w:eastAsia="zh-CN"/>
        </w:rPr>
      </w:pPr>
      <w:bookmarkStart w:id="207" w:name="_Toc5804"/>
      <w:r>
        <w:rPr>
          <w:rFonts w:hint="eastAsia" w:ascii="新宋体" w:hAnsi="新宋体" w:eastAsia="新宋体" w:cs="新宋体"/>
          <w:color w:val="auto"/>
          <w:sz w:val="21"/>
          <w:szCs w:val="21"/>
          <w:highlight w:val="none"/>
        </w:rPr>
        <w:t>日期：</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年</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月</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日</w:t>
      </w:r>
      <w:bookmarkEnd w:id="207"/>
    </w:p>
    <w:p w14:paraId="4869D9F4">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9"/>
        <w:rPr>
          <w:rFonts w:hint="eastAsia" w:ascii="新宋体" w:hAnsi="新宋体" w:eastAsia="新宋体" w:cs="新宋体"/>
          <w:b/>
          <w:bCs/>
          <w:color w:val="auto"/>
          <w:sz w:val="28"/>
          <w:szCs w:val="28"/>
          <w:highlight w:val="none"/>
          <w:lang w:eastAsia="zh-CN"/>
        </w:rPr>
      </w:pPr>
    </w:p>
    <w:p w14:paraId="014BB253">
      <w:pPr>
        <w:outlineLvl w:val="9"/>
        <w:rPr>
          <w:rFonts w:hint="eastAsia" w:ascii="新宋体" w:hAnsi="新宋体" w:eastAsia="新宋体" w:cs="新宋体"/>
          <w:b/>
          <w:bCs/>
          <w:color w:val="auto"/>
          <w:sz w:val="28"/>
          <w:szCs w:val="28"/>
          <w:highlight w:val="none"/>
          <w:lang w:eastAsia="zh-CN"/>
        </w:rPr>
      </w:pPr>
      <w:r>
        <w:rPr>
          <w:rFonts w:hint="eastAsia" w:ascii="新宋体" w:hAnsi="新宋体" w:eastAsia="新宋体" w:cs="新宋体"/>
          <w:b/>
          <w:bCs/>
          <w:color w:val="auto"/>
          <w:sz w:val="28"/>
          <w:szCs w:val="28"/>
          <w:highlight w:val="none"/>
          <w:lang w:eastAsia="zh-CN"/>
        </w:rPr>
        <w:br w:type="page"/>
      </w:r>
    </w:p>
    <w:p w14:paraId="2B793C78">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9"/>
        <w:rPr>
          <w:rFonts w:hint="eastAsia" w:ascii="新宋体" w:hAnsi="新宋体" w:eastAsia="新宋体" w:cs="新宋体"/>
          <w:b/>
          <w:bCs/>
          <w:color w:val="auto"/>
          <w:sz w:val="28"/>
          <w:szCs w:val="28"/>
          <w:highlight w:val="none"/>
          <w:lang w:eastAsia="zh-CN"/>
        </w:rPr>
      </w:pPr>
      <w:bookmarkStart w:id="208" w:name="_Toc14249"/>
      <w:bookmarkStart w:id="209" w:name="_Toc24681"/>
      <w:r>
        <w:rPr>
          <w:rFonts w:hint="eastAsia" w:ascii="新宋体" w:hAnsi="新宋体" w:eastAsia="新宋体" w:cs="新宋体"/>
          <w:b/>
          <w:bCs/>
          <w:color w:val="auto"/>
          <w:sz w:val="28"/>
          <w:szCs w:val="28"/>
          <w:highlight w:val="none"/>
          <w:lang w:eastAsia="zh-CN"/>
        </w:rPr>
        <w:t>六、投标保证金</w:t>
      </w:r>
      <w:bookmarkEnd w:id="208"/>
      <w:bookmarkEnd w:id="209"/>
    </w:p>
    <w:p w14:paraId="757DFED0">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9"/>
        <w:rPr>
          <w:rFonts w:hint="eastAsia" w:ascii="新宋体" w:hAnsi="新宋体" w:eastAsia="新宋体" w:cs="新宋体"/>
          <w:b/>
          <w:bCs/>
          <w:color w:val="auto"/>
          <w:sz w:val="28"/>
          <w:szCs w:val="28"/>
          <w:highlight w:val="none"/>
          <w:lang w:eastAsia="zh-CN"/>
        </w:rPr>
      </w:pPr>
      <w:bookmarkStart w:id="210" w:name="_Toc20469"/>
      <w:r>
        <w:rPr>
          <w:rFonts w:hint="eastAsia" w:ascii="新宋体" w:hAnsi="新宋体" w:eastAsia="新宋体" w:cs="新宋体"/>
          <w:b/>
          <w:bCs/>
          <w:color w:val="auto"/>
          <w:sz w:val="28"/>
          <w:szCs w:val="28"/>
          <w:highlight w:val="none"/>
          <w:lang w:eastAsia="zh-CN"/>
        </w:rPr>
        <w:t>不须提供</w:t>
      </w:r>
      <w:bookmarkEnd w:id="210"/>
    </w:p>
    <w:p w14:paraId="0BC21917">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9"/>
        <w:rPr>
          <w:rFonts w:hint="eastAsia" w:ascii="新宋体" w:hAnsi="新宋体" w:eastAsia="新宋体" w:cs="新宋体"/>
          <w:b/>
          <w:bCs/>
          <w:color w:val="auto"/>
          <w:sz w:val="28"/>
          <w:szCs w:val="28"/>
          <w:highlight w:val="none"/>
          <w:lang w:eastAsia="zh-CN"/>
        </w:rPr>
      </w:pPr>
    </w:p>
    <w:p w14:paraId="500FC141">
      <w:pPr>
        <w:outlineLvl w:val="9"/>
        <w:rPr>
          <w:rFonts w:hint="eastAsia" w:ascii="新宋体" w:hAnsi="新宋体" w:eastAsia="新宋体" w:cs="新宋体"/>
          <w:b/>
          <w:bCs/>
          <w:color w:val="auto"/>
          <w:sz w:val="28"/>
          <w:szCs w:val="28"/>
          <w:highlight w:val="none"/>
          <w:lang w:eastAsia="zh-CN"/>
        </w:rPr>
      </w:pPr>
      <w:r>
        <w:rPr>
          <w:rFonts w:hint="eastAsia" w:ascii="新宋体" w:hAnsi="新宋体" w:eastAsia="新宋体" w:cs="新宋体"/>
          <w:b/>
          <w:bCs/>
          <w:color w:val="auto"/>
          <w:sz w:val="28"/>
          <w:szCs w:val="28"/>
          <w:highlight w:val="none"/>
          <w:lang w:eastAsia="zh-CN"/>
        </w:rPr>
        <w:br w:type="page"/>
      </w:r>
    </w:p>
    <w:p w14:paraId="0BBCE553">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9"/>
        <w:rPr>
          <w:rFonts w:hint="eastAsia" w:ascii="新宋体" w:hAnsi="新宋体" w:eastAsia="新宋体" w:cs="新宋体"/>
          <w:b/>
          <w:bCs/>
          <w:color w:val="auto"/>
          <w:sz w:val="28"/>
          <w:szCs w:val="28"/>
          <w:highlight w:val="none"/>
          <w:lang w:eastAsia="zh-CN"/>
        </w:rPr>
      </w:pPr>
      <w:bookmarkStart w:id="211" w:name="_Toc10184"/>
      <w:bookmarkStart w:id="212" w:name="_Toc18303"/>
      <w:r>
        <w:rPr>
          <w:rFonts w:hint="eastAsia" w:ascii="新宋体" w:hAnsi="新宋体" w:eastAsia="新宋体" w:cs="新宋体"/>
          <w:b/>
          <w:bCs/>
          <w:color w:val="auto"/>
          <w:sz w:val="28"/>
          <w:szCs w:val="28"/>
          <w:highlight w:val="none"/>
          <w:lang w:eastAsia="zh-CN"/>
        </w:rPr>
        <w:t>七、中小企业声明函</w:t>
      </w:r>
      <w:bookmarkEnd w:id="193"/>
      <w:bookmarkEnd w:id="211"/>
      <w:bookmarkEnd w:id="212"/>
    </w:p>
    <w:p w14:paraId="1EB1ED55">
      <w:pPr>
        <w:bidi w:val="0"/>
        <w:outlineLvl w:val="9"/>
        <w:rPr>
          <w:rFonts w:hint="eastAsia"/>
          <w:color w:val="auto"/>
          <w:highlight w:val="none"/>
          <w:lang w:eastAsia="zh-CN"/>
        </w:rPr>
      </w:pPr>
    </w:p>
    <w:p w14:paraId="113C7E5E">
      <w:pPr>
        <w:pStyle w:val="24"/>
        <w:jc w:val="center"/>
        <w:outlineLvl w:val="9"/>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lang w:eastAsia="zh-CN"/>
        </w:rPr>
        <w:t>（不享受政府采购政策优惠的无须填写，评审时不作无效投标处理）</w:t>
      </w:r>
    </w:p>
    <w:p w14:paraId="4DDA444F">
      <w:pPr>
        <w:outlineLvl w:val="9"/>
        <w:rPr>
          <w:rFonts w:hint="eastAsia" w:ascii="新宋体" w:hAnsi="新宋体" w:eastAsia="新宋体" w:cs="新宋体"/>
          <w:color w:val="auto"/>
          <w:sz w:val="21"/>
          <w:szCs w:val="21"/>
          <w:highlight w:val="none"/>
          <w:lang w:eastAsia="zh-CN"/>
        </w:rPr>
      </w:pPr>
    </w:p>
    <w:p w14:paraId="7698D572">
      <w:pPr>
        <w:jc w:val="center"/>
        <w:outlineLvl w:val="9"/>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lang w:eastAsia="zh-CN"/>
        </w:rPr>
        <w:t>中小型企业声明函</w:t>
      </w:r>
    </w:p>
    <w:p w14:paraId="0481A2A0">
      <w:pPr>
        <w:keepNext w:val="0"/>
        <w:keepLines w:val="0"/>
        <w:pageBreakBefore w:val="0"/>
        <w:widowControl/>
        <w:kinsoku/>
        <w:wordWrap/>
        <w:overflowPunct/>
        <w:topLinePunct w:val="0"/>
        <w:autoSpaceDE/>
        <w:autoSpaceDN/>
        <w:bidi w:val="0"/>
        <w:adjustRightInd w:val="0"/>
        <w:snapToGrid w:val="0"/>
        <w:spacing w:line="400" w:lineRule="exact"/>
        <w:ind w:left="0" w:leftChars="0" w:firstLine="444" w:firstLineChars="200"/>
        <w:jc w:val="left"/>
        <w:textAlignment w:val="auto"/>
        <w:outlineLvl w:val="9"/>
        <w:rPr>
          <w:rFonts w:hint="eastAsia" w:ascii="新宋体" w:hAnsi="新宋体" w:eastAsia="新宋体" w:cs="新宋体"/>
          <w:b w:val="0"/>
          <w:bCs/>
          <w:color w:val="auto"/>
          <w:spacing w:val="6"/>
          <w:kern w:val="0"/>
          <w:sz w:val="21"/>
          <w:szCs w:val="21"/>
          <w:highlight w:val="none"/>
          <w:u w:val="none"/>
          <w:lang w:eastAsia="zh-CN"/>
        </w:rPr>
      </w:pPr>
      <w:r>
        <w:rPr>
          <w:rFonts w:hint="eastAsia" w:ascii="新宋体" w:hAnsi="新宋体" w:eastAsia="新宋体" w:cs="新宋体"/>
          <w:b w:val="0"/>
          <w:bCs/>
          <w:color w:val="auto"/>
          <w:spacing w:val="6"/>
          <w:kern w:val="0"/>
          <w:sz w:val="21"/>
          <w:szCs w:val="21"/>
          <w:highlight w:val="none"/>
          <w:u w:val="none"/>
        </w:rPr>
        <w:t>本公司郑重声明，根据《政府采购促进中小企业发展管理办法》（财库﹝2020﹞46号）的规定</w:t>
      </w:r>
      <w:r>
        <w:rPr>
          <w:rFonts w:hint="eastAsia" w:ascii="新宋体" w:hAnsi="新宋体" w:eastAsia="新宋体" w:cs="新宋体"/>
          <w:b w:val="0"/>
          <w:bCs/>
          <w:color w:val="auto"/>
          <w:spacing w:val="6"/>
          <w:kern w:val="0"/>
          <w:sz w:val="21"/>
          <w:szCs w:val="21"/>
          <w:highlight w:val="none"/>
          <w:u w:val="none"/>
          <w:lang w:eastAsia="zh-CN"/>
        </w:rPr>
        <w:t>，本公司</w:t>
      </w:r>
      <w:r>
        <w:rPr>
          <w:rFonts w:hint="eastAsia" w:ascii="新宋体" w:hAnsi="新宋体" w:eastAsia="新宋体" w:cs="新宋体"/>
          <w:color w:val="auto"/>
          <w:kern w:val="0"/>
          <w:sz w:val="21"/>
          <w:szCs w:val="21"/>
          <w:highlight w:val="none"/>
          <w:lang w:bidi="ar"/>
        </w:rPr>
        <w:t>（联合体）</w:t>
      </w:r>
      <w:r>
        <w:rPr>
          <w:rFonts w:hint="eastAsia" w:ascii="新宋体" w:hAnsi="新宋体" w:eastAsia="新宋体" w:cs="新宋体"/>
          <w:b w:val="0"/>
          <w:bCs/>
          <w:color w:val="auto"/>
          <w:spacing w:val="6"/>
          <w:kern w:val="0"/>
          <w:sz w:val="21"/>
          <w:szCs w:val="21"/>
          <w:highlight w:val="none"/>
          <w:u w:val="none"/>
          <w:lang w:eastAsia="zh-CN"/>
        </w:rPr>
        <w:t>参加</w:t>
      </w:r>
      <w:r>
        <w:rPr>
          <w:rFonts w:hint="eastAsia" w:ascii="新宋体" w:hAnsi="新宋体" w:eastAsia="新宋体" w:cs="新宋体"/>
          <w:b w:val="0"/>
          <w:bCs/>
          <w:color w:val="auto"/>
          <w:spacing w:val="6"/>
          <w:kern w:val="0"/>
          <w:sz w:val="21"/>
          <w:szCs w:val="21"/>
          <w:highlight w:val="none"/>
          <w:u w:val="single"/>
          <w:lang w:eastAsia="zh-CN"/>
        </w:rPr>
        <w:t>湘西土家族苗族自治州农业农村局</w:t>
      </w:r>
      <w:r>
        <w:rPr>
          <w:rFonts w:hint="eastAsia" w:ascii="新宋体" w:hAnsi="新宋体" w:eastAsia="新宋体" w:cs="新宋体"/>
          <w:b w:val="0"/>
          <w:bCs/>
          <w:color w:val="auto"/>
          <w:spacing w:val="6"/>
          <w:kern w:val="0"/>
          <w:sz w:val="21"/>
          <w:szCs w:val="21"/>
          <w:highlight w:val="none"/>
          <w:u w:val="none"/>
          <w:lang w:eastAsia="zh-CN"/>
        </w:rPr>
        <w:t>的</w:t>
      </w:r>
      <w:r>
        <w:rPr>
          <w:rFonts w:hint="eastAsia" w:ascii="新宋体" w:hAnsi="新宋体" w:eastAsia="新宋体" w:cs="新宋体"/>
          <w:b w:val="0"/>
          <w:bCs/>
          <w:color w:val="auto"/>
          <w:spacing w:val="6"/>
          <w:kern w:val="0"/>
          <w:sz w:val="21"/>
          <w:szCs w:val="21"/>
          <w:highlight w:val="none"/>
          <w:u w:val="single"/>
          <w:lang w:eastAsia="zh-CN"/>
        </w:rPr>
        <w:t>湘西自治州农业农村局2026年州本级高素质农民培育项目</w:t>
      </w:r>
      <w:r>
        <w:rPr>
          <w:rFonts w:hint="eastAsia" w:ascii="新宋体" w:hAnsi="新宋体" w:eastAsia="新宋体" w:cs="新宋体"/>
          <w:b w:val="0"/>
          <w:bCs/>
          <w:color w:val="auto"/>
          <w:spacing w:val="6"/>
          <w:kern w:val="0"/>
          <w:sz w:val="21"/>
          <w:szCs w:val="21"/>
          <w:highlight w:val="none"/>
          <w:u w:val="single"/>
          <w:lang w:val="en-US" w:eastAsia="zh-CN"/>
        </w:rPr>
        <w:t>（包号及标的名称：     ）</w:t>
      </w:r>
      <w:r>
        <w:rPr>
          <w:rFonts w:hint="eastAsia" w:ascii="新宋体" w:hAnsi="新宋体" w:eastAsia="新宋体" w:cs="新宋体"/>
          <w:b w:val="0"/>
          <w:bCs/>
          <w:color w:val="auto"/>
          <w:spacing w:val="6"/>
          <w:kern w:val="0"/>
          <w:sz w:val="21"/>
          <w:szCs w:val="21"/>
          <w:highlight w:val="none"/>
          <w:u w:val="none"/>
          <w:lang w:eastAsia="zh-CN"/>
        </w:rPr>
        <w:t>采购活动，提供的</w:t>
      </w:r>
      <w:r>
        <w:rPr>
          <w:rFonts w:hint="eastAsia" w:ascii="新宋体" w:hAnsi="新宋体" w:eastAsia="新宋体" w:cs="新宋体"/>
          <w:b w:val="0"/>
          <w:bCs/>
          <w:color w:val="auto"/>
          <w:spacing w:val="6"/>
          <w:kern w:val="0"/>
          <w:sz w:val="21"/>
          <w:szCs w:val="21"/>
          <w:highlight w:val="none"/>
          <w:u w:val="none"/>
          <w:lang w:val="en-US" w:eastAsia="zh-CN"/>
        </w:rPr>
        <w:t>服务</w:t>
      </w:r>
      <w:r>
        <w:rPr>
          <w:rFonts w:hint="eastAsia" w:ascii="新宋体" w:hAnsi="新宋体" w:eastAsia="新宋体" w:cs="新宋体"/>
          <w:b w:val="0"/>
          <w:bCs/>
          <w:color w:val="auto"/>
          <w:spacing w:val="6"/>
          <w:kern w:val="0"/>
          <w:sz w:val="21"/>
          <w:szCs w:val="21"/>
          <w:highlight w:val="none"/>
          <w:u w:val="none"/>
          <w:lang w:eastAsia="zh-CN"/>
        </w:rPr>
        <w:t>全部由符合政策要求的</w:t>
      </w:r>
      <w:r>
        <w:rPr>
          <w:rFonts w:hint="eastAsia" w:ascii="新宋体" w:hAnsi="新宋体" w:eastAsia="新宋体" w:cs="新宋体"/>
          <w:b w:val="0"/>
          <w:bCs/>
          <w:color w:val="auto"/>
          <w:spacing w:val="6"/>
          <w:kern w:val="0"/>
          <w:sz w:val="21"/>
          <w:szCs w:val="21"/>
          <w:highlight w:val="none"/>
          <w:u w:val="none"/>
          <w:lang w:val="en-US" w:eastAsia="zh-CN"/>
        </w:rPr>
        <w:t>中小企业承接</w:t>
      </w:r>
      <w:r>
        <w:rPr>
          <w:rFonts w:hint="eastAsia" w:ascii="新宋体" w:hAnsi="新宋体" w:eastAsia="新宋体" w:cs="新宋体"/>
          <w:b w:val="0"/>
          <w:bCs/>
          <w:color w:val="auto"/>
          <w:spacing w:val="6"/>
          <w:kern w:val="0"/>
          <w:sz w:val="21"/>
          <w:szCs w:val="21"/>
          <w:highlight w:val="none"/>
          <w:u w:val="none"/>
          <w:lang w:eastAsia="zh-CN"/>
        </w:rPr>
        <w:t>。相关企业的具体情况如下：</w:t>
      </w:r>
    </w:p>
    <w:p w14:paraId="5DDFAB5F">
      <w:pPr>
        <w:pStyle w:val="24"/>
        <w:keepNext w:val="0"/>
        <w:keepLines w:val="0"/>
        <w:pageBreakBefore w:val="0"/>
        <w:kinsoku/>
        <w:wordWrap/>
        <w:overflowPunct/>
        <w:topLinePunct w:val="0"/>
        <w:autoSpaceDE/>
        <w:autoSpaceDN/>
        <w:bidi w:val="0"/>
        <w:spacing w:after="0" w:line="400" w:lineRule="exact"/>
        <w:ind w:left="0" w:leftChars="0"/>
        <w:jc w:val="left"/>
        <w:textAlignment w:val="auto"/>
        <w:outlineLvl w:val="9"/>
        <w:rPr>
          <w:rFonts w:hint="eastAsia" w:ascii="新宋体" w:hAnsi="新宋体" w:eastAsia="新宋体" w:cs="新宋体"/>
          <w:color w:val="auto"/>
          <w:sz w:val="21"/>
          <w:szCs w:val="21"/>
          <w:highlight w:val="none"/>
          <w:lang w:val="en-US" w:eastAsia="zh-CN"/>
        </w:rPr>
      </w:pPr>
      <w:r>
        <w:rPr>
          <w:rFonts w:hint="eastAsia" w:ascii="新宋体" w:hAnsi="新宋体" w:eastAsia="新宋体" w:cs="新宋体"/>
          <w:b w:val="0"/>
          <w:bCs/>
          <w:color w:val="auto"/>
          <w:spacing w:val="6"/>
          <w:kern w:val="0"/>
          <w:sz w:val="21"/>
          <w:szCs w:val="21"/>
          <w:highlight w:val="none"/>
          <w:u w:val="none"/>
          <w:lang w:val="en-US" w:eastAsia="zh-CN"/>
        </w:rPr>
        <w:t>1.</w:t>
      </w:r>
      <w:r>
        <w:rPr>
          <w:rFonts w:hint="eastAsia" w:ascii="新宋体" w:hAnsi="新宋体" w:eastAsia="新宋体" w:cs="新宋体"/>
          <w:b w:val="0"/>
          <w:bCs/>
          <w:color w:val="auto"/>
          <w:spacing w:val="6"/>
          <w:kern w:val="0"/>
          <w:sz w:val="21"/>
          <w:szCs w:val="21"/>
          <w:highlight w:val="none"/>
          <w:u w:val="single"/>
          <w:lang w:val="en-US" w:eastAsia="zh-CN"/>
        </w:rPr>
        <w:t>湘西自治州农业农村局2026年州本级高素质农民培育项目（包号及标的名称：     ）</w:t>
      </w:r>
      <w:r>
        <w:rPr>
          <w:rFonts w:hint="eastAsia" w:ascii="新宋体" w:hAnsi="新宋体" w:eastAsia="新宋体" w:cs="新宋体"/>
          <w:b w:val="0"/>
          <w:bCs/>
          <w:color w:val="auto"/>
          <w:spacing w:val="6"/>
          <w:kern w:val="0"/>
          <w:sz w:val="21"/>
          <w:szCs w:val="21"/>
          <w:highlight w:val="none"/>
          <w:u w:val="none"/>
          <w:lang w:val="en-US" w:eastAsia="zh-CN"/>
        </w:rPr>
        <w:t>，属于</w:t>
      </w:r>
      <w:r>
        <w:rPr>
          <w:rFonts w:hint="eastAsia" w:ascii="新宋体" w:hAnsi="新宋体" w:eastAsia="新宋体" w:cs="新宋体"/>
          <w:b w:val="0"/>
          <w:bCs/>
          <w:color w:val="auto"/>
          <w:spacing w:val="6"/>
          <w:kern w:val="0"/>
          <w:sz w:val="21"/>
          <w:szCs w:val="21"/>
          <w:highlight w:val="none"/>
          <w:u w:val="single"/>
          <w:lang w:val="en-US" w:eastAsia="zh-CN"/>
        </w:rPr>
        <w:t>其他未列明行业</w:t>
      </w:r>
      <w:r>
        <w:rPr>
          <w:rFonts w:hint="eastAsia" w:ascii="新宋体" w:hAnsi="新宋体" w:eastAsia="新宋体" w:cs="新宋体"/>
          <w:b w:val="0"/>
          <w:bCs/>
          <w:color w:val="auto"/>
          <w:spacing w:val="6"/>
          <w:kern w:val="0"/>
          <w:sz w:val="21"/>
          <w:szCs w:val="21"/>
          <w:highlight w:val="none"/>
          <w:u w:val="none"/>
          <w:lang w:val="en-US" w:eastAsia="zh-CN"/>
        </w:rPr>
        <w:t>行业；</w:t>
      </w:r>
      <w:r>
        <w:rPr>
          <w:rFonts w:hint="eastAsia" w:ascii="新宋体" w:hAnsi="新宋体" w:eastAsia="新宋体" w:cs="新宋体"/>
          <w:b w:val="0"/>
          <w:bCs/>
          <w:color w:val="auto"/>
          <w:spacing w:val="6"/>
          <w:kern w:val="0"/>
          <w:sz w:val="21"/>
          <w:szCs w:val="21"/>
          <w:highlight w:val="none"/>
          <w:u w:val="none"/>
          <w:lang w:val="en-US" w:eastAsia="zh-CN" w:bidi="ar-SA"/>
        </w:rPr>
        <w:t>承接企业</w:t>
      </w:r>
      <w:r>
        <w:rPr>
          <w:rFonts w:hint="eastAsia" w:ascii="新宋体" w:hAnsi="新宋体" w:eastAsia="新宋体" w:cs="新宋体"/>
          <w:b w:val="0"/>
          <w:bCs/>
          <w:color w:val="auto"/>
          <w:spacing w:val="6"/>
          <w:kern w:val="0"/>
          <w:sz w:val="21"/>
          <w:szCs w:val="21"/>
          <w:highlight w:val="none"/>
          <w:u w:val="none"/>
          <w:lang w:val="en-US" w:eastAsia="zh-CN"/>
        </w:rPr>
        <w:t>为</w:t>
      </w:r>
      <w:r>
        <w:rPr>
          <w:rFonts w:hint="eastAsia" w:ascii="新宋体" w:hAnsi="新宋体" w:eastAsia="新宋体" w:cs="新宋体"/>
          <w:b w:val="0"/>
          <w:bCs/>
          <w:color w:val="auto"/>
          <w:spacing w:val="6"/>
          <w:kern w:val="0"/>
          <w:sz w:val="21"/>
          <w:szCs w:val="21"/>
          <w:highlight w:val="none"/>
          <w:u w:val="single"/>
          <w:lang w:val="en-US" w:eastAsia="zh-CN"/>
        </w:rPr>
        <w:t xml:space="preserve">          （企业名称）</w:t>
      </w:r>
      <w:r>
        <w:rPr>
          <w:rFonts w:hint="eastAsia" w:ascii="新宋体" w:hAnsi="新宋体" w:eastAsia="新宋体" w:cs="新宋体"/>
          <w:b w:val="0"/>
          <w:bCs/>
          <w:color w:val="auto"/>
          <w:spacing w:val="6"/>
          <w:kern w:val="0"/>
          <w:sz w:val="21"/>
          <w:szCs w:val="21"/>
          <w:highlight w:val="none"/>
          <w:u w:val="none"/>
          <w:lang w:val="en-US" w:eastAsia="zh-CN"/>
        </w:rPr>
        <w:t>，从业人员</w:t>
      </w:r>
      <w:r>
        <w:rPr>
          <w:rFonts w:hint="eastAsia" w:ascii="新宋体" w:hAnsi="新宋体" w:eastAsia="新宋体" w:cs="新宋体"/>
          <w:b w:val="0"/>
          <w:bCs/>
          <w:color w:val="auto"/>
          <w:spacing w:val="6"/>
          <w:kern w:val="0"/>
          <w:sz w:val="21"/>
          <w:szCs w:val="21"/>
          <w:highlight w:val="none"/>
          <w:u w:val="single"/>
          <w:lang w:val="en-US" w:eastAsia="zh-CN"/>
        </w:rPr>
        <w:t xml:space="preserve">          </w:t>
      </w:r>
      <w:r>
        <w:rPr>
          <w:rFonts w:hint="eastAsia" w:ascii="新宋体" w:hAnsi="新宋体" w:eastAsia="新宋体" w:cs="新宋体"/>
          <w:b w:val="0"/>
          <w:bCs/>
          <w:color w:val="auto"/>
          <w:spacing w:val="6"/>
          <w:kern w:val="0"/>
          <w:sz w:val="21"/>
          <w:szCs w:val="21"/>
          <w:highlight w:val="none"/>
          <w:u w:val="none"/>
          <w:lang w:val="en-US" w:eastAsia="zh-CN"/>
        </w:rPr>
        <w:t>人，营业收入为</w:t>
      </w:r>
      <w:r>
        <w:rPr>
          <w:rFonts w:hint="eastAsia" w:ascii="新宋体" w:hAnsi="新宋体" w:eastAsia="新宋体" w:cs="新宋体"/>
          <w:b w:val="0"/>
          <w:bCs/>
          <w:color w:val="auto"/>
          <w:spacing w:val="6"/>
          <w:kern w:val="0"/>
          <w:sz w:val="21"/>
          <w:szCs w:val="21"/>
          <w:highlight w:val="none"/>
          <w:u w:val="single"/>
          <w:lang w:val="en-US" w:eastAsia="zh-CN"/>
        </w:rPr>
        <w:t xml:space="preserve">       </w:t>
      </w:r>
      <w:r>
        <w:rPr>
          <w:rFonts w:hint="eastAsia" w:ascii="新宋体" w:hAnsi="新宋体" w:eastAsia="新宋体" w:cs="新宋体"/>
          <w:b w:val="0"/>
          <w:bCs/>
          <w:color w:val="auto"/>
          <w:spacing w:val="6"/>
          <w:kern w:val="0"/>
          <w:sz w:val="21"/>
          <w:szCs w:val="21"/>
          <w:highlight w:val="none"/>
          <w:u w:val="none"/>
          <w:lang w:val="en-US" w:eastAsia="zh-CN"/>
        </w:rPr>
        <w:t>万元，资产总额为</w:t>
      </w:r>
      <w:r>
        <w:rPr>
          <w:rFonts w:hint="eastAsia" w:ascii="新宋体" w:hAnsi="新宋体" w:eastAsia="新宋体" w:cs="新宋体"/>
          <w:b w:val="0"/>
          <w:bCs/>
          <w:color w:val="auto"/>
          <w:spacing w:val="6"/>
          <w:kern w:val="0"/>
          <w:sz w:val="21"/>
          <w:szCs w:val="21"/>
          <w:highlight w:val="none"/>
          <w:u w:val="single"/>
          <w:lang w:val="en-US" w:eastAsia="zh-CN"/>
        </w:rPr>
        <w:t xml:space="preserve">    </w:t>
      </w:r>
      <w:r>
        <w:rPr>
          <w:rFonts w:hint="eastAsia" w:ascii="新宋体" w:hAnsi="新宋体" w:eastAsia="新宋体" w:cs="新宋体"/>
          <w:b w:val="0"/>
          <w:bCs/>
          <w:color w:val="auto"/>
          <w:spacing w:val="6"/>
          <w:kern w:val="0"/>
          <w:sz w:val="21"/>
          <w:szCs w:val="21"/>
          <w:highlight w:val="none"/>
          <w:u w:val="none"/>
          <w:lang w:val="en-US" w:eastAsia="zh-CN"/>
        </w:rPr>
        <w:t>万元，属于</w:t>
      </w:r>
      <w:r>
        <w:rPr>
          <w:rFonts w:hint="eastAsia" w:ascii="新宋体" w:hAnsi="新宋体" w:eastAsia="新宋体" w:cs="新宋体"/>
          <w:b w:val="0"/>
          <w:bCs/>
          <w:color w:val="auto"/>
          <w:spacing w:val="6"/>
          <w:kern w:val="0"/>
          <w:sz w:val="21"/>
          <w:szCs w:val="21"/>
          <w:highlight w:val="none"/>
          <w:u w:val="single"/>
          <w:lang w:val="en-US" w:eastAsia="zh-CN"/>
        </w:rPr>
        <w:t xml:space="preserve">          （中型企业、小型企业、微型企业）</w:t>
      </w:r>
      <w:r>
        <w:rPr>
          <w:rFonts w:hint="eastAsia" w:ascii="新宋体" w:hAnsi="新宋体" w:eastAsia="新宋体" w:cs="新宋体"/>
          <w:b w:val="0"/>
          <w:bCs/>
          <w:color w:val="auto"/>
          <w:spacing w:val="6"/>
          <w:kern w:val="0"/>
          <w:sz w:val="21"/>
          <w:szCs w:val="21"/>
          <w:highlight w:val="none"/>
          <w:u w:val="none"/>
          <w:lang w:val="en-US" w:eastAsia="zh-CN"/>
        </w:rPr>
        <w:t>；</w:t>
      </w:r>
    </w:p>
    <w:p w14:paraId="01BE7A32">
      <w:pPr>
        <w:pStyle w:val="24"/>
        <w:keepNext w:val="0"/>
        <w:keepLines w:val="0"/>
        <w:pageBreakBefore w:val="0"/>
        <w:kinsoku/>
        <w:wordWrap/>
        <w:overflowPunct/>
        <w:topLinePunct w:val="0"/>
        <w:autoSpaceDE/>
        <w:autoSpaceDN/>
        <w:bidi w:val="0"/>
        <w:spacing w:after="0" w:line="400" w:lineRule="exact"/>
        <w:ind w:left="0" w:leftChars="0"/>
        <w:textAlignment w:val="auto"/>
        <w:outlineLvl w:val="9"/>
        <w:rPr>
          <w:rFonts w:hint="eastAsia" w:ascii="新宋体" w:hAnsi="新宋体" w:eastAsia="新宋体" w:cs="新宋体"/>
          <w:color w:val="auto"/>
          <w:sz w:val="21"/>
          <w:szCs w:val="21"/>
          <w:highlight w:val="none"/>
          <w:lang w:val="en-US" w:eastAsia="zh-CN"/>
        </w:rPr>
      </w:pPr>
      <w:r>
        <w:rPr>
          <w:rFonts w:hint="eastAsia" w:ascii="新宋体" w:hAnsi="新宋体" w:eastAsia="新宋体" w:cs="新宋体"/>
          <w:color w:val="auto"/>
          <w:sz w:val="21"/>
          <w:szCs w:val="21"/>
          <w:highlight w:val="none"/>
          <w:lang w:val="en-US" w:eastAsia="zh-CN"/>
        </w:rPr>
        <w:t>……</w:t>
      </w:r>
    </w:p>
    <w:p w14:paraId="14BC3050">
      <w:pPr>
        <w:keepNext w:val="0"/>
        <w:keepLines w:val="0"/>
        <w:pageBreakBefore w:val="0"/>
        <w:widowControl/>
        <w:kinsoku/>
        <w:wordWrap/>
        <w:overflowPunct/>
        <w:topLinePunct w:val="0"/>
        <w:autoSpaceDE/>
        <w:autoSpaceDN/>
        <w:bidi w:val="0"/>
        <w:adjustRightInd w:val="0"/>
        <w:snapToGrid w:val="0"/>
        <w:spacing w:line="400" w:lineRule="exact"/>
        <w:ind w:left="0" w:leftChars="0" w:firstLine="444" w:firstLineChars="200"/>
        <w:jc w:val="left"/>
        <w:textAlignment w:val="auto"/>
        <w:outlineLvl w:val="9"/>
        <w:rPr>
          <w:rFonts w:hint="eastAsia" w:ascii="新宋体" w:hAnsi="新宋体" w:eastAsia="新宋体" w:cs="新宋体"/>
          <w:b w:val="0"/>
          <w:bCs w:val="0"/>
          <w:color w:val="auto"/>
          <w:spacing w:val="6"/>
          <w:kern w:val="0"/>
          <w:sz w:val="21"/>
          <w:szCs w:val="21"/>
          <w:highlight w:val="none"/>
        </w:rPr>
      </w:pPr>
      <w:r>
        <w:rPr>
          <w:rFonts w:hint="eastAsia" w:ascii="新宋体" w:hAnsi="新宋体" w:eastAsia="新宋体" w:cs="新宋体"/>
          <w:b w:val="0"/>
          <w:bCs w:val="0"/>
          <w:color w:val="auto"/>
          <w:spacing w:val="6"/>
          <w:kern w:val="0"/>
          <w:sz w:val="21"/>
          <w:szCs w:val="21"/>
          <w:highlight w:val="none"/>
        </w:rPr>
        <w:t>以上企业，不属于大企业的分支机构，不存在控股股东为大企业的情形，也不存在与大企业的负责人为同一人的情形。</w:t>
      </w:r>
    </w:p>
    <w:p w14:paraId="4C8845BF">
      <w:pPr>
        <w:pStyle w:val="24"/>
        <w:keepNext w:val="0"/>
        <w:keepLines w:val="0"/>
        <w:pageBreakBefore w:val="0"/>
        <w:widowControl w:val="0"/>
        <w:kinsoku/>
        <w:wordWrap/>
        <w:overflowPunct/>
        <w:topLinePunct w:val="0"/>
        <w:autoSpaceDE/>
        <w:autoSpaceDN/>
        <w:bidi w:val="0"/>
        <w:adjustRightInd/>
        <w:snapToGrid/>
        <w:spacing w:after="0" w:line="400" w:lineRule="exact"/>
        <w:ind w:left="0" w:leftChars="0"/>
        <w:jc w:val="left"/>
        <w:textAlignment w:val="auto"/>
        <w:outlineLvl w:val="9"/>
        <w:rPr>
          <w:rFonts w:hint="eastAsia" w:ascii="新宋体" w:hAnsi="新宋体" w:eastAsia="新宋体" w:cs="新宋体"/>
          <w:b/>
          <w:bCs/>
          <w:color w:val="auto"/>
          <w:spacing w:val="6"/>
          <w:kern w:val="0"/>
          <w:sz w:val="21"/>
          <w:szCs w:val="21"/>
          <w:highlight w:val="none"/>
          <w:lang w:val="en-US" w:eastAsia="zh-CN" w:bidi="ar-SA"/>
        </w:rPr>
      </w:pPr>
      <w:r>
        <w:rPr>
          <w:rFonts w:hint="eastAsia" w:ascii="新宋体" w:hAnsi="新宋体" w:eastAsia="新宋体" w:cs="新宋体"/>
          <w:b w:val="0"/>
          <w:bCs w:val="0"/>
          <w:color w:val="auto"/>
          <w:spacing w:val="6"/>
          <w:kern w:val="0"/>
          <w:sz w:val="21"/>
          <w:szCs w:val="21"/>
          <w:highlight w:val="none"/>
          <w:lang w:val="en-US" w:eastAsia="zh-CN" w:bidi="ar-SA"/>
        </w:rPr>
        <w:t>本企业对上述声明内容的真实性负责。如有虚假，将依法承担相应责任。</w:t>
      </w:r>
    </w:p>
    <w:p w14:paraId="08F12F10">
      <w:pPr>
        <w:pStyle w:val="24"/>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outlineLvl w:val="9"/>
        <w:rPr>
          <w:rFonts w:hint="eastAsia" w:ascii="新宋体" w:hAnsi="新宋体" w:eastAsia="新宋体" w:cs="新宋体"/>
          <w:color w:val="auto"/>
          <w:sz w:val="21"/>
          <w:szCs w:val="21"/>
          <w:highlight w:val="none"/>
        </w:rPr>
      </w:pPr>
    </w:p>
    <w:p w14:paraId="12BE1269">
      <w:pPr>
        <w:pStyle w:val="24"/>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outlineLvl w:val="9"/>
        <w:rPr>
          <w:rFonts w:hint="eastAsia" w:ascii="新宋体" w:hAnsi="新宋体" w:eastAsia="新宋体" w:cs="新宋体"/>
          <w:color w:val="auto"/>
          <w:sz w:val="21"/>
          <w:szCs w:val="21"/>
          <w:highlight w:val="none"/>
        </w:rPr>
      </w:pPr>
    </w:p>
    <w:p w14:paraId="31237452">
      <w:pPr>
        <w:pStyle w:val="24"/>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outlineLvl w:val="9"/>
        <w:rPr>
          <w:rFonts w:hint="eastAsia" w:ascii="新宋体" w:hAnsi="新宋体" w:eastAsia="新宋体" w:cs="新宋体"/>
          <w:color w:val="auto"/>
          <w:sz w:val="21"/>
          <w:szCs w:val="21"/>
          <w:highlight w:val="none"/>
        </w:rPr>
      </w:pPr>
    </w:p>
    <w:p w14:paraId="4F992B67">
      <w:pPr>
        <w:pStyle w:val="24"/>
        <w:keepNext w:val="0"/>
        <w:keepLines w:val="0"/>
        <w:pageBreakBefore w:val="0"/>
        <w:widowControl w:val="0"/>
        <w:kinsoku/>
        <w:wordWrap/>
        <w:overflowPunct/>
        <w:topLinePunct w:val="0"/>
        <w:autoSpaceDE/>
        <w:autoSpaceDN/>
        <w:bidi w:val="0"/>
        <w:adjustRightInd/>
        <w:snapToGrid/>
        <w:spacing w:after="0" w:line="400" w:lineRule="exact"/>
        <w:ind w:left="0" w:leftChars="0" w:firstLine="444" w:firstLineChars="200"/>
        <w:jc w:val="left"/>
        <w:textAlignment w:val="auto"/>
        <w:outlineLvl w:val="9"/>
        <w:rPr>
          <w:rFonts w:hint="eastAsia" w:ascii="新宋体" w:hAnsi="新宋体" w:eastAsia="新宋体" w:cs="新宋体"/>
          <w:b w:val="0"/>
          <w:bCs w:val="0"/>
          <w:color w:val="auto"/>
          <w:spacing w:val="6"/>
          <w:kern w:val="0"/>
          <w:sz w:val="21"/>
          <w:szCs w:val="21"/>
          <w:highlight w:val="none"/>
          <w:u w:val="single"/>
          <w:lang w:val="en-US" w:eastAsia="zh-CN"/>
        </w:rPr>
      </w:pPr>
      <w:r>
        <w:rPr>
          <w:rFonts w:hint="eastAsia" w:ascii="新宋体" w:hAnsi="新宋体" w:eastAsia="新宋体" w:cs="新宋体"/>
          <w:b w:val="0"/>
          <w:bCs w:val="0"/>
          <w:color w:val="auto"/>
          <w:spacing w:val="6"/>
          <w:kern w:val="0"/>
          <w:sz w:val="21"/>
          <w:szCs w:val="21"/>
          <w:highlight w:val="none"/>
          <w:lang w:eastAsia="zh-CN"/>
        </w:rPr>
        <w:t>投标人名称（盖单位章）：</w:t>
      </w:r>
      <w:r>
        <w:rPr>
          <w:rFonts w:hint="eastAsia" w:ascii="新宋体" w:hAnsi="新宋体" w:eastAsia="新宋体" w:cs="新宋体"/>
          <w:b w:val="0"/>
          <w:bCs w:val="0"/>
          <w:color w:val="auto"/>
          <w:spacing w:val="6"/>
          <w:kern w:val="0"/>
          <w:sz w:val="21"/>
          <w:szCs w:val="21"/>
          <w:highlight w:val="none"/>
          <w:lang w:val="en-US" w:eastAsia="zh-CN"/>
        </w:rPr>
        <w:t xml:space="preserve"> </w:t>
      </w:r>
    </w:p>
    <w:p w14:paraId="142DF459">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新宋体" w:hAnsi="新宋体" w:eastAsia="新宋体" w:cs="新宋体"/>
          <w:b w:val="0"/>
          <w:bCs w:val="0"/>
          <w:color w:val="auto"/>
          <w:sz w:val="21"/>
          <w:szCs w:val="21"/>
          <w:highlight w:val="none"/>
          <w:lang w:eastAsia="zh-CN"/>
        </w:rPr>
      </w:pPr>
    </w:p>
    <w:p w14:paraId="63DE7E6A">
      <w:pPr>
        <w:keepNext w:val="0"/>
        <w:keepLines w:val="0"/>
        <w:pageBreakBefore w:val="0"/>
        <w:widowControl w:val="0"/>
        <w:kinsoku/>
        <w:wordWrap/>
        <w:overflowPunct/>
        <w:topLinePunct w:val="0"/>
        <w:autoSpaceDE/>
        <w:autoSpaceDN/>
        <w:bidi w:val="0"/>
        <w:adjustRightInd/>
        <w:snapToGrid/>
        <w:spacing w:line="400" w:lineRule="exact"/>
        <w:ind w:left="0" w:leftChars="0" w:firstLine="444" w:firstLineChars="200"/>
        <w:jc w:val="left"/>
        <w:textAlignment w:val="auto"/>
        <w:outlineLvl w:val="9"/>
        <w:rPr>
          <w:rFonts w:hint="eastAsia" w:ascii="新宋体" w:hAnsi="新宋体" w:eastAsia="新宋体" w:cs="新宋体"/>
          <w:b w:val="0"/>
          <w:bCs w:val="0"/>
          <w:color w:val="auto"/>
          <w:sz w:val="21"/>
          <w:szCs w:val="21"/>
          <w:highlight w:val="none"/>
          <w:u w:val="none"/>
          <w:lang w:val="en-US" w:eastAsia="zh-CN"/>
        </w:rPr>
      </w:pPr>
      <w:r>
        <w:rPr>
          <w:rFonts w:hint="eastAsia" w:ascii="新宋体" w:hAnsi="新宋体" w:eastAsia="新宋体" w:cs="新宋体"/>
          <w:b w:val="0"/>
          <w:bCs w:val="0"/>
          <w:color w:val="auto"/>
          <w:spacing w:val="6"/>
          <w:kern w:val="0"/>
          <w:sz w:val="21"/>
          <w:szCs w:val="21"/>
          <w:highlight w:val="none"/>
          <w:lang w:eastAsia="zh-CN"/>
        </w:rPr>
        <w:t>日期：</w:t>
      </w:r>
      <w:r>
        <w:rPr>
          <w:rFonts w:hint="eastAsia" w:ascii="新宋体" w:hAnsi="新宋体" w:eastAsia="新宋体" w:cs="新宋体"/>
          <w:b w:val="0"/>
          <w:bCs w:val="0"/>
          <w:color w:val="auto"/>
          <w:spacing w:val="6"/>
          <w:kern w:val="0"/>
          <w:sz w:val="21"/>
          <w:szCs w:val="21"/>
          <w:highlight w:val="none"/>
          <w:u w:val="single"/>
          <w:lang w:val="en-US" w:eastAsia="zh-CN"/>
        </w:rPr>
        <w:t xml:space="preserve">       </w:t>
      </w:r>
      <w:r>
        <w:rPr>
          <w:rFonts w:hint="eastAsia" w:ascii="新宋体" w:hAnsi="新宋体" w:eastAsia="新宋体" w:cs="新宋体"/>
          <w:b w:val="0"/>
          <w:bCs w:val="0"/>
          <w:color w:val="auto"/>
          <w:spacing w:val="6"/>
          <w:kern w:val="0"/>
          <w:sz w:val="21"/>
          <w:szCs w:val="21"/>
          <w:highlight w:val="none"/>
          <w:u w:val="none"/>
          <w:lang w:val="en-US" w:eastAsia="zh-CN"/>
        </w:rPr>
        <w:t>年</w:t>
      </w:r>
      <w:r>
        <w:rPr>
          <w:rFonts w:hint="eastAsia" w:ascii="新宋体" w:hAnsi="新宋体" w:eastAsia="新宋体" w:cs="新宋体"/>
          <w:b w:val="0"/>
          <w:bCs w:val="0"/>
          <w:color w:val="auto"/>
          <w:spacing w:val="6"/>
          <w:kern w:val="0"/>
          <w:sz w:val="21"/>
          <w:szCs w:val="21"/>
          <w:highlight w:val="none"/>
          <w:u w:val="single"/>
          <w:lang w:val="en-US" w:eastAsia="zh-CN"/>
        </w:rPr>
        <w:t xml:space="preserve">       </w:t>
      </w:r>
      <w:r>
        <w:rPr>
          <w:rFonts w:hint="eastAsia" w:ascii="新宋体" w:hAnsi="新宋体" w:eastAsia="新宋体" w:cs="新宋体"/>
          <w:b w:val="0"/>
          <w:bCs w:val="0"/>
          <w:color w:val="auto"/>
          <w:spacing w:val="6"/>
          <w:kern w:val="0"/>
          <w:sz w:val="21"/>
          <w:szCs w:val="21"/>
          <w:highlight w:val="none"/>
          <w:u w:val="none"/>
          <w:lang w:val="en-US" w:eastAsia="zh-CN"/>
        </w:rPr>
        <w:t>月</w:t>
      </w:r>
      <w:r>
        <w:rPr>
          <w:rFonts w:hint="eastAsia" w:ascii="新宋体" w:hAnsi="新宋体" w:eastAsia="新宋体" w:cs="新宋体"/>
          <w:b w:val="0"/>
          <w:bCs w:val="0"/>
          <w:color w:val="auto"/>
          <w:spacing w:val="6"/>
          <w:kern w:val="0"/>
          <w:sz w:val="21"/>
          <w:szCs w:val="21"/>
          <w:highlight w:val="none"/>
          <w:u w:val="single"/>
          <w:lang w:val="en-US" w:eastAsia="zh-CN"/>
        </w:rPr>
        <w:t xml:space="preserve">       </w:t>
      </w:r>
      <w:r>
        <w:rPr>
          <w:rFonts w:hint="eastAsia" w:ascii="新宋体" w:hAnsi="新宋体" w:eastAsia="新宋体" w:cs="新宋体"/>
          <w:b w:val="0"/>
          <w:bCs w:val="0"/>
          <w:color w:val="auto"/>
          <w:spacing w:val="6"/>
          <w:kern w:val="0"/>
          <w:sz w:val="21"/>
          <w:szCs w:val="21"/>
          <w:highlight w:val="none"/>
          <w:u w:val="none"/>
          <w:lang w:val="en-US" w:eastAsia="zh-CN"/>
        </w:rPr>
        <w:t>日</w:t>
      </w:r>
    </w:p>
    <w:p w14:paraId="0A9BC6B2">
      <w:pPr>
        <w:pStyle w:val="24"/>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outlineLvl w:val="9"/>
        <w:rPr>
          <w:rFonts w:hint="eastAsia" w:ascii="新宋体" w:hAnsi="新宋体" w:eastAsia="新宋体" w:cs="新宋体"/>
          <w:color w:val="auto"/>
          <w:sz w:val="21"/>
          <w:szCs w:val="21"/>
          <w:highlight w:val="none"/>
        </w:rPr>
      </w:pPr>
    </w:p>
    <w:p w14:paraId="36BB44E2">
      <w:pPr>
        <w:keepNext w:val="0"/>
        <w:keepLines w:val="0"/>
        <w:pageBreakBefore w:val="0"/>
        <w:widowControl w:val="0"/>
        <w:kinsoku/>
        <w:wordWrap/>
        <w:overflowPunct/>
        <w:topLinePunct w:val="0"/>
        <w:autoSpaceDE/>
        <w:autoSpaceDN/>
        <w:bidi w:val="0"/>
        <w:adjustRightInd w:val="0"/>
        <w:snapToGrid w:val="0"/>
        <w:spacing w:before="0" w:after="0" w:line="360" w:lineRule="auto"/>
        <w:jc w:val="left"/>
        <w:textAlignment w:val="auto"/>
        <w:outlineLvl w:val="9"/>
        <w:rPr>
          <w:rFonts w:hint="eastAsia" w:ascii="新宋体" w:hAnsi="新宋体" w:eastAsia="新宋体" w:cs="新宋体"/>
          <w:color w:val="auto"/>
          <w:kern w:val="0"/>
          <w:sz w:val="21"/>
          <w:szCs w:val="21"/>
          <w:highlight w:val="none"/>
          <w:lang w:bidi="ar"/>
        </w:rPr>
      </w:pPr>
      <w:r>
        <w:rPr>
          <w:rFonts w:hint="eastAsia" w:ascii="新宋体" w:hAnsi="新宋体" w:eastAsia="新宋体" w:cs="新宋体"/>
          <w:color w:val="auto"/>
          <w:kern w:val="0"/>
          <w:sz w:val="21"/>
          <w:szCs w:val="21"/>
          <w:highlight w:val="none"/>
          <w:lang w:bidi="ar"/>
        </w:rPr>
        <w:t>注：</w:t>
      </w:r>
    </w:p>
    <w:p w14:paraId="33B1C9DA">
      <w:pPr>
        <w:keepNext w:val="0"/>
        <w:keepLines w:val="0"/>
        <w:pageBreakBefore w:val="0"/>
        <w:widowControl w:val="0"/>
        <w:kinsoku/>
        <w:wordWrap/>
        <w:overflowPunct/>
        <w:topLinePunct w:val="0"/>
        <w:autoSpaceDE/>
        <w:autoSpaceDN/>
        <w:bidi w:val="0"/>
        <w:adjustRightInd w:val="0"/>
        <w:snapToGrid w:val="0"/>
        <w:spacing w:before="0" w:after="0" w:line="360" w:lineRule="auto"/>
        <w:jc w:val="left"/>
        <w:textAlignment w:val="auto"/>
        <w:outlineLvl w:val="9"/>
        <w:rPr>
          <w:rFonts w:hint="eastAsia" w:ascii="新宋体" w:hAnsi="新宋体" w:eastAsia="新宋体" w:cs="新宋体"/>
          <w:color w:val="auto"/>
          <w:kern w:val="0"/>
          <w:sz w:val="21"/>
          <w:szCs w:val="21"/>
          <w:highlight w:val="none"/>
          <w:lang w:bidi="ar"/>
        </w:rPr>
      </w:pPr>
      <w:r>
        <w:rPr>
          <w:rFonts w:hint="eastAsia" w:ascii="新宋体" w:hAnsi="新宋体" w:eastAsia="新宋体" w:cs="新宋体"/>
          <w:color w:val="auto"/>
          <w:kern w:val="0"/>
          <w:sz w:val="21"/>
          <w:szCs w:val="21"/>
          <w:highlight w:val="none"/>
          <w:lang w:bidi="ar"/>
        </w:rPr>
        <w:t>1.从业人员、营业收入、资产总额填报上一年度数据，无上一年度数据的新成立企业可不填报。</w:t>
      </w:r>
    </w:p>
    <w:p w14:paraId="7BE19C6D">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新宋体" w:hAnsi="新宋体" w:eastAsia="新宋体" w:cs="新宋体"/>
          <w:color w:val="auto"/>
          <w:kern w:val="0"/>
          <w:sz w:val="21"/>
          <w:szCs w:val="21"/>
          <w:highlight w:val="none"/>
          <w:lang w:val="en-US" w:eastAsia="zh-CN" w:bidi="ar"/>
        </w:rPr>
      </w:pPr>
      <w:r>
        <w:rPr>
          <w:rFonts w:hint="eastAsia" w:ascii="新宋体" w:hAnsi="新宋体" w:eastAsia="新宋体" w:cs="新宋体"/>
          <w:color w:val="auto"/>
          <w:kern w:val="0"/>
          <w:sz w:val="21"/>
          <w:szCs w:val="21"/>
          <w:highlight w:val="none"/>
          <w:lang w:val="en-US" w:eastAsia="zh-CN" w:bidi="ar"/>
        </w:rPr>
        <w:t>2.填写前请认真阅读《工业和信息化部、国家统计局、国家发展和改革委员会、财政部关于印发中小企业划型标准规定的通知》（工信部联企业[2011]300号）及相关规定。</w:t>
      </w:r>
    </w:p>
    <w:p w14:paraId="45867DC9">
      <w:pPr>
        <w:pStyle w:val="31"/>
        <w:rPr>
          <w:rFonts w:hint="eastAsia" w:ascii="新宋体" w:hAnsi="新宋体" w:eastAsia="新宋体" w:cs="新宋体"/>
          <w:color w:val="auto"/>
          <w:kern w:val="0"/>
          <w:sz w:val="21"/>
          <w:szCs w:val="21"/>
          <w:highlight w:val="none"/>
          <w:lang w:val="en-US" w:eastAsia="zh-CN" w:bidi="ar"/>
        </w:rPr>
      </w:pPr>
    </w:p>
    <w:p w14:paraId="5239D901">
      <w:pPr>
        <w:pStyle w:val="33"/>
        <w:rPr>
          <w:rFonts w:hint="eastAsia"/>
          <w:color w:val="auto"/>
          <w:lang w:eastAsia="zh-CN"/>
        </w:rPr>
      </w:pPr>
    </w:p>
    <w:p w14:paraId="4982F91C">
      <w:pPr>
        <w:pStyle w:val="14"/>
        <w:outlineLvl w:val="9"/>
        <w:rPr>
          <w:rFonts w:hint="eastAsia" w:ascii="新宋体" w:hAnsi="新宋体" w:eastAsia="新宋体" w:cs="新宋体"/>
          <w:b/>
          <w:bCs/>
          <w:color w:val="auto"/>
          <w:sz w:val="28"/>
          <w:szCs w:val="28"/>
          <w:highlight w:val="none"/>
          <w:lang w:eastAsia="zh-CN"/>
        </w:rPr>
      </w:pPr>
    </w:p>
    <w:p w14:paraId="5737FE80">
      <w:pPr>
        <w:pStyle w:val="14"/>
        <w:outlineLvl w:val="9"/>
        <w:rPr>
          <w:rFonts w:hint="eastAsia" w:ascii="新宋体" w:hAnsi="新宋体" w:eastAsia="新宋体" w:cs="新宋体"/>
          <w:b/>
          <w:bCs/>
          <w:color w:val="auto"/>
          <w:sz w:val="28"/>
          <w:szCs w:val="28"/>
          <w:highlight w:val="none"/>
          <w:lang w:eastAsia="zh-CN"/>
        </w:rPr>
      </w:pPr>
    </w:p>
    <w:p w14:paraId="349589E6">
      <w:pPr>
        <w:pStyle w:val="14"/>
        <w:outlineLvl w:val="9"/>
        <w:rPr>
          <w:rFonts w:hint="eastAsia" w:ascii="新宋体" w:hAnsi="新宋体" w:eastAsia="新宋体" w:cs="新宋体"/>
          <w:b/>
          <w:bCs/>
          <w:color w:val="auto"/>
          <w:sz w:val="28"/>
          <w:szCs w:val="28"/>
          <w:highlight w:val="none"/>
          <w:lang w:eastAsia="zh-CN"/>
        </w:rPr>
      </w:pPr>
    </w:p>
    <w:p w14:paraId="2C03776F">
      <w:pPr>
        <w:pStyle w:val="14"/>
        <w:outlineLvl w:val="9"/>
        <w:rPr>
          <w:rFonts w:hint="eastAsia" w:ascii="新宋体" w:hAnsi="新宋体" w:eastAsia="新宋体" w:cs="新宋体"/>
          <w:b/>
          <w:bCs/>
          <w:color w:val="auto"/>
          <w:sz w:val="28"/>
          <w:szCs w:val="28"/>
          <w:highlight w:val="none"/>
          <w:lang w:eastAsia="zh-CN"/>
        </w:rPr>
      </w:pPr>
    </w:p>
    <w:p w14:paraId="20DC6011">
      <w:pPr>
        <w:jc w:val="center"/>
        <w:outlineLvl w:val="9"/>
        <w:rPr>
          <w:rFonts w:hint="eastAsia" w:ascii="新宋体" w:hAnsi="新宋体" w:eastAsia="新宋体" w:cs="新宋体"/>
          <w:b/>
          <w:bCs/>
          <w:color w:val="auto"/>
          <w:sz w:val="28"/>
          <w:szCs w:val="28"/>
          <w:highlight w:val="none"/>
          <w:lang w:eastAsia="zh-CN"/>
        </w:rPr>
      </w:pPr>
      <w:bookmarkStart w:id="213" w:name="_Toc18690"/>
      <w:bookmarkStart w:id="214" w:name="_Toc10474"/>
      <w:bookmarkStart w:id="215" w:name="_Toc16035"/>
      <w:r>
        <w:rPr>
          <w:rFonts w:hint="eastAsia" w:ascii="新宋体" w:hAnsi="新宋体" w:eastAsia="新宋体" w:cs="新宋体"/>
          <w:b/>
          <w:bCs/>
          <w:color w:val="auto"/>
          <w:sz w:val="28"/>
          <w:szCs w:val="28"/>
          <w:highlight w:val="none"/>
          <w:lang w:val="en-US" w:eastAsia="zh-CN"/>
        </w:rPr>
        <w:t>八</w:t>
      </w:r>
      <w:r>
        <w:rPr>
          <w:rFonts w:hint="eastAsia" w:ascii="新宋体" w:hAnsi="新宋体" w:eastAsia="新宋体" w:cs="新宋体"/>
          <w:b/>
          <w:bCs/>
          <w:color w:val="auto"/>
          <w:sz w:val="28"/>
          <w:szCs w:val="28"/>
          <w:highlight w:val="none"/>
          <w:lang w:eastAsia="zh-CN"/>
        </w:rPr>
        <w:t>、残疾人福利性单位声明函</w:t>
      </w:r>
      <w:bookmarkEnd w:id="213"/>
      <w:bookmarkEnd w:id="214"/>
      <w:bookmarkEnd w:id="215"/>
    </w:p>
    <w:p w14:paraId="74FCEADE">
      <w:pPr>
        <w:pStyle w:val="24"/>
        <w:jc w:val="center"/>
        <w:outlineLvl w:val="9"/>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lang w:eastAsia="zh-CN"/>
        </w:rPr>
        <w:t>（不享受政府采购政策优惠的无须填写，评审时不作无效投标处理）</w:t>
      </w:r>
    </w:p>
    <w:p w14:paraId="49626403">
      <w:pPr>
        <w:adjustRightInd w:val="0"/>
        <w:snapToGrid w:val="0"/>
        <w:spacing w:line="360" w:lineRule="auto"/>
        <w:ind w:firstLine="444" w:firstLineChars="200"/>
        <w:outlineLvl w:val="9"/>
        <w:rPr>
          <w:rFonts w:hint="eastAsia" w:ascii="新宋体" w:hAnsi="新宋体" w:eastAsia="新宋体" w:cs="新宋体"/>
          <w:color w:val="auto"/>
          <w:spacing w:val="6"/>
          <w:sz w:val="21"/>
          <w:szCs w:val="21"/>
          <w:highlight w:val="none"/>
        </w:rPr>
      </w:pPr>
    </w:p>
    <w:p w14:paraId="57477736">
      <w:pPr>
        <w:adjustRightInd w:val="0"/>
        <w:snapToGrid w:val="0"/>
        <w:spacing w:line="360" w:lineRule="auto"/>
        <w:ind w:firstLine="444" w:firstLineChars="200"/>
        <w:outlineLvl w:val="9"/>
        <w:rPr>
          <w:rFonts w:hint="eastAsia" w:ascii="新宋体" w:hAnsi="新宋体" w:eastAsia="新宋体" w:cs="新宋体"/>
          <w:color w:val="auto"/>
          <w:spacing w:val="6"/>
          <w:sz w:val="21"/>
          <w:szCs w:val="21"/>
          <w:highlight w:val="none"/>
        </w:rPr>
      </w:pPr>
      <w:r>
        <w:rPr>
          <w:rFonts w:hint="eastAsia" w:ascii="新宋体" w:hAnsi="新宋体" w:eastAsia="新宋体" w:cs="新宋体"/>
          <w:color w:val="auto"/>
          <w:spacing w:val="6"/>
          <w:sz w:val="21"/>
          <w:szCs w:val="21"/>
          <w:highlight w:val="none"/>
        </w:rPr>
        <w:t>本单位郑重声明，根据《财政部民政部中国残疾人联合会关于促进残疾人就业政府采购政策的通知》（财库</w:t>
      </w:r>
      <w:r>
        <w:rPr>
          <w:rFonts w:hint="eastAsia" w:ascii="新宋体" w:hAnsi="新宋体" w:eastAsia="新宋体" w:cs="新宋体"/>
          <w:color w:val="auto"/>
          <w:sz w:val="21"/>
          <w:szCs w:val="21"/>
          <w:highlight w:val="none"/>
        </w:rPr>
        <w:t>〔2017〕141</w:t>
      </w:r>
      <w:r>
        <w:rPr>
          <w:rFonts w:hint="eastAsia" w:ascii="新宋体" w:hAnsi="新宋体" w:eastAsia="新宋体" w:cs="新宋体"/>
          <w:color w:val="auto"/>
          <w:spacing w:val="6"/>
          <w:sz w:val="21"/>
          <w:szCs w:val="21"/>
          <w:highlight w:val="none"/>
        </w:rPr>
        <w:t>号）的规定，本单位为符合条件的残疾人福利性单位，且本单位参加</w:t>
      </w:r>
      <w:r>
        <w:rPr>
          <w:rFonts w:hint="eastAsia" w:ascii="新宋体" w:hAnsi="新宋体" w:eastAsia="新宋体" w:cs="新宋体"/>
          <w:color w:val="auto"/>
          <w:spacing w:val="6"/>
          <w:sz w:val="21"/>
          <w:szCs w:val="21"/>
          <w:highlight w:val="none"/>
          <w:u w:val="single"/>
        </w:rPr>
        <w:t xml:space="preserve">  </w:t>
      </w:r>
      <w:r>
        <w:rPr>
          <w:rFonts w:hint="eastAsia" w:ascii="新宋体" w:hAnsi="新宋体" w:eastAsia="新宋体" w:cs="新宋体"/>
          <w:color w:val="auto"/>
          <w:spacing w:val="6"/>
          <w:sz w:val="21"/>
          <w:szCs w:val="21"/>
          <w:highlight w:val="none"/>
          <w:u w:val="single"/>
          <w:lang w:val="en-US" w:eastAsia="zh-CN"/>
        </w:rPr>
        <w:t xml:space="preserve">    </w:t>
      </w:r>
      <w:r>
        <w:rPr>
          <w:rFonts w:hint="eastAsia" w:ascii="新宋体" w:hAnsi="新宋体" w:eastAsia="新宋体" w:cs="新宋体"/>
          <w:color w:val="auto"/>
          <w:spacing w:val="6"/>
          <w:sz w:val="21"/>
          <w:szCs w:val="21"/>
          <w:highlight w:val="none"/>
          <w:u w:val="single"/>
        </w:rPr>
        <w:t xml:space="preserve">  </w:t>
      </w:r>
      <w:r>
        <w:rPr>
          <w:rFonts w:hint="eastAsia" w:ascii="新宋体" w:hAnsi="新宋体" w:eastAsia="新宋体" w:cs="新宋体"/>
          <w:color w:val="auto"/>
          <w:spacing w:val="6"/>
          <w:sz w:val="21"/>
          <w:szCs w:val="21"/>
          <w:highlight w:val="none"/>
        </w:rPr>
        <w:t>单位的</w:t>
      </w:r>
      <w:r>
        <w:rPr>
          <w:rFonts w:hint="eastAsia" w:ascii="新宋体" w:hAnsi="新宋体" w:eastAsia="新宋体" w:cs="新宋体"/>
          <w:color w:val="auto"/>
          <w:spacing w:val="6"/>
          <w:sz w:val="21"/>
          <w:szCs w:val="21"/>
          <w:highlight w:val="none"/>
          <w:u w:val="single"/>
        </w:rPr>
        <w:t xml:space="preserve">           </w:t>
      </w:r>
      <w:r>
        <w:rPr>
          <w:rFonts w:hint="eastAsia" w:ascii="新宋体" w:hAnsi="新宋体" w:eastAsia="新宋体" w:cs="新宋体"/>
          <w:b w:val="0"/>
          <w:bCs/>
          <w:color w:val="auto"/>
          <w:spacing w:val="6"/>
          <w:kern w:val="0"/>
          <w:sz w:val="21"/>
          <w:szCs w:val="21"/>
          <w:highlight w:val="none"/>
          <w:u w:val="single"/>
          <w:lang w:val="en-US" w:eastAsia="zh-CN"/>
        </w:rPr>
        <w:t>（包号及标的名称：     ）</w:t>
      </w:r>
      <w:r>
        <w:rPr>
          <w:rFonts w:hint="eastAsia" w:ascii="新宋体" w:hAnsi="新宋体" w:eastAsia="新宋体" w:cs="新宋体"/>
          <w:color w:val="auto"/>
          <w:spacing w:val="6"/>
          <w:sz w:val="21"/>
          <w:szCs w:val="21"/>
          <w:highlight w:val="none"/>
        </w:rPr>
        <w:t>项目采购活动提供本单位制造的货物（由本单位承担工程/提供服务），或者提供其他残疾人福利性单位制造的货物（不包括使用非残疾人福利性单位注册商标的货物）。</w:t>
      </w:r>
    </w:p>
    <w:p w14:paraId="33C30C42">
      <w:pPr>
        <w:adjustRightInd w:val="0"/>
        <w:snapToGrid w:val="0"/>
        <w:spacing w:line="360" w:lineRule="auto"/>
        <w:ind w:firstLine="444" w:firstLineChars="200"/>
        <w:outlineLvl w:val="9"/>
        <w:rPr>
          <w:rFonts w:hint="eastAsia" w:ascii="新宋体" w:hAnsi="新宋体" w:eastAsia="新宋体" w:cs="新宋体"/>
          <w:color w:val="auto"/>
          <w:spacing w:val="6"/>
          <w:sz w:val="21"/>
          <w:szCs w:val="21"/>
          <w:highlight w:val="none"/>
        </w:rPr>
      </w:pPr>
      <w:r>
        <w:rPr>
          <w:rFonts w:hint="eastAsia" w:ascii="新宋体" w:hAnsi="新宋体" w:eastAsia="新宋体" w:cs="新宋体"/>
          <w:color w:val="auto"/>
          <w:spacing w:val="6"/>
          <w:sz w:val="21"/>
          <w:szCs w:val="21"/>
          <w:highlight w:val="none"/>
        </w:rPr>
        <w:t>本单位对上述声明的真实性负责。如有虚假，将依法承担相应责任。</w:t>
      </w:r>
    </w:p>
    <w:p w14:paraId="289ACD06">
      <w:pPr>
        <w:adjustRightInd w:val="0"/>
        <w:snapToGrid w:val="0"/>
        <w:spacing w:line="360" w:lineRule="auto"/>
        <w:ind w:firstLine="444" w:firstLineChars="200"/>
        <w:outlineLvl w:val="9"/>
        <w:rPr>
          <w:rFonts w:hint="eastAsia" w:ascii="新宋体" w:hAnsi="新宋体" w:eastAsia="新宋体" w:cs="新宋体"/>
          <w:color w:val="auto"/>
          <w:spacing w:val="6"/>
          <w:sz w:val="21"/>
          <w:szCs w:val="21"/>
          <w:highlight w:val="none"/>
        </w:rPr>
      </w:pPr>
    </w:p>
    <w:p w14:paraId="60048796">
      <w:pPr>
        <w:adjustRightInd w:val="0"/>
        <w:snapToGrid w:val="0"/>
        <w:spacing w:line="360" w:lineRule="auto"/>
        <w:ind w:firstLine="444" w:firstLineChars="200"/>
        <w:outlineLvl w:val="9"/>
        <w:rPr>
          <w:rFonts w:hint="eastAsia" w:ascii="新宋体" w:hAnsi="新宋体" w:eastAsia="新宋体" w:cs="新宋体"/>
          <w:color w:val="auto"/>
          <w:spacing w:val="6"/>
          <w:sz w:val="21"/>
          <w:szCs w:val="21"/>
          <w:highlight w:val="none"/>
        </w:rPr>
      </w:pPr>
    </w:p>
    <w:p w14:paraId="2AB21C69">
      <w:pPr>
        <w:pStyle w:val="24"/>
        <w:keepNext w:val="0"/>
        <w:keepLines w:val="0"/>
        <w:pageBreakBefore w:val="0"/>
        <w:widowControl w:val="0"/>
        <w:kinsoku/>
        <w:wordWrap/>
        <w:overflowPunct/>
        <w:topLinePunct w:val="0"/>
        <w:autoSpaceDE/>
        <w:autoSpaceDN/>
        <w:bidi w:val="0"/>
        <w:adjustRightInd/>
        <w:snapToGrid/>
        <w:spacing w:after="0" w:line="400" w:lineRule="exact"/>
        <w:ind w:left="0" w:leftChars="0" w:firstLine="444" w:firstLineChars="200"/>
        <w:jc w:val="left"/>
        <w:textAlignment w:val="auto"/>
        <w:outlineLvl w:val="9"/>
        <w:rPr>
          <w:rFonts w:hint="eastAsia" w:ascii="新宋体" w:hAnsi="新宋体" w:eastAsia="新宋体" w:cs="新宋体"/>
          <w:b w:val="0"/>
          <w:bCs w:val="0"/>
          <w:color w:val="auto"/>
          <w:spacing w:val="6"/>
          <w:kern w:val="0"/>
          <w:sz w:val="21"/>
          <w:szCs w:val="21"/>
          <w:highlight w:val="none"/>
          <w:u w:val="single"/>
          <w:lang w:val="en-US" w:eastAsia="zh-CN"/>
        </w:rPr>
      </w:pPr>
      <w:r>
        <w:rPr>
          <w:rFonts w:hint="eastAsia" w:ascii="新宋体" w:hAnsi="新宋体" w:eastAsia="新宋体" w:cs="新宋体"/>
          <w:b w:val="0"/>
          <w:bCs w:val="0"/>
          <w:color w:val="auto"/>
          <w:spacing w:val="6"/>
          <w:kern w:val="0"/>
          <w:sz w:val="21"/>
          <w:szCs w:val="21"/>
          <w:highlight w:val="none"/>
          <w:lang w:eastAsia="zh-CN"/>
        </w:rPr>
        <w:t>投标人名称（盖单位章）：</w:t>
      </w:r>
    </w:p>
    <w:p w14:paraId="61F60569">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新宋体" w:hAnsi="新宋体" w:eastAsia="新宋体" w:cs="新宋体"/>
          <w:b w:val="0"/>
          <w:bCs w:val="0"/>
          <w:color w:val="auto"/>
          <w:sz w:val="21"/>
          <w:szCs w:val="21"/>
          <w:highlight w:val="none"/>
          <w:lang w:eastAsia="zh-CN"/>
        </w:rPr>
      </w:pPr>
    </w:p>
    <w:p w14:paraId="5D3D8CF4">
      <w:pPr>
        <w:pStyle w:val="14"/>
        <w:outlineLvl w:val="9"/>
        <w:rPr>
          <w:rFonts w:hint="eastAsia" w:ascii="新宋体" w:hAnsi="新宋体" w:eastAsia="新宋体" w:cs="新宋体"/>
          <w:b/>
          <w:bCs/>
          <w:color w:val="auto"/>
          <w:sz w:val="28"/>
          <w:szCs w:val="28"/>
          <w:highlight w:val="none"/>
          <w:lang w:eastAsia="zh-CN"/>
        </w:rPr>
      </w:pPr>
      <w:r>
        <w:rPr>
          <w:rFonts w:hint="eastAsia" w:ascii="新宋体" w:hAnsi="新宋体" w:eastAsia="新宋体" w:cs="新宋体"/>
          <w:b w:val="0"/>
          <w:bCs w:val="0"/>
          <w:color w:val="auto"/>
          <w:spacing w:val="6"/>
          <w:kern w:val="0"/>
          <w:sz w:val="21"/>
          <w:szCs w:val="21"/>
          <w:highlight w:val="none"/>
          <w:lang w:eastAsia="zh-CN"/>
        </w:rPr>
        <w:t>日期：</w:t>
      </w:r>
      <w:r>
        <w:rPr>
          <w:rFonts w:hint="eastAsia" w:ascii="新宋体" w:hAnsi="新宋体" w:eastAsia="新宋体" w:cs="新宋体"/>
          <w:b w:val="0"/>
          <w:bCs w:val="0"/>
          <w:color w:val="auto"/>
          <w:spacing w:val="6"/>
          <w:kern w:val="0"/>
          <w:sz w:val="21"/>
          <w:szCs w:val="21"/>
          <w:highlight w:val="none"/>
          <w:u w:val="single"/>
          <w:lang w:val="en-US" w:eastAsia="zh-CN"/>
        </w:rPr>
        <w:t xml:space="preserve">       </w:t>
      </w:r>
      <w:r>
        <w:rPr>
          <w:rFonts w:hint="eastAsia" w:ascii="新宋体" w:hAnsi="新宋体" w:eastAsia="新宋体" w:cs="新宋体"/>
          <w:b w:val="0"/>
          <w:bCs w:val="0"/>
          <w:color w:val="auto"/>
          <w:spacing w:val="6"/>
          <w:kern w:val="0"/>
          <w:sz w:val="21"/>
          <w:szCs w:val="21"/>
          <w:highlight w:val="none"/>
          <w:u w:val="none"/>
          <w:lang w:val="en-US" w:eastAsia="zh-CN"/>
        </w:rPr>
        <w:t>年</w:t>
      </w:r>
      <w:r>
        <w:rPr>
          <w:rFonts w:hint="eastAsia" w:ascii="新宋体" w:hAnsi="新宋体" w:eastAsia="新宋体" w:cs="新宋体"/>
          <w:b w:val="0"/>
          <w:bCs w:val="0"/>
          <w:color w:val="auto"/>
          <w:spacing w:val="6"/>
          <w:kern w:val="0"/>
          <w:sz w:val="21"/>
          <w:szCs w:val="21"/>
          <w:highlight w:val="none"/>
          <w:u w:val="single"/>
          <w:lang w:val="en-US" w:eastAsia="zh-CN"/>
        </w:rPr>
        <w:t xml:space="preserve">       </w:t>
      </w:r>
      <w:r>
        <w:rPr>
          <w:rFonts w:hint="eastAsia" w:ascii="新宋体" w:hAnsi="新宋体" w:eastAsia="新宋体" w:cs="新宋体"/>
          <w:b w:val="0"/>
          <w:bCs w:val="0"/>
          <w:color w:val="auto"/>
          <w:spacing w:val="6"/>
          <w:kern w:val="0"/>
          <w:sz w:val="21"/>
          <w:szCs w:val="21"/>
          <w:highlight w:val="none"/>
          <w:u w:val="none"/>
          <w:lang w:val="en-US" w:eastAsia="zh-CN"/>
        </w:rPr>
        <w:t>月</w:t>
      </w:r>
      <w:r>
        <w:rPr>
          <w:rFonts w:hint="eastAsia" w:ascii="新宋体" w:hAnsi="新宋体" w:eastAsia="新宋体" w:cs="新宋体"/>
          <w:b w:val="0"/>
          <w:bCs w:val="0"/>
          <w:color w:val="auto"/>
          <w:spacing w:val="6"/>
          <w:kern w:val="0"/>
          <w:sz w:val="21"/>
          <w:szCs w:val="21"/>
          <w:highlight w:val="none"/>
          <w:u w:val="single"/>
          <w:lang w:val="en-US" w:eastAsia="zh-CN"/>
        </w:rPr>
        <w:t xml:space="preserve">       </w:t>
      </w:r>
      <w:r>
        <w:rPr>
          <w:rFonts w:hint="eastAsia" w:ascii="新宋体" w:hAnsi="新宋体" w:eastAsia="新宋体" w:cs="新宋体"/>
          <w:b w:val="0"/>
          <w:bCs w:val="0"/>
          <w:color w:val="auto"/>
          <w:spacing w:val="6"/>
          <w:kern w:val="0"/>
          <w:sz w:val="21"/>
          <w:szCs w:val="21"/>
          <w:highlight w:val="none"/>
          <w:u w:val="none"/>
          <w:lang w:val="en-US" w:eastAsia="zh-CN"/>
        </w:rPr>
        <w:t>日</w:t>
      </w:r>
    </w:p>
    <w:p w14:paraId="5A29C732">
      <w:pPr>
        <w:pStyle w:val="14"/>
        <w:outlineLvl w:val="9"/>
        <w:rPr>
          <w:rFonts w:hint="eastAsia" w:ascii="新宋体" w:hAnsi="新宋体" w:eastAsia="新宋体" w:cs="新宋体"/>
          <w:b/>
          <w:bCs/>
          <w:color w:val="auto"/>
          <w:sz w:val="28"/>
          <w:szCs w:val="28"/>
          <w:highlight w:val="none"/>
          <w:lang w:eastAsia="zh-CN"/>
        </w:rPr>
      </w:pPr>
    </w:p>
    <w:p w14:paraId="128DBE19">
      <w:pPr>
        <w:jc w:val="center"/>
        <w:outlineLvl w:val="9"/>
        <w:rPr>
          <w:rFonts w:hint="eastAsia" w:ascii="新宋体" w:hAnsi="新宋体" w:eastAsia="新宋体" w:cs="新宋体"/>
          <w:b/>
          <w:bCs/>
          <w:color w:val="auto"/>
          <w:sz w:val="28"/>
          <w:szCs w:val="28"/>
          <w:highlight w:val="none"/>
          <w:lang w:eastAsia="zh-CN"/>
        </w:rPr>
      </w:pPr>
    </w:p>
    <w:p w14:paraId="1855319D">
      <w:pPr>
        <w:jc w:val="center"/>
        <w:outlineLvl w:val="9"/>
        <w:rPr>
          <w:rFonts w:hint="eastAsia" w:ascii="新宋体" w:hAnsi="新宋体" w:eastAsia="新宋体" w:cs="新宋体"/>
          <w:b/>
          <w:bCs/>
          <w:color w:val="auto"/>
          <w:sz w:val="28"/>
          <w:szCs w:val="28"/>
          <w:highlight w:val="none"/>
          <w:lang w:eastAsia="zh-CN"/>
        </w:rPr>
      </w:pPr>
    </w:p>
    <w:p w14:paraId="3C9DB50E">
      <w:pPr>
        <w:jc w:val="center"/>
        <w:outlineLvl w:val="9"/>
        <w:rPr>
          <w:rFonts w:hint="eastAsia" w:ascii="新宋体" w:hAnsi="新宋体" w:eastAsia="新宋体" w:cs="新宋体"/>
          <w:b/>
          <w:bCs/>
          <w:color w:val="auto"/>
          <w:sz w:val="28"/>
          <w:szCs w:val="28"/>
          <w:highlight w:val="none"/>
          <w:lang w:eastAsia="zh-CN"/>
        </w:rPr>
      </w:pPr>
    </w:p>
    <w:p w14:paraId="5316991B">
      <w:pPr>
        <w:jc w:val="center"/>
        <w:outlineLvl w:val="9"/>
        <w:rPr>
          <w:rFonts w:hint="eastAsia" w:ascii="新宋体" w:hAnsi="新宋体" w:eastAsia="新宋体" w:cs="新宋体"/>
          <w:b/>
          <w:bCs/>
          <w:color w:val="auto"/>
          <w:sz w:val="28"/>
          <w:szCs w:val="28"/>
          <w:highlight w:val="none"/>
          <w:lang w:eastAsia="zh-CN"/>
        </w:rPr>
      </w:pPr>
    </w:p>
    <w:p w14:paraId="654BA330">
      <w:pPr>
        <w:jc w:val="center"/>
        <w:outlineLvl w:val="9"/>
        <w:rPr>
          <w:rFonts w:hint="eastAsia" w:ascii="新宋体" w:hAnsi="新宋体" w:eastAsia="新宋体" w:cs="新宋体"/>
          <w:b/>
          <w:bCs/>
          <w:color w:val="auto"/>
          <w:sz w:val="28"/>
          <w:szCs w:val="28"/>
          <w:highlight w:val="none"/>
          <w:lang w:eastAsia="zh-CN"/>
        </w:rPr>
      </w:pPr>
    </w:p>
    <w:p w14:paraId="546ED7EA">
      <w:pPr>
        <w:jc w:val="center"/>
        <w:outlineLvl w:val="9"/>
        <w:rPr>
          <w:rFonts w:hint="eastAsia" w:ascii="新宋体" w:hAnsi="新宋体" w:eastAsia="新宋体" w:cs="新宋体"/>
          <w:b/>
          <w:bCs/>
          <w:color w:val="auto"/>
          <w:sz w:val="28"/>
          <w:szCs w:val="28"/>
          <w:highlight w:val="none"/>
          <w:lang w:eastAsia="zh-CN"/>
        </w:rPr>
      </w:pPr>
    </w:p>
    <w:p w14:paraId="538ED70D">
      <w:pPr>
        <w:jc w:val="center"/>
        <w:outlineLvl w:val="9"/>
        <w:rPr>
          <w:rFonts w:hint="eastAsia" w:ascii="新宋体" w:hAnsi="新宋体" w:eastAsia="新宋体" w:cs="新宋体"/>
          <w:b/>
          <w:bCs/>
          <w:color w:val="auto"/>
          <w:sz w:val="28"/>
          <w:szCs w:val="28"/>
          <w:highlight w:val="none"/>
          <w:lang w:eastAsia="zh-CN"/>
        </w:rPr>
      </w:pPr>
    </w:p>
    <w:p w14:paraId="3B4AB731">
      <w:pPr>
        <w:jc w:val="center"/>
        <w:outlineLvl w:val="9"/>
        <w:rPr>
          <w:rFonts w:hint="eastAsia" w:ascii="新宋体" w:hAnsi="新宋体" w:eastAsia="新宋体" w:cs="新宋体"/>
          <w:b/>
          <w:bCs/>
          <w:color w:val="auto"/>
          <w:sz w:val="28"/>
          <w:szCs w:val="28"/>
          <w:highlight w:val="none"/>
          <w:lang w:eastAsia="zh-CN"/>
        </w:rPr>
      </w:pPr>
    </w:p>
    <w:p w14:paraId="59BFB3EB">
      <w:pPr>
        <w:jc w:val="center"/>
        <w:outlineLvl w:val="9"/>
        <w:rPr>
          <w:rFonts w:hint="eastAsia" w:ascii="新宋体" w:hAnsi="新宋体" w:eastAsia="新宋体" w:cs="新宋体"/>
          <w:b/>
          <w:bCs/>
          <w:color w:val="auto"/>
          <w:sz w:val="28"/>
          <w:szCs w:val="28"/>
          <w:highlight w:val="none"/>
          <w:lang w:eastAsia="zh-CN"/>
        </w:rPr>
      </w:pPr>
    </w:p>
    <w:p w14:paraId="6C7D40B3">
      <w:pPr>
        <w:jc w:val="center"/>
        <w:outlineLvl w:val="9"/>
        <w:rPr>
          <w:rFonts w:hint="eastAsia" w:ascii="新宋体" w:hAnsi="新宋体" w:eastAsia="新宋体" w:cs="新宋体"/>
          <w:b/>
          <w:bCs/>
          <w:color w:val="auto"/>
          <w:sz w:val="28"/>
          <w:szCs w:val="28"/>
          <w:highlight w:val="none"/>
          <w:lang w:eastAsia="zh-CN"/>
        </w:rPr>
      </w:pPr>
    </w:p>
    <w:p w14:paraId="21796285">
      <w:pPr>
        <w:jc w:val="center"/>
        <w:outlineLvl w:val="9"/>
        <w:rPr>
          <w:rFonts w:hint="eastAsia" w:ascii="新宋体" w:hAnsi="新宋体" w:eastAsia="新宋体" w:cs="新宋体"/>
          <w:b/>
          <w:bCs/>
          <w:color w:val="auto"/>
          <w:sz w:val="28"/>
          <w:szCs w:val="28"/>
          <w:highlight w:val="none"/>
          <w:lang w:eastAsia="zh-CN"/>
        </w:rPr>
      </w:pPr>
    </w:p>
    <w:p w14:paraId="10C98501">
      <w:pPr>
        <w:jc w:val="center"/>
        <w:outlineLvl w:val="9"/>
        <w:rPr>
          <w:rFonts w:hint="eastAsia" w:ascii="新宋体" w:hAnsi="新宋体" w:eastAsia="新宋体" w:cs="新宋体"/>
          <w:b/>
          <w:bCs/>
          <w:color w:val="auto"/>
          <w:sz w:val="28"/>
          <w:szCs w:val="28"/>
          <w:highlight w:val="none"/>
          <w:lang w:eastAsia="zh-CN"/>
        </w:rPr>
      </w:pPr>
      <w:bookmarkStart w:id="216" w:name="_Toc25908"/>
      <w:bookmarkStart w:id="217" w:name="_Toc7168"/>
      <w:bookmarkStart w:id="218" w:name="_Toc20834"/>
      <w:r>
        <w:rPr>
          <w:rFonts w:hint="eastAsia" w:ascii="新宋体" w:hAnsi="新宋体" w:eastAsia="新宋体" w:cs="新宋体"/>
          <w:b/>
          <w:bCs/>
          <w:color w:val="auto"/>
          <w:sz w:val="28"/>
          <w:szCs w:val="28"/>
          <w:highlight w:val="none"/>
          <w:lang w:val="en-US" w:eastAsia="zh-CN"/>
        </w:rPr>
        <w:t>九</w:t>
      </w:r>
      <w:r>
        <w:rPr>
          <w:rFonts w:hint="eastAsia" w:ascii="新宋体" w:hAnsi="新宋体" w:eastAsia="新宋体" w:cs="新宋体"/>
          <w:b/>
          <w:bCs/>
          <w:color w:val="auto"/>
          <w:sz w:val="28"/>
          <w:szCs w:val="28"/>
          <w:highlight w:val="none"/>
          <w:lang w:eastAsia="zh-CN"/>
        </w:rPr>
        <w:t>、招标文件规定的其他与本项目相关的证明文件</w:t>
      </w:r>
      <w:bookmarkEnd w:id="216"/>
      <w:bookmarkEnd w:id="217"/>
    </w:p>
    <w:p w14:paraId="5F01610D">
      <w:pPr>
        <w:jc w:val="center"/>
        <w:outlineLvl w:val="9"/>
        <w:rPr>
          <w:rFonts w:hint="eastAsia" w:ascii="新宋体" w:hAnsi="新宋体" w:eastAsia="新宋体" w:cs="新宋体"/>
          <w:b/>
          <w:bCs/>
          <w:color w:val="auto"/>
          <w:sz w:val="28"/>
          <w:szCs w:val="28"/>
          <w:highlight w:val="none"/>
          <w:lang w:eastAsia="zh-CN"/>
        </w:rPr>
      </w:pPr>
      <w:bookmarkStart w:id="219" w:name="_Toc11427"/>
      <w:r>
        <w:rPr>
          <w:rFonts w:hint="eastAsia" w:ascii="新宋体" w:hAnsi="新宋体" w:eastAsia="新宋体" w:cs="新宋体"/>
          <w:b/>
          <w:bCs/>
          <w:color w:val="auto"/>
          <w:sz w:val="28"/>
          <w:szCs w:val="28"/>
          <w:highlight w:val="none"/>
          <w:lang w:eastAsia="zh-CN"/>
        </w:rPr>
        <w:t>（一）监狱企业证明资料</w:t>
      </w:r>
      <w:bookmarkEnd w:id="218"/>
      <w:bookmarkEnd w:id="219"/>
    </w:p>
    <w:p w14:paraId="60E1FBBB">
      <w:pPr>
        <w:adjustRightInd w:val="0"/>
        <w:snapToGrid w:val="0"/>
        <w:spacing w:line="360" w:lineRule="auto"/>
        <w:jc w:val="center"/>
        <w:outlineLvl w:val="9"/>
        <w:rPr>
          <w:rFonts w:hint="eastAsia" w:ascii="新宋体" w:hAnsi="新宋体" w:eastAsia="新宋体" w:cs="新宋体"/>
          <w:color w:val="auto"/>
          <w:sz w:val="21"/>
          <w:szCs w:val="21"/>
          <w:highlight w:val="none"/>
          <w:lang w:eastAsia="zh-CN"/>
        </w:rPr>
      </w:pPr>
      <w:r>
        <w:rPr>
          <w:rFonts w:hint="eastAsia" w:ascii="新宋体" w:hAnsi="新宋体" w:eastAsia="新宋体" w:cs="新宋体"/>
          <w:color w:val="auto"/>
          <w:sz w:val="21"/>
          <w:szCs w:val="21"/>
          <w:highlight w:val="none"/>
          <w:lang w:eastAsia="zh-CN"/>
        </w:rPr>
        <w:t>（不享受政府采购政策优惠的无须填写，评审时不作无效投标处理）</w:t>
      </w:r>
    </w:p>
    <w:p w14:paraId="372B5B35">
      <w:pPr>
        <w:pStyle w:val="24"/>
        <w:outlineLvl w:val="9"/>
        <w:rPr>
          <w:rFonts w:hint="eastAsia" w:ascii="新宋体" w:hAnsi="新宋体" w:eastAsia="新宋体" w:cs="新宋体"/>
          <w:color w:val="auto"/>
          <w:sz w:val="21"/>
          <w:szCs w:val="21"/>
          <w:highlight w:val="none"/>
        </w:rPr>
      </w:pPr>
    </w:p>
    <w:p w14:paraId="08DA7BA5">
      <w:pPr>
        <w:pStyle w:val="24"/>
        <w:outlineLvl w:val="9"/>
        <w:rPr>
          <w:rFonts w:hint="eastAsia" w:ascii="新宋体" w:hAnsi="新宋体" w:eastAsia="新宋体" w:cs="新宋体"/>
          <w:color w:val="auto"/>
          <w:sz w:val="21"/>
          <w:szCs w:val="21"/>
          <w:highlight w:val="none"/>
          <w:lang w:eastAsia="zh-CN"/>
        </w:rPr>
      </w:pPr>
      <w:r>
        <w:rPr>
          <w:rFonts w:hint="eastAsia" w:ascii="新宋体" w:hAnsi="新宋体" w:eastAsia="新宋体" w:cs="新宋体"/>
          <w:bCs/>
          <w:color w:val="auto"/>
          <w:sz w:val="21"/>
          <w:szCs w:val="21"/>
          <w:highlight w:val="none"/>
        </w:rPr>
        <w:t>注</w:t>
      </w:r>
      <w:r>
        <w:rPr>
          <w:rFonts w:hint="eastAsia" w:ascii="新宋体" w:hAnsi="新宋体" w:eastAsia="新宋体" w:cs="新宋体"/>
          <w:bCs/>
          <w:color w:val="auto"/>
          <w:spacing w:val="6"/>
          <w:kern w:val="0"/>
          <w:sz w:val="21"/>
          <w:szCs w:val="21"/>
          <w:highlight w:val="none"/>
        </w:rPr>
        <w:t>：</w:t>
      </w:r>
      <w:r>
        <w:rPr>
          <w:rFonts w:hint="eastAsia" w:ascii="新宋体" w:hAnsi="新宋体" w:eastAsia="新宋体" w:cs="新宋体"/>
          <w:color w:val="auto"/>
          <w:sz w:val="21"/>
          <w:szCs w:val="21"/>
          <w:highlight w:val="none"/>
        </w:rPr>
        <w:t>按</w:t>
      </w:r>
      <w:r>
        <w:rPr>
          <w:rFonts w:hint="eastAsia" w:ascii="新宋体" w:hAnsi="新宋体" w:eastAsia="新宋体" w:cs="新宋体"/>
          <w:color w:val="auto"/>
          <w:spacing w:val="6"/>
          <w:sz w:val="21"/>
          <w:szCs w:val="21"/>
          <w:highlight w:val="none"/>
        </w:rPr>
        <w:t>《</w:t>
      </w:r>
      <w:r>
        <w:rPr>
          <w:rFonts w:hint="eastAsia" w:ascii="新宋体" w:hAnsi="新宋体" w:eastAsia="新宋体" w:cs="新宋体"/>
          <w:color w:val="auto"/>
          <w:sz w:val="21"/>
          <w:szCs w:val="21"/>
          <w:highlight w:val="none"/>
        </w:rPr>
        <w:t>财政部司法部关于政府采购支持监狱企业发展有关问题的通知</w:t>
      </w:r>
      <w:r>
        <w:rPr>
          <w:rFonts w:hint="eastAsia" w:ascii="新宋体" w:hAnsi="新宋体" w:eastAsia="新宋体" w:cs="新宋体"/>
          <w:color w:val="auto"/>
          <w:spacing w:val="6"/>
          <w:sz w:val="21"/>
          <w:szCs w:val="21"/>
          <w:highlight w:val="none"/>
        </w:rPr>
        <w:t>》</w:t>
      </w:r>
      <w:r>
        <w:rPr>
          <w:rFonts w:hint="eastAsia" w:ascii="新宋体" w:hAnsi="新宋体" w:eastAsia="新宋体" w:cs="新宋体"/>
          <w:color w:val="auto"/>
          <w:sz w:val="21"/>
          <w:szCs w:val="21"/>
          <w:highlight w:val="none"/>
        </w:rPr>
        <w:t>(财库〔2014〕68号)文件规定提供证明文件</w:t>
      </w:r>
      <w:r>
        <w:rPr>
          <w:rFonts w:hint="eastAsia" w:ascii="新宋体" w:hAnsi="新宋体" w:eastAsia="新宋体" w:cs="新宋体"/>
          <w:color w:val="auto"/>
          <w:sz w:val="21"/>
          <w:szCs w:val="21"/>
          <w:highlight w:val="none"/>
          <w:lang w:eastAsia="zh-CN"/>
        </w:rPr>
        <w:t>（复印件）。</w:t>
      </w:r>
    </w:p>
    <w:p w14:paraId="5124AD3E">
      <w:pPr>
        <w:jc w:val="center"/>
        <w:outlineLvl w:val="9"/>
        <w:rPr>
          <w:rFonts w:hint="eastAsia" w:ascii="新宋体" w:hAnsi="新宋体" w:eastAsia="新宋体" w:cs="新宋体"/>
          <w:b/>
          <w:bCs/>
          <w:color w:val="auto"/>
          <w:sz w:val="28"/>
          <w:szCs w:val="28"/>
          <w:highlight w:val="none"/>
          <w:lang w:eastAsia="zh-CN"/>
        </w:rPr>
      </w:pPr>
    </w:p>
    <w:p w14:paraId="525B157A">
      <w:pPr>
        <w:jc w:val="center"/>
        <w:outlineLvl w:val="9"/>
        <w:rPr>
          <w:rFonts w:hint="eastAsia" w:ascii="新宋体" w:hAnsi="新宋体" w:eastAsia="新宋体" w:cs="新宋体"/>
          <w:b/>
          <w:bCs/>
          <w:color w:val="auto"/>
          <w:sz w:val="28"/>
          <w:szCs w:val="28"/>
          <w:highlight w:val="none"/>
          <w:lang w:eastAsia="zh-CN"/>
        </w:rPr>
      </w:pPr>
    </w:p>
    <w:p w14:paraId="02541F6B">
      <w:pPr>
        <w:pStyle w:val="14"/>
        <w:outlineLvl w:val="9"/>
        <w:rPr>
          <w:rFonts w:hint="eastAsia" w:ascii="新宋体" w:hAnsi="新宋体" w:eastAsia="新宋体" w:cs="新宋体"/>
          <w:b/>
          <w:bCs/>
          <w:color w:val="auto"/>
          <w:sz w:val="28"/>
          <w:szCs w:val="28"/>
          <w:highlight w:val="none"/>
          <w:lang w:eastAsia="zh-CN"/>
        </w:rPr>
      </w:pPr>
    </w:p>
    <w:p w14:paraId="759940F4">
      <w:pPr>
        <w:pStyle w:val="14"/>
        <w:outlineLvl w:val="9"/>
        <w:rPr>
          <w:rFonts w:hint="eastAsia" w:ascii="新宋体" w:hAnsi="新宋体" w:eastAsia="新宋体" w:cs="新宋体"/>
          <w:b/>
          <w:bCs/>
          <w:color w:val="auto"/>
          <w:sz w:val="28"/>
          <w:szCs w:val="28"/>
          <w:highlight w:val="none"/>
          <w:lang w:eastAsia="zh-CN"/>
        </w:rPr>
      </w:pPr>
    </w:p>
    <w:p w14:paraId="337ADC49">
      <w:pPr>
        <w:pStyle w:val="14"/>
        <w:outlineLvl w:val="9"/>
        <w:rPr>
          <w:rFonts w:hint="eastAsia" w:ascii="新宋体" w:hAnsi="新宋体" w:eastAsia="新宋体" w:cs="新宋体"/>
          <w:b/>
          <w:bCs/>
          <w:color w:val="auto"/>
          <w:sz w:val="28"/>
          <w:szCs w:val="28"/>
          <w:highlight w:val="none"/>
          <w:lang w:eastAsia="zh-CN"/>
        </w:rPr>
      </w:pPr>
    </w:p>
    <w:p w14:paraId="3A6FD895">
      <w:pPr>
        <w:pStyle w:val="14"/>
        <w:outlineLvl w:val="9"/>
        <w:rPr>
          <w:rFonts w:hint="eastAsia" w:ascii="新宋体" w:hAnsi="新宋体" w:eastAsia="新宋体" w:cs="新宋体"/>
          <w:b/>
          <w:bCs/>
          <w:color w:val="auto"/>
          <w:sz w:val="28"/>
          <w:szCs w:val="28"/>
          <w:highlight w:val="none"/>
          <w:lang w:eastAsia="zh-CN"/>
        </w:rPr>
      </w:pPr>
    </w:p>
    <w:p w14:paraId="6C09BEA9">
      <w:pPr>
        <w:pStyle w:val="14"/>
        <w:outlineLvl w:val="9"/>
        <w:rPr>
          <w:rFonts w:hint="eastAsia" w:ascii="新宋体" w:hAnsi="新宋体" w:eastAsia="新宋体" w:cs="新宋体"/>
          <w:b/>
          <w:bCs/>
          <w:color w:val="auto"/>
          <w:sz w:val="28"/>
          <w:szCs w:val="28"/>
          <w:highlight w:val="none"/>
          <w:lang w:eastAsia="zh-CN"/>
        </w:rPr>
      </w:pPr>
    </w:p>
    <w:p w14:paraId="47D917E4">
      <w:pPr>
        <w:pStyle w:val="14"/>
        <w:outlineLvl w:val="9"/>
        <w:rPr>
          <w:rFonts w:hint="eastAsia" w:ascii="新宋体" w:hAnsi="新宋体" w:eastAsia="新宋体" w:cs="新宋体"/>
          <w:b/>
          <w:bCs/>
          <w:color w:val="auto"/>
          <w:sz w:val="28"/>
          <w:szCs w:val="28"/>
          <w:highlight w:val="none"/>
          <w:lang w:eastAsia="zh-CN"/>
        </w:rPr>
      </w:pPr>
    </w:p>
    <w:p w14:paraId="3F6A42E9">
      <w:pPr>
        <w:pStyle w:val="14"/>
        <w:outlineLvl w:val="9"/>
        <w:rPr>
          <w:rFonts w:hint="eastAsia" w:ascii="新宋体" w:hAnsi="新宋体" w:eastAsia="新宋体" w:cs="新宋体"/>
          <w:b/>
          <w:bCs/>
          <w:color w:val="auto"/>
          <w:sz w:val="28"/>
          <w:szCs w:val="28"/>
          <w:highlight w:val="none"/>
          <w:lang w:eastAsia="zh-CN"/>
        </w:rPr>
      </w:pPr>
    </w:p>
    <w:p w14:paraId="37DEB645">
      <w:pPr>
        <w:pStyle w:val="14"/>
        <w:outlineLvl w:val="9"/>
        <w:rPr>
          <w:rFonts w:hint="eastAsia" w:ascii="新宋体" w:hAnsi="新宋体" w:eastAsia="新宋体" w:cs="新宋体"/>
          <w:b/>
          <w:bCs/>
          <w:color w:val="auto"/>
          <w:sz w:val="28"/>
          <w:szCs w:val="28"/>
          <w:highlight w:val="none"/>
          <w:lang w:eastAsia="zh-CN"/>
        </w:rPr>
      </w:pPr>
    </w:p>
    <w:p w14:paraId="2B8DB713">
      <w:pPr>
        <w:pStyle w:val="14"/>
        <w:outlineLvl w:val="9"/>
        <w:rPr>
          <w:rFonts w:hint="eastAsia" w:ascii="新宋体" w:hAnsi="新宋体" w:eastAsia="新宋体" w:cs="新宋体"/>
          <w:b/>
          <w:bCs/>
          <w:color w:val="auto"/>
          <w:sz w:val="28"/>
          <w:szCs w:val="28"/>
          <w:highlight w:val="none"/>
          <w:lang w:eastAsia="zh-CN"/>
        </w:rPr>
      </w:pPr>
    </w:p>
    <w:p w14:paraId="2DFA16E5">
      <w:pPr>
        <w:pStyle w:val="14"/>
        <w:outlineLvl w:val="9"/>
        <w:rPr>
          <w:rFonts w:hint="eastAsia" w:ascii="新宋体" w:hAnsi="新宋体" w:eastAsia="新宋体" w:cs="新宋体"/>
          <w:b/>
          <w:bCs/>
          <w:color w:val="auto"/>
          <w:sz w:val="28"/>
          <w:szCs w:val="28"/>
          <w:highlight w:val="none"/>
          <w:lang w:eastAsia="zh-CN"/>
        </w:rPr>
      </w:pPr>
    </w:p>
    <w:p w14:paraId="2EAF70B2">
      <w:pPr>
        <w:pStyle w:val="14"/>
        <w:outlineLvl w:val="9"/>
        <w:rPr>
          <w:rFonts w:hint="eastAsia" w:ascii="新宋体" w:hAnsi="新宋体" w:eastAsia="新宋体" w:cs="新宋体"/>
          <w:b/>
          <w:bCs/>
          <w:color w:val="auto"/>
          <w:sz w:val="28"/>
          <w:szCs w:val="28"/>
          <w:highlight w:val="none"/>
          <w:lang w:eastAsia="zh-CN"/>
        </w:rPr>
      </w:pPr>
    </w:p>
    <w:p w14:paraId="22CBD3E4">
      <w:pPr>
        <w:pStyle w:val="14"/>
        <w:outlineLvl w:val="9"/>
        <w:rPr>
          <w:rFonts w:hint="eastAsia" w:ascii="新宋体" w:hAnsi="新宋体" w:eastAsia="新宋体" w:cs="新宋体"/>
          <w:b/>
          <w:bCs/>
          <w:color w:val="auto"/>
          <w:sz w:val="28"/>
          <w:szCs w:val="28"/>
          <w:highlight w:val="none"/>
          <w:lang w:eastAsia="zh-CN"/>
        </w:rPr>
      </w:pPr>
    </w:p>
    <w:p w14:paraId="16DA304D">
      <w:pPr>
        <w:pStyle w:val="14"/>
        <w:outlineLvl w:val="9"/>
        <w:rPr>
          <w:rFonts w:hint="eastAsia" w:ascii="新宋体" w:hAnsi="新宋体" w:eastAsia="新宋体" w:cs="新宋体"/>
          <w:b/>
          <w:bCs/>
          <w:color w:val="auto"/>
          <w:sz w:val="28"/>
          <w:szCs w:val="28"/>
          <w:highlight w:val="none"/>
          <w:lang w:eastAsia="zh-CN"/>
        </w:rPr>
      </w:pPr>
    </w:p>
    <w:p w14:paraId="7F5D34B7">
      <w:pPr>
        <w:pStyle w:val="14"/>
        <w:outlineLvl w:val="9"/>
        <w:rPr>
          <w:rFonts w:hint="eastAsia" w:ascii="新宋体" w:hAnsi="新宋体" w:eastAsia="新宋体" w:cs="新宋体"/>
          <w:b/>
          <w:bCs/>
          <w:color w:val="auto"/>
          <w:sz w:val="28"/>
          <w:szCs w:val="28"/>
          <w:highlight w:val="none"/>
          <w:lang w:eastAsia="zh-CN"/>
        </w:rPr>
      </w:pPr>
    </w:p>
    <w:p w14:paraId="1ABF2D71">
      <w:pPr>
        <w:jc w:val="center"/>
        <w:outlineLvl w:val="9"/>
        <w:rPr>
          <w:rFonts w:hint="eastAsia" w:ascii="新宋体" w:hAnsi="新宋体" w:eastAsia="新宋体" w:cs="新宋体"/>
          <w:b/>
          <w:bCs/>
          <w:color w:val="auto"/>
          <w:sz w:val="28"/>
          <w:szCs w:val="28"/>
          <w:highlight w:val="none"/>
          <w:lang w:eastAsia="zh-CN"/>
        </w:rPr>
      </w:pPr>
      <w:bookmarkStart w:id="220" w:name="_Toc27988"/>
      <w:bookmarkStart w:id="221" w:name="_Toc16287"/>
      <w:r>
        <w:rPr>
          <w:rFonts w:hint="eastAsia" w:ascii="新宋体" w:hAnsi="新宋体" w:eastAsia="新宋体" w:cs="新宋体"/>
          <w:b/>
          <w:bCs/>
          <w:color w:val="auto"/>
          <w:sz w:val="28"/>
          <w:szCs w:val="28"/>
          <w:highlight w:val="none"/>
          <w:lang w:val="en-US" w:eastAsia="zh-CN"/>
        </w:rPr>
        <w:t>（二）</w:t>
      </w:r>
      <w:r>
        <w:rPr>
          <w:rFonts w:hint="eastAsia" w:ascii="新宋体" w:hAnsi="新宋体" w:eastAsia="新宋体" w:cs="新宋体"/>
          <w:b/>
          <w:bCs/>
          <w:color w:val="auto"/>
          <w:sz w:val="28"/>
          <w:szCs w:val="28"/>
          <w:highlight w:val="none"/>
          <w:lang w:eastAsia="zh-CN"/>
        </w:rPr>
        <w:t>强制采购或者优先采购产品的证明材料</w:t>
      </w:r>
      <w:bookmarkEnd w:id="220"/>
      <w:bookmarkEnd w:id="221"/>
    </w:p>
    <w:p w14:paraId="25919C43">
      <w:pPr>
        <w:adjustRightInd w:val="0"/>
        <w:snapToGrid w:val="0"/>
        <w:spacing w:line="360" w:lineRule="auto"/>
        <w:jc w:val="center"/>
        <w:outlineLvl w:val="9"/>
        <w:rPr>
          <w:rFonts w:hint="eastAsia" w:ascii="新宋体" w:hAnsi="新宋体" w:eastAsia="新宋体" w:cs="新宋体"/>
          <w:b/>
          <w:color w:val="auto"/>
          <w:spacing w:val="6"/>
          <w:sz w:val="21"/>
          <w:szCs w:val="21"/>
          <w:highlight w:val="none"/>
        </w:rPr>
      </w:pPr>
      <w:r>
        <w:rPr>
          <w:rFonts w:hint="eastAsia" w:ascii="新宋体" w:hAnsi="新宋体" w:eastAsia="新宋体" w:cs="新宋体"/>
          <w:color w:val="auto"/>
          <w:sz w:val="21"/>
          <w:szCs w:val="21"/>
          <w:highlight w:val="none"/>
          <w:lang w:eastAsia="zh-CN"/>
        </w:rPr>
        <w:t>（不享受政府采购政策优惠的无须填写，评审时不作无效投标处理）</w:t>
      </w:r>
    </w:p>
    <w:p w14:paraId="5F3316B0">
      <w:pPr>
        <w:adjustRightInd w:val="0"/>
        <w:snapToGrid w:val="0"/>
        <w:spacing w:line="360" w:lineRule="auto"/>
        <w:ind w:firstLine="420" w:firstLineChars="200"/>
        <w:jc w:val="left"/>
        <w:outlineLvl w:val="9"/>
        <w:rPr>
          <w:rFonts w:hint="eastAsia" w:ascii="新宋体" w:hAnsi="新宋体" w:eastAsia="新宋体" w:cs="新宋体"/>
          <w:color w:val="auto"/>
          <w:sz w:val="21"/>
          <w:szCs w:val="21"/>
          <w:highlight w:val="none"/>
        </w:rPr>
      </w:pPr>
    </w:p>
    <w:p w14:paraId="77C1659E">
      <w:pPr>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注：投标人提供的产品</w:t>
      </w:r>
      <w:r>
        <w:rPr>
          <w:rFonts w:hint="eastAsia" w:ascii="新宋体" w:hAnsi="新宋体" w:eastAsia="新宋体" w:cs="新宋体"/>
          <w:bCs/>
          <w:color w:val="auto"/>
          <w:sz w:val="21"/>
          <w:szCs w:val="21"/>
          <w:highlight w:val="none"/>
        </w:rPr>
        <w:t>属于强制采购或者优先采购的</w:t>
      </w:r>
      <w:r>
        <w:rPr>
          <w:rFonts w:hint="eastAsia" w:ascii="新宋体" w:hAnsi="新宋体" w:eastAsia="新宋体" w:cs="新宋体"/>
          <w:color w:val="auto"/>
          <w:sz w:val="21"/>
          <w:szCs w:val="21"/>
          <w:highlight w:val="none"/>
        </w:rPr>
        <w:t>，应按第二章第33.6款规定提供证明材料和本章本节附页</w:t>
      </w:r>
      <w:r>
        <w:rPr>
          <w:rFonts w:hint="eastAsia" w:ascii="新宋体" w:hAnsi="新宋体" w:eastAsia="新宋体" w:cs="新宋体"/>
          <w:color w:val="auto"/>
          <w:sz w:val="21"/>
          <w:szCs w:val="21"/>
          <w:highlight w:val="none"/>
          <w:lang w:val="en-US" w:eastAsia="zh-CN"/>
        </w:rPr>
        <w:t>1</w:t>
      </w:r>
      <w:r>
        <w:rPr>
          <w:rFonts w:hint="eastAsia" w:ascii="新宋体" w:hAnsi="新宋体" w:eastAsia="新宋体" w:cs="新宋体"/>
          <w:color w:val="auto"/>
          <w:sz w:val="21"/>
          <w:szCs w:val="21"/>
          <w:highlight w:val="none"/>
        </w:rPr>
        <w:t>“优先采购产品清单”，并加盖投标人单位章。</w:t>
      </w:r>
    </w:p>
    <w:p w14:paraId="0D8427C1">
      <w:pPr>
        <w:pageBreakBefore w:val="0"/>
        <w:widowControl w:val="0"/>
        <w:kinsoku/>
        <w:wordWrap/>
        <w:overflowPunct/>
        <w:topLinePunct w:val="0"/>
        <w:autoSpaceDE/>
        <w:autoSpaceDN/>
        <w:bidi w:val="0"/>
        <w:spacing w:before="0" w:after="0" w:line="400" w:lineRule="exact"/>
        <w:jc w:val="left"/>
        <w:textAlignment w:val="auto"/>
        <w:outlineLvl w:val="9"/>
        <w:rPr>
          <w:rFonts w:hint="eastAsia" w:ascii="新宋体" w:hAnsi="新宋体" w:eastAsia="新宋体" w:cs="新宋体"/>
          <w:b w:val="0"/>
          <w:color w:val="auto"/>
          <w:sz w:val="21"/>
          <w:szCs w:val="21"/>
          <w:highlight w:val="none"/>
        </w:rPr>
      </w:pPr>
      <w:bookmarkStart w:id="222" w:name="_Toc30616"/>
      <w:bookmarkStart w:id="223" w:name="_Toc18146"/>
      <w:r>
        <w:rPr>
          <w:rFonts w:hint="eastAsia" w:ascii="新宋体" w:hAnsi="新宋体" w:eastAsia="新宋体" w:cs="新宋体"/>
          <w:b w:val="0"/>
          <w:bCs w:val="0"/>
          <w:color w:val="auto"/>
          <w:spacing w:val="6"/>
          <w:kern w:val="0"/>
          <w:sz w:val="21"/>
          <w:szCs w:val="21"/>
          <w:highlight w:val="none"/>
        </w:rPr>
        <w:t xml:space="preserve">附页 1 </w:t>
      </w:r>
      <w:r>
        <w:rPr>
          <w:rFonts w:hint="eastAsia" w:ascii="新宋体" w:hAnsi="新宋体" w:eastAsia="新宋体" w:cs="新宋体"/>
          <w:b w:val="0"/>
          <w:color w:val="auto"/>
          <w:sz w:val="21"/>
          <w:szCs w:val="21"/>
          <w:highlight w:val="none"/>
        </w:rPr>
        <w:t>优先采购产品清单</w:t>
      </w:r>
      <w:bookmarkEnd w:id="222"/>
      <w:bookmarkEnd w:id="223"/>
    </w:p>
    <w:p w14:paraId="0956FD7C">
      <w:pPr>
        <w:adjustRightInd w:val="0"/>
        <w:snapToGrid w:val="0"/>
        <w:spacing w:line="360" w:lineRule="auto"/>
        <w:jc w:val="center"/>
        <w:outlineLvl w:val="9"/>
        <w:rPr>
          <w:rFonts w:hint="eastAsia" w:ascii="新宋体" w:hAnsi="新宋体" w:eastAsia="新宋体" w:cs="新宋体"/>
          <w:b/>
          <w:color w:val="auto"/>
          <w:spacing w:val="6"/>
          <w:sz w:val="21"/>
          <w:szCs w:val="21"/>
          <w:highlight w:val="none"/>
        </w:rPr>
      </w:pPr>
      <w:r>
        <w:rPr>
          <w:rFonts w:hint="eastAsia" w:ascii="新宋体" w:hAnsi="新宋体" w:eastAsia="新宋体" w:cs="新宋体"/>
          <w:b/>
          <w:color w:val="auto"/>
          <w:sz w:val="21"/>
          <w:szCs w:val="21"/>
          <w:highlight w:val="none"/>
        </w:rPr>
        <w:t>优先采购产品清单</w:t>
      </w:r>
    </w:p>
    <w:p w14:paraId="72E0EEB0">
      <w:pPr>
        <w:adjustRightInd w:val="0"/>
        <w:snapToGrid w:val="0"/>
        <w:spacing w:line="360" w:lineRule="auto"/>
        <w:outlineLvl w:val="9"/>
        <w:rPr>
          <w:rFonts w:hint="eastAsia" w:ascii="新宋体" w:hAnsi="新宋体" w:eastAsia="新宋体" w:cs="新宋体"/>
          <w:color w:val="auto"/>
          <w:sz w:val="21"/>
          <w:szCs w:val="21"/>
          <w:highlight w:val="none"/>
          <w:u w:val="single"/>
        </w:rPr>
      </w:pPr>
      <w:r>
        <w:rPr>
          <w:rFonts w:hint="eastAsia" w:ascii="新宋体" w:hAnsi="新宋体" w:eastAsia="新宋体" w:cs="新宋体"/>
          <w:color w:val="auto"/>
          <w:sz w:val="21"/>
          <w:szCs w:val="21"/>
          <w:highlight w:val="none"/>
        </w:rPr>
        <w:t>政府采购计划编号：</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 xml:space="preserve">                     项目名称：</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 xml:space="preserve"> </w:t>
      </w:r>
      <w:r>
        <w:rPr>
          <w:rFonts w:hint="eastAsia" w:ascii="新宋体" w:hAnsi="新宋体" w:eastAsia="新宋体" w:cs="新宋体"/>
          <w:color w:val="auto"/>
          <w:sz w:val="21"/>
          <w:szCs w:val="21"/>
          <w:highlight w:val="none"/>
          <w:u w:val="single"/>
        </w:rPr>
        <w:t xml:space="preserve">       </w:t>
      </w:r>
    </w:p>
    <w:p w14:paraId="77E80378">
      <w:pPr>
        <w:adjustRightInd w:val="0"/>
        <w:snapToGrid w:val="0"/>
        <w:spacing w:line="360" w:lineRule="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u w:val="none"/>
          <w:lang w:eastAsia="zh-CN"/>
        </w:rPr>
        <w:t>包号及标的名称：</w:t>
      </w:r>
      <w:r>
        <w:rPr>
          <w:rFonts w:hint="eastAsia" w:ascii="新宋体" w:hAnsi="新宋体" w:eastAsia="新宋体" w:cs="新宋体"/>
          <w:color w:val="auto"/>
          <w:sz w:val="21"/>
          <w:szCs w:val="21"/>
          <w:highlight w:val="none"/>
          <w:u w:val="single"/>
          <w:lang w:val="en-US" w:eastAsia="zh-CN"/>
        </w:rPr>
        <w:t xml:space="preserve">              </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 xml:space="preserve">  </w:t>
      </w:r>
    </w:p>
    <w:tbl>
      <w:tblPr>
        <w:tblStyle w:val="26"/>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51"/>
        <w:gridCol w:w="1945"/>
        <w:gridCol w:w="1267"/>
        <w:gridCol w:w="1586"/>
        <w:gridCol w:w="2219"/>
        <w:gridCol w:w="2086"/>
      </w:tblGrid>
      <w:tr w14:paraId="7D56E8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5000" w:type="pct"/>
            <w:gridSpan w:val="6"/>
            <w:noWrap w:val="0"/>
            <w:vAlign w:val="center"/>
          </w:tcPr>
          <w:p w14:paraId="4A30118B">
            <w:pPr>
              <w:keepNext w:val="0"/>
              <w:keepLines w:val="0"/>
              <w:widowControl/>
              <w:suppressLineNumbers w:val="0"/>
              <w:adjustRightInd w:val="0"/>
              <w:snapToGrid w:val="0"/>
              <w:spacing w:before="0" w:beforeAutospacing="0" w:after="0" w:afterAutospacing="0" w:line="360" w:lineRule="auto"/>
              <w:ind w:left="0" w:right="0" w:firstLine="420" w:firstLineChars="200"/>
              <w:jc w:val="left"/>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以下为投标人提供的政府采购优先采购产品，投标人对本表的真实性负责。如有虚假，将依法承担相应责任。</w:t>
            </w:r>
          </w:p>
        </w:tc>
      </w:tr>
      <w:tr w14:paraId="2F5377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381" w:type="pct"/>
            <w:noWrap w:val="0"/>
            <w:vAlign w:val="center"/>
          </w:tcPr>
          <w:p w14:paraId="3B4843E0">
            <w:pPr>
              <w:keepNext w:val="0"/>
              <w:keepLines w:val="0"/>
              <w:widowControl/>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1</w:t>
            </w:r>
          </w:p>
        </w:tc>
        <w:tc>
          <w:tcPr>
            <w:tcW w:w="987" w:type="pct"/>
            <w:noWrap w:val="0"/>
            <w:vAlign w:val="center"/>
          </w:tcPr>
          <w:p w14:paraId="1939E0C4">
            <w:pPr>
              <w:keepNext w:val="0"/>
              <w:keepLines w:val="0"/>
              <w:widowControl/>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2</w:t>
            </w:r>
          </w:p>
        </w:tc>
        <w:tc>
          <w:tcPr>
            <w:tcW w:w="643" w:type="pct"/>
            <w:tcBorders>
              <w:right w:val="single" w:color="auto" w:sz="4" w:space="0"/>
            </w:tcBorders>
            <w:noWrap w:val="0"/>
            <w:vAlign w:val="center"/>
          </w:tcPr>
          <w:p w14:paraId="64F9691C">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3</w:t>
            </w:r>
          </w:p>
        </w:tc>
        <w:tc>
          <w:tcPr>
            <w:tcW w:w="805" w:type="pct"/>
            <w:tcBorders>
              <w:left w:val="single" w:color="auto" w:sz="4" w:space="0"/>
            </w:tcBorders>
            <w:noWrap w:val="0"/>
            <w:vAlign w:val="center"/>
          </w:tcPr>
          <w:p w14:paraId="67531AD0">
            <w:pPr>
              <w:keepNext w:val="0"/>
              <w:keepLines w:val="0"/>
              <w:widowControl/>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4</w:t>
            </w:r>
          </w:p>
        </w:tc>
        <w:tc>
          <w:tcPr>
            <w:tcW w:w="1126" w:type="pct"/>
            <w:noWrap w:val="0"/>
            <w:vAlign w:val="center"/>
          </w:tcPr>
          <w:p w14:paraId="3926EC98">
            <w:pPr>
              <w:keepNext w:val="0"/>
              <w:keepLines w:val="0"/>
              <w:widowControl/>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5</w:t>
            </w:r>
          </w:p>
        </w:tc>
        <w:tc>
          <w:tcPr>
            <w:tcW w:w="1054" w:type="pct"/>
            <w:noWrap w:val="0"/>
            <w:vAlign w:val="center"/>
          </w:tcPr>
          <w:p w14:paraId="2ED2B70D">
            <w:pPr>
              <w:keepNext w:val="0"/>
              <w:keepLines w:val="0"/>
              <w:widowControl/>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6</w:t>
            </w:r>
          </w:p>
        </w:tc>
      </w:tr>
      <w:tr w14:paraId="50F98E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381" w:type="pct"/>
            <w:noWrap w:val="0"/>
            <w:vAlign w:val="center"/>
          </w:tcPr>
          <w:p w14:paraId="46731979">
            <w:pPr>
              <w:keepNext w:val="0"/>
              <w:keepLines w:val="0"/>
              <w:widowControl/>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序号</w:t>
            </w:r>
          </w:p>
        </w:tc>
        <w:tc>
          <w:tcPr>
            <w:tcW w:w="987" w:type="pct"/>
            <w:noWrap w:val="0"/>
            <w:vAlign w:val="center"/>
          </w:tcPr>
          <w:p w14:paraId="458363DA">
            <w:pPr>
              <w:keepNext w:val="0"/>
              <w:keepLines w:val="0"/>
              <w:widowControl/>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货物名称</w:t>
            </w:r>
          </w:p>
        </w:tc>
        <w:tc>
          <w:tcPr>
            <w:tcW w:w="643" w:type="pct"/>
            <w:tcBorders>
              <w:right w:val="single" w:color="auto" w:sz="4" w:space="0"/>
            </w:tcBorders>
            <w:noWrap w:val="0"/>
            <w:vAlign w:val="center"/>
          </w:tcPr>
          <w:p w14:paraId="2EB5D588">
            <w:pPr>
              <w:keepNext w:val="0"/>
              <w:keepLines w:val="0"/>
              <w:widowControl/>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规格型号</w:t>
            </w:r>
          </w:p>
        </w:tc>
        <w:tc>
          <w:tcPr>
            <w:tcW w:w="805" w:type="pct"/>
            <w:tcBorders>
              <w:left w:val="single" w:color="auto" w:sz="4" w:space="0"/>
            </w:tcBorders>
            <w:noWrap w:val="0"/>
            <w:vAlign w:val="center"/>
          </w:tcPr>
          <w:p w14:paraId="2A141D6A">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价格（元）</w:t>
            </w:r>
          </w:p>
        </w:tc>
        <w:tc>
          <w:tcPr>
            <w:tcW w:w="1126" w:type="pct"/>
            <w:noWrap w:val="0"/>
            <w:vAlign w:val="center"/>
          </w:tcPr>
          <w:p w14:paraId="7F290DE0">
            <w:pPr>
              <w:keepNext w:val="0"/>
              <w:keepLines w:val="0"/>
              <w:widowControl/>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货物制造商名称</w:t>
            </w:r>
          </w:p>
        </w:tc>
        <w:tc>
          <w:tcPr>
            <w:tcW w:w="1054" w:type="pct"/>
            <w:noWrap w:val="0"/>
            <w:vAlign w:val="center"/>
          </w:tcPr>
          <w:p w14:paraId="06B12CBB">
            <w:pPr>
              <w:keepNext w:val="0"/>
              <w:keepLines w:val="0"/>
              <w:widowControl/>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政策功能编码</w:t>
            </w:r>
          </w:p>
        </w:tc>
      </w:tr>
      <w:tr w14:paraId="12D637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5000" w:type="pct"/>
            <w:gridSpan w:val="6"/>
            <w:noWrap w:val="0"/>
            <w:vAlign w:val="center"/>
          </w:tcPr>
          <w:p w14:paraId="7F246945">
            <w:pPr>
              <w:keepNext w:val="0"/>
              <w:keepLines w:val="0"/>
              <w:suppressLineNumbers w:val="0"/>
              <w:adjustRightInd w:val="0"/>
              <w:snapToGrid w:val="0"/>
              <w:spacing w:before="0" w:beforeAutospacing="0" w:after="0" w:afterAutospacing="0" w:line="360" w:lineRule="auto"/>
              <w:ind w:left="0" w:right="0"/>
              <w:jc w:val="left"/>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节能产品</w:t>
            </w:r>
          </w:p>
        </w:tc>
      </w:tr>
      <w:tr w14:paraId="16FC8A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381" w:type="pct"/>
            <w:noWrap w:val="0"/>
            <w:vAlign w:val="center"/>
          </w:tcPr>
          <w:p w14:paraId="0B49EB79">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b/>
                <w:color w:val="auto"/>
                <w:sz w:val="21"/>
                <w:szCs w:val="21"/>
                <w:highlight w:val="none"/>
              </w:rPr>
            </w:pPr>
          </w:p>
        </w:tc>
        <w:tc>
          <w:tcPr>
            <w:tcW w:w="987" w:type="pct"/>
            <w:noWrap w:val="0"/>
            <w:vAlign w:val="center"/>
          </w:tcPr>
          <w:p w14:paraId="4DDE3564">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b/>
                <w:color w:val="auto"/>
                <w:sz w:val="21"/>
                <w:szCs w:val="21"/>
                <w:highlight w:val="none"/>
              </w:rPr>
            </w:pPr>
          </w:p>
        </w:tc>
        <w:tc>
          <w:tcPr>
            <w:tcW w:w="643" w:type="pct"/>
            <w:tcBorders>
              <w:right w:val="single" w:color="auto" w:sz="4" w:space="0"/>
            </w:tcBorders>
            <w:noWrap w:val="0"/>
            <w:vAlign w:val="center"/>
          </w:tcPr>
          <w:p w14:paraId="624819EC">
            <w:pPr>
              <w:keepNext w:val="0"/>
              <w:keepLines w:val="0"/>
              <w:suppressLineNumbers w:val="0"/>
              <w:adjustRightInd w:val="0"/>
              <w:snapToGrid w:val="0"/>
              <w:spacing w:before="0" w:beforeAutospacing="0" w:after="0" w:afterAutospacing="0" w:line="360" w:lineRule="auto"/>
              <w:ind w:left="0" w:right="0"/>
              <w:jc w:val="left"/>
              <w:outlineLvl w:val="9"/>
              <w:rPr>
                <w:rFonts w:hint="eastAsia" w:ascii="新宋体" w:hAnsi="新宋体" w:eastAsia="新宋体" w:cs="新宋体"/>
                <w:b/>
                <w:color w:val="auto"/>
                <w:sz w:val="21"/>
                <w:szCs w:val="21"/>
                <w:highlight w:val="none"/>
              </w:rPr>
            </w:pPr>
          </w:p>
        </w:tc>
        <w:tc>
          <w:tcPr>
            <w:tcW w:w="805" w:type="pct"/>
            <w:tcBorders>
              <w:left w:val="single" w:color="auto" w:sz="4" w:space="0"/>
            </w:tcBorders>
            <w:noWrap w:val="0"/>
            <w:vAlign w:val="center"/>
          </w:tcPr>
          <w:p w14:paraId="7874E94C">
            <w:pPr>
              <w:keepNext w:val="0"/>
              <w:keepLines w:val="0"/>
              <w:suppressLineNumbers w:val="0"/>
              <w:adjustRightInd w:val="0"/>
              <w:snapToGrid w:val="0"/>
              <w:spacing w:before="0" w:beforeAutospacing="0" w:after="0" w:afterAutospacing="0" w:line="360" w:lineRule="auto"/>
              <w:ind w:left="0" w:right="0"/>
              <w:jc w:val="left"/>
              <w:outlineLvl w:val="9"/>
              <w:rPr>
                <w:rFonts w:hint="eastAsia" w:ascii="新宋体" w:hAnsi="新宋体" w:eastAsia="新宋体" w:cs="新宋体"/>
                <w:b/>
                <w:color w:val="auto"/>
                <w:sz w:val="21"/>
                <w:szCs w:val="21"/>
                <w:highlight w:val="none"/>
              </w:rPr>
            </w:pPr>
          </w:p>
        </w:tc>
        <w:tc>
          <w:tcPr>
            <w:tcW w:w="1126" w:type="pct"/>
            <w:noWrap w:val="0"/>
            <w:vAlign w:val="center"/>
          </w:tcPr>
          <w:p w14:paraId="592BB59A">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b/>
                <w:color w:val="auto"/>
                <w:sz w:val="21"/>
                <w:szCs w:val="21"/>
                <w:highlight w:val="none"/>
              </w:rPr>
            </w:pPr>
          </w:p>
        </w:tc>
        <w:tc>
          <w:tcPr>
            <w:tcW w:w="1054" w:type="pct"/>
            <w:noWrap w:val="0"/>
            <w:vAlign w:val="top"/>
          </w:tcPr>
          <w:p w14:paraId="375F3C55">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b/>
                <w:color w:val="auto"/>
                <w:sz w:val="21"/>
                <w:szCs w:val="21"/>
                <w:highlight w:val="none"/>
              </w:rPr>
            </w:pPr>
          </w:p>
        </w:tc>
      </w:tr>
      <w:tr w14:paraId="158E43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381" w:type="pct"/>
            <w:noWrap w:val="0"/>
            <w:vAlign w:val="center"/>
          </w:tcPr>
          <w:p w14:paraId="7438A1B8">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小计</w:t>
            </w:r>
          </w:p>
        </w:tc>
        <w:tc>
          <w:tcPr>
            <w:tcW w:w="987" w:type="pct"/>
            <w:noWrap w:val="0"/>
            <w:vAlign w:val="center"/>
          </w:tcPr>
          <w:p w14:paraId="23DF95BB">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w:t>
            </w:r>
          </w:p>
        </w:tc>
        <w:tc>
          <w:tcPr>
            <w:tcW w:w="643" w:type="pct"/>
            <w:tcBorders>
              <w:right w:val="single" w:color="auto" w:sz="4" w:space="0"/>
            </w:tcBorders>
            <w:noWrap w:val="0"/>
            <w:vAlign w:val="center"/>
          </w:tcPr>
          <w:p w14:paraId="4D1E7BCA">
            <w:pPr>
              <w:keepNext w:val="0"/>
              <w:keepLines w:val="0"/>
              <w:suppressLineNumbers w:val="0"/>
              <w:adjustRightInd w:val="0"/>
              <w:snapToGrid w:val="0"/>
              <w:spacing w:before="0" w:beforeAutospacing="0" w:after="0" w:afterAutospacing="0" w:line="360" w:lineRule="auto"/>
              <w:ind w:left="0" w:right="0"/>
              <w:jc w:val="left"/>
              <w:outlineLvl w:val="9"/>
              <w:rPr>
                <w:rFonts w:hint="eastAsia" w:ascii="新宋体" w:hAnsi="新宋体" w:eastAsia="新宋体" w:cs="新宋体"/>
                <w:b/>
                <w:color w:val="auto"/>
                <w:sz w:val="21"/>
                <w:szCs w:val="21"/>
                <w:highlight w:val="none"/>
              </w:rPr>
            </w:pPr>
          </w:p>
        </w:tc>
        <w:tc>
          <w:tcPr>
            <w:tcW w:w="805" w:type="pct"/>
            <w:tcBorders>
              <w:left w:val="single" w:color="auto" w:sz="4" w:space="0"/>
            </w:tcBorders>
            <w:noWrap w:val="0"/>
            <w:vAlign w:val="center"/>
          </w:tcPr>
          <w:p w14:paraId="05FFD1DB">
            <w:pPr>
              <w:keepNext w:val="0"/>
              <w:keepLines w:val="0"/>
              <w:suppressLineNumbers w:val="0"/>
              <w:adjustRightInd w:val="0"/>
              <w:snapToGrid w:val="0"/>
              <w:spacing w:before="0" w:beforeAutospacing="0" w:after="0" w:afterAutospacing="0" w:line="360" w:lineRule="auto"/>
              <w:ind w:left="0" w:right="0"/>
              <w:jc w:val="left"/>
              <w:outlineLvl w:val="9"/>
              <w:rPr>
                <w:rFonts w:hint="eastAsia" w:ascii="新宋体" w:hAnsi="新宋体" w:eastAsia="新宋体" w:cs="新宋体"/>
                <w:b/>
                <w:color w:val="auto"/>
                <w:sz w:val="21"/>
                <w:szCs w:val="21"/>
                <w:highlight w:val="none"/>
              </w:rPr>
            </w:pPr>
          </w:p>
        </w:tc>
        <w:tc>
          <w:tcPr>
            <w:tcW w:w="1126" w:type="pct"/>
            <w:noWrap w:val="0"/>
            <w:vAlign w:val="center"/>
          </w:tcPr>
          <w:p w14:paraId="74AF6D44">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w:t>
            </w:r>
          </w:p>
        </w:tc>
        <w:tc>
          <w:tcPr>
            <w:tcW w:w="1054" w:type="pct"/>
            <w:noWrap w:val="0"/>
            <w:vAlign w:val="top"/>
          </w:tcPr>
          <w:p w14:paraId="1E43F314">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w:t>
            </w:r>
          </w:p>
        </w:tc>
      </w:tr>
      <w:tr w14:paraId="3D8801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5000" w:type="pct"/>
            <w:gridSpan w:val="6"/>
            <w:noWrap w:val="0"/>
            <w:vAlign w:val="center"/>
          </w:tcPr>
          <w:p w14:paraId="322B85B2">
            <w:pPr>
              <w:keepNext w:val="0"/>
              <w:keepLines w:val="0"/>
              <w:suppressLineNumbers w:val="0"/>
              <w:adjustRightInd w:val="0"/>
              <w:snapToGrid w:val="0"/>
              <w:spacing w:before="0" w:beforeAutospacing="0" w:after="0" w:afterAutospacing="0" w:line="360" w:lineRule="auto"/>
              <w:ind w:left="0" w:right="0"/>
              <w:jc w:val="left"/>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环境标志产品</w:t>
            </w:r>
          </w:p>
        </w:tc>
      </w:tr>
      <w:tr w14:paraId="631CF4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381" w:type="pct"/>
            <w:noWrap w:val="0"/>
            <w:vAlign w:val="center"/>
          </w:tcPr>
          <w:p w14:paraId="07C6AE85">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b/>
                <w:color w:val="auto"/>
                <w:sz w:val="21"/>
                <w:szCs w:val="21"/>
                <w:highlight w:val="none"/>
              </w:rPr>
            </w:pPr>
          </w:p>
        </w:tc>
        <w:tc>
          <w:tcPr>
            <w:tcW w:w="987" w:type="pct"/>
            <w:noWrap w:val="0"/>
            <w:vAlign w:val="center"/>
          </w:tcPr>
          <w:p w14:paraId="0D0ABABE">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b/>
                <w:color w:val="auto"/>
                <w:sz w:val="21"/>
                <w:szCs w:val="21"/>
                <w:highlight w:val="none"/>
              </w:rPr>
            </w:pPr>
          </w:p>
        </w:tc>
        <w:tc>
          <w:tcPr>
            <w:tcW w:w="643" w:type="pct"/>
            <w:tcBorders>
              <w:right w:val="single" w:color="auto" w:sz="4" w:space="0"/>
            </w:tcBorders>
            <w:noWrap w:val="0"/>
            <w:vAlign w:val="center"/>
          </w:tcPr>
          <w:p w14:paraId="3CC27FEA">
            <w:pPr>
              <w:keepNext w:val="0"/>
              <w:keepLines w:val="0"/>
              <w:suppressLineNumbers w:val="0"/>
              <w:adjustRightInd w:val="0"/>
              <w:snapToGrid w:val="0"/>
              <w:spacing w:before="0" w:beforeAutospacing="0" w:after="0" w:afterAutospacing="0" w:line="360" w:lineRule="auto"/>
              <w:ind w:left="0" w:right="0"/>
              <w:jc w:val="left"/>
              <w:outlineLvl w:val="9"/>
              <w:rPr>
                <w:rFonts w:hint="eastAsia" w:ascii="新宋体" w:hAnsi="新宋体" w:eastAsia="新宋体" w:cs="新宋体"/>
                <w:b/>
                <w:color w:val="auto"/>
                <w:sz w:val="21"/>
                <w:szCs w:val="21"/>
                <w:highlight w:val="none"/>
              </w:rPr>
            </w:pPr>
          </w:p>
        </w:tc>
        <w:tc>
          <w:tcPr>
            <w:tcW w:w="805" w:type="pct"/>
            <w:tcBorders>
              <w:left w:val="single" w:color="auto" w:sz="4" w:space="0"/>
            </w:tcBorders>
            <w:noWrap w:val="0"/>
            <w:vAlign w:val="center"/>
          </w:tcPr>
          <w:p w14:paraId="2F02AA9D">
            <w:pPr>
              <w:keepNext w:val="0"/>
              <w:keepLines w:val="0"/>
              <w:suppressLineNumbers w:val="0"/>
              <w:adjustRightInd w:val="0"/>
              <w:snapToGrid w:val="0"/>
              <w:spacing w:before="0" w:beforeAutospacing="0" w:after="0" w:afterAutospacing="0" w:line="360" w:lineRule="auto"/>
              <w:ind w:left="0" w:right="0"/>
              <w:jc w:val="left"/>
              <w:outlineLvl w:val="9"/>
              <w:rPr>
                <w:rFonts w:hint="eastAsia" w:ascii="新宋体" w:hAnsi="新宋体" w:eastAsia="新宋体" w:cs="新宋体"/>
                <w:b/>
                <w:color w:val="auto"/>
                <w:sz w:val="21"/>
                <w:szCs w:val="21"/>
                <w:highlight w:val="none"/>
              </w:rPr>
            </w:pPr>
          </w:p>
        </w:tc>
        <w:tc>
          <w:tcPr>
            <w:tcW w:w="1126" w:type="pct"/>
            <w:noWrap w:val="0"/>
            <w:vAlign w:val="center"/>
          </w:tcPr>
          <w:p w14:paraId="11BCBBF3">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b/>
                <w:color w:val="auto"/>
                <w:sz w:val="21"/>
                <w:szCs w:val="21"/>
                <w:highlight w:val="none"/>
              </w:rPr>
            </w:pPr>
          </w:p>
        </w:tc>
        <w:tc>
          <w:tcPr>
            <w:tcW w:w="1054" w:type="pct"/>
            <w:noWrap w:val="0"/>
            <w:vAlign w:val="top"/>
          </w:tcPr>
          <w:p w14:paraId="24D03A85">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b/>
                <w:color w:val="auto"/>
                <w:sz w:val="21"/>
                <w:szCs w:val="21"/>
                <w:highlight w:val="none"/>
              </w:rPr>
            </w:pPr>
          </w:p>
        </w:tc>
      </w:tr>
      <w:tr w14:paraId="4F4C33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381" w:type="pct"/>
            <w:noWrap w:val="0"/>
            <w:vAlign w:val="center"/>
          </w:tcPr>
          <w:p w14:paraId="7CE42A8D">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小计</w:t>
            </w:r>
          </w:p>
        </w:tc>
        <w:tc>
          <w:tcPr>
            <w:tcW w:w="987" w:type="pct"/>
            <w:noWrap w:val="0"/>
            <w:vAlign w:val="center"/>
          </w:tcPr>
          <w:p w14:paraId="25701CF8">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w:t>
            </w:r>
          </w:p>
        </w:tc>
        <w:tc>
          <w:tcPr>
            <w:tcW w:w="643" w:type="pct"/>
            <w:tcBorders>
              <w:right w:val="single" w:color="auto" w:sz="4" w:space="0"/>
            </w:tcBorders>
            <w:noWrap w:val="0"/>
            <w:vAlign w:val="center"/>
          </w:tcPr>
          <w:p w14:paraId="401AF758">
            <w:pPr>
              <w:keepNext w:val="0"/>
              <w:keepLines w:val="0"/>
              <w:suppressLineNumbers w:val="0"/>
              <w:adjustRightInd w:val="0"/>
              <w:snapToGrid w:val="0"/>
              <w:spacing w:before="0" w:beforeAutospacing="0" w:after="0" w:afterAutospacing="0" w:line="360" w:lineRule="auto"/>
              <w:ind w:left="0" w:right="0"/>
              <w:jc w:val="left"/>
              <w:outlineLvl w:val="9"/>
              <w:rPr>
                <w:rFonts w:hint="eastAsia" w:ascii="新宋体" w:hAnsi="新宋体" w:eastAsia="新宋体" w:cs="新宋体"/>
                <w:b/>
                <w:color w:val="auto"/>
                <w:sz w:val="21"/>
                <w:szCs w:val="21"/>
                <w:highlight w:val="none"/>
              </w:rPr>
            </w:pPr>
          </w:p>
        </w:tc>
        <w:tc>
          <w:tcPr>
            <w:tcW w:w="805" w:type="pct"/>
            <w:tcBorders>
              <w:left w:val="single" w:color="auto" w:sz="4" w:space="0"/>
            </w:tcBorders>
            <w:noWrap w:val="0"/>
            <w:vAlign w:val="center"/>
          </w:tcPr>
          <w:p w14:paraId="4EBC15E6">
            <w:pPr>
              <w:keepNext w:val="0"/>
              <w:keepLines w:val="0"/>
              <w:suppressLineNumbers w:val="0"/>
              <w:adjustRightInd w:val="0"/>
              <w:snapToGrid w:val="0"/>
              <w:spacing w:before="0" w:beforeAutospacing="0" w:after="0" w:afterAutospacing="0" w:line="360" w:lineRule="auto"/>
              <w:ind w:left="0" w:right="0"/>
              <w:jc w:val="left"/>
              <w:outlineLvl w:val="9"/>
              <w:rPr>
                <w:rFonts w:hint="eastAsia" w:ascii="新宋体" w:hAnsi="新宋体" w:eastAsia="新宋体" w:cs="新宋体"/>
                <w:b/>
                <w:color w:val="auto"/>
                <w:sz w:val="21"/>
                <w:szCs w:val="21"/>
                <w:highlight w:val="none"/>
              </w:rPr>
            </w:pPr>
          </w:p>
        </w:tc>
        <w:tc>
          <w:tcPr>
            <w:tcW w:w="1126" w:type="pct"/>
            <w:noWrap w:val="0"/>
            <w:vAlign w:val="center"/>
          </w:tcPr>
          <w:p w14:paraId="4A20D290">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w:t>
            </w:r>
          </w:p>
        </w:tc>
        <w:tc>
          <w:tcPr>
            <w:tcW w:w="1054" w:type="pct"/>
            <w:noWrap w:val="0"/>
            <w:vAlign w:val="top"/>
          </w:tcPr>
          <w:p w14:paraId="22EE9EDC">
            <w:pPr>
              <w:keepNext w:val="0"/>
              <w:keepLines w:val="0"/>
              <w:suppressLineNumbers w:val="0"/>
              <w:adjustRightInd w:val="0"/>
              <w:snapToGrid w:val="0"/>
              <w:spacing w:before="0" w:beforeAutospacing="0" w:after="0" w:afterAutospacing="0" w:line="360" w:lineRule="auto"/>
              <w:ind w:left="0" w:right="0"/>
              <w:jc w:val="center"/>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color w:val="auto"/>
                <w:sz w:val="21"/>
                <w:szCs w:val="21"/>
                <w:highlight w:val="none"/>
              </w:rPr>
              <w:t>/</w:t>
            </w:r>
          </w:p>
        </w:tc>
      </w:tr>
    </w:tbl>
    <w:p w14:paraId="2FE96FC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说明：</w:t>
      </w:r>
      <w:r>
        <w:rPr>
          <w:rFonts w:hint="eastAsia" w:ascii="新宋体" w:hAnsi="新宋体" w:eastAsia="新宋体" w:cs="新宋体"/>
          <w:bCs/>
          <w:color w:val="auto"/>
          <w:sz w:val="21"/>
          <w:szCs w:val="21"/>
          <w:highlight w:val="none"/>
        </w:rPr>
        <w:t>1.</w:t>
      </w:r>
      <w:r>
        <w:rPr>
          <w:rFonts w:hint="eastAsia" w:ascii="新宋体" w:hAnsi="新宋体" w:eastAsia="新宋体" w:cs="新宋体"/>
          <w:color w:val="auto"/>
          <w:sz w:val="21"/>
          <w:szCs w:val="21"/>
          <w:highlight w:val="none"/>
        </w:rPr>
        <w:t>本表用于计算政府采购优先采购产品（节能产品或环境标志产品或两型产品）的政府采购政策加分或者价格扣除。</w:t>
      </w:r>
    </w:p>
    <w:p w14:paraId="1EB0E89A">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2.栏目4“价格”为综合单价，包含货物所有隐含的内容，如运输费、保险费、管理费和利润等。</w:t>
      </w:r>
    </w:p>
    <w:p w14:paraId="346B637D">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jc w:val="lef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3.栏目6“政策功能编码”是指货物的中国环境标志认证证书编号、中国节能标志认证证书号（货物同时属于节能产品、环境标志产品的，只须填写一种）。</w:t>
      </w:r>
    </w:p>
    <w:p w14:paraId="4E24CDF1">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outlineLvl w:val="9"/>
        <w:rPr>
          <w:rFonts w:hint="eastAsia" w:ascii="新宋体" w:hAnsi="新宋体" w:eastAsia="新宋体" w:cs="新宋体"/>
          <w:bCs/>
          <w:color w:val="auto"/>
          <w:sz w:val="21"/>
          <w:szCs w:val="21"/>
          <w:highlight w:val="none"/>
        </w:rPr>
      </w:pPr>
      <w:r>
        <w:rPr>
          <w:rFonts w:hint="eastAsia" w:ascii="新宋体" w:hAnsi="新宋体" w:eastAsia="新宋体" w:cs="新宋体"/>
          <w:bCs/>
          <w:color w:val="auto"/>
          <w:sz w:val="21"/>
          <w:szCs w:val="21"/>
          <w:highlight w:val="none"/>
        </w:rPr>
        <w:t>4.投标人在投标截止时间前修改“开标一览表”中的投标报价的，应按第二章第13.7款规定修改本表相应内容。否则，评审时涉及本表所有优惠不予以考虑。</w:t>
      </w:r>
    </w:p>
    <w:p w14:paraId="496D1F22">
      <w:pPr>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hint="eastAsia" w:ascii="新宋体" w:hAnsi="新宋体" w:eastAsia="新宋体" w:cs="新宋体"/>
          <w:color w:val="auto"/>
          <w:sz w:val="21"/>
          <w:szCs w:val="21"/>
          <w:highlight w:val="none"/>
        </w:rPr>
      </w:pPr>
    </w:p>
    <w:p w14:paraId="05350AD2">
      <w:pPr>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投标人名称（盖单位章）：</w:t>
      </w:r>
    </w:p>
    <w:p w14:paraId="20C00502">
      <w:pPr>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hint="eastAsia" w:ascii="新宋体" w:hAnsi="新宋体" w:eastAsia="新宋体" w:cs="新宋体"/>
          <w:color w:val="auto"/>
          <w:sz w:val="21"/>
          <w:szCs w:val="21"/>
          <w:highlight w:val="none"/>
        </w:rPr>
      </w:pPr>
      <w:r>
        <w:rPr>
          <w:rFonts w:hint="eastAsia" w:ascii="新宋体" w:hAnsi="新宋体" w:eastAsia="新宋体" w:cs="新宋体"/>
          <w:color w:val="auto"/>
          <w:spacing w:val="-2"/>
          <w:kern w:val="0"/>
          <w:sz w:val="21"/>
          <w:szCs w:val="21"/>
          <w:highlight w:val="none"/>
        </w:rPr>
        <w:t>法</w:t>
      </w:r>
      <w:r>
        <w:rPr>
          <w:rFonts w:hint="eastAsia" w:ascii="新宋体" w:hAnsi="新宋体" w:eastAsia="新宋体" w:cs="新宋体"/>
          <w:color w:val="auto"/>
          <w:kern w:val="0"/>
          <w:sz w:val="21"/>
          <w:szCs w:val="21"/>
          <w:highlight w:val="none"/>
        </w:rPr>
        <w:t>定</w:t>
      </w:r>
      <w:r>
        <w:rPr>
          <w:rFonts w:hint="eastAsia" w:ascii="新宋体" w:hAnsi="新宋体" w:eastAsia="新宋体" w:cs="新宋体"/>
          <w:color w:val="auto"/>
          <w:spacing w:val="-2"/>
          <w:kern w:val="0"/>
          <w:sz w:val="21"/>
          <w:szCs w:val="21"/>
          <w:highlight w:val="none"/>
        </w:rPr>
        <w:t>代</w:t>
      </w:r>
      <w:r>
        <w:rPr>
          <w:rFonts w:hint="eastAsia" w:ascii="新宋体" w:hAnsi="新宋体" w:eastAsia="新宋体" w:cs="新宋体"/>
          <w:color w:val="auto"/>
          <w:kern w:val="0"/>
          <w:sz w:val="21"/>
          <w:szCs w:val="21"/>
          <w:highlight w:val="none"/>
        </w:rPr>
        <w:t>表</w:t>
      </w:r>
      <w:r>
        <w:rPr>
          <w:rFonts w:hint="eastAsia" w:ascii="新宋体" w:hAnsi="新宋体" w:eastAsia="新宋体" w:cs="新宋体"/>
          <w:color w:val="auto"/>
          <w:spacing w:val="-2"/>
          <w:kern w:val="0"/>
          <w:sz w:val="21"/>
          <w:szCs w:val="21"/>
          <w:highlight w:val="none"/>
        </w:rPr>
        <w:t>人</w:t>
      </w:r>
      <w:r>
        <w:rPr>
          <w:rFonts w:hint="eastAsia" w:ascii="新宋体" w:hAnsi="新宋体" w:eastAsia="新宋体" w:cs="新宋体"/>
          <w:color w:val="auto"/>
          <w:kern w:val="0"/>
          <w:sz w:val="21"/>
          <w:szCs w:val="21"/>
          <w:highlight w:val="none"/>
        </w:rPr>
        <w:t>（</w:t>
      </w:r>
      <w:r>
        <w:rPr>
          <w:rFonts w:hint="eastAsia" w:ascii="新宋体" w:hAnsi="新宋体" w:eastAsia="新宋体" w:cs="新宋体"/>
          <w:color w:val="auto"/>
          <w:spacing w:val="-2"/>
          <w:kern w:val="0"/>
          <w:sz w:val="21"/>
          <w:szCs w:val="21"/>
          <w:highlight w:val="none"/>
        </w:rPr>
        <w:t>单</w:t>
      </w:r>
      <w:r>
        <w:rPr>
          <w:rFonts w:hint="eastAsia" w:ascii="新宋体" w:hAnsi="新宋体" w:eastAsia="新宋体" w:cs="新宋体"/>
          <w:color w:val="auto"/>
          <w:kern w:val="0"/>
          <w:sz w:val="21"/>
          <w:szCs w:val="21"/>
          <w:highlight w:val="none"/>
        </w:rPr>
        <w:t>位</w:t>
      </w:r>
      <w:r>
        <w:rPr>
          <w:rFonts w:hint="eastAsia" w:ascii="新宋体" w:hAnsi="新宋体" w:eastAsia="新宋体" w:cs="新宋体"/>
          <w:color w:val="auto"/>
          <w:spacing w:val="-2"/>
          <w:kern w:val="0"/>
          <w:sz w:val="21"/>
          <w:szCs w:val="21"/>
          <w:highlight w:val="none"/>
        </w:rPr>
        <w:t>负</w:t>
      </w:r>
      <w:r>
        <w:rPr>
          <w:rFonts w:hint="eastAsia" w:ascii="新宋体" w:hAnsi="新宋体" w:eastAsia="新宋体" w:cs="新宋体"/>
          <w:color w:val="auto"/>
          <w:kern w:val="0"/>
          <w:sz w:val="21"/>
          <w:szCs w:val="21"/>
          <w:highlight w:val="none"/>
        </w:rPr>
        <w:t>责人</w:t>
      </w:r>
      <w:r>
        <w:rPr>
          <w:rFonts w:hint="eastAsia" w:ascii="新宋体" w:hAnsi="新宋体" w:eastAsia="新宋体" w:cs="新宋体"/>
          <w:color w:val="auto"/>
          <w:spacing w:val="-2"/>
          <w:kern w:val="0"/>
          <w:sz w:val="21"/>
          <w:szCs w:val="21"/>
          <w:highlight w:val="none"/>
        </w:rPr>
        <w:t>）</w:t>
      </w:r>
      <w:r>
        <w:rPr>
          <w:rFonts w:hint="eastAsia" w:ascii="新宋体" w:hAnsi="新宋体" w:eastAsia="新宋体" w:cs="新宋体"/>
          <w:color w:val="auto"/>
          <w:sz w:val="21"/>
          <w:szCs w:val="21"/>
          <w:highlight w:val="none"/>
        </w:rPr>
        <w:t>或其委托代理人（签字或印章）：</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u w:val="single"/>
          <w:lang w:val="en-US" w:eastAsia="zh-CN"/>
        </w:rPr>
        <w:t xml:space="preserve">     </w:t>
      </w:r>
      <w:r>
        <w:rPr>
          <w:rFonts w:hint="eastAsia" w:ascii="新宋体" w:hAnsi="新宋体" w:eastAsia="新宋体" w:cs="新宋体"/>
          <w:color w:val="auto"/>
          <w:sz w:val="21"/>
          <w:szCs w:val="21"/>
          <w:highlight w:val="none"/>
          <w:u w:val="single"/>
        </w:rPr>
        <w:t xml:space="preserve">   </w:t>
      </w:r>
    </w:p>
    <w:p w14:paraId="4F5E86AF">
      <w:pPr>
        <w:pStyle w:val="14"/>
        <w:ind w:left="0" w:leftChars="0" w:firstLine="0" w:firstLineChars="0"/>
        <w:outlineLvl w:val="9"/>
        <w:rPr>
          <w:rFonts w:hint="eastAsia" w:ascii="新宋体" w:hAnsi="新宋体" w:eastAsia="新宋体" w:cs="新宋体"/>
          <w:b/>
          <w:bCs/>
          <w:color w:val="auto"/>
          <w:sz w:val="28"/>
          <w:szCs w:val="28"/>
          <w:highlight w:val="none"/>
          <w:lang w:eastAsia="zh-CN"/>
        </w:rPr>
      </w:pPr>
      <w:r>
        <w:rPr>
          <w:rFonts w:hint="eastAsia" w:ascii="新宋体" w:hAnsi="新宋体" w:eastAsia="新宋体" w:cs="新宋体"/>
          <w:color w:val="auto"/>
          <w:sz w:val="21"/>
          <w:szCs w:val="21"/>
          <w:highlight w:val="none"/>
        </w:rPr>
        <w:t>日期：</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年</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月</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u w:val="single"/>
          <w:lang w:val="en-US" w:eastAsia="zh-CN"/>
        </w:rPr>
        <w:t xml:space="preserve"> </w:t>
      </w:r>
      <w:r>
        <w:rPr>
          <w:rFonts w:hint="eastAsia" w:ascii="新宋体" w:hAnsi="新宋体" w:eastAsia="新宋体" w:cs="新宋体"/>
          <w:color w:val="auto"/>
          <w:sz w:val="21"/>
          <w:szCs w:val="21"/>
          <w:highlight w:val="none"/>
          <w:u w:val="single"/>
        </w:rPr>
        <w:t xml:space="preserve"> </w:t>
      </w:r>
      <w:r>
        <w:rPr>
          <w:rFonts w:hint="eastAsia" w:ascii="新宋体" w:hAnsi="新宋体" w:eastAsia="新宋体" w:cs="新宋体"/>
          <w:color w:val="auto"/>
          <w:sz w:val="21"/>
          <w:szCs w:val="21"/>
          <w:highlight w:val="none"/>
        </w:rPr>
        <w:t>日</w:t>
      </w:r>
    </w:p>
    <w:p w14:paraId="28E1C52C">
      <w:pPr>
        <w:outlineLvl w:val="9"/>
        <w:rPr>
          <w:rFonts w:hint="eastAsia" w:ascii="新宋体" w:hAnsi="新宋体" w:eastAsia="新宋体" w:cs="新宋体"/>
          <w:b/>
          <w:bCs/>
          <w:color w:val="auto"/>
          <w:sz w:val="28"/>
          <w:szCs w:val="28"/>
          <w:highlight w:val="none"/>
          <w:lang w:eastAsia="zh-CN"/>
        </w:rPr>
      </w:pPr>
      <w:r>
        <w:rPr>
          <w:rFonts w:hint="eastAsia" w:ascii="新宋体" w:hAnsi="新宋体" w:eastAsia="新宋体" w:cs="新宋体"/>
          <w:b/>
          <w:bCs/>
          <w:color w:val="auto"/>
          <w:sz w:val="28"/>
          <w:szCs w:val="28"/>
          <w:highlight w:val="none"/>
          <w:lang w:eastAsia="zh-CN"/>
        </w:rPr>
        <w:br w:type="page"/>
      </w:r>
    </w:p>
    <w:p w14:paraId="2608432B">
      <w:pPr>
        <w:pStyle w:val="14"/>
        <w:jc w:val="center"/>
        <w:outlineLvl w:val="9"/>
        <w:rPr>
          <w:rFonts w:hint="eastAsia" w:ascii="新宋体" w:hAnsi="新宋体" w:eastAsia="新宋体" w:cs="新宋体"/>
          <w:b/>
          <w:bCs/>
          <w:color w:val="auto"/>
          <w:sz w:val="28"/>
          <w:szCs w:val="28"/>
          <w:highlight w:val="none"/>
          <w:lang w:eastAsia="zh-CN"/>
        </w:rPr>
      </w:pPr>
      <w:r>
        <w:rPr>
          <w:rFonts w:hint="eastAsia" w:ascii="新宋体" w:hAnsi="新宋体" w:eastAsia="新宋体" w:cs="新宋体"/>
          <w:b/>
          <w:bCs/>
          <w:color w:val="auto"/>
          <w:sz w:val="28"/>
          <w:szCs w:val="28"/>
          <w:highlight w:val="none"/>
          <w:lang w:eastAsia="zh-CN"/>
        </w:rPr>
        <w:t>（三）投标人认为的需要提供的其他资料</w:t>
      </w:r>
    </w:p>
    <w:p w14:paraId="56DE27AD">
      <w:pPr>
        <w:jc w:val="center"/>
        <w:outlineLvl w:val="9"/>
        <w:rPr>
          <w:rFonts w:hint="eastAsia" w:ascii="新宋体" w:hAnsi="新宋体" w:eastAsia="新宋体" w:cs="新宋体"/>
          <w:b/>
          <w:bCs/>
          <w:color w:val="auto"/>
          <w:sz w:val="28"/>
          <w:szCs w:val="28"/>
          <w:highlight w:val="none"/>
          <w:lang w:val="en-US" w:eastAsia="zh-CN"/>
        </w:rPr>
      </w:pPr>
    </w:p>
    <w:bookmarkEnd w:id="186"/>
    <w:p w14:paraId="6AB72FEF">
      <w:pPr>
        <w:outlineLvl w:val="9"/>
        <w:rPr>
          <w:rFonts w:hint="eastAsia" w:ascii="新宋体" w:hAnsi="新宋体" w:eastAsia="新宋体" w:cs="新宋体"/>
          <w:b/>
          <w:bCs/>
          <w:color w:val="auto"/>
          <w:sz w:val="32"/>
          <w:szCs w:val="32"/>
          <w:highlight w:val="none"/>
          <w:lang w:val="en-US" w:eastAsia="zh-CN"/>
        </w:rPr>
      </w:pPr>
      <w:r>
        <w:rPr>
          <w:rFonts w:hint="eastAsia" w:ascii="新宋体" w:hAnsi="新宋体" w:eastAsia="新宋体" w:cs="新宋体"/>
          <w:b/>
          <w:bCs/>
          <w:color w:val="auto"/>
          <w:sz w:val="32"/>
          <w:szCs w:val="32"/>
          <w:highlight w:val="none"/>
          <w:lang w:val="en-US" w:eastAsia="zh-CN"/>
        </w:rPr>
        <w:br w:type="page"/>
      </w:r>
    </w:p>
    <w:p w14:paraId="6D9207BA">
      <w:pPr>
        <w:pStyle w:val="31"/>
        <w:jc w:val="center"/>
        <w:outlineLvl w:val="9"/>
        <w:rPr>
          <w:rFonts w:hint="eastAsia"/>
          <w:color w:val="auto"/>
        </w:rPr>
      </w:pPr>
      <w:bookmarkStart w:id="224" w:name="_Toc5296"/>
      <w:r>
        <w:rPr>
          <w:rFonts w:hint="eastAsia" w:ascii="新宋体" w:hAnsi="新宋体" w:eastAsia="新宋体" w:cs="新宋体"/>
          <w:b/>
          <w:bCs/>
          <w:color w:val="auto"/>
          <w:sz w:val="32"/>
          <w:szCs w:val="32"/>
          <w:highlight w:val="none"/>
          <w:lang w:val="en-US" w:eastAsia="zh-CN"/>
        </w:rPr>
        <w:t>十</w:t>
      </w:r>
      <w:r>
        <w:rPr>
          <w:rFonts w:hint="eastAsia" w:ascii="新宋体" w:hAnsi="新宋体" w:eastAsia="新宋体" w:cs="新宋体"/>
          <w:b/>
          <w:bCs/>
          <w:color w:val="auto"/>
          <w:sz w:val="32"/>
          <w:szCs w:val="32"/>
          <w:highlight w:val="none"/>
          <w:lang w:eastAsia="zh-CN"/>
        </w:rPr>
        <w:t>、商务部分评审资料</w:t>
      </w:r>
      <w:bookmarkEnd w:id="224"/>
    </w:p>
    <w:p w14:paraId="391AAB2E">
      <w:pPr>
        <w:adjustRightInd w:val="0"/>
        <w:snapToGrid w:val="0"/>
        <w:spacing w:before="50" w:line="360" w:lineRule="auto"/>
        <w:ind w:left="-88" w:leftChars="-42" w:firstLine="420" w:firstLineChars="200"/>
        <w:jc w:val="center"/>
        <w:outlineLvl w:val="9"/>
        <w:rPr>
          <w:rFonts w:hint="default" w:ascii="新宋体" w:hAnsi="新宋体" w:eastAsia="新宋体" w:cs="新宋体"/>
          <w:color w:val="auto"/>
          <w:sz w:val="21"/>
          <w:szCs w:val="21"/>
          <w:highlight w:val="none"/>
          <w:lang w:val="en-US" w:eastAsia="zh-CN"/>
        </w:rPr>
      </w:pPr>
      <w:bookmarkStart w:id="225" w:name="_Toc16540"/>
      <w:r>
        <w:rPr>
          <w:rFonts w:hint="eastAsia" w:ascii="新宋体" w:hAnsi="新宋体" w:eastAsia="新宋体" w:cs="新宋体"/>
          <w:color w:val="auto"/>
          <w:sz w:val="21"/>
          <w:szCs w:val="21"/>
          <w:highlight w:val="none"/>
          <w:lang w:val="en-US" w:eastAsia="zh-CN"/>
        </w:rPr>
        <w:t>备注：由投标人根据商务部分评分项自行提供，格式自拟。如在评审模块内已提供相关资料，本节可不再提供资料。</w:t>
      </w:r>
    </w:p>
    <w:p w14:paraId="6EFD01DC">
      <w:pPr>
        <w:outlineLvl w:val="9"/>
        <w:rPr>
          <w:rFonts w:hint="eastAsia" w:ascii="新宋体" w:hAnsi="新宋体" w:eastAsia="新宋体" w:cs="新宋体"/>
          <w:b/>
          <w:bCs/>
          <w:color w:val="auto"/>
          <w:sz w:val="28"/>
          <w:szCs w:val="28"/>
          <w:highlight w:val="none"/>
          <w:lang w:eastAsia="zh-CN"/>
        </w:rPr>
      </w:pPr>
    </w:p>
    <w:p w14:paraId="316A4AA0">
      <w:pPr>
        <w:outlineLvl w:val="9"/>
        <w:rPr>
          <w:rFonts w:hint="eastAsia"/>
          <w:color w:val="auto"/>
          <w:highlight w:val="none"/>
          <w:lang w:eastAsia="zh-CN"/>
        </w:rPr>
      </w:pPr>
      <w:r>
        <w:rPr>
          <w:rFonts w:hint="eastAsia" w:ascii="新宋体" w:hAnsi="新宋体" w:eastAsia="新宋体" w:cs="新宋体"/>
          <w:b/>
          <w:bCs/>
          <w:color w:val="auto"/>
          <w:sz w:val="28"/>
          <w:szCs w:val="28"/>
          <w:highlight w:val="none"/>
          <w:lang w:eastAsia="zh-CN"/>
        </w:rPr>
        <w:br w:type="page"/>
      </w:r>
      <w:bookmarkEnd w:id="225"/>
    </w:p>
    <w:p w14:paraId="4AA1BA73">
      <w:pPr>
        <w:pStyle w:val="33"/>
        <w:outlineLvl w:val="9"/>
        <w:rPr>
          <w:rFonts w:hint="eastAsia"/>
          <w:color w:val="auto"/>
          <w:highlight w:val="none"/>
          <w:lang w:eastAsia="zh-CN"/>
        </w:rPr>
      </w:pPr>
    </w:p>
    <w:p w14:paraId="51689816">
      <w:pPr>
        <w:outlineLvl w:val="9"/>
        <w:rPr>
          <w:rFonts w:hint="eastAsia"/>
          <w:color w:val="auto"/>
          <w:highlight w:val="none"/>
          <w:lang w:eastAsia="zh-CN"/>
        </w:rPr>
      </w:pPr>
    </w:p>
    <w:p w14:paraId="5B9542AD">
      <w:pPr>
        <w:keepNext w:val="0"/>
        <w:keepLines w:val="0"/>
        <w:pageBreakBefore w:val="0"/>
        <w:widowControl w:val="0"/>
        <w:kinsoku/>
        <w:wordWrap/>
        <w:overflowPunct/>
        <w:topLinePunct w:val="0"/>
        <w:autoSpaceDE/>
        <w:autoSpaceDN/>
        <w:bidi w:val="0"/>
        <w:adjustRightInd w:val="0"/>
        <w:snapToGrid w:val="0"/>
        <w:spacing w:before="0" w:after="0" w:line="400" w:lineRule="exact"/>
        <w:jc w:val="left"/>
        <w:textAlignment w:val="auto"/>
        <w:outlineLvl w:val="9"/>
        <w:rPr>
          <w:rFonts w:hint="eastAsia" w:ascii="新宋体" w:hAnsi="新宋体" w:eastAsia="新宋体" w:cs="新宋体"/>
          <w:color w:val="auto"/>
          <w:sz w:val="24"/>
          <w:highlight w:val="none"/>
        </w:rPr>
      </w:pPr>
    </w:p>
    <w:p w14:paraId="07E2FD92">
      <w:pPr>
        <w:pStyle w:val="12"/>
        <w:adjustRightInd w:val="0"/>
        <w:snapToGrid w:val="0"/>
        <w:spacing w:line="360" w:lineRule="auto"/>
        <w:jc w:val="center"/>
        <w:outlineLvl w:val="9"/>
        <w:rPr>
          <w:rFonts w:hint="eastAsia" w:ascii="新宋体" w:hAnsi="新宋体" w:eastAsia="新宋体" w:cs="新宋体"/>
          <w:bCs/>
          <w:color w:val="auto"/>
          <w:sz w:val="72"/>
          <w:szCs w:val="72"/>
          <w:highlight w:val="none"/>
        </w:rPr>
      </w:pPr>
      <w:r>
        <w:rPr>
          <w:rFonts w:hint="eastAsia" w:ascii="新宋体" w:hAnsi="新宋体" w:eastAsia="新宋体" w:cs="新宋体"/>
          <w:bCs/>
          <w:color w:val="auto"/>
          <w:sz w:val="72"/>
          <w:szCs w:val="72"/>
          <w:highlight w:val="none"/>
        </w:rPr>
        <w:t>政府采购</w:t>
      </w:r>
    </w:p>
    <w:p w14:paraId="06A75017">
      <w:pPr>
        <w:adjustRightInd w:val="0"/>
        <w:snapToGrid w:val="0"/>
        <w:spacing w:line="360" w:lineRule="auto"/>
        <w:jc w:val="center"/>
        <w:outlineLvl w:val="9"/>
        <w:rPr>
          <w:rFonts w:hint="eastAsia" w:ascii="新宋体" w:hAnsi="新宋体" w:eastAsia="新宋体" w:cs="新宋体"/>
          <w:b/>
          <w:bCs/>
          <w:color w:val="auto"/>
          <w:sz w:val="84"/>
          <w:szCs w:val="84"/>
          <w:highlight w:val="none"/>
        </w:rPr>
      </w:pPr>
      <w:r>
        <w:rPr>
          <w:rFonts w:hint="eastAsia" w:ascii="新宋体" w:hAnsi="新宋体" w:eastAsia="新宋体" w:cs="新宋体"/>
          <w:b/>
          <w:bCs/>
          <w:color w:val="auto"/>
          <w:sz w:val="84"/>
          <w:szCs w:val="84"/>
          <w:highlight w:val="none"/>
        </w:rPr>
        <w:t>投 标 文 件</w:t>
      </w:r>
    </w:p>
    <w:p w14:paraId="518D56CC">
      <w:pPr>
        <w:keepNext/>
        <w:keepLines/>
        <w:pageBreakBefore w:val="0"/>
        <w:widowControl w:val="0"/>
        <w:kinsoku/>
        <w:wordWrap/>
        <w:overflowPunct/>
        <w:topLinePunct w:val="0"/>
        <w:autoSpaceDE/>
        <w:autoSpaceDN/>
        <w:bidi w:val="0"/>
        <w:adjustRightInd w:val="0"/>
        <w:snapToGrid w:val="0"/>
        <w:jc w:val="center"/>
        <w:textAlignment w:val="auto"/>
        <w:outlineLvl w:val="9"/>
        <w:rPr>
          <w:rFonts w:hint="eastAsia" w:ascii="新宋体" w:hAnsi="新宋体" w:eastAsia="新宋体" w:cs="新宋体"/>
          <w:color w:val="auto"/>
          <w:sz w:val="44"/>
          <w:szCs w:val="44"/>
          <w:highlight w:val="none"/>
        </w:rPr>
      </w:pPr>
      <w:bookmarkStart w:id="226" w:name="_Toc12000"/>
      <w:bookmarkStart w:id="227" w:name="_Toc25895"/>
      <w:bookmarkStart w:id="228" w:name="_Toc18356"/>
      <w:r>
        <w:rPr>
          <w:rFonts w:hint="eastAsia" w:ascii="新宋体" w:hAnsi="新宋体" w:eastAsia="新宋体" w:cs="新宋体"/>
          <w:color w:val="auto"/>
          <w:sz w:val="44"/>
          <w:szCs w:val="44"/>
          <w:highlight w:val="none"/>
        </w:rPr>
        <w:t>第</w:t>
      </w:r>
      <w:r>
        <w:rPr>
          <w:rFonts w:hint="eastAsia" w:ascii="新宋体" w:hAnsi="新宋体" w:eastAsia="新宋体" w:cs="新宋体"/>
          <w:color w:val="auto"/>
          <w:sz w:val="44"/>
          <w:szCs w:val="44"/>
          <w:highlight w:val="none"/>
          <w:lang w:eastAsia="zh-CN"/>
        </w:rPr>
        <w:t>三</w:t>
      </w:r>
      <w:r>
        <w:rPr>
          <w:rFonts w:hint="eastAsia" w:ascii="新宋体" w:hAnsi="新宋体" w:eastAsia="新宋体" w:cs="新宋体"/>
          <w:color w:val="auto"/>
          <w:sz w:val="44"/>
          <w:szCs w:val="44"/>
          <w:highlight w:val="none"/>
        </w:rPr>
        <w:t>部分</w:t>
      </w:r>
      <w:r>
        <w:rPr>
          <w:rFonts w:hint="eastAsia" w:ascii="新宋体" w:hAnsi="新宋体" w:eastAsia="新宋体" w:cs="新宋体"/>
          <w:color w:val="auto"/>
          <w:sz w:val="44"/>
          <w:szCs w:val="44"/>
          <w:highlight w:val="none"/>
          <w:lang w:val="en-US" w:eastAsia="zh-CN"/>
        </w:rPr>
        <w:t xml:space="preserve">  </w:t>
      </w:r>
      <w:r>
        <w:rPr>
          <w:rFonts w:hint="eastAsia" w:ascii="新宋体" w:hAnsi="新宋体" w:eastAsia="新宋体" w:cs="新宋体"/>
          <w:color w:val="auto"/>
          <w:sz w:val="44"/>
          <w:szCs w:val="44"/>
          <w:highlight w:val="none"/>
        </w:rPr>
        <w:t>技术文件</w:t>
      </w:r>
      <w:bookmarkEnd w:id="226"/>
      <w:bookmarkEnd w:id="227"/>
      <w:bookmarkEnd w:id="228"/>
    </w:p>
    <w:p w14:paraId="197FEBEF">
      <w:pPr>
        <w:pStyle w:val="12"/>
        <w:adjustRightInd w:val="0"/>
        <w:snapToGrid w:val="0"/>
        <w:spacing w:line="360" w:lineRule="auto"/>
        <w:outlineLvl w:val="9"/>
        <w:rPr>
          <w:rFonts w:hint="eastAsia" w:ascii="新宋体" w:hAnsi="新宋体" w:eastAsia="新宋体" w:cs="新宋体"/>
          <w:b/>
          <w:bCs/>
          <w:color w:val="auto"/>
          <w:sz w:val="30"/>
          <w:szCs w:val="30"/>
          <w:highlight w:val="none"/>
        </w:rPr>
      </w:pPr>
    </w:p>
    <w:p w14:paraId="3133F735">
      <w:pPr>
        <w:pStyle w:val="12"/>
        <w:adjustRightInd w:val="0"/>
        <w:snapToGrid w:val="0"/>
        <w:spacing w:line="360" w:lineRule="auto"/>
        <w:ind w:firstLine="1988" w:firstLineChars="660"/>
        <w:outlineLvl w:val="9"/>
        <w:rPr>
          <w:rFonts w:hint="eastAsia" w:ascii="新宋体" w:hAnsi="新宋体" w:eastAsia="新宋体" w:cs="新宋体"/>
          <w:b/>
          <w:bCs/>
          <w:color w:val="auto"/>
          <w:sz w:val="30"/>
          <w:szCs w:val="30"/>
          <w:highlight w:val="none"/>
        </w:rPr>
      </w:pPr>
    </w:p>
    <w:p w14:paraId="194BAE0C">
      <w:pPr>
        <w:pStyle w:val="12"/>
        <w:keepNext w:val="0"/>
        <w:keepLines w:val="0"/>
        <w:pageBreakBefore w:val="0"/>
        <w:widowControl w:val="0"/>
        <w:kinsoku/>
        <w:wordWrap/>
        <w:overflowPunct/>
        <w:topLinePunct w:val="0"/>
        <w:autoSpaceDE/>
        <w:autoSpaceDN/>
        <w:bidi w:val="0"/>
        <w:adjustRightInd w:val="0"/>
        <w:snapToGrid w:val="0"/>
        <w:spacing w:line="360" w:lineRule="auto"/>
        <w:ind w:firstLine="602" w:firstLineChars="200"/>
        <w:textAlignment w:val="auto"/>
        <w:outlineLvl w:val="9"/>
        <w:rPr>
          <w:rFonts w:hint="eastAsia" w:ascii="新宋体" w:hAnsi="新宋体" w:eastAsia="新宋体" w:cs="新宋体"/>
          <w:b/>
          <w:bCs/>
          <w:color w:val="auto"/>
          <w:sz w:val="30"/>
          <w:szCs w:val="30"/>
          <w:highlight w:val="none"/>
        </w:rPr>
      </w:pPr>
    </w:p>
    <w:p w14:paraId="2D659B5B">
      <w:pPr>
        <w:pStyle w:val="12"/>
        <w:keepNext w:val="0"/>
        <w:keepLines w:val="0"/>
        <w:pageBreakBefore w:val="0"/>
        <w:widowControl w:val="0"/>
        <w:kinsoku/>
        <w:wordWrap/>
        <w:overflowPunct/>
        <w:topLinePunct w:val="0"/>
        <w:autoSpaceDE/>
        <w:autoSpaceDN/>
        <w:bidi w:val="0"/>
        <w:adjustRightInd w:val="0"/>
        <w:snapToGrid w:val="0"/>
        <w:spacing w:line="360" w:lineRule="auto"/>
        <w:ind w:firstLine="1985" w:firstLineChars="659"/>
        <w:textAlignment w:val="auto"/>
        <w:outlineLvl w:val="9"/>
        <w:rPr>
          <w:rFonts w:hint="eastAsia" w:ascii="新宋体" w:hAnsi="新宋体" w:eastAsia="新宋体" w:cs="新宋体"/>
          <w:b/>
          <w:bCs/>
          <w:color w:val="auto"/>
          <w:sz w:val="30"/>
          <w:szCs w:val="30"/>
          <w:highlight w:val="none"/>
          <w:u w:val="single"/>
          <w:lang w:val="en-US" w:eastAsia="zh-CN"/>
        </w:rPr>
      </w:pPr>
      <w:r>
        <w:rPr>
          <w:rFonts w:hint="eastAsia" w:ascii="新宋体" w:hAnsi="新宋体" w:eastAsia="新宋体" w:cs="新宋体"/>
          <w:b/>
          <w:bCs/>
          <w:color w:val="auto"/>
          <w:sz w:val="30"/>
          <w:szCs w:val="30"/>
          <w:highlight w:val="none"/>
        </w:rPr>
        <w:t>采购项目名称:</w:t>
      </w:r>
      <w:r>
        <w:rPr>
          <w:rFonts w:hint="eastAsia" w:ascii="新宋体" w:hAnsi="新宋体" w:eastAsia="新宋体" w:cs="新宋体"/>
          <w:b/>
          <w:bCs/>
          <w:color w:val="auto"/>
          <w:sz w:val="30"/>
          <w:szCs w:val="30"/>
          <w:highlight w:val="none"/>
          <w:u w:val="single"/>
        </w:rPr>
        <w:t xml:space="preserve">                 </w:t>
      </w:r>
      <w:r>
        <w:rPr>
          <w:rFonts w:hint="eastAsia" w:ascii="新宋体" w:hAnsi="新宋体" w:eastAsia="新宋体" w:cs="新宋体"/>
          <w:b/>
          <w:bCs/>
          <w:color w:val="auto"/>
          <w:sz w:val="30"/>
          <w:szCs w:val="30"/>
          <w:highlight w:val="none"/>
          <w:u w:val="single"/>
          <w:lang w:val="en-US" w:eastAsia="zh-CN"/>
        </w:rPr>
        <w:t xml:space="preserve">      </w:t>
      </w:r>
    </w:p>
    <w:p w14:paraId="4B7A49EE">
      <w:pPr>
        <w:pStyle w:val="7"/>
        <w:keepNext w:val="0"/>
        <w:keepLines w:val="0"/>
        <w:pageBreakBefore w:val="0"/>
        <w:widowControl w:val="0"/>
        <w:kinsoku/>
        <w:wordWrap/>
        <w:overflowPunct/>
        <w:topLinePunct w:val="0"/>
        <w:autoSpaceDE/>
        <w:autoSpaceDN/>
        <w:bidi w:val="0"/>
        <w:adjustRightInd w:val="0"/>
        <w:snapToGrid w:val="0"/>
        <w:spacing w:line="360" w:lineRule="auto"/>
        <w:ind w:left="0" w:leftChars="0" w:firstLine="2108" w:firstLineChars="700"/>
        <w:textAlignment w:val="auto"/>
        <w:outlineLvl w:val="9"/>
        <w:rPr>
          <w:rFonts w:hint="default"/>
          <w:color w:val="auto"/>
          <w:lang w:val="en-US" w:eastAsia="zh-CN"/>
        </w:rPr>
      </w:pPr>
      <w:r>
        <w:rPr>
          <w:rFonts w:hint="eastAsia" w:ascii="新宋体" w:hAnsi="新宋体" w:eastAsia="新宋体" w:cs="新宋体"/>
          <w:b/>
          <w:bCs/>
          <w:color w:val="auto"/>
          <w:sz w:val="30"/>
          <w:szCs w:val="30"/>
          <w:highlight w:val="none"/>
          <w:lang w:eastAsia="zh-CN"/>
        </w:rPr>
        <w:t>包号及标的名称</w:t>
      </w:r>
      <w:r>
        <w:rPr>
          <w:rFonts w:hint="eastAsia" w:ascii="新宋体" w:hAnsi="新宋体" w:eastAsia="新宋体" w:cs="新宋体"/>
          <w:b/>
          <w:bCs/>
          <w:color w:val="auto"/>
          <w:sz w:val="30"/>
          <w:szCs w:val="30"/>
          <w:highlight w:val="none"/>
        </w:rPr>
        <w:t>：</w:t>
      </w:r>
      <w:r>
        <w:rPr>
          <w:rFonts w:hint="eastAsia" w:ascii="新宋体" w:hAnsi="新宋体" w:eastAsia="新宋体" w:cs="新宋体"/>
          <w:b/>
          <w:bCs/>
          <w:color w:val="auto"/>
          <w:sz w:val="30"/>
          <w:szCs w:val="30"/>
          <w:highlight w:val="none"/>
          <w:u w:val="single"/>
        </w:rPr>
        <w:t xml:space="preserve">                 </w:t>
      </w:r>
      <w:r>
        <w:rPr>
          <w:rFonts w:hint="eastAsia" w:ascii="新宋体" w:hAnsi="新宋体" w:eastAsia="新宋体" w:cs="新宋体"/>
          <w:b/>
          <w:bCs/>
          <w:color w:val="auto"/>
          <w:sz w:val="30"/>
          <w:szCs w:val="30"/>
          <w:highlight w:val="none"/>
          <w:u w:val="single"/>
          <w:lang w:val="en-US" w:eastAsia="zh-CN"/>
        </w:rPr>
        <w:t xml:space="preserve">  </w:t>
      </w:r>
    </w:p>
    <w:p w14:paraId="16A3E68E">
      <w:pPr>
        <w:pStyle w:val="12"/>
        <w:keepNext w:val="0"/>
        <w:keepLines w:val="0"/>
        <w:pageBreakBefore w:val="0"/>
        <w:widowControl w:val="0"/>
        <w:kinsoku/>
        <w:wordWrap/>
        <w:overflowPunct/>
        <w:topLinePunct w:val="0"/>
        <w:autoSpaceDE/>
        <w:autoSpaceDN/>
        <w:bidi w:val="0"/>
        <w:adjustRightInd w:val="0"/>
        <w:snapToGrid w:val="0"/>
        <w:spacing w:line="360" w:lineRule="auto"/>
        <w:ind w:firstLine="1985" w:firstLineChars="659"/>
        <w:textAlignment w:val="auto"/>
        <w:outlineLvl w:val="9"/>
        <w:rPr>
          <w:rFonts w:hint="eastAsia" w:ascii="新宋体" w:hAnsi="新宋体" w:eastAsia="新宋体" w:cs="新宋体"/>
          <w:b/>
          <w:bCs/>
          <w:color w:val="auto"/>
          <w:sz w:val="30"/>
          <w:szCs w:val="30"/>
          <w:highlight w:val="none"/>
        </w:rPr>
      </w:pPr>
      <w:r>
        <w:rPr>
          <w:rFonts w:hint="eastAsia" w:ascii="新宋体" w:hAnsi="新宋体" w:eastAsia="新宋体" w:cs="新宋体"/>
          <w:b/>
          <w:bCs/>
          <w:color w:val="auto"/>
          <w:sz w:val="30"/>
          <w:szCs w:val="30"/>
          <w:highlight w:val="none"/>
        </w:rPr>
        <w:t>采   购   人：</w:t>
      </w:r>
      <w:r>
        <w:rPr>
          <w:rFonts w:hint="eastAsia" w:ascii="新宋体" w:hAnsi="新宋体" w:eastAsia="新宋体" w:cs="新宋体"/>
          <w:b/>
          <w:bCs/>
          <w:color w:val="auto"/>
          <w:sz w:val="30"/>
          <w:szCs w:val="30"/>
          <w:highlight w:val="none"/>
          <w:u w:val="single"/>
        </w:rPr>
        <w:t xml:space="preserve">                 </w:t>
      </w:r>
      <w:r>
        <w:rPr>
          <w:rFonts w:hint="eastAsia" w:ascii="新宋体" w:hAnsi="新宋体" w:eastAsia="新宋体" w:cs="新宋体"/>
          <w:b/>
          <w:bCs/>
          <w:color w:val="auto"/>
          <w:sz w:val="30"/>
          <w:szCs w:val="30"/>
          <w:highlight w:val="none"/>
          <w:u w:val="single"/>
          <w:lang w:val="en-US" w:eastAsia="zh-CN"/>
        </w:rPr>
        <w:t xml:space="preserve">  </w:t>
      </w:r>
      <w:r>
        <w:rPr>
          <w:rFonts w:hint="eastAsia" w:ascii="新宋体" w:hAnsi="新宋体" w:eastAsia="新宋体" w:cs="新宋体"/>
          <w:b/>
          <w:bCs/>
          <w:color w:val="auto"/>
          <w:sz w:val="30"/>
          <w:szCs w:val="30"/>
          <w:highlight w:val="none"/>
          <w:u w:val="single"/>
        </w:rPr>
        <w:t xml:space="preserve">   </w:t>
      </w:r>
    </w:p>
    <w:p w14:paraId="59C9E093">
      <w:pPr>
        <w:pStyle w:val="12"/>
        <w:keepNext w:val="0"/>
        <w:keepLines w:val="0"/>
        <w:pageBreakBefore w:val="0"/>
        <w:widowControl w:val="0"/>
        <w:kinsoku/>
        <w:wordWrap/>
        <w:overflowPunct/>
        <w:topLinePunct w:val="0"/>
        <w:autoSpaceDE/>
        <w:autoSpaceDN/>
        <w:bidi w:val="0"/>
        <w:adjustRightInd w:val="0"/>
        <w:snapToGrid w:val="0"/>
        <w:spacing w:line="360" w:lineRule="auto"/>
        <w:ind w:firstLine="1985" w:firstLineChars="659"/>
        <w:textAlignment w:val="auto"/>
        <w:outlineLvl w:val="9"/>
        <w:rPr>
          <w:rFonts w:hint="eastAsia"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政府采购计划编号:</w:t>
      </w:r>
      <w:r>
        <w:rPr>
          <w:rFonts w:hint="eastAsia" w:ascii="新宋体" w:hAnsi="新宋体" w:eastAsia="新宋体" w:cs="新宋体"/>
          <w:b/>
          <w:bCs/>
          <w:color w:val="auto"/>
          <w:sz w:val="30"/>
          <w:szCs w:val="30"/>
          <w:highlight w:val="none"/>
          <w:u w:val="single"/>
        </w:rPr>
        <w:t xml:space="preserve">               </w:t>
      </w:r>
      <w:r>
        <w:rPr>
          <w:rFonts w:hint="eastAsia" w:ascii="新宋体" w:hAnsi="新宋体" w:eastAsia="新宋体" w:cs="新宋体"/>
          <w:b/>
          <w:bCs/>
          <w:color w:val="auto"/>
          <w:sz w:val="30"/>
          <w:szCs w:val="30"/>
          <w:highlight w:val="none"/>
          <w:u w:val="single"/>
          <w:lang w:val="en-US" w:eastAsia="zh-CN"/>
        </w:rPr>
        <w:t xml:space="preserve">  </w:t>
      </w:r>
      <w:r>
        <w:rPr>
          <w:rFonts w:hint="eastAsia" w:ascii="新宋体" w:hAnsi="新宋体" w:eastAsia="新宋体" w:cs="新宋体"/>
          <w:b/>
          <w:bCs/>
          <w:color w:val="auto"/>
          <w:sz w:val="30"/>
          <w:szCs w:val="30"/>
          <w:highlight w:val="none"/>
          <w:u w:val="single"/>
        </w:rPr>
        <w:t xml:space="preserve">  </w:t>
      </w:r>
    </w:p>
    <w:p w14:paraId="3AC5F0D4">
      <w:pPr>
        <w:pStyle w:val="12"/>
        <w:keepNext w:val="0"/>
        <w:keepLines w:val="0"/>
        <w:pageBreakBefore w:val="0"/>
        <w:widowControl w:val="0"/>
        <w:kinsoku/>
        <w:wordWrap/>
        <w:overflowPunct/>
        <w:topLinePunct w:val="0"/>
        <w:autoSpaceDE/>
        <w:autoSpaceDN/>
        <w:bidi w:val="0"/>
        <w:adjustRightInd w:val="0"/>
        <w:snapToGrid w:val="0"/>
        <w:spacing w:line="360" w:lineRule="auto"/>
        <w:ind w:firstLine="1985" w:firstLineChars="659"/>
        <w:textAlignment w:val="auto"/>
        <w:outlineLvl w:val="9"/>
        <w:rPr>
          <w:rFonts w:hint="eastAsia"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委托代理编号:</w:t>
      </w:r>
      <w:r>
        <w:rPr>
          <w:rFonts w:hint="eastAsia" w:ascii="新宋体" w:hAnsi="新宋体" w:eastAsia="新宋体" w:cs="新宋体"/>
          <w:b/>
          <w:bCs/>
          <w:color w:val="auto"/>
          <w:sz w:val="30"/>
          <w:szCs w:val="30"/>
          <w:highlight w:val="none"/>
          <w:u w:val="single"/>
        </w:rPr>
        <w:t xml:space="preserve">                  </w:t>
      </w:r>
      <w:r>
        <w:rPr>
          <w:rFonts w:hint="eastAsia" w:ascii="新宋体" w:hAnsi="新宋体" w:eastAsia="新宋体" w:cs="新宋体"/>
          <w:b/>
          <w:bCs/>
          <w:color w:val="auto"/>
          <w:sz w:val="30"/>
          <w:szCs w:val="30"/>
          <w:highlight w:val="none"/>
          <w:u w:val="single"/>
          <w:lang w:val="en-US" w:eastAsia="zh-CN"/>
        </w:rPr>
        <w:t xml:space="preserve">  </w:t>
      </w:r>
      <w:r>
        <w:rPr>
          <w:rFonts w:hint="eastAsia" w:ascii="新宋体" w:hAnsi="新宋体" w:eastAsia="新宋体" w:cs="新宋体"/>
          <w:b/>
          <w:bCs/>
          <w:color w:val="auto"/>
          <w:sz w:val="30"/>
          <w:szCs w:val="30"/>
          <w:highlight w:val="none"/>
          <w:u w:val="single"/>
        </w:rPr>
        <w:t xml:space="preserve">   </w:t>
      </w:r>
    </w:p>
    <w:p w14:paraId="582CE570">
      <w:pPr>
        <w:pStyle w:val="12"/>
        <w:keepNext w:val="0"/>
        <w:keepLines w:val="0"/>
        <w:pageBreakBefore w:val="0"/>
        <w:widowControl w:val="0"/>
        <w:kinsoku/>
        <w:wordWrap/>
        <w:overflowPunct/>
        <w:topLinePunct w:val="0"/>
        <w:autoSpaceDE/>
        <w:autoSpaceDN/>
        <w:bidi w:val="0"/>
        <w:adjustRightInd w:val="0"/>
        <w:snapToGrid w:val="0"/>
        <w:spacing w:line="360" w:lineRule="auto"/>
        <w:ind w:firstLine="1985" w:firstLineChars="659"/>
        <w:textAlignment w:val="auto"/>
        <w:outlineLvl w:val="9"/>
        <w:rPr>
          <w:rFonts w:hint="eastAsia"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采购代理机构：</w:t>
      </w:r>
      <w:r>
        <w:rPr>
          <w:rFonts w:hint="eastAsia" w:ascii="新宋体" w:hAnsi="新宋体" w:eastAsia="新宋体" w:cs="新宋体"/>
          <w:b/>
          <w:bCs/>
          <w:color w:val="auto"/>
          <w:sz w:val="30"/>
          <w:szCs w:val="30"/>
          <w:highlight w:val="none"/>
          <w:u w:val="single"/>
        </w:rPr>
        <w:t xml:space="preserve">                    </w:t>
      </w:r>
      <w:r>
        <w:rPr>
          <w:rFonts w:hint="eastAsia" w:ascii="新宋体" w:hAnsi="新宋体" w:eastAsia="新宋体" w:cs="新宋体"/>
          <w:b/>
          <w:bCs/>
          <w:color w:val="auto"/>
          <w:sz w:val="30"/>
          <w:szCs w:val="30"/>
          <w:highlight w:val="none"/>
          <w:u w:val="single"/>
          <w:lang w:val="en-US" w:eastAsia="zh-CN"/>
        </w:rPr>
        <w:t xml:space="preserve"> </w:t>
      </w:r>
      <w:r>
        <w:rPr>
          <w:rFonts w:hint="eastAsia" w:ascii="新宋体" w:hAnsi="新宋体" w:eastAsia="新宋体" w:cs="新宋体"/>
          <w:b/>
          <w:bCs/>
          <w:color w:val="auto"/>
          <w:sz w:val="30"/>
          <w:szCs w:val="30"/>
          <w:highlight w:val="none"/>
          <w:u w:val="single"/>
        </w:rPr>
        <w:t xml:space="preserve"> </w:t>
      </w:r>
    </w:p>
    <w:p w14:paraId="37D05FE6">
      <w:pPr>
        <w:adjustRightInd w:val="0"/>
        <w:snapToGrid w:val="0"/>
        <w:spacing w:line="360" w:lineRule="auto"/>
        <w:outlineLvl w:val="9"/>
        <w:rPr>
          <w:rFonts w:hint="eastAsia" w:ascii="新宋体" w:hAnsi="新宋体" w:eastAsia="新宋体" w:cs="新宋体"/>
          <w:color w:val="auto"/>
          <w:sz w:val="30"/>
          <w:szCs w:val="30"/>
          <w:highlight w:val="none"/>
        </w:rPr>
      </w:pPr>
    </w:p>
    <w:p w14:paraId="380AFA38">
      <w:pPr>
        <w:adjustRightInd w:val="0"/>
        <w:snapToGrid w:val="0"/>
        <w:spacing w:line="360" w:lineRule="auto"/>
        <w:outlineLvl w:val="9"/>
        <w:rPr>
          <w:rFonts w:hint="eastAsia" w:ascii="新宋体" w:hAnsi="新宋体" w:eastAsia="新宋体" w:cs="新宋体"/>
          <w:color w:val="auto"/>
          <w:sz w:val="30"/>
          <w:szCs w:val="30"/>
          <w:highlight w:val="none"/>
        </w:rPr>
      </w:pPr>
    </w:p>
    <w:p w14:paraId="2E217DEA">
      <w:pPr>
        <w:pStyle w:val="24"/>
        <w:outlineLvl w:val="9"/>
        <w:rPr>
          <w:rFonts w:hint="eastAsia" w:ascii="新宋体" w:hAnsi="新宋体" w:eastAsia="新宋体" w:cs="新宋体"/>
          <w:color w:val="auto"/>
          <w:sz w:val="30"/>
          <w:szCs w:val="30"/>
          <w:highlight w:val="none"/>
        </w:rPr>
      </w:pPr>
    </w:p>
    <w:p w14:paraId="47BA755C">
      <w:pPr>
        <w:outlineLvl w:val="9"/>
        <w:rPr>
          <w:rFonts w:hint="eastAsia"/>
          <w:color w:val="auto"/>
          <w:highlight w:val="none"/>
        </w:rPr>
      </w:pPr>
    </w:p>
    <w:p w14:paraId="736C0271">
      <w:pPr>
        <w:adjustRightInd w:val="0"/>
        <w:snapToGrid w:val="0"/>
        <w:spacing w:line="360" w:lineRule="auto"/>
        <w:ind w:left="1273" w:leftChars="606" w:firstLine="640" w:firstLineChars="200"/>
        <w:outlineLvl w:val="9"/>
        <w:rPr>
          <w:rFonts w:hint="eastAsia" w:ascii="新宋体" w:hAnsi="新宋体" w:eastAsia="新宋体" w:cs="新宋体"/>
          <w:color w:val="auto"/>
          <w:sz w:val="32"/>
          <w:szCs w:val="32"/>
          <w:highlight w:val="none"/>
          <w:u w:val="single"/>
        </w:rPr>
      </w:pPr>
      <w:r>
        <w:rPr>
          <w:rFonts w:hint="eastAsia" w:ascii="新宋体" w:hAnsi="新宋体" w:eastAsia="新宋体" w:cs="新宋体"/>
          <w:color w:val="auto"/>
          <w:sz w:val="32"/>
          <w:szCs w:val="32"/>
          <w:highlight w:val="none"/>
        </w:rPr>
        <w:t>投标人</w:t>
      </w:r>
      <w:r>
        <w:rPr>
          <w:rFonts w:hint="eastAsia" w:ascii="新宋体" w:hAnsi="新宋体" w:eastAsia="新宋体" w:cs="新宋体"/>
          <w:color w:val="auto"/>
          <w:sz w:val="32"/>
          <w:szCs w:val="32"/>
          <w:highlight w:val="none"/>
          <w:u w:val="single"/>
        </w:rPr>
        <w:t xml:space="preserve">                         </w:t>
      </w:r>
    </w:p>
    <w:p w14:paraId="3B00F906">
      <w:pPr>
        <w:adjustRightInd w:val="0"/>
        <w:snapToGrid w:val="0"/>
        <w:spacing w:line="360" w:lineRule="auto"/>
        <w:jc w:val="center"/>
        <w:outlineLvl w:val="9"/>
        <w:rPr>
          <w:rFonts w:hint="eastAsia" w:ascii="新宋体" w:hAnsi="新宋体" w:eastAsia="新宋体" w:cs="新宋体"/>
          <w:color w:val="auto"/>
          <w:sz w:val="32"/>
          <w:szCs w:val="32"/>
          <w:highlight w:val="none"/>
        </w:rPr>
      </w:pPr>
      <w:r>
        <w:rPr>
          <w:rFonts w:hint="eastAsia" w:ascii="新宋体" w:hAnsi="新宋体" w:eastAsia="新宋体" w:cs="新宋体"/>
          <w:color w:val="auto"/>
          <w:sz w:val="32"/>
          <w:szCs w:val="32"/>
          <w:highlight w:val="none"/>
        </w:rPr>
        <w:t>年  月  日</w:t>
      </w:r>
    </w:p>
    <w:p w14:paraId="641BD905">
      <w:pPr>
        <w:pStyle w:val="33"/>
        <w:outlineLvl w:val="9"/>
        <w:rPr>
          <w:rFonts w:hint="eastAsia"/>
          <w:color w:val="auto"/>
          <w:highlight w:val="none"/>
          <w:lang w:eastAsia="zh-CN"/>
        </w:rPr>
      </w:pPr>
    </w:p>
    <w:p w14:paraId="5DA7E74F">
      <w:pPr>
        <w:outlineLvl w:val="9"/>
        <w:rPr>
          <w:rFonts w:hint="eastAsia"/>
          <w:color w:val="auto"/>
          <w:highlight w:val="none"/>
          <w:lang w:eastAsia="zh-CN"/>
        </w:rPr>
      </w:pPr>
    </w:p>
    <w:p w14:paraId="6AC08141">
      <w:pPr>
        <w:pStyle w:val="33"/>
        <w:outlineLvl w:val="9"/>
        <w:rPr>
          <w:rFonts w:hint="eastAsia"/>
          <w:color w:val="auto"/>
          <w:highlight w:val="none"/>
          <w:lang w:eastAsia="zh-CN"/>
        </w:rPr>
      </w:pPr>
    </w:p>
    <w:p w14:paraId="6140475B">
      <w:pPr>
        <w:pStyle w:val="33"/>
        <w:outlineLvl w:val="9"/>
        <w:rPr>
          <w:rFonts w:hint="eastAsia"/>
          <w:color w:val="auto"/>
          <w:highlight w:val="none"/>
          <w:lang w:eastAsia="zh-CN"/>
        </w:rPr>
      </w:pPr>
    </w:p>
    <w:p w14:paraId="712C61DE">
      <w:pPr>
        <w:jc w:val="center"/>
        <w:outlineLvl w:val="9"/>
        <w:rPr>
          <w:rFonts w:hint="eastAsia" w:ascii="新宋体" w:hAnsi="新宋体" w:eastAsia="新宋体" w:cs="新宋体"/>
          <w:b/>
          <w:bCs/>
          <w:color w:val="auto"/>
          <w:sz w:val="28"/>
          <w:szCs w:val="28"/>
          <w:highlight w:val="none"/>
          <w:lang w:eastAsia="zh-CN"/>
        </w:rPr>
      </w:pPr>
      <w:bookmarkStart w:id="229" w:name="_Toc6324"/>
      <w:bookmarkStart w:id="230" w:name="_Toc23275"/>
      <w:bookmarkStart w:id="231" w:name="_Toc9558"/>
      <w:r>
        <w:rPr>
          <w:rFonts w:hint="eastAsia" w:ascii="新宋体" w:hAnsi="新宋体" w:eastAsia="新宋体" w:cs="新宋体"/>
          <w:b/>
          <w:bCs/>
          <w:color w:val="auto"/>
          <w:sz w:val="28"/>
          <w:szCs w:val="28"/>
          <w:highlight w:val="none"/>
          <w:lang w:eastAsia="zh-CN"/>
        </w:rPr>
        <w:t>十一、采购需求响应</w:t>
      </w:r>
      <w:bookmarkEnd w:id="187"/>
      <w:bookmarkEnd w:id="229"/>
      <w:bookmarkEnd w:id="230"/>
      <w:bookmarkEnd w:id="231"/>
    </w:p>
    <w:p w14:paraId="6EC63113">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b/>
          <w:color w:val="auto"/>
          <w:szCs w:val="21"/>
          <w:highlight w:val="none"/>
        </w:rPr>
      </w:pPr>
    </w:p>
    <w:p w14:paraId="3D3C6A50">
      <w:pPr>
        <w:pageBreakBefore w:val="0"/>
        <w:kinsoku/>
        <w:overflowPunct/>
        <w:topLinePunct w:val="0"/>
        <w:bidi w:val="0"/>
        <w:adjustRightInd w:val="0"/>
        <w:snapToGrid w:val="0"/>
        <w:spacing w:line="360" w:lineRule="auto"/>
        <w:jc w:val="left"/>
        <w:textAlignment w:val="auto"/>
        <w:outlineLvl w:val="9"/>
        <w:rPr>
          <w:rFonts w:hint="eastAsia" w:ascii="新宋体" w:hAnsi="新宋体" w:eastAsia="新宋体" w:cs="新宋体"/>
          <w:b/>
          <w:color w:val="auto"/>
          <w:highlight w:val="none"/>
        </w:rPr>
      </w:pPr>
      <w:r>
        <w:rPr>
          <w:rFonts w:hint="eastAsia" w:ascii="新宋体" w:hAnsi="新宋体" w:eastAsia="新宋体" w:cs="新宋体"/>
          <w:b/>
          <w:color w:val="auto"/>
          <w:szCs w:val="21"/>
          <w:highlight w:val="none"/>
        </w:rPr>
        <w:t>编制说明</w:t>
      </w:r>
      <w:r>
        <w:rPr>
          <w:rFonts w:hint="eastAsia" w:ascii="新宋体" w:hAnsi="新宋体" w:eastAsia="新宋体" w:cs="新宋体"/>
          <w:bCs/>
          <w:color w:val="auto"/>
          <w:szCs w:val="21"/>
          <w:highlight w:val="none"/>
        </w:rPr>
        <w:t>：</w:t>
      </w:r>
      <w:r>
        <w:rPr>
          <w:rFonts w:hint="eastAsia" w:ascii="新宋体" w:hAnsi="新宋体" w:eastAsia="新宋体" w:cs="新宋体"/>
          <w:b/>
          <w:color w:val="auto"/>
          <w:szCs w:val="21"/>
          <w:highlight w:val="none"/>
        </w:rPr>
        <w:t>投标人应按招标文件第五章采购需求自行编写采购需求响应文件，格式自拟。</w:t>
      </w:r>
    </w:p>
    <w:p w14:paraId="729C2C58">
      <w:pPr>
        <w:pStyle w:val="13"/>
        <w:pageBreakBefore w:val="0"/>
        <w:kinsoku/>
        <w:overflowPunct/>
        <w:topLinePunct w:val="0"/>
        <w:bidi w:val="0"/>
        <w:adjustRightInd w:val="0"/>
        <w:snapToGrid w:val="0"/>
        <w:spacing w:line="360" w:lineRule="auto"/>
        <w:ind w:left="-88" w:leftChars="-42"/>
        <w:textAlignment w:val="auto"/>
        <w:outlineLvl w:val="9"/>
        <w:rPr>
          <w:rFonts w:hint="eastAsia" w:ascii="新宋体" w:hAnsi="新宋体" w:eastAsia="新宋体" w:cs="新宋体"/>
          <w:bCs/>
          <w:color w:val="auto"/>
          <w:sz w:val="21"/>
          <w:szCs w:val="21"/>
          <w:highlight w:val="none"/>
        </w:rPr>
      </w:pPr>
    </w:p>
    <w:p w14:paraId="7ECA0F56">
      <w:pPr>
        <w:pageBreakBefore w:val="0"/>
        <w:kinsoku/>
        <w:overflowPunct/>
        <w:topLinePunct w:val="0"/>
        <w:bidi w:val="0"/>
        <w:textAlignment w:val="auto"/>
        <w:outlineLvl w:val="9"/>
        <w:rPr>
          <w:rFonts w:hint="eastAsia" w:ascii="新宋体" w:hAnsi="新宋体" w:eastAsia="新宋体" w:cs="新宋体"/>
          <w:color w:val="auto"/>
          <w:highlight w:val="none"/>
        </w:rPr>
      </w:pPr>
    </w:p>
    <w:p w14:paraId="61C8BA51">
      <w:pPr>
        <w:pageBreakBefore w:val="0"/>
        <w:kinsoku/>
        <w:overflowPunct/>
        <w:topLinePunct w:val="0"/>
        <w:bidi w:val="0"/>
        <w:textAlignment w:val="auto"/>
        <w:outlineLvl w:val="9"/>
        <w:rPr>
          <w:rFonts w:hint="eastAsia" w:ascii="新宋体" w:hAnsi="新宋体" w:eastAsia="新宋体" w:cs="新宋体"/>
          <w:color w:val="auto"/>
          <w:highlight w:val="none"/>
        </w:rPr>
      </w:pPr>
    </w:p>
    <w:p w14:paraId="65805C31">
      <w:pPr>
        <w:pStyle w:val="13"/>
        <w:pageBreakBefore w:val="0"/>
        <w:tabs>
          <w:tab w:val="left" w:pos="6208"/>
        </w:tabs>
        <w:kinsoku/>
        <w:overflowPunct/>
        <w:topLinePunct w:val="0"/>
        <w:bidi w:val="0"/>
        <w:adjustRightInd w:val="0"/>
        <w:snapToGrid w:val="0"/>
        <w:spacing w:line="360" w:lineRule="auto"/>
        <w:ind w:left="-88" w:leftChars="-42"/>
        <w:textAlignment w:val="auto"/>
        <w:outlineLvl w:val="9"/>
        <w:rPr>
          <w:rFonts w:hint="eastAsia" w:ascii="新宋体" w:hAnsi="新宋体" w:eastAsia="新宋体" w:cs="新宋体"/>
          <w:bCs/>
          <w:color w:val="auto"/>
          <w:sz w:val="21"/>
          <w:szCs w:val="21"/>
          <w:highlight w:val="none"/>
        </w:rPr>
      </w:pPr>
    </w:p>
    <w:p w14:paraId="182A12CC">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Cs w:val="21"/>
          <w:highlight w:val="none"/>
        </w:rPr>
      </w:pPr>
    </w:p>
    <w:p w14:paraId="6BD11BFB">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投标人名称（盖单位章）：</w:t>
      </w:r>
    </w:p>
    <w:p w14:paraId="22013090">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Cs w:val="21"/>
          <w:highlight w:val="none"/>
          <w:u w:val="single"/>
        </w:rPr>
      </w:pPr>
      <w:r>
        <w:rPr>
          <w:rFonts w:hint="eastAsia" w:ascii="新宋体" w:hAnsi="新宋体" w:eastAsia="新宋体" w:cs="新宋体"/>
          <w:color w:val="auto"/>
          <w:spacing w:val="-2"/>
          <w:kern w:val="0"/>
          <w:szCs w:val="21"/>
          <w:highlight w:val="none"/>
        </w:rPr>
        <w:t>法</w:t>
      </w:r>
      <w:r>
        <w:rPr>
          <w:rFonts w:hint="eastAsia" w:ascii="新宋体" w:hAnsi="新宋体" w:eastAsia="新宋体" w:cs="新宋体"/>
          <w:color w:val="auto"/>
          <w:kern w:val="0"/>
          <w:szCs w:val="21"/>
          <w:highlight w:val="none"/>
        </w:rPr>
        <w:t>定</w:t>
      </w:r>
      <w:r>
        <w:rPr>
          <w:rFonts w:hint="eastAsia" w:ascii="新宋体" w:hAnsi="新宋体" w:eastAsia="新宋体" w:cs="新宋体"/>
          <w:color w:val="auto"/>
          <w:spacing w:val="-2"/>
          <w:kern w:val="0"/>
          <w:szCs w:val="21"/>
          <w:highlight w:val="none"/>
        </w:rPr>
        <w:t>代</w:t>
      </w:r>
      <w:r>
        <w:rPr>
          <w:rFonts w:hint="eastAsia" w:ascii="新宋体" w:hAnsi="新宋体" w:eastAsia="新宋体" w:cs="新宋体"/>
          <w:color w:val="auto"/>
          <w:kern w:val="0"/>
          <w:szCs w:val="21"/>
          <w:highlight w:val="none"/>
        </w:rPr>
        <w:t>表</w:t>
      </w:r>
      <w:r>
        <w:rPr>
          <w:rFonts w:hint="eastAsia" w:ascii="新宋体" w:hAnsi="新宋体" w:eastAsia="新宋体" w:cs="新宋体"/>
          <w:color w:val="auto"/>
          <w:spacing w:val="-2"/>
          <w:kern w:val="0"/>
          <w:szCs w:val="21"/>
          <w:highlight w:val="none"/>
        </w:rPr>
        <w:t>人</w:t>
      </w:r>
      <w:r>
        <w:rPr>
          <w:rFonts w:hint="eastAsia" w:ascii="新宋体" w:hAnsi="新宋体" w:eastAsia="新宋体" w:cs="新宋体"/>
          <w:color w:val="auto"/>
          <w:kern w:val="0"/>
          <w:szCs w:val="21"/>
          <w:highlight w:val="none"/>
        </w:rPr>
        <w:t>（</w:t>
      </w:r>
      <w:r>
        <w:rPr>
          <w:rFonts w:hint="eastAsia" w:ascii="新宋体" w:hAnsi="新宋体" w:eastAsia="新宋体" w:cs="新宋体"/>
          <w:color w:val="auto"/>
          <w:spacing w:val="-2"/>
          <w:kern w:val="0"/>
          <w:szCs w:val="21"/>
          <w:highlight w:val="none"/>
        </w:rPr>
        <w:t>单</w:t>
      </w:r>
      <w:r>
        <w:rPr>
          <w:rFonts w:hint="eastAsia" w:ascii="新宋体" w:hAnsi="新宋体" w:eastAsia="新宋体" w:cs="新宋体"/>
          <w:color w:val="auto"/>
          <w:kern w:val="0"/>
          <w:szCs w:val="21"/>
          <w:highlight w:val="none"/>
        </w:rPr>
        <w:t>位</w:t>
      </w:r>
      <w:r>
        <w:rPr>
          <w:rFonts w:hint="eastAsia" w:ascii="新宋体" w:hAnsi="新宋体" w:eastAsia="新宋体" w:cs="新宋体"/>
          <w:color w:val="auto"/>
          <w:spacing w:val="-2"/>
          <w:kern w:val="0"/>
          <w:szCs w:val="21"/>
          <w:highlight w:val="none"/>
        </w:rPr>
        <w:t>负</w:t>
      </w:r>
      <w:r>
        <w:rPr>
          <w:rFonts w:hint="eastAsia" w:ascii="新宋体" w:hAnsi="新宋体" w:eastAsia="新宋体" w:cs="新宋体"/>
          <w:color w:val="auto"/>
          <w:kern w:val="0"/>
          <w:szCs w:val="21"/>
          <w:highlight w:val="none"/>
        </w:rPr>
        <w:t>责人</w:t>
      </w:r>
      <w:r>
        <w:rPr>
          <w:rFonts w:hint="eastAsia" w:ascii="新宋体" w:hAnsi="新宋体" w:eastAsia="新宋体" w:cs="新宋体"/>
          <w:color w:val="auto"/>
          <w:spacing w:val="-2"/>
          <w:kern w:val="0"/>
          <w:szCs w:val="21"/>
          <w:highlight w:val="none"/>
        </w:rPr>
        <w:t>）</w:t>
      </w:r>
      <w:r>
        <w:rPr>
          <w:rFonts w:hint="eastAsia" w:ascii="新宋体" w:hAnsi="新宋体" w:eastAsia="新宋体" w:cs="新宋体"/>
          <w:color w:val="auto"/>
          <w:szCs w:val="21"/>
          <w:highlight w:val="none"/>
        </w:rPr>
        <w:t>或其授权的代理人（签字或印章）：</w:t>
      </w:r>
      <w:r>
        <w:rPr>
          <w:rFonts w:hint="eastAsia" w:ascii="新宋体" w:hAnsi="新宋体" w:eastAsia="新宋体" w:cs="新宋体"/>
          <w:color w:val="auto"/>
          <w:szCs w:val="21"/>
          <w:highlight w:val="none"/>
          <w:u w:val="single"/>
        </w:rPr>
        <w:t xml:space="preserve">             </w:t>
      </w:r>
    </w:p>
    <w:p w14:paraId="113B2396">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日期：</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年</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月</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日</w:t>
      </w:r>
    </w:p>
    <w:p w14:paraId="518CDFBA">
      <w:pPr>
        <w:pageBreakBefore w:val="0"/>
        <w:kinsoku/>
        <w:overflowPunct/>
        <w:topLinePunct w:val="0"/>
        <w:bidi w:val="0"/>
        <w:textAlignment w:val="auto"/>
        <w:outlineLvl w:val="9"/>
        <w:rPr>
          <w:rFonts w:hint="eastAsia" w:ascii="新宋体" w:hAnsi="新宋体" w:eastAsia="新宋体" w:cs="新宋体"/>
          <w:color w:val="auto"/>
          <w:highlight w:val="none"/>
        </w:rPr>
      </w:pPr>
    </w:p>
    <w:p w14:paraId="1AD81100">
      <w:pPr>
        <w:pageBreakBefore w:val="0"/>
        <w:kinsoku/>
        <w:overflowPunct/>
        <w:topLinePunct w:val="0"/>
        <w:bidi w:val="0"/>
        <w:textAlignment w:val="auto"/>
        <w:outlineLvl w:val="9"/>
        <w:rPr>
          <w:rFonts w:hint="eastAsia" w:ascii="新宋体" w:hAnsi="新宋体" w:eastAsia="新宋体" w:cs="新宋体"/>
          <w:color w:val="auto"/>
          <w:highlight w:val="none"/>
        </w:rPr>
      </w:pPr>
    </w:p>
    <w:p w14:paraId="70D08340">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Cs w:val="21"/>
          <w:highlight w:val="none"/>
        </w:rPr>
      </w:pPr>
    </w:p>
    <w:p w14:paraId="0A8F5772">
      <w:pPr>
        <w:pageBreakBefore w:val="0"/>
        <w:kinsoku/>
        <w:overflowPunct/>
        <w:topLinePunct w:val="0"/>
        <w:bidi w:val="0"/>
        <w:adjustRightInd w:val="0"/>
        <w:snapToGrid w:val="0"/>
        <w:spacing w:line="360" w:lineRule="auto"/>
        <w:textAlignment w:val="auto"/>
        <w:outlineLvl w:val="9"/>
        <w:rPr>
          <w:rFonts w:hint="eastAsia" w:ascii="新宋体" w:hAnsi="新宋体" w:eastAsia="新宋体" w:cs="新宋体"/>
          <w:color w:val="auto"/>
          <w:sz w:val="28"/>
          <w:szCs w:val="28"/>
          <w:highlight w:val="none"/>
        </w:rPr>
        <w:sectPr>
          <w:headerReference r:id="rId11" w:type="first"/>
          <w:headerReference r:id="rId9" w:type="default"/>
          <w:footerReference r:id="rId12" w:type="default"/>
          <w:headerReference r:id="rId10" w:type="even"/>
          <w:pgSz w:w="11906" w:h="16838"/>
          <w:pgMar w:top="1134" w:right="1134" w:bottom="1134" w:left="1134" w:header="851" w:footer="850" w:gutter="0"/>
          <w:pgNumType w:fmt="decimal"/>
          <w:cols w:space="720" w:num="1"/>
          <w:rtlGutter w:val="0"/>
          <w:docGrid w:type="lines" w:linePitch="312" w:charSpace="0"/>
        </w:sectPr>
      </w:pPr>
    </w:p>
    <w:p w14:paraId="7E53191B">
      <w:pPr>
        <w:jc w:val="center"/>
        <w:outlineLvl w:val="9"/>
        <w:rPr>
          <w:rFonts w:hint="eastAsia" w:ascii="新宋体" w:hAnsi="新宋体" w:eastAsia="新宋体" w:cs="新宋体"/>
          <w:b/>
          <w:bCs/>
          <w:color w:val="auto"/>
          <w:sz w:val="28"/>
          <w:szCs w:val="28"/>
          <w:highlight w:val="none"/>
          <w:lang w:eastAsia="zh-CN"/>
        </w:rPr>
      </w:pPr>
      <w:bookmarkStart w:id="232" w:name="_Toc276"/>
      <w:bookmarkStart w:id="233" w:name="_Toc2755"/>
      <w:bookmarkStart w:id="234" w:name="_Toc31195"/>
      <w:bookmarkStart w:id="235" w:name="_Toc30225"/>
      <w:r>
        <w:rPr>
          <w:rFonts w:hint="eastAsia" w:ascii="新宋体" w:hAnsi="新宋体" w:eastAsia="新宋体" w:cs="新宋体"/>
          <w:b/>
          <w:bCs/>
          <w:color w:val="auto"/>
          <w:sz w:val="28"/>
          <w:szCs w:val="28"/>
          <w:highlight w:val="none"/>
          <w:lang w:eastAsia="zh-CN"/>
        </w:rPr>
        <w:t>十二、采购需求偏离表</w:t>
      </w:r>
      <w:bookmarkEnd w:id="232"/>
      <w:bookmarkEnd w:id="233"/>
      <w:bookmarkEnd w:id="234"/>
      <w:bookmarkEnd w:id="235"/>
    </w:p>
    <w:p w14:paraId="725233C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eastAsia" w:ascii="新宋体" w:hAnsi="新宋体" w:eastAsia="新宋体" w:cs="新宋体"/>
          <w:color w:val="auto"/>
          <w:spacing w:val="0"/>
          <w:sz w:val="21"/>
          <w:szCs w:val="21"/>
          <w:highlight w:val="none"/>
          <w:u w:val="single"/>
        </w:rPr>
      </w:pPr>
      <w:r>
        <w:rPr>
          <w:rFonts w:hint="eastAsia" w:ascii="新宋体" w:hAnsi="新宋体" w:eastAsia="新宋体" w:cs="新宋体"/>
          <w:color w:val="auto"/>
          <w:spacing w:val="0"/>
          <w:sz w:val="21"/>
          <w:szCs w:val="21"/>
          <w:highlight w:val="none"/>
        </w:rPr>
        <w:t xml:space="preserve">政府采购计划编号: </w:t>
      </w:r>
      <w:r>
        <w:rPr>
          <w:rFonts w:hint="eastAsia" w:ascii="新宋体" w:hAnsi="新宋体" w:eastAsia="新宋体" w:cs="新宋体"/>
          <w:color w:val="auto"/>
          <w:spacing w:val="0"/>
          <w:sz w:val="21"/>
          <w:szCs w:val="21"/>
          <w:highlight w:val="none"/>
          <w:u w:val="single"/>
        </w:rPr>
        <w:t xml:space="preserve">                        </w:t>
      </w:r>
      <w:r>
        <w:rPr>
          <w:rFonts w:hint="eastAsia" w:ascii="新宋体" w:hAnsi="新宋体" w:eastAsia="新宋体" w:cs="新宋体"/>
          <w:color w:val="auto"/>
          <w:spacing w:val="0"/>
          <w:sz w:val="21"/>
          <w:szCs w:val="21"/>
          <w:highlight w:val="none"/>
        </w:rPr>
        <w:t xml:space="preserve">      项目名称：</w:t>
      </w:r>
      <w:r>
        <w:rPr>
          <w:rFonts w:hint="eastAsia" w:ascii="新宋体" w:hAnsi="新宋体" w:eastAsia="新宋体" w:cs="新宋体"/>
          <w:color w:val="auto"/>
          <w:spacing w:val="0"/>
          <w:sz w:val="21"/>
          <w:szCs w:val="21"/>
          <w:highlight w:val="none"/>
          <w:u w:val="single"/>
        </w:rPr>
        <w:t xml:space="preserve">                    </w:t>
      </w:r>
    </w:p>
    <w:p w14:paraId="221BE70F">
      <w:pPr>
        <w:pStyle w:val="31"/>
        <w:ind w:left="0" w:leftChars="0" w:firstLine="0" w:firstLineChars="0"/>
        <w:outlineLvl w:val="9"/>
        <w:rPr>
          <w:rFonts w:hint="default" w:eastAsia="新宋体"/>
          <w:color w:val="auto"/>
          <w:lang w:val="en-US" w:eastAsia="zh-CN"/>
        </w:rPr>
      </w:pPr>
      <w:r>
        <w:rPr>
          <w:rFonts w:hint="eastAsia" w:ascii="新宋体" w:hAnsi="新宋体" w:eastAsia="新宋体" w:cs="新宋体"/>
          <w:color w:val="auto"/>
          <w:spacing w:val="0"/>
          <w:sz w:val="21"/>
          <w:szCs w:val="21"/>
          <w:highlight w:val="none"/>
          <w:u w:val="none"/>
          <w:lang w:eastAsia="zh-CN"/>
        </w:rPr>
        <w:t>包号及标的名称：</w:t>
      </w:r>
      <w:r>
        <w:rPr>
          <w:rFonts w:hint="eastAsia" w:ascii="新宋体" w:hAnsi="新宋体" w:eastAsia="新宋体" w:cs="新宋体"/>
          <w:color w:val="auto"/>
          <w:spacing w:val="0"/>
          <w:sz w:val="21"/>
          <w:szCs w:val="21"/>
          <w:highlight w:val="none"/>
          <w:u w:val="single"/>
          <w:lang w:val="en-US" w:eastAsia="zh-CN"/>
        </w:rPr>
        <w:t xml:space="preserve">           </w:t>
      </w:r>
    </w:p>
    <w:tbl>
      <w:tblPr>
        <w:tblStyle w:val="26"/>
        <w:tblW w:w="4996"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635"/>
        <w:gridCol w:w="2588"/>
        <w:gridCol w:w="2133"/>
        <w:gridCol w:w="2237"/>
        <w:gridCol w:w="2093"/>
      </w:tblGrid>
      <w:tr w14:paraId="124AFB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000" w:type="pct"/>
            <w:gridSpan w:val="5"/>
            <w:noWrap w:val="0"/>
            <w:vAlign w:val="center"/>
          </w:tcPr>
          <w:p w14:paraId="37E4B64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center"/>
              <w:textAlignment w:val="auto"/>
              <w:outlineLvl w:val="9"/>
              <w:rPr>
                <w:rFonts w:hint="eastAsia" w:ascii="新宋体" w:hAnsi="新宋体" w:eastAsia="新宋体" w:cs="新宋体"/>
                <w:b/>
                <w:bCs/>
                <w:color w:val="auto"/>
                <w:sz w:val="22"/>
                <w:szCs w:val="22"/>
              </w:rPr>
            </w:pPr>
            <w:r>
              <w:rPr>
                <w:rFonts w:hint="eastAsia" w:ascii="新宋体" w:hAnsi="新宋体" w:eastAsia="新宋体" w:cs="新宋体"/>
                <w:b/>
                <w:bCs/>
                <w:color w:val="auto"/>
                <w:sz w:val="22"/>
                <w:szCs w:val="22"/>
              </w:rPr>
              <w:t>对本项目</w:t>
            </w:r>
            <w:r>
              <w:rPr>
                <w:rFonts w:hint="eastAsia" w:ascii="新宋体" w:hAnsi="新宋体" w:eastAsia="新宋体" w:cs="新宋体"/>
                <w:b/>
                <w:bCs/>
                <w:color w:val="auto"/>
                <w:sz w:val="22"/>
                <w:szCs w:val="22"/>
                <w:lang w:val="en-US" w:eastAsia="zh-CN"/>
              </w:rPr>
              <w:t>采购需求</w:t>
            </w:r>
            <w:r>
              <w:rPr>
                <w:rFonts w:hint="eastAsia" w:ascii="新宋体" w:hAnsi="新宋体" w:eastAsia="新宋体" w:cs="新宋体"/>
                <w:b/>
                <w:bCs/>
                <w:color w:val="auto"/>
                <w:sz w:val="22"/>
                <w:szCs w:val="22"/>
              </w:rPr>
              <w:t>的偏离情况（请用“√”进行勾选）</w:t>
            </w:r>
          </w:p>
          <w:p w14:paraId="2BD1B9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left"/>
              <w:textAlignment w:val="auto"/>
              <w:outlineLvl w:val="9"/>
              <w:rPr>
                <w:rFonts w:hint="eastAsia" w:ascii="新宋体" w:hAnsi="新宋体" w:eastAsia="新宋体" w:cs="新宋体"/>
                <w:color w:val="auto"/>
                <w:sz w:val="22"/>
                <w:szCs w:val="22"/>
              </w:rPr>
            </w:pPr>
            <w:r>
              <w:rPr>
                <w:rFonts w:hint="eastAsia" w:ascii="新宋体" w:hAnsi="新宋体" w:eastAsia="新宋体" w:cs="新宋体"/>
                <w:color w:val="auto"/>
                <w:szCs w:val="21"/>
              </w:rPr>
              <w:t></w:t>
            </w:r>
            <w:r>
              <w:rPr>
                <w:rFonts w:hint="eastAsia" w:ascii="新宋体" w:hAnsi="新宋体" w:eastAsia="新宋体" w:cs="新宋体"/>
                <w:color w:val="auto"/>
                <w:kern w:val="0"/>
                <w:sz w:val="22"/>
                <w:szCs w:val="22"/>
                <w:lang w:bidi="ar"/>
              </w:rPr>
              <w:t>□</w:t>
            </w:r>
            <w:r>
              <w:rPr>
                <w:rFonts w:hint="eastAsia" w:ascii="新宋体" w:hAnsi="新宋体" w:eastAsia="新宋体" w:cs="新宋体"/>
                <w:b/>
                <w:bCs/>
                <w:color w:val="auto"/>
                <w:sz w:val="22"/>
                <w:szCs w:val="22"/>
              </w:rPr>
              <w:t>无偏离</w:t>
            </w:r>
            <w:r>
              <w:rPr>
                <w:rFonts w:hint="eastAsia" w:ascii="新宋体" w:hAnsi="新宋体" w:eastAsia="新宋体" w:cs="新宋体"/>
                <w:color w:val="auto"/>
                <w:sz w:val="22"/>
                <w:szCs w:val="22"/>
              </w:rPr>
              <w:t>（如无偏离，仅勾选无偏离即可）</w:t>
            </w:r>
          </w:p>
          <w:p w14:paraId="05C0098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left"/>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 w:val="22"/>
                <w:szCs w:val="22"/>
              </w:rPr>
              <w:t></w:t>
            </w:r>
            <w:r>
              <w:rPr>
                <w:rFonts w:hint="eastAsia" w:ascii="新宋体" w:hAnsi="新宋体" w:eastAsia="新宋体" w:cs="新宋体"/>
                <w:color w:val="auto"/>
                <w:kern w:val="0"/>
                <w:sz w:val="22"/>
                <w:szCs w:val="22"/>
                <w:lang w:bidi="ar"/>
              </w:rPr>
              <w:t>□</w:t>
            </w:r>
            <w:r>
              <w:rPr>
                <w:rFonts w:hint="eastAsia" w:ascii="新宋体" w:hAnsi="新宋体" w:eastAsia="新宋体" w:cs="新宋体"/>
                <w:b/>
                <w:bCs/>
                <w:color w:val="auto"/>
                <w:sz w:val="22"/>
                <w:szCs w:val="22"/>
              </w:rPr>
              <w:t>有偏离</w:t>
            </w:r>
            <w:r>
              <w:rPr>
                <w:rFonts w:hint="eastAsia" w:ascii="新宋体" w:hAnsi="新宋体" w:eastAsia="新宋体" w:cs="新宋体"/>
                <w:color w:val="auto"/>
                <w:sz w:val="22"/>
                <w:szCs w:val="22"/>
              </w:rPr>
              <w:t>（如有偏离，则应在本表中对偏离项逐一列明）</w:t>
            </w:r>
          </w:p>
        </w:tc>
      </w:tr>
      <w:tr w14:paraId="3D6935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28" w:type="pct"/>
            <w:noWrap w:val="0"/>
            <w:vAlign w:val="center"/>
          </w:tcPr>
          <w:p w14:paraId="4CC39707">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bCs/>
                <w:color w:val="auto"/>
                <w:szCs w:val="21"/>
                <w:highlight w:val="none"/>
              </w:rPr>
              <w:t>序</w:t>
            </w:r>
            <w:r>
              <w:rPr>
                <w:rFonts w:hint="eastAsia" w:ascii="新宋体" w:hAnsi="新宋体" w:eastAsia="新宋体" w:cs="新宋体"/>
                <w:color w:val="auto"/>
                <w:szCs w:val="21"/>
                <w:highlight w:val="none"/>
              </w:rPr>
              <w:t>号</w:t>
            </w:r>
          </w:p>
        </w:tc>
        <w:tc>
          <w:tcPr>
            <w:tcW w:w="1336" w:type="pct"/>
            <w:noWrap w:val="0"/>
            <w:vAlign w:val="center"/>
          </w:tcPr>
          <w:p w14:paraId="0E3E98E9">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szCs w:val="21"/>
                <w:highlight w:val="none"/>
              </w:rPr>
              <w:t>招标文件章节</w:t>
            </w:r>
            <w:r>
              <w:rPr>
                <w:rFonts w:hint="eastAsia" w:ascii="新宋体" w:hAnsi="新宋体" w:eastAsia="新宋体" w:cs="新宋体"/>
                <w:bCs/>
                <w:color w:val="auto"/>
                <w:szCs w:val="21"/>
                <w:highlight w:val="none"/>
              </w:rPr>
              <w:t>条</w:t>
            </w:r>
            <w:r>
              <w:rPr>
                <w:rFonts w:hint="eastAsia" w:ascii="新宋体" w:hAnsi="新宋体" w:eastAsia="新宋体" w:cs="新宋体"/>
                <w:color w:val="auto"/>
                <w:szCs w:val="21"/>
                <w:highlight w:val="none"/>
              </w:rPr>
              <w:t>款号</w:t>
            </w:r>
          </w:p>
        </w:tc>
        <w:tc>
          <w:tcPr>
            <w:tcW w:w="1101" w:type="pct"/>
            <w:noWrap w:val="0"/>
            <w:vAlign w:val="center"/>
          </w:tcPr>
          <w:p w14:paraId="266F6F39">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highlight w:val="none"/>
              </w:rPr>
              <w:t>招标文件要求</w:t>
            </w:r>
          </w:p>
        </w:tc>
        <w:tc>
          <w:tcPr>
            <w:tcW w:w="1155" w:type="pct"/>
            <w:tcBorders>
              <w:right w:val="single" w:color="auto" w:sz="4" w:space="0"/>
            </w:tcBorders>
            <w:noWrap w:val="0"/>
            <w:vAlign w:val="center"/>
          </w:tcPr>
          <w:p w14:paraId="3AF8483F">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0" w:right="0"/>
              <w:jc w:val="center"/>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highlight w:val="none"/>
              </w:rPr>
              <w:t>投标文件的应答</w:t>
            </w:r>
          </w:p>
        </w:tc>
        <w:tc>
          <w:tcPr>
            <w:tcW w:w="1077" w:type="pct"/>
            <w:tcBorders>
              <w:left w:val="single" w:color="auto" w:sz="4" w:space="0"/>
            </w:tcBorders>
            <w:noWrap w:val="0"/>
            <w:vAlign w:val="center"/>
          </w:tcPr>
          <w:p w14:paraId="6C429AAB">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szCs w:val="21"/>
                <w:highlight w:val="none"/>
              </w:rPr>
              <w:t>偏离说明</w:t>
            </w:r>
          </w:p>
        </w:tc>
      </w:tr>
      <w:tr w14:paraId="131E03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28" w:type="pct"/>
            <w:noWrap w:val="0"/>
            <w:vAlign w:val="center"/>
          </w:tcPr>
          <w:p w14:paraId="020DD95B">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336" w:type="pct"/>
            <w:noWrap w:val="0"/>
            <w:vAlign w:val="center"/>
          </w:tcPr>
          <w:p w14:paraId="496311FA">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101" w:type="pct"/>
            <w:noWrap w:val="0"/>
            <w:vAlign w:val="center"/>
          </w:tcPr>
          <w:p w14:paraId="5D06D7B7">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155" w:type="pct"/>
            <w:tcBorders>
              <w:right w:val="single" w:color="auto" w:sz="4" w:space="0"/>
            </w:tcBorders>
            <w:noWrap w:val="0"/>
            <w:vAlign w:val="center"/>
          </w:tcPr>
          <w:p w14:paraId="098B41ED">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077" w:type="pct"/>
            <w:tcBorders>
              <w:left w:val="single" w:color="auto" w:sz="4" w:space="0"/>
            </w:tcBorders>
            <w:noWrap w:val="0"/>
            <w:vAlign w:val="center"/>
          </w:tcPr>
          <w:p w14:paraId="16DD4BD7">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r>
      <w:tr w14:paraId="6DAAA4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28" w:type="pct"/>
            <w:noWrap w:val="0"/>
            <w:vAlign w:val="center"/>
          </w:tcPr>
          <w:p w14:paraId="7A2014A0">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336" w:type="pct"/>
            <w:noWrap w:val="0"/>
            <w:vAlign w:val="center"/>
          </w:tcPr>
          <w:p w14:paraId="5DE3A008">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101" w:type="pct"/>
            <w:noWrap w:val="0"/>
            <w:vAlign w:val="center"/>
          </w:tcPr>
          <w:p w14:paraId="62206589">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155" w:type="pct"/>
            <w:tcBorders>
              <w:right w:val="single" w:color="auto" w:sz="4" w:space="0"/>
            </w:tcBorders>
            <w:noWrap w:val="0"/>
            <w:vAlign w:val="center"/>
          </w:tcPr>
          <w:p w14:paraId="10B61CC0">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077" w:type="pct"/>
            <w:tcBorders>
              <w:left w:val="single" w:color="auto" w:sz="4" w:space="0"/>
            </w:tcBorders>
            <w:noWrap w:val="0"/>
            <w:vAlign w:val="center"/>
          </w:tcPr>
          <w:p w14:paraId="2F3816B1">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r>
      <w:tr w14:paraId="11F4C7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28" w:type="pct"/>
            <w:noWrap w:val="0"/>
            <w:vAlign w:val="center"/>
          </w:tcPr>
          <w:p w14:paraId="4D599FFC">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336" w:type="pct"/>
            <w:noWrap w:val="0"/>
            <w:vAlign w:val="center"/>
          </w:tcPr>
          <w:p w14:paraId="0E033465">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101" w:type="pct"/>
            <w:noWrap w:val="0"/>
            <w:vAlign w:val="center"/>
          </w:tcPr>
          <w:p w14:paraId="7EAF6C6A">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155" w:type="pct"/>
            <w:tcBorders>
              <w:right w:val="single" w:color="auto" w:sz="4" w:space="0"/>
            </w:tcBorders>
            <w:noWrap w:val="0"/>
            <w:vAlign w:val="center"/>
          </w:tcPr>
          <w:p w14:paraId="4DF38079">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077" w:type="pct"/>
            <w:tcBorders>
              <w:left w:val="single" w:color="auto" w:sz="4" w:space="0"/>
            </w:tcBorders>
            <w:noWrap w:val="0"/>
            <w:vAlign w:val="center"/>
          </w:tcPr>
          <w:p w14:paraId="636F3823">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r>
      <w:tr w14:paraId="7CE97D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28" w:type="pct"/>
            <w:noWrap w:val="0"/>
            <w:vAlign w:val="center"/>
          </w:tcPr>
          <w:p w14:paraId="5488B3AD">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336" w:type="pct"/>
            <w:noWrap w:val="0"/>
            <w:vAlign w:val="center"/>
          </w:tcPr>
          <w:p w14:paraId="2F50537E">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101" w:type="pct"/>
            <w:noWrap w:val="0"/>
            <w:vAlign w:val="center"/>
          </w:tcPr>
          <w:p w14:paraId="2995C259">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155" w:type="pct"/>
            <w:tcBorders>
              <w:right w:val="single" w:color="auto" w:sz="4" w:space="0"/>
            </w:tcBorders>
            <w:noWrap w:val="0"/>
            <w:vAlign w:val="center"/>
          </w:tcPr>
          <w:p w14:paraId="0970BCD9">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077" w:type="pct"/>
            <w:tcBorders>
              <w:left w:val="single" w:color="auto" w:sz="4" w:space="0"/>
            </w:tcBorders>
            <w:noWrap w:val="0"/>
            <w:vAlign w:val="center"/>
          </w:tcPr>
          <w:p w14:paraId="6A8EF897">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r>
      <w:tr w14:paraId="54E95C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28" w:type="pct"/>
            <w:noWrap w:val="0"/>
            <w:vAlign w:val="center"/>
          </w:tcPr>
          <w:p w14:paraId="643DDDD2">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336" w:type="pct"/>
            <w:noWrap w:val="0"/>
            <w:vAlign w:val="center"/>
          </w:tcPr>
          <w:p w14:paraId="23F501A3">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101" w:type="pct"/>
            <w:noWrap w:val="0"/>
            <w:vAlign w:val="center"/>
          </w:tcPr>
          <w:p w14:paraId="20790D20">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155" w:type="pct"/>
            <w:tcBorders>
              <w:right w:val="single" w:color="auto" w:sz="4" w:space="0"/>
            </w:tcBorders>
            <w:noWrap w:val="0"/>
            <w:vAlign w:val="center"/>
          </w:tcPr>
          <w:p w14:paraId="53BB0577">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077" w:type="pct"/>
            <w:tcBorders>
              <w:left w:val="single" w:color="auto" w:sz="4" w:space="0"/>
            </w:tcBorders>
            <w:noWrap w:val="0"/>
            <w:vAlign w:val="center"/>
          </w:tcPr>
          <w:p w14:paraId="33E8809A">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r>
      <w:tr w14:paraId="39FE69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28" w:type="pct"/>
            <w:noWrap w:val="0"/>
            <w:vAlign w:val="center"/>
          </w:tcPr>
          <w:p w14:paraId="0ACA3FF5">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336" w:type="pct"/>
            <w:noWrap w:val="0"/>
            <w:vAlign w:val="center"/>
          </w:tcPr>
          <w:p w14:paraId="4CF6BC72">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1101" w:type="pct"/>
            <w:noWrap w:val="0"/>
            <w:vAlign w:val="center"/>
          </w:tcPr>
          <w:p w14:paraId="780CCB98">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88" w:leftChars="-42" w:right="0"/>
              <w:jc w:val="center"/>
              <w:textAlignment w:val="auto"/>
              <w:outlineLvl w:val="9"/>
              <w:rPr>
                <w:rFonts w:hint="eastAsia" w:ascii="新宋体" w:hAnsi="新宋体" w:eastAsia="新宋体" w:cs="新宋体"/>
                <w:color w:val="auto"/>
                <w:szCs w:val="21"/>
                <w:highlight w:val="none"/>
              </w:rPr>
            </w:pPr>
          </w:p>
        </w:tc>
        <w:tc>
          <w:tcPr>
            <w:tcW w:w="2233" w:type="pct"/>
            <w:gridSpan w:val="2"/>
            <w:noWrap w:val="0"/>
            <w:vAlign w:val="center"/>
          </w:tcPr>
          <w:p w14:paraId="78C6485D">
            <w:pPr>
              <w:keepNext w:val="0"/>
              <w:keepLines w:val="0"/>
              <w:pageBreakBefore w:val="0"/>
              <w:suppressLineNumbers w:val="0"/>
              <w:kinsoku/>
              <w:overflowPunct/>
              <w:topLinePunct w:val="0"/>
              <w:bidi w:val="0"/>
              <w:adjustRightInd w:val="0"/>
              <w:snapToGrid w:val="0"/>
              <w:spacing w:before="50" w:beforeAutospacing="0" w:after="0" w:afterAutospacing="0" w:line="360" w:lineRule="auto"/>
              <w:ind w:left="0" w:right="0" w:firstLine="422" w:firstLineChars="200"/>
              <w:jc w:val="left"/>
              <w:textAlignment w:val="auto"/>
              <w:outlineLvl w:val="9"/>
              <w:rPr>
                <w:rFonts w:hint="eastAsia" w:ascii="新宋体" w:hAnsi="新宋体" w:eastAsia="新宋体" w:cs="新宋体"/>
                <w:b/>
                <w:color w:val="auto"/>
                <w:szCs w:val="21"/>
                <w:highlight w:val="none"/>
              </w:rPr>
            </w:pPr>
            <w:r>
              <w:rPr>
                <w:rFonts w:hint="eastAsia" w:ascii="新宋体" w:hAnsi="新宋体" w:eastAsia="新宋体" w:cs="新宋体"/>
                <w:b/>
                <w:color w:val="auto"/>
                <w:szCs w:val="21"/>
                <w:highlight w:val="none"/>
              </w:rPr>
              <w:t>投标人保证：除本合同条款偏离表列出的偏离外，我单位对招标文件的其他商务、合同条款完全响应，无偏离。</w:t>
            </w:r>
          </w:p>
        </w:tc>
      </w:tr>
    </w:tbl>
    <w:p w14:paraId="621DF71A">
      <w:pPr>
        <w:pageBreakBefore w:val="0"/>
        <w:kinsoku/>
        <w:overflowPunct/>
        <w:topLinePunct w:val="0"/>
        <w:bidi w:val="0"/>
        <w:adjustRightInd w:val="0"/>
        <w:snapToGrid w:val="0"/>
        <w:spacing w:before="50" w:line="360" w:lineRule="auto"/>
        <w:ind w:left="-88" w:leftChars="-42" w:firstLine="420" w:firstLineChars="200"/>
        <w:textAlignment w:val="auto"/>
        <w:outlineLvl w:val="9"/>
        <w:rPr>
          <w:rFonts w:hint="eastAsia" w:ascii="新宋体" w:hAnsi="新宋体" w:eastAsia="新宋体" w:cs="新宋体"/>
          <w:b w:val="0"/>
          <w:bCs/>
          <w:color w:val="auto"/>
          <w:szCs w:val="21"/>
          <w:highlight w:val="none"/>
        </w:rPr>
      </w:pPr>
      <w:r>
        <w:rPr>
          <w:rFonts w:hint="eastAsia" w:ascii="新宋体" w:hAnsi="新宋体" w:eastAsia="新宋体" w:cs="新宋体"/>
          <w:b w:val="0"/>
          <w:bCs/>
          <w:color w:val="auto"/>
          <w:szCs w:val="21"/>
          <w:highlight w:val="none"/>
        </w:rPr>
        <w:t>注：1.投标人应根据招标文件第五章“采购需求”填写本表；</w:t>
      </w:r>
    </w:p>
    <w:p w14:paraId="60F016A6">
      <w:pPr>
        <w:pageBreakBefore w:val="0"/>
        <w:kinsoku/>
        <w:overflowPunct/>
        <w:topLinePunct w:val="0"/>
        <w:bidi w:val="0"/>
        <w:adjustRightInd w:val="0"/>
        <w:snapToGrid w:val="0"/>
        <w:spacing w:before="50" w:line="360" w:lineRule="auto"/>
        <w:ind w:left="-88" w:leftChars="-42" w:firstLine="420" w:firstLineChars="200"/>
        <w:textAlignment w:val="auto"/>
        <w:outlineLvl w:val="9"/>
        <w:rPr>
          <w:rFonts w:hint="eastAsia" w:ascii="新宋体" w:hAnsi="新宋体" w:eastAsia="新宋体" w:cs="新宋体"/>
          <w:b w:val="0"/>
          <w:bCs/>
          <w:color w:val="auto"/>
          <w:szCs w:val="21"/>
          <w:highlight w:val="none"/>
        </w:rPr>
      </w:pPr>
      <w:r>
        <w:rPr>
          <w:rFonts w:hint="eastAsia" w:ascii="新宋体" w:hAnsi="新宋体" w:eastAsia="新宋体" w:cs="新宋体"/>
          <w:b w:val="0"/>
          <w:bCs/>
          <w:color w:val="auto"/>
          <w:szCs w:val="21"/>
          <w:highlight w:val="none"/>
        </w:rPr>
        <w:t>2.投标人如果对招标文件第五章“采购需求”的响应有偏离，应将偏离条款逐条如实应答，并作出说明；</w:t>
      </w:r>
    </w:p>
    <w:p w14:paraId="3C8B15E2">
      <w:pPr>
        <w:pageBreakBefore w:val="0"/>
        <w:kinsoku/>
        <w:overflowPunct/>
        <w:topLinePunct w:val="0"/>
        <w:bidi w:val="0"/>
        <w:adjustRightInd w:val="0"/>
        <w:snapToGrid w:val="0"/>
        <w:spacing w:before="50" w:line="360" w:lineRule="auto"/>
        <w:ind w:left="-88" w:leftChars="-42" w:firstLine="420" w:firstLineChars="200"/>
        <w:textAlignment w:val="auto"/>
        <w:outlineLvl w:val="9"/>
        <w:rPr>
          <w:rFonts w:hint="eastAsia" w:ascii="新宋体" w:hAnsi="新宋体" w:eastAsia="新宋体" w:cs="新宋体"/>
          <w:b w:val="0"/>
          <w:bCs/>
          <w:color w:val="auto"/>
          <w:szCs w:val="21"/>
          <w:highlight w:val="none"/>
        </w:rPr>
      </w:pPr>
      <w:r>
        <w:rPr>
          <w:rFonts w:hint="eastAsia" w:ascii="新宋体" w:hAnsi="新宋体" w:eastAsia="新宋体" w:cs="新宋体"/>
          <w:b w:val="0"/>
          <w:bCs/>
          <w:color w:val="auto"/>
          <w:szCs w:val="21"/>
          <w:highlight w:val="none"/>
        </w:rPr>
        <w:t>3.如不提供此表，则视为投标人不满足招标文件第五章的所有条款要求，其投标无效。</w:t>
      </w:r>
    </w:p>
    <w:p w14:paraId="0C3D4944">
      <w:pPr>
        <w:pageBreakBefore w:val="0"/>
        <w:kinsoku/>
        <w:overflowPunct/>
        <w:topLinePunct w:val="0"/>
        <w:bidi w:val="0"/>
        <w:adjustRightInd w:val="0"/>
        <w:snapToGrid w:val="0"/>
        <w:spacing w:before="50" w:line="360" w:lineRule="auto"/>
        <w:ind w:left="-88" w:leftChars="-42" w:firstLine="420" w:firstLineChars="200"/>
        <w:textAlignment w:val="auto"/>
        <w:outlineLvl w:val="9"/>
        <w:rPr>
          <w:rFonts w:hint="eastAsia" w:ascii="新宋体" w:hAnsi="新宋体" w:eastAsia="新宋体" w:cs="新宋体"/>
          <w:b w:val="0"/>
          <w:bCs/>
          <w:color w:val="auto"/>
          <w:szCs w:val="21"/>
          <w:highlight w:val="none"/>
        </w:rPr>
      </w:pPr>
      <w:r>
        <w:rPr>
          <w:rFonts w:hint="eastAsia" w:ascii="新宋体" w:hAnsi="新宋体" w:eastAsia="新宋体" w:cs="新宋体"/>
          <w:b w:val="0"/>
          <w:bCs/>
          <w:color w:val="auto"/>
          <w:szCs w:val="21"/>
          <w:highlight w:val="none"/>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52C8F1BA">
      <w:pPr>
        <w:pageBreakBefore w:val="0"/>
        <w:kinsoku/>
        <w:overflowPunct/>
        <w:topLinePunct w:val="0"/>
        <w:bidi w:val="0"/>
        <w:adjustRightInd w:val="0"/>
        <w:snapToGrid w:val="0"/>
        <w:spacing w:before="50" w:line="360" w:lineRule="auto"/>
        <w:ind w:left="-88" w:leftChars="-42" w:firstLine="420" w:firstLineChars="200"/>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b w:val="0"/>
          <w:bCs/>
          <w:color w:val="auto"/>
          <w:szCs w:val="21"/>
          <w:highlight w:val="none"/>
        </w:rPr>
        <w:t>5.本表偏离表与本章第</w:t>
      </w:r>
      <w:r>
        <w:rPr>
          <w:rFonts w:hint="eastAsia" w:ascii="新宋体" w:hAnsi="新宋体" w:eastAsia="新宋体" w:cs="新宋体"/>
          <w:b w:val="0"/>
          <w:bCs/>
          <w:color w:val="auto"/>
          <w:szCs w:val="21"/>
          <w:highlight w:val="none"/>
          <w:lang w:val="en-US" w:eastAsia="zh-CN"/>
        </w:rPr>
        <w:t>十一</w:t>
      </w:r>
      <w:r>
        <w:rPr>
          <w:rFonts w:hint="eastAsia" w:ascii="新宋体" w:hAnsi="新宋体" w:eastAsia="新宋体" w:cs="新宋体"/>
          <w:b w:val="0"/>
          <w:bCs/>
          <w:color w:val="auto"/>
          <w:szCs w:val="21"/>
          <w:highlight w:val="none"/>
        </w:rPr>
        <w:t>节“采购需求响应”不一致时，以“采购需求响应”为准。</w:t>
      </w:r>
    </w:p>
    <w:p w14:paraId="4DDC7B90">
      <w:pPr>
        <w:pageBreakBefore w:val="0"/>
        <w:kinsoku/>
        <w:overflowPunct/>
        <w:topLinePunct w:val="0"/>
        <w:bidi w:val="0"/>
        <w:adjustRightInd w:val="0"/>
        <w:snapToGrid w:val="0"/>
        <w:spacing w:before="50" w:line="360" w:lineRule="auto"/>
        <w:textAlignment w:val="auto"/>
        <w:outlineLvl w:val="9"/>
        <w:rPr>
          <w:rFonts w:hint="eastAsia" w:ascii="新宋体" w:hAnsi="新宋体" w:eastAsia="新宋体" w:cs="新宋体"/>
          <w:color w:val="auto"/>
          <w:szCs w:val="21"/>
          <w:highlight w:val="none"/>
        </w:rPr>
      </w:pPr>
    </w:p>
    <w:p w14:paraId="47DDD940">
      <w:pPr>
        <w:pageBreakBefore w:val="0"/>
        <w:kinsoku/>
        <w:overflowPunct/>
        <w:topLinePunct w:val="0"/>
        <w:bidi w:val="0"/>
        <w:adjustRightInd w:val="0"/>
        <w:snapToGrid w:val="0"/>
        <w:spacing w:before="50" w:line="360" w:lineRule="auto"/>
        <w:textAlignment w:val="auto"/>
        <w:outlineLvl w:val="9"/>
        <w:rPr>
          <w:rFonts w:hint="eastAsia" w:ascii="新宋体" w:hAnsi="新宋体" w:eastAsia="新宋体" w:cs="新宋体"/>
          <w:color w:val="auto"/>
          <w:szCs w:val="21"/>
          <w:highlight w:val="none"/>
        </w:rPr>
      </w:pPr>
    </w:p>
    <w:p w14:paraId="4AC90704">
      <w:pPr>
        <w:pageBreakBefore w:val="0"/>
        <w:kinsoku/>
        <w:overflowPunct/>
        <w:topLinePunct w:val="0"/>
        <w:bidi w:val="0"/>
        <w:adjustRightInd w:val="0"/>
        <w:snapToGrid w:val="0"/>
        <w:spacing w:before="50" w:line="360" w:lineRule="auto"/>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投标人名称（盖单位章）：</w:t>
      </w:r>
    </w:p>
    <w:p w14:paraId="5F5E22D5">
      <w:pPr>
        <w:pageBreakBefore w:val="0"/>
        <w:kinsoku/>
        <w:overflowPunct/>
        <w:topLinePunct w:val="0"/>
        <w:bidi w:val="0"/>
        <w:adjustRightInd w:val="0"/>
        <w:snapToGrid w:val="0"/>
        <w:spacing w:before="50" w:line="360" w:lineRule="auto"/>
        <w:textAlignment w:val="auto"/>
        <w:outlineLvl w:val="9"/>
        <w:rPr>
          <w:rFonts w:hint="eastAsia" w:ascii="新宋体" w:hAnsi="新宋体" w:eastAsia="新宋体" w:cs="新宋体"/>
          <w:color w:val="auto"/>
          <w:szCs w:val="21"/>
          <w:highlight w:val="none"/>
        </w:rPr>
      </w:pPr>
      <w:r>
        <w:rPr>
          <w:rFonts w:hint="eastAsia" w:ascii="新宋体" w:hAnsi="新宋体" w:eastAsia="新宋体" w:cs="新宋体"/>
          <w:color w:val="auto"/>
          <w:spacing w:val="-2"/>
          <w:kern w:val="0"/>
          <w:szCs w:val="21"/>
          <w:highlight w:val="none"/>
        </w:rPr>
        <w:t>法</w:t>
      </w:r>
      <w:r>
        <w:rPr>
          <w:rFonts w:hint="eastAsia" w:ascii="新宋体" w:hAnsi="新宋体" w:eastAsia="新宋体" w:cs="新宋体"/>
          <w:color w:val="auto"/>
          <w:kern w:val="0"/>
          <w:szCs w:val="21"/>
          <w:highlight w:val="none"/>
        </w:rPr>
        <w:t>定</w:t>
      </w:r>
      <w:r>
        <w:rPr>
          <w:rFonts w:hint="eastAsia" w:ascii="新宋体" w:hAnsi="新宋体" w:eastAsia="新宋体" w:cs="新宋体"/>
          <w:color w:val="auto"/>
          <w:spacing w:val="-2"/>
          <w:kern w:val="0"/>
          <w:szCs w:val="21"/>
          <w:highlight w:val="none"/>
        </w:rPr>
        <w:t>代</w:t>
      </w:r>
      <w:r>
        <w:rPr>
          <w:rFonts w:hint="eastAsia" w:ascii="新宋体" w:hAnsi="新宋体" w:eastAsia="新宋体" w:cs="新宋体"/>
          <w:color w:val="auto"/>
          <w:kern w:val="0"/>
          <w:szCs w:val="21"/>
          <w:highlight w:val="none"/>
        </w:rPr>
        <w:t>表</w:t>
      </w:r>
      <w:r>
        <w:rPr>
          <w:rFonts w:hint="eastAsia" w:ascii="新宋体" w:hAnsi="新宋体" w:eastAsia="新宋体" w:cs="新宋体"/>
          <w:color w:val="auto"/>
          <w:spacing w:val="-2"/>
          <w:kern w:val="0"/>
          <w:szCs w:val="21"/>
          <w:highlight w:val="none"/>
        </w:rPr>
        <w:t>人</w:t>
      </w:r>
      <w:r>
        <w:rPr>
          <w:rFonts w:hint="eastAsia" w:ascii="新宋体" w:hAnsi="新宋体" w:eastAsia="新宋体" w:cs="新宋体"/>
          <w:color w:val="auto"/>
          <w:kern w:val="0"/>
          <w:szCs w:val="21"/>
          <w:highlight w:val="none"/>
        </w:rPr>
        <w:t>（</w:t>
      </w:r>
      <w:r>
        <w:rPr>
          <w:rFonts w:hint="eastAsia" w:ascii="新宋体" w:hAnsi="新宋体" w:eastAsia="新宋体" w:cs="新宋体"/>
          <w:color w:val="auto"/>
          <w:spacing w:val="-2"/>
          <w:kern w:val="0"/>
          <w:szCs w:val="21"/>
          <w:highlight w:val="none"/>
        </w:rPr>
        <w:t>单</w:t>
      </w:r>
      <w:r>
        <w:rPr>
          <w:rFonts w:hint="eastAsia" w:ascii="新宋体" w:hAnsi="新宋体" w:eastAsia="新宋体" w:cs="新宋体"/>
          <w:color w:val="auto"/>
          <w:kern w:val="0"/>
          <w:szCs w:val="21"/>
          <w:highlight w:val="none"/>
        </w:rPr>
        <w:t>位</w:t>
      </w:r>
      <w:r>
        <w:rPr>
          <w:rFonts w:hint="eastAsia" w:ascii="新宋体" w:hAnsi="新宋体" w:eastAsia="新宋体" w:cs="新宋体"/>
          <w:color w:val="auto"/>
          <w:spacing w:val="-2"/>
          <w:kern w:val="0"/>
          <w:szCs w:val="21"/>
          <w:highlight w:val="none"/>
        </w:rPr>
        <w:t>负</w:t>
      </w:r>
      <w:r>
        <w:rPr>
          <w:rFonts w:hint="eastAsia" w:ascii="新宋体" w:hAnsi="新宋体" w:eastAsia="新宋体" w:cs="新宋体"/>
          <w:color w:val="auto"/>
          <w:kern w:val="0"/>
          <w:szCs w:val="21"/>
          <w:highlight w:val="none"/>
        </w:rPr>
        <w:t>责人</w:t>
      </w:r>
      <w:r>
        <w:rPr>
          <w:rFonts w:hint="eastAsia" w:ascii="新宋体" w:hAnsi="新宋体" w:eastAsia="新宋体" w:cs="新宋体"/>
          <w:color w:val="auto"/>
          <w:spacing w:val="-2"/>
          <w:kern w:val="0"/>
          <w:szCs w:val="21"/>
          <w:highlight w:val="none"/>
        </w:rPr>
        <w:t>）</w:t>
      </w:r>
      <w:r>
        <w:rPr>
          <w:rFonts w:hint="eastAsia" w:ascii="新宋体" w:hAnsi="新宋体" w:eastAsia="新宋体" w:cs="新宋体"/>
          <w:color w:val="auto"/>
          <w:szCs w:val="21"/>
          <w:highlight w:val="none"/>
        </w:rPr>
        <w:t>或其授权的代理人（签字或印章）：</w:t>
      </w:r>
      <w:r>
        <w:rPr>
          <w:rFonts w:hint="eastAsia" w:ascii="新宋体" w:hAnsi="新宋体" w:eastAsia="新宋体" w:cs="新宋体"/>
          <w:color w:val="auto"/>
          <w:szCs w:val="21"/>
          <w:highlight w:val="none"/>
          <w:u w:val="single"/>
        </w:rPr>
        <w:t xml:space="preserve">                     </w:t>
      </w:r>
    </w:p>
    <w:p w14:paraId="4638FB3F">
      <w:pPr>
        <w:pageBreakBefore w:val="0"/>
        <w:widowControl/>
        <w:kinsoku/>
        <w:overflowPunct/>
        <w:topLinePunct w:val="0"/>
        <w:bidi w:val="0"/>
        <w:jc w:val="center"/>
        <w:textAlignment w:val="auto"/>
        <w:outlineLvl w:val="9"/>
        <w:rPr>
          <w:rFonts w:hint="eastAsia" w:ascii="新宋体" w:hAnsi="新宋体" w:eastAsia="新宋体" w:cs="新宋体"/>
          <w:b/>
          <w:bCs/>
          <w:color w:val="auto"/>
          <w:sz w:val="28"/>
          <w:szCs w:val="28"/>
          <w:highlight w:val="none"/>
          <w:lang w:eastAsia="zh-CN"/>
        </w:rPr>
      </w:pPr>
      <w:bookmarkStart w:id="236" w:name="_Toc7679"/>
      <w:r>
        <w:rPr>
          <w:rFonts w:hint="eastAsia" w:ascii="新宋体" w:hAnsi="新宋体" w:eastAsia="新宋体" w:cs="新宋体"/>
          <w:color w:val="auto"/>
          <w:szCs w:val="21"/>
          <w:highlight w:val="none"/>
        </w:rPr>
        <w:t>日期：</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年</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月</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日</w:t>
      </w:r>
      <w:r>
        <w:rPr>
          <w:rFonts w:hint="eastAsia" w:ascii="新宋体" w:hAnsi="新宋体" w:eastAsia="新宋体" w:cs="新宋体"/>
          <w:color w:val="auto"/>
          <w:sz w:val="28"/>
          <w:szCs w:val="28"/>
          <w:highlight w:val="none"/>
        </w:rPr>
        <w:br w:type="page"/>
      </w:r>
      <w:bookmarkStart w:id="237" w:name="_Toc20609"/>
      <w:r>
        <w:rPr>
          <w:rFonts w:hint="eastAsia" w:ascii="新宋体" w:hAnsi="新宋体" w:eastAsia="新宋体" w:cs="新宋体"/>
          <w:b/>
          <w:bCs/>
          <w:color w:val="auto"/>
          <w:sz w:val="28"/>
          <w:szCs w:val="28"/>
          <w:highlight w:val="none"/>
          <w:lang w:eastAsia="zh-CN"/>
        </w:rPr>
        <w:t>十三、技术部分评审资料</w:t>
      </w:r>
      <w:bookmarkEnd w:id="236"/>
    </w:p>
    <w:p w14:paraId="39317DAB">
      <w:pPr>
        <w:pStyle w:val="31"/>
        <w:jc w:val="center"/>
        <w:outlineLvl w:val="9"/>
        <w:rPr>
          <w:rFonts w:hint="eastAsia"/>
          <w:color w:val="auto"/>
          <w:lang w:eastAsia="zh-CN"/>
        </w:rPr>
      </w:pPr>
      <w:r>
        <w:rPr>
          <w:rFonts w:hint="eastAsia" w:ascii="新宋体" w:hAnsi="新宋体" w:eastAsia="新宋体" w:cs="新宋体"/>
          <w:color w:val="auto"/>
          <w:sz w:val="21"/>
          <w:szCs w:val="21"/>
          <w:highlight w:val="none"/>
          <w:lang w:val="en-US" w:eastAsia="zh-CN"/>
        </w:rPr>
        <w:t>备注：由投标人根据技术部分评分项自行提供，格式自拟。如在评审模块内已提供相关资料，本节可不再提供资料。</w:t>
      </w:r>
    </w:p>
    <w:p w14:paraId="79A9DCD1">
      <w:pPr>
        <w:pageBreakBefore w:val="0"/>
        <w:widowControl/>
        <w:kinsoku/>
        <w:overflowPunct/>
        <w:topLinePunct w:val="0"/>
        <w:bidi w:val="0"/>
        <w:jc w:val="center"/>
        <w:textAlignment w:val="auto"/>
        <w:outlineLvl w:val="9"/>
        <w:rPr>
          <w:rFonts w:hint="eastAsia" w:ascii="新宋体" w:hAnsi="新宋体" w:eastAsia="新宋体" w:cs="新宋体"/>
          <w:b/>
          <w:bCs/>
          <w:color w:val="auto"/>
          <w:sz w:val="28"/>
          <w:szCs w:val="28"/>
          <w:highlight w:val="none"/>
          <w:lang w:eastAsia="zh-CN"/>
        </w:rPr>
      </w:pPr>
    </w:p>
    <w:bookmarkEnd w:id="237"/>
    <w:p w14:paraId="36ADA4C1">
      <w:pPr>
        <w:outlineLvl w:val="9"/>
        <w:rPr>
          <w:color w:val="auto"/>
        </w:rPr>
      </w:pPr>
    </w:p>
    <w:sectPr>
      <w:pgSz w:w="11906" w:h="16838"/>
      <w:pgMar w:top="1134" w:right="1134" w:bottom="1134" w:left="1134" w:header="851" w:footer="850"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0EDB31B-6C42-44B7-8062-B952FD3FD309}"/>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6CCD5C9B-9B7A-4D3A-B741-5A6DCFB5D5D8}"/>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embedRegular r:id="rId3" w:fontKey="{1C4D76B5-3835-44D8-AD3E-F1A4FB0CDDD3}"/>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embedRegular r:id="rId4" w:fontKey="{C09C907D-8F50-4A7F-BA3C-EC3588C3F915}"/>
  </w:font>
  <w:font w:name="新宋体">
    <w:panose1 w:val="02010609030101010101"/>
    <w:charset w:val="86"/>
    <w:family w:val="auto"/>
    <w:pitch w:val="default"/>
    <w:sig w:usb0="00000003" w:usb1="288F0000" w:usb2="00000006" w:usb3="00000000" w:csb0="00040001" w:csb1="00000000"/>
    <w:embedRegular r:id="rId5" w:fontKey="{765027BF-3A55-4866-9A04-96960FF98585}"/>
  </w:font>
  <w:font w:name="微软雅黑">
    <w:panose1 w:val="020B0503020204020204"/>
    <w:charset w:val="86"/>
    <w:family w:val="auto"/>
    <w:pitch w:val="default"/>
    <w:sig w:usb0="80000287" w:usb1="280F3C52" w:usb2="00000016" w:usb3="00000000" w:csb0="0004001F" w:csb1="00000000"/>
    <w:embedRegular r:id="rId6" w:fontKey="{7D0B3A20-D416-4BBA-A242-F6F057ABF954}"/>
  </w:font>
  <w:font w:name="楷体_GB2312">
    <w:altName w:val="楷体"/>
    <w:panose1 w:val="02010609030101010101"/>
    <w:charset w:val="86"/>
    <w:family w:val="modern"/>
    <w:pitch w:val="default"/>
    <w:sig w:usb0="00000000" w:usb1="00000000" w:usb2="00000000" w:usb3="00000000" w:csb0="00040000" w:csb1="00000000"/>
    <w:embedRegular r:id="rId7" w:fontKey="{D3247878-E246-4679-8301-C9CDCAF4CBC6}"/>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12798">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1101A">
    <w:pPr>
      <w:pStyle w:val="15"/>
      <w:framePr w:wrap="around" w:vAnchor="text" w:hAnchor="margin" w:xAlign="right" w:y="1"/>
      <w:rPr>
        <w:rStyle w:val="30"/>
      </w:rPr>
    </w:pPr>
    <w:r>
      <w:fldChar w:fldCharType="begin"/>
    </w:r>
    <w:r>
      <w:rPr>
        <w:rStyle w:val="30"/>
      </w:rPr>
      <w:instrText xml:space="preserve">PAGE  </w:instrText>
    </w:r>
    <w:r>
      <w:fldChar w:fldCharType="end"/>
    </w:r>
  </w:p>
  <w:p w14:paraId="44383472">
    <w:pPr>
      <w:pStyle w:val="1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1E96B">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FC510">
    <w:pPr>
      <w:pStyle w:val="15"/>
      <w:keepNext w:val="0"/>
      <w:keepLines w:val="0"/>
      <w:pageBreakBefore w:val="0"/>
      <w:widowControl w:val="0"/>
      <w:kinsoku/>
      <w:wordWrap/>
      <w:overflowPunct/>
      <w:topLinePunct w:val="0"/>
      <w:autoSpaceDE/>
      <w:autoSpaceDN/>
      <w:bidi w:val="0"/>
      <w:adjustRightInd/>
      <w:snapToGrid w:val="0"/>
      <w:ind w:left="0" w:right="0" w:rightChars="0" w:firstLine="0" w:firstLineChars="0"/>
      <w:textAlignment w:val="auto"/>
      <w:rPr>
        <w:rFonts w:hint="default"/>
        <w:sz w:val="21"/>
        <w:szCs w:val="21"/>
        <w:u w:val="single"/>
        <w:lang w:val="en-US" w:eastAsia="zh-CN"/>
      </w:rPr>
    </w:pPr>
    <w:r>
      <w:rPr>
        <w:rFonts w:hint="eastAsia"/>
        <w:sz w:val="21"/>
        <w:szCs w:val="21"/>
        <w:u w:val="single"/>
        <w:lang w:val="en-US" w:eastAsia="zh-CN"/>
      </w:rPr>
      <w:t xml:space="preserve">                                                                                           </w:t>
    </w:r>
  </w:p>
  <w:p w14:paraId="76622368">
    <w:pPr>
      <w:pStyle w:val="15"/>
      <w:ind w:left="300" w:right="359" w:rightChars="171" w:hanging="180" w:hangingChars="100"/>
      <w:rPr>
        <w:rFonts w:hint="default" w:eastAsia="楷体_GB2312"/>
        <w:lang w:val="en-US"/>
      </w:rPr>
    </w:pPr>
    <w:r>
      <w:rPr>
        <w:sz w:val="18"/>
      </w:rPr>
      <w:pict>
        <v:shape id="文本框 1027" o:spid="_x0000_s4097" o:spt="202" type="#_x0000_t202" style="position:absolute;left:0pt;margin-left:204.25pt;margin-top:0pt;height:144pt;width:144p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F76C29C">
                <w:pPr>
                  <w:pStyle w:val="15"/>
                </w:pPr>
                <w:r>
                  <w:rPr>
                    <w:rFonts w:hint="eastAsia" w:ascii="新宋体" w:hAnsi="新宋体" w:eastAsia="新宋体" w:cs="新宋体"/>
                    <w:sz w:val="20"/>
                    <w:szCs w:val="20"/>
                  </w:rPr>
                  <w:t xml:space="preserve">第 </w:t>
                </w:r>
                <w:r>
                  <w:rPr>
                    <w:rFonts w:hint="eastAsia" w:ascii="新宋体" w:hAnsi="新宋体" w:eastAsia="新宋体" w:cs="新宋体"/>
                    <w:sz w:val="20"/>
                    <w:szCs w:val="20"/>
                  </w:rPr>
                  <w:fldChar w:fldCharType="begin"/>
                </w:r>
                <w:r>
                  <w:rPr>
                    <w:rFonts w:hint="eastAsia" w:ascii="新宋体" w:hAnsi="新宋体" w:eastAsia="新宋体" w:cs="新宋体"/>
                    <w:sz w:val="20"/>
                    <w:szCs w:val="20"/>
                  </w:rPr>
                  <w:instrText xml:space="preserve"> PAGE  \* MERGEFORMAT </w:instrText>
                </w:r>
                <w:r>
                  <w:rPr>
                    <w:rFonts w:hint="eastAsia" w:ascii="新宋体" w:hAnsi="新宋体" w:eastAsia="新宋体" w:cs="新宋体"/>
                    <w:sz w:val="20"/>
                    <w:szCs w:val="20"/>
                  </w:rPr>
                  <w:fldChar w:fldCharType="separate"/>
                </w:r>
                <w:r>
                  <w:rPr>
                    <w:rFonts w:hint="eastAsia" w:ascii="新宋体" w:hAnsi="新宋体" w:eastAsia="新宋体" w:cs="新宋体"/>
                    <w:sz w:val="20"/>
                    <w:szCs w:val="20"/>
                  </w:rPr>
                  <w:t>63</w:t>
                </w:r>
                <w:r>
                  <w:rPr>
                    <w:rFonts w:hint="eastAsia" w:ascii="新宋体" w:hAnsi="新宋体" w:eastAsia="新宋体" w:cs="新宋体"/>
                    <w:sz w:val="20"/>
                    <w:szCs w:val="20"/>
                  </w:rPr>
                  <w:fldChar w:fldCharType="end"/>
                </w:r>
                <w:r>
                  <w:rPr>
                    <w:rFonts w:hint="eastAsia" w:ascii="新宋体" w:hAnsi="新宋体" w:eastAsia="新宋体" w:cs="新宋体"/>
                    <w:sz w:val="20"/>
                    <w:szCs w:val="20"/>
                  </w:rPr>
                  <w:t xml:space="preserve"> 页</w:t>
                </w:r>
              </w:p>
            </w:txbxContent>
          </v:textbox>
        </v:shape>
      </w:pict>
    </w:r>
    <w:r>
      <w:rPr>
        <w:rFonts w:hint="eastAsia"/>
        <w:sz w:val="21"/>
        <w:szCs w:val="21"/>
        <w:lang w:eastAsia="zh-CN"/>
      </w:rPr>
      <w:t>湖南大锐工程项目管理有限公司</w:t>
    </w:r>
    <w:r>
      <w:rPr>
        <w:rFonts w:hint="eastAsia"/>
        <w:sz w:val="21"/>
        <w:szCs w:val="21"/>
        <w:lang w:val="en-US" w:eastAsia="zh-CN"/>
      </w:rPr>
      <w:t xml:space="preserve">                        </w:t>
    </w:r>
    <w:r>
      <w:rPr>
        <w:rFonts w:hint="eastAsia" w:ascii="新宋体" w:hAnsi="新宋体" w:eastAsia="新宋体" w:cs="新宋体"/>
        <w:color w:val="auto"/>
        <w:sz w:val="21"/>
        <w:szCs w:val="21"/>
        <w:u w:val="none"/>
      </w:rPr>
      <w:t>湖南省湘西高新区湘西金融中心B座20层</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C437A">
    <w:pPr>
      <w:pStyle w:val="17"/>
      <w:jc w:val="righ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17744">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7E6C6">
    <w:pPr>
      <w:pStyle w:val="1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34A7E">
    <w:pPr>
      <w:pStyle w:val="1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D9A24">
    <w:pPr>
      <w:pStyle w:val="1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98254">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898F1"/>
    <w:multiLevelType w:val="singleLevel"/>
    <w:tmpl w:val="B0F898F1"/>
    <w:lvl w:ilvl="0" w:tentative="0">
      <w:start w:val="3"/>
      <w:numFmt w:val="decimal"/>
      <w:suff w:val="nothing"/>
      <w:lvlText w:val="%1、"/>
      <w:lvlJc w:val="left"/>
    </w:lvl>
  </w:abstractNum>
  <w:abstractNum w:abstractNumId="1">
    <w:nsid w:val="C74819B9"/>
    <w:multiLevelType w:val="singleLevel"/>
    <w:tmpl w:val="C74819B9"/>
    <w:lvl w:ilvl="0" w:tentative="0">
      <w:start w:val="1"/>
      <w:numFmt w:val="decimal"/>
      <w:lvlText w:val="%1"/>
      <w:lvlJc w:val="left"/>
      <w:pPr>
        <w:tabs>
          <w:tab w:val="left" w:pos="420"/>
        </w:tabs>
        <w:ind w:left="425" w:hanging="425"/>
      </w:pPr>
      <w:rPr>
        <w:rFonts w:hint="default"/>
      </w:rPr>
    </w:lvl>
  </w:abstractNum>
  <w:abstractNum w:abstractNumId="2">
    <w:nsid w:val="087B1468"/>
    <w:multiLevelType w:val="singleLevel"/>
    <w:tmpl w:val="087B1468"/>
    <w:lvl w:ilvl="0" w:tentative="0">
      <w:start w:val="4"/>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7E0996"/>
    <w:rsid w:val="00904EFD"/>
    <w:rsid w:val="010C299E"/>
    <w:rsid w:val="01AA1AC9"/>
    <w:rsid w:val="01FF0067"/>
    <w:rsid w:val="02511F45"/>
    <w:rsid w:val="02EE2781"/>
    <w:rsid w:val="0361265C"/>
    <w:rsid w:val="03F62DA4"/>
    <w:rsid w:val="042C2C6A"/>
    <w:rsid w:val="043A5387"/>
    <w:rsid w:val="04466FA9"/>
    <w:rsid w:val="04E761FE"/>
    <w:rsid w:val="05243941"/>
    <w:rsid w:val="05507F0F"/>
    <w:rsid w:val="069B010A"/>
    <w:rsid w:val="06C4362D"/>
    <w:rsid w:val="06F55595"/>
    <w:rsid w:val="07654261"/>
    <w:rsid w:val="07DD39D2"/>
    <w:rsid w:val="089A1E1D"/>
    <w:rsid w:val="08E8290C"/>
    <w:rsid w:val="091066B6"/>
    <w:rsid w:val="099818A6"/>
    <w:rsid w:val="0AE66629"/>
    <w:rsid w:val="0B1A7CC0"/>
    <w:rsid w:val="0B5331D2"/>
    <w:rsid w:val="0B6D4294"/>
    <w:rsid w:val="0C3856AB"/>
    <w:rsid w:val="0C6805B7"/>
    <w:rsid w:val="0C746EAB"/>
    <w:rsid w:val="0C801DA5"/>
    <w:rsid w:val="0D127713"/>
    <w:rsid w:val="0E0339F5"/>
    <w:rsid w:val="0E316732"/>
    <w:rsid w:val="0F052A35"/>
    <w:rsid w:val="0F2C6214"/>
    <w:rsid w:val="0FD146C5"/>
    <w:rsid w:val="0FE93753"/>
    <w:rsid w:val="103435D2"/>
    <w:rsid w:val="10367025"/>
    <w:rsid w:val="106F1A56"/>
    <w:rsid w:val="108D7CF5"/>
    <w:rsid w:val="10946F8F"/>
    <w:rsid w:val="10E5667A"/>
    <w:rsid w:val="11656537"/>
    <w:rsid w:val="133D454B"/>
    <w:rsid w:val="13575560"/>
    <w:rsid w:val="13745019"/>
    <w:rsid w:val="13B90824"/>
    <w:rsid w:val="146B333A"/>
    <w:rsid w:val="146D1F6E"/>
    <w:rsid w:val="14716094"/>
    <w:rsid w:val="14DB226E"/>
    <w:rsid w:val="14DE1D5E"/>
    <w:rsid w:val="152403E0"/>
    <w:rsid w:val="153E5868"/>
    <w:rsid w:val="154E72C7"/>
    <w:rsid w:val="15512530"/>
    <w:rsid w:val="15FA4976"/>
    <w:rsid w:val="16AA1EFA"/>
    <w:rsid w:val="174E2D0E"/>
    <w:rsid w:val="186E164B"/>
    <w:rsid w:val="18707171"/>
    <w:rsid w:val="18CD45C3"/>
    <w:rsid w:val="18D45952"/>
    <w:rsid w:val="195C5DD9"/>
    <w:rsid w:val="195D4F68"/>
    <w:rsid w:val="19883296"/>
    <w:rsid w:val="19DD4F45"/>
    <w:rsid w:val="1A1B310D"/>
    <w:rsid w:val="1A26491F"/>
    <w:rsid w:val="1A3D3E6B"/>
    <w:rsid w:val="1A5328A6"/>
    <w:rsid w:val="1AD013B0"/>
    <w:rsid w:val="1B920970"/>
    <w:rsid w:val="1BB87304"/>
    <w:rsid w:val="1BDC68CC"/>
    <w:rsid w:val="1C454471"/>
    <w:rsid w:val="1CA97398"/>
    <w:rsid w:val="1CF00880"/>
    <w:rsid w:val="1D2422D8"/>
    <w:rsid w:val="1D2B7B0B"/>
    <w:rsid w:val="1DA36EB2"/>
    <w:rsid w:val="1DB55626"/>
    <w:rsid w:val="1E20668B"/>
    <w:rsid w:val="1E2C7696"/>
    <w:rsid w:val="1E430E84"/>
    <w:rsid w:val="1ECF33BA"/>
    <w:rsid w:val="1EDC4920"/>
    <w:rsid w:val="1F264229"/>
    <w:rsid w:val="1F66307C"/>
    <w:rsid w:val="1FDE4AD9"/>
    <w:rsid w:val="20216FA3"/>
    <w:rsid w:val="216D1E33"/>
    <w:rsid w:val="21CF4A86"/>
    <w:rsid w:val="22150D8A"/>
    <w:rsid w:val="224A05B8"/>
    <w:rsid w:val="22817F28"/>
    <w:rsid w:val="2302130E"/>
    <w:rsid w:val="2393008E"/>
    <w:rsid w:val="23D03996"/>
    <w:rsid w:val="24AB3BB0"/>
    <w:rsid w:val="24E753F8"/>
    <w:rsid w:val="25612039"/>
    <w:rsid w:val="25706A02"/>
    <w:rsid w:val="25F80A39"/>
    <w:rsid w:val="261469C2"/>
    <w:rsid w:val="26AA5F44"/>
    <w:rsid w:val="27A4363B"/>
    <w:rsid w:val="28180C8B"/>
    <w:rsid w:val="28614DBA"/>
    <w:rsid w:val="28862099"/>
    <w:rsid w:val="29192F0D"/>
    <w:rsid w:val="29503F45"/>
    <w:rsid w:val="299E7928"/>
    <w:rsid w:val="2A04596B"/>
    <w:rsid w:val="2AAE2629"/>
    <w:rsid w:val="2B4324C3"/>
    <w:rsid w:val="2B8370DC"/>
    <w:rsid w:val="2B9056CA"/>
    <w:rsid w:val="2BDD1D57"/>
    <w:rsid w:val="2C0559CB"/>
    <w:rsid w:val="2C305E98"/>
    <w:rsid w:val="2D8748E9"/>
    <w:rsid w:val="2D8F3594"/>
    <w:rsid w:val="2EA66FF1"/>
    <w:rsid w:val="2EC93B52"/>
    <w:rsid w:val="2ECE51B9"/>
    <w:rsid w:val="2EF7440A"/>
    <w:rsid w:val="2F3957BB"/>
    <w:rsid w:val="2F3F109E"/>
    <w:rsid w:val="304E7940"/>
    <w:rsid w:val="30605973"/>
    <w:rsid w:val="310E5321"/>
    <w:rsid w:val="3140197F"/>
    <w:rsid w:val="31865C05"/>
    <w:rsid w:val="318868EE"/>
    <w:rsid w:val="31B605E1"/>
    <w:rsid w:val="330F664A"/>
    <w:rsid w:val="33105381"/>
    <w:rsid w:val="33A1422B"/>
    <w:rsid w:val="343706EB"/>
    <w:rsid w:val="34A71D15"/>
    <w:rsid w:val="35005733"/>
    <w:rsid w:val="357F059C"/>
    <w:rsid w:val="358A766C"/>
    <w:rsid w:val="36B67FED"/>
    <w:rsid w:val="370E5675"/>
    <w:rsid w:val="37813707"/>
    <w:rsid w:val="37837C60"/>
    <w:rsid w:val="38AF64FC"/>
    <w:rsid w:val="39203804"/>
    <w:rsid w:val="39534219"/>
    <w:rsid w:val="399565E0"/>
    <w:rsid w:val="3A157721"/>
    <w:rsid w:val="3A347BA7"/>
    <w:rsid w:val="3A7371A1"/>
    <w:rsid w:val="3AD46C94"/>
    <w:rsid w:val="3B2D1219"/>
    <w:rsid w:val="3B4A33FA"/>
    <w:rsid w:val="3BBE0083"/>
    <w:rsid w:val="3BD30791"/>
    <w:rsid w:val="3BD67D7A"/>
    <w:rsid w:val="3C101301"/>
    <w:rsid w:val="3C890AAE"/>
    <w:rsid w:val="3CBB635D"/>
    <w:rsid w:val="3D087836"/>
    <w:rsid w:val="3DA36CD6"/>
    <w:rsid w:val="3DB51F7E"/>
    <w:rsid w:val="3EAB15D0"/>
    <w:rsid w:val="3EFB0C93"/>
    <w:rsid w:val="3F1F4F1F"/>
    <w:rsid w:val="3F4C3337"/>
    <w:rsid w:val="3FAE03FB"/>
    <w:rsid w:val="4010076E"/>
    <w:rsid w:val="40FF7A38"/>
    <w:rsid w:val="412C0CAA"/>
    <w:rsid w:val="415A0A7F"/>
    <w:rsid w:val="42976F25"/>
    <w:rsid w:val="434F4A30"/>
    <w:rsid w:val="44354C47"/>
    <w:rsid w:val="4475773A"/>
    <w:rsid w:val="44AD6ED3"/>
    <w:rsid w:val="44E4646D"/>
    <w:rsid w:val="456A5A99"/>
    <w:rsid w:val="45921C25"/>
    <w:rsid w:val="460D70AE"/>
    <w:rsid w:val="47573126"/>
    <w:rsid w:val="476847C3"/>
    <w:rsid w:val="47EB386F"/>
    <w:rsid w:val="4800731A"/>
    <w:rsid w:val="481E59F2"/>
    <w:rsid w:val="482A083B"/>
    <w:rsid w:val="487E46E3"/>
    <w:rsid w:val="494D2A33"/>
    <w:rsid w:val="4A3A2756"/>
    <w:rsid w:val="4A670EBE"/>
    <w:rsid w:val="4A907F10"/>
    <w:rsid w:val="4A94029A"/>
    <w:rsid w:val="4B4439C2"/>
    <w:rsid w:val="4BB41EB3"/>
    <w:rsid w:val="4BB943B0"/>
    <w:rsid w:val="4C0849EF"/>
    <w:rsid w:val="4C1E2465"/>
    <w:rsid w:val="4CC734D4"/>
    <w:rsid w:val="4D276291"/>
    <w:rsid w:val="4DED6593"/>
    <w:rsid w:val="4DEF3FED"/>
    <w:rsid w:val="4E772300"/>
    <w:rsid w:val="4EFD55F3"/>
    <w:rsid w:val="4F511E83"/>
    <w:rsid w:val="4F602D94"/>
    <w:rsid w:val="4FE469CC"/>
    <w:rsid w:val="4FEE2CD8"/>
    <w:rsid w:val="50131BB5"/>
    <w:rsid w:val="50B15483"/>
    <w:rsid w:val="50B34117"/>
    <w:rsid w:val="50D554B9"/>
    <w:rsid w:val="5147420C"/>
    <w:rsid w:val="51F42F06"/>
    <w:rsid w:val="52497B10"/>
    <w:rsid w:val="52632A25"/>
    <w:rsid w:val="526F5A52"/>
    <w:rsid w:val="52BB227F"/>
    <w:rsid w:val="52E87329"/>
    <w:rsid w:val="54446DEC"/>
    <w:rsid w:val="545A4256"/>
    <w:rsid w:val="54D13A19"/>
    <w:rsid w:val="54DD0514"/>
    <w:rsid w:val="55884B71"/>
    <w:rsid w:val="55A95B7B"/>
    <w:rsid w:val="55AC288F"/>
    <w:rsid w:val="55D50038"/>
    <w:rsid w:val="56A87127"/>
    <w:rsid w:val="570566FB"/>
    <w:rsid w:val="583D1F2E"/>
    <w:rsid w:val="5854400C"/>
    <w:rsid w:val="58977827"/>
    <w:rsid w:val="58CE0D6F"/>
    <w:rsid w:val="592310BA"/>
    <w:rsid w:val="59253085"/>
    <w:rsid w:val="59401C6C"/>
    <w:rsid w:val="595219A0"/>
    <w:rsid w:val="595C45CC"/>
    <w:rsid w:val="59815DE1"/>
    <w:rsid w:val="5A1153B7"/>
    <w:rsid w:val="5A4607CB"/>
    <w:rsid w:val="5A7122F9"/>
    <w:rsid w:val="5AD3266C"/>
    <w:rsid w:val="5C245548"/>
    <w:rsid w:val="5C552A3C"/>
    <w:rsid w:val="5D600B2F"/>
    <w:rsid w:val="5DD26CE9"/>
    <w:rsid w:val="5E007C1C"/>
    <w:rsid w:val="5E1B4A56"/>
    <w:rsid w:val="5E8E0ED9"/>
    <w:rsid w:val="5E9A6159"/>
    <w:rsid w:val="5EF26E43"/>
    <w:rsid w:val="5F8F71EC"/>
    <w:rsid w:val="5FD749AD"/>
    <w:rsid w:val="60082DB8"/>
    <w:rsid w:val="6058466B"/>
    <w:rsid w:val="60645B9C"/>
    <w:rsid w:val="60D239FB"/>
    <w:rsid w:val="616B3D62"/>
    <w:rsid w:val="61926DDD"/>
    <w:rsid w:val="61B41449"/>
    <w:rsid w:val="61EF674F"/>
    <w:rsid w:val="61F850AC"/>
    <w:rsid w:val="62AB5B45"/>
    <w:rsid w:val="62E34BE1"/>
    <w:rsid w:val="62EE098B"/>
    <w:rsid w:val="635A0C3C"/>
    <w:rsid w:val="63646678"/>
    <w:rsid w:val="63BF4745"/>
    <w:rsid w:val="63EF49BB"/>
    <w:rsid w:val="63F43164"/>
    <w:rsid w:val="63FB04BD"/>
    <w:rsid w:val="65311F5C"/>
    <w:rsid w:val="6597410D"/>
    <w:rsid w:val="659D7DD9"/>
    <w:rsid w:val="65C21C5B"/>
    <w:rsid w:val="65DA0D53"/>
    <w:rsid w:val="67140294"/>
    <w:rsid w:val="676225E9"/>
    <w:rsid w:val="679413D5"/>
    <w:rsid w:val="68664B20"/>
    <w:rsid w:val="686C459D"/>
    <w:rsid w:val="69644728"/>
    <w:rsid w:val="6ABF76B6"/>
    <w:rsid w:val="6B0153FC"/>
    <w:rsid w:val="6B4B624F"/>
    <w:rsid w:val="6B76151E"/>
    <w:rsid w:val="6C807011"/>
    <w:rsid w:val="6CD96208"/>
    <w:rsid w:val="6D3E606B"/>
    <w:rsid w:val="6D770CAD"/>
    <w:rsid w:val="6DD53DC5"/>
    <w:rsid w:val="6E4A6B6D"/>
    <w:rsid w:val="6E7B1596"/>
    <w:rsid w:val="6ECC7E85"/>
    <w:rsid w:val="6ECF6A6C"/>
    <w:rsid w:val="6ED074FA"/>
    <w:rsid w:val="6FBED616"/>
    <w:rsid w:val="6FF1D1F2"/>
    <w:rsid w:val="70616401"/>
    <w:rsid w:val="70DA488C"/>
    <w:rsid w:val="712B79C3"/>
    <w:rsid w:val="72193A68"/>
    <w:rsid w:val="72824C4C"/>
    <w:rsid w:val="72B963E4"/>
    <w:rsid w:val="7447614D"/>
    <w:rsid w:val="74BA403C"/>
    <w:rsid w:val="751D1FFC"/>
    <w:rsid w:val="75671ED7"/>
    <w:rsid w:val="757F0A86"/>
    <w:rsid w:val="7600237C"/>
    <w:rsid w:val="76A50F09"/>
    <w:rsid w:val="76DF424E"/>
    <w:rsid w:val="771A5453"/>
    <w:rsid w:val="77352DB4"/>
    <w:rsid w:val="775B37B3"/>
    <w:rsid w:val="78166A5F"/>
    <w:rsid w:val="78C006B6"/>
    <w:rsid w:val="79153174"/>
    <w:rsid w:val="797E0996"/>
    <w:rsid w:val="797F0137"/>
    <w:rsid w:val="7A250AA4"/>
    <w:rsid w:val="7A3C1B84"/>
    <w:rsid w:val="7AA137B0"/>
    <w:rsid w:val="7ABD224E"/>
    <w:rsid w:val="7AD973D3"/>
    <w:rsid w:val="7B304592"/>
    <w:rsid w:val="7B622E23"/>
    <w:rsid w:val="7BEB5610"/>
    <w:rsid w:val="7C605FFE"/>
    <w:rsid w:val="7C7B2E38"/>
    <w:rsid w:val="7CC665AD"/>
    <w:rsid w:val="7CC84C09"/>
    <w:rsid w:val="7CE15F77"/>
    <w:rsid w:val="7D1D6F77"/>
    <w:rsid w:val="7D745762"/>
    <w:rsid w:val="7EF37309"/>
    <w:rsid w:val="7F1B7FBA"/>
    <w:rsid w:val="7F24326C"/>
    <w:rsid w:val="7FC91371"/>
    <w:rsid w:val="96F831AB"/>
    <w:rsid w:val="BCAF4FE1"/>
    <w:rsid w:val="D7BF3D0C"/>
    <w:rsid w:val="EFFA2C2B"/>
    <w:rsid w:val="F7EC4C94"/>
    <w:rsid w:val="FBFF69A6"/>
    <w:rsid w:val="FDEAC145"/>
    <w:rsid w:val="FFFF3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nhideWhenUsed="0" w:uiPriority="6"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7"/>
    <w:basedOn w:val="1"/>
    <w:next w:val="1"/>
    <w:qFormat/>
    <w:uiPriority w:val="6"/>
    <w:pPr>
      <w:keepNext/>
      <w:keepLines/>
      <w:spacing w:before="240" w:after="64" w:line="320" w:lineRule="atLeast"/>
      <w:jc w:val="left"/>
      <w:outlineLvl w:val="6"/>
    </w:pPr>
    <w:rPr>
      <w:b/>
      <w:sz w:val="24"/>
    </w:rPr>
  </w:style>
  <w:style w:type="character" w:default="1" w:styleId="28">
    <w:name w:val="Default Paragraph Font"/>
    <w:semiHidden/>
    <w:qFormat/>
    <w:uiPriority w:val="0"/>
  </w:style>
  <w:style w:type="table" w:default="1" w:styleId="2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7">
    <w:name w:val="index 8"/>
    <w:basedOn w:val="1"/>
    <w:next w:val="1"/>
    <w:qFormat/>
    <w:uiPriority w:val="0"/>
    <w:pPr>
      <w:ind w:left="2940"/>
    </w:pPr>
  </w:style>
  <w:style w:type="paragraph" w:styleId="8">
    <w:name w:val="Normal Indent"/>
    <w:basedOn w:val="1"/>
    <w:qFormat/>
    <w:uiPriority w:val="0"/>
    <w:pPr>
      <w:widowControl/>
      <w:ind w:firstLine="420"/>
      <w:jc w:val="left"/>
    </w:pPr>
    <w:rPr>
      <w:kern w:val="0"/>
      <w:sz w:val="20"/>
      <w:szCs w:val="20"/>
    </w:rPr>
  </w:style>
  <w:style w:type="paragraph" w:styleId="9">
    <w:name w:val="Body Text"/>
    <w:basedOn w:val="1"/>
    <w:next w:val="1"/>
    <w:qFormat/>
    <w:uiPriority w:val="0"/>
    <w:pPr>
      <w:widowControl w:val="0"/>
      <w:spacing w:before="0" w:beforeLines="0" w:after="120" w:afterLines="0"/>
      <w:ind w:left="0" w:right="0"/>
      <w:jc w:val="both"/>
    </w:pPr>
    <w:rPr>
      <w:rFonts w:ascii="Times New Roman" w:hAnsi="Times New Roman" w:eastAsia="宋体" w:cs="Times New Roman"/>
      <w:kern w:val="0"/>
      <w:sz w:val="20"/>
    </w:rPr>
  </w:style>
  <w:style w:type="paragraph" w:styleId="10">
    <w:name w:val="Body Text Indent"/>
    <w:basedOn w:val="1"/>
    <w:qFormat/>
    <w:uiPriority w:val="0"/>
    <w:pPr>
      <w:spacing w:after="120"/>
      <w:ind w:left="420" w:leftChars="200"/>
    </w:pPr>
  </w:style>
  <w:style w:type="paragraph" w:styleId="11">
    <w:name w:val="toc 3"/>
    <w:basedOn w:val="1"/>
    <w:next w:val="1"/>
    <w:unhideWhenUsed/>
    <w:qFormat/>
    <w:uiPriority w:val="39"/>
    <w:pPr>
      <w:adjustRightInd w:val="0"/>
      <w:snapToGrid w:val="0"/>
      <w:spacing w:line="360" w:lineRule="auto"/>
      <w:ind w:left="400" w:leftChars="400"/>
    </w:pPr>
    <w:rPr>
      <w:rFonts w:eastAsia="宋体"/>
      <w:b/>
    </w:rPr>
  </w:style>
  <w:style w:type="paragraph" w:styleId="12">
    <w:name w:val="Plain Text"/>
    <w:basedOn w:val="1"/>
    <w:next w:val="7"/>
    <w:qFormat/>
    <w:uiPriority w:val="0"/>
    <w:rPr>
      <w:rFonts w:ascii="宋体" w:hAnsi="Courier New" w:cs="Courier New"/>
      <w:szCs w:val="21"/>
    </w:rPr>
  </w:style>
  <w:style w:type="paragraph" w:styleId="13">
    <w:name w:val="Date"/>
    <w:basedOn w:val="1"/>
    <w:next w:val="1"/>
    <w:qFormat/>
    <w:uiPriority w:val="0"/>
    <w:rPr>
      <w:sz w:val="24"/>
      <w:szCs w:val="20"/>
    </w:rPr>
  </w:style>
  <w:style w:type="paragraph" w:styleId="14">
    <w:name w:val="Body Text Indent 2"/>
    <w:basedOn w:val="1"/>
    <w:qFormat/>
    <w:uiPriority w:val="0"/>
    <w:pPr>
      <w:spacing w:after="120" w:line="480" w:lineRule="auto"/>
      <w:ind w:left="420" w:leftChars="200"/>
    </w:p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envelope return"/>
    <w:basedOn w:val="1"/>
    <w:qFormat/>
    <w:uiPriority w:val="0"/>
    <w:pPr>
      <w:snapToGrid w:val="0"/>
    </w:pPr>
    <w:rPr>
      <w:rFonts w:ascii="Arial" w:hAnsi="Arial"/>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line="360" w:lineRule="auto"/>
    </w:pPr>
    <w:rPr>
      <w:rFonts w:ascii="宋体" w:hAnsi="宋体" w:eastAsia="宋体"/>
      <w:b/>
      <w:sz w:val="24"/>
      <w:szCs w:val="21"/>
    </w:rPr>
  </w:style>
  <w:style w:type="paragraph" w:styleId="19">
    <w:name w:val="toc 4"/>
    <w:basedOn w:val="1"/>
    <w:next w:val="1"/>
    <w:unhideWhenUsed/>
    <w:qFormat/>
    <w:uiPriority w:val="39"/>
    <w:pPr>
      <w:adjustRightInd w:val="0"/>
      <w:snapToGrid w:val="0"/>
      <w:spacing w:line="360" w:lineRule="auto"/>
      <w:ind w:left="600" w:leftChars="600"/>
    </w:pPr>
    <w:rPr>
      <w:rFonts w:ascii="Calibri" w:hAnsi="Calibri" w:eastAsia="宋体" w:cs="Times New Roman"/>
      <w:b/>
      <w:szCs w:val="22"/>
    </w:rPr>
  </w:style>
  <w:style w:type="paragraph" w:styleId="20">
    <w:name w:val="toc 2"/>
    <w:basedOn w:val="1"/>
    <w:next w:val="1"/>
    <w:unhideWhenUsed/>
    <w:qFormat/>
    <w:uiPriority w:val="39"/>
    <w:pPr>
      <w:spacing w:line="360" w:lineRule="auto"/>
      <w:ind w:left="200" w:leftChars="200"/>
    </w:pPr>
    <w:rPr>
      <w:rFonts w:eastAsia="宋体"/>
      <w:b/>
    </w:rPr>
  </w:style>
  <w:style w:type="paragraph" w:styleId="21">
    <w:name w:val="Body Text 2"/>
    <w:basedOn w:val="1"/>
    <w:qFormat/>
    <w:uiPriority w:val="0"/>
    <w:pPr>
      <w:spacing w:after="120" w:line="480" w:lineRule="auto"/>
    </w:pPr>
  </w:style>
  <w:style w:type="paragraph" w:styleId="22">
    <w:name w:val="Normal (Web)"/>
    <w:basedOn w:val="1"/>
    <w:qFormat/>
    <w:uiPriority w:val="99"/>
    <w:pPr>
      <w:widowControl/>
      <w:spacing w:before="100" w:beforeLines="0" w:beforeAutospacing="1" w:after="100" w:afterLines="0" w:afterAutospacing="1"/>
      <w:ind w:left="0" w:right="0"/>
      <w:jc w:val="left"/>
    </w:pPr>
    <w:rPr>
      <w:rFonts w:ascii="宋体" w:hAnsi="宋体" w:eastAsia="等线" w:cs="宋体"/>
      <w:kern w:val="0"/>
      <w:sz w:val="24"/>
      <w:szCs w:val="24"/>
      <w:lang w:val="en-US" w:eastAsia="zh-CN" w:bidi="ar-SA"/>
    </w:rPr>
  </w:style>
  <w:style w:type="paragraph" w:styleId="23">
    <w:name w:val="Body Text First Indent"/>
    <w:basedOn w:val="9"/>
    <w:qFormat/>
    <w:uiPriority w:val="0"/>
    <w:pPr>
      <w:ind w:firstLine="420" w:firstLineChars="100"/>
    </w:pPr>
    <w:rPr>
      <w:kern w:val="2"/>
      <w:sz w:val="21"/>
    </w:rPr>
  </w:style>
  <w:style w:type="paragraph" w:styleId="24">
    <w:name w:val="Body Text First Indent 2"/>
    <w:basedOn w:val="10"/>
    <w:next w:val="25"/>
    <w:qFormat/>
    <w:uiPriority w:val="0"/>
    <w:pPr>
      <w:ind w:firstLine="420" w:firstLineChars="200"/>
    </w:pPr>
  </w:style>
  <w:style w:type="paragraph" w:customStyle="1" w:styleId="25">
    <w:name w:val="WW-正文缩进"/>
    <w:qFormat/>
    <w:uiPriority w:val="0"/>
    <w:pPr>
      <w:widowControl/>
      <w:kinsoku w:val="0"/>
      <w:autoSpaceDE w:val="0"/>
      <w:autoSpaceDN w:val="0"/>
      <w:adjustRightInd w:val="0"/>
      <w:snapToGrid w:val="0"/>
      <w:spacing w:line="240" w:lineRule="auto"/>
      <w:ind w:left="0" w:right="0" w:firstLine="420"/>
      <w:jc w:val="left"/>
      <w:textAlignment w:val="baseline"/>
    </w:pPr>
    <w:rPr>
      <w:rFonts w:ascii="Arial" w:hAnsi="Arial" w:eastAsia="Arial" w:cs="Arial"/>
      <w:snapToGrid w:val="0"/>
      <w:color w:val="000000"/>
      <w:kern w:val="0"/>
      <w:sz w:val="20"/>
      <w:szCs w:val="20"/>
      <w:lang w:val="en-US" w:eastAsia="en-US" w:bidi="ar-SA"/>
    </w:rPr>
  </w:style>
  <w:style w:type="table" w:styleId="27">
    <w:name w:val="Table Grid"/>
    <w:basedOn w:val="26"/>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0"/>
    <w:rPr>
      <w:rFonts w:ascii="Times New Roman" w:hAnsi="Times New Roman" w:eastAsia="宋体" w:cs="Times New Roman"/>
      <w:b/>
      <w:bCs/>
    </w:rPr>
  </w:style>
  <w:style w:type="character" w:styleId="30">
    <w:name w:val="page number"/>
    <w:basedOn w:val="28"/>
    <w:qFormat/>
    <w:uiPriority w:val="0"/>
    <w:rPr>
      <w:rFonts w:ascii="Times New Roman" w:hAnsi="Times New Roman" w:eastAsia="宋体" w:cs="Times New Roman"/>
    </w:rPr>
  </w:style>
  <w:style w:type="paragraph" w:customStyle="1" w:styleId="31">
    <w:name w:val="列出段落1"/>
    <w:basedOn w:val="32"/>
    <w:next w:val="33"/>
    <w:qFormat/>
    <w:uiPriority w:val="0"/>
    <w:pPr>
      <w:ind w:firstLine="420" w:firstLineChars="200"/>
    </w:pPr>
    <w:rPr>
      <w:szCs w:val="21"/>
    </w:rPr>
  </w:style>
  <w:style w:type="paragraph" w:customStyle="1" w:styleId="32">
    <w:name w:val="正文_10_43"/>
    <w:qFormat/>
    <w:uiPriority w:val="0"/>
    <w:pPr>
      <w:widowControl w:val="0"/>
      <w:jc w:val="both"/>
    </w:pPr>
    <w:rPr>
      <w:rFonts w:ascii="Calibri" w:hAnsi="Calibri" w:eastAsia="宋体" w:cs="Times New Roman"/>
      <w:kern w:val="2"/>
      <w:sz w:val="24"/>
      <w:szCs w:val="22"/>
      <w:lang w:val="en-US" w:eastAsia="zh-CN" w:bidi="ar-SA"/>
    </w:rPr>
  </w:style>
  <w:style w:type="paragraph" w:customStyle="1" w:styleId="33">
    <w:name w:val="List Paragraph"/>
    <w:basedOn w:val="1"/>
    <w:qFormat/>
    <w:uiPriority w:val="0"/>
    <w:pPr>
      <w:ind w:firstLine="420" w:firstLineChars="200"/>
    </w:pPr>
    <w:rPr>
      <w:rFonts w:ascii="Calibri" w:hAnsi="Calibri"/>
      <w:szCs w:val="21"/>
    </w:rPr>
  </w:style>
  <w:style w:type="paragraph" w:customStyle="1" w:styleId="34">
    <w:name w:val="正文文本_0"/>
    <w:basedOn w:val="35"/>
    <w:next w:val="35"/>
    <w:qFormat/>
    <w:uiPriority w:val="0"/>
    <w:pPr>
      <w:spacing w:after="120"/>
    </w:pPr>
  </w:style>
  <w:style w:type="paragraph" w:customStyle="1" w:styleId="35">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_Style 313"/>
    <w:basedOn w:val="9"/>
    <w:next w:val="23"/>
    <w:qFormat/>
    <w:uiPriority w:val="0"/>
    <w:pPr>
      <w:spacing w:line="240" w:lineRule="auto"/>
      <w:ind w:firstLine="420" w:firstLineChars="100"/>
    </w:pPr>
    <w:rPr>
      <w:kern w:val="2"/>
      <w:sz w:val="21"/>
    </w:rPr>
  </w:style>
  <w:style w:type="character" w:customStyle="1" w:styleId="37">
    <w:name w:val="textfont1"/>
    <w:qFormat/>
    <w:uiPriority w:val="0"/>
    <w:rPr>
      <w:rFonts w:ascii="Times New Roman" w:hAnsi="Times New Roman" w:eastAsia="宋体" w:cs="Times New Roman"/>
      <w:kern w:val="2"/>
      <w:sz w:val="22"/>
      <w:szCs w:val="22"/>
      <w:lang w:val="en-US" w:eastAsia="zh-CN" w:bidi="ar-SA"/>
    </w:rPr>
  </w:style>
  <w:style w:type="paragraph" w:customStyle="1" w:styleId="3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table" w:customStyle="1" w:styleId="39">
    <w:name w:val="Table Normal"/>
    <w:unhideWhenUsed/>
    <w:qFormat/>
    <w:uiPriority w:val="0"/>
    <w:tblPr>
      <w:tblCellMar>
        <w:top w:w="0" w:type="dxa"/>
        <w:left w:w="0" w:type="dxa"/>
        <w:bottom w:w="0" w:type="dxa"/>
        <w:right w:w="0" w:type="dxa"/>
      </w:tblCellMar>
    </w:tblPr>
  </w:style>
  <w:style w:type="paragraph" w:customStyle="1" w:styleId="40">
    <w:name w:val="Table Text"/>
    <w:basedOn w:val="1"/>
    <w:semiHidden/>
    <w:qFormat/>
    <w:uiPriority w:val="0"/>
    <w:rPr>
      <w:rFonts w:ascii="楷体" w:hAnsi="楷体" w:eastAsia="楷体" w:cs="楷体"/>
      <w:sz w:val="24"/>
      <w:szCs w:val="24"/>
      <w:lang w:val="en-US" w:eastAsia="en-US" w:bidi="ar-SA"/>
    </w:rPr>
  </w:style>
  <w:style w:type="paragraph" w:customStyle="1" w:styleId="41">
    <w:name w:val="Body text|1"/>
    <w:basedOn w:val="1"/>
    <w:qFormat/>
    <w:uiPriority w:val="0"/>
    <w:pPr>
      <w:spacing w:after="120" w:line="252" w:lineRule="auto"/>
      <w:ind w:firstLine="400"/>
    </w:pPr>
    <w:rPr>
      <w:rFonts w:ascii="MingLiU" w:hAnsi="MingLiU" w:eastAsia="MingLiU" w:cs="MingLiU"/>
      <w:sz w:val="20"/>
      <w:szCs w:val="20"/>
      <w:lang w:val="zh-TW" w:eastAsia="zh-TW" w:bidi="zh-TW"/>
    </w:rPr>
  </w:style>
  <w:style w:type="character" w:customStyle="1" w:styleId="42">
    <w:name w:val="font31"/>
    <w:basedOn w:val="28"/>
    <w:qFormat/>
    <w:uiPriority w:val="0"/>
    <w:rPr>
      <w:rFonts w:ascii="仿宋" w:hAnsi="仿宋" w:eastAsia="仿宋" w:cs="仿宋"/>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46771</Words>
  <Characters>48961</Characters>
  <Lines>0</Lines>
  <Paragraphs>0</Paragraphs>
  <TotalTime>19</TotalTime>
  <ScaleCrop>false</ScaleCrop>
  <LinksUpToDate>false</LinksUpToDate>
  <CharactersWithSpaces>52499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2025-07-11T11:57:00Z</dcterms:created>
  <dc:creator>hua'wei</dc:creator>
  <cp:lastModifiedBy>Administrator</cp:lastModifiedBy>
  <dcterms:modified xsi:type="dcterms:W3CDTF">2026-08-27T05:41:43Z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9466380B62990E6AE72D856AF04A32F6_43</vt:lpwstr>
  </property>
  <property fmtid="{D5CDD505-2E9C-101B-9397-08002B2CF9AE}" pid="4" name="KSOTemplateDocerSaveRecord">
    <vt:lpwstr>eyJoZGlkIjoiNGNlMGFjMGM0ZTJiZGEyNzhkNmVjYjZjMWVmNzg5OTQiLCJ1c2VySWQiOiIyNTUwMjM4NzAifQ==</vt:lpwstr>
  </property>
</Properties>
</file>