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14B957">
      <w:pPr>
        <w:pStyle w:val="2"/>
        <w:bidi w:val="0"/>
        <w:rPr>
          <w:rFonts w:hint="eastAsia" w:cs="Times New Roman"/>
          <w:highlight w:val="none"/>
          <w:lang w:val="en-US" w:eastAsia="zh-CN"/>
        </w:rPr>
      </w:pPr>
      <w:r>
        <w:rPr>
          <w:rFonts w:hint="eastAsia" w:cs="Times New Roman"/>
          <w:highlight w:val="none"/>
          <w:lang w:val="en-US" w:eastAsia="zh-CN"/>
        </w:rPr>
        <w:t>采购需求</w:t>
      </w:r>
    </w:p>
    <w:p w14:paraId="6F1C623A">
      <w:pPr>
        <w:keepNext w:val="0"/>
        <w:keepLines w:val="0"/>
        <w:pageBreakBefore w:val="0"/>
        <w:numPr>
          <w:ilvl w:val="0"/>
          <w:numId w:val="0"/>
        </w:numPr>
        <w:kinsoku/>
        <w:wordWrap/>
        <w:overflowPunct/>
        <w:topLinePunct w:val="0"/>
        <w:autoSpaceDE/>
        <w:autoSpaceDN/>
        <w:bidi w:val="0"/>
        <w:adjustRightInd/>
        <w:snapToGrid/>
        <w:spacing w:line="360" w:lineRule="exact"/>
        <w:jc w:val="both"/>
        <w:textAlignment w:val="auto"/>
        <w:rPr>
          <w:rFonts w:hint="eastAsia" w:ascii="黑体" w:hAnsi="黑体" w:eastAsia="黑体" w:cs="黑体"/>
          <w:b/>
          <w:bCs/>
          <w:color w:val="auto"/>
          <w:kern w:val="2"/>
          <w:sz w:val="22"/>
          <w:szCs w:val="22"/>
          <w:highlight w:val="none"/>
          <w:lang w:val="en-US" w:eastAsia="zh-CN" w:bidi="ar-SA"/>
        </w:rPr>
      </w:pPr>
      <w:r>
        <w:rPr>
          <w:rFonts w:hint="eastAsia" w:ascii="黑体" w:hAnsi="黑体" w:eastAsia="黑体" w:cs="黑体"/>
          <w:b/>
          <w:bCs/>
          <w:color w:val="auto"/>
          <w:kern w:val="2"/>
          <w:sz w:val="22"/>
          <w:szCs w:val="22"/>
          <w:highlight w:val="none"/>
          <w:lang w:val="en-US" w:eastAsia="zh-CN" w:bidi="ar-SA"/>
        </w:rPr>
        <w:t>一、项目名称：</w:t>
      </w:r>
      <w:r>
        <w:rPr>
          <w:rFonts w:hint="eastAsia" w:ascii="黑体" w:hAnsi="黑体" w:eastAsia="黑体" w:cs="黑体"/>
          <w:b w:val="0"/>
          <w:bCs w:val="0"/>
          <w:color w:val="auto"/>
          <w:kern w:val="2"/>
          <w:sz w:val="22"/>
          <w:szCs w:val="22"/>
          <w:highlight w:val="none"/>
          <w:lang w:val="en-US" w:eastAsia="zh-CN" w:bidi="ar-SA"/>
        </w:rPr>
        <w:t>茶亭社区半山坡饮用自来水管网改造项目</w:t>
      </w:r>
    </w:p>
    <w:p w14:paraId="71FB3938">
      <w:pPr>
        <w:keepNext w:val="0"/>
        <w:keepLines w:val="0"/>
        <w:pageBreakBefore w:val="0"/>
        <w:numPr>
          <w:ilvl w:val="0"/>
          <w:numId w:val="0"/>
        </w:numPr>
        <w:kinsoku/>
        <w:wordWrap/>
        <w:overflowPunct/>
        <w:topLinePunct w:val="0"/>
        <w:autoSpaceDE/>
        <w:autoSpaceDN/>
        <w:bidi w:val="0"/>
        <w:adjustRightInd/>
        <w:snapToGrid/>
        <w:spacing w:line="360" w:lineRule="exact"/>
        <w:jc w:val="both"/>
        <w:textAlignment w:val="auto"/>
        <w:rPr>
          <w:rFonts w:hint="eastAsia" w:ascii="黑体" w:hAnsi="黑体" w:eastAsia="黑体" w:cs="黑体"/>
          <w:b/>
          <w:bCs/>
          <w:color w:val="auto"/>
          <w:kern w:val="2"/>
          <w:sz w:val="22"/>
          <w:szCs w:val="22"/>
          <w:highlight w:val="none"/>
          <w:lang w:val="en-US" w:eastAsia="zh-CN" w:bidi="ar-SA"/>
        </w:rPr>
      </w:pPr>
      <w:r>
        <w:rPr>
          <w:rFonts w:hint="eastAsia" w:ascii="黑体" w:hAnsi="黑体" w:eastAsia="黑体" w:cs="黑体"/>
          <w:b/>
          <w:bCs/>
          <w:color w:val="auto"/>
          <w:kern w:val="2"/>
          <w:sz w:val="22"/>
          <w:szCs w:val="22"/>
          <w:highlight w:val="none"/>
          <w:lang w:val="en-US" w:eastAsia="zh-CN" w:bidi="ar-SA"/>
        </w:rPr>
        <w:t>二、</w:t>
      </w:r>
      <w:r>
        <w:rPr>
          <w:rFonts w:hint="eastAsia" w:ascii="黑体" w:hAnsi="黑体" w:eastAsia="黑体" w:cs="黑体"/>
          <w:b/>
          <w:bCs/>
          <w:color w:val="auto"/>
          <w:sz w:val="22"/>
          <w:szCs w:val="22"/>
          <w:highlight w:val="none"/>
          <w:lang w:val="en-US" w:eastAsia="zh-CN"/>
        </w:rPr>
        <w:t>项目概况：</w:t>
      </w:r>
      <w:r>
        <w:rPr>
          <w:rFonts w:hint="eastAsia" w:ascii="黑体" w:hAnsi="黑体" w:eastAsia="黑体" w:cs="黑体"/>
          <w:b w:val="0"/>
          <w:bCs w:val="0"/>
          <w:color w:val="auto"/>
          <w:sz w:val="22"/>
          <w:szCs w:val="22"/>
          <w:highlight w:val="none"/>
          <w:lang w:val="en-US" w:eastAsia="zh-CN"/>
        </w:rPr>
        <w:t>1.改建供水管道DN300内外涂塑钢管约125米、DN200内外涂塑钢管约120米；2.改建给水PE管De315约520米、De110约740米、De75约187米、De32约122米；3.修建钢筋混凝土闸阀井20座、砖砌排泥井4座、钢筋混凝土排气井4座；4、开挖沟槽及恢复约1810米及实施配套建设等。</w:t>
      </w:r>
      <w:r>
        <w:rPr>
          <w:rFonts w:hint="eastAsia" w:ascii="黑体" w:hAnsi="黑体" w:eastAsia="黑体" w:cs="黑体"/>
          <w:color w:val="auto"/>
          <w:sz w:val="22"/>
          <w:szCs w:val="22"/>
          <w:highlight w:val="none"/>
          <w:vertAlign w:val="baseline"/>
          <w:lang w:val="en-US" w:eastAsia="zh-CN"/>
        </w:rPr>
        <w:t>具体内容详见施工图纸和工程量清单。</w:t>
      </w:r>
    </w:p>
    <w:p w14:paraId="1DAB471A">
      <w:pPr>
        <w:pStyle w:val="5"/>
        <w:keepNext w:val="0"/>
        <w:keepLines w:val="0"/>
        <w:pageBreakBefore w:val="0"/>
        <w:kinsoku/>
        <w:wordWrap/>
        <w:overflowPunct/>
        <w:topLinePunct w:val="0"/>
        <w:autoSpaceDE/>
        <w:autoSpaceDN/>
        <w:bidi w:val="0"/>
        <w:adjustRightInd/>
        <w:snapToGrid/>
        <w:spacing w:before="0" w:after="0" w:line="360" w:lineRule="exact"/>
        <w:textAlignment w:val="auto"/>
        <w:rPr>
          <w:rFonts w:hint="eastAsia" w:ascii="黑体" w:hAnsi="黑体" w:eastAsia="黑体" w:cs="黑体"/>
          <w:b/>
          <w:bCs/>
          <w:color w:val="auto"/>
          <w:kern w:val="2"/>
          <w:sz w:val="22"/>
          <w:szCs w:val="22"/>
          <w:highlight w:val="none"/>
          <w:lang w:val="en-US" w:eastAsia="zh-CN" w:bidi="ar-SA"/>
        </w:rPr>
      </w:pPr>
      <w:r>
        <w:rPr>
          <w:rFonts w:hint="eastAsia" w:ascii="黑体" w:hAnsi="黑体" w:eastAsia="黑体" w:cs="黑体"/>
          <w:b/>
          <w:bCs/>
          <w:color w:val="auto"/>
          <w:kern w:val="2"/>
          <w:sz w:val="22"/>
          <w:szCs w:val="22"/>
          <w:highlight w:val="none"/>
          <w:lang w:val="en-US" w:eastAsia="zh-CN" w:bidi="ar-SA"/>
        </w:rPr>
        <w:t>三、报价要求：</w:t>
      </w:r>
    </w:p>
    <w:p w14:paraId="6D2D1F04">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firstLine="440" w:firstLineChars="200"/>
        <w:jc w:val="both"/>
        <w:textAlignment w:val="auto"/>
        <w:rPr>
          <w:rFonts w:hint="eastAsia" w:ascii="黑体" w:hAnsi="黑体" w:eastAsia="黑体" w:cs="黑体"/>
          <w:color w:val="auto"/>
          <w:sz w:val="22"/>
          <w:szCs w:val="22"/>
          <w:highlight w:val="none"/>
          <w:lang w:val="en-US" w:eastAsia="zh-CN"/>
        </w:rPr>
      </w:pPr>
      <w:r>
        <w:rPr>
          <w:rFonts w:hint="eastAsia" w:ascii="黑体" w:hAnsi="黑体" w:eastAsia="黑体" w:cs="黑体"/>
          <w:color w:val="auto"/>
          <w:sz w:val="22"/>
          <w:szCs w:val="22"/>
          <w:highlight w:val="none"/>
          <w:lang w:val="en-US" w:eastAsia="zh-CN"/>
        </w:rPr>
        <w:t>1、本次招标采用费用包干方式进行招标，投标人报价不得超过最高限价，否则视为不响应采购文件。</w:t>
      </w:r>
    </w:p>
    <w:p w14:paraId="48BB7A43">
      <w:pPr>
        <w:keepNext w:val="0"/>
        <w:keepLines w:val="0"/>
        <w:pageBreakBefore w:val="0"/>
        <w:widowControl w:val="0"/>
        <w:kinsoku/>
        <w:wordWrap/>
        <w:overflowPunct/>
        <w:topLinePunct w:val="0"/>
        <w:autoSpaceDE/>
        <w:autoSpaceDN/>
        <w:bidi w:val="0"/>
        <w:adjustRightInd/>
        <w:snapToGrid/>
        <w:spacing w:beforeAutospacing="0" w:afterAutospacing="0" w:line="360" w:lineRule="exact"/>
        <w:ind w:firstLine="440" w:firstLineChars="200"/>
        <w:jc w:val="both"/>
        <w:textAlignment w:val="auto"/>
        <w:rPr>
          <w:rFonts w:hint="eastAsia" w:ascii="黑体" w:hAnsi="黑体" w:eastAsia="黑体" w:cs="黑体"/>
          <w:color w:val="auto"/>
          <w:sz w:val="22"/>
          <w:szCs w:val="22"/>
          <w:highlight w:val="none"/>
          <w:lang w:val="en-US" w:eastAsia="zh-CN"/>
        </w:rPr>
      </w:pPr>
      <w:r>
        <w:rPr>
          <w:rFonts w:hint="eastAsia" w:ascii="黑体" w:hAnsi="黑体" w:eastAsia="黑体" w:cs="黑体"/>
          <w:color w:val="auto"/>
          <w:sz w:val="22"/>
          <w:szCs w:val="22"/>
          <w:highlight w:val="none"/>
          <w:lang w:val="en-US" w:eastAsia="zh-CN"/>
        </w:rPr>
        <w:t>2、投标人应根据项目总体要求和实施情况，详细列明项目所需的各项费用，以及在服务实施中应缴纳的一切税费、管理费、保险费、培训、材料、机械、人工、财务等所有费用。如一旦中标，在项目实施中出现任何费用遗漏，均由成交供应商负责，采购单位不再支付任何费用。</w:t>
      </w:r>
    </w:p>
    <w:p w14:paraId="59741145">
      <w:pPr>
        <w:pStyle w:val="6"/>
        <w:keepNext w:val="0"/>
        <w:keepLines w:val="0"/>
        <w:pageBreakBefore w:val="0"/>
        <w:kinsoku/>
        <w:overflowPunct/>
        <w:topLinePunct w:val="0"/>
        <w:bidi w:val="0"/>
        <w:adjustRightInd/>
        <w:snapToGrid/>
        <w:spacing w:line="360" w:lineRule="exact"/>
        <w:textAlignment w:val="auto"/>
        <w:rPr>
          <w:rFonts w:hint="eastAsia" w:ascii="黑体" w:hAnsi="黑体" w:eastAsia="黑体" w:cs="黑体"/>
          <w:color w:val="auto"/>
          <w:sz w:val="22"/>
          <w:szCs w:val="22"/>
          <w:highlight w:val="none"/>
          <w:lang w:val="en-US" w:eastAsia="zh-CN"/>
        </w:rPr>
      </w:pPr>
      <w:r>
        <w:rPr>
          <w:rFonts w:hint="eastAsia" w:ascii="黑体" w:hAnsi="黑体" w:eastAsia="黑体" w:cs="黑体"/>
          <w:color w:val="auto"/>
          <w:sz w:val="22"/>
          <w:szCs w:val="22"/>
          <w:highlight w:val="none"/>
          <w:lang w:val="en-US" w:eastAsia="zh-CN"/>
        </w:rPr>
        <w:t>3、供应商根据应根据现行适用的规定和标准制定报价清单。</w:t>
      </w:r>
    </w:p>
    <w:p w14:paraId="2A92A853">
      <w:pPr>
        <w:pStyle w:val="6"/>
        <w:keepNext w:val="0"/>
        <w:keepLines w:val="0"/>
        <w:pageBreakBefore w:val="0"/>
        <w:kinsoku/>
        <w:overflowPunct/>
        <w:topLinePunct w:val="0"/>
        <w:bidi w:val="0"/>
        <w:adjustRightInd/>
        <w:snapToGrid/>
        <w:spacing w:line="360" w:lineRule="exact"/>
        <w:textAlignment w:val="auto"/>
        <w:rPr>
          <w:rFonts w:hint="eastAsia" w:ascii="黑体" w:hAnsi="黑体" w:eastAsia="黑体" w:cs="黑体"/>
          <w:color w:val="auto"/>
          <w:sz w:val="22"/>
          <w:szCs w:val="22"/>
          <w:highlight w:val="none"/>
          <w:lang w:val="en-US" w:eastAsia="zh-CN"/>
        </w:rPr>
      </w:pPr>
      <w:r>
        <w:rPr>
          <w:rFonts w:hint="eastAsia" w:ascii="黑体" w:hAnsi="黑体" w:eastAsia="黑体" w:cs="黑体"/>
          <w:color w:val="auto"/>
          <w:sz w:val="22"/>
          <w:szCs w:val="22"/>
          <w:highlight w:val="none"/>
          <w:lang w:val="en-US" w:eastAsia="zh-CN"/>
        </w:rPr>
        <w:t>4、第一轮报价（响应文件中的报价），应在响应文件分项报价表中进行清单报价；最终报价时，只需提供总报价，不要求提供清单报价。中标（成交）供应商在签订合同前，提供成交价格的清单报价文件纸质版3份（盖章）、电子档（造价软件原始格式）1份给采购人。</w:t>
      </w:r>
    </w:p>
    <w:p w14:paraId="6BE0BE4C">
      <w:pPr>
        <w:pStyle w:val="6"/>
        <w:keepNext w:val="0"/>
        <w:keepLines w:val="0"/>
        <w:pageBreakBefore w:val="0"/>
        <w:kinsoku/>
        <w:overflowPunct/>
        <w:topLinePunct w:val="0"/>
        <w:bidi w:val="0"/>
        <w:adjustRightInd/>
        <w:snapToGrid/>
        <w:spacing w:line="360" w:lineRule="exact"/>
        <w:textAlignment w:val="auto"/>
        <w:rPr>
          <w:rFonts w:hint="eastAsia" w:ascii="黑体" w:hAnsi="黑体" w:eastAsia="黑体" w:cs="黑体"/>
          <w:color w:val="auto"/>
          <w:sz w:val="22"/>
          <w:szCs w:val="22"/>
          <w:highlight w:val="none"/>
          <w:lang w:val="en-US" w:eastAsia="zh-CN"/>
        </w:rPr>
      </w:pPr>
      <w:r>
        <w:rPr>
          <w:rFonts w:hint="eastAsia" w:ascii="黑体" w:hAnsi="黑体" w:eastAsia="黑体" w:cs="黑体"/>
          <w:color w:val="auto"/>
          <w:sz w:val="22"/>
          <w:szCs w:val="22"/>
          <w:highlight w:val="none"/>
          <w:lang w:val="en-US" w:eastAsia="zh-CN"/>
        </w:rPr>
        <w:t>5、工程量清单中的“不可预见费”、“暂估价”、“暂列金额”等（如有）属于不可竞争费用，报价时按磋商文件工程量清单中列明的金额计入响应总价，否则其投标将被视为投标无效而被拒绝。结算时据实结算。</w:t>
      </w:r>
    </w:p>
    <w:p w14:paraId="3E854B17">
      <w:pPr>
        <w:pStyle w:val="6"/>
        <w:keepNext w:val="0"/>
        <w:keepLines w:val="0"/>
        <w:pageBreakBefore w:val="0"/>
        <w:kinsoku/>
        <w:overflowPunct/>
        <w:topLinePunct w:val="0"/>
        <w:bidi w:val="0"/>
        <w:adjustRightInd/>
        <w:snapToGrid/>
        <w:spacing w:line="360" w:lineRule="exact"/>
        <w:textAlignment w:val="auto"/>
        <w:rPr>
          <w:rFonts w:hint="eastAsia" w:ascii="黑体" w:hAnsi="黑体" w:eastAsia="黑体" w:cs="黑体"/>
          <w:color w:val="auto"/>
          <w:sz w:val="22"/>
          <w:szCs w:val="22"/>
          <w:highlight w:val="none"/>
          <w:lang w:val="en-US" w:eastAsia="zh-CN"/>
        </w:rPr>
      </w:pPr>
      <w:r>
        <w:rPr>
          <w:rFonts w:hint="eastAsia" w:ascii="黑体" w:hAnsi="黑体" w:eastAsia="黑体" w:cs="黑体"/>
          <w:color w:val="auto"/>
          <w:sz w:val="22"/>
          <w:szCs w:val="22"/>
          <w:highlight w:val="none"/>
          <w:lang w:val="en-US" w:eastAsia="zh-CN"/>
        </w:rPr>
        <w:t>6、该工程量清单未包含的费用，请投标供应商在报价时除考虑该工程量清单所需的费用，还需考虑工程量清单以外需增加的费用。</w:t>
      </w:r>
    </w:p>
    <w:p w14:paraId="5112A580">
      <w:pPr>
        <w:pStyle w:val="6"/>
        <w:keepNext w:val="0"/>
        <w:keepLines w:val="0"/>
        <w:pageBreakBefore w:val="0"/>
        <w:kinsoku/>
        <w:overflowPunct/>
        <w:topLinePunct w:val="0"/>
        <w:bidi w:val="0"/>
        <w:adjustRightInd/>
        <w:snapToGrid/>
        <w:spacing w:line="360" w:lineRule="exact"/>
        <w:textAlignment w:val="auto"/>
        <w:rPr>
          <w:rFonts w:hint="eastAsia" w:ascii="黑体" w:hAnsi="黑体" w:eastAsia="黑体" w:cs="黑体"/>
          <w:color w:val="auto"/>
          <w:kern w:val="2"/>
          <w:sz w:val="22"/>
          <w:szCs w:val="22"/>
          <w:highlight w:val="none"/>
          <w:lang w:val="en-US" w:eastAsia="zh-CN" w:bidi="ar-SA"/>
        </w:rPr>
      </w:pPr>
      <w:r>
        <w:rPr>
          <w:rFonts w:hint="eastAsia" w:ascii="黑体" w:hAnsi="黑体" w:eastAsia="黑体" w:cs="黑体"/>
          <w:color w:val="auto"/>
          <w:sz w:val="22"/>
          <w:szCs w:val="22"/>
          <w:highlight w:val="none"/>
          <w:lang w:val="en-US" w:eastAsia="zh-CN"/>
        </w:rPr>
        <w:t>7、工程量清单见附件。</w:t>
      </w:r>
    </w:p>
    <w:p w14:paraId="75C77080">
      <w:pPr>
        <w:keepNext w:val="0"/>
        <w:keepLines w:val="0"/>
        <w:pageBreakBefore w:val="0"/>
        <w:numPr>
          <w:ilvl w:val="0"/>
          <w:numId w:val="0"/>
        </w:numPr>
        <w:kinsoku/>
        <w:wordWrap/>
        <w:overflowPunct/>
        <w:topLinePunct w:val="0"/>
        <w:autoSpaceDE/>
        <w:autoSpaceDN/>
        <w:bidi w:val="0"/>
        <w:adjustRightInd/>
        <w:snapToGrid/>
        <w:spacing w:line="360" w:lineRule="exact"/>
        <w:jc w:val="both"/>
        <w:textAlignment w:val="auto"/>
        <w:rPr>
          <w:rFonts w:hint="eastAsia" w:ascii="黑体" w:hAnsi="黑体" w:eastAsia="黑体" w:cs="黑体"/>
          <w:b/>
          <w:bCs/>
          <w:color w:val="auto"/>
          <w:kern w:val="2"/>
          <w:sz w:val="22"/>
          <w:szCs w:val="22"/>
          <w:highlight w:val="none"/>
          <w:lang w:val="en-US" w:eastAsia="zh-CN" w:bidi="ar-SA"/>
        </w:rPr>
      </w:pPr>
      <w:r>
        <w:rPr>
          <w:rFonts w:hint="eastAsia" w:ascii="黑体" w:hAnsi="黑体" w:eastAsia="黑体" w:cs="黑体"/>
          <w:b/>
          <w:bCs/>
          <w:color w:val="auto"/>
          <w:kern w:val="2"/>
          <w:sz w:val="22"/>
          <w:szCs w:val="22"/>
          <w:highlight w:val="none"/>
          <w:lang w:val="en-US" w:eastAsia="zh-CN" w:bidi="ar-SA"/>
        </w:rPr>
        <w:t>四、工程要求</w:t>
      </w:r>
    </w:p>
    <w:p w14:paraId="6ACD514D">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0"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1、工期要求：</w:t>
      </w:r>
      <w:r>
        <w:rPr>
          <w:rStyle w:val="7"/>
          <w:rFonts w:hint="eastAsia" w:ascii="黑体" w:hAnsi="黑体" w:eastAsia="黑体" w:cs="黑体"/>
          <w:color w:val="auto"/>
          <w:kern w:val="0"/>
          <w:sz w:val="22"/>
          <w:szCs w:val="22"/>
          <w:highlight w:val="none"/>
          <w:lang w:val="en-US" w:eastAsia="zh-CN"/>
        </w:rPr>
        <w:t>合同签订之日起</w:t>
      </w:r>
      <w:r>
        <w:rPr>
          <w:rStyle w:val="7"/>
          <w:rFonts w:hint="eastAsia" w:ascii="黑体" w:hAnsi="黑体" w:eastAsia="黑体" w:cs="黑体"/>
          <w:color w:val="auto"/>
          <w:kern w:val="0"/>
          <w:sz w:val="22"/>
          <w:szCs w:val="22"/>
          <w:highlight w:val="none"/>
          <w:u w:val="single"/>
          <w:lang w:val="en-US" w:eastAsia="zh-CN"/>
        </w:rPr>
        <w:t>80</w:t>
      </w:r>
      <w:r>
        <w:rPr>
          <w:rStyle w:val="7"/>
          <w:rFonts w:hint="eastAsia" w:ascii="黑体" w:hAnsi="黑体" w:eastAsia="黑体" w:cs="黑体"/>
          <w:color w:val="auto"/>
          <w:kern w:val="0"/>
          <w:sz w:val="22"/>
          <w:szCs w:val="22"/>
          <w:highlight w:val="none"/>
          <w:lang w:val="en-US" w:eastAsia="zh-CN"/>
        </w:rPr>
        <w:t>日历天完成验收并交付使用</w:t>
      </w:r>
      <w:r>
        <w:rPr>
          <w:rFonts w:hint="eastAsia" w:ascii="黑体" w:hAnsi="黑体" w:eastAsia="黑体" w:cs="黑体"/>
          <w:b w:val="0"/>
          <w:bCs w:val="0"/>
          <w:color w:val="auto"/>
          <w:kern w:val="2"/>
          <w:sz w:val="22"/>
          <w:szCs w:val="22"/>
          <w:highlight w:val="none"/>
          <w:lang w:val="en-US" w:eastAsia="zh-CN" w:bidi="ar-SA"/>
        </w:rPr>
        <w:t>；</w:t>
      </w:r>
    </w:p>
    <w:p w14:paraId="2B756C4D">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0"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2、质量标准：符合现行国家有关工程施工验收规范的合格标准；</w:t>
      </w:r>
    </w:p>
    <w:p w14:paraId="69057B67">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0"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3、保修要求：自实际交工日期起2年，保修期间进场维修，保证无偿修理完好。否则，由采购人安排维修，维修费在质保金中双倍扣除；</w:t>
      </w:r>
    </w:p>
    <w:p w14:paraId="27218C29">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0"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4、缺陷责任期：自实际交工日期起1年；</w:t>
      </w:r>
    </w:p>
    <w:p w14:paraId="5A29341E">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0"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5、质保金：合同金额的3%；</w:t>
      </w:r>
    </w:p>
    <w:p w14:paraId="0082BB2C">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firstLine="221" w:firstLineChars="100"/>
        <w:jc w:val="both"/>
        <w:textAlignment w:val="auto"/>
        <w:rPr>
          <w:rFonts w:hint="eastAsia" w:ascii="黑体" w:hAnsi="黑体" w:eastAsia="黑体" w:cs="黑体"/>
          <w:b/>
          <w:bCs/>
          <w:color w:val="auto"/>
          <w:kern w:val="2"/>
          <w:sz w:val="22"/>
          <w:szCs w:val="22"/>
          <w:highlight w:val="none"/>
          <w:lang w:val="en-US" w:eastAsia="zh-CN" w:bidi="ar-SA"/>
        </w:rPr>
      </w:pPr>
      <w:r>
        <w:rPr>
          <w:rFonts w:hint="eastAsia" w:ascii="黑体" w:hAnsi="黑体" w:eastAsia="黑体" w:cs="黑体"/>
          <w:b/>
          <w:bCs/>
          <w:color w:val="auto"/>
          <w:kern w:val="2"/>
          <w:sz w:val="22"/>
          <w:szCs w:val="22"/>
          <w:highlight w:val="none"/>
          <w:lang w:val="en-US" w:eastAsia="zh-CN" w:bidi="ar-SA"/>
        </w:rPr>
        <w:t>五、施工要求</w:t>
      </w:r>
    </w:p>
    <w:p w14:paraId="2A488F65">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0"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 xml:space="preserve">1、建筑材料运输、保管及保险 </w:t>
      </w:r>
    </w:p>
    <w:p w14:paraId="0291CE24">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1.1 成交供应商负责建筑材料到施工地点的全部运输，包括装卸及现场搬运等；</w:t>
      </w:r>
    </w:p>
    <w:p w14:paraId="32358D42">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480" w:leftChars="240" w:firstLine="0" w:firstLineChars="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 xml:space="preserve">1.2 成交供应商负责建筑材料在施工地点的保管，直至项目验收合格； </w:t>
      </w:r>
    </w:p>
    <w:p w14:paraId="2126B5DE">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480" w:leftChars="240" w:firstLine="0" w:firstLineChars="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1.3 成交供应商负责其派出的施工人员的人身意外保险。</w:t>
      </w:r>
    </w:p>
    <w:p w14:paraId="4776904D">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Chars="0" w:firstLine="220" w:firstLineChars="1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 xml:space="preserve">  2、施工组织</w:t>
      </w:r>
    </w:p>
    <w:p w14:paraId="66C5319C">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2.1 施工项目部关键岗位人员（包括采购文件中已拟任的）工项目部关键岗位人员待成交后按照湘建建〔2020〕208 号文件要求配备，在签订合同前向采购人提供完整施工项目部关键岗位名单。项目部关键岗位人员安排应按照湘建建〔2020〕208 号文件要求配备的最低要求，确保持证上岗且无其他在建项目。</w:t>
      </w:r>
    </w:p>
    <w:p w14:paraId="41C5F9BA">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2.2成交供应商须加强施工的组织管理，所有施工人员须遵守文明安全施工的有关规章制度持证上岗。 施工期间，应接受采购人或采购委托的监理单位的监督管理，遵守有关规定；</w:t>
      </w:r>
    </w:p>
    <w:p w14:paraId="3865B5B7">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2.3 成交供应商应保证项目团队稳定，没有经采购人同意不得随意调换关键岗位人员。签订合同前要求调换响应文件中拟定关键岗位人员的，采购人有权不予签订采购合同，并由成交人承担由此产生的一切损失；</w:t>
      </w:r>
    </w:p>
    <w:p w14:paraId="299BCCE4">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2.4 项目实施具体地点和范围及相关资料由采购人提供和确认。</w:t>
      </w:r>
    </w:p>
    <w:p w14:paraId="02737CC7">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3、施工验收</w:t>
      </w:r>
    </w:p>
    <w:p w14:paraId="03717AB4">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所有工程完工后，采购人将组织验收小组(由相关职能部门组成)根据本项目竞争性磋商文件及供应商响应文件进行项目审核验收事宜。</w:t>
      </w:r>
    </w:p>
    <w:p w14:paraId="66E228E9">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4、成交供应商在施工前的准备、施工过程中、施工完毕验收全过程中应积极配合采购人完成工程相关工作。</w:t>
      </w:r>
    </w:p>
    <w:p w14:paraId="1FCD7FD0">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left="0" w:leftChars="0"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5、未尽事宜以国家、省、本地、行业规定为准。</w:t>
      </w:r>
    </w:p>
    <w:p w14:paraId="53633DB1">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firstLine="221" w:firstLineChars="100"/>
        <w:jc w:val="both"/>
        <w:textAlignment w:val="auto"/>
        <w:rPr>
          <w:rFonts w:hint="eastAsia" w:ascii="黑体" w:hAnsi="黑体" w:eastAsia="黑体" w:cs="黑体"/>
          <w:b/>
          <w:bCs/>
          <w:color w:val="auto"/>
          <w:kern w:val="2"/>
          <w:sz w:val="22"/>
          <w:szCs w:val="22"/>
          <w:highlight w:val="none"/>
          <w:lang w:val="en-US" w:eastAsia="zh-CN" w:bidi="ar-SA"/>
        </w:rPr>
      </w:pPr>
      <w:r>
        <w:rPr>
          <w:rFonts w:hint="eastAsia" w:ascii="黑体" w:hAnsi="黑体" w:eastAsia="黑体" w:cs="黑体"/>
          <w:b/>
          <w:bCs/>
          <w:color w:val="auto"/>
          <w:kern w:val="2"/>
          <w:sz w:val="22"/>
          <w:szCs w:val="22"/>
          <w:highlight w:val="none"/>
          <w:lang w:val="en-US" w:eastAsia="zh-CN" w:bidi="ar-SA"/>
        </w:rPr>
        <w:t>六、其他</w:t>
      </w:r>
    </w:p>
    <w:p w14:paraId="05431709">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1、支付方式：按合同约定</w:t>
      </w:r>
    </w:p>
    <w:p w14:paraId="3E1350FA">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2、成交供商签订合同时由法人代表或授权项目经理携带营业执照副本、行政主管部门颁发的资质证书、有效安全生产许可证、施工项目部关键岗位人员证书原件与采购人签订合同，如不上述要求提供原件，采购人有权拒绝与其签订合同。</w:t>
      </w:r>
    </w:p>
    <w:p w14:paraId="3F134FCD">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exact"/>
        <w:ind w:firstLine="440" w:firstLineChars="200"/>
        <w:jc w:val="both"/>
        <w:textAlignment w:val="auto"/>
        <w:rPr>
          <w:rFonts w:hint="eastAsia" w:ascii="黑体" w:hAnsi="黑体" w:eastAsia="黑体" w:cs="黑体"/>
          <w:b w:val="0"/>
          <w:bCs w:val="0"/>
          <w:color w:val="auto"/>
          <w:kern w:val="2"/>
          <w:sz w:val="22"/>
          <w:szCs w:val="22"/>
          <w:highlight w:val="none"/>
          <w:lang w:val="en-US" w:eastAsia="zh-CN" w:bidi="ar-SA"/>
        </w:rPr>
      </w:pPr>
      <w:r>
        <w:rPr>
          <w:rFonts w:hint="eastAsia" w:ascii="黑体" w:hAnsi="黑体" w:eastAsia="黑体" w:cs="黑体"/>
          <w:b w:val="0"/>
          <w:bCs w:val="0"/>
          <w:color w:val="auto"/>
          <w:kern w:val="2"/>
          <w:sz w:val="22"/>
          <w:szCs w:val="22"/>
          <w:highlight w:val="none"/>
          <w:lang w:val="en-US" w:eastAsia="zh-CN" w:bidi="ar-SA"/>
        </w:rPr>
        <w:t>3、其他未尽事宜，由采购人与成交供应商双方协商在合同中约定。</w:t>
      </w:r>
    </w:p>
    <w:p w14:paraId="311D42AE">
      <w:bookmarkStart w:id="0" w:name="_GoBack"/>
      <w:bookmarkEnd w:id="0"/>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AA56E2"/>
    <w:rsid w:val="0E326F92"/>
    <w:rsid w:val="1B6F2B0E"/>
    <w:rsid w:val="743C3D8D"/>
    <w:rsid w:val="7AAA56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val="0"/>
      <w:autoSpaceDE w:val="0"/>
      <w:autoSpaceDN w:val="0"/>
      <w:jc w:val="both"/>
    </w:pPr>
    <w:rPr>
      <w:rFonts w:ascii="楷体" w:hAnsi="Times New Roman" w:eastAsia="宋体" w:cs="Times New Roman"/>
      <w:kern w:val="2"/>
      <w:szCs w:val="24"/>
      <w:lang w:val="en-US" w:eastAsia="ko-KR" w:bidi="ar-SA"/>
    </w:rPr>
  </w:style>
  <w:style w:type="paragraph" w:styleId="2">
    <w:name w:val="heading 1"/>
    <w:next w:val="1"/>
    <w:qFormat/>
    <w:uiPriority w:val="0"/>
    <w:pPr>
      <w:keepNext/>
      <w:keepLines/>
      <w:widowControl w:val="0"/>
      <w:wordWrap w:val="0"/>
      <w:autoSpaceDE/>
      <w:autoSpaceDN/>
      <w:spacing w:beforeLines="0" w:afterLines="0" w:line="500" w:lineRule="exact"/>
      <w:jc w:val="center"/>
      <w:outlineLvl w:val="0"/>
    </w:pPr>
    <w:rPr>
      <w:rFonts w:ascii="楷体" w:hAnsi="楷体" w:eastAsia="黑体" w:cs="Times New Roman"/>
      <w:b/>
      <w:bCs/>
      <w:kern w:val="44"/>
      <w:sz w:val="32"/>
      <w:szCs w:val="44"/>
      <w:lang w:val="en-US" w:eastAsia="ko-KR"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正文1"/>
    <w:qFormat/>
    <w:uiPriority w:val="99"/>
    <w:pPr>
      <w:widowControl/>
      <w:wordWrap w:val="0"/>
      <w:autoSpaceDE w:val="0"/>
      <w:autoSpaceDN w:val="0"/>
      <w:spacing w:before="120" w:after="120"/>
      <w:jc w:val="left"/>
    </w:pPr>
    <w:rPr>
      <w:rFonts w:ascii="Arial" w:hAnsi="Arial" w:eastAsia="宋体" w:cs="Arial"/>
      <w:kern w:val="0"/>
      <w:sz w:val="24"/>
      <w:szCs w:val="24"/>
      <w:lang w:val="en-US" w:eastAsia="ko-KR" w:bidi="ar-SA"/>
    </w:rPr>
  </w:style>
  <w:style w:type="paragraph" w:customStyle="1" w:styleId="6">
    <w:name w:val="列出段落1"/>
    <w:qFormat/>
    <w:uiPriority w:val="99"/>
    <w:pPr>
      <w:widowControl/>
      <w:wordWrap w:val="0"/>
      <w:autoSpaceDE w:val="0"/>
      <w:autoSpaceDN w:val="0"/>
      <w:spacing w:line="300" w:lineRule="auto"/>
      <w:ind w:firstLine="420" w:firstLineChars="200"/>
      <w:jc w:val="both"/>
    </w:pPr>
    <w:rPr>
      <w:rFonts w:ascii="Arial" w:hAnsi="Arial" w:eastAsia="宋体" w:cs="Times New Roman"/>
      <w:kern w:val="0"/>
      <w:sz w:val="18"/>
      <w:szCs w:val="24"/>
      <w:lang w:val="en-US" w:eastAsia="ko-KR" w:bidi="ar-SA"/>
    </w:rPr>
  </w:style>
  <w:style w:type="character" w:customStyle="1" w:styleId="7">
    <w:name w:val="NormalCharacter"/>
    <w:semiHidden/>
    <w:qFormat/>
    <w:uiPriority w:val="0"/>
    <w:rPr>
      <w:rFonts w:ascii="楷体"/>
      <w:kern w:val="2"/>
      <w:szCs w:val="24"/>
      <w:lang w:val="en-US" w:eastAsia="ko-KR"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2026-09-29T07:51:00Z</dcterms:created>
  <dc:creator>sunny</dc:creator>
  <cp:lastModifiedBy>sunny</cp:lastModifiedBy>
  <dcterms:modified xsi:type="dcterms:W3CDTF">2026-09-29T07:51:51Z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AA85E49971C1448C83A8C5AEA17B8FCB_11</vt:lpwstr>
  </property>
  <property fmtid="{D5CDD505-2E9C-101B-9397-08002B2CF9AE}" pid="4" name="KSOTemplateDocerSaveRecord">
    <vt:lpwstr>eyJoZGlkIjoiMWMxYTBmM2ExNDA5MTI5NmEwNjA4YTk5MmRmY2Y2MzgiLCJ1c2VySWQiOiI1Nzg2NDQ2NDEifQ==</vt:lpwstr>
  </property>
</Properties>
</file>