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F988B8">
      <w:pPr>
        <w:kinsoku w:val="0"/>
        <w:autoSpaceDE w:val="0"/>
        <w:autoSpaceDN w:val="0"/>
        <w:adjustRightInd w:val="0"/>
        <w:snapToGrid w:val="0"/>
        <w:spacing w:before="302" w:line="228" w:lineRule="auto"/>
        <w:ind w:left="3539"/>
        <w:jc w:val="left"/>
        <w:textAlignment w:val="baseline"/>
        <w:outlineLvl w:val="0"/>
        <w:rPr>
          <w:rFonts w:ascii="仿宋" w:hAnsi="仿宋" w:eastAsia="仿宋" w:cs="仿宋"/>
          <w:snapToGrid w:val="0"/>
          <w:color w:val="000000"/>
          <w:kern w:val="0"/>
          <w:sz w:val="31"/>
          <w:szCs w:val="31"/>
          <w:lang w:val="en-US" w:eastAsia="en-US" w:bidi="ar-SA"/>
        </w:rPr>
      </w:pPr>
      <w:r>
        <w:rPr>
          <w:rFonts w:ascii="仿宋" w:hAnsi="仿宋" w:eastAsia="仿宋" w:cs="仿宋"/>
          <w:b/>
          <w:bCs/>
          <w:snapToGrid w:val="0"/>
          <w:color w:val="000000"/>
          <w:spacing w:val="-1"/>
          <w:kern w:val="0"/>
          <w:sz w:val="31"/>
          <w:szCs w:val="31"/>
          <w:lang w:val="en-US" w:eastAsia="en-US" w:bidi="ar-SA"/>
        </w:rPr>
        <w:t>采购需求</w:t>
      </w:r>
    </w:p>
    <w:p w14:paraId="0B45E1DF">
      <w:pPr>
        <w:kinsoku w:val="0"/>
        <w:autoSpaceDE w:val="0"/>
        <w:autoSpaceDN w:val="0"/>
        <w:adjustRightInd w:val="0"/>
        <w:snapToGrid w:val="0"/>
        <w:spacing w:before="230" w:line="222" w:lineRule="auto"/>
        <w:ind w:left="3264"/>
        <w:jc w:val="left"/>
        <w:textAlignment w:val="baseline"/>
        <w:outlineLvl w:val="1"/>
        <w:rPr>
          <w:rFonts w:ascii="仿宋" w:hAnsi="仿宋" w:eastAsia="仿宋" w:cs="仿宋"/>
          <w:snapToGrid w:val="0"/>
          <w:color w:val="000000"/>
          <w:kern w:val="0"/>
          <w:sz w:val="28"/>
          <w:szCs w:val="28"/>
          <w:lang w:val="en-US" w:eastAsia="en-US" w:bidi="ar-SA"/>
        </w:rPr>
      </w:pPr>
      <w:bookmarkStart w:id="0" w:name="bookmark97"/>
      <w:bookmarkEnd w:id="0"/>
      <w:bookmarkStart w:id="1" w:name="_Toc15046"/>
      <w:r>
        <w:rPr>
          <w:rFonts w:ascii="仿宋" w:hAnsi="仿宋" w:eastAsia="仿宋" w:cs="仿宋"/>
          <w:b/>
          <w:bCs/>
          <w:snapToGrid w:val="0"/>
          <w:color w:val="000000"/>
          <w:spacing w:val="-5"/>
          <w:kern w:val="0"/>
          <w:sz w:val="28"/>
          <w:szCs w:val="28"/>
          <w:lang w:val="en-US" w:eastAsia="en-US" w:bidi="ar-SA"/>
        </w:rPr>
        <w:t>第一节</w:t>
      </w:r>
      <w:r>
        <w:rPr>
          <w:rFonts w:ascii="仿宋" w:hAnsi="仿宋" w:eastAsia="仿宋" w:cs="仿宋"/>
          <w:snapToGrid w:val="0"/>
          <w:color w:val="000000"/>
          <w:spacing w:val="-5"/>
          <w:kern w:val="0"/>
          <w:sz w:val="28"/>
          <w:szCs w:val="28"/>
          <w:lang w:val="en-US" w:eastAsia="en-US" w:bidi="ar-SA"/>
        </w:rPr>
        <w:t xml:space="preserve"> </w:t>
      </w:r>
      <w:r>
        <w:rPr>
          <w:rFonts w:ascii="仿宋" w:hAnsi="仿宋" w:eastAsia="仿宋" w:cs="仿宋"/>
          <w:b/>
          <w:bCs/>
          <w:snapToGrid w:val="0"/>
          <w:color w:val="000000"/>
          <w:spacing w:val="-5"/>
          <w:kern w:val="0"/>
          <w:sz w:val="28"/>
          <w:szCs w:val="28"/>
          <w:lang w:val="en-US" w:eastAsia="en-US" w:bidi="ar-SA"/>
        </w:rPr>
        <w:t>采购清单一览表</w:t>
      </w:r>
      <w:bookmarkEnd w:id="1"/>
    </w:p>
    <w:p w14:paraId="3851E04A">
      <w:pPr>
        <w:widowControl/>
        <w:kinsoku w:val="0"/>
        <w:autoSpaceDE w:val="0"/>
        <w:autoSpaceDN w:val="0"/>
        <w:adjustRightInd w:val="0"/>
        <w:snapToGrid w:val="0"/>
        <w:spacing w:before="11" w:line="240" w:lineRule="auto"/>
        <w:jc w:val="left"/>
        <w:textAlignment w:val="baseline"/>
        <w:rPr>
          <w:rFonts w:ascii="Arial" w:hAnsi="Arial" w:eastAsia="Arial" w:cs="Arial"/>
          <w:snapToGrid w:val="0"/>
          <w:color w:val="000000"/>
          <w:kern w:val="0"/>
          <w:szCs w:val="21"/>
          <w:lang w:eastAsia="en-US"/>
        </w:rPr>
      </w:pPr>
    </w:p>
    <w:tbl>
      <w:tblPr>
        <w:tblStyle w:val="7"/>
        <w:tblW w:w="97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0"/>
        <w:gridCol w:w="1131"/>
        <w:gridCol w:w="6736"/>
        <w:gridCol w:w="489"/>
        <w:gridCol w:w="613"/>
      </w:tblGrid>
      <w:tr w14:paraId="6923F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118B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snapToGrid/>
                <w:color w:val="000000"/>
                <w:kern w:val="2"/>
                <w:sz w:val="24"/>
                <w:szCs w:val="24"/>
                <w:u w:val="none"/>
                <w:lang w:eastAsia="zh-CN"/>
              </w:rPr>
            </w:pPr>
            <w:r>
              <w:rPr>
                <w:rFonts w:hint="eastAsia" w:ascii="仿宋" w:hAnsi="仿宋" w:eastAsia="仿宋" w:cs="仿宋"/>
                <w:b/>
                <w:bCs/>
                <w:i w:val="0"/>
                <w:iCs w:val="0"/>
                <w:snapToGrid/>
                <w:color w:val="000000"/>
                <w:kern w:val="0"/>
                <w:sz w:val="24"/>
                <w:szCs w:val="24"/>
                <w:u w:val="none"/>
                <w:lang w:val="en-US" w:eastAsia="zh-CN" w:bidi="ar"/>
              </w:rPr>
              <w:t>序号</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227D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snapToGrid/>
                <w:color w:val="000000"/>
                <w:kern w:val="2"/>
                <w:sz w:val="24"/>
                <w:szCs w:val="24"/>
                <w:u w:val="none"/>
                <w:lang w:eastAsia="zh-CN"/>
              </w:rPr>
            </w:pPr>
            <w:r>
              <w:rPr>
                <w:rFonts w:hint="eastAsia" w:ascii="仿宋" w:hAnsi="仿宋" w:eastAsia="仿宋" w:cs="仿宋"/>
                <w:b/>
                <w:bCs/>
                <w:i w:val="0"/>
                <w:iCs w:val="0"/>
                <w:snapToGrid/>
                <w:color w:val="000000"/>
                <w:kern w:val="0"/>
                <w:sz w:val="24"/>
                <w:szCs w:val="24"/>
                <w:u w:val="none"/>
                <w:lang w:val="en-US" w:eastAsia="zh-CN" w:bidi="ar"/>
              </w:rPr>
              <w:t>名称</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1C29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snapToGrid/>
                <w:color w:val="000000"/>
                <w:kern w:val="2"/>
                <w:sz w:val="24"/>
                <w:szCs w:val="24"/>
                <w:u w:val="none"/>
                <w:lang w:eastAsia="zh-CN"/>
              </w:rPr>
            </w:pPr>
            <w:r>
              <w:rPr>
                <w:rFonts w:hint="eastAsia" w:ascii="仿宋" w:hAnsi="仿宋" w:eastAsia="仿宋" w:cs="仿宋"/>
                <w:b/>
                <w:bCs/>
                <w:i w:val="0"/>
                <w:iCs w:val="0"/>
                <w:snapToGrid/>
                <w:color w:val="000000"/>
                <w:kern w:val="0"/>
                <w:sz w:val="24"/>
                <w:szCs w:val="24"/>
                <w:u w:val="none"/>
                <w:lang w:val="en-US" w:eastAsia="zh-CN" w:bidi="ar"/>
              </w:rPr>
              <w:t>参数</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1E72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snapToGrid/>
                <w:color w:val="000000"/>
                <w:kern w:val="2"/>
                <w:sz w:val="24"/>
                <w:szCs w:val="24"/>
                <w:u w:val="none"/>
                <w:lang w:eastAsia="zh-CN"/>
              </w:rPr>
            </w:pPr>
            <w:r>
              <w:rPr>
                <w:rFonts w:hint="eastAsia" w:ascii="仿宋" w:hAnsi="仿宋" w:eastAsia="仿宋" w:cs="仿宋"/>
                <w:b/>
                <w:bCs/>
                <w:i w:val="0"/>
                <w:iCs w:val="0"/>
                <w:snapToGrid/>
                <w:color w:val="000000"/>
                <w:kern w:val="0"/>
                <w:sz w:val="24"/>
                <w:szCs w:val="24"/>
                <w:u w:val="none"/>
                <w:lang w:val="en-US" w:eastAsia="zh-CN" w:bidi="ar"/>
              </w:rPr>
              <w:t>单位</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651F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snapToGrid/>
                <w:color w:val="000000"/>
                <w:kern w:val="2"/>
                <w:sz w:val="24"/>
                <w:szCs w:val="24"/>
                <w:u w:val="none"/>
                <w:lang w:eastAsia="zh-CN"/>
              </w:rPr>
            </w:pPr>
            <w:r>
              <w:rPr>
                <w:rFonts w:hint="eastAsia" w:ascii="仿宋" w:hAnsi="仿宋" w:eastAsia="仿宋" w:cs="仿宋"/>
                <w:b/>
                <w:bCs/>
                <w:i w:val="0"/>
                <w:iCs w:val="0"/>
                <w:snapToGrid/>
                <w:color w:val="000000"/>
                <w:kern w:val="0"/>
                <w:sz w:val="24"/>
                <w:szCs w:val="24"/>
                <w:u w:val="none"/>
                <w:lang w:val="en-US" w:eastAsia="zh-CN" w:bidi="ar"/>
              </w:rPr>
              <w:t>数量</w:t>
            </w:r>
          </w:p>
        </w:tc>
      </w:tr>
      <w:tr w14:paraId="0EEF9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7ABFE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b/>
                <w:bCs/>
                <w:i w:val="0"/>
                <w:iCs w:val="0"/>
                <w:snapToGrid/>
                <w:color w:val="000000"/>
                <w:kern w:val="2"/>
                <w:sz w:val="24"/>
                <w:szCs w:val="24"/>
                <w:u w:val="none"/>
                <w:lang w:eastAsia="zh-CN"/>
              </w:rPr>
            </w:pPr>
            <w:r>
              <w:rPr>
                <w:rFonts w:hint="eastAsia" w:ascii="仿宋" w:hAnsi="仿宋" w:eastAsia="仿宋" w:cs="仿宋"/>
                <w:b/>
                <w:bCs/>
                <w:i w:val="0"/>
                <w:iCs w:val="0"/>
                <w:snapToGrid/>
                <w:color w:val="000000"/>
                <w:kern w:val="0"/>
                <w:sz w:val="24"/>
                <w:szCs w:val="24"/>
                <w:u w:val="none"/>
                <w:lang w:val="en-US" w:eastAsia="zh-CN" w:bidi="ar"/>
              </w:rPr>
              <w:t>一、教室高清广角监控设备</w:t>
            </w:r>
          </w:p>
        </w:tc>
      </w:tr>
      <w:tr w14:paraId="78B7B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5"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8359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1791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高清广角监控摄像头</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top"/>
          </w:tcPr>
          <w:p w14:paraId="7BBF30B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1、教室广角监控摄像机，≥400W像素，支持输出图像分辨率不低于2560 × 1440。</w:t>
            </w:r>
          </w:p>
          <w:p w14:paraId="358379A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2、最低照度彩色0.005lx。焦距&amp;视场角：2.7~8 mm：水平视场角：110°~56°，垂直视场角：58.2°~31.4°，对角视场角：132°~64.5°</w:t>
            </w:r>
          </w:p>
          <w:p w14:paraId="1A6AF4B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3、夜间开启红外补光灯可识别距摄像机30m处人体轮廓</w:t>
            </w:r>
          </w:p>
          <w:p w14:paraId="56D73AD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4、具备区域入侵、越界、进入区域、离开区域、人员聚集、快速移动、徘徊、物品移除、物品遗留、停车智能分析功能，当以上智能分析行为达到设定的阈值时，可通过客户端软件或IE浏览器给出报警提示</w:t>
            </w:r>
          </w:p>
          <w:p w14:paraId="36C9035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5、同一场景相同图像质量下设备在H.264或H265编码方式时，开启智能编码功能和不开启智能编码相比，码率节约50%。</w:t>
            </w:r>
          </w:p>
          <w:p w14:paraId="7EDDB16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6、回放录像文件时，应能听清录像文件中距样机 10m处声级不小于 70dB(A)（距声源 1m处声级）的声音。</w:t>
            </w:r>
          </w:p>
          <w:p w14:paraId="15B2FDD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7、通过IE 浏览器控制镜头的 Zoom和 Focus，并支持自动聚焦功能，变焦过程不会完全虚焦。</w:t>
            </w:r>
          </w:p>
          <w:p w14:paraId="325A3AF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8、内置1个麦克风，具有1个RJ45网络接口，1个音频输入接口、1个音频输出接口、1个报警输入接口、1个报警输出接口。DC12V供电。</w:t>
            </w:r>
          </w:p>
          <w:p w14:paraId="723B187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9、支持IP66防尘防水。</w:t>
            </w:r>
          </w:p>
          <w:p w14:paraId="10532CC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10、支持IK10机械碰撞防护等级。</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CE36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台</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1C83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100</w:t>
            </w:r>
          </w:p>
        </w:tc>
      </w:tr>
      <w:tr w14:paraId="5E4C8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3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D22F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2</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0EA2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外置拾音器</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top"/>
          </w:tcPr>
          <w:p w14:paraId="38FF3CB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1、拾音器的频率响应曲线在200Hz~10kHz范围内的变动应在±10dB范围内。</w:t>
            </w:r>
          </w:p>
          <w:p w14:paraId="4347D9E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2、拾音器参考点承受声压级为84dB、频率为1kHz的正弦信号时，拾音器输出电压的总谐波失真应不大于3%。</w:t>
            </w:r>
          </w:p>
          <w:p w14:paraId="7AA2D8A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3、支持DC12V供电，在以DC9V~DC18V供电时，拾音器应能正常工作。</w:t>
            </w:r>
          </w:p>
          <w:p w14:paraId="57B9BD8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4、拾音器应能在-30~70摄氏度环境下稳定工作。</w:t>
            </w:r>
          </w:p>
          <w:p w14:paraId="040F14C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5、拾音范围：不小于70平方米。</w:t>
            </w:r>
          </w:p>
          <w:p w14:paraId="1DC5E9F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5、不低于IP66防尘防水等级。</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7C61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个</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BA29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100</w:t>
            </w:r>
          </w:p>
        </w:tc>
      </w:tr>
      <w:tr w14:paraId="7DAA7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7"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B0FE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3</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21CE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摄像机电源</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6071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1、DC12V电源适配器。</w:t>
            </w:r>
          </w:p>
          <w:p w14:paraId="1B0EC03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2、颜色: 黑色。</w:t>
            </w:r>
          </w:p>
          <w:p w14:paraId="5D8937D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3、安装方式: 壁挂式。</w:t>
            </w:r>
          </w:p>
          <w:p w14:paraId="79AD976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4、输入规格: AC176V~260V，50Hz，0.8A。</w:t>
            </w:r>
          </w:p>
          <w:p w14:paraId="0E3993B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5、输出规格: 额定：DC12V/1.5A；最大：DC12V/2.0A。</w:t>
            </w:r>
          </w:p>
          <w:p w14:paraId="3795F03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6、输入效率≥85.00%。</w:t>
            </w:r>
          </w:p>
          <w:p w14:paraId="4929FC5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7、负载调整率: ±5%。</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CD42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个</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2A63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100</w:t>
            </w:r>
          </w:p>
        </w:tc>
      </w:tr>
      <w:tr w14:paraId="2277F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C257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4</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CFEF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摄像机支架</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3D39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壁装支架/φ120mm转接帽/铝/白色喷塑。</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42B9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个</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AA24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100</w:t>
            </w:r>
          </w:p>
        </w:tc>
      </w:tr>
      <w:tr w14:paraId="2F6AF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45"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6CA5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5</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18E2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万兆汇聚交换机</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FFBE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 xml:space="preserve">1、固化10/100/1000M以太网端口≥24，1G/10G SFP+光接口≥4 </w:t>
            </w:r>
          </w:p>
          <w:p w14:paraId="2EB71F5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2、交换容量≥670Gbps，包转发率≥170Mpps；</w:t>
            </w:r>
          </w:p>
          <w:p w14:paraId="79A0852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3、IPv4/IPv6静态路由、支持RIP、RIPng、OSPF、OSPFv3协议</w:t>
            </w:r>
          </w:p>
          <w:p w14:paraId="34C66A6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4、支持CPU保护功能，能限制非法报文对CPU的攻击，保护交换机在各种环境下稳定工作；</w:t>
            </w:r>
          </w:p>
          <w:p w14:paraId="66317AD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 xml:space="preserve">5、支持专门基础网络保护机制，能够限制用户向网络中发送数据包的速率，对有攻击行为的用户进行隔离 </w:t>
            </w:r>
          </w:p>
          <w:p w14:paraId="0885370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6、支持快速检测链路的通断和光纤链路的单向性，并支持端口下的环路检测功能</w:t>
            </w:r>
          </w:p>
          <w:p w14:paraId="7BFA1E4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7、支持虚拟化功能，可将多台物理设备虚拟化为一台逻辑设备统一管理</w:t>
            </w:r>
          </w:p>
          <w:p w14:paraId="3A2E842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 xml:space="preserve"> 8、支持G.8032国际标准环网协议ERPS，切换时间≤200ms，可与其他支持该协议的产品兼容</w:t>
            </w:r>
          </w:p>
          <w:p w14:paraId="31D0CB0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9、支持SNMP、CLI(Telnet/Console)、RMON、SSH、Syslog、NTP/SNTP、FTP、TFTP、Web。</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6636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台</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60D7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10</w:t>
            </w:r>
          </w:p>
        </w:tc>
      </w:tr>
      <w:tr w14:paraId="6770A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15"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1E8C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6</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7FDA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光模块</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D021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1、千兆10公里单模双纤模块。</w:t>
            </w:r>
          </w:p>
          <w:p w14:paraId="18D6594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2、TX1310nm/1.25G。</w:t>
            </w:r>
          </w:p>
          <w:p w14:paraId="6651458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3、RX1310nm/1.25G。</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AA18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个</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CFD4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20</w:t>
            </w:r>
          </w:p>
        </w:tc>
      </w:tr>
      <w:tr w14:paraId="021A5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EB3A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7</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FB98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4芯光纤</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8171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4芯室外单模光纤。</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676C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米</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9F28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2500</w:t>
            </w:r>
          </w:p>
        </w:tc>
      </w:tr>
      <w:tr w14:paraId="58F95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F0FF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8</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23B1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4芯满配终端盒</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5307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满配SC口。</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0F8E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个</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DD6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5</w:t>
            </w:r>
          </w:p>
        </w:tc>
      </w:tr>
      <w:tr w14:paraId="7B2C5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AD2E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9</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205B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24芯满配光纤配线架</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04E4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满配SC口。</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4E24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个</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9DDB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w:t>
            </w:r>
          </w:p>
        </w:tc>
      </w:tr>
      <w:tr w14:paraId="7C0BB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3EA1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10</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EF99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弱电桥架</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53D0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snapToGrid/>
                <w:color w:val="000000"/>
                <w:kern w:val="2"/>
                <w:sz w:val="24"/>
                <w:szCs w:val="24"/>
                <w:u w:val="none"/>
                <w:lang w:val="en-US" w:eastAsia="zh-CN" w:bidi="ar"/>
              </w:rPr>
              <w:t>100*50 桥架；宽度 100 毫米、高度 50 毫米‌的电缆敷设槽盒，含安装配件等。</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85BC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米</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4495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1500</w:t>
            </w:r>
          </w:p>
        </w:tc>
      </w:tr>
      <w:tr w14:paraId="33C1A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7389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11</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306E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网线</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1104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1、6类室内非屏蔽双绞线</w:t>
            </w:r>
          </w:p>
          <w:p w14:paraId="126C884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2、6类网线,Cat6非屏蔽双绞线</w:t>
            </w:r>
          </w:p>
          <w:p w14:paraId="3A2C3AD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3、标准：符合ISO/IEC 11801、TIA-568-C.2、GB/T 18015.5要求,所用材料符合RoHS要求,性能指标优于现行6类线缆250MHz标准</w:t>
            </w:r>
          </w:p>
          <w:p w14:paraId="77F79C0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4、标准装箱长度:305m±1.5m；</w:t>
            </w:r>
          </w:p>
          <w:p w14:paraId="7012CBC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5、线缆结构：4对8芯双绞线,每对之间采用十字骨架隔离,每芯均有颜色区分,外皮印有厂商标识 及电缆编码，有撕裂绳。</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1CF1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米</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2379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6000</w:t>
            </w:r>
          </w:p>
        </w:tc>
      </w:tr>
      <w:tr w14:paraId="7FE06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DA65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12</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4238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主干电源线</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EB3ED">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RVV3*2.5  国标优质。每个楼栋到机房是单独一根主线。</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2876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米</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7178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2000</w:t>
            </w:r>
          </w:p>
        </w:tc>
      </w:tr>
      <w:tr w14:paraId="53EDE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2457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13</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9F1C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支干电源线</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F1824">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RVV2*1.5  国标优质</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152E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米</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DB1C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1500</w:t>
            </w:r>
          </w:p>
        </w:tc>
      </w:tr>
      <w:tr w14:paraId="67E28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179D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14</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8773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电源线</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5FDE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rvv2*1.0   国标优质。</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A437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米</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C82F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1000</w:t>
            </w:r>
          </w:p>
        </w:tc>
      </w:tr>
      <w:tr w14:paraId="752D5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992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15</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14B9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40PE管</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272F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40管。室外预埋。</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B156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米</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F1FF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4000</w:t>
            </w:r>
          </w:p>
        </w:tc>
      </w:tr>
      <w:tr w14:paraId="4CD65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AA3C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16</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0307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25PVC管</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4315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25PVC管，支干线路套管。</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75BD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米</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677F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3000</w:t>
            </w:r>
          </w:p>
        </w:tc>
      </w:tr>
      <w:tr w14:paraId="2B008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EA7F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17</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9DA6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PVC管</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5D2E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PVC16管，教室内分管。</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E202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米</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4282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2000</w:t>
            </w:r>
          </w:p>
        </w:tc>
      </w:tr>
      <w:tr w14:paraId="30CFB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9C65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18</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09A5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辅材</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64F6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胶布，管线接头，配线分线盒，管卡，轧带，光纤尾纤，水晶头等施工配套辅材。</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E37A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批</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82D5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w:t>
            </w:r>
          </w:p>
        </w:tc>
      </w:tr>
      <w:tr w14:paraId="2A3FC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253F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19</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3DCF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安装实施及其他辅材</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8E4A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教室内，每栋楼到机房线路整理，重新布线，</w:t>
            </w:r>
            <w:r>
              <w:rPr>
                <w:rFonts w:hint="eastAsia" w:ascii="仿宋" w:hAnsi="仿宋" w:eastAsia="仿宋" w:cs="仿宋"/>
                <w:i w:val="0"/>
                <w:iCs w:val="0"/>
                <w:snapToGrid/>
                <w:color w:val="000000"/>
                <w:kern w:val="0"/>
                <w:sz w:val="24"/>
                <w:szCs w:val="24"/>
                <w:u w:val="none"/>
                <w:lang w:val="en-US" w:eastAsia="zh-CN" w:bidi="ar"/>
              </w:rPr>
              <w:br w:type="textWrapping"/>
            </w:r>
            <w:r>
              <w:rPr>
                <w:rFonts w:hint="eastAsia" w:ascii="仿宋" w:hAnsi="仿宋" w:eastAsia="仿宋" w:cs="仿宋"/>
                <w:i w:val="0"/>
                <w:iCs w:val="0"/>
                <w:snapToGrid/>
                <w:color w:val="000000"/>
                <w:kern w:val="0"/>
                <w:sz w:val="24"/>
                <w:szCs w:val="24"/>
                <w:u w:val="none"/>
                <w:lang w:val="en-US" w:eastAsia="zh-CN" w:bidi="ar"/>
              </w:rPr>
              <w:t>室内室外安装布线</w:t>
            </w:r>
            <w:r>
              <w:rPr>
                <w:rFonts w:hint="eastAsia" w:ascii="仿宋" w:hAnsi="仿宋" w:eastAsia="仿宋" w:cs="仿宋"/>
                <w:i w:val="0"/>
                <w:iCs w:val="0"/>
                <w:snapToGrid/>
                <w:color w:val="000000"/>
                <w:kern w:val="0"/>
                <w:sz w:val="24"/>
                <w:szCs w:val="24"/>
                <w:u w:val="none"/>
                <w:lang w:val="en-US" w:eastAsia="zh-CN" w:bidi="ar"/>
              </w:rPr>
              <w:br w:type="textWrapping"/>
            </w:r>
            <w:r>
              <w:rPr>
                <w:rFonts w:hint="eastAsia" w:ascii="仿宋" w:hAnsi="仿宋" w:eastAsia="仿宋" w:cs="仿宋"/>
                <w:i w:val="0"/>
                <w:iCs w:val="0"/>
                <w:snapToGrid/>
                <w:color w:val="000000"/>
                <w:kern w:val="0"/>
                <w:sz w:val="24"/>
                <w:szCs w:val="24"/>
                <w:u w:val="none"/>
                <w:lang w:val="en-US" w:eastAsia="zh-CN" w:bidi="ar"/>
              </w:rPr>
              <w:t>弱电桥架安装实施服务</w:t>
            </w:r>
            <w:r>
              <w:rPr>
                <w:rFonts w:hint="eastAsia" w:ascii="仿宋" w:hAnsi="仿宋" w:eastAsia="仿宋" w:cs="仿宋"/>
                <w:i w:val="0"/>
                <w:iCs w:val="0"/>
                <w:snapToGrid/>
                <w:color w:val="000000"/>
                <w:kern w:val="0"/>
                <w:sz w:val="24"/>
                <w:szCs w:val="24"/>
                <w:u w:val="none"/>
                <w:lang w:val="en-US" w:eastAsia="zh-CN" w:bidi="ar"/>
              </w:rPr>
              <w:br w:type="textWrapping"/>
            </w:r>
            <w:r>
              <w:rPr>
                <w:rFonts w:hint="eastAsia" w:ascii="仿宋" w:hAnsi="仿宋" w:eastAsia="仿宋" w:cs="仿宋"/>
                <w:i w:val="0"/>
                <w:iCs w:val="0"/>
                <w:snapToGrid/>
                <w:color w:val="000000"/>
                <w:kern w:val="0"/>
                <w:sz w:val="24"/>
                <w:szCs w:val="24"/>
                <w:u w:val="none"/>
                <w:lang w:val="en-US" w:eastAsia="zh-CN" w:bidi="ar"/>
              </w:rPr>
              <w:t>含原有线路拆除。</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D85B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项</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0361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w:t>
            </w:r>
          </w:p>
        </w:tc>
      </w:tr>
      <w:tr w14:paraId="3D7A7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E0222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b/>
                <w:bCs/>
                <w:i w:val="0"/>
                <w:iCs w:val="0"/>
                <w:snapToGrid/>
                <w:color w:val="000000"/>
                <w:kern w:val="2"/>
                <w:sz w:val="24"/>
                <w:szCs w:val="24"/>
                <w:u w:val="none"/>
                <w:lang w:eastAsia="zh-CN"/>
              </w:rPr>
            </w:pPr>
            <w:r>
              <w:rPr>
                <w:rFonts w:hint="eastAsia" w:ascii="仿宋" w:hAnsi="仿宋" w:eastAsia="仿宋" w:cs="仿宋"/>
                <w:b/>
                <w:bCs/>
                <w:i w:val="0"/>
                <w:iCs w:val="0"/>
                <w:snapToGrid/>
                <w:color w:val="000000"/>
                <w:kern w:val="0"/>
                <w:sz w:val="24"/>
                <w:szCs w:val="24"/>
                <w:u w:val="none"/>
                <w:lang w:val="en-US" w:eastAsia="zh-CN" w:bidi="ar"/>
              </w:rPr>
              <w:t>二、监控中心设备</w:t>
            </w:r>
          </w:p>
        </w:tc>
      </w:tr>
      <w:tr w14:paraId="33B62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AA4C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20</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AB1F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监控管理服务器</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C8CC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1、双路标准机架式服务器</w:t>
            </w:r>
            <w:r>
              <w:rPr>
                <w:rFonts w:hint="eastAsia" w:ascii="仿宋" w:hAnsi="仿宋" w:eastAsia="仿宋" w:cs="仿宋"/>
                <w:i w:val="0"/>
                <w:iCs w:val="0"/>
                <w:snapToGrid/>
                <w:color w:val="000000"/>
                <w:kern w:val="0"/>
                <w:sz w:val="24"/>
                <w:szCs w:val="24"/>
                <w:u w:val="none"/>
                <w:lang w:val="en-US" w:eastAsia="zh-CN" w:bidi="ar"/>
              </w:rPr>
              <w:br w:type="textWrapping"/>
            </w:r>
            <w:r>
              <w:rPr>
                <w:rFonts w:hint="eastAsia" w:ascii="仿宋" w:hAnsi="仿宋" w:eastAsia="仿宋" w:cs="仿宋"/>
                <w:i w:val="0"/>
                <w:iCs w:val="0"/>
                <w:snapToGrid/>
                <w:color w:val="000000"/>
                <w:kern w:val="0"/>
                <w:sz w:val="24"/>
                <w:szCs w:val="24"/>
                <w:u w:val="none"/>
                <w:lang w:val="en-US" w:eastAsia="zh-CN" w:bidi="ar"/>
              </w:rPr>
              <w:t>2、CPU：配置2颗 C86架构HYGON处理器，单处理器物理核心数≥8核，主频≥3.0 GHz，末级缓存容量≥16 MB，线程数≥16线程，3、热设计功耗≥90 W，支持内存的最高速率≥3200 MHz，通道数≥2，位宽≥64；</w:t>
            </w:r>
            <w:r>
              <w:rPr>
                <w:rFonts w:hint="eastAsia" w:ascii="仿宋" w:hAnsi="仿宋" w:eastAsia="仿宋" w:cs="仿宋"/>
                <w:i w:val="0"/>
                <w:iCs w:val="0"/>
                <w:snapToGrid/>
                <w:color w:val="000000"/>
                <w:kern w:val="0"/>
                <w:sz w:val="24"/>
                <w:szCs w:val="24"/>
                <w:u w:val="none"/>
                <w:lang w:val="en-US" w:eastAsia="zh-CN" w:bidi="ar"/>
              </w:rPr>
              <w:br w:type="textWrapping"/>
            </w:r>
            <w:r>
              <w:rPr>
                <w:rFonts w:hint="eastAsia" w:ascii="仿宋" w:hAnsi="仿宋" w:eastAsia="仿宋" w:cs="仿宋"/>
                <w:i w:val="0"/>
                <w:iCs w:val="0"/>
                <w:snapToGrid/>
                <w:color w:val="000000"/>
                <w:kern w:val="0"/>
                <w:sz w:val="24"/>
                <w:szCs w:val="24"/>
                <w:u w:val="none"/>
                <w:lang w:val="en-US" w:eastAsia="zh-CN" w:bidi="ar"/>
              </w:rPr>
              <w:t>4、内存：配置64G DDR4，8根内存插槽，最大可支持扩展至1TB；</w:t>
            </w:r>
            <w:r>
              <w:rPr>
                <w:rFonts w:hint="eastAsia" w:ascii="仿宋" w:hAnsi="仿宋" w:eastAsia="仿宋" w:cs="仿宋"/>
                <w:i w:val="0"/>
                <w:iCs w:val="0"/>
                <w:snapToGrid/>
                <w:color w:val="000000"/>
                <w:kern w:val="0"/>
                <w:sz w:val="24"/>
                <w:szCs w:val="24"/>
                <w:u w:val="none"/>
                <w:lang w:val="en-US" w:eastAsia="zh-CN" w:bidi="ar"/>
              </w:rPr>
              <w:br w:type="textWrapping"/>
            </w:r>
            <w:r>
              <w:rPr>
                <w:rFonts w:hint="eastAsia" w:ascii="仿宋" w:hAnsi="仿宋" w:eastAsia="仿宋" w:cs="仿宋"/>
                <w:i w:val="0"/>
                <w:iCs w:val="0"/>
                <w:snapToGrid/>
                <w:color w:val="000000"/>
                <w:kern w:val="0"/>
                <w:sz w:val="24"/>
                <w:szCs w:val="24"/>
                <w:u w:val="none"/>
                <w:lang w:val="en-US" w:eastAsia="zh-CN" w:bidi="ar"/>
              </w:rPr>
              <w:t>6、硬盘：2块600G 10K SAS硬盘（Raid1），前置最大可选支持12块3.5寸(兼容2.5寸)热插拔SATA/SAS硬盘，后置最大可选支持2块2.5寸热插拔SATA/SAS硬盘，内置最大可选支持2块2.5寸非热插拔SATA SSD硬盘，板载最大可选支持1个SATA M.2硬盘</w:t>
            </w:r>
            <w:r>
              <w:rPr>
                <w:rFonts w:hint="eastAsia" w:ascii="仿宋" w:hAnsi="仿宋" w:eastAsia="仿宋" w:cs="仿宋"/>
                <w:i w:val="0"/>
                <w:iCs w:val="0"/>
                <w:snapToGrid/>
                <w:color w:val="000000"/>
                <w:kern w:val="0"/>
                <w:sz w:val="24"/>
                <w:szCs w:val="24"/>
                <w:u w:val="none"/>
                <w:lang w:val="en-US" w:eastAsia="zh-CN" w:bidi="ar"/>
              </w:rPr>
              <w:br w:type="textWrapping"/>
            </w:r>
            <w:r>
              <w:rPr>
                <w:rFonts w:hint="eastAsia" w:ascii="仿宋" w:hAnsi="仿宋" w:eastAsia="仿宋" w:cs="仿宋"/>
                <w:i w:val="0"/>
                <w:iCs w:val="0"/>
                <w:snapToGrid/>
                <w:color w:val="000000"/>
                <w:kern w:val="0"/>
                <w:sz w:val="24"/>
                <w:szCs w:val="24"/>
                <w:u w:val="none"/>
                <w:lang w:val="en-US" w:eastAsia="zh-CN" w:bidi="ar"/>
              </w:rPr>
              <w:t>6、阵列卡：配置SAS_HBA卡（支持RAID 0/1/10）</w:t>
            </w:r>
            <w:r>
              <w:rPr>
                <w:rFonts w:hint="eastAsia" w:ascii="仿宋" w:hAnsi="仿宋" w:eastAsia="仿宋" w:cs="仿宋"/>
                <w:i w:val="0"/>
                <w:iCs w:val="0"/>
                <w:snapToGrid/>
                <w:color w:val="000000"/>
                <w:kern w:val="0"/>
                <w:sz w:val="24"/>
                <w:szCs w:val="24"/>
                <w:u w:val="none"/>
                <w:lang w:val="en-US" w:eastAsia="zh-CN" w:bidi="ar"/>
              </w:rPr>
              <w:br w:type="textWrapping"/>
            </w:r>
            <w:r>
              <w:rPr>
                <w:rFonts w:hint="eastAsia" w:ascii="仿宋" w:hAnsi="仿宋" w:eastAsia="仿宋" w:cs="仿宋"/>
                <w:i w:val="0"/>
                <w:iCs w:val="0"/>
                <w:snapToGrid/>
                <w:color w:val="000000"/>
                <w:kern w:val="0"/>
                <w:sz w:val="24"/>
                <w:szCs w:val="24"/>
                <w:u w:val="none"/>
                <w:lang w:val="en-US" w:eastAsia="zh-CN" w:bidi="ar"/>
              </w:rPr>
              <w:t>7、PCIE扩展：最大支持4个标准PCIE插槽；</w:t>
            </w:r>
            <w:r>
              <w:rPr>
                <w:rFonts w:hint="eastAsia" w:ascii="仿宋" w:hAnsi="仿宋" w:eastAsia="仿宋" w:cs="仿宋"/>
                <w:i w:val="0"/>
                <w:iCs w:val="0"/>
                <w:snapToGrid/>
                <w:color w:val="000000"/>
                <w:kern w:val="0"/>
                <w:sz w:val="24"/>
                <w:szCs w:val="24"/>
                <w:u w:val="none"/>
                <w:lang w:val="en-US" w:eastAsia="zh-CN" w:bidi="ar"/>
              </w:rPr>
              <w:br w:type="textWrapping"/>
            </w:r>
            <w:r>
              <w:rPr>
                <w:rFonts w:hint="eastAsia" w:ascii="仿宋" w:hAnsi="仿宋" w:eastAsia="仿宋" w:cs="仿宋"/>
                <w:i w:val="0"/>
                <w:iCs w:val="0"/>
                <w:snapToGrid/>
                <w:color w:val="000000"/>
                <w:kern w:val="0"/>
                <w:sz w:val="24"/>
                <w:szCs w:val="24"/>
                <w:u w:val="none"/>
                <w:lang w:val="en-US" w:eastAsia="zh-CN" w:bidi="ar"/>
              </w:rPr>
              <w:t>8、网口：标配板载2个千兆电口和2个PCIE千兆电口，可选配置2个万兆网口，支持选配10GbE SFP+等多种网络接口</w:t>
            </w:r>
            <w:r>
              <w:rPr>
                <w:rFonts w:hint="eastAsia" w:ascii="仿宋" w:hAnsi="仿宋" w:eastAsia="仿宋" w:cs="仿宋"/>
                <w:i w:val="0"/>
                <w:iCs w:val="0"/>
                <w:snapToGrid/>
                <w:color w:val="000000"/>
                <w:kern w:val="0"/>
                <w:sz w:val="24"/>
                <w:szCs w:val="24"/>
                <w:u w:val="none"/>
                <w:lang w:val="en-US" w:eastAsia="zh-CN" w:bidi="ar"/>
              </w:rPr>
              <w:br w:type="textWrapping"/>
            </w:r>
            <w:r>
              <w:rPr>
                <w:rFonts w:hint="eastAsia" w:ascii="仿宋" w:hAnsi="仿宋" w:eastAsia="仿宋" w:cs="仿宋"/>
                <w:i w:val="0"/>
                <w:iCs w:val="0"/>
                <w:snapToGrid/>
                <w:color w:val="000000"/>
                <w:kern w:val="0"/>
                <w:sz w:val="24"/>
                <w:szCs w:val="24"/>
                <w:u w:val="none"/>
                <w:lang w:val="en-US" w:eastAsia="zh-CN" w:bidi="ar"/>
              </w:rPr>
              <w:t>9、其他接口：标配1个IPMI RJ-45管理接口，位于机箱后部；7个USB 3.0接口 4个位于机箱后部，2个位于机箱前部，1个位于机箱内部；2个VGA接口 1个位于机箱前部，1个位于机箱后部；</w:t>
            </w:r>
            <w:r>
              <w:rPr>
                <w:rFonts w:hint="eastAsia" w:ascii="仿宋" w:hAnsi="仿宋" w:eastAsia="仿宋" w:cs="仿宋"/>
                <w:i w:val="0"/>
                <w:iCs w:val="0"/>
                <w:snapToGrid/>
                <w:color w:val="000000"/>
                <w:kern w:val="0"/>
                <w:sz w:val="24"/>
                <w:szCs w:val="24"/>
                <w:u w:val="none"/>
                <w:lang w:val="en-US" w:eastAsia="zh-CN" w:bidi="ar"/>
              </w:rPr>
              <w:br w:type="textWrapping"/>
            </w:r>
            <w:r>
              <w:rPr>
                <w:rFonts w:hint="eastAsia" w:ascii="仿宋" w:hAnsi="仿宋" w:eastAsia="仿宋" w:cs="仿宋"/>
                <w:i w:val="0"/>
                <w:iCs w:val="0"/>
                <w:snapToGrid/>
                <w:color w:val="000000"/>
                <w:kern w:val="0"/>
                <w:sz w:val="24"/>
                <w:szCs w:val="24"/>
                <w:u w:val="none"/>
                <w:lang w:val="en-US" w:eastAsia="zh-CN" w:bidi="ar"/>
              </w:rPr>
              <w:t>10、电源：配置550W（1+1）高效铂金CRPS冗余电源</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621B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台</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0C4B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w:t>
            </w:r>
          </w:p>
        </w:tc>
      </w:tr>
      <w:tr w14:paraId="10745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6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D0DD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21</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7D63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基础模块</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1302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系统基础包，提供业务应用依赖的基础资源信息及基础服务能力，包括组织管理、区域管理、人员管理、车辆管理、用户管理、设备管理、低代码引擎、门户工作台、云眸与本地EDU融合等。</w:t>
            </w:r>
          </w:p>
          <w:p w14:paraId="6C91BD1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系统基础信息管理：</w:t>
            </w:r>
          </w:p>
          <w:p w14:paraId="633C3FE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系统基础信息管理提供了系统业务应用依赖的基础资源，包括安保用户管理、安保基础数据管理、安保区域管理、安保系统配置、物联设备管理，统一管理了组织、区域、人员、卡片、车辆和物联设备等资源，并提供人车、人卡的关联关系配置能力。</w:t>
            </w:r>
          </w:p>
          <w:p w14:paraId="4C0EEB3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一、组织资源管理</w:t>
            </w:r>
          </w:p>
          <w:p w14:paraId="3D71B14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1、支持组织基础信息的增删改查、导入、导出等功能；</w:t>
            </w:r>
          </w:p>
          <w:p w14:paraId="32E89F1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二、区域资源管理</w:t>
            </w:r>
          </w:p>
          <w:p w14:paraId="576E148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1、支持区域基础信息的增删改查、导入、导出等功能；</w:t>
            </w:r>
          </w:p>
          <w:p w14:paraId="3FF8DDF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三、人员信息管理</w:t>
            </w:r>
          </w:p>
          <w:p w14:paraId="4F8B8FA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1、支持人员信息的增删改查、导入、导出，包括人脸、指纹采集；</w:t>
            </w:r>
          </w:p>
          <w:p w14:paraId="58267A2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2、支持人员基础信息自定义扩展；</w:t>
            </w:r>
          </w:p>
          <w:p w14:paraId="4544DCC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四、卡片信息管理</w:t>
            </w:r>
          </w:p>
          <w:p w14:paraId="0335F99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1、支持卡片基本信息的增删改查、导入、导出；</w:t>
            </w:r>
          </w:p>
          <w:p w14:paraId="7430FE0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2、支持人员开卡、退卡、挂失、解挂、换卡及卡扇区加密；</w:t>
            </w:r>
          </w:p>
          <w:p w14:paraId="306E119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五、车辆信息管理</w:t>
            </w:r>
          </w:p>
          <w:p w14:paraId="077DF13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1、支持车辆基本信息的增删改查、导入、导出；</w:t>
            </w:r>
          </w:p>
          <w:p w14:paraId="517CB5B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六、设备信息管理</w:t>
            </w:r>
          </w:p>
          <w:p w14:paraId="1A6DC8B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1、提供设备统一接入管理，包括：视频设备、出入口设备、门禁设备、梯控设备、可视对讲设备、食堂消费设备、寻车诱导设备、卡口设备、车载设备、报警设备等。</w:t>
            </w:r>
          </w:p>
          <w:p w14:paraId="6414469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七、系统用户管理</w:t>
            </w:r>
          </w:p>
          <w:p w14:paraId="399113B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1、支持账户基本信息和角色信息的增删改查；</w:t>
            </w:r>
          </w:p>
          <w:p w14:paraId="0C650B6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2、支持配置不同角色权限，包括菜单权限、组织权限、区域权限、资源权限、功能控制权限；</w:t>
            </w:r>
          </w:p>
          <w:p w14:paraId="7F68DA1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3、支持用户组权限分配；</w:t>
            </w:r>
          </w:p>
          <w:p w14:paraId="6A094D3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4、支持用户安全管理，可绑定用户mac地址及IP，可自行修改用户密码或者管理员重置密码；</w:t>
            </w:r>
          </w:p>
          <w:p w14:paraId="6371C64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5、支持从Windows域同步用户信息，用于域账户进行平台登录。</w:t>
            </w:r>
          </w:p>
          <w:p w14:paraId="3B3681F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八、低代码引擎</w:t>
            </w:r>
          </w:p>
          <w:p w14:paraId="3360A41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1、支持流程表单引擎、报表引擎、巡检引擎、规则引擎、界面编排引擎等。</w:t>
            </w:r>
          </w:p>
          <w:p w14:paraId="1A681BA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九、云眸与本地EDU融合</w:t>
            </w:r>
          </w:p>
          <w:p w14:paraId="6329C80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1、支持云眸端区域、人员、组织、照片与本地EDU平台进行同步。</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C892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套</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9DBC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w:t>
            </w:r>
          </w:p>
        </w:tc>
      </w:tr>
      <w:tr w14:paraId="7915D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jc w:val="center"/>
        </w:trPr>
        <w:tc>
          <w:tcPr>
            <w:tcW w:w="750" w:type="dxa"/>
            <w:tcBorders>
              <w:top w:val="single" w:color="000000" w:sz="4" w:space="0"/>
              <w:left w:val="single" w:color="auto" w:sz="4" w:space="0"/>
              <w:bottom w:val="single" w:color="auto" w:sz="4" w:space="0"/>
              <w:right w:val="single" w:color="000000" w:sz="4" w:space="0"/>
            </w:tcBorders>
            <w:shd w:val="clear" w:color="auto" w:fill="auto"/>
            <w:vAlign w:val="center"/>
          </w:tcPr>
          <w:p w14:paraId="4F7EBD3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i w:val="0"/>
                <w:iCs w:val="0"/>
                <w:snapToGrid/>
                <w:color w:val="000000"/>
                <w:kern w:val="2"/>
                <w:sz w:val="24"/>
                <w:szCs w:val="24"/>
                <w:u w:val="none"/>
                <w:lang w:val="en-US" w:eastAsia="zh-CN"/>
              </w:rPr>
            </w:pPr>
            <w:r>
              <w:rPr>
                <w:rFonts w:hint="eastAsia" w:ascii="仿宋" w:hAnsi="仿宋" w:eastAsia="仿宋" w:cs="仿宋"/>
                <w:i w:val="0"/>
                <w:iCs w:val="0"/>
                <w:snapToGrid/>
                <w:color w:val="000000"/>
                <w:kern w:val="2"/>
                <w:sz w:val="24"/>
                <w:szCs w:val="24"/>
                <w:u w:val="none"/>
                <w:lang w:val="en-US" w:eastAsia="zh-CN"/>
              </w:rPr>
              <w:t>22</w:t>
            </w:r>
          </w:p>
        </w:tc>
        <w:tc>
          <w:tcPr>
            <w:tcW w:w="1131" w:type="dxa"/>
            <w:tcBorders>
              <w:top w:val="single" w:color="000000" w:sz="4" w:space="0"/>
              <w:left w:val="single" w:color="000000" w:sz="4" w:space="0"/>
              <w:bottom w:val="single" w:color="auto" w:sz="4" w:space="0"/>
              <w:right w:val="single" w:color="000000" w:sz="4" w:space="0"/>
            </w:tcBorders>
            <w:shd w:val="clear" w:color="auto" w:fill="auto"/>
            <w:vAlign w:val="center"/>
          </w:tcPr>
          <w:p w14:paraId="70C1F97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视频监控模块</w:t>
            </w:r>
          </w:p>
        </w:tc>
        <w:tc>
          <w:tcPr>
            <w:tcW w:w="6736" w:type="dxa"/>
            <w:tcBorders>
              <w:top w:val="single" w:color="000000" w:sz="4" w:space="0"/>
              <w:left w:val="single" w:color="000000" w:sz="4" w:space="0"/>
              <w:bottom w:val="single" w:color="auto" w:sz="4" w:space="0"/>
              <w:right w:val="single" w:color="000000" w:sz="4" w:space="0"/>
            </w:tcBorders>
            <w:shd w:val="clear" w:color="auto" w:fill="auto"/>
            <w:vAlign w:val="center"/>
          </w:tcPr>
          <w:p w14:paraId="6D081B0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视频监控应用提供视频管理服务，支持编码设备通过海康设备网络SDK协议、海康Ehome协议、海康ISUP5.0协议、GB28181协议、ONVIF协议、大华设备网络SDK协议、萤石协议接入平台，实现视频预览、录像回放、视频上墙、视频事件监控服务能力，并且在网络带宽不足、有流量限制的网络环境下可以通过以图片替代视频的模式提供监控服务。</w:t>
            </w:r>
          </w:p>
          <w:p w14:paraId="47B278D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一、视频预览</w:t>
            </w:r>
          </w:p>
          <w:p w14:paraId="2B20790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1、支持视频实时预览能力，实现预览窗口布局切换、预览画面自适应及全屏切换；</w:t>
            </w:r>
          </w:p>
          <w:p w14:paraId="3A17036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2、支持云台控制、实时抓图、紧急录像、即时回放、主子码流切换、声音开启\关闭、辅屏预览（1个辅屏）、对讲、广播、报警输出控制的能力；</w:t>
            </w:r>
          </w:p>
          <w:p w14:paraId="483C0D0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3、支持智能规则展示的能力（如：针对热成像设备温度信息实时展示）；</w:t>
            </w:r>
          </w:p>
          <w:p w14:paraId="5FDB816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4、支持资源视图管理能力，以视图形式管理监控点、视频预览轮巡等自定义资源组，其中视图类型包含公有视图和私有视图；</w:t>
            </w:r>
          </w:p>
          <w:p w14:paraId="4DA7F3A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5、支持全景视频监控预览能力，支持球型鹰眼、全景摄像机的全景模式；</w:t>
            </w:r>
          </w:p>
          <w:p w14:paraId="53DC1F9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二、录像回放</w:t>
            </w:r>
          </w:p>
          <w:p w14:paraId="2CF0DCF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1、支持录像计划管理能力，支持实时录像计划、录像回传计划；</w:t>
            </w:r>
          </w:p>
          <w:p w14:paraId="71D651C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2、支持录像回放能力，支持多画面同步回放和异步回放切换、超高倍速回放、分段回放、录像下载、录像剪辑、录像标签、录像锁定、录像抓图；</w:t>
            </w:r>
          </w:p>
          <w:p w14:paraId="3B2501E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三、图片监控</w:t>
            </w:r>
          </w:p>
          <w:p w14:paraId="06704F6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1、支持视频预览与图片实时监控模式切换能力，实现图片监控模式；</w:t>
            </w:r>
          </w:p>
          <w:p w14:paraId="68330EB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2、支持图片查询回放能力，实现按监控点、时间段展示抓拍图片；</w:t>
            </w:r>
          </w:p>
          <w:p w14:paraId="1008730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3、支持图片自动播放能力，支持图片自动播放速度可设置；</w:t>
            </w:r>
          </w:p>
          <w:p w14:paraId="4DE788E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4、支持图片下载能力；</w:t>
            </w:r>
          </w:p>
          <w:p w14:paraId="7F2E445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四、视频上墙</w:t>
            </w:r>
          </w:p>
          <w:p w14:paraId="79986A4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1、支持电视墙场景管理能力，实现场景窗口配置、场景切换计划配置以及轮巡计划的管理；</w:t>
            </w:r>
          </w:p>
          <w:p w14:paraId="00F1A55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2、支持上墙控制能力，实现场景一键上墙、场景切换、电视墙切换、监控点上下墙、轮巡控制操作；</w:t>
            </w:r>
          </w:p>
          <w:p w14:paraId="79B7473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五、视频事件</w:t>
            </w:r>
          </w:p>
          <w:p w14:paraId="70DE994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1、支持视频事件布撤防能力，可按计划模版进行布防，事件类型包括移动侦测、视频丢失、视频遮挡、报警输入、报警输出。</w:t>
            </w:r>
          </w:p>
        </w:tc>
        <w:tc>
          <w:tcPr>
            <w:tcW w:w="489" w:type="dxa"/>
            <w:tcBorders>
              <w:top w:val="single" w:color="000000" w:sz="4" w:space="0"/>
              <w:left w:val="single" w:color="000000" w:sz="4" w:space="0"/>
              <w:bottom w:val="single" w:color="auto" w:sz="4" w:space="0"/>
              <w:right w:val="single" w:color="000000" w:sz="4" w:space="0"/>
            </w:tcBorders>
            <w:shd w:val="clear" w:color="auto" w:fill="auto"/>
            <w:vAlign w:val="center"/>
          </w:tcPr>
          <w:p w14:paraId="3E7D41D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套</w:t>
            </w:r>
          </w:p>
        </w:tc>
        <w:tc>
          <w:tcPr>
            <w:tcW w:w="613" w:type="dxa"/>
            <w:tcBorders>
              <w:top w:val="single" w:color="000000" w:sz="4" w:space="0"/>
              <w:left w:val="single" w:color="000000" w:sz="4" w:space="0"/>
              <w:bottom w:val="single" w:color="auto" w:sz="4" w:space="0"/>
              <w:right w:val="single" w:color="000000" w:sz="4" w:space="0"/>
            </w:tcBorders>
            <w:shd w:val="clear" w:color="auto" w:fill="auto"/>
            <w:vAlign w:val="center"/>
          </w:tcPr>
          <w:p w14:paraId="6BF6773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w:t>
            </w:r>
          </w:p>
        </w:tc>
      </w:tr>
      <w:tr w14:paraId="1E478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50" w:type="dxa"/>
            <w:tcBorders>
              <w:top w:val="single" w:color="auto" w:sz="4" w:space="0"/>
              <w:left w:val="single" w:color="000000" w:sz="4" w:space="0"/>
              <w:bottom w:val="single" w:color="auto" w:sz="4" w:space="0"/>
              <w:right w:val="single" w:color="000000" w:sz="4" w:space="0"/>
            </w:tcBorders>
            <w:shd w:val="clear" w:color="auto" w:fill="auto"/>
            <w:vAlign w:val="center"/>
          </w:tcPr>
          <w:p w14:paraId="0337739B">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仿宋" w:hAnsi="仿宋" w:eastAsia="仿宋" w:cs="仿宋"/>
                <w:i w:val="0"/>
                <w:iCs w:val="0"/>
                <w:snapToGrid/>
                <w:color w:val="000000"/>
                <w:kern w:val="2"/>
                <w:sz w:val="24"/>
                <w:szCs w:val="24"/>
                <w:u w:val="none"/>
                <w:lang w:val="en-US" w:eastAsia="zh-CN"/>
              </w:rPr>
            </w:pPr>
            <w:r>
              <w:rPr>
                <w:rFonts w:hint="eastAsia" w:ascii="仿宋" w:hAnsi="仿宋" w:eastAsia="仿宋" w:cs="仿宋"/>
                <w:i w:val="0"/>
                <w:iCs w:val="0"/>
                <w:snapToGrid/>
                <w:color w:val="000000"/>
                <w:kern w:val="2"/>
                <w:sz w:val="24"/>
                <w:szCs w:val="24"/>
                <w:u w:val="none"/>
                <w:lang w:val="en-US" w:eastAsia="zh-CN"/>
              </w:rPr>
              <w:t>23</w:t>
            </w:r>
          </w:p>
        </w:tc>
        <w:tc>
          <w:tcPr>
            <w:tcW w:w="1131" w:type="dxa"/>
            <w:tcBorders>
              <w:top w:val="single" w:color="auto" w:sz="4" w:space="0"/>
              <w:left w:val="single" w:color="000000" w:sz="4" w:space="0"/>
              <w:bottom w:val="single" w:color="auto" w:sz="4" w:space="0"/>
              <w:right w:val="single" w:color="000000" w:sz="4" w:space="0"/>
            </w:tcBorders>
            <w:shd w:val="clear" w:color="auto" w:fill="auto"/>
            <w:vAlign w:val="center"/>
          </w:tcPr>
          <w:p w14:paraId="4FDB90A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视频监控授权路数</w:t>
            </w:r>
          </w:p>
        </w:tc>
        <w:tc>
          <w:tcPr>
            <w:tcW w:w="6736" w:type="dxa"/>
            <w:tcBorders>
              <w:top w:val="single" w:color="auto" w:sz="4" w:space="0"/>
              <w:left w:val="single" w:color="000000" w:sz="4" w:space="0"/>
              <w:bottom w:val="single" w:color="000000" w:sz="4" w:space="0"/>
              <w:right w:val="single" w:color="000000" w:sz="4" w:space="0"/>
            </w:tcBorders>
            <w:shd w:val="clear" w:color="auto" w:fill="auto"/>
            <w:vAlign w:val="center"/>
          </w:tcPr>
          <w:p w14:paraId="64F60D7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视频监控授权路数</w:t>
            </w:r>
          </w:p>
        </w:tc>
        <w:tc>
          <w:tcPr>
            <w:tcW w:w="489" w:type="dxa"/>
            <w:tcBorders>
              <w:top w:val="single" w:color="auto" w:sz="4" w:space="0"/>
              <w:left w:val="single" w:color="000000" w:sz="4" w:space="0"/>
              <w:bottom w:val="single" w:color="000000" w:sz="4" w:space="0"/>
              <w:right w:val="single" w:color="000000" w:sz="4" w:space="0"/>
            </w:tcBorders>
            <w:shd w:val="clear" w:color="auto" w:fill="auto"/>
            <w:vAlign w:val="center"/>
          </w:tcPr>
          <w:p w14:paraId="265C04A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路</w:t>
            </w:r>
          </w:p>
        </w:tc>
        <w:tc>
          <w:tcPr>
            <w:tcW w:w="613" w:type="dxa"/>
            <w:tcBorders>
              <w:top w:val="single" w:color="auto" w:sz="4" w:space="0"/>
              <w:left w:val="single" w:color="000000" w:sz="4" w:space="0"/>
              <w:bottom w:val="single" w:color="000000" w:sz="4" w:space="0"/>
              <w:right w:val="single" w:color="000000" w:sz="4" w:space="0"/>
            </w:tcBorders>
            <w:shd w:val="clear" w:color="auto" w:fill="auto"/>
            <w:vAlign w:val="center"/>
          </w:tcPr>
          <w:p w14:paraId="51162A3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150</w:t>
            </w:r>
          </w:p>
        </w:tc>
      </w:tr>
      <w:tr w14:paraId="2DF73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50" w:type="dxa"/>
            <w:tcBorders>
              <w:top w:val="single" w:color="auto" w:sz="4" w:space="0"/>
              <w:left w:val="single" w:color="000000" w:sz="4" w:space="0"/>
              <w:bottom w:val="single" w:color="auto" w:sz="4" w:space="0"/>
              <w:right w:val="single" w:color="000000" w:sz="4" w:space="0"/>
            </w:tcBorders>
            <w:shd w:val="clear" w:color="auto" w:fill="auto"/>
            <w:vAlign w:val="center"/>
          </w:tcPr>
          <w:p w14:paraId="765604A2">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仿宋" w:hAnsi="仿宋" w:eastAsia="仿宋" w:cs="仿宋"/>
                <w:i w:val="0"/>
                <w:iCs w:val="0"/>
                <w:snapToGrid/>
                <w:color w:val="000000"/>
                <w:kern w:val="2"/>
                <w:sz w:val="24"/>
                <w:szCs w:val="24"/>
                <w:u w:val="none"/>
                <w:lang w:val="en-US" w:eastAsia="zh-CN"/>
              </w:rPr>
            </w:pPr>
            <w:r>
              <w:rPr>
                <w:rFonts w:hint="eastAsia" w:ascii="仿宋" w:hAnsi="仿宋" w:eastAsia="仿宋" w:cs="仿宋"/>
                <w:i w:val="0"/>
                <w:iCs w:val="0"/>
                <w:snapToGrid/>
                <w:color w:val="000000"/>
                <w:kern w:val="2"/>
                <w:sz w:val="24"/>
                <w:szCs w:val="24"/>
                <w:u w:val="none"/>
                <w:lang w:val="en-US" w:eastAsia="zh-CN"/>
              </w:rPr>
              <w:t>24</w:t>
            </w:r>
          </w:p>
        </w:tc>
        <w:tc>
          <w:tcPr>
            <w:tcW w:w="1131" w:type="dxa"/>
            <w:tcBorders>
              <w:top w:val="single" w:color="auto" w:sz="4" w:space="0"/>
              <w:left w:val="single" w:color="000000" w:sz="4" w:space="0"/>
              <w:bottom w:val="single" w:color="auto" w:sz="4" w:space="0"/>
              <w:right w:val="single" w:color="000000" w:sz="4" w:space="0"/>
            </w:tcBorders>
            <w:shd w:val="clear" w:color="auto" w:fill="auto"/>
            <w:vAlign w:val="center"/>
          </w:tcPr>
          <w:p w14:paraId="6829D95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val="en-US" w:eastAsia="zh-CN" w:bidi="ar-SA"/>
              </w:rPr>
            </w:pPr>
            <w:r>
              <w:rPr>
                <w:rFonts w:hint="eastAsia" w:ascii="仿宋" w:hAnsi="仿宋" w:eastAsia="仿宋" w:cs="仿宋"/>
                <w:i w:val="0"/>
                <w:iCs w:val="0"/>
                <w:snapToGrid/>
                <w:color w:val="000000"/>
                <w:kern w:val="0"/>
                <w:sz w:val="24"/>
                <w:szCs w:val="24"/>
                <w:u w:val="none"/>
                <w:lang w:val="en-US" w:eastAsia="zh-CN" w:bidi="ar"/>
              </w:rPr>
              <w:t>视频运维模块</w:t>
            </w:r>
          </w:p>
        </w:tc>
        <w:tc>
          <w:tcPr>
            <w:tcW w:w="6736" w:type="dxa"/>
            <w:tcBorders>
              <w:top w:val="single" w:color="auto" w:sz="4" w:space="0"/>
              <w:left w:val="single" w:color="000000" w:sz="4" w:space="0"/>
              <w:bottom w:val="single" w:color="000000" w:sz="4" w:space="0"/>
              <w:right w:val="single" w:color="000000" w:sz="4" w:space="0"/>
            </w:tcBorders>
            <w:shd w:val="clear" w:color="auto" w:fill="auto"/>
            <w:vAlign w:val="center"/>
          </w:tcPr>
          <w:p w14:paraId="767C4C5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设备网络管理应用，对接入平台的视频设备，门禁设备，梯控设备，可视对讲设备进行在线巡检，及时发现故障设备和掉线设备，使运维工作更加高效，便利。</w:t>
            </w:r>
          </w:p>
          <w:p w14:paraId="1C3AACC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一、视频网络管理</w:t>
            </w:r>
          </w:p>
          <w:p w14:paraId="376CB40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1、支持监控摄像机、编码设备、存储设备、解码设备等物联设备在线状态、工作状态、硬盘状态、指标采集。</w:t>
            </w:r>
          </w:p>
          <w:p w14:paraId="00D4F1F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2、支持监控点通道的在线状态、录制状态、录像完整性、录像保存天数指标检测。</w:t>
            </w:r>
          </w:p>
          <w:p w14:paraId="50F4AEA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3、支持告警信息统计展现。并支持对监控点、编码设备、解码设备、视频综合矩阵、NVR/CVR、云储存、门禁设备、门禁点、读卡器、梯控设备/梯控读卡器/可视对讲的告警阈值进行配置。</w:t>
            </w:r>
          </w:p>
          <w:p w14:paraId="4A0BA28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4、提供视频运维报表统计能力，包含区域综合排名统计、录像完整性统计、录像存储达标统计、在线状态统计、离线时长统计报表。</w:t>
            </w:r>
          </w:p>
          <w:p w14:paraId="250CFB2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5、支持巡检计划配置，可以按照类型和资源以及自定义的巡检周期进行巡检计划配置。</w:t>
            </w:r>
          </w:p>
          <w:p w14:paraId="278A0FE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val="en-US" w:eastAsia="zh-CN" w:bidi="ar-SA"/>
              </w:rPr>
            </w:pPr>
            <w:r>
              <w:rPr>
                <w:rFonts w:hint="eastAsia" w:ascii="仿宋" w:hAnsi="仿宋" w:eastAsia="仿宋" w:cs="仿宋"/>
                <w:i w:val="0"/>
                <w:iCs w:val="0"/>
                <w:snapToGrid/>
                <w:color w:val="000000"/>
                <w:kern w:val="0"/>
                <w:sz w:val="24"/>
                <w:szCs w:val="24"/>
                <w:u w:val="none"/>
                <w:lang w:val="en-US" w:eastAsia="zh-CN" w:bidi="ar"/>
              </w:rPr>
              <w:t>6、支持GB28181、部标808、Open Network Video Interface、API协议。</w:t>
            </w:r>
          </w:p>
        </w:tc>
        <w:tc>
          <w:tcPr>
            <w:tcW w:w="489" w:type="dxa"/>
            <w:tcBorders>
              <w:top w:val="single" w:color="auto" w:sz="4" w:space="0"/>
              <w:left w:val="single" w:color="000000" w:sz="4" w:space="0"/>
              <w:bottom w:val="single" w:color="000000" w:sz="4" w:space="0"/>
              <w:right w:val="single" w:color="000000" w:sz="4" w:space="0"/>
            </w:tcBorders>
            <w:shd w:val="clear" w:color="auto" w:fill="auto"/>
            <w:vAlign w:val="center"/>
          </w:tcPr>
          <w:p w14:paraId="78DF143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val="en-US" w:eastAsia="zh-CN" w:bidi="ar-SA"/>
              </w:rPr>
            </w:pPr>
            <w:r>
              <w:rPr>
                <w:rFonts w:hint="eastAsia" w:ascii="仿宋" w:hAnsi="仿宋" w:eastAsia="仿宋" w:cs="仿宋"/>
                <w:i w:val="0"/>
                <w:iCs w:val="0"/>
                <w:snapToGrid/>
                <w:color w:val="000000"/>
                <w:kern w:val="0"/>
                <w:sz w:val="24"/>
                <w:szCs w:val="24"/>
                <w:u w:val="none"/>
                <w:lang w:val="en-US" w:eastAsia="zh-CN" w:bidi="ar"/>
              </w:rPr>
              <w:t>套</w:t>
            </w:r>
          </w:p>
        </w:tc>
        <w:tc>
          <w:tcPr>
            <w:tcW w:w="613" w:type="dxa"/>
            <w:tcBorders>
              <w:top w:val="single" w:color="auto" w:sz="4" w:space="0"/>
              <w:left w:val="single" w:color="000000" w:sz="4" w:space="0"/>
              <w:bottom w:val="single" w:color="000000" w:sz="4" w:space="0"/>
              <w:right w:val="single" w:color="000000" w:sz="4" w:space="0"/>
            </w:tcBorders>
            <w:shd w:val="clear" w:color="auto" w:fill="auto"/>
            <w:vAlign w:val="center"/>
          </w:tcPr>
          <w:p w14:paraId="10E1FE8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val="en-US" w:eastAsia="zh-CN" w:bidi="ar-SA"/>
              </w:rPr>
            </w:pPr>
            <w:r>
              <w:rPr>
                <w:rFonts w:hint="eastAsia" w:ascii="仿宋" w:hAnsi="仿宋" w:eastAsia="仿宋" w:cs="仿宋"/>
                <w:i w:val="0"/>
                <w:iCs w:val="0"/>
                <w:snapToGrid/>
                <w:color w:val="000000"/>
                <w:kern w:val="0"/>
                <w:sz w:val="24"/>
                <w:szCs w:val="24"/>
                <w:u w:val="none"/>
                <w:lang w:val="en-US" w:eastAsia="zh-CN" w:bidi="ar"/>
              </w:rPr>
              <w:t>1</w:t>
            </w:r>
          </w:p>
        </w:tc>
      </w:tr>
      <w:tr w14:paraId="475D4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jc w:val="center"/>
        </w:trPr>
        <w:tc>
          <w:tcPr>
            <w:tcW w:w="750" w:type="dxa"/>
            <w:tcBorders>
              <w:top w:val="single" w:color="auto" w:sz="4" w:space="0"/>
              <w:left w:val="single" w:color="000000" w:sz="4" w:space="0"/>
              <w:bottom w:val="single" w:color="auto" w:sz="4" w:space="0"/>
              <w:right w:val="single" w:color="000000" w:sz="4" w:space="0"/>
            </w:tcBorders>
            <w:shd w:val="clear" w:color="auto" w:fill="auto"/>
            <w:vAlign w:val="center"/>
          </w:tcPr>
          <w:p w14:paraId="6E750B60">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仿宋" w:hAnsi="仿宋" w:eastAsia="仿宋" w:cs="仿宋"/>
                <w:i w:val="0"/>
                <w:iCs w:val="0"/>
                <w:snapToGrid/>
                <w:color w:val="000000"/>
                <w:kern w:val="2"/>
                <w:sz w:val="24"/>
                <w:szCs w:val="24"/>
                <w:u w:val="none"/>
                <w:lang w:val="en-US" w:eastAsia="zh-CN"/>
              </w:rPr>
            </w:pPr>
            <w:r>
              <w:rPr>
                <w:rFonts w:hint="eastAsia" w:ascii="仿宋" w:hAnsi="仿宋" w:eastAsia="仿宋" w:cs="仿宋"/>
                <w:i w:val="0"/>
                <w:iCs w:val="0"/>
                <w:snapToGrid/>
                <w:color w:val="000000"/>
                <w:kern w:val="2"/>
                <w:sz w:val="24"/>
                <w:szCs w:val="24"/>
                <w:u w:val="none"/>
                <w:lang w:val="en-US" w:eastAsia="zh-CN"/>
              </w:rPr>
              <w:t>25</w:t>
            </w:r>
          </w:p>
        </w:tc>
        <w:tc>
          <w:tcPr>
            <w:tcW w:w="1131" w:type="dxa"/>
            <w:tcBorders>
              <w:top w:val="single" w:color="auto" w:sz="4" w:space="0"/>
              <w:left w:val="single" w:color="000000" w:sz="4" w:space="0"/>
              <w:bottom w:val="single" w:color="auto" w:sz="4" w:space="0"/>
              <w:right w:val="single" w:color="000000" w:sz="4" w:space="0"/>
            </w:tcBorders>
            <w:shd w:val="clear" w:color="auto" w:fill="auto"/>
            <w:vAlign w:val="center"/>
          </w:tcPr>
          <w:p w14:paraId="0CB1A60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考场客户端</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7350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考场监控专用客户端，满足高考监控录像录制要求标准。</w:t>
            </w:r>
          </w:p>
          <w:p w14:paraId="5B1866F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 xml:space="preserve">支持批量按照监控点位通道名称自动生成文件夹批量下载录像。符合通道名称要求规范。 </w:t>
            </w:r>
          </w:p>
          <w:p w14:paraId="0396997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 xml:space="preserve"> 支持监控点位OSD名称批量导入修改。 </w:t>
            </w:r>
          </w:p>
          <w:p w14:paraId="590CA61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支持预览、回访、录像下载等基础视频应用功能。</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1050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套</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D79C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w:t>
            </w:r>
          </w:p>
        </w:tc>
      </w:tr>
      <w:tr w14:paraId="4A2D3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5" w:hRule="atLeast"/>
          <w:jc w:val="center"/>
        </w:trPr>
        <w:tc>
          <w:tcPr>
            <w:tcW w:w="750" w:type="dxa"/>
            <w:tcBorders>
              <w:top w:val="single" w:color="auto" w:sz="4" w:space="0"/>
              <w:left w:val="single" w:color="000000" w:sz="4" w:space="0"/>
              <w:bottom w:val="single" w:color="000000" w:sz="4" w:space="0"/>
              <w:right w:val="single" w:color="000000" w:sz="4" w:space="0"/>
            </w:tcBorders>
            <w:shd w:val="clear" w:color="auto" w:fill="auto"/>
            <w:vAlign w:val="center"/>
          </w:tcPr>
          <w:p w14:paraId="6A498198">
            <w:pPr>
              <w:keepNext w:val="0"/>
              <w:keepLines w:val="0"/>
              <w:pageBreakBefore w:val="0"/>
              <w:widowControl/>
              <w:kinsoku/>
              <w:wordWrap/>
              <w:overflowPunct/>
              <w:topLinePunct w:val="0"/>
              <w:autoSpaceDE/>
              <w:autoSpaceDN/>
              <w:bidi w:val="0"/>
              <w:adjustRightInd/>
              <w:snapToGrid/>
              <w:spacing w:after="0" w:line="240" w:lineRule="auto"/>
              <w:jc w:val="center"/>
              <w:textAlignment w:val="auto"/>
              <w:rPr>
                <w:rFonts w:hint="default" w:ascii="仿宋" w:hAnsi="仿宋" w:eastAsia="仿宋" w:cs="仿宋"/>
                <w:i w:val="0"/>
                <w:iCs w:val="0"/>
                <w:snapToGrid/>
                <w:color w:val="000000"/>
                <w:kern w:val="2"/>
                <w:sz w:val="24"/>
                <w:szCs w:val="24"/>
                <w:u w:val="none"/>
                <w:lang w:val="en-US" w:eastAsia="zh-CN"/>
              </w:rPr>
            </w:pPr>
            <w:r>
              <w:rPr>
                <w:rFonts w:hint="eastAsia" w:ascii="仿宋" w:hAnsi="仿宋" w:eastAsia="仿宋" w:cs="仿宋"/>
                <w:i w:val="0"/>
                <w:iCs w:val="0"/>
                <w:snapToGrid/>
                <w:color w:val="000000"/>
                <w:kern w:val="2"/>
                <w:sz w:val="24"/>
                <w:szCs w:val="24"/>
                <w:u w:val="none"/>
                <w:lang w:val="en-US" w:eastAsia="zh-CN"/>
              </w:rPr>
              <w:t>26</w:t>
            </w:r>
          </w:p>
        </w:tc>
        <w:tc>
          <w:tcPr>
            <w:tcW w:w="1131" w:type="dxa"/>
            <w:tcBorders>
              <w:top w:val="single" w:color="auto" w:sz="4" w:space="0"/>
              <w:left w:val="single" w:color="000000" w:sz="4" w:space="0"/>
              <w:bottom w:val="single" w:color="000000" w:sz="4" w:space="0"/>
              <w:right w:val="single" w:color="000000" w:sz="4" w:space="0"/>
            </w:tcBorders>
            <w:shd w:val="clear" w:color="auto" w:fill="auto"/>
            <w:vAlign w:val="center"/>
          </w:tcPr>
          <w:p w14:paraId="2BB7952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国标级联模块</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517B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视频级联应用主要为视频监控业务提供级联服务，专注于平台域间视频联网，基于视频通用标准协议（GB/T28181-2011,GB/T28181-2016）与外域平台互联互通，实现上级平台对下级平台视频资源点位的操作控制。</w:t>
            </w:r>
          </w:p>
          <w:p w14:paraId="24C1C09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1、支持上下级域注册管理能力，实现平台数据级联；</w:t>
            </w:r>
          </w:p>
          <w:p w14:paraId="556F425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2、支持资源同步能力；</w:t>
            </w:r>
          </w:p>
          <w:p w14:paraId="13BDB28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3、支持级联视频点位实时预览、录像回放、录像下载、语音对讲能力；</w:t>
            </w:r>
          </w:p>
          <w:p w14:paraId="189445F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4、支持级联视频点位设备操作控制能力；</w:t>
            </w:r>
          </w:p>
          <w:p w14:paraId="22A4DC6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5、支持下级平台推送到本级平台视频点位路数控制能力，通过级联点位授权路数控制。</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0D62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套</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68AB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w:t>
            </w:r>
          </w:p>
        </w:tc>
      </w:tr>
      <w:tr w14:paraId="5182A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563D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i w:val="0"/>
                <w:iCs w:val="0"/>
                <w:snapToGrid/>
                <w:color w:val="000000"/>
                <w:kern w:val="2"/>
                <w:sz w:val="24"/>
                <w:szCs w:val="24"/>
                <w:u w:val="none"/>
                <w:lang w:val="en-US" w:eastAsia="zh-CN"/>
              </w:rPr>
            </w:pPr>
            <w:r>
              <w:rPr>
                <w:rFonts w:hint="eastAsia" w:ascii="仿宋" w:hAnsi="仿宋" w:eastAsia="仿宋" w:cs="仿宋"/>
                <w:i w:val="0"/>
                <w:iCs w:val="0"/>
                <w:snapToGrid/>
                <w:color w:val="000000"/>
                <w:kern w:val="0"/>
                <w:sz w:val="24"/>
                <w:szCs w:val="24"/>
                <w:u w:val="none"/>
                <w:lang w:val="en-US" w:eastAsia="zh-CN" w:bidi="ar"/>
              </w:rPr>
              <w:t>27</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D8EF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考场录像存储服务器</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top"/>
          </w:tcPr>
          <w:p w14:paraId="218015BC">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1、配置≥1个RS232串口/CONSOLE接口，≥1个VGA接口，≥1个HDMI接口，≥2个USB2.0接口，≥2个USB3.0接口，≥3个2.5G网口，≥1个2.5G管理网口，≥1个Esata接口，支持PCIe插槽，采用可热插拔1+1AC220V电源。</w:t>
            </w:r>
          </w:p>
          <w:p w14:paraId="33A8F5A9">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2、单设备配置≥64位多核处理器，标配8GB内存，内置EMMC系统盘，硬盘数量可按需配置，最大可配置24块；最多支持2个风扇，可热插拔冗余温控调速风扇。</w:t>
            </w:r>
          </w:p>
          <w:p w14:paraId="2B070D4C">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3、可通过IE浏览器设置RAID组为RAID0、RAID1、RAID5、RAID6、RAID10、RAID50、VRAID模式，并支持RAID即建即用（RAID创建后拔掉任意一块硬盘都不影响数据读写）。</w:t>
            </w:r>
          </w:p>
          <w:p w14:paraId="5A7F3420">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4、应能在RAID内丢失2块（含）以上硬盘但至少有1块正常磁盘时，无需等待丢失盘恢复，保留的硬盘中的数据可正常读出，且新数据可正常写入。</w:t>
            </w:r>
          </w:p>
          <w:p w14:paraId="4B3A8EB9">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5、RAID模式下，当RAID内某一块硬盘发生故障，更换该硬盘或热备盘替换时，可自动进行RAID重构。当RAID处于降级或重构状态下，不影响数据写入。且存储的数据不丢失。</w:t>
            </w:r>
          </w:p>
          <w:p w14:paraId="05C38157">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6、支持录像存储过程中加入特殊字段，防止录像被篡改或伪造，以保证录像的原始性及完整性。可对录像的某个时间点添加标签，并可进行查询、回放、下载。</w:t>
            </w:r>
          </w:p>
          <w:p w14:paraId="5A664238">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7、可接入MPEG4、H.264、H.265、Smart265、SVAC编码格式和分辨率为4096×2160的前端设备并存储录像文件。</w:t>
            </w:r>
          </w:p>
          <w:p w14:paraId="3252FC01">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8、可将接入样机的网络设备的IP地址、端口号等信息以excel形式进行导入导出。</w:t>
            </w:r>
          </w:p>
          <w:p w14:paraId="281048A4">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9、应能预录报警触发前1-40min的视频录像。</w:t>
            </w:r>
          </w:p>
          <w:p w14:paraId="2C191747">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10、当接入的视频图像的警戒区域内探测到移动目标时，可给出报警提示信息并进行录像。</w:t>
            </w:r>
          </w:p>
          <w:p w14:paraId="26CF4FC0">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11、支持通过一键配置快速部署网络，时间，阵列，存储池。一键配置完成后添加通道关联存储池即可直接录像。</w:t>
            </w:r>
          </w:p>
          <w:p w14:paraId="13758F59">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12、管理口支持切换为数据口使用，提升设备的接入和冗余能力。</w:t>
            </w:r>
          </w:p>
          <w:p w14:paraId="59DEDD28">
            <w:pPr>
              <w:keepNext w:val="0"/>
              <w:keepLines w:val="0"/>
              <w:pageBreakBefore w:val="0"/>
              <w:widowControl/>
              <w:suppressLineNumbers w:val="0"/>
              <w:kinsoku/>
              <w:wordWrap/>
              <w:overflowPunct/>
              <w:topLinePunct w:val="0"/>
              <w:autoSpaceDE/>
              <w:autoSpaceDN/>
              <w:bidi w:val="0"/>
              <w:adjustRightInd/>
              <w:snapToGrid/>
              <w:spacing w:afterAutospacing="0" w:line="240" w:lineRule="auto"/>
              <w:jc w:val="left"/>
              <w:textAlignment w:val="top"/>
              <w:rPr>
                <w:rFonts w:hint="eastAsia" w:ascii="仿宋" w:hAnsi="仿宋" w:eastAsia="仿宋" w:cs="仿宋"/>
                <w:snapToGrid/>
                <w:color w:val="000000"/>
                <w:kern w:val="2"/>
                <w:sz w:val="24"/>
                <w:szCs w:val="24"/>
                <w:lang w:val="en-US" w:eastAsia="zh-CN" w:bidi="ar"/>
              </w:rPr>
            </w:pPr>
            <w:r>
              <w:rPr>
                <w:rFonts w:hint="eastAsia" w:ascii="仿宋" w:hAnsi="仿宋" w:eastAsia="仿宋" w:cs="仿宋"/>
                <w:snapToGrid/>
                <w:color w:val="000000"/>
                <w:kern w:val="2"/>
                <w:sz w:val="24"/>
                <w:szCs w:val="24"/>
                <w:u w:val="none"/>
                <w:lang w:val="en-US" w:eastAsia="zh-CN" w:bidi="ar"/>
              </w:rPr>
              <w:t>13、支持对存储硬盘进行SMART检测，并可自动分析当前磁盘的健康度，磁盘健康度状态可提醒用户关注。</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E069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台</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8366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w:t>
            </w:r>
          </w:p>
        </w:tc>
      </w:tr>
      <w:tr w14:paraId="1F4DB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3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93D3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28</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AB7A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企业级硬盘</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8097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1、8TB容量，3.5英寸，SATA3.0接口，7200RPM</w:t>
            </w:r>
          </w:p>
          <w:p w14:paraId="1EEC66B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2、空气盘， CMR传统磁记录</w:t>
            </w:r>
          </w:p>
          <w:p w14:paraId="2CC15D1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3、传输速率260 MB/s，256MB高速缓存，流畅存储视频有效防止丢帧</w:t>
            </w:r>
          </w:p>
          <w:p w14:paraId="3B60663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4、MTBF可达2,000,000小时</w:t>
            </w:r>
          </w:p>
          <w:p w14:paraId="2FB8E2D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5、支持5年有限质保服务</w:t>
            </w:r>
          </w:p>
          <w:p w14:paraId="6932FC6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6、适用海拔高度范围–300 to 3,048 m。</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C0D9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块</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C805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8</w:t>
            </w:r>
          </w:p>
        </w:tc>
      </w:tr>
      <w:tr w14:paraId="39A34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5"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0886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i w:val="0"/>
                <w:iCs w:val="0"/>
                <w:snapToGrid/>
                <w:color w:val="000000"/>
                <w:kern w:val="2"/>
                <w:sz w:val="24"/>
                <w:szCs w:val="24"/>
                <w:u w:val="none"/>
                <w:lang w:val="en-US" w:eastAsia="zh-CN"/>
              </w:rPr>
            </w:pPr>
            <w:r>
              <w:rPr>
                <w:rFonts w:hint="eastAsia" w:ascii="仿宋" w:hAnsi="仿宋" w:eastAsia="仿宋" w:cs="仿宋"/>
                <w:i w:val="0"/>
                <w:iCs w:val="0"/>
                <w:snapToGrid/>
                <w:color w:val="000000"/>
                <w:kern w:val="0"/>
                <w:sz w:val="24"/>
                <w:szCs w:val="24"/>
                <w:u w:val="none"/>
                <w:lang w:val="en-US" w:eastAsia="zh-CN" w:bidi="ar"/>
              </w:rPr>
              <w:t>29</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CDF5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NVR网络硬盘录像机</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top"/>
          </w:tcPr>
          <w:p w14:paraId="7D8E17A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1、具有≥2个HDMI接口、≥2个VGA接口、≥1个CVBS接口、≥2个RJ45千兆网络接口、≥2个USB2.0接口、≥2个USB3.0接口、≥1个RS232接口、≥1个RS485接口（可接入RS485键盘）、≥1个eSata接口；可内置16个SATA接口硬盘</w:t>
            </w:r>
          </w:p>
          <w:p w14:paraId="26240B9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2、支持≥128路监控接入，支持最大接入带宽≥384Mbps，最大存储带宽≥384Mbps，最大转发带宽≥256Mbps</w:t>
            </w:r>
          </w:p>
          <w:p w14:paraId="5603552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3、可接入 1T、2T、3T、4T、6T、8T、10T、12TB、14TB、16TB、18TB、20TB 容量的 SATA接口硬盘；</w:t>
            </w:r>
          </w:p>
          <w:p w14:paraId="403484A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4、样品由冗余电源芯片进行负载均衡控制，当一个电源出现故障时，另一个电源可以接管其工作；在更换故障电源后，可恢复到两个电源协同负载均衡工作</w:t>
            </w:r>
          </w:p>
          <w:p w14:paraId="48F09B4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b/>
                <w:bCs/>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5、HDMI1和HDMI2支持最大单路8K（7680×4320）和1080P（1920×1080）异源输出。</w:t>
            </w:r>
            <w:r>
              <w:rPr>
                <w:rFonts w:hint="eastAsia" w:ascii="仿宋" w:hAnsi="仿宋" w:eastAsia="仿宋" w:cs="仿宋"/>
                <w:b/>
                <w:bCs/>
                <w:snapToGrid/>
                <w:color w:val="000000"/>
                <w:kern w:val="2"/>
                <w:sz w:val="24"/>
                <w:szCs w:val="24"/>
                <w:u w:val="none"/>
                <w:lang w:val="en-US" w:eastAsia="zh-CN" w:bidi="ar"/>
              </w:rPr>
              <w:t>（提供公安部检测报告复印件并加盖投标人公章证明）</w:t>
            </w:r>
          </w:p>
          <w:p w14:paraId="4222D3C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6、设备支持分组管理，支持将接入的视频通道按分组管理；支持以分组方式进行预览、回放和检索；自定义视图支持以分组方式拖动通道进行配置。</w:t>
            </w:r>
          </w:p>
          <w:p w14:paraId="57C861E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7、切片回放功能，支持按月、日、小时维度进行切片展示，按月最大支持30个切片，按日最大支持24个切片，按时最大支持60个切片。</w:t>
            </w:r>
          </w:p>
          <w:p w14:paraId="078D5FB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8、支持预览时对实时视频流进行手动打标签，通过标签检索可以检索到相关的录像片段；</w:t>
            </w:r>
          </w:p>
          <w:p w14:paraId="1DD6262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9、支持预览的单窗口轮巡，设备支持在多画面的固定窗口上进行轮巡预览，其他预览窗口不轮巡。</w:t>
            </w:r>
          </w:p>
          <w:p w14:paraId="4B36A48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10、支持查看在线用户信息，包括用户名、用户类型、IP地址和用户最后操作时间等维护信息</w:t>
            </w:r>
          </w:p>
          <w:p w14:paraId="77D5F87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11、支持音频设备与视频设备独立管理，支持网络拾音器的接入、校时；最大16路音频设备管理</w:t>
            </w:r>
          </w:p>
          <w:p w14:paraId="75C0A37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12、支持音视频动态调整组合分配功能，可将任一路音频与任一路视频组合成复合流编码</w:t>
            </w:r>
          </w:p>
          <w:p w14:paraId="11C1204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13、支持前端IPC证书二次校验机制，未通过证书校验的IPC不允许添加到NVR</w:t>
            </w:r>
          </w:p>
          <w:p w14:paraId="26D6C18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14、支持网络端口扫描行为预警，可自动封禁IP，并上报预警，支持远程下发IP拦截</w:t>
            </w:r>
          </w:p>
          <w:p w14:paraId="1CF12CF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snapToGrid/>
                <w:color w:val="000000"/>
                <w:kern w:val="2"/>
                <w:sz w:val="24"/>
                <w:szCs w:val="24"/>
                <w:u w:val="none"/>
                <w:lang w:val="en-US" w:eastAsia="zh-CN" w:bidi="ar"/>
              </w:rPr>
              <w:t>15、支持自动跳转https功能，设备启用自动跳转https功能后不支持http协议访问，http访问入口连接会自动重定向到https入。</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3DD4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台</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30F0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w:t>
            </w:r>
          </w:p>
        </w:tc>
      </w:tr>
      <w:tr w14:paraId="6BF96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65B3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i w:val="0"/>
                <w:iCs w:val="0"/>
                <w:snapToGrid/>
                <w:color w:val="000000"/>
                <w:kern w:val="2"/>
                <w:sz w:val="24"/>
                <w:szCs w:val="24"/>
                <w:u w:val="none"/>
                <w:lang w:val="en-US" w:eastAsia="zh-CN"/>
              </w:rPr>
            </w:pPr>
            <w:r>
              <w:rPr>
                <w:rFonts w:hint="eastAsia" w:ascii="仿宋" w:hAnsi="仿宋" w:eastAsia="仿宋" w:cs="仿宋"/>
                <w:i w:val="0"/>
                <w:iCs w:val="0"/>
                <w:snapToGrid/>
                <w:color w:val="000000"/>
                <w:kern w:val="0"/>
                <w:sz w:val="24"/>
                <w:szCs w:val="24"/>
                <w:u w:val="none"/>
                <w:lang w:val="en-US" w:eastAsia="zh-CN" w:bidi="ar"/>
              </w:rPr>
              <w:t>30</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2E4A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NVR网络硬盘录像机</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A4E2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1、具有≥2个HDMI接口、≥2个VGA接口、≥2个RJ45千兆网络接口、≥2个USB2.0接口、≥2个USB3.0接口、≥1个RS232接口、≥1个RS485接口（可接入RS485键盘）；可内置8个SATA接口硬盘</w:t>
            </w:r>
          </w:p>
          <w:p w14:paraId="21672BA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2、支持≥32路监控接入；支持最大接入带宽≥320Mbps，最大存储带宽≥320Mbps，最大转发带宽≥256Mbps</w:t>
            </w:r>
          </w:p>
          <w:p w14:paraId="1C57338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3、可接入 1T、2T、3T、4T、6T、8T、10T、12TB、14TB、16TB、20TB容量的 SATA接口硬盘；</w:t>
            </w:r>
          </w:p>
          <w:p w14:paraId="3A5ABB4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4、HDMI1和HDMI2支持最大单路8K（7680×4320）和1080P（1920×1080）异源输出。</w:t>
            </w:r>
          </w:p>
          <w:p w14:paraId="43AA211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5、在专家模式下，支持高空抛物摄像机按视野进行区域划分，并支持轮巡预览。</w:t>
            </w:r>
          </w:p>
          <w:p w14:paraId="718F926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6、支持网络广播音频设备（包括网络音响）的接入，支持以POE方式接入网络广播。</w:t>
            </w:r>
          </w:p>
          <w:p w14:paraId="5E39637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7、支持网络广播绑定视频通道，支持以通道方式对绑定后的视频通道和网络广播进行对讲</w:t>
            </w:r>
          </w:p>
          <w:p w14:paraId="3CDBDDA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8、切片回放功能，支持按月、日、小时维度进行切片展示，按月最大支持30个切片，按日最大支持24个切片，按时最大支持60个切片</w:t>
            </w:r>
          </w:p>
          <w:p w14:paraId="6944A23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9、支持预览时对实时视频流进行手动打标签，通过标签检索可以检索到相关的录像片段。</w:t>
            </w:r>
          </w:p>
          <w:p w14:paraId="174F32E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10、支持预览的单窗口轮巡，设备支持在多画面的固定窗口上进行轮巡预览，其他预览窗口不轮巡。</w:t>
            </w:r>
          </w:p>
          <w:p w14:paraId="376EE80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11、支持查看在线用户信息，包括用户名、用户类型、IP地址和用户最后操作时间等维护信息</w:t>
            </w:r>
          </w:p>
          <w:p w14:paraId="30B2459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12、支持音频设备与视频设备独立管理，支持网络拾音器的接入、校时；最大8路音频设备管理</w:t>
            </w:r>
          </w:p>
          <w:p w14:paraId="604962C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13、支持音视频动态调整组合分配功能，可将任一路音频与任一路视频组合成复合流编码</w:t>
            </w:r>
          </w:p>
          <w:p w14:paraId="6429C90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14、支持前端IPC证书二次校验机制，未通过证书校验的IPC不允许添加到NVR</w:t>
            </w:r>
          </w:p>
          <w:p w14:paraId="7F22DD5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15、支持网络端口扫描行为预警，可自动封禁IP，并上报预警，支持远程下发IP拦截</w:t>
            </w:r>
          </w:p>
          <w:p w14:paraId="324A1E1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snapToGrid/>
                <w:color w:val="000000"/>
                <w:kern w:val="2"/>
                <w:sz w:val="24"/>
                <w:szCs w:val="24"/>
                <w:u w:val="none"/>
                <w:lang w:val="en-US" w:eastAsia="zh-CN" w:bidi="ar"/>
              </w:rPr>
              <w:t>16、支持自动跳转https功能，设备启用自动跳转https功能后不支持http协议访问，http访问入口连接会自动重定向到https入。</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F29F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台</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E03F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w:t>
            </w:r>
          </w:p>
        </w:tc>
      </w:tr>
      <w:tr w14:paraId="2EF0E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7"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7057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i w:val="0"/>
                <w:iCs w:val="0"/>
                <w:snapToGrid/>
                <w:color w:val="000000"/>
                <w:kern w:val="2"/>
                <w:sz w:val="24"/>
                <w:szCs w:val="24"/>
                <w:u w:val="none"/>
                <w:lang w:val="en-US" w:eastAsia="zh-CN"/>
              </w:rPr>
            </w:pPr>
            <w:r>
              <w:rPr>
                <w:rFonts w:hint="eastAsia" w:ascii="仿宋" w:hAnsi="仿宋" w:eastAsia="仿宋" w:cs="仿宋"/>
                <w:i w:val="0"/>
                <w:iCs w:val="0"/>
                <w:snapToGrid/>
                <w:color w:val="000000"/>
                <w:kern w:val="0"/>
                <w:sz w:val="24"/>
                <w:szCs w:val="24"/>
                <w:u w:val="none"/>
                <w:lang w:val="en-US" w:eastAsia="zh-CN" w:bidi="ar"/>
              </w:rPr>
              <w:t>31</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E474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监控级硬盘</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8265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1、16TB容量，3.5英寸，SATA3.0接口，7200RPM</w:t>
            </w:r>
          </w:p>
          <w:p w14:paraId="609EC37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2、氦气盘， CMR传统磁记录</w:t>
            </w:r>
          </w:p>
          <w:p w14:paraId="6A2379A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3、传输速率269 MB/s，流畅存储视频有效防止丢帧</w:t>
            </w:r>
          </w:p>
          <w:p w14:paraId="70AC6F8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4、高级格式（AF）512e扇区技术，保障硬盘扇区4K对齐</w:t>
            </w:r>
          </w:p>
          <w:p w14:paraId="5D5E5C7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5、满足数据严苛的7*24小时运行可靠性、安全性的需求</w:t>
            </w:r>
          </w:p>
          <w:p w14:paraId="5F5A1F1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6、支持5年有限质保服务</w:t>
            </w:r>
          </w:p>
          <w:p w14:paraId="19DF419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7、适用海拔高度范围-305m至3050m。</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B46E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块</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B3D4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9</w:t>
            </w:r>
          </w:p>
        </w:tc>
      </w:tr>
      <w:tr w14:paraId="41A2C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5"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F5FB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i w:val="0"/>
                <w:iCs w:val="0"/>
                <w:snapToGrid/>
                <w:color w:val="000000"/>
                <w:kern w:val="2"/>
                <w:sz w:val="24"/>
                <w:szCs w:val="24"/>
                <w:u w:val="none"/>
                <w:lang w:val="en-US" w:eastAsia="zh-CN"/>
              </w:rPr>
            </w:pPr>
            <w:r>
              <w:rPr>
                <w:rFonts w:hint="eastAsia" w:ascii="仿宋" w:hAnsi="仿宋" w:eastAsia="仿宋" w:cs="仿宋"/>
                <w:i w:val="0"/>
                <w:iCs w:val="0"/>
                <w:snapToGrid/>
                <w:color w:val="000000"/>
                <w:kern w:val="0"/>
                <w:sz w:val="24"/>
                <w:szCs w:val="24"/>
                <w:u w:val="none"/>
                <w:lang w:val="en-US" w:eastAsia="zh-CN" w:bidi="ar"/>
              </w:rPr>
              <w:t>32</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74BC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UPS</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top"/>
          </w:tcPr>
          <w:p w14:paraId="7C6D8C5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1、高频在线式UPS主机，三进三出/三进单出/单进单出可调，塔式/机架式可转换安装</w:t>
            </w:r>
          </w:p>
          <w:p w14:paraId="59C4971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2、环境温度为25℃时，在正常工作条件、异常工作条件和单一故障条件下，设备可触及的外表面和零部件的接触温度应符合GB 16796-2022中表6规定的要求。</w:t>
            </w:r>
          </w:p>
          <w:p w14:paraId="7AD886E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3、UPS主机具有双键组合开关机功能，主机开机应同时按ON双键，关机应同时按OFF双键。</w:t>
            </w:r>
          </w:p>
          <w:p w14:paraId="176DA81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4、UPS主机具有并机通信冗余功能，当单根并机线故障时，不影响UPS并机输出。</w:t>
            </w:r>
          </w:p>
          <w:p w14:paraId="7F3A342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5、UPS主机具有电池冷启动按钮，支持在无市电情况下启动UPS。</w:t>
            </w:r>
          </w:p>
          <w:p w14:paraId="6A8A03D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6、UPS主机组成并机系统时，具有并机共用电池组功能。</w:t>
            </w:r>
          </w:p>
          <w:p w14:paraId="77AF1E1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7、UPS主机具有电池管理功能，可设置电池充电限流系数和温度补偿系数</w:t>
            </w:r>
          </w:p>
          <w:p w14:paraId="293FF9C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8、UPS主机具有放电记录查询功能。</w:t>
            </w:r>
          </w:p>
          <w:p w14:paraId="69F8CAE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9、UPS主机具有电池剩余电量管理功能，可查询电池剩余容量（%）和电池剩余时间（min）。</w:t>
            </w:r>
          </w:p>
          <w:p w14:paraId="188DE95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10、UPS主机支持设置开启标准电池测试和深度电池测试。</w:t>
            </w:r>
          </w:p>
          <w:p w14:paraId="373C6EC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11、UPS主机可设置开启来电启动功能。</w:t>
            </w:r>
          </w:p>
          <w:p w14:paraId="46C750C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snapToGrid/>
                <w:color w:val="000000"/>
                <w:kern w:val="2"/>
                <w:sz w:val="24"/>
                <w:szCs w:val="24"/>
                <w:u w:val="none"/>
                <w:lang w:val="en-US" w:eastAsia="zh-CN" w:bidi="ar"/>
              </w:rPr>
              <w:t>12、UPS主机具有电池回路异常告警功能，当电池回路异常时可触发异常告警。</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AB8C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台</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F50B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w:t>
            </w:r>
          </w:p>
        </w:tc>
      </w:tr>
      <w:tr w14:paraId="21E55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44"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581E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i w:val="0"/>
                <w:iCs w:val="0"/>
                <w:snapToGrid/>
                <w:color w:val="000000"/>
                <w:kern w:val="2"/>
                <w:sz w:val="24"/>
                <w:szCs w:val="24"/>
                <w:u w:val="none"/>
                <w:lang w:val="en-US" w:eastAsia="zh-CN"/>
              </w:rPr>
            </w:pPr>
            <w:r>
              <w:rPr>
                <w:rFonts w:hint="eastAsia" w:ascii="仿宋" w:hAnsi="仿宋" w:eastAsia="仿宋" w:cs="仿宋"/>
                <w:i w:val="0"/>
                <w:iCs w:val="0"/>
                <w:snapToGrid/>
                <w:color w:val="000000"/>
                <w:kern w:val="0"/>
                <w:sz w:val="24"/>
                <w:szCs w:val="24"/>
                <w:u w:val="none"/>
                <w:lang w:val="en-US" w:eastAsia="zh-CN" w:bidi="ar"/>
              </w:rPr>
              <w:t>33</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29B0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电池</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7786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1、标称电压：12V</w:t>
            </w:r>
          </w:p>
          <w:p w14:paraId="7B98EB1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2、额定容量：100Ah（C20，1.75V/单体、25℃）</w:t>
            </w:r>
          </w:p>
          <w:p w14:paraId="0C4DB5D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3、尺寸：330mm*174mm*224mm</w:t>
            </w:r>
          </w:p>
          <w:p w14:paraId="5C53223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4、重量：27.6kg</w:t>
            </w:r>
          </w:p>
          <w:p w14:paraId="251B14F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5、内阻：约4.9mΩ（荷电状态25℃，测试设备：HIOKI 3554 BATTERY HITESTER）</w:t>
            </w:r>
          </w:p>
          <w:p w14:paraId="165BD61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6、短路电流：2500A</w:t>
            </w:r>
          </w:p>
          <w:p w14:paraId="606BA06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7、自放电：≤2%/月（25℃）</w:t>
            </w:r>
          </w:p>
          <w:p w14:paraId="4A05F19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8、适用温度范围：-15℃~45℃</w:t>
            </w:r>
          </w:p>
          <w:p w14:paraId="62182F0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9、设计寿命：10年</w:t>
            </w:r>
          </w:p>
          <w:p w14:paraId="6E32B6A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10、执行标准：GB/T 19639.1-2014</w:t>
            </w:r>
          </w:p>
          <w:p w14:paraId="2546670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11、均充电压：2.40V/单体（25℃）</w:t>
            </w:r>
          </w:p>
          <w:p w14:paraId="07A1673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12、浮充电压V/单体：2.27V/单体（25℃）</w:t>
            </w:r>
          </w:p>
          <w:p w14:paraId="76CF102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13、温度补偿系数：-3.5mV/℃·单体</w:t>
            </w:r>
          </w:p>
          <w:p w14:paraId="3A38564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14、最大充电电流 ：25A。</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86C2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节</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862D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32</w:t>
            </w:r>
          </w:p>
        </w:tc>
      </w:tr>
      <w:tr w14:paraId="0A422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0"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1F28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i w:val="0"/>
                <w:iCs w:val="0"/>
                <w:snapToGrid/>
                <w:color w:val="000000"/>
                <w:kern w:val="2"/>
                <w:sz w:val="24"/>
                <w:szCs w:val="24"/>
                <w:u w:val="none"/>
                <w:lang w:val="en-US" w:eastAsia="zh-CN"/>
              </w:rPr>
            </w:pPr>
            <w:r>
              <w:rPr>
                <w:rFonts w:hint="eastAsia" w:ascii="仿宋" w:hAnsi="仿宋" w:eastAsia="仿宋" w:cs="仿宋"/>
                <w:i w:val="0"/>
                <w:iCs w:val="0"/>
                <w:snapToGrid/>
                <w:color w:val="000000"/>
                <w:kern w:val="0"/>
                <w:sz w:val="24"/>
                <w:szCs w:val="24"/>
                <w:u w:val="none"/>
                <w:lang w:val="en-US" w:eastAsia="zh-CN" w:bidi="ar"/>
              </w:rPr>
              <w:t>34</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FDB0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电池箱</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7640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颜色：黑色</w:t>
            </w:r>
          </w:p>
          <w:p w14:paraId="3EF8F4A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外观尺寸：长*宽*高=950*780*1200(mm)</w:t>
            </w:r>
          </w:p>
          <w:p w14:paraId="6ED3327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净重（KG）：75KG</w:t>
            </w:r>
          </w:p>
          <w:p w14:paraId="74AFEB8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毛重（KG）：76.5KG</w:t>
            </w:r>
          </w:p>
          <w:p w14:paraId="6F8B16E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安装方式：框架焊接式，前后插板，四层结构，每层8只电池；</w:t>
            </w:r>
          </w:p>
          <w:p w14:paraId="75221B6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材料类型：冷轧钢板（SPCC）</w:t>
            </w:r>
          </w:p>
          <w:p w14:paraId="2FFC78E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板材厚度：左壁1.0mm，右壁1.0mm，顶盖0.6mm。层板：30*30/40*40角铁，尺寸724*937mm</w:t>
            </w:r>
          </w:p>
          <w:p w14:paraId="2DAFD32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其他板厚：立柱为角铁型材增加加强筋结构，柜体为整体受力结构</w:t>
            </w:r>
          </w:p>
          <w:p w14:paraId="3EB6E72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接线柱：含</w:t>
            </w:r>
          </w:p>
          <w:p w14:paraId="09D7599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空开：1个63A/3P。</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12AA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个</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2A53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w:t>
            </w:r>
          </w:p>
        </w:tc>
      </w:tr>
      <w:tr w14:paraId="79BC6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82"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232D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i w:val="0"/>
                <w:iCs w:val="0"/>
                <w:snapToGrid/>
                <w:color w:val="000000"/>
                <w:kern w:val="2"/>
                <w:sz w:val="24"/>
                <w:szCs w:val="24"/>
                <w:u w:val="none"/>
                <w:lang w:val="en-US" w:eastAsia="zh-CN"/>
              </w:rPr>
            </w:pPr>
            <w:r>
              <w:rPr>
                <w:rFonts w:hint="eastAsia" w:ascii="仿宋" w:hAnsi="仿宋" w:eastAsia="仿宋" w:cs="仿宋"/>
                <w:i w:val="0"/>
                <w:iCs w:val="0"/>
                <w:snapToGrid/>
                <w:color w:val="000000"/>
                <w:kern w:val="0"/>
                <w:sz w:val="24"/>
                <w:szCs w:val="24"/>
                <w:u w:val="none"/>
                <w:lang w:val="en-US" w:eastAsia="zh-CN" w:bidi="ar"/>
              </w:rPr>
              <w:t>35</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7745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连接线</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D76C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适配32节电池箱用</w:t>
            </w:r>
          </w:p>
          <w:p w14:paraId="2EB4B39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套装内物料：</w:t>
            </w:r>
          </w:p>
          <w:p w14:paraId="39277EF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1、连接线缆：</w:t>
            </w:r>
          </w:p>
          <w:p w14:paraId="62C5E6B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 xml:space="preserve">     规格: ZR-BVR-16方</w:t>
            </w:r>
          </w:p>
          <w:p w14:paraId="0DA994B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 xml:space="preserve">     数量：长度1200mm*2根,450mm*33根</w:t>
            </w:r>
          </w:p>
          <w:p w14:paraId="7A48687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2、绝缘帽：</w:t>
            </w:r>
          </w:p>
          <w:p w14:paraId="273EFAE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 xml:space="preserve">     数量：68</w:t>
            </w:r>
          </w:p>
          <w:p w14:paraId="005DA2E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 xml:space="preserve">     颜色：红/黑</w:t>
            </w:r>
          </w:p>
          <w:p w14:paraId="512E11A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3、铜鼻子：</w:t>
            </w:r>
          </w:p>
          <w:p w14:paraId="6B4FB1E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 xml:space="preserve">     规格：OT-8，已压接</w:t>
            </w:r>
          </w:p>
          <w:p w14:paraId="768B913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 xml:space="preserve">     数量（套）：70。</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A61C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套</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9107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w:t>
            </w:r>
          </w:p>
        </w:tc>
      </w:tr>
      <w:tr w14:paraId="0B1F6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01"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9F95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i w:val="0"/>
                <w:iCs w:val="0"/>
                <w:snapToGrid/>
                <w:color w:val="000000"/>
                <w:kern w:val="2"/>
                <w:sz w:val="24"/>
                <w:szCs w:val="24"/>
                <w:u w:val="none"/>
                <w:lang w:val="en-US" w:eastAsia="zh-CN"/>
              </w:rPr>
            </w:pPr>
            <w:r>
              <w:rPr>
                <w:rFonts w:hint="eastAsia" w:ascii="仿宋" w:hAnsi="仿宋" w:eastAsia="仿宋" w:cs="仿宋"/>
                <w:i w:val="0"/>
                <w:iCs w:val="0"/>
                <w:snapToGrid/>
                <w:color w:val="000000"/>
                <w:kern w:val="0"/>
                <w:sz w:val="24"/>
                <w:szCs w:val="24"/>
                <w:u w:val="none"/>
                <w:lang w:val="en-US" w:eastAsia="zh-CN" w:bidi="ar"/>
              </w:rPr>
              <w:t>36</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C5E4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高清解码器</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7D86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1、≥4路HDMI进+≥24路HDMI出解码器，采用嵌入式架构,无需其他操作系统。</w:t>
            </w:r>
          </w:p>
          <w:p w14:paraId="109BE7C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2、支持通过客户端软件添加、删除、修改用户，可为不同用户设置不同画面管理区域，包括资源权限、配置权限、操作权限;最大可设置 32个用户</w:t>
            </w:r>
          </w:p>
          <w:p w14:paraId="54309CE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3、通过抓屏软件可将远程笔记本桌面实时解码上墙显示，实时画面帧率≥30fps;可同时抓取8个4K信号上墙显示且上墙前后CPU占用率无明显变化；支持在电视墙上进行8画面分割显示;可对远程笔记本桌面进行整屏、单窗口抓屏上墙。</w:t>
            </w:r>
          </w:p>
          <w:p w14:paraId="6A83904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4、支持将1路输入视频图像发送至多个输出接口拼接显示;支持将多路输入视频图像发送至多个输出接口拼接显示;支持设备内任意输出解码板之间的拼接或集群内任意设备输出口拼接功能;最大支持拼接24路(1920x1080)像素的视频图像;拼接时不同输出口之间画面同步;支持多块屏幕图像的任意规格拼接支持将所有显示单元拼接形成一个高分辨率的无缝单一屏;全屏刷新时间≤20ms。</w:t>
            </w:r>
          </w:p>
          <w:p w14:paraId="42E9E92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5、支持窗口叠加功能，可根据操作排列叠加窗口顺序，可设置置顶窗口，操作时置顶窗口始终位于最顶层;支持跨屏拼接、漫游、图层叠加功能，支持任意一路信号可在整屏的任意位置漫游、缩放、叠加显示。单输出口最大支持2个4K(3840X2160)像素图层或者4个1080P(1920X1080)像素图层。</w:t>
            </w:r>
          </w:p>
          <w:p w14:paraId="2F16D67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6、支持日期时间和字符两种字符叠加(OSD)类型配置，支持手动启用或停用OSD；日期时间叠加OSD支持修改日期格式和时间格式;字符叠加OSD支持自定义OSD内容,并修改字体大小、字体颜色和 OSD显示位置坐标;支持将一个本地信号源的OSD配置参数复制到其他通道进行批量配置;客户端可实时预览叠加 OSD的图像。</w:t>
            </w:r>
          </w:p>
          <w:p w14:paraId="4A868AE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7、支持虚拟LED字幕功能，支持设置字体颜色、背景颜色、滚动和静止模式、滚动速度，滚动的情况下流畅无卡顿;字幕内容支持中英文字符，支持换行;支持时钟数字显示，时间为设备自身时间;支持配置显示年月日时分秒的样式以及12/24 时间制式;整机最大支持8个字幕同时显示，单墙支持3条字幕;支持滚动模式下首尾相接效果，支持跑马灯效果。</w:t>
            </w:r>
          </w:p>
          <w:p w14:paraId="52C8974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8、单子板解码能力:支持2路3200W，或2路2400W，或4路1600W，或5路1200W，或8路800W,或10路600W，或12路500W，或16路400W，或20路300W，或32路200W，或64路720P及以下分辨率。整机解码能力:支持12路3200W/2400W，或24路1600W,或30路1200W,或48路800W,或60路600w，或96路400W，或192路1080P，或384路720P/D1及以下分辨率。</w:t>
            </w:r>
          </w:p>
          <w:p w14:paraId="6D8F0AF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9、支持通过 HDMI视频输入接口接入分辨率为1024x768(60Hz)、1280x1024(60Hz)、1366x768(60Hz)、1440x900(60Hz)、1680x1050(60Hz)、1280x960(60Hz)、1600x1200(60Hz)、1280x720(50Hz)、1280x720(60Hz)、1920x1080(50Hz)、1920x1080(60Hz)、1920x1200(60Hz)、3840x2160(30Hz)的视频图像并显示。</w:t>
            </w:r>
          </w:p>
          <w:p w14:paraId="17D1F41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10、支持通过HDMI视频输出接口输出分辨率为1024x768(60Hz)、1280x1024(60Hz)、1280x720(60Hz)、1600 x1200(60Hz)、1680x1050(60Hz)、1920x1200(60Hz)、1920x1080(60Hz)、3840x2160(30Hz)的视频图像。</w:t>
            </w:r>
          </w:p>
          <w:p w14:paraId="3BCBF01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11、支持通过IPV6协议与IPC、NVR、平台设备对接。</w:t>
            </w:r>
          </w:p>
          <w:p w14:paraId="060C6A3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12、支持通过平台/客户端界面查看屏幕运维信息，包括使用时长、序列号、温度、亮度、显示模式;支持下发配置屏幕参数。</w:t>
            </w:r>
          </w:p>
          <w:p w14:paraId="1A20EE8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b/>
                <w:bCs/>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13、设备接入具有智能分析功能的摄像机，可解码显示智能分析信息，包括热成像检测、船只检测、区域入侵等。</w:t>
            </w:r>
            <w:r>
              <w:rPr>
                <w:rFonts w:hint="eastAsia" w:ascii="仿宋" w:hAnsi="仿宋" w:eastAsia="仿宋" w:cs="仿宋"/>
                <w:b/>
                <w:bCs/>
                <w:snapToGrid/>
                <w:color w:val="000000"/>
                <w:kern w:val="2"/>
                <w:sz w:val="24"/>
                <w:szCs w:val="24"/>
                <w:u w:val="none"/>
                <w:lang w:val="en-US" w:eastAsia="zh-CN" w:bidi="ar"/>
              </w:rPr>
              <w:t>（提供公安部检测报告复印件并加盖投标人公章证明）</w:t>
            </w:r>
          </w:p>
          <w:p w14:paraId="553F1B5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snapToGrid/>
                <w:color w:val="000000"/>
                <w:kern w:val="2"/>
                <w:sz w:val="24"/>
                <w:szCs w:val="24"/>
                <w:u w:val="none"/>
                <w:lang w:val="en-US" w:eastAsia="zh-CN" w:bidi="ar"/>
              </w:rPr>
            </w:pPr>
            <w:r>
              <w:rPr>
                <w:rFonts w:hint="eastAsia" w:ascii="仿宋" w:hAnsi="仿宋" w:eastAsia="仿宋" w:cs="仿宋"/>
                <w:snapToGrid/>
                <w:color w:val="000000"/>
                <w:kern w:val="2"/>
                <w:sz w:val="24"/>
                <w:szCs w:val="24"/>
                <w:u w:val="none"/>
                <w:lang w:val="en-US" w:eastAsia="zh-CN" w:bidi="ar"/>
              </w:rPr>
              <w:t>14、支持(1+1)冗余电源，当一路电源模块出现异常时，系统可自动切换到备用电源模块，电源切换过程设备运行不受影响。</w:t>
            </w:r>
          </w:p>
          <w:p w14:paraId="12CF4A7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snapToGrid/>
                <w:color w:val="000000"/>
                <w:kern w:val="2"/>
                <w:sz w:val="24"/>
                <w:szCs w:val="24"/>
                <w:u w:val="none"/>
                <w:lang w:val="en-US" w:eastAsia="zh-CN" w:bidi="ar"/>
              </w:rPr>
              <w:t>15、支持根据温度变化自动调整转速，风扇模块支持热插拔操作。</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F025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台</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C532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w:t>
            </w:r>
          </w:p>
        </w:tc>
      </w:tr>
      <w:tr w14:paraId="2F4C0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48"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CEEE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i w:val="0"/>
                <w:iCs w:val="0"/>
                <w:snapToGrid/>
                <w:color w:val="000000"/>
                <w:kern w:val="2"/>
                <w:sz w:val="24"/>
                <w:szCs w:val="24"/>
                <w:u w:val="none"/>
                <w:lang w:val="en-US" w:eastAsia="zh-CN"/>
              </w:rPr>
            </w:pPr>
            <w:r>
              <w:rPr>
                <w:rFonts w:hint="eastAsia" w:ascii="仿宋" w:hAnsi="仿宋" w:eastAsia="仿宋" w:cs="仿宋"/>
                <w:i w:val="0"/>
                <w:iCs w:val="0"/>
                <w:snapToGrid/>
                <w:color w:val="000000"/>
                <w:kern w:val="0"/>
                <w:sz w:val="24"/>
                <w:szCs w:val="24"/>
                <w:u w:val="none"/>
                <w:lang w:val="en-US" w:eastAsia="zh-CN" w:bidi="ar"/>
              </w:rPr>
              <w:t>37</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7816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SIP网关</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D557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1、符合《国家教育考试网上巡查系统视频标准技术规范（2017版）》相关技术规范；</w:t>
            </w:r>
          </w:p>
          <w:p w14:paraId="398BE0D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2、具备实时操作系统Linux-CentOS7.3(或者统信服务器操作系统UnionTech OS Server 20-1050a)，本身具有抗病毒和抗攻击能力；</w:t>
            </w:r>
          </w:p>
          <w:p w14:paraId="604F145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3、采用国产CPU芯片、通过统信软件产品互认证明，满足功能及兼容性测试要求，适应统信操作系统。</w:t>
            </w:r>
          </w:p>
          <w:p w14:paraId="400E4C6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4、支持基于国标（GB/T 28181-2016）协议和标准ONVIF协议的设备接入；</w:t>
            </w:r>
          </w:p>
          <w:p w14:paraId="17F1629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5、支持标准国标码流协商方式，支持信令UDP方式点播实时视频，支持码流TCP或UDP方式的点播实时视频，其中TCP方式支持主动（active）和被动模式（passive）；</w:t>
            </w:r>
          </w:p>
          <w:p w14:paraId="72B63C6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6、支持国内主流厂商（包括海康、大华、天地伟业等）的存储设备，编码设备的SDK方式接入；</w:t>
            </w:r>
          </w:p>
          <w:p w14:paraId="5B88951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7、支持SIP URI统一命名规则、分级命名、联合定位；SIP URI组、用户、树形列表管理；SIP URI地址解析；</w:t>
            </w:r>
          </w:p>
          <w:p w14:paraId="2CBA368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8、支持对系统管理员进行分组，可对平台设置多个管理员，对每个管理员赋予不同的管理权限，如添加删除设备、账号权限，查看权限、设置权限等；</w:t>
            </w:r>
          </w:p>
          <w:p w14:paraId="00977BD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9、支持多转发分布式部署协同工作，满足大路数高清视频流的转发需求；</w:t>
            </w:r>
          </w:p>
          <w:p w14:paraId="7AAC465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10、支持根据网络情况和使用需求，动态调整视频分辨率；</w:t>
            </w:r>
          </w:p>
          <w:p w14:paraId="1AFB16F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11、支持对系统基本参数的设置，如上级SIP参数、本级SIP参数、转发参数、端口等设置；</w:t>
            </w:r>
          </w:p>
          <w:p w14:paraId="3D6BD98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能实现核心数据库的备份；</w:t>
            </w:r>
          </w:p>
          <w:p w14:paraId="3F6C4BA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12、采用基于B/S架构的管理模式；</w:t>
            </w:r>
          </w:p>
          <w:p w14:paraId="6C9FD83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13、支持查看系统内设备的在线信息；</w:t>
            </w:r>
          </w:p>
          <w:p w14:paraId="7B8203F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14、支持多码流选取；</w:t>
            </w:r>
          </w:p>
          <w:p w14:paraId="0A16E31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15、支持远程云台/镜头控制；</w:t>
            </w:r>
          </w:p>
          <w:p w14:paraId="133D578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16、支持SIP向上级的主动注册与多级注册管理；</w:t>
            </w:r>
          </w:p>
          <w:p w14:paraId="389E9C3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17、支持IP、UDP、RTP、RTCP、SIP、TCP/IP、DHCP、PPPOE等网络协议；</w:t>
            </w:r>
          </w:p>
          <w:p w14:paraId="56F722C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18、支持媒体流分发，汇聚；</w:t>
            </w:r>
          </w:p>
          <w:p w14:paraId="27AD030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19、支持点播、组播、广播；</w:t>
            </w:r>
          </w:p>
          <w:p w14:paraId="1CC85A9A">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20、支持转发干线传输协议：在巡查系统中转发服务器与转发服务器之间建立一个双向视频传输通道。实现最底层网上巡查系统（学校级）不需要外网IP(或NAT映射)就可实现和上级巡查系统的对接；</w:t>
            </w:r>
          </w:p>
          <w:p w14:paraId="3DE1476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21、支持网络拥塞控制等功能；</w:t>
            </w:r>
          </w:p>
          <w:p w14:paraId="0E1499D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22、支持视频多路复用；</w:t>
            </w:r>
          </w:p>
          <w:p w14:paraId="72AB521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23、支持视频路由控制；</w:t>
            </w:r>
          </w:p>
          <w:p w14:paraId="2B37E57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24、支持视频传输优先级控制；</w:t>
            </w:r>
          </w:p>
          <w:p w14:paraId="6B2E127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25、支持音/视频数据压缩及封装；</w:t>
            </w:r>
          </w:p>
          <w:p w14:paraId="4ED6EC0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26、支持客户端远程登录实现实时图像预览、历史数据回放下载设置；</w:t>
            </w:r>
          </w:p>
          <w:p w14:paraId="0AB1D69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27、支持考试工作报表；</w:t>
            </w:r>
          </w:p>
          <w:p w14:paraId="187C88C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28、支持图形化机构拓扑呈现、设备拓扑呈现；</w:t>
            </w:r>
          </w:p>
          <w:p w14:paraId="4AB45E2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29、支持图形化操作入口；</w:t>
            </w:r>
          </w:p>
          <w:p w14:paraId="7F32E7F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30、支持生成和打印设备清单报表；</w:t>
            </w:r>
          </w:p>
          <w:p w14:paraId="6D35E24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31、支持基本信息维护，如用户的密码、单位、联系方式等。</w:t>
            </w:r>
          </w:p>
          <w:p w14:paraId="512A6ED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32、支持图形化操作台，可根据存储服务器型号生成拓扑结构图，在设备拓扑上添加、修改、查举摄像机，并提供拖动方式调整摄像机对应的存储服务器通道功能。（提供法定检测机构检测报告）；</w:t>
            </w:r>
          </w:p>
          <w:p w14:paraId="3F3FD29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33、支持根据组网模式、上下级机构拓扑关系生成可视化3D拓扑结构图，支持以3D形式展示系统实时运行状态，SIP工作状态、转发工作状态、平台间SIP注册状态、数据流状态等（提供法定检测机构检测报告）；</w:t>
            </w:r>
          </w:p>
          <w:p w14:paraId="37A662C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2"/>
                <w:sz w:val="24"/>
                <w:szCs w:val="24"/>
                <w:u w:val="none"/>
                <w:lang w:eastAsia="zh-CN"/>
              </w:rPr>
              <w:t>34、综合数据对接：将巡查数据包括检查信息、通道实时视频画面等上传上报至湖南省教育考试院及长沙市教育考试院巡查指挥平台、考务综合平台，并能够与原有系统实现互联互通，为管理者决策提供支撑。</w:t>
            </w:r>
            <w:r>
              <w:rPr>
                <w:rFonts w:hint="eastAsia" w:ascii="仿宋" w:hAnsi="仿宋" w:eastAsia="仿宋" w:cs="仿宋"/>
                <w:b/>
                <w:bCs/>
                <w:i w:val="0"/>
                <w:iCs w:val="0"/>
                <w:snapToGrid/>
                <w:color w:val="000000"/>
                <w:kern w:val="2"/>
                <w:sz w:val="24"/>
                <w:szCs w:val="24"/>
                <w:u w:val="none"/>
                <w:lang w:eastAsia="zh-CN"/>
              </w:rPr>
              <w:t>（提供截图证明报告并加盖投标人公章）</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3F63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台</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0502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w:t>
            </w:r>
          </w:p>
        </w:tc>
      </w:tr>
      <w:tr w14:paraId="10761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5"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56D1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i w:val="0"/>
                <w:iCs w:val="0"/>
                <w:snapToGrid/>
                <w:color w:val="000000"/>
                <w:kern w:val="2"/>
                <w:sz w:val="24"/>
                <w:szCs w:val="24"/>
                <w:u w:val="none"/>
                <w:lang w:val="en-US" w:eastAsia="zh-CN"/>
              </w:rPr>
            </w:pPr>
            <w:r>
              <w:rPr>
                <w:rFonts w:hint="eastAsia" w:ascii="仿宋" w:hAnsi="仿宋" w:eastAsia="仿宋" w:cs="仿宋"/>
                <w:i w:val="0"/>
                <w:iCs w:val="0"/>
                <w:snapToGrid/>
                <w:color w:val="000000"/>
                <w:kern w:val="0"/>
                <w:sz w:val="24"/>
                <w:szCs w:val="24"/>
                <w:u w:val="none"/>
                <w:lang w:val="en-US" w:eastAsia="zh-CN" w:bidi="ar"/>
              </w:rPr>
              <w:t>38</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38E5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万兆核心交换机</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2537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1、交换容量≥1.36Tbps，包转发率≥280Mpps。</w:t>
            </w:r>
          </w:p>
          <w:p w14:paraId="711AF58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2、固化100/1000M SFP光接口≥24，10G/1G SFP+光接口≥4个。</w:t>
            </w:r>
          </w:p>
          <w:p w14:paraId="66210E1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3、支持虚拟化功能，即可将多台物理设备虚拟化为一台逻辑设备统一管理。</w:t>
            </w:r>
          </w:p>
          <w:p w14:paraId="0AB4AA2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4、支持RIP/RIPng、OSPFv2/OSPFv3等三层路由协议。</w:t>
            </w:r>
          </w:p>
          <w:p w14:paraId="5A899F1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5、支持SNMP、CLI(Telnet/Console)、RMON、SSH、Syslog、NTP/SNTP、FTP、TFTP、Web。</w:t>
            </w:r>
          </w:p>
          <w:p w14:paraId="3420225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6、支持专门针对CPU的保护机制，能够针对发往CPU处理的各种报文进行流区分和优先级队列分级处理，保护交换机在各种环境下稳定工作。</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8E8E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台</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6B5E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w:t>
            </w:r>
          </w:p>
        </w:tc>
      </w:tr>
      <w:tr w14:paraId="7233A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3"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30FD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i w:val="0"/>
                <w:iCs w:val="0"/>
                <w:snapToGrid/>
                <w:color w:val="auto"/>
                <w:kern w:val="2"/>
                <w:sz w:val="24"/>
                <w:szCs w:val="24"/>
                <w:u w:val="none"/>
                <w:lang w:val="en-US" w:eastAsia="zh-CN"/>
              </w:rPr>
            </w:pPr>
            <w:r>
              <w:rPr>
                <w:rFonts w:hint="eastAsia" w:ascii="仿宋" w:hAnsi="仿宋" w:eastAsia="仿宋" w:cs="仿宋"/>
                <w:i w:val="0"/>
                <w:iCs w:val="0"/>
                <w:snapToGrid/>
                <w:color w:val="auto"/>
                <w:kern w:val="0"/>
                <w:sz w:val="24"/>
                <w:szCs w:val="24"/>
                <w:u w:val="none"/>
                <w:lang w:val="en-US" w:eastAsia="zh-CN" w:bidi="ar"/>
              </w:rPr>
              <w:t>39</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A9B6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auto"/>
                <w:kern w:val="2"/>
                <w:sz w:val="24"/>
                <w:szCs w:val="24"/>
                <w:u w:val="none"/>
                <w:lang w:eastAsia="zh-CN"/>
              </w:rPr>
            </w:pPr>
            <w:r>
              <w:rPr>
                <w:rFonts w:hint="eastAsia" w:ascii="仿宋" w:hAnsi="仿宋" w:eastAsia="仿宋" w:cs="仿宋"/>
                <w:i w:val="0"/>
                <w:iCs w:val="0"/>
                <w:snapToGrid/>
                <w:color w:val="auto"/>
                <w:kern w:val="0"/>
                <w:sz w:val="24"/>
                <w:szCs w:val="24"/>
                <w:u w:val="none"/>
                <w:lang w:val="en-US" w:eastAsia="zh-CN" w:bidi="ar"/>
              </w:rPr>
              <w:t>机房智能安全保护系统</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top"/>
          </w:tcPr>
          <w:p w14:paraId="0F732EB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b w:val="0"/>
                <w:bCs w:val="0"/>
                <w:snapToGrid/>
                <w:color w:val="auto"/>
                <w:kern w:val="2"/>
                <w:sz w:val="24"/>
                <w:szCs w:val="24"/>
                <w:u w:val="none"/>
                <w:lang w:val="en-US" w:eastAsia="zh-CN" w:bidi="ar"/>
              </w:rPr>
            </w:pPr>
            <w:r>
              <w:rPr>
                <w:rFonts w:hint="eastAsia" w:ascii="仿宋" w:hAnsi="仿宋" w:eastAsia="仿宋" w:cs="仿宋"/>
                <w:b w:val="0"/>
                <w:bCs w:val="0"/>
                <w:snapToGrid/>
                <w:color w:val="auto"/>
                <w:kern w:val="2"/>
                <w:sz w:val="24"/>
                <w:szCs w:val="24"/>
                <w:u w:val="none"/>
                <w:lang w:val="en-US" w:eastAsia="zh-CN" w:bidi="ar"/>
              </w:rPr>
              <w:t>1、≤1.5U，双电源，内置显示屏，标配网络防雷接口≥6路、接地通路接口≥2路、RS485接口≥6路、漏电监测接口≥6路、RS232串口≥1路、HDMI接口≥1路、USB接口≥2路、电源输出接口≥6路16A国标五孔插座，通讯接口包含RJ45、4G、WIFI；</w:t>
            </w:r>
            <w:r>
              <w:rPr>
                <w:rFonts w:hint="eastAsia" w:ascii="仿宋" w:hAnsi="仿宋" w:eastAsia="仿宋" w:cs="仿宋"/>
                <w:b/>
                <w:bCs/>
                <w:snapToGrid/>
                <w:color w:val="auto"/>
                <w:kern w:val="2"/>
                <w:sz w:val="24"/>
                <w:szCs w:val="24"/>
                <w:u w:val="none"/>
                <w:lang w:val="en-US" w:eastAsia="zh-CN" w:bidi="ar"/>
              </w:rPr>
              <w:t>（提供产品完整实物且体现接口的清晰照片并加盖投标人公章）</w:t>
            </w:r>
          </w:p>
          <w:p w14:paraId="650A9B2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b w:val="0"/>
                <w:bCs w:val="0"/>
                <w:snapToGrid/>
                <w:color w:val="auto"/>
                <w:kern w:val="2"/>
                <w:sz w:val="24"/>
                <w:szCs w:val="24"/>
                <w:u w:val="none"/>
                <w:lang w:val="en-US" w:eastAsia="zh-CN" w:bidi="ar"/>
              </w:rPr>
            </w:pPr>
            <w:r>
              <w:rPr>
                <w:rFonts w:hint="eastAsia" w:ascii="仿宋" w:hAnsi="仿宋" w:eastAsia="仿宋" w:cs="仿宋"/>
                <w:b w:val="0"/>
                <w:bCs w:val="0"/>
                <w:snapToGrid/>
                <w:color w:val="auto"/>
                <w:kern w:val="2"/>
                <w:sz w:val="24"/>
                <w:szCs w:val="24"/>
                <w:u w:val="none"/>
                <w:lang w:val="en-US" w:eastAsia="zh-CN" w:bidi="ar"/>
              </w:rPr>
              <w:t>2、具有电涌保护功能支持网络和电源系统防雷击防浪涌；</w:t>
            </w:r>
          </w:p>
          <w:p w14:paraId="1A8A4E01">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b w:val="0"/>
                <w:bCs w:val="0"/>
                <w:snapToGrid/>
                <w:color w:val="auto"/>
                <w:kern w:val="2"/>
                <w:sz w:val="24"/>
                <w:szCs w:val="24"/>
                <w:u w:val="none"/>
                <w:lang w:val="en-US" w:eastAsia="zh-CN" w:bidi="ar"/>
              </w:rPr>
            </w:pPr>
            <w:r>
              <w:rPr>
                <w:rFonts w:hint="eastAsia" w:ascii="仿宋" w:hAnsi="仿宋" w:eastAsia="仿宋" w:cs="仿宋"/>
                <w:b w:val="0"/>
                <w:bCs w:val="0"/>
                <w:snapToGrid/>
                <w:color w:val="auto"/>
                <w:kern w:val="2"/>
                <w:sz w:val="24"/>
                <w:szCs w:val="24"/>
                <w:u w:val="none"/>
                <w:lang w:val="en-US" w:eastAsia="zh-CN" w:bidi="ar"/>
              </w:rPr>
              <w:t>3、产品符合GB/T 18802.21-2016《低压电涌保护器 第21部分:电信和信号网络的电涌保护器(SPD)性能要求和试验方法》：冲击耐受能力(1.2/50us-8/20us)≥10kV/5kA；</w:t>
            </w:r>
            <w:r>
              <w:rPr>
                <w:rFonts w:hint="eastAsia" w:ascii="仿宋" w:hAnsi="仿宋" w:eastAsia="仿宋" w:cs="仿宋"/>
                <w:b/>
                <w:bCs/>
                <w:snapToGrid/>
                <w:color w:val="auto"/>
                <w:kern w:val="2"/>
                <w:sz w:val="24"/>
                <w:szCs w:val="24"/>
                <w:u w:val="none"/>
                <w:lang w:val="en-US" w:eastAsia="zh-CN" w:bidi="ar"/>
              </w:rPr>
              <w:t>（提供具有CMA和CNAS标识的第三方检测机构依据GB/T 18802.21-2016标准出具的完整检测报告并加盖投标人公章）</w:t>
            </w:r>
          </w:p>
          <w:p w14:paraId="0CBF796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b w:val="0"/>
                <w:bCs w:val="0"/>
                <w:snapToGrid/>
                <w:color w:val="auto"/>
                <w:kern w:val="2"/>
                <w:sz w:val="24"/>
                <w:szCs w:val="24"/>
                <w:u w:val="none"/>
                <w:lang w:val="en-US" w:eastAsia="zh-CN" w:bidi="ar"/>
              </w:rPr>
            </w:pPr>
            <w:r>
              <w:rPr>
                <w:rFonts w:hint="eastAsia" w:ascii="仿宋" w:hAnsi="仿宋" w:eastAsia="仿宋" w:cs="仿宋"/>
                <w:b w:val="0"/>
                <w:bCs w:val="0"/>
                <w:snapToGrid/>
                <w:color w:val="auto"/>
                <w:kern w:val="2"/>
                <w:sz w:val="24"/>
                <w:szCs w:val="24"/>
                <w:u w:val="none"/>
                <w:lang w:val="en-US" w:eastAsia="zh-CN" w:bidi="ar"/>
              </w:rPr>
              <w:t>4、产品符合GB/T 18802.11-2020《低压电涌保护器(SPD)第11部分:低压电源系统的电涌保护器性能要求和试验方法》：标称放电电流In(8/20μs)≥20kA，最大放电电流Imax(8/20μs)≥40kA，电压保护水平Up≤1.6kV；</w:t>
            </w:r>
          </w:p>
          <w:p w14:paraId="6903ADB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b w:val="0"/>
                <w:bCs w:val="0"/>
                <w:snapToGrid/>
                <w:color w:val="auto"/>
                <w:kern w:val="2"/>
                <w:sz w:val="24"/>
                <w:szCs w:val="24"/>
                <w:u w:val="none"/>
                <w:lang w:val="en-US" w:eastAsia="zh-CN" w:bidi="ar"/>
              </w:rPr>
            </w:pPr>
            <w:r>
              <w:rPr>
                <w:rFonts w:hint="eastAsia" w:ascii="仿宋" w:hAnsi="仿宋" w:eastAsia="仿宋" w:cs="仿宋"/>
                <w:b w:val="0"/>
                <w:bCs w:val="0"/>
                <w:snapToGrid/>
                <w:color w:val="auto"/>
                <w:kern w:val="2"/>
                <w:sz w:val="24"/>
                <w:szCs w:val="24"/>
                <w:u w:val="none"/>
                <w:lang w:val="en-US" w:eastAsia="zh-CN" w:bidi="ar"/>
              </w:rPr>
              <w:t>5、内置触控显示屏≥2.8英寸，可显示监测状态、设备信息和告警信息等，屏显内容包含：防雷器状态、防雷器温度、防雷器寿命、雷击浪涌次数、接地通断、漏电流、温度、湿度、烟雾、水浸、告警信息、安装单位、联系人、联系电话；</w:t>
            </w:r>
          </w:p>
          <w:p w14:paraId="30BF1433">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b w:val="0"/>
                <w:bCs w:val="0"/>
                <w:snapToGrid/>
                <w:color w:val="auto"/>
                <w:kern w:val="2"/>
                <w:sz w:val="24"/>
                <w:szCs w:val="24"/>
                <w:u w:val="none"/>
                <w:lang w:val="en-US" w:eastAsia="zh-CN" w:bidi="ar"/>
              </w:rPr>
            </w:pPr>
            <w:r>
              <w:rPr>
                <w:rFonts w:hint="eastAsia" w:ascii="仿宋" w:hAnsi="仿宋" w:eastAsia="仿宋" w:cs="仿宋"/>
                <w:b w:val="0"/>
                <w:bCs w:val="0"/>
                <w:snapToGrid/>
                <w:color w:val="auto"/>
                <w:kern w:val="2"/>
                <w:sz w:val="24"/>
                <w:szCs w:val="24"/>
                <w:u w:val="none"/>
                <w:lang w:val="en-US" w:eastAsia="zh-CN" w:bidi="ar"/>
              </w:rPr>
              <w:t>6、支持监测指标实时查询、数据分析、视频监控、设备管理、告警阈值管理、触发器管理、工单管理、多级用户权限管理；</w:t>
            </w:r>
            <w:r>
              <w:rPr>
                <w:rFonts w:hint="eastAsia" w:ascii="仿宋" w:hAnsi="仿宋" w:eastAsia="仿宋" w:cs="仿宋"/>
                <w:b/>
                <w:bCs/>
                <w:snapToGrid/>
                <w:color w:val="auto"/>
                <w:kern w:val="2"/>
                <w:sz w:val="24"/>
                <w:szCs w:val="24"/>
                <w:u w:val="none"/>
                <w:lang w:val="en-US" w:eastAsia="zh-CN" w:bidi="ar"/>
              </w:rPr>
              <w:t>（提供以上各项软件功能截图并加盖投标人公章）</w:t>
            </w:r>
          </w:p>
          <w:p w14:paraId="11A3E74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b w:val="0"/>
                <w:bCs w:val="0"/>
                <w:snapToGrid/>
                <w:color w:val="auto"/>
                <w:kern w:val="2"/>
                <w:sz w:val="24"/>
                <w:szCs w:val="24"/>
                <w:u w:val="none"/>
                <w:lang w:val="en-US" w:eastAsia="zh-CN" w:bidi="ar"/>
              </w:rPr>
            </w:pPr>
            <w:r>
              <w:rPr>
                <w:rFonts w:hint="eastAsia" w:ascii="仿宋" w:hAnsi="仿宋" w:eastAsia="仿宋" w:cs="仿宋"/>
                <w:b w:val="0"/>
                <w:bCs w:val="0"/>
                <w:snapToGrid/>
                <w:color w:val="auto"/>
                <w:kern w:val="2"/>
                <w:sz w:val="24"/>
                <w:szCs w:val="24"/>
                <w:u w:val="none"/>
                <w:lang w:val="en-US" w:eastAsia="zh-CN" w:bidi="ar"/>
              </w:rPr>
              <w:t>7、网络防雷接口支持POE供电，可为监控摄像头远程供电，管理平台可实时查看监控画面，支持对视频流的网络传输进行优化整形，降低网络传输引发的视频卡顿风险；</w:t>
            </w:r>
          </w:p>
          <w:p w14:paraId="4B769C2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b w:val="0"/>
                <w:bCs w:val="0"/>
                <w:snapToGrid/>
                <w:color w:val="auto"/>
                <w:kern w:val="2"/>
                <w:sz w:val="24"/>
                <w:szCs w:val="24"/>
                <w:u w:val="none"/>
                <w:lang w:val="en-US" w:eastAsia="zh-CN" w:bidi="ar"/>
              </w:rPr>
            </w:pPr>
            <w:r>
              <w:rPr>
                <w:rFonts w:hint="eastAsia" w:ascii="仿宋" w:hAnsi="仿宋" w:eastAsia="仿宋" w:cs="仿宋"/>
                <w:b w:val="0"/>
                <w:bCs w:val="0"/>
                <w:snapToGrid/>
                <w:color w:val="auto"/>
                <w:kern w:val="2"/>
                <w:sz w:val="24"/>
                <w:szCs w:val="24"/>
                <w:u w:val="none"/>
                <w:lang w:val="en-US" w:eastAsia="zh-CN" w:bidi="ar"/>
              </w:rPr>
              <w:t>8、运维方式支持管理平台查询、故障报修、管理派发工单；</w:t>
            </w:r>
          </w:p>
          <w:p w14:paraId="1C9C461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b w:val="0"/>
                <w:bCs w:val="0"/>
                <w:snapToGrid/>
                <w:color w:val="auto"/>
                <w:kern w:val="2"/>
                <w:sz w:val="24"/>
                <w:szCs w:val="24"/>
                <w:u w:val="none"/>
                <w:lang w:val="en-US" w:eastAsia="zh-CN" w:bidi="ar"/>
              </w:rPr>
            </w:pPr>
            <w:r>
              <w:rPr>
                <w:rFonts w:hint="eastAsia" w:ascii="仿宋" w:hAnsi="仿宋" w:eastAsia="仿宋" w:cs="仿宋"/>
                <w:b w:val="0"/>
                <w:bCs w:val="0"/>
                <w:snapToGrid/>
                <w:color w:val="auto"/>
                <w:kern w:val="2"/>
                <w:sz w:val="24"/>
                <w:szCs w:val="24"/>
                <w:u w:val="none"/>
                <w:lang w:val="en-US" w:eastAsia="zh-CN" w:bidi="ar"/>
              </w:rPr>
              <w:t>9、支持设备漏电监测，当漏电监测接口所连接设备的漏电流≤25mA时就可触发报警；</w:t>
            </w:r>
          </w:p>
          <w:p w14:paraId="7C492E1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b w:val="0"/>
                <w:bCs w:val="0"/>
                <w:snapToGrid/>
                <w:color w:val="auto"/>
                <w:kern w:val="2"/>
                <w:sz w:val="24"/>
                <w:szCs w:val="24"/>
                <w:u w:val="none"/>
                <w:lang w:val="en-US" w:eastAsia="zh-CN" w:bidi="ar"/>
              </w:rPr>
            </w:pPr>
            <w:r>
              <w:rPr>
                <w:rFonts w:hint="eastAsia" w:ascii="仿宋" w:hAnsi="仿宋" w:eastAsia="仿宋" w:cs="仿宋"/>
                <w:b w:val="0"/>
                <w:bCs w:val="0"/>
                <w:snapToGrid/>
                <w:color w:val="auto"/>
                <w:kern w:val="2"/>
                <w:sz w:val="24"/>
                <w:szCs w:val="24"/>
                <w:u w:val="none"/>
                <w:lang w:val="en-US" w:eastAsia="zh-CN" w:bidi="ar"/>
              </w:rPr>
              <w:t>10、双电源支持自动切换，AB路电源切换延时≤10ms，切换时输出端负载不重启不断电；</w:t>
            </w:r>
          </w:p>
          <w:p w14:paraId="0892C56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b w:val="0"/>
                <w:bCs w:val="0"/>
                <w:snapToGrid/>
                <w:color w:val="auto"/>
                <w:kern w:val="2"/>
                <w:sz w:val="24"/>
                <w:szCs w:val="24"/>
                <w:u w:val="none"/>
                <w:lang w:val="en-US" w:eastAsia="zh-CN" w:bidi="ar"/>
              </w:rPr>
            </w:pPr>
            <w:r>
              <w:rPr>
                <w:rFonts w:hint="eastAsia" w:ascii="仿宋" w:hAnsi="仿宋" w:eastAsia="仿宋" w:cs="仿宋"/>
                <w:b w:val="0"/>
                <w:bCs w:val="0"/>
                <w:snapToGrid/>
                <w:color w:val="auto"/>
                <w:kern w:val="2"/>
                <w:sz w:val="24"/>
                <w:szCs w:val="24"/>
                <w:u w:val="none"/>
                <w:lang w:val="en-US" w:eastAsia="zh-CN" w:bidi="ar"/>
              </w:rPr>
              <w:t>11、RS485接口支持接入第三方温湿度、烟感、水浸等传感器，支持RJ45网口和RS232串口两种方式远程控制；</w:t>
            </w:r>
          </w:p>
          <w:p w14:paraId="02B4FA1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top"/>
              <w:rPr>
                <w:rFonts w:hint="eastAsia" w:ascii="仿宋" w:hAnsi="仿宋" w:eastAsia="仿宋" w:cs="仿宋"/>
                <w:b/>
                <w:bCs/>
                <w:i w:val="0"/>
                <w:iCs w:val="0"/>
                <w:snapToGrid/>
                <w:color w:val="auto"/>
                <w:kern w:val="2"/>
                <w:sz w:val="24"/>
                <w:szCs w:val="24"/>
                <w:u w:val="none"/>
                <w:lang w:eastAsia="zh-CN"/>
              </w:rPr>
            </w:pPr>
            <w:r>
              <w:rPr>
                <w:rFonts w:hint="eastAsia" w:ascii="仿宋" w:hAnsi="仿宋" w:eastAsia="仿宋" w:cs="仿宋"/>
                <w:b w:val="0"/>
                <w:bCs w:val="0"/>
                <w:snapToGrid/>
                <w:color w:val="auto"/>
                <w:kern w:val="2"/>
                <w:sz w:val="24"/>
                <w:szCs w:val="24"/>
                <w:u w:val="none"/>
                <w:lang w:val="en-US" w:eastAsia="zh-CN" w:bidi="ar"/>
              </w:rPr>
              <w:t>12、电源输入AC220，额定电流≥32A，额定功率≥7000W</w:t>
            </w:r>
            <w:r>
              <w:rPr>
                <w:rFonts w:hint="eastAsia" w:ascii="仿宋" w:hAnsi="仿宋" w:eastAsia="仿宋" w:cs="仿宋"/>
                <w:snapToGrid/>
                <w:color w:val="auto"/>
                <w:kern w:val="2"/>
                <w:sz w:val="24"/>
                <w:szCs w:val="24"/>
                <w:u w:val="none"/>
                <w:lang w:val="en-US" w:eastAsia="zh-CN" w:bidi="ar"/>
              </w:rPr>
              <w:t>。</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B52B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auto"/>
                <w:kern w:val="2"/>
                <w:sz w:val="24"/>
                <w:szCs w:val="24"/>
                <w:u w:val="none"/>
                <w:lang w:eastAsia="zh-CN"/>
              </w:rPr>
            </w:pPr>
            <w:r>
              <w:rPr>
                <w:rFonts w:hint="eastAsia" w:ascii="仿宋" w:hAnsi="仿宋" w:eastAsia="仿宋" w:cs="仿宋"/>
                <w:i w:val="0"/>
                <w:iCs w:val="0"/>
                <w:snapToGrid/>
                <w:color w:val="auto"/>
                <w:kern w:val="0"/>
                <w:sz w:val="24"/>
                <w:szCs w:val="24"/>
                <w:u w:val="none"/>
                <w:lang w:val="en-US" w:eastAsia="zh-CN" w:bidi="ar"/>
              </w:rPr>
              <w:t>台</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A531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auto"/>
                <w:kern w:val="2"/>
                <w:sz w:val="24"/>
                <w:szCs w:val="24"/>
                <w:u w:val="none"/>
                <w:lang w:eastAsia="zh-CN"/>
              </w:rPr>
            </w:pPr>
            <w:r>
              <w:rPr>
                <w:rFonts w:hint="eastAsia" w:ascii="仿宋" w:hAnsi="仿宋" w:eastAsia="仿宋" w:cs="仿宋"/>
                <w:i w:val="0"/>
                <w:iCs w:val="0"/>
                <w:snapToGrid/>
                <w:color w:val="auto"/>
                <w:kern w:val="0"/>
                <w:sz w:val="24"/>
                <w:szCs w:val="24"/>
                <w:u w:val="none"/>
                <w:lang w:val="en-US" w:eastAsia="zh-CN" w:bidi="ar"/>
              </w:rPr>
              <w:t>1</w:t>
            </w:r>
          </w:p>
        </w:tc>
      </w:tr>
      <w:tr w14:paraId="09BB8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B92B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仿宋" w:hAnsi="仿宋" w:eastAsia="仿宋" w:cs="仿宋"/>
                <w:i w:val="0"/>
                <w:iCs w:val="0"/>
                <w:snapToGrid/>
                <w:color w:val="000000"/>
                <w:kern w:val="2"/>
                <w:sz w:val="24"/>
                <w:szCs w:val="24"/>
                <w:u w:val="none"/>
                <w:lang w:val="en-US" w:eastAsia="zh-CN"/>
              </w:rPr>
            </w:pPr>
            <w:r>
              <w:rPr>
                <w:rFonts w:hint="eastAsia" w:ascii="仿宋" w:hAnsi="仿宋" w:eastAsia="仿宋" w:cs="仿宋"/>
                <w:i w:val="0"/>
                <w:iCs w:val="0"/>
                <w:snapToGrid/>
                <w:color w:val="000000"/>
                <w:kern w:val="0"/>
                <w:sz w:val="24"/>
                <w:szCs w:val="24"/>
                <w:u w:val="none"/>
                <w:lang w:val="en-US" w:eastAsia="zh-CN" w:bidi="ar"/>
              </w:rPr>
              <w:t>40</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88E6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实施及辅材</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2320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系统安装调试配置服务。</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CDEF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项</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2F9C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w:t>
            </w:r>
          </w:p>
        </w:tc>
      </w:tr>
      <w:tr w14:paraId="3A084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971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25247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b/>
                <w:bCs/>
                <w:i w:val="0"/>
                <w:iCs w:val="0"/>
                <w:snapToGrid/>
                <w:color w:val="000000"/>
                <w:kern w:val="2"/>
                <w:sz w:val="24"/>
                <w:szCs w:val="24"/>
                <w:u w:val="none"/>
                <w:lang w:eastAsia="zh-CN"/>
              </w:rPr>
            </w:pPr>
            <w:r>
              <w:rPr>
                <w:rFonts w:hint="eastAsia" w:ascii="仿宋" w:hAnsi="仿宋" w:eastAsia="仿宋" w:cs="仿宋"/>
                <w:b/>
                <w:bCs/>
                <w:i w:val="0"/>
                <w:iCs w:val="0"/>
                <w:snapToGrid/>
                <w:color w:val="000000"/>
                <w:kern w:val="0"/>
                <w:sz w:val="24"/>
                <w:szCs w:val="24"/>
                <w:u w:val="none"/>
                <w:lang w:val="en-US" w:eastAsia="zh-CN" w:bidi="ar"/>
              </w:rPr>
              <w:t>三、拼接屏系统</w:t>
            </w:r>
          </w:p>
        </w:tc>
      </w:tr>
      <w:tr w14:paraId="67070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8"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3B8B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41</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C43D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46寸LCD拼接屏</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3ADC">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1、LCD显示单元为：46“超窄边液晶屏；单元物理拼缝≤1.7mm，物理分辨率达到1920×1080，对比度达到1000：1。</w:t>
            </w:r>
          </w:p>
          <w:p w14:paraId="244D8B6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2、LCD显示单元响应时间≤8ms，显示色彩达到16.7M，亮度达到500cd/㎡，图像显示清晰度达到1000TVL。</w:t>
            </w:r>
          </w:p>
          <w:p w14:paraId="4BBBAA8B">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3、内置MPEG、JPEG和 Real media解码器，支持点播U盘、移动硬盘中的视频、图片、音频或文本资源。</w:t>
            </w:r>
          </w:p>
          <w:p w14:paraId="5B38BA3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4、屏幕支持防灼烧功能，能够有效改善液晶长时间显示静态画面时造成的残影现象。</w:t>
            </w:r>
          </w:p>
          <w:p w14:paraId="3BA71650">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5、拼接屏具备智能温控功能，当屏幕温度在55-60℃之间时，会提醒用户温度过高，请及时通风；当温度超过60℃，屏幕会立即进入休眠状态；等温度降至50℃以下会被唤醒或者通过遥控器主动唤醒。</w:t>
            </w:r>
          </w:p>
          <w:p w14:paraId="631318B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6、支持4比3、16比9、点对点等比例显示。</w:t>
            </w:r>
          </w:p>
          <w:p w14:paraId="25373DB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7、内置智能系统，可快速读取显示屏信息，包括屏幕背光源、亮度、对比度、分辨率等基本信息。</w:t>
            </w:r>
          </w:p>
          <w:p w14:paraId="5B0FC72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8、支持通过客户端和软件控制屏幕，不需要遥控器的接入，实现遥控器的所有功能。</w:t>
            </w:r>
          </w:p>
          <w:p w14:paraId="27C59AD7">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9、可通过客户端或菜单设置屏幕ID，ID属性包含行、列，实现自动分配ID。</w:t>
            </w:r>
          </w:p>
          <w:p w14:paraId="02FBC2B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10、设备支持不断电待机功能，当无任何信号输入时，设备在规定时间内自动待机节能，当有信号接入时，设备能快速开机，正常显示。待机功耗低于0.5W。</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AB07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块</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2A32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24</w:t>
            </w:r>
          </w:p>
        </w:tc>
      </w:tr>
      <w:tr w14:paraId="7ED0F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4"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31FD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42</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2208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拼接屏支架</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4BB28">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1、46英寸-新型模块化框架。</w:t>
            </w:r>
          </w:p>
          <w:p w14:paraId="5425D6B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2、支持5行以内规模拼接。</w:t>
            </w:r>
          </w:p>
          <w:p w14:paraId="5A2773C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3、性价比高。</w:t>
            </w:r>
          </w:p>
          <w:p w14:paraId="2205645E">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4、快速安装。</w:t>
            </w:r>
          </w:p>
          <w:p w14:paraId="19D84754">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5、可标配物料。</w:t>
            </w:r>
          </w:p>
          <w:p w14:paraId="1CCB605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6、支持现场扩容。</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649F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个</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4DD3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24</w:t>
            </w:r>
          </w:p>
        </w:tc>
      </w:tr>
      <w:tr w14:paraId="13E84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4"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C47A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43</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BCDB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拼接屏底座</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A4D0F">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default"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1、46英寸-新型模块化底座。</w:t>
            </w:r>
          </w:p>
          <w:p w14:paraId="023CC4F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2、支持5行以内规模拼接。</w:t>
            </w:r>
          </w:p>
          <w:p w14:paraId="42652A16">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3、性价比高。</w:t>
            </w:r>
          </w:p>
          <w:p w14:paraId="56F2EF1D">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4、快速安装。</w:t>
            </w:r>
          </w:p>
          <w:p w14:paraId="102531B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0"/>
                <w:sz w:val="24"/>
                <w:szCs w:val="24"/>
                <w:u w:val="none"/>
                <w:lang w:val="en-US" w:eastAsia="zh-CN" w:bidi="ar"/>
              </w:rPr>
            </w:pPr>
            <w:r>
              <w:rPr>
                <w:rFonts w:hint="eastAsia" w:ascii="仿宋" w:hAnsi="仿宋" w:eastAsia="仿宋" w:cs="仿宋"/>
                <w:i w:val="0"/>
                <w:iCs w:val="0"/>
                <w:snapToGrid/>
                <w:color w:val="000000"/>
                <w:kern w:val="0"/>
                <w:sz w:val="24"/>
                <w:szCs w:val="24"/>
                <w:u w:val="none"/>
                <w:lang w:val="en-US" w:eastAsia="zh-CN" w:bidi="ar"/>
              </w:rPr>
              <w:t>5、可标配物料。</w:t>
            </w:r>
          </w:p>
          <w:p w14:paraId="38257D29">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6、支持现场扩容。</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A793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个</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D767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8</w:t>
            </w:r>
          </w:p>
        </w:tc>
      </w:tr>
      <w:tr w14:paraId="7CA85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5AD3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44</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913A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会标屏</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60265">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会标屏支架、单双色LED屏、配套辅材等。</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8000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套</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625C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w:t>
            </w:r>
          </w:p>
        </w:tc>
      </w:tr>
      <w:tr w14:paraId="30D0C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jc w:val="center"/>
        </w:trPr>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C182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45</w:t>
            </w:r>
          </w:p>
        </w:tc>
        <w:tc>
          <w:tcPr>
            <w:tcW w:w="11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9ABB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安装实施及辅材</w:t>
            </w:r>
          </w:p>
        </w:tc>
        <w:tc>
          <w:tcPr>
            <w:tcW w:w="6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92C42">
            <w:pPr>
              <w:keepNext w:val="0"/>
              <w:keepLines w:val="0"/>
              <w:pageBreakBefore w:val="0"/>
              <w:widowControl/>
              <w:suppressLineNumbers w:val="0"/>
              <w:kinsoku/>
              <w:wordWrap/>
              <w:overflowPunct/>
              <w:topLinePunct w:val="0"/>
              <w:autoSpaceDE/>
              <w:autoSpaceDN/>
              <w:bidi w:val="0"/>
              <w:adjustRightInd/>
              <w:snapToGrid/>
              <w:spacing w:line="240" w:lineRule="auto"/>
              <w:jc w:val="left"/>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LCD屏安装调试，辅材线缆、旧设备拆除。</w:t>
            </w:r>
          </w:p>
        </w:tc>
        <w:tc>
          <w:tcPr>
            <w:tcW w:w="4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2AA5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项</w:t>
            </w:r>
          </w:p>
        </w:tc>
        <w:tc>
          <w:tcPr>
            <w:tcW w:w="6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5410F">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snapToGrid/>
                <w:color w:val="000000"/>
                <w:kern w:val="2"/>
                <w:sz w:val="24"/>
                <w:szCs w:val="24"/>
                <w:u w:val="none"/>
                <w:lang w:eastAsia="zh-CN"/>
              </w:rPr>
            </w:pPr>
            <w:r>
              <w:rPr>
                <w:rFonts w:hint="eastAsia" w:ascii="仿宋" w:hAnsi="仿宋" w:eastAsia="仿宋" w:cs="仿宋"/>
                <w:i w:val="0"/>
                <w:iCs w:val="0"/>
                <w:snapToGrid/>
                <w:color w:val="000000"/>
                <w:kern w:val="0"/>
                <w:sz w:val="24"/>
                <w:szCs w:val="24"/>
                <w:u w:val="none"/>
                <w:lang w:val="en-US" w:eastAsia="zh-CN" w:bidi="ar"/>
              </w:rPr>
              <w:t>1</w:t>
            </w:r>
          </w:p>
        </w:tc>
      </w:tr>
    </w:tbl>
    <w:p w14:paraId="1F1DE493">
      <w:pPr>
        <w:widowControl/>
        <w:kinsoku w:val="0"/>
        <w:autoSpaceDE w:val="0"/>
        <w:autoSpaceDN w:val="0"/>
        <w:adjustRightInd w:val="0"/>
        <w:snapToGrid w:val="0"/>
        <w:spacing w:before="11" w:line="240" w:lineRule="auto"/>
        <w:jc w:val="left"/>
        <w:textAlignment w:val="baseline"/>
        <w:rPr>
          <w:rFonts w:hint="eastAsia" w:ascii="仿宋" w:hAnsi="仿宋" w:eastAsia="仿宋" w:cs="仿宋"/>
          <w:b/>
          <w:bCs/>
          <w:snapToGrid w:val="0"/>
          <w:color w:val="000000"/>
          <w:kern w:val="0"/>
          <w:szCs w:val="21"/>
          <w:lang w:eastAsia="en-US"/>
        </w:rPr>
      </w:pPr>
      <w:r>
        <w:rPr>
          <w:rFonts w:hint="eastAsia" w:ascii="仿宋" w:hAnsi="仿宋" w:eastAsia="仿宋" w:cs="仿宋"/>
          <w:b/>
          <w:bCs/>
          <w:snapToGrid w:val="0"/>
          <w:color w:val="000000"/>
          <w:kern w:val="0"/>
          <w:szCs w:val="21"/>
          <w:lang w:val="en-US" w:eastAsia="zh-CN"/>
        </w:rPr>
        <w:t>★</w:t>
      </w:r>
      <w:r>
        <w:rPr>
          <w:rFonts w:hint="eastAsia" w:ascii="仿宋" w:hAnsi="仿宋" w:eastAsia="仿宋" w:cs="仿宋"/>
          <w:b/>
          <w:bCs/>
          <w:snapToGrid w:val="0"/>
          <w:color w:val="000000"/>
          <w:kern w:val="0"/>
          <w:szCs w:val="21"/>
          <w:lang w:eastAsia="en-US"/>
        </w:rPr>
        <w:t>注：1、强制采购：采购清单中</w:t>
      </w:r>
      <w:r>
        <w:rPr>
          <w:rFonts w:hint="eastAsia" w:ascii="仿宋" w:hAnsi="仿宋" w:eastAsia="仿宋" w:cs="仿宋"/>
          <w:b/>
          <w:bCs/>
          <w:snapToGrid w:val="0"/>
          <w:color w:val="000000"/>
          <w:kern w:val="0"/>
          <w:szCs w:val="21"/>
          <w:lang w:val="en-US" w:eastAsia="zh-CN"/>
        </w:rPr>
        <w:t>“46寸LCD拼接屏”</w:t>
      </w:r>
      <w:r>
        <w:rPr>
          <w:rFonts w:hint="eastAsia" w:ascii="仿宋" w:hAnsi="仿宋" w:eastAsia="仿宋" w:cs="仿宋"/>
          <w:b/>
          <w:bCs/>
          <w:snapToGrid w:val="0"/>
          <w:color w:val="000000"/>
          <w:kern w:val="0"/>
          <w:szCs w:val="21"/>
          <w:lang w:eastAsia="en-US"/>
        </w:rPr>
        <w:t>属于《节能产品政府采购品目清单》内强制采购的节能产品品目，供应商须提供依据国家确定的认证机构出具的、处于有效期内的节能产品认证证书，否则视为无效投标。</w:t>
      </w:r>
    </w:p>
    <w:p w14:paraId="45EC5B2B">
      <w:pPr>
        <w:kinsoku w:val="0"/>
        <w:autoSpaceDE w:val="0"/>
        <w:autoSpaceDN w:val="0"/>
        <w:adjustRightInd w:val="0"/>
        <w:snapToGrid w:val="0"/>
        <w:spacing w:before="118" w:line="222" w:lineRule="auto"/>
        <w:ind w:left="3686"/>
        <w:jc w:val="left"/>
        <w:textAlignment w:val="baseline"/>
        <w:outlineLvl w:val="1"/>
        <w:rPr>
          <w:rFonts w:hint="eastAsia" w:ascii="仿宋" w:hAnsi="仿宋" w:eastAsia="仿宋" w:cs="仿宋"/>
          <w:snapToGrid w:val="0"/>
          <w:color w:val="000000"/>
          <w:kern w:val="0"/>
          <w:sz w:val="28"/>
          <w:szCs w:val="28"/>
          <w:lang w:val="en-US" w:eastAsia="en-US" w:bidi="ar-SA"/>
        </w:rPr>
      </w:pPr>
      <w:bookmarkStart w:id="2" w:name="bookmark52"/>
      <w:bookmarkEnd w:id="2"/>
      <w:bookmarkStart w:id="3" w:name="bookmark53"/>
      <w:bookmarkEnd w:id="3"/>
      <w:bookmarkStart w:id="4" w:name="_Toc18883"/>
      <w:r>
        <w:rPr>
          <w:rFonts w:hint="eastAsia" w:ascii="仿宋" w:hAnsi="仿宋" w:eastAsia="仿宋" w:cs="仿宋"/>
          <w:b/>
          <w:bCs/>
          <w:snapToGrid w:val="0"/>
          <w:color w:val="000000"/>
          <w:spacing w:val="-11"/>
          <w:kern w:val="0"/>
          <w:sz w:val="28"/>
          <w:szCs w:val="28"/>
          <w:lang w:val="en-US" w:eastAsia="en-US" w:bidi="ar-SA"/>
        </w:rPr>
        <w:t>第二节</w:t>
      </w:r>
      <w:r>
        <w:rPr>
          <w:rFonts w:hint="eastAsia" w:ascii="仿宋" w:hAnsi="仿宋" w:eastAsia="仿宋" w:cs="仿宋"/>
          <w:snapToGrid w:val="0"/>
          <w:color w:val="000000"/>
          <w:spacing w:val="29"/>
          <w:kern w:val="0"/>
          <w:sz w:val="28"/>
          <w:szCs w:val="28"/>
          <w:lang w:val="en-US" w:eastAsia="en-US" w:bidi="ar-SA"/>
        </w:rPr>
        <w:t xml:space="preserve"> </w:t>
      </w:r>
      <w:r>
        <w:rPr>
          <w:rFonts w:hint="eastAsia" w:ascii="仿宋" w:hAnsi="仿宋" w:eastAsia="仿宋" w:cs="仿宋"/>
          <w:b/>
          <w:bCs/>
          <w:snapToGrid w:val="0"/>
          <w:color w:val="000000"/>
          <w:spacing w:val="-11"/>
          <w:kern w:val="0"/>
          <w:sz w:val="28"/>
          <w:szCs w:val="28"/>
          <w:lang w:val="en-US" w:eastAsia="en-US" w:bidi="ar-SA"/>
        </w:rPr>
        <w:t>商务要求</w:t>
      </w:r>
      <w:bookmarkEnd w:id="4"/>
    </w:p>
    <w:p w14:paraId="067E2DB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b/>
          <w:snapToGrid/>
          <w:color w:val="000000"/>
          <w:kern w:val="2"/>
          <w:szCs w:val="21"/>
          <w:highlight w:val="none"/>
          <w:lang w:eastAsia="zh-CN"/>
        </w:rPr>
      </w:pPr>
      <w:bookmarkStart w:id="5" w:name="bookmark98"/>
      <w:bookmarkEnd w:id="5"/>
      <w:r>
        <w:rPr>
          <w:rFonts w:hint="eastAsia" w:ascii="仿宋" w:hAnsi="仿宋" w:eastAsia="仿宋" w:cs="仿宋"/>
          <w:b/>
          <w:snapToGrid/>
          <w:color w:val="000000"/>
          <w:kern w:val="2"/>
          <w:szCs w:val="21"/>
          <w:highlight w:val="none"/>
          <w:lang w:val="en-US" w:eastAsia="zh-CN"/>
        </w:rPr>
        <w:t>一</w:t>
      </w:r>
      <w:r>
        <w:rPr>
          <w:rFonts w:hint="eastAsia" w:ascii="仿宋" w:hAnsi="仿宋" w:eastAsia="仿宋" w:cs="仿宋"/>
          <w:b/>
          <w:snapToGrid/>
          <w:color w:val="000000"/>
          <w:kern w:val="2"/>
          <w:szCs w:val="21"/>
          <w:highlight w:val="none"/>
          <w:lang w:eastAsia="zh-CN"/>
        </w:rPr>
        <w:t>、项目实施要求</w:t>
      </w:r>
    </w:p>
    <w:p w14:paraId="53174D8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2" w:firstLineChars="200"/>
        <w:jc w:val="both"/>
        <w:textAlignment w:val="auto"/>
        <w:rPr>
          <w:rFonts w:hint="eastAsia" w:ascii="仿宋" w:hAnsi="仿宋" w:eastAsia="仿宋" w:cs="仿宋"/>
          <w:b/>
          <w:bCs/>
          <w:snapToGrid/>
          <w:color w:val="000000"/>
          <w:kern w:val="2"/>
          <w:szCs w:val="21"/>
          <w:highlight w:val="none"/>
          <w:lang w:eastAsia="zh-CN"/>
        </w:rPr>
      </w:pPr>
      <w:r>
        <w:rPr>
          <w:rFonts w:hint="eastAsia" w:ascii="仿宋" w:hAnsi="仿宋" w:eastAsia="仿宋" w:cs="仿宋"/>
          <w:b/>
          <w:bCs/>
          <w:snapToGrid/>
          <w:color w:val="000000"/>
          <w:kern w:val="2"/>
          <w:szCs w:val="21"/>
          <w:highlight w:val="none"/>
          <w:lang w:eastAsia="zh-CN"/>
        </w:rPr>
        <w:t xml:space="preserve">1．  </w:t>
      </w:r>
      <w:r>
        <w:rPr>
          <w:rFonts w:hint="eastAsia" w:ascii="仿宋" w:hAnsi="仿宋" w:eastAsia="仿宋" w:cs="仿宋"/>
          <w:b/>
          <w:bCs/>
          <w:snapToGrid/>
          <w:color w:val="000000"/>
          <w:kern w:val="32"/>
          <w:szCs w:val="21"/>
          <w:highlight w:val="none"/>
          <w:lang w:eastAsia="zh-CN"/>
        </w:rPr>
        <w:t>产品运输</w:t>
      </w:r>
      <w:r>
        <w:rPr>
          <w:rFonts w:hint="eastAsia" w:ascii="仿宋" w:hAnsi="仿宋" w:eastAsia="仿宋" w:cs="仿宋"/>
          <w:b/>
          <w:bCs/>
          <w:snapToGrid/>
          <w:color w:val="000000"/>
          <w:kern w:val="2"/>
          <w:szCs w:val="21"/>
          <w:highlight w:val="none"/>
          <w:lang w:eastAsia="zh-CN"/>
        </w:rPr>
        <w:t>、保管及保险</w:t>
      </w:r>
    </w:p>
    <w:p w14:paraId="50A7D82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jc w:val="both"/>
        <w:textAlignment w:val="auto"/>
        <w:rPr>
          <w:rFonts w:hint="eastAsia" w:ascii="仿宋" w:hAnsi="仿宋" w:eastAsia="仿宋" w:cs="仿宋"/>
          <w:b/>
          <w:bCs/>
          <w:snapToGrid/>
          <w:color w:val="000000"/>
          <w:kern w:val="2"/>
          <w:szCs w:val="21"/>
          <w:highlight w:val="none"/>
          <w:lang w:eastAsia="zh-CN"/>
        </w:rPr>
      </w:pPr>
      <w:r>
        <w:rPr>
          <w:rFonts w:hint="eastAsia" w:ascii="仿宋" w:hAnsi="仿宋" w:eastAsia="仿宋" w:cs="仿宋"/>
          <w:bCs/>
          <w:snapToGrid/>
          <w:color w:val="000000"/>
          <w:kern w:val="2"/>
          <w:szCs w:val="21"/>
          <w:highlight w:val="none"/>
          <w:lang w:eastAsia="zh-CN"/>
        </w:rPr>
        <w:t>1.1</w:t>
      </w:r>
      <w:r>
        <w:rPr>
          <w:rFonts w:hint="eastAsia" w:ascii="仿宋" w:hAnsi="仿宋" w:eastAsia="仿宋" w:cs="仿宋"/>
          <w:snapToGrid/>
          <w:color w:val="000000"/>
          <w:kern w:val="2"/>
          <w:szCs w:val="21"/>
          <w:highlight w:val="none"/>
          <w:lang w:eastAsia="zh-CN"/>
        </w:rPr>
        <w:t>中标人</w:t>
      </w:r>
      <w:r>
        <w:rPr>
          <w:rFonts w:hint="eastAsia" w:ascii="仿宋" w:hAnsi="仿宋" w:eastAsia="仿宋" w:cs="仿宋"/>
          <w:bCs/>
          <w:snapToGrid/>
          <w:color w:val="000000"/>
          <w:kern w:val="2"/>
          <w:szCs w:val="21"/>
          <w:highlight w:val="none"/>
          <w:lang w:eastAsia="zh-CN"/>
        </w:rPr>
        <w:t>负责产品到施工地的全部运输，包括装卸及现场搬运等。</w:t>
      </w:r>
    </w:p>
    <w:p w14:paraId="2AF453B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jc w:val="both"/>
        <w:textAlignment w:val="auto"/>
        <w:rPr>
          <w:rFonts w:hint="eastAsia" w:ascii="仿宋" w:hAnsi="仿宋" w:eastAsia="仿宋" w:cs="仿宋"/>
          <w:bCs/>
          <w:snapToGrid/>
          <w:color w:val="000000"/>
          <w:kern w:val="2"/>
          <w:szCs w:val="21"/>
          <w:highlight w:val="none"/>
          <w:lang w:eastAsia="zh-CN"/>
        </w:rPr>
      </w:pPr>
      <w:r>
        <w:rPr>
          <w:rFonts w:hint="eastAsia" w:ascii="仿宋" w:hAnsi="仿宋" w:eastAsia="仿宋" w:cs="仿宋"/>
          <w:bCs/>
          <w:snapToGrid/>
          <w:color w:val="000000"/>
          <w:kern w:val="2"/>
          <w:szCs w:val="21"/>
          <w:highlight w:val="none"/>
          <w:lang w:eastAsia="zh-CN"/>
        </w:rPr>
        <w:t>1.2</w:t>
      </w:r>
      <w:r>
        <w:rPr>
          <w:rFonts w:hint="eastAsia" w:ascii="仿宋" w:hAnsi="仿宋" w:eastAsia="仿宋" w:cs="仿宋"/>
          <w:snapToGrid/>
          <w:color w:val="000000"/>
          <w:kern w:val="2"/>
          <w:szCs w:val="21"/>
          <w:highlight w:val="none"/>
          <w:lang w:eastAsia="zh-CN"/>
        </w:rPr>
        <w:t>中标人</w:t>
      </w:r>
      <w:r>
        <w:rPr>
          <w:rFonts w:hint="eastAsia" w:ascii="仿宋" w:hAnsi="仿宋" w:eastAsia="仿宋" w:cs="仿宋"/>
          <w:bCs/>
          <w:snapToGrid/>
          <w:color w:val="000000"/>
          <w:kern w:val="2"/>
          <w:szCs w:val="21"/>
          <w:highlight w:val="none"/>
          <w:lang w:eastAsia="zh-CN"/>
        </w:rPr>
        <w:t>负责产品在施工地点的保管，直至项目验收合格。</w:t>
      </w:r>
    </w:p>
    <w:p w14:paraId="363133D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jc w:val="both"/>
        <w:textAlignment w:val="auto"/>
        <w:rPr>
          <w:rFonts w:hint="eastAsia" w:ascii="仿宋" w:hAnsi="仿宋" w:eastAsia="仿宋" w:cs="仿宋"/>
          <w:bCs/>
          <w:snapToGrid/>
          <w:color w:val="000000"/>
          <w:kern w:val="2"/>
          <w:szCs w:val="21"/>
          <w:highlight w:val="none"/>
          <w:lang w:eastAsia="zh-CN"/>
        </w:rPr>
      </w:pPr>
      <w:r>
        <w:rPr>
          <w:rFonts w:hint="eastAsia" w:ascii="仿宋" w:hAnsi="仿宋" w:eastAsia="仿宋" w:cs="仿宋"/>
          <w:bCs/>
          <w:snapToGrid/>
          <w:color w:val="000000"/>
          <w:kern w:val="2"/>
          <w:szCs w:val="21"/>
          <w:highlight w:val="none"/>
          <w:lang w:eastAsia="zh-CN"/>
        </w:rPr>
        <w:t>1.3中标人负责其派出的人员的人身意外保险。施工过程中工作人员的生命财产安全由施工方负责，与甲方无关。施工过程中造成甲方设施设备的损坏由施工方负责修复，直至甲方满意为止。</w:t>
      </w:r>
    </w:p>
    <w:p w14:paraId="09FFCCBC">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2" w:firstLineChars="200"/>
        <w:jc w:val="both"/>
        <w:textAlignment w:val="auto"/>
        <w:rPr>
          <w:rFonts w:hint="eastAsia" w:ascii="仿宋" w:hAnsi="仿宋" w:eastAsia="仿宋" w:cs="仿宋"/>
          <w:b/>
          <w:bCs/>
          <w:snapToGrid/>
          <w:color w:val="000000"/>
          <w:kern w:val="2"/>
          <w:szCs w:val="21"/>
          <w:highlight w:val="none"/>
          <w:lang w:eastAsia="zh-CN"/>
        </w:rPr>
      </w:pPr>
      <w:r>
        <w:rPr>
          <w:rFonts w:hint="eastAsia" w:ascii="仿宋" w:hAnsi="仿宋" w:eastAsia="仿宋" w:cs="仿宋"/>
          <w:b/>
          <w:bCs/>
          <w:snapToGrid/>
          <w:color w:val="000000"/>
          <w:kern w:val="2"/>
          <w:szCs w:val="21"/>
          <w:highlight w:val="none"/>
          <w:lang w:eastAsia="zh-CN"/>
        </w:rPr>
        <w:t>2.  资料要求</w:t>
      </w:r>
    </w:p>
    <w:p w14:paraId="67C3E15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jc w:val="both"/>
        <w:textAlignment w:val="auto"/>
        <w:rPr>
          <w:rFonts w:hint="eastAsia" w:ascii="仿宋" w:hAnsi="仿宋" w:eastAsia="仿宋" w:cs="仿宋"/>
          <w:bCs/>
          <w:snapToGrid/>
          <w:color w:val="000000"/>
          <w:kern w:val="2"/>
          <w:szCs w:val="21"/>
          <w:highlight w:val="none"/>
          <w:lang w:eastAsia="zh-CN"/>
        </w:rPr>
      </w:pPr>
      <w:r>
        <w:rPr>
          <w:rFonts w:hint="eastAsia" w:ascii="仿宋" w:hAnsi="仿宋" w:eastAsia="仿宋" w:cs="仿宋"/>
          <w:bCs/>
          <w:snapToGrid/>
          <w:color w:val="000000"/>
          <w:kern w:val="2"/>
          <w:szCs w:val="21"/>
          <w:highlight w:val="none"/>
          <w:lang w:eastAsia="zh-CN"/>
        </w:rPr>
        <w:t>2.1项目完成后，</w:t>
      </w:r>
      <w:r>
        <w:rPr>
          <w:rFonts w:hint="eastAsia" w:ascii="仿宋" w:hAnsi="仿宋" w:eastAsia="仿宋" w:cs="仿宋"/>
          <w:snapToGrid/>
          <w:color w:val="000000"/>
          <w:kern w:val="2"/>
          <w:szCs w:val="21"/>
          <w:highlight w:val="none"/>
          <w:lang w:eastAsia="zh-CN"/>
        </w:rPr>
        <w:t>中标人</w:t>
      </w:r>
      <w:r>
        <w:rPr>
          <w:rFonts w:hint="eastAsia" w:ascii="仿宋" w:hAnsi="仿宋" w:eastAsia="仿宋" w:cs="仿宋"/>
          <w:bCs/>
          <w:snapToGrid/>
          <w:color w:val="000000"/>
          <w:kern w:val="2"/>
          <w:szCs w:val="21"/>
          <w:highlight w:val="none"/>
          <w:lang w:eastAsia="zh-CN"/>
        </w:rPr>
        <w:t>应将项目有关的全部资料，包括产品资料、技术文档等，移交招标人。</w:t>
      </w:r>
    </w:p>
    <w:p w14:paraId="685BE30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2" w:firstLineChars="200"/>
        <w:jc w:val="both"/>
        <w:textAlignment w:val="auto"/>
        <w:rPr>
          <w:rFonts w:hint="eastAsia" w:ascii="仿宋" w:hAnsi="仿宋" w:eastAsia="仿宋" w:cs="仿宋"/>
          <w:b/>
          <w:bCs/>
          <w:snapToGrid/>
          <w:color w:val="000000"/>
          <w:kern w:val="2"/>
          <w:szCs w:val="21"/>
          <w:highlight w:val="none"/>
          <w:lang w:eastAsia="zh-CN"/>
        </w:rPr>
      </w:pPr>
      <w:r>
        <w:rPr>
          <w:rFonts w:hint="eastAsia" w:ascii="仿宋" w:hAnsi="仿宋" w:eastAsia="仿宋" w:cs="仿宋"/>
          <w:b/>
          <w:bCs/>
          <w:snapToGrid/>
          <w:color w:val="000000"/>
          <w:kern w:val="2"/>
          <w:szCs w:val="21"/>
          <w:highlight w:val="none"/>
          <w:lang w:eastAsia="zh-CN"/>
        </w:rPr>
        <w:t>3.  验收要求</w:t>
      </w:r>
    </w:p>
    <w:p w14:paraId="3C93891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jc w:val="both"/>
        <w:textAlignment w:val="auto"/>
        <w:rPr>
          <w:rFonts w:hint="eastAsia" w:ascii="仿宋" w:hAnsi="仿宋" w:eastAsia="仿宋" w:cs="仿宋"/>
          <w:snapToGrid/>
          <w:color w:val="000000"/>
          <w:kern w:val="2"/>
          <w:szCs w:val="21"/>
          <w:highlight w:val="none"/>
          <w:lang w:eastAsia="zh-CN"/>
        </w:rPr>
      </w:pPr>
      <w:r>
        <w:rPr>
          <w:rFonts w:hint="eastAsia" w:ascii="仿宋" w:hAnsi="仿宋" w:eastAsia="仿宋" w:cs="仿宋"/>
          <w:bCs/>
          <w:snapToGrid/>
          <w:color w:val="000000"/>
          <w:kern w:val="2"/>
          <w:szCs w:val="21"/>
          <w:highlight w:val="none"/>
          <w:lang w:eastAsia="zh-CN"/>
        </w:rPr>
        <w:t>3.1</w:t>
      </w:r>
      <w:r>
        <w:rPr>
          <w:rFonts w:hint="eastAsia" w:ascii="仿宋" w:hAnsi="仿宋" w:eastAsia="仿宋" w:cs="仿宋"/>
          <w:snapToGrid/>
          <w:color w:val="000000"/>
          <w:kern w:val="2"/>
          <w:szCs w:val="21"/>
          <w:highlight w:val="none"/>
          <w:lang w:eastAsia="zh-CN"/>
        </w:rPr>
        <w:t>中标人负责所有货物的安装、调试，按合同规定的时间安装、调试、验收完毕并交付使用。</w:t>
      </w:r>
    </w:p>
    <w:p w14:paraId="05D9A854">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jc w:val="both"/>
        <w:textAlignment w:val="auto"/>
        <w:rPr>
          <w:rFonts w:hint="eastAsia" w:ascii="仿宋" w:hAnsi="仿宋" w:eastAsia="仿宋" w:cs="仿宋"/>
          <w:b/>
          <w:bCs/>
          <w:snapToGrid/>
          <w:color w:val="000000"/>
          <w:kern w:val="2"/>
          <w:szCs w:val="21"/>
          <w:highlight w:val="none"/>
          <w:lang w:eastAsia="zh-CN"/>
        </w:rPr>
      </w:pPr>
      <w:r>
        <w:rPr>
          <w:rFonts w:hint="eastAsia" w:ascii="仿宋" w:hAnsi="仿宋" w:eastAsia="仿宋" w:cs="仿宋"/>
          <w:bCs/>
          <w:snapToGrid/>
          <w:color w:val="000000"/>
          <w:kern w:val="2"/>
          <w:szCs w:val="21"/>
          <w:highlight w:val="none"/>
          <w:lang w:eastAsia="zh-CN"/>
        </w:rPr>
        <w:t>3.2</w:t>
      </w:r>
      <w:r>
        <w:rPr>
          <w:rFonts w:hint="eastAsia" w:ascii="仿宋" w:hAnsi="仿宋" w:eastAsia="仿宋" w:cs="仿宋"/>
          <w:b/>
          <w:bCs/>
          <w:snapToGrid/>
          <w:color w:val="000000"/>
          <w:kern w:val="2"/>
          <w:szCs w:val="21"/>
          <w:highlight w:val="none"/>
          <w:lang w:eastAsia="zh-CN"/>
        </w:rPr>
        <w:t>中标人须确保本项目建设完成后满足用户需求。</w:t>
      </w:r>
    </w:p>
    <w:p w14:paraId="3141191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jc w:val="both"/>
        <w:textAlignment w:val="auto"/>
        <w:rPr>
          <w:rFonts w:hint="eastAsia" w:ascii="仿宋" w:hAnsi="仿宋" w:eastAsia="仿宋" w:cs="仿宋"/>
          <w:snapToGrid/>
          <w:color w:val="000000"/>
          <w:kern w:val="2"/>
          <w:szCs w:val="21"/>
          <w:highlight w:val="none"/>
          <w:lang w:eastAsia="zh-CN"/>
        </w:rPr>
      </w:pPr>
      <w:r>
        <w:rPr>
          <w:rFonts w:hint="eastAsia" w:ascii="仿宋" w:hAnsi="仿宋" w:eastAsia="仿宋" w:cs="仿宋"/>
          <w:snapToGrid/>
          <w:color w:val="000000"/>
          <w:kern w:val="2"/>
          <w:szCs w:val="21"/>
          <w:highlight w:val="none"/>
          <w:lang w:eastAsia="zh-CN"/>
        </w:rPr>
        <w:t>3.3验收由招标人组织有关专业人员，按相关招标文件技术要求提供的性能指标、国家及行业相关标准进行验收。</w:t>
      </w:r>
    </w:p>
    <w:p w14:paraId="6925F54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2" w:firstLineChars="200"/>
        <w:jc w:val="both"/>
        <w:textAlignment w:val="auto"/>
        <w:rPr>
          <w:rFonts w:hint="eastAsia" w:ascii="仿宋" w:hAnsi="仿宋" w:eastAsia="仿宋" w:cs="仿宋"/>
          <w:b/>
          <w:bCs/>
          <w:snapToGrid/>
          <w:color w:val="000000"/>
          <w:kern w:val="2"/>
          <w:szCs w:val="21"/>
          <w:highlight w:val="none"/>
          <w:lang w:eastAsia="zh-CN"/>
        </w:rPr>
      </w:pPr>
      <w:r>
        <w:rPr>
          <w:rFonts w:hint="eastAsia" w:ascii="仿宋" w:hAnsi="仿宋" w:eastAsia="仿宋" w:cs="仿宋"/>
          <w:b/>
          <w:bCs/>
          <w:snapToGrid/>
          <w:color w:val="000000"/>
          <w:kern w:val="2"/>
          <w:szCs w:val="21"/>
          <w:highlight w:val="none"/>
          <w:lang w:eastAsia="zh-CN"/>
        </w:rPr>
        <w:t>4.  质量保证</w:t>
      </w:r>
    </w:p>
    <w:p w14:paraId="4944E47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jc w:val="both"/>
        <w:textAlignment w:val="auto"/>
        <w:rPr>
          <w:rFonts w:hint="eastAsia" w:ascii="仿宋" w:hAnsi="仿宋" w:eastAsia="仿宋" w:cs="仿宋"/>
          <w:bCs/>
          <w:snapToGrid/>
          <w:color w:val="000000"/>
          <w:kern w:val="2"/>
          <w:szCs w:val="21"/>
          <w:highlight w:val="none"/>
          <w:lang w:eastAsia="zh-CN"/>
        </w:rPr>
      </w:pPr>
      <w:r>
        <w:rPr>
          <w:rFonts w:hint="eastAsia" w:ascii="仿宋" w:hAnsi="仿宋" w:eastAsia="仿宋" w:cs="仿宋"/>
          <w:bCs/>
          <w:snapToGrid/>
          <w:color w:val="000000"/>
          <w:kern w:val="2"/>
          <w:szCs w:val="21"/>
          <w:highlight w:val="none"/>
          <w:lang w:eastAsia="zh-CN"/>
        </w:rPr>
        <w:t>4.1</w:t>
      </w:r>
      <w:r>
        <w:rPr>
          <w:rFonts w:hint="eastAsia" w:ascii="仿宋" w:hAnsi="仿宋" w:eastAsia="仿宋" w:cs="仿宋"/>
          <w:b/>
          <w:snapToGrid/>
          <w:color w:val="000000"/>
          <w:kern w:val="2"/>
          <w:szCs w:val="21"/>
          <w:highlight w:val="none"/>
          <w:lang w:eastAsia="zh-CN"/>
        </w:rPr>
        <w:t>本项目质保期为</w:t>
      </w:r>
      <w:r>
        <w:rPr>
          <w:rFonts w:hint="eastAsia" w:ascii="仿宋" w:hAnsi="仿宋" w:eastAsia="仿宋" w:cs="仿宋"/>
          <w:b/>
          <w:snapToGrid/>
          <w:color w:val="000000"/>
          <w:kern w:val="2"/>
          <w:szCs w:val="21"/>
          <w:highlight w:val="none"/>
          <w:lang w:val="en-US" w:eastAsia="zh-CN"/>
        </w:rPr>
        <w:t>叁</w:t>
      </w:r>
      <w:r>
        <w:rPr>
          <w:rFonts w:hint="eastAsia" w:ascii="仿宋" w:hAnsi="仿宋" w:eastAsia="仿宋" w:cs="仿宋"/>
          <w:b/>
          <w:snapToGrid/>
          <w:color w:val="000000"/>
          <w:kern w:val="2"/>
          <w:szCs w:val="21"/>
          <w:highlight w:val="none"/>
          <w:lang w:eastAsia="zh-CN"/>
        </w:rPr>
        <w:t>年</w:t>
      </w:r>
      <w:r>
        <w:rPr>
          <w:rFonts w:hint="eastAsia" w:ascii="仿宋" w:hAnsi="仿宋" w:eastAsia="仿宋" w:cs="仿宋"/>
          <w:bCs/>
          <w:snapToGrid/>
          <w:color w:val="000000"/>
          <w:kern w:val="2"/>
          <w:szCs w:val="21"/>
          <w:highlight w:val="none"/>
          <w:lang w:eastAsia="zh-CN"/>
        </w:rPr>
        <w:t>。</w:t>
      </w:r>
    </w:p>
    <w:p w14:paraId="112C2FB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jc w:val="both"/>
        <w:textAlignment w:val="auto"/>
        <w:rPr>
          <w:rFonts w:hint="eastAsia" w:ascii="仿宋" w:hAnsi="仿宋" w:eastAsia="仿宋" w:cs="仿宋"/>
          <w:snapToGrid/>
          <w:color w:val="000000"/>
          <w:kern w:val="2"/>
          <w:szCs w:val="21"/>
          <w:highlight w:val="none"/>
          <w:lang w:eastAsia="zh-CN"/>
        </w:rPr>
      </w:pPr>
      <w:r>
        <w:rPr>
          <w:rFonts w:hint="eastAsia" w:ascii="仿宋" w:hAnsi="仿宋" w:eastAsia="仿宋" w:cs="仿宋"/>
          <w:bCs/>
          <w:snapToGrid/>
          <w:color w:val="000000"/>
          <w:kern w:val="2"/>
          <w:szCs w:val="21"/>
          <w:highlight w:val="none"/>
          <w:lang w:eastAsia="zh-CN"/>
        </w:rPr>
        <w:t>4.2在质保期内</w:t>
      </w:r>
      <w:r>
        <w:rPr>
          <w:rFonts w:hint="eastAsia" w:ascii="仿宋" w:hAnsi="仿宋" w:eastAsia="仿宋" w:cs="仿宋"/>
          <w:snapToGrid/>
          <w:color w:val="000000"/>
          <w:kern w:val="2"/>
          <w:szCs w:val="21"/>
          <w:highlight w:val="none"/>
          <w:lang w:eastAsia="zh-CN"/>
        </w:rPr>
        <w:t>(中标人的投标文件长于招标文件规定的质保期时，以中标人的投标文件为准)，如出现质量问题，中标人应免费予以更换（易损件除外）。质保期从货物验收合格后开始计算。</w:t>
      </w:r>
    </w:p>
    <w:p w14:paraId="79FCAE59">
      <w:pPr>
        <w:keepNext w:val="0"/>
        <w:keepLines w:val="0"/>
        <w:pageBreakBefore w:val="0"/>
        <w:widowControl w:val="0"/>
        <w:tabs>
          <w:tab w:val="left" w:pos="2460"/>
        </w:tabs>
        <w:kinsoku/>
        <w:wordWrap/>
        <w:overflowPunct/>
        <w:topLinePunct w:val="0"/>
        <w:autoSpaceDE/>
        <w:autoSpaceDN/>
        <w:bidi w:val="0"/>
        <w:adjustRightInd w:val="0"/>
        <w:snapToGrid w:val="0"/>
        <w:spacing w:line="360" w:lineRule="auto"/>
        <w:ind w:left="0" w:leftChars="0" w:firstLine="422" w:firstLineChars="200"/>
        <w:jc w:val="both"/>
        <w:textAlignment w:val="auto"/>
        <w:rPr>
          <w:rFonts w:hint="eastAsia" w:ascii="仿宋" w:hAnsi="仿宋" w:eastAsia="仿宋" w:cs="仿宋"/>
          <w:b/>
          <w:bCs/>
          <w:snapToGrid/>
          <w:color w:val="000000"/>
          <w:kern w:val="2"/>
          <w:szCs w:val="21"/>
          <w:highlight w:val="none"/>
          <w:lang w:eastAsia="zh-CN"/>
        </w:rPr>
      </w:pPr>
      <w:r>
        <w:rPr>
          <w:rFonts w:hint="eastAsia" w:ascii="仿宋" w:hAnsi="仿宋" w:eastAsia="仿宋" w:cs="仿宋"/>
          <w:b/>
          <w:bCs/>
          <w:snapToGrid/>
          <w:color w:val="000000"/>
          <w:kern w:val="2"/>
          <w:szCs w:val="21"/>
          <w:highlight w:val="none"/>
          <w:lang w:eastAsia="zh-CN"/>
        </w:rPr>
        <w:t>5.  售后服务要求</w:t>
      </w:r>
      <w:r>
        <w:rPr>
          <w:rFonts w:hint="eastAsia" w:ascii="仿宋" w:hAnsi="仿宋" w:eastAsia="仿宋" w:cs="仿宋"/>
          <w:b/>
          <w:bCs/>
          <w:snapToGrid/>
          <w:color w:val="000000"/>
          <w:kern w:val="2"/>
          <w:szCs w:val="21"/>
          <w:highlight w:val="none"/>
          <w:lang w:eastAsia="zh-CN"/>
        </w:rPr>
        <w:tab/>
      </w:r>
    </w:p>
    <w:p w14:paraId="27295BA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jc w:val="both"/>
        <w:textAlignment w:val="auto"/>
        <w:rPr>
          <w:rFonts w:hint="eastAsia" w:ascii="仿宋" w:hAnsi="仿宋" w:eastAsia="仿宋" w:cs="仿宋"/>
          <w:snapToGrid/>
          <w:color w:val="000000"/>
          <w:kern w:val="2"/>
          <w:szCs w:val="21"/>
          <w:highlight w:val="none"/>
          <w:lang w:eastAsia="zh-CN"/>
        </w:rPr>
      </w:pPr>
      <w:r>
        <w:rPr>
          <w:rFonts w:hint="eastAsia" w:ascii="仿宋" w:hAnsi="仿宋" w:eastAsia="仿宋" w:cs="仿宋"/>
          <w:snapToGrid/>
          <w:color w:val="000000"/>
          <w:kern w:val="2"/>
          <w:szCs w:val="21"/>
          <w:highlight w:val="none"/>
          <w:lang w:eastAsia="zh-CN"/>
        </w:rPr>
        <w:t>5.1中标人应在质保期内提供免费上门维修服务，并进行终身维护；中标人在接到用户报修通知后，4小时到达用户现场予以维修。</w:t>
      </w:r>
    </w:p>
    <w:p w14:paraId="3DB82CB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仿宋" w:hAnsi="仿宋" w:eastAsia="仿宋" w:cs="仿宋"/>
          <w:snapToGrid/>
          <w:color w:val="000000"/>
          <w:kern w:val="2"/>
          <w:szCs w:val="21"/>
          <w:highlight w:val="none"/>
          <w:lang w:eastAsia="zh-CN"/>
        </w:rPr>
      </w:pPr>
      <w:r>
        <w:rPr>
          <w:rFonts w:hint="eastAsia" w:ascii="仿宋" w:hAnsi="仿宋" w:eastAsia="仿宋" w:cs="仿宋"/>
          <w:snapToGrid/>
          <w:color w:val="000000"/>
          <w:kern w:val="2"/>
          <w:szCs w:val="21"/>
          <w:highlight w:val="none"/>
          <w:lang w:eastAsia="zh-CN"/>
        </w:rPr>
        <w:t>5.2</w:t>
      </w:r>
      <w:r>
        <w:rPr>
          <w:rFonts w:hint="eastAsia" w:ascii="仿宋" w:hAnsi="仿宋" w:eastAsia="仿宋" w:cs="仿宋"/>
          <w:snapToGrid/>
          <w:color w:val="000000"/>
          <w:kern w:val="2"/>
          <w:szCs w:val="21"/>
          <w:highlight w:val="none"/>
          <w:lang w:eastAsia="zh-CN"/>
        </w:rPr>
        <w:tab/>
      </w:r>
      <w:r>
        <w:rPr>
          <w:rFonts w:hint="eastAsia" w:ascii="仿宋" w:hAnsi="仿宋" w:eastAsia="仿宋" w:cs="仿宋"/>
          <w:snapToGrid/>
          <w:color w:val="000000"/>
          <w:kern w:val="2"/>
          <w:szCs w:val="21"/>
          <w:highlight w:val="none"/>
          <w:lang w:eastAsia="zh-CN"/>
        </w:rPr>
        <w:t>系统维护。要求提交以下内容。</w:t>
      </w:r>
    </w:p>
    <w:p w14:paraId="36584CE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仿宋" w:hAnsi="仿宋" w:eastAsia="仿宋" w:cs="仿宋"/>
          <w:snapToGrid/>
          <w:color w:val="000000"/>
          <w:kern w:val="2"/>
          <w:szCs w:val="21"/>
          <w:highlight w:val="none"/>
          <w:lang w:eastAsia="zh-CN"/>
        </w:rPr>
      </w:pPr>
      <w:r>
        <w:rPr>
          <w:rFonts w:hint="eastAsia" w:ascii="仿宋" w:hAnsi="仿宋" w:eastAsia="仿宋" w:cs="仿宋"/>
          <w:snapToGrid/>
          <w:color w:val="000000"/>
          <w:kern w:val="2"/>
          <w:szCs w:val="21"/>
          <w:highlight w:val="none"/>
          <w:lang w:eastAsia="zh-CN"/>
        </w:rPr>
        <w:t>1）定期维护计划。</w:t>
      </w:r>
    </w:p>
    <w:p w14:paraId="7D956C9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仿宋" w:hAnsi="仿宋" w:eastAsia="仿宋" w:cs="仿宋"/>
          <w:snapToGrid/>
          <w:color w:val="000000"/>
          <w:kern w:val="2"/>
          <w:szCs w:val="21"/>
          <w:highlight w:val="none"/>
          <w:lang w:eastAsia="zh-CN"/>
        </w:rPr>
      </w:pPr>
      <w:r>
        <w:rPr>
          <w:rFonts w:hint="eastAsia" w:ascii="仿宋" w:hAnsi="仿宋" w:eastAsia="仿宋" w:cs="仿宋"/>
          <w:snapToGrid/>
          <w:color w:val="000000"/>
          <w:kern w:val="2"/>
          <w:szCs w:val="21"/>
          <w:highlight w:val="none"/>
          <w:lang w:eastAsia="zh-CN"/>
        </w:rPr>
        <w:t>2）对采购人不定期维护要求的响应措施。</w:t>
      </w:r>
    </w:p>
    <w:p w14:paraId="3458850E">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仿宋" w:hAnsi="仿宋" w:eastAsia="仿宋" w:cs="仿宋"/>
          <w:snapToGrid/>
          <w:color w:val="000000"/>
          <w:kern w:val="2"/>
          <w:szCs w:val="21"/>
          <w:highlight w:val="none"/>
          <w:lang w:eastAsia="zh-CN"/>
        </w:rPr>
      </w:pPr>
      <w:r>
        <w:rPr>
          <w:rFonts w:hint="eastAsia" w:ascii="仿宋" w:hAnsi="仿宋" w:eastAsia="仿宋" w:cs="仿宋"/>
          <w:snapToGrid/>
          <w:color w:val="000000"/>
          <w:kern w:val="2"/>
          <w:szCs w:val="21"/>
          <w:highlight w:val="none"/>
          <w:lang w:eastAsia="zh-CN"/>
        </w:rPr>
        <w:t>3）对用户修改设计要求的响应措施。</w:t>
      </w:r>
    </w:p>
    <w:p w14:paraId="2539AFF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仿宋" w:hAnsi="仿宋" w:eastAsia="仿宋" w:cs="仿宋"/>
          <w:snapToGrid/>
          <w:color w:val="000000"/>
          <w:kern w:val="2"/>
          <w:szCs w:val="21"/>
          <w:highlight w:val="none"/>
          <w:lang w:eastAsia="zh-CN"/>
        </w:rPr>
      </w:pPr>
      <w:r>
        <w:rPr>
          <w:rFonts w:hint="eastAsia" w:ascii="仿宋" w:hAnsi="仿宋" w:eastAsia="仿宋" w:cs="仿宋"/>
          <w:snapToGrid/>
          <w:color w:val="000000"/>
          <w:kern w:val="2"/>
          <w:szCs w:val="21"/>
          <w:highlight w:val="none"/>
          <w:lang w:eastAsia="zh-CN"/>
        </w:rPr>
        <w:t>5.3</w:t>
      </w:r>
      <w:r>
        <w:rPr>
          <w:rFonts w:hint="eastAsia" w:ascii="仿宋" w:hAnsi="仿宋" w:eastAsia="仿宋" w:cs="仿宋"/>
          <w:snapToGrid/>
          <w:color w:val="000000"/>
          <w:kern w:val="2"/>
          <w:szCs w:val="21"/>
          <w:highlight w:val="none"/>
          <w:lang w:eastAsia="zh-CN"/>
        </w:rPr>
        <w:tab/>
      </w:r>
      <w:r>
        <w:rPr>
          <w:rFonts w:hint="eastAsia" w:ascii="仿宋" w:hAnsi="仿宋" w:eastAsia="仿宋" w:cs="仿宋"/>
          <w:snapToGrid/>
          <w:color w:val="000000"/>
          <w:kern w:val="2"/>
          <w:szCs w:val="21"/>
          <w:highlight w:val="none"/>
          <w:lang w:eastAsia="zh-CN"/>
        </w:rPr>
        <w:t>技术支持</w:t>
      </w:r>
    </w:p>
    <w:p w14:paraId="17B62F3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仿宋" w:hAnsi="仿宋" w:eastAsia="仿宋" w:cs="仿宋"/>
          <w:snapToGrid/>
          <w:color w:val="000000"/>
          <w:kern w:val="2"/>
          <w:szCs w:val="21"/>
          <w:highlight w:val="none"/>
          <w:lang w:eastAsia="zh-CN"/>
        </w:rPr>
      </w:pPr>
      <w:r>
        <w:rPr>
          <w:rFonts w:hint="eastAsia" w:ascii="仿宋" w:hAnsi="仿宋" w:eastAsia="仿宋" w:cs="仿宋"/>
          <w:snapToGrid/>
          <w:color w:val="000000"/>
          <w:kern w:val="2"/>
          <w:szCs w:val="21"/>
          <w:highlight w:val="none"/>
          <w:lang w:eastAsia="zh-CN"/>
        </w:rPr>
        <w:t>1）提供7×24小时的技术咨询服务。</w:t>
      </w:r>
    </w:p>
    <w:p w14:paraId="35FC5DC0">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仿宋" w:hAnsi="仿宋" w:eastAsia="仿宋" w:cs="仿宋"/>
          <w:snapToGrid/>
          <w:color w:val="000000"/>
          <w:kern w:val="2"/>
          <w:szCs w:val="21"/>
          <w:highlight w:val="none"/>
          <w:lang w:eastAsia="zh-CN"/>
        </w:rPr>
      </w:pPr>
      <w:r>
        <w:rPr>
          <w:rFonts w:hint="eastAsia" w:ascii="仿宋" w:hAnsi="仿宋" w:eastAsia="仿宋" w:cs="仿宋"/>
          <w:snapToGrid/>
          <w:color w:val="000000"/>
          <w:kern w:val="2"/>
          <w:szCs w:val="21"/>
          <w:highlight w:val="none"/>
          <w:lang w:eastAsia="zh-CN"/>
        </w:rPr>
        <w:t>2）敏感时期、重大节假日提供技术人员值守服务。</w:t>
      </w:r>
    </w:p>
    <w:p w14:paraId="1E67C255">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仿宋" w:hAnsi="仿宋" w:eastAsia="仿宋" w:cs="仿宋"/>
          <w:snapToGrid/>
          <w:color w:val="000000"/>
          <w:kern w:val="2"/>
          <w:szCs w:val="21"/>
          <w:highlight w:val="none"/>
          <w:lang w:eastAsia="zh-CN"/>
        </w:rPr>
      </w:pPr>
      <w:r>
        <w:rPr>
          <w:rFonts w:hint="eastAsia" w:ascii="仿宋" w:hAnsi="仿宋" w:eastAsia="仿宋" w:cs="仿宋"/>
          <w:snapToGrid/>
          <w:color w:val="000000"/>
          <w:kern w:val="2"/>
          <w:szCs w:val="21"/>
          <w:highlight w:val="none"/>
          <w:lang w:eastAsia="zh-CN"/>
        </w:rPr>
        <w:t>5.4质保期内出现任何质量问题（人为破坏或自然灾害等不可抗力除外），由中标人负责全免费（免全部工时费、材料费、管理费、财务费等等）更换或维修。质保期满后，无论采购人是否另行选择维保供应商，中标人应及时优惠提供所需的备品备件。</w:t>
      </w:r>
    </w:p>
    <w:p w14:paraId="1A8A274D">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2" w:firstLineChars="200"/>
        <w:jc w:val="both"/>
        <w:textAlignment w:val="auto"/>
        <w:rPr>
          <w:rFonts w:hint="eastAsia" w:ascii="仿宋" w:hAnsi="仿宋" w:eastAsia="仿宋" w:cs="仿宋"/>
          <w:b/>
          <w:bCs/>
          <w:snapToGrid/>
          <w:color w:val="000000"/>
          <w:kern w:val="2"/>
          <w:szCs w:val="21"/>
          <w:highlight w:val="none"/>
          <w:lang w:eastAsia="zh-CN"/>
        </w:rPr>
      </w:pPr>
      <w:r>
        <w:rPr>
          <w:rFonts w:hint="eastAsia" w:ascii="仿宋" w:hAnsi="仿宋" w:eastAsia="仿宋" w:cs="仿宋"/>
          <w:b/>
          <w:bCs/>
          <w:snapToGrid/>
          <w:color w:val="000000"/>
          <w:kern w:val="2"/>
          <w:szCs w:val="21"/>
          <w:highlight w:val="none"/>
          <w:lang w:eastAsia="zh-CN"/>
        </w:rPr>
        <w:t>6.  交货时间及地点</w:t>
      </w:r>
    </w:p>
    <w:p w14:paraId="0B667A3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jc w:val="both"/>
        <w:textAlignment w:val="auto"/>
        <w:rPr>
          <w:rFonts w:hint="eastAsia" w:ascii="仿宋" w:hAnsi="仿宋" w:eastAsia="仿宋" w:cs="仿宋"/>
          <w:snapToGrid/>
          <w:color w:val="000000"/>
          <w:kern w:val="2"/>
          <w:szCs w:val="21"/>
          <w:highlight w:val="none"/>
          <w:lang w:eastAsia="zh-CN"/>
        </w:rPr>
      </w:pPr>
      <w:r>
        <w:rPr>
          <w:rFonts w:hint="eastAsia" w:ascii="仿宋" w:hAnsi="仿宋" w:eastAsia="仿宋" w:cs="仿宋"/>
          <w:snapToGrid/>
          <w:color w:val="000000"/>
          <w:kern w:val="2"/>
          <w:szCs w:val="21"/>
          <w:highlight w:val="none"/>
          <w:lang w:eastAsia="zh-CN"/>
        </w:rPr>
        <w:t>6．1</w:t>
      </w:r>
      <w:r>
        <w:rPr>
          <w:rFonts w:hint="eastAsia" w:ascii="仿宋" w:hAnsi="仿宋" w:eastAsia="仿宋" w:cs="仿宋"/>
          <w:snapToGrid/>
          <w:color w:val="000000"/>
          <w:kern w:val="2"/>
          <w:szCs w:val="21"/>
          <w:highlight w:val="none"/>
          <w:lang w:eastAsia="zh-CN"/>
        </w:rPr>
        <w:tab/>
      </w:r>
      <w:r>
        <w:rPr>
          <w:rFonts w:hint="eastAsia" w:ascii="仿宋" w:hAnsi="仿宋" w:eastAsia="仿宋" w:cs="仿宋"/>
          <w:snapToGrid/>
          <w:color w:val="000000"/>
          <w:kern w:val="2"/>
          <w:szCs w:val="21"/>
          <w:highlight w:val="none"/>
          <w:lang w:eastAsia="zh-CN"/>
        </w:rPr>
        <w:t>交货时间：2027年3月前到货并安装调试完成。</w:t>
      </w:r>
    </w:p>
    <w:p w14:paraId="3F37AD39">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jc w:val="both"/>
        <w:textAlignment w:val="auto"/>
        <w:rPr>
          <w:rFonts w:hint="eastAsia" w:ascii="仿宋" w:hAnsi="仿宋" w:eastAsia="仿宋" w:cs="仿宋"/>
          <w:snapToGrid/>
          <w:color w:val="000000"/>
          <w:kern w:val="2"/>
          <w:szCs w:val="21"/>
          <w:highlight w:val="none"/>
          <w:lang w:eastAsia="zh-CN"/>
        </w:rPr>
      </w:pPr>
      <w:r>
        <w:rPr>
          <w:rFonts w:hint="eastAsia" w:ascii="仿宋" w:hAnsi="仿宋" w:eastAsia="仿宋" w:cs="仿宋"/>
          <w:snapToGrid/>
          <w:color w:val="000000"/>
          <w:kern w:val="2"/>
          <w:szCs w:val="21"/>
          <w:highlight w:val="none"/>
          <w:lang w:eastAsia="zh-CN"/>
        </w:rPr>
        <w:t>6．2</w:t>
      </w:r>
      <w:r>
        <w:rPr>
          <w:rFonts w:hint="eastAsia" w:ascii="仿宋" w:hAnsi="仿宋" w:eastAsia="仿宋" w:cs="仿宋"/>
          <w:snapToGrid/>
          <w:color w:val="000000"/>
          <w:kern w:val="2"/>
          <w:szCs w:val="21"/>
          <w:highlight w:val="none"/>
          <w:lang w:eastAsia="zh-CN"/>
        </w:rPr>
        <w:tab/>
      </w:r>
      <w:r>
        <w:rPr>
          <w:rFonts w:hint="eastAsia" w:ascii="仿宋" w:hAnsi="仿宋" w:eastAsia="仿宋" w:cs="仿宋"/>
          <w:snapToGrid/>
          <w:color w:val="000000"/>
          <w:kern w:val="2"/>
          <w:szCs w:val="21"/>
          <w:highlight w:val="none"/>
          <w:lang w:eastAsia="zh-CN"/>
        </w:rPr>
        <w:t>交货地点：采购人指定地点。</w:t>
      </w:r>
    </w:p>
    <w:p w14:paraId="77527B7B">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2" w:firstLineChars="200"/>
        <w:jc w:val="both"/>
        <w:textAlignment w:val="auto"/>
        <w:rPr>
          <w:rFonts w:hint="eastAsia" w:ascii="仿宋" w:hAnsi="仿宋" w:eastAsia="仿宋" w:cs="仿宋"/>
          <w:b/>
          <w:bCs/>
          <w:snapToGrid/>
          <w:color w:val="000000"/>
          <w:kern w:val="2"/>
          <w:szCs w:val="21"/>
          <w:highlight w:val="none"/>
          <w:lang w:eastAsia="zh-CN"/>
        </w:rPr>
      </w:pPr>
      <w:r>
        <w:rPr>
          <w:rFonts w:hint="eastAsia" w:ascii="仿宋" w:hAnsi="仿宋" w:eastAsia="仿宋" w:cs="仿宋"/>
          <w:b/>
          <w:bCs/>
          <w:snapToGrid/>
          <w:color w:val="000000"/>
          <w:kern w:val="2"/>
          <w:szCs w:val="21"/>
          <w:highlight w:val="none"/>
          <w:lang w:eastAsia="zh-CN"/>
        </w:rPr>
        <w:t>7．</w:t>
      </w:r>
      <w:r>
        <w:rPr>
          <w:rFonts w:hint="eastAsia" w:ascii="仿宋" w:hAnsi="仿宋" w:eastAsia="仿宋" w:cs="仿宋"/>
          <w:b/>
          <w:bCs/>
          <w:snapToGrid/>
          <w:color w:val="000000"/>
          <w:kern w:val="2"/>
          <w:szCs w:val="21"/>
          <w:highlight w:val="none"/>
          <w:lang w:eastAsia="zh-CN"/>
        </w:rPr>
        <w:tab/>
      </w:r>
      <w:r>
        <w:rPr>
          <w:rFonts w:hint="eastAsia" w:ascii="仿宋" w:hAnsi="仿宋" w:eastAsia="仿宋" w:cs="仿宋"/>
          <w:b/>
          <w:bCs/>
          <w:snapToGrid/>
          <w:color w:val="000000"/>
          <w:kern w:val="2"/>
          <w:szCs w:val="21"/>
          <w:highlight w:val="none"/>
          <w:lang w:eastAsia="zh-CN"/>
        </w:rPr>
        <w:t>付款方式</w:t>
      </w:r>
    </w:p>
    <w:p w14:paraId="774E16D3">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jc w:val="both"/>
        <w:textAlignment w:val="auto"/>
        <w:rPr>
          <w:rFonts w:hint="eastAsia" w:ascii="仿宋" w:hAnsi="仿宋" w:eastAsia="仿宋" w:cs="仿宋"/>
          <w:snapToGrid/>
          <w:color w:val="000000"/>
          <w:kern w:val="2"/>
          <w:szCs w:val="21"/>
          <w:highlight w:val="none"/>
          <w:lang w:val="en-US" w:eastAsia="zh-CN"/>
        </w:rPr>
      </w:pPr>
      <w:r>
        <w:rPr>
          <w:rFonts w:hint="eastAsia" w:ascii="仿宋" w:hAnsi="仿宋" w:eastAsia="仿宋" w:cs="仿宋"/>
          <w:snapToGrid/>
          <w:color w:val="000000"/>
          <w:kern w:val="2"/>
          <w:szCs w:val="21"/>
          <w:highlight w:val="none"/>
          <w:lang w:eastAsia="zh-CN"/>
        </w:rPr>
        <w:t>7.1</w:t>
      </w:r>
      <w:r>
        <w:rPr>
          <w:rFonts w:hint="eastAsia" w:ascii="仿宋" w:hAnsi="仿宋" w:eastAsia="仿宋" w:cs="仿宋"/>
          <w:snapToGrid/>
          <w:color w:val="000000"/>
          <w:kern w:val="2"/>
          <w:szCs w:val="21"/>
          <w:highlight w:val="none"/>
          <w:lang w:eastAsia="zh-CN"/>
        </w:rPr>
        <w:tab/>
      </w:r>
      <w:r>
        <w:rPr>
          <w:rFonts w:hint="eastAsia" w:ascii="仿宋" w:hAnsi="仿宋" w:eastAsia="仿宋" w:cs="仿宋"/>
          <w:snapToGrid/>
          <w:color w:val="000000"/>
          <w:kern w:val="2"/>
          <w:szCs w:val="21"/>
          <w:highlight w:val="none"/>
          <w:lang w:eastAsia="zh-CN"/>
        </w:rPr>
        <w:t>付款人：</w:t>
      </w:r>
      <w:r>
        <w:rPr>
          <w:rFonts w:hint="eastAsia" w:ascii="仿宋" w:hAnsi="仿宋" w:eastAsia="仿宋" w:cs="仿宋"/>
          <w:snapToGrid/>
          <w:color w:val="000000"/>
          <w:kern w:val="2"/>
          <w:szCs w:val="21"/>
          <w:highlight w:val="none"/>
          <w:lang w:val="en-US" w:eastAsia="zh-CN"/>
        </w:rPr>
        <w:t>泸溪县第一中学</w:t>
      </w:r>
    </w:p>
    <w:p w14:paraId="77E74BD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仿宋" w:hAnsi="仿宋" w:eastAsia="仿宋" w:cs="仿宋"/>
          <w:b/>
          <w:bCs/>
          <w:snapToGrid/>
          <w:color w:val="000000"/>
          <w:kern w:val="2"/>
          <w:szCs w:val="21"/>
          <w:highlight w:val="none"/>
          <w:lang w:eastAsia="zh-CN"/>
        </w:rPr>
      </w:pPr>
      <w:r>
        <w:rPr>
          <w:rFonts w:hint="eastAsia" w:ascii="仿宋" w:hAnsi="仿宋" w:eastAsia="仿宋" w:cs="仿宋"/>
          <w:snapToGrid/>
          <w:color w:val="000000"/>
          <w:kern w:val="2"/>
          <w:szCs w:val="24"/>
          <w:highlight w:val="none"/>
          <w:lang w:eastAsia="zh-CN"/>
        </w:rPr>
        <w:t>7.2</w:t>
      </w:r>
      <w:r>
        <w:rPr>
          <w:rFonts w:hint="eastAsia" w:ascii="仿宋" w:hAnsi="仿宋" w:eastAsia="仿宋" w:cs="仿宋"/>
          <w:snapToGrid/>
          <w:color w:val="000000"/>
          <w:kern w:val="2"/>
          <w:szCs w:val="24"/>
          <w:highlight w:val="none"/>
          <w:lang w:eastAsia="zh-CN"/>
        </w:rPr>
        <w:tab/>
      </w:r>
      <w:r>
        <w:rPr>
          <w:rFonts w:hint="eastAsia" w:ascii="仿宋" w:hAnsi="仿宋" w:eastAsia="仿宋" w:cs="仿宋"/>
          <w:snapToGrid/>
          <w:color w:val="000000"/>
          <w:kern w:val="2"/>
          <w:szCs w:val="24"/>
          <w:highlight w:val="none"/>
          <w:lang w:eastAsia="zh-CN"/>
        </w:rPr>
        <w:t>付款方式：货到安装调试验收合格后支付合同款的</w:t>
      </w:r>
      <w:r>
        <w:rPr>
          <w:rFonts w:hint="eastAsia" w:ascii="仿宋" w:hAnsi="仿宋" w:eastAsia="仿宋" w:cs="仿宋"/>
          <w:snapToGrid/>
          <w:color w:val="000000"/>
          <w:kern w:val="2"/>
          <w:szCs w:val="24"/>
          <w:highlight w:val="none"/>
          <w:lang w:val="en-US" w:eastAsia="zh-CN"/>
        </w:rPr>
        <w:t>98</w:t>
      </w:r>
      <w:r>
        <w:rPr>
          <w:rFonts w:hint="eastAsia" w:ascii="仿宋" w:hAnsi="仿宋" w:eastAsia="仿宋" w:cs="仿宋"/>
          <w:snapToGrid/>
          <w:color w:val="000000"/>
          <w:kern w:val="2"/>
          <w:szCs w:val="24"/>
          <w:highlight w:val="none"/>
          <w:lang w:eastAsia="zh-CN"/>
        </w:rPr>
        <w:t>%，高考结束后付完（无质量问题、售后服务纠纷，以及其他经济法律纠纷等）剩余合同款。</w:t>
      </w:r>
    </w:p>
    <w:p w14:paraId="27C0692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2" w:firstLineChars="200"/>
        <w:jc w:val="both"/>
        <w:textAlignment w:val="auto"/>
        <w:rPr>
          <w:rFonts w:hint="eastAsia" w:ascii="仿宋" w:hAnsi="仿宋" w:eastAsia="仿宋" w:cs="仿宋"/>
          <w:b/>
          <w:bCs/>
          <w:snapToGrid/>
          <w:color w:val="000000"/>
          <w:kern w:val="2"/>
          <w:szCs w:val="21"/>
          <w:highlight w:val="none"/>
          <w:lang w:eastAsia="zh-CN"/>
        </w:rPr>
      </w:pPr>
      <w:r>
        <w:rPr>
          <w:rFonts w:hint="eastAsia" w:ascii="仿宋" w:hAnsi="仿宋" w:eastAsia="仿宋" w:cs="仿宋"/>
          <w:b/>
          <w:bCs/>
          <w:snapToGrid/>
          <w:color w:val="000000"/>
          <w:kern w:val="2"/>
          <w:szCs w:val="21"/>
          <w:highlight w:val="none"/>
          <w:lang w:eastAsia="zh-CN"/>
        </w:rPr>
        <w:t>8.</w:t>
      </w:r>
      <w:r>
        <w:rPr>
          <w:rFonts w:hint="eastAsia" w:ascii="仿宋" w:hAnsi="仿宋" w:eastAsia="仿宋" w:cs="仿宋"/>
          <w:b/>
          <w:bCs/>
          <w:snapToGrid/>
          <w:color w:val="000000"/>
          <w:kern w:val="2"/>
          <w:szCs w:val="21"/>
          <w:highlight w:val="none"/>
          <w:lang w:eastAsia="zh-CN"/>
        </w:rPr>
        <w:tab/>
      </w:r>
      <w:r>
        <w:rPr>
          <w:rFonts w:hint="eastAsia" w:ascii="仿宋" w:hAnsi="仿宋" w:eastAsia="仿宋" w:cs="仿宋"/>
          <w:b/>
          <w:bCs/>
          <w:snapToGrid/>
          <w:color w:val="000000"/>
          <w:kern w:val="2"/>
          <w:szCs w:val="21"/>
          <w:highlight w:val="none"/>
          <w:lang w:eastAsia="zh-CN"/>
        </w:rPr>
        <w:t>培训和服务</w:t>
      </w:r>
    </w:p>
    <w:p w14:paraId="6DF9DBCB">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仿宋" w:hAnsi="仿宋" w:eastAsia="仿宋" w:cs="仿宋"/>
          <w:bCs/>
          <w:snapToGrid/>
          <w:color w:val="000000"/>
          <w:kern w:val="2"/>
          <w:szCs w:val="21"/>
          <w:highlight w:val="none"/>
          <w:lang w:eastAsia="zh-CN"/>
        </w:rPr>
      </w:pPr>
      <w:r>
        <w:rPr>
          <w:rFonts w:hint="eastAsia" w:ascii="仿宋" w:hAnsi="仿宋" w:eastAsia="仿宋" w:cs="仿宋"/>
          <w:bCs/>
          <w:snapToGrid/>
          <w:color w:val="000000"/>
          <w:kern w:val="2"/>
          <w:szCs w:val="21"/>
          <w:highlight w:val="none"/>
          <w:lang w:eastAsia="zh-CN"/>
        </w:rPr>
        <w:t>8.1</w:t>
      </w:r>
      <w:r>
        <w:rPr>
          <w:rFonts w:hint="eastAsia" w:ascii="仿宋" w:hAnsi="仿宋" w:eastAsia="仿宋" w:cs="仿宋"/>
          <w:bCs/>
          <w:snapToGrid/>
          <w:color w:val="000000"/>
          <w:kern w:val="2"/>
          <w:szCs w:val="21"/>
          <w:highlight w:val="none"/>
          <w:lang w:eastAsia="zh-CN"/>
        </w:rPr>
        <w:tab/>
      </w:r>
      <w:r>
        <w:rPr>
          <w:rFonts w:hint="eastAsia" w:ascii="仿宋" w:hAnsi="仿宋" w:eastAsia="仿宋" w:cs="仿宋"/>
          <w:bCs/>
          <w:snapToGrid/>
          <w:color w:val="000000"/>
          <w:kern w:val="2"/>
          <w:szCs w:val="21"/>
          <w:highlight w:val="none"/>
          <w:lang w:eastAsia="zh-CN"/>
        </w:rPr>
        <w:t>中标人应按招标人指定负责培训操作管理及维护人员，达到熟练掌握产品性能、操作技能及排除一般故障的程度。</w:t>
      </w:r>
    </w:p>
    <w:p w14:paraId="6DE2B6EE">
      <w:pPr>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jc w:val="both"/>
        <w:textAlignment w:val="auto"/>
        <w:rPr>
          <w:rFonts w:hint="eastAsia" w:ascii="仿宋" w:hAnsi="仿宋" w:eastAsia="仿宋" w:cs="仿宋"/>
          <w:b/>
          <w:snapToGrid/>
          <w:color w:val="000000"/>
          <w:kern w:val="2"/>
          <w:szCs w:val="21"/>
          <w:highlight w:val="none"/>
          <w:lang w:eastAsia="zh-CN"/>
        </w:rPr>
      </w:pPr>
      <w:r>
        <w:rPr>
          <w:rFonts w:hint="eastAsia" w:ascii="仿宋" w:hAnsi="仿宋" w:eastAsia="仿宋" w:cs="仿宋"/>
          <w:b/>
          <w:bCs/>
          <w:snapToGrid/>
          <w:color w:val="000000"/>
          <w:kern w:val="2"/>
          <w:szCs w:val="21"/>
          <w:highlight w:val="none"/>
          <w:lang w:eastAsia="zh-CN"/>
        </w:rPr>
        <w:t>8.2中标人应可以提供重大活动期间技术人员免费到场服务和技术支持。</w:t>
      </w:r>
    </w:p>
    <w:p w14:paraId="46D47CEA">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仿宋" w:hAnsi="仿宋" w:eastAsia="仿宋" w:cs="仿宋"/>
          <w:b/>
          <w:snapToGrid/>
          <w:color w:val="000000"/>
          <w:kern w:val="2"/>
          <w:szCs w:val="21"/>
          <w:highlight w:val="none"/>
          <w:lang w:eastAsia="zh-CN"/>
        </w:rPr>
      </w:pPr>
      <w:r>
        <w:rPr>
          <w:rFonts w:hint="eastAsia" w:ascii="仿宋" w:hAnsi="仿宋" w:eastAsia="仿宋" w:cs="仿宋"/>
          <w:b/>
          <w:snapToGrid/>
          <w:color w:val="000000"/>
          <w:kern w:val="2"/>
          <w:szCs w:val="21"/>
          <w:highlight w:val="none"/>
          <w:lang w:val="en-US" w:eastAsia="zh-CN"/>
        </w:rPr>
        <w:t>二</w:t>
      </w:r>
      <w:r>
        <w:rPr>
          <w:rFonts w:hint="eastAsia" w:ascii="仿宋" w:hAnsi="仿宋" w:eastAsia="仿宋" w:cs="仿宋"/>
          <w:b/>
          <w:snapToGrid/>
          <w:color w:val="000000"/>
          <w:kern w:val="2"/>
          <w:szCs w:val="21"/>
          <w:highlight w:val="none"/>
          <w:lang w:eastAsia="zh-CN"/>
        </w:rPr>
        <w:t>、其它要求及说明</w:t>
      </w:r>
    </w:p>
    <w:p w14:paraId="2765F7DE">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jc w:val="both"/>
        <w:textAlignment w:val="auto"/>
        <w:rPr>
          <w:rFonts w:hint="eastAsia" w:ascii="仿宋" w:hAnsi="仿宋" w:eastAsia="仿宋" w:cs="仿宋"/>
          <w:snapToGrid/>
          <w:color w:val="000000"/>
          <w:kern w:val="2"/>
          <w:szCs w:val="21"/>
          <w:highlight w:val="none"/>
          <w:lang w:eastAsia="zh-CN"/>
        </w:rPr>
      </w:pPr>
      <w:r>
        <w:rPr>
          <w:rFonts w:hint="eastAsia" w:ascii="仿宋" w:hAnsi="仿宋" w:eastAsia="仿宋" w:cs="仿宋"/>
          <w:snapToGrid/>
          <w:color w:val="000000"/>
          <w:kern w:val="2"/>
          <w:szCs w:val="21"/>
          <w:highlight w:val="none"/>
          <w:lang w:eastAsia="zh-CN"/>
        </w:rPr>
        <w:t>1、</w:t>
      </w:r>
      <w:r>
        <w:rPr>
          <w:rFonts w:hint="eastAsia" w:ascii="仿宋" w:hAnsi="仿宋" w:eastAsia="仿宋" w:cs="仿宋"/>
          <w:snapToGrid/>
          <w:color w:val="000000"/>
          <w:kern w:val="2"/>
          <w:szCs w:val="21"/>
          <w:highlight w:val="none"/>
          <w:lang w:eastAsia="zh-CN"/>
        </w:rPr>
        <w:tab/>
      </w:r>
      <w:r>
        <w:rPr>
          <w:rFonts w:hint="eastAsia" w:ascii="仿宋" w:hAnsi="仿宋" w:eastAsia="仿宋" w:cs="仿宋"/>
          <w:snapToGrid/>
          <w:color w:val="000000"/>
          <w:kern w:val="2"/>
          <w:szCs w:val="21"/>
          <w:highlight w:val="none"/>
          <w:lang w:eastAsia="zh-CN"/>
        </w:rPr>
        <w:t>本项目采用费用总包干方式建设，投标人应根据项目要求和现场情况，详细列明项目所需的设备、材料、配件、辅材，以及运输、安装、调试、验收等人工、管理等所有费用，如一旦中标，在项目实施中出现任何遗漏，均由中标人免费提供，招标人不再支付任何费用。</w:t>
      </w:r>
    </w:p>
    <w:p w14:paraId="4FA1767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jc w:val="both"/>
        <w:textAlignment w:val="auto"/>
        <w:rPr>
          <w:rFonts w:hint="eastAsia" w:ascii="仿宋" w:hAnsi="仿宋" w:eastAsia="仿宋" w:cs="仿宋"/>
          <w:snapToGrid/>
          <w:color w:val="000000"/>
          <w:kern w:val="2"/>
          <w:szCs w:val="21"/>
          <w:highlight w:val="none"/>
          <w:lang w:eastAsia="zh-CN"/>
        </w:rPr>
      </w:pPr>
      <w:r>
        <w:rPr>
          <w:rFonts w:hint="eastAsia" w:ascii="仿宋" w:hAnsi="仿宋" w:eastAsia="仿宋" w:cs="仿宋"/>
          <w:snapToGrid/>
          <w:color w:val="000000"/>
          <w:kern w:val="2"/>
          <w:szCs w:val="21"/>
          <w:highlight w:val="none"/>
          <w:lang w:eastAsia="zh-CN"/>
        </w:rPr>
        <w:t>2、</w:t>
      </w:r>
      <w:r>
        <w:rPr>
          <w:rFonts w:hint="eastAsia" w:ascii="仿宋" w:hAnsi="仿宋" w:eastAsia="仿宋" w:cs="仿宋"/>
          <w:bCs/>
          <w:snapToGrid/>
          <w:color w:val="000000"/>
          <w:kern w:val="2"/>
          <w:szCs w:val="21"/>
          <w:highlight w:val="none"/>
          <w:lang w:eastAsia="zh-CN"/>
        </w:rPr>
        <w:t>投标人投标前自行踏勘现场，了解项目实际情况，产生的费用自行承担。</w:t>
      </w:r>
    </w:p>
    <w:p w14:paraId="243D13F8">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jc w:val="both"/>
        <w:textAlignment w:val="auto"/>
      </w:pPr>
      <w:r>
        <w:rPr>
          <w:rFonts w:hint="eastAsia" w:ascii="仿宋" w:hAnsi="仿宋" w:eastAsia="仿宋" w:cs="仿宋"/>
          <w:snapToGrid/>
          <w:color w:val="000000"/>
          <w:kern w:val="2"/>
          <w:szCs w:val="21"/>
          <w:highlight w:val="none"/>
          <w:lang w:eastAsia="zh-CN"/>
        </w:rPr>
        <w:t>3、对于上述项目要求，投标人应在投标文件中进行回应，作出承诺及说明。</w:t>
      </w:r>
      <w:bookmarkStart w:id="6" w:name="_GoBack"/>
      <w:bookmarkEnd w:id="6"/>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2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03" w:usb1="288F0000" w:usb2="0000000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3F5549">
    <w:pPr>
      <w:kinsoku w:val="0"/>
      <w:autoSpaceDE w:val="0"/>
      <w:autoSpaceDN w:val="0"/>
      <w:adjustRightInd w:val="0"/>
      <w:snapToGrid w:val="0"/>
      <w:spacing w:line="214" w:lineRule="auto"/>
      <w:ind w:left="3967"/>
      <w:jc w:val="left"/>
      <w:textAlignment w:val="baseline"/>
      <w:rPr>
        <w:rFonts w:ascii="仿宋" w:hAnsi="仿宋" w:eastAsia="仿宋" w:cs="仿宋"/>
        <w:snapToGrid w:val="0"/>
        <w:color w:val="000000"/>
        <w:kern w:val="0"/>
        <w:sz w:val="18"/>
        <w:szCs w:val="18"/>
        <w:lang w:val="en-US" w:eastAsia="en-US" w:bidi="ar-SA"/>
      </w:rPr>
    </w:pPr>
    <w:r>
      <w:rPr>
        <w:rFonts w:ascii="仿宋" w:hAnsi="仿宋" w:eastAsia="仿宋" w:cs="仿宋"/>
        <w:snapToGrid w:val="0"/>
        <w:color w:val="000000"/>
        <w:kern w:val="0"/>
        <w:sz w:val="18"/>
        <w:szCs w:val="31"/>
        <w:lang w:val="en-US" w:eastAsia="en-US"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42A4721">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45</w:t>
                          </w:r>
                          <w:r>
                            <w:rPr>
                              <w:rFonts w:ascii="Arial" w:hAnsi="Arial" w:eastAsia="Arial" w:cs="Arial"/>
                              <w:snapToGrid w:val="0"/>
                              <w:color w:val="000000"/>
                              <w:kern w:val="0"/>
                              <w:sz w:val="18"/>
                              <w:szCs w:val="21"/>
                              <w:lang w:val="en-US" w:eastAsia="en-US"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zQzU3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zqGCvSNPQwkVJXerRCu297&#10;nntTnEHTmW5SvOWbGqVsmQ8PzGE0UD4eT7jHUkqDlKa3KKmM+/Kv8xiPjsFLSYNRy6nGy6JEvtfo&#10;JADDYLjB2A+GPqo7g9lFc1BLMnHBBTmYpTPqM17UKuaAi2mOTDkNg3kXunHHi+RitUpBR+vqQ9Vd&#10;wBxaFrZ6Z3lME6XydnUMkDYpHgXqVEGn4gaTmHrWv5o46n/uU9Tj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7c0M1NwIAAHEEAAAOAAAAAAAAAAEAIAAAAB8BAABkcnMvZTJvRG9jLnht&#10;bFBLBQYAAAAABgAGAFkBAADIBQAAAAA=&#10;">
              <v:fill on="f" focussize="0,0"/>
              <v:stroke on="f" weight="0.5pt"/>
              <v:imagedata o:title=""/>
              <o:lock v:ext="edit" aspectratio="f"/>
              <v:textbox inset="0mm,0mm,0mm,0mm" style="mso-fit-shape-to-text:t;">
                <w:txbxContent>
                  <w:p w14:paraId="542A4721">
                    <w:pPr>
                      <w:tabs>
                        <w:tab w:val="center" w:pos="4153"/>
                        <w:tab w:val="right" w:pos="8306"/>
                      </w:tabs>
                      <w:kinsoku w:val="0"/>
                      <w:autoSpaceDE w:val="0"/>
                      <w:autoSpaceDN w:val="0"/>
                      <w:adjustRightInd w:val="0"/>
                      <w:snapToGrid w:val="0"/>
                      <w:spacing w:line="240" w:lineRule="auto"/>
                      <w:jc w:val="left"/>
                      <w:textAlignment w:val="baseline"/>
                      <w:rPr>
                        <w:rFonts w:ascii="Arial" w:hAnsi="Arial" w:eastAsia="Arial" w:cs="Arial"/>
                        <w:snapToGrid w:val="0"/>
                        <w:color w:val="000000"/>
                        <w:kern w:val="0"/>
                        <w:sz w:val="18"/>
                        <w:szCs w:val="21"/>
                        <w:lang w:val="en-US" w:eastAsia="en-US" w:bidi="ar-SA"/>
                      </w:rPr>
                    </w:pPr>
                    <w:r>
                      <w:rPr>
                        <w:rFonts w:ascii="Arial" w:hAnsi="Arial" w:eastAsia="Arial" w:cs="Arial"/>
                        <w:snapToGrid w:val="0"/>
                        <w:color w:val="000000"/>
                        <w:kern w:val="0"/>
                        <w:sz w:val="18"/>
                        <w:szCs w:val="21"/>
                        <w:lang w:val="en-US" w:eastAsia="en-US" w:bidi="ar-SA"/>
                      </w:rPr>
                      <w:fldChar w:fldCharType="begin"/>
                    </w:r>
                    <w:r>
                      <w:rPr>
                        <w:rFonts w:ascii="Arial" w:hAnsi="Arial" w:eastAsia="Arial" w:cs="Arial"/>
                        <w:snapToGrid w:val="0"/>
                        <w:color w:val="000000"/>
                        <w:kern w:val="0"/>
                        <w:sz w:val="18"/>
                        <w:szCs w:val="21"/>
                        <w:lang w:val="en-US" w:eastAsia="en-US" w:bidi="ar-SA"/>
                      </w:rPr>
                      <w:instrText xml:space="preserve"> PAGE  \* MERGEFORMAT </w:instrText>
                    </w:r>
                    <w:r>
                      <w:rPr>
                        <w:rFonts w:ascii="Arial" w:hAnsi="Arial" w:eastAsia="Arial" w:cs="Arial"/>
                        <w:snapToGrid w:val="0"/>
                        <w:color w:val="000000"/>
                        <w:kern w:val="0"/>
                        <w:sz w:val="18"/>
                        <w:szCs w:val="21"/>
                        <w:lang w:val="en-US" w:eastAsia="en-US" w:bidi="ar-SA"/>
                      </w:rPr>
                      <w:fldChar w:fldCharType="separate"/>
                    </w:r>
                    <w:r>
                      <w:rPr>
                        <w:rFonts w:ascii="Arial" w:hAnsi="Arial" w:eastAsia="Arial" w:cs="Arial"/>
                        <w:snapToGrid w:val="0"/>
                        <w:color w:val="000000"/>
                        <w:kern w:val="0"/>
                        <w:sz w:val="18"/>
                        <w:szCs w:val="21"/>
                        <w:lang w:val="en-US" w:eastAsia="en-US" w:bidi="ar-SA"/>
                      </w:rPr>
                      <w:t>45</w:t>
                    </w:r>
                    <w:r>
                      <w:rPr>
                        <w:rFonts w:ascii="Arial" w:hAnsi="Arial" w:eastAsia="Arial" w:cs="Arial"/>
                        <w:snapToGrid w:val="0"/>
                        <w:color w:val="000000"/>
                        <w:kern w:val="0"/>
                        <w:sz w:val="18"/>
                        <w:szCs w:val="21"/>
                        <w:lang w:val="en-US" w:eastAsia="en-US" w:bidi="ar-S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8B50F">
    <w:pPr>
      <w:pBdr>
        <w:top w:val="none" w:color="auto" w:sz="0" w:space="1"/>
        <w:left w:val="none" w:color="auto" w:sz="0" w:space="4"/>
        <w:bottom w:val="none" w:color="auto" w:sz="0" w:space="1"/>
        <w:right w:val="none" w:color="auto" w:sz="0" w:space="4"/>
      </w:pBdr>
      <w:tabs>
        <w:tab w:val="center" w:pos="4153"/>
        <w:tab w:val="right" w:pos="8306"/>
      </w:tabs>
      <w:kinsoku w:val="0"/>
      <w:autoSpaceDE w:val="0"/>
      <w:autoSpaceDN w:val="0"/>
      <w:adjustRightInd w:val="0"/>
      <w:snapToGrid w:val="0"/>
      <w:spacing w:line="240" w:lineRule="auto"/>
      <w:jc w:val="both"/>
      <w:textAlignment w:val="baseline"/>
      <w:outlineLvl w:val="9"/>
      <w:rPr>
        <w:rFonts w:ascii="Arial" w:hAnsi="Arial" w:eastAsia="Arial" w:cs="Arial"/>
        <w:snapToGrid w:val="0"/>
        <w:color w:val="000000"/>
        <w:kern w:val="0"/>
        <w:sz w:val="18"/>
        <w:szCs w:val="21"/>
        <w:lang w:val="en-US" w:eastAsia="en-US"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3E3AD3"/>
    <w:multiLevelType w:val="multilevel"/>
    <w:tmpl w:val="973E3AD3"/>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C5913262"/>
    <w:multiLevelType w:val="singleLevel"/>
    <w:tmpl w:val="C5913262"/>
    <w:lvl w:ilvl="0" w:tentative="0">
      <w:start w:val="1"/>
      <w:numFmt w:val="chineseCounting"/>
      <w:pStyle w:val="3"/>
      <w:suff w:val="nothing"/>
      <w:lvlText w:val="（%1）"/>
      <w:lvlJc w:val="left"/>
      <w:pPr>
        <w:ind w:left="0" w:firstLine="420"/>
      </w:pPr>
      <w:rPr>
        <w:rFonts w:hint="eastAsia"/>
      </w:rPr>
    </w:lvl>
  </w:abstractNum>
  <w:abstractNum w:abstractNumId="2">
    <w:nsid w:val="08C806B3"/>
    <w:multiLevelType w:val="singleLevel"/>
    <w:tmpl w:val="08C806B3"/>
    <w:lvl w:ilvl="0" w:tentative="0">
      <w:start w:val="1"/>
      <w:numFmt w:val="chineseCounting"/>
      <w:pStyle w:val="2"/>
      <w:suff w:val="nothing"/>
      <w:lvlText w:val="%1、"/>
      <w:lvlJc w:val="left"/>
      <w:pPr>
        <w:ind w:left="0" w:firstLine="420"/>
      </w:pPr>
      <w:rPr>
        <w:rFonts w:hint="eastAsia"/>
      </w:rPr>
    </w:lvl>
  </w:abstractNum>
  <w:abstractNum w:abstractNumId="3">
    <w:nsid w:val="3B5DAB39"/>
    <w:multiLevelType w:val="singleLevel"/>
    <w:tmpl w:val="3B5DAB39"/>
    <w:lvl w:ilvl="0" w:tentative="0">
      <w:start w:val="1"/>
      <w:numFmt w:val="decimal"/>
      <w:pStyle w:val="6"/>
      <w:lvlText w:val="(%1)"/>
      <w:lvlJc w:val="left"/>
      <w:pPr>
        <w:ind w:left="425" w:hanging="425"/>
      </w:pPr>
      <w:rPr>
        <w:rFonts w:hint="default"/>
      </w:rPr>
    </w:lvl>
  </w:abstractNum>
  <w:abstractNum w:abstractNumId="4">
    <w:nsid w:val="3BE89759"/>
    <w:multiLevelType w:val="singleLevel"/>
    <w:tmpl w:val="3BE89759"/>
    <w:lvl w:ilvl="0" w:tentative="0">
      <w:start w:val="1"/>
      <w:numFmt w:val="decimal"/>
      <w:pStyle w:val="5"/>
      <w:lvlText w:val="(%1)"/>
      <w:lvlJc w:val="left"/>
      <w:pPr>
        <w:ind w:left="425" w:hanging="425"/>
      </w:pPr>
      <w:rPr>
        <w:rFont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271DE8"/>
    <w:rsid w:val="0C484D6B"/>
    <w:rsid w:val="11EA306B"/>
    <w:rsid w:val="14220E4B"/>
    <w:rsid w:val="22CF135C"/>
    <w:rsid w:val="2383159C"/>
    <w:rsid w:val="25B44364"/>
    <w:rsid w:val="3AA05603"/>
    <w:rsid w:val="3BD86A5E"/>
    <w:rsid w:val="3FE47979"/>
    <w:rsid w:val="3FF14FBE"/>
    <w:rsid w:val="460108C9"/>
    <w:rsid w:val="48702DA8"/>
    <w:rsid w:val="4F152BAA"/>
    <w:rsid w:val="4F3B55BB"/>
    <w:rsid w:val="4F7164C3"/>
    <w:rsid w:val="5674668D"/>
    <w:rsid w:val="5AE70959"/>
    <w:rsid w:val="5CCF687B"/>
    <w:rsid w:val="71271DE8"/>
    <w:rsid w:val="7A895E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Lines="0" w:beforeAutospacing="0" w:afterLines="0" w:afterAutospacing="0" w:line="360" w:lineRule="auto"/>
      <w:jc w:val="center"/>
      <w:outlineLvl w:val="0"/>
    </w:pPr>
    <w:rPr>
      <w:rFonts w:ascii="Times New Roman" w:hAnsi="Times New Roman" w:eastAsia="宋体" w:cs="Times New Roman"/>
      <w:b/>
      <w:snapToGrid w:val="0"/>
      <w:color w:val="000000"/>
      <w:kern w:val="44"/>
      <w:sz w:val="36"/>
      <w:szCs w:val="21"/>
      <w:lang w:eastAsia="en-US"/>
    </w:rPr>
  </w:style>
  <w:style w:type="paragraph" w:styleId="3">
    <w:name w:val="heading 2"/>
    <w:basedOn w:val="1"/>
    <w:next w:val="1"/>
    <w:semiHidden/>
    <w:unhideWhenUsed/>
    <w:qFormat/>
    <w:uiPriority w:val="0"/>
    <w:pPr>
      <w:keepNext/>
      <w:keepLines/>
      <w:numPr>
        <w:ilvl w:val="0"/>
        <w:numId w:val="2"/>
      </w:numPr>
      <w:spacing w:beforeLines="0" w:beforeAutospacing="0" w:afterLines="0" w:afterAutospacing="0" w:line="413" w:lineRule="auto"/>
      <w:ind w:firstLine="0"/>
      <w:jc w:val="center"/>
      <w:outlineLvl w:val="1"/>
    </w:pPr>
    <w:rPr>
      <w:rFonts w:ascii="Arial" w:hAnsi="Arial" w:eastAsia="宋体" w:cs="Times New Roman"/>
      <w:b/>
      <w:sz w:val="30"/>
    </w:rPr>
  </w:style>
  <w:style w:type="paragraph" w:styleId="4">
    <w:name w:val="heading 3"/>
    <w:basedOn w:val="1"/>
    <w:next w:val="1"/>
    <w:semiHidden/>
    <w:unhideWhenUsed/>
    <w:qFormat/>
    <w:uiPriority w:val="0"/>
    <w:pPr>
      <w:keepNext/>
      <w:keepLines/>
      <w:numPr>
        <w:ilvl w:val="2"/>
        <w:numId w:val="3"/>
      </w:numPr>
      <w:tabs>
        <w:tab w:val="left" w:pos="0"/>
        <w:tab w:val="left" w:pos="5760"/>
      </w:tabs>
      <w:spacing w:beforeLines="0" w:afterLines="0" w:line="360" w:lineRule="auto"/>
      <w:ind w:firstLine="0"/>
      <w:jc w:val="left"/>
      <w:outlineLvl w:val="2"/>
    </w:pPr>
    <w:rPr>
      <w:rFonts w:ascii="宋体" w:hAnsi="宋体" w:eastAsia="宋体" w:cs="宋体"/>
      <w:b/>
      <w:snapToGrid w:val="0"/>
      <w:color w:val="000000" w:themeColor="text1"/>
      <w:sz w:val="24"/>
      <w:szCs w:val="28"/>
      <w14:textFill>
        <w14:solidFill>
          <w14:schemeClr w14:val="tx1"/>
        </w14:solidFill>
      </w14:textFill>
    </w:rPr>
  </w:style>
  <w:style w:type="paragraph" w:styleId="5">
    <w:name w:val="heading 4"/>
    <w:basedOn w:val="1"/>
    <w:next w:val="1"/>
    <w:semiHidden/>
    <w:unhideWhenUsed/>
    <w:qFormat/>
    <w:uiPriority w:val="0"/>
    <w:pPr>
      <w:keepNext/>
      <w:keepLines/>
      <w:numPr>
        <w:ilvl w:val="0"/>
        <w:numId w:val="4"/>
      </w:numPr>
      <w:spacing w:beforeLines="0" w:beforeAutospacing="0" w:afterLines="0" w:afterAutospacing="0" w:line="360" w:lineRule="auto"/>
      <w:jc w:val="left"/>
      <w:outlineLvl w:val="3"/>
    </w:pPr>
    <w:rPr>
      <w:rFonts w:ascii="Arial" w:hAnsi="Arial" w:eastAsia="宋体" w:cs="宋体"/>
      <w:b/>
      <w:bCs/>
      <w:sz w:val="24"/>
    </w:rPr>
  </w:style>
  <w:style w:type="paragraph" w:styleId="6">
    <w:name w:val="heading 6"/>
    <w:basedOn w:val="1"/>
    <w:next w:val="1"/>
    <w:semiHidden/>
    <w:unhideWhenUsed/>
    <w:qFormat/>
    <w:uiPriority w:val="0"/>
    <w:pPr>
      <w:keepNext/>
      <w:keepLines/>
      <w:numPr>
        <w:ilvl w:val="0"/>
        <w:numId w:val="5"/>
      </w:numPr>
      <w:spacing w:before="240" w:beforeLines="0" w:beforeAutospacing="0" w:after="64" w:afterLines="0" w:afterAutospacing="0" w:line="317" w:lineRule="auto"/>
      <w:ind w:left="0" w:firstLine="425"/>
      <w:jc w:val="left"/>
      <w:outlineLvl w:val="5"/>
    </w:pPr>
    <w:rPr>
      <w:rFonts w:ascii="Arial" w:hAnsi="Arial" w:eastAsia="新宋体"/>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2026-10-08T04:39:00Z</dcterms:created>
  <dc:creator>GT</dc:creator>
  <cp:lastModifiedBy>GT</cp:lastModifiedBy>
  <dcterms:modified xsi:type="dcterms:W3CDTF">2026-10-08T04:40:02Z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C8B38E540D9343968DD43402B2EF1D0E_11</vt:lpwstr>
  </property>
  <property fmtid="{D5CDD505-2E9C-101B-9397-08002B2CF9AE}" pid="4" name="KSOTemplateDocerSaveRecord">
    <vt:lpwstr>eyJoZGlkIjoiMTEwZDFjMzRmMTU3N2I2MWQwZWFmZGNhMjRkNzI5ODAiLCJ1c2VySWQiOiIxNDk0MzQ4MDA3In0=</vt:lpwstr>
  </property>
</Properties>
</file>