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6AF25A">
      <w:pPr>
        <w:pStyle w:val="117"/>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30"/>
          <w:szCs w:val="30"/>
        </w:rPr>
        <w:drawing>
          <wp:anchor distT="0" distB="0" distL="114300" distR="114300" simplePos="0" relativeHeight="251660288" behindDoc="0" locked="0" layoutInCell="1" allowOverlap="1">
            <wp:simplePos x="0" y="0"/>
            <wp:positionH relativeFrom="column">
              <wp:posOffset>1426845</wp:posOffset>
            </wp:positionH>
            <wp:positionV relativeFrom="paragraph">
              <wp:posOffset>80010</wp:posOffset>
            </wp:positionV>
            <wp:extent cx="3579495" cy="435610"/>
            <wp:effectExtent l="0" t="0" r="1905" b="8890"/>
            <wp:wrapNone/>
            <wp:docPr id="4" name="图片 4" descr="da9fb9c1c9576ee35410698cd8a76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a9fb9c1c9576ee35410698cd8a76c0"/>
                    <pic:cNvPicPr>
                      <a:picLocks noChangeAspect="1"/>
                    </pic:cNvPicPr>
                  </pic:nvPicPr>
                  <pic:blipFill>
                    <a:blip r:embed="rId11"/>
                    <a:srcRect l="10206" t="6517" r="10857" b="80263"/>
                    <a:stretch>
                      <a:fillRect/>
                    </a:stretch>
                  </pic:blipFill>
                  <pic:spPr>
                    <a:xfrm>
                      <a:off x="0" y="0"/>
                      <a:ext cx="3579495" cy="435610"/>
                    </a:xfrm>
                    <a:prstGeom prst="rect">
                      <a:avLst/>
                    </a:prstGeom>
                  </pic:spPr>
                </pic:pic>
              </a:graphicData>
            </a:graphic>
          </wp:anchor>
        </w:drawing>
      </w:r>
    </w:p>
    <w:p w14:paraId="55E0506B">
      <w:pPr>
        <w:pStyle w:val="117"/>
        <w:spacing w:line="600" w:lineRule="auto"/>
        <w:rPr>
          <w:rFonts w:hint="eastAsia" w:asciiTheme="minorEastAsia" w:hAnsiTheme="minorEastAsia" w:eastAsiaTheme="minorEastAsia" w:cstheme="minorEastAsia"/>
          <w:sz w:val="48"/>
          <w:szCs w:val="48"/>
        </w:rPr>
      </w:pPr>
    </w:p>
    <w:p w14:paraId="1979FE07">
      <w:pPr>
        <w:widowControl/>
        <w:spacing w:line="360" w:lineRule="auto"/>
        <w:ind w:left="420" w:leftChars="200"/>
        <w:jc w:val="center"/>
        <w:rPr>
          <w:rFonts w:hint="eastAsia" w:asciiTheme="minorEastAsia" w:hAnsiTheme="minorEastAsia" w:eastAsiaTheme="minorEastAsia" w:cstheme="minorEastAsia"/>
          <w:b/>
          <w:bCs/>
          <w:color w:val="000000" w:themeColor="text1"/>
          <w:sz w:val="144"/>
          <w:szCs w:val="144"/>
          <w14:textFill>
            <w14:solidFill>
              <w14:schemeClr w14:val="tx1"/>
            </w14:solidFill>
          </w14:textFill>
        </w:rPr>
      </w:pPr>
      <w:r>
        <w:rPr>
          <w:rFonts w:hint="eastAsia" w:asciiTheme="minorEastAsia" w:hAnsiTheme="minorEastAsia" w:eastAsiaTheme="minorEastAsia" w:cstheme="minorEastAsia"/>
          <w:b/>
          <w:bCs/>
          <w:color w:val="000000" w:themeColor="text1"/>
          <w:sz w:val="144"/>
          <w:szCs w:val="144"/>
          <w14:textFill>
            <w14:solidFill>
              <w14:schemeClr w14:val="tx1"/>
            </w14:solidFill>
          </w14:textFill>
        </w:rPr>
        <w:t>政 府 采 购</w:t>
      </w:r>
    </w:p>
    <w:p w14:paraId="78130E42">
      <w:pPr>
        <w:pStyle w:val="48"/>
        <w:spacing w:line="400" w:lineRule="atLeast"/>
        <w:ind w:left="218" w:leftChars="104"/>
        <w:jc w:val="center"/>
        <w:rPr>
          <w:rFonts w:hint="eastAsia" w:asciiTheme="minorEastAsia" w:hAnsiTheme="minorEastAsia" w:eastAsiaTheme="minorEastAsia" w:cstheme="minorEastAsia"/>
          <w:b/>
          <w:bCs/>
          <w:color w:val="000000" w:themeColor="text1"/>
          <w:sz w:val="128"/>
          <w:szCs w:val="128"/>
          <w14:textFill>
            <w14:solidFill>
              <w14:schemeClr w14:val="tx1"/>
            </w14:solidFill>
          </w14:textFill>
        </w:rPr>
      </w:pPr>
      <w:r>
        <w:rPr>
          <w:rFonts w:hint="eastAsia" w:asciiTheme="minorEastAsia" w:hAnsiTheme="minorEastAsia" w:eastAsiaTheme="minorEastAsia" w:cstheme="minorEastAsia"/>
          <w:b/>
          <w:bCs/>
          <w:color w:val="000000" w:themeColor="text1"/>
          <w:sz w:val="128"/>
          <w:szCs w:val="128"/>
          <w14:textFill>
            <w14:solidFill>
              <w14:schemeClr w14:val="tx1"/>
            </w14:solidFill>
          </w14:textFill>
        </w:rPr>
        <w:t>招 标 文 件</w:t>
      </w:r>
    </w:p>
    <w:p w14:paraId="0E16F144">
      <w:pPr>
        <w:pStyle w:val="48"/>
        <w:jc w:val="center"/>
        <w:rPr>
          <w:rFonts w:hint="eastAsia" w:asciiTheme="minorEastAsia" w:hAnsiTheme="minorEastAsia" w:eastAsiaTheme="minorEastAsia" w:cstheme="minorEastAsia"/>
          <w:b/>
          <w:bCs/>
          <w:color w:val="000000" w:themeColor="text1"/>
          <w:sz w:val="24"/>
          <w:szCs w:val="24"/>
          <w14:textFill>
            <w14:solidFill>
              <w14:schemeClr w14:val="tx1"/>
            </w14:solidFill>
          </w14:textFill>
        </w:rPr>
      </w:pPr>
    </w:p>
    <w:p w14:paraId="213277C6">
      <w:pPr>
        <w:pStyle w:val="48"/>
        <w:spacing w:line="720" w:lineRule="auto"/>
        <w:ind w:left="420" w:leftChars="200"/>
        <w:jc w:val="center"/>
        <w:rPr>
          <w:rFonts w:hint="eastAsia" w:asciiTheme="minorEastAsia" w:hAnsiTheme="minorEastAsia" w:eastAsiaTheme="minorEastAsia" w:cstheme="minorEastAsia"/>
          <w:b/>
          <w:bCs/>
          <w:color w:val="000000" w:themeColor="text1"/>
          <w:sz w:val="15"/>
          <w:szCs w:val="15"/>
          <w14:textFill>
            <w14:solidFill>
              <w14:schemeClr w14:val="tx1"/>
            </w14:solidFill>
          </w14:textFill>
        </w:rPr>
      </w:pPr>
      <w:r>
        <w:rPr>
          <w:rFonts w:hint="eastAsia" w:asciiTheme="minorEastAsia" w:hAnsiTheme="minorEastAsia" w:eastAsiaTheme="minorEastAsia" w:cstheme="minorEastAsia"/>
          <w:b/>
          <w:bCs/>
          <w:color w:val="000000" w:themeColor="text1"/>
          <w:sz w:val="56"/>
          <w:szCs w:val="56"/>
          <w14:textFill>
            <w14:solidFill>
              <w14:schemeClr w14:val="tx1"/>
            </w14:solidFill>
          </w14:textFill>
        </w:rPr>
        <w:t>（服务类 电子标）</w:t>
      </w:r>
    </w:p>
    <w:p w14:paraId="2829B801">
      <w:pPr>
        <w:pStyle w:val="48"/>
        <w:jc w:val="center"/>
        <w:rPr>
          <w:rFonts w:hint="eastAsia" w:asciiTheme="minorEastAsia" w:hAnsiTheme="minorEastAsia" w:eastAsiaTheme="minorEastAsia" w:cstheme="minorEastAsia"/>
          <w:b/>
          <w:bCs/>
          <w:color w:val="000000" w:themeColor="text1"/>
          <w:sz w:val="13"/>
          <w:szCs w:val="13"/>
          <w14:textFill>
            <w14:solidFill>
              <w14:schemeClr w14:val="tx1"/>
            </w14:solidFill>
          </w14:textFill>
        </w:rPr>
      </w:pPr>
    </w:p>
    <w:p w14:paraId="4A7770CE">
      <w:pPr>
        <w:spacing w:line="480" w:lineRule="auto"/>
        <w:ind w:left="3573" w:leftChars="464" w:hanging="2599" w:hangingChars="719"/>
        <w:rPr>
          <w:rFonts w:hint="eastAsia" w:asciiTheme="minorEastAsia" w:hAnsiTheme="minorEastAsia" w:eastAsiaTheme="minorEastAsia" w:cstheme="minorEastAsia"/>
          <w:b/>
          <w:color w:val="000000" w:themeColor="text1"/>
          <w:sz w:val="36"/>
          <w:szCs w:val="36"/>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t>采购项目名称：凤凰县人民医院县域医共体信息平台</w:t>
      </w:r>
    </w:p>
    <w:p w14:paraId="77BAF357">
      <w:pPr>
        <w:spacing w:line="720" w:lineRule="auto"/>
        <w:ind w:left="3557" w:leftChars="1661" w:hanging="69" w:hangingChars="19"/>
        <w:rPr>
          <w:rFonts w:hint="eastAsia" w:asciiTheme="minorEastAsia" w:hAnsiTheme="minorEastAsia" w:eastAsiaTheme="minorEastAsia" w:cstheme="minorEastAsia"/>
          <w:b/>
          <w:color w:val="000000" w:themeColor="text1"/>
          <w:sz w:val="36"/>
          <w:szCs w:val="36"/>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t>建设采购项目</w:t>
      </w:r>
    </w:p>
    <w:p w14:paraId="5A163FB9">
      <w:pPr>
        <w:spacing w:line="720" w:lineRule="auto"/>
        <w:ind w:left="2557" w:leftChars="464" w:hanging="1583" w:hangingChars="438"/>
        <w:rPr>
          <w:rFonts w:hint="eastAsia" w:asciiTheme="minorEastAsia" w:hAnsiTheme="minorEastAsia" w:eastAsiaTheme="minorEastAsia" w:cstheme="minorEastAsia"/>
          <w:b/>
          <w:color w:val="000000" w:themeColor="text1"/>
          <w:sz w:val="36"/>
          <w:szCs w:val="36"/>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t>采   购   人：</w:t>
      </w:r>
      <w:r>
        <w:rPr>
          <w:rFonts w:hint="eastAsia" w:asciiTheme="minorEastAsia" w:hAnsiTheme="minorEastAsia" w:eastAsiaTheme="minorEastAsia" w:cstheme="minorEastAsia"/>
          <w:b/>
          <w:color w:val="000000" w:themeColor="text1"/>
          <w:sz w:val="36"/>
          <w:szCs w:val="36"/>
          <w:lang w:eastAsia="zh-CN"/>
          <w14:textFill>
            <w14:solidFill>
              <w14:schemeClr w14:val="tx1"/>
            </w14:solidFill>
          </w14:textFill>
        </w:rPr>
        <w:t>凤凰县人民医院</w:t>
      </w:r>
    </w:p>
    <w:p w14:paraId="2297846F">
      <w:pPr>
        <w:spacing w:line="720" w:lineRule="auto"/>
        <w:ind w:left="2557" w:leftChars="464" w:hanging="1583" w:hangingChars="438"/>
        <w:rPr>
          <w:rFonts w:hint="eastAsia" w:asciiTheme="minorEastAsia" w:hAnsiTheme="minorEastAsia" w:eastAsiaTheme="minorEastAsia" w:cstheme="minorEastAsia"/>
          <w:b/>
          <w:color w:val="000000" w:themeColor="text1"/>
          <w:sz w:val="36"/>
          <w:szCs w:val="36"/>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t>采购计划编号：</w:t>
      </w:r>
      <w:r>
        <w:rPr>
          <w:rFonts w:hint="eastAsia" w:asciiTheme="minorEastAsia" w:hAnsiTheme="minorEastAsia" w:eastAsiaTheme="minorEastAsia" w:cstheme="minorEastAsia"/>
          <w:b/>
          <w:color w:val="000000" w:themeColor="text1"/>
          <w:sz w:val="36"/>
          <w:szCs w:val="36"/>
          <w:lang w:eastAsia="zh-CN"/>
          <w14:textFill>
            <w14:solidFill>
              <w14:schemeClr w14:val="tx1"/>
            </w14:solidFill>
          </w14:textFill>
        </w:rPr>
        <w:t>(2026)433123000005-1</w:t>
      </w:r>
    </w:p>
    <w:p w14:paraId="29C06334">
      <w:pPr>
        <w:spacing w:line="720" w:lineRule="auto"/>
        <w:ind w:left="2557" w:leftChars="464" w:hanging="1583" w:hangingChars="438"/>
        <w:rPr>
          <w:rFonts w:hint="eastAsia" w:asciiTheme="minorEastAsia" w:hAnsiTheme="minorEastAsia" w:eastAsiaTheme="minorEastAsia" w:cstheme="minorEastAsia"/>
          <w:b/>
          <w:color w:val="000000" w:themeColor="text1"/>
          <w:sz w:val="36"/>
          <w:szCs w:val="36"/>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t>委托代理编号：</w:t>
      </w:r>
      <w:r>
        <w:rPr>
          <w:rFonts w:hint="eastAsia" w:asciiTheme="minorEastAsia" w:hAnsiTheme="minorEastAsia" w:eastAsiaTheme="minorEastAsia" w:cstheme="minorEastAsia"/>
          <w:b/>
          <w:color w:val="auto"/>
          <w:sz w:val="36"/>
          <w:szCs w:val="36"/>
          <w:lang w:eastAsia="zh-CN"/>
        </w:rPr>
        <w:t>HNPJGZ-2026-001</w:t>
      </w:r>
    </w:p>
    <w:p w14:paraId="54AA834D">
      <w:pPr>
        <w:spacing w:line="720" w:lineRule="auto"/>
        <w:ind w:left="2557" w:leftChars="464" w:hanging="1583" w:hangingChars="438"/>
        <w:rPr>
          <w:rFonts w:hint="eastAsia" w:asciiTheme="minorEastAsia" w:hAnsiTheme="minorEastAsia" w:eastAsiaTheme="minorEastAsia" w:cstheme="minorEastAsia"/>
          <w:b/>
          <w:color w:val="000000" w:themeColor="text1"/>
          <w:sz w:val="36"/>
          <w:szCs w:val="36"/>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t>采购代理机构：湖南品鉴项目管理有限公司</w:t>
      </w:r>
    </w:p>
    <w:p w14:paraId="2C7C10C4">
      <w:pPr>
        <w:autoSpaceDE w:val="0"/>
        <w:autoSpaceDN w:val="0"/>
        <w:adjustRightInd w:val="0"/>
        <w:ind w:left="218" w:leftChars="104"/>
        <w:jc w:val="center"/>
        <w:rPr>
          <w:rFonts w:hint="eastAsia" w:asciiTheme="minorEastAsia" w:hAnsiTheme="minorEastAsia" w:eastAsiaTheme="minorEastAsia" w:cstheme="minorEastAsia"/>
          <w:b/>
          <w:bCs/>
          <w:color w:val="000000" w:themeColor="text1"/>
          <w:sz w:val="36"/>
          <w:szCs w:val="36"/>
          <w14:textFill>
            <w14:solidFill>
              <w14:schemeClr w14:val="tx1"/>
            </w14:solidFill>
          </w14:textFill>
        </w:rPr>
      </w:pPr>
    </w:p>
    <w:p w14:paraId="2E9C0958">
      <w:pPr>
        <w:autoSpaceDE w:val="0"/>
        <w:autoSpaceDN w:val="0"/>
        <w:adjustRightInd w:val="0"/>
        <w:ind w:left="218" w:leftChars="104"/>
        <w:jc w:val="center"/>
        <w:rPr>
          <w:rFonts w:hint="eastAsia" w:asciiTheme="minorEastAsia" w:hAnsiTheme="minorEastAsia" w:eastAsiaTheme="minorEastAsia" w:cstheme="minorEastAsia"/>
          <w:color w:val="000000" w:themeColor="text1"/>
          <w14:textFill>
            <w14:solidFill>
              <w14:schemeClr w14:val="tx1"/>
            </w14:solidFill>
          </w14:textFill>
        </w:rPr>
        <w:sectPr>
          <w:headerReference r:id="rId4" w:type="first"/>
          <w:footerReference r:id="rId6" w:type="first"/>
          <w:headerReference r:id="rId3" w:type="default"/>
          <w:footerReference r:id="rId5" w:type="default"/>
          <w:pgSz w:w="11906" w:h="16838"/>
          <w:pgMar w:top="1417" w:right="1037" w:bottom="1417" w:left="1270" w:header="1020" w:footer="964" w:gutter="0"/>
          <w:pgBorders>
            <w:top w:val="none" w:sz="0" w:space="0"/>
            <w:left w:val="none" w:sz="0" w:space="0"/>
            <w:bottom w:val="none" w:sz="0" w:space="0"/>
            <w:right w:val="none" w:sz="0" w:space="0"/>
          </w:pgBorders>
          <w:pgNumType w:start="1"/>
          <w:cols w:space="0" w:num="1"/>
          <w:docGrid w:type="lines" w:linePitch="312" w:charSpace="0"/>
        </w:sectPr>
      </w:pPr>
      <w:r>
        <w:rPr>
          <w:rFonts w:hint="eastAsia" w:asciiTheme="minorEastAsia" w:hAnsiTheme="minorEastAsia" w:eastAsiaTheme="minorEastAsia" w:cstheme="minorEastAsia"/>
          <w:b/>
          <w:bCs/>
          <w:color w:val="000000" w:themeColor="text1"/>
          <w:sz w:val="36"/>
          <w:szCs w:val="36"/>
          <w14:textFill>
            <w14:solidFill>
              <w14:schemeClr w14:val="tx1"/>
            </w14:solidFill>
          </w14:textFill>
        </w:rPr>
        <w:t>二</w:t>
      </w:r>
      <w:r>
        <w:rPr>
          <w:rFonts w:hint="eastAsia" w:asciiTheme="minorEastAsia" w:hAnsiTheme="minorEastAsia" w:eastAsiaTheme="minorEastAsia" w:cstheme="minorEastAsia"/>
          <w:color w:val="000000" w:themeColor="text1"/>
          <w:sz w:val="36"/>
          <w:szCs w:val="36"/>
          <w14:textFill>
            <w14:solidFill>
              <w14:schemeClr w14:val="tx1"/>
            </w14:solidFill>
          </w14:textFill>
        </w:rPr>
        <w:t>〇</w:t>
      </w:r>
      <w:r>
        <w:rPr>
          <w:rFonts w:hint="eastAsia" w:asciiTheme="minorEastAsia" w:hAnsiTheme="minorEastAsia" w:eastAsiaTheme="minorEastAsia" w:cstheme="minorEastAsia"/>
          <w:b/>
          <w:bCs/>
          <w:color w:val="000000" w:themeColor="text1"/>
          <w:sz w:val="36"/>
          <w:szCs w:val="36"/>
          <w14:textFill>
            <w14:solidFill>
              <w14:schemeClr w14:val="tx1"/>
            </w14:solidFill>
          </w14:textFill>
        </w:rPr>
        <w:t>二</w:t>
      </w:r>
      <w:r>
        <w:rPr>
          <w:rFonts w:hint="eastAsia" w:asciiTheme="minorEastAsia" w:hAnsiTheme="minorEastAsia" w:eastAsiaTheme="minorEastAsia" w:cstheme="minorEastAsia"/>
          <w:b/>
          <w:bCs/>
          <w:color w:val="000000" w:themeColor="text1"/>
          <w:sz w:val="36"/>
          <w:szCs w:val="36"/>
          <w:lang w:val="en-US" w:eastAsia="zh-CN"/>
          <w14:textFill>
            <w14:solidFill>
              <w14:schemeClr w14:val="tx1"/>
            </w14:solidFill>
          </w14:textFill>
        </w:rPr>
        <w:t>六</w:t>
      </w:r>
      <w:r>
        <w:rPr>
          <w:rFonts w:hint="eastAsia" w:asciiTheme="minorEastAsia" w:hAnsiTheme="minorEastAsia" w:eastAsiaTheme="minorEastAsia" w:cstheme="minorEastAsia"/>
          <w:b/>
          <w:bCs/>
          <w:color w:val="000000" w:themeColor="text1"/>
          <w:sz w:val="36"/>
          <w:szCs w:val="36"/>
          <w14:textFill>
            <w14:solidFill>
              <w14:schemeClr w14:val="tx1"/>
            </w14:solidFill>
          </w14:textFill>
        </w:rPr>
        <w:t>年</w:t>
      </w:r>
      <w:r>
        <w:rPr>
          <w:rFonts w:hint="eastAsia" w:asciiTheme="minorEastAsia" w:hAnsiTheme="minorEastAsia" w:eastAsiaTheme="minorEastAsia" w:cstheme="minorEastAsia"/>
          <w:b/>
          <w:bCs/>
          <w:color w:val="000000" w:themeColor="text1"/>
          <w:sz w:val="36"/>
          <w:szCs w:val="36"/>
          <w:lang w:val="en-US" w:eastAsia="zh-CN"/>
          <w14:textFill>
            <w14:solidFill>
              <w14:schemeClr w14:val="tx1"/>
            </w14:solidFill>
          </w14:textFill>
        </w:rPr>
        <w:t>八</w:t>
      </w:r>
      <w:r>
        <w:rPr>
          <w:rFonts w:hint="eastAsia" w:asciiTheme="minorEastAsia" w:hAnsiTheme="minorEastAsia" w:eastAsiaTheme="minorEastAsia" w:cstheme="minorEastAsia"/>
          <w:b/>
          <w:bCs/>
          <w:color w:val="000000" w:themeColor="text1"/>
          <w:sz w:val="36"/>
          <w:szCs w:val="36"/>
          <w14:textFill>
            <w14:solidFill>
              <w14:schemeClr w14:val="tx1"/>
            </w14:solidFill>
          </w14:textFill>
        </w:rPr>
        <w:t>月</w:t>
      </w:r>
    </w:p>
    <w:p w14:paraId="331F3C27">
      <w:pPr>
        <w:jc w:val="center"/>
        <w:rPr>
          <w:rFonts w:hint="eastAsia" w:asciiTheme="minorEastAsia" w:hAnsiTheme="minorEastAsia" w:eastAsiaTheme="minorEastAsia" w:cstheme="minorEastAsia"/>
          <w:sz w:val="52"/>
          <w:szCs w:val="72"/>
        </w:rPr>
      </w:pPr>
      <w:r>
        <w:rPr>
          <w:rFonts w:hint="eastAsia" w:asciiTheme="minorEastAsia" w:hAnsiTheme="minorEastAsia" w:eastAsiaTheme="minorEastAsia" w:cstheme="minorEastAsia"/>
          <w:b/>
          <w:bCs/>
          <w:sz w:val="48"/>
          <w:szCs w:val="60"/>
        </w:rPr>
        <w:t>目 录</w:t>
      </w:r>
    </w:p>
    <w:p w14:paraId="30C260E0">
      <w:pPr>
        <w:pStyle w:val="62"/>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0" w:firstLineChars="0"/>
        <w:textAlignment w:val="auto"/>
      </w:pPr>
      <w:r>
        <w:rPr>
          <w:rFonts w:hint="eastAsia" w:cstheme="minorEastAsia"/>
          <w:sz w:val="36"/>
          <w:szCs w:val="36"/>
        </w:rPr>
        <w:fldChar w:fldCharType="begin"/>
      </w:r>
      <w:r>
        <w:rPr>
          <w:rFonts w:hint="eastAsia" w:cstheme="minorEastAsia"/>
          <w:sz w:val="36"/>
          <w:szCs w:val="36"/>
        </w:rPr>
        <w:instrText xml:space="preserve">TOC \o "1-3" \h \u </w:instrText>
      </w:r>
      <w:r>
        <w:rPr>
          <w:rFonts w:hint="eastAsia" w:cstheme="minorEastAsia"/>
          <w:sz w:val="36"/>
          <w:szCs w:val="36"/>
        </w:rPr>
        <w:fldChar w:fldCharType="separate"/>
      </w:r>
      <w:r>
        <w:rPr>
          <w:rFonts w:hint="eastAsia" w:cstheme="minorEastAsia"/>
          <w:szCs w:val="36"/>
        </w:rPr>
        <w:fldChar w:fldCharType="begin"/>
      </w:r>
      <w:r>
        <w:rPr>
          <w:rFonts w:hint="eastAsia" w:cstheme="minorEastAsia"/>
          <w:szCs w:val="36"/>
        </w:rPr>
        <w:instrText xml:space="preserve"> HYPERLINK \l _Toc18314 </w:instrText>
      </w:r>
      <w:r>
        <w:rPr>
          <w:rFonts w:hint="eastAsia" w:cstheme="minorEastAsia"/>
          <w:szCs w:val="36"/>
        </w:rPr>
        <w:fldChar w:fldCharType="separate"/>
      </w:r>
      <w:r>
        <w:rPr>
          <w:rFonts w:hint="eastAsia" w:asciiTheme="minorEastAsia" w:hAnsiTheme="minorEastAsia" w:eastAsiaTheme="minorEastAsia" w:cstheme="minorEastAsia"/>
          <w:bCs w:val="0"/>
          <w:szCs w:val="22"/>
        </w:rPr>
        <w:t>第一章 投标邀请</w:t>
      </w:r>
      <w:r>
        <w:tab/>
      </w:r>
      <w:r>
        <w:fldChar w:fldCharType="begin"/>
      </w:r>
      <w:r>
        <w:instrText xml:space="preserve"> PAGEREF _Toc18314 \h </w:instrText>
      </w:r>
      <w:r>
        <w:fldChar w:fldCharType="separate"/>
      </w:r>
      <w:r>
        <w:t>2</w:t>
      </w:r>
      <w:r>
        <w:fldChar w:fldCharType="end"/>
      </w:r>
      <w:r>
        <w:rPr>
          <w:rFonts w:hint="eastAsia" w:cstheme="minorEastAsia"/>
          <w:szCs w:val="36"/>
        </w:rPr>
        <w:fldChar w:fldCharType="end"/>
      </w:r>
    </w:p>
    <w:p w14:paraId="2C68968E">
      <w:pPr>
        <w:pStyle w:val="62"/>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0" w:firstLineChars="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_Toc25854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bCs w:val="0"/>
          <w:szCs w:val="22"/>
        </w:rPr>
        <w:t>第二章 投标须知</w:t>
      </w:r>
      <w:r>
        <w:tab/>
      </w:r>
      <w:r>
        <w:fldChar w:fldCharType="begin"/>
      </w:r>
      <w:r>
        <w:instrText xml:space="preserve"> PAGEREF _Toc25854 \h </w:instrText>
      </w:r>
      <w:r>
        <w:fldChar w:fldCharType="separate"/>
      </w:r>
      <w:r>
        <w:t>6</w:t>
      </w:r>
      <w:r>
        <w:fldChar w:fldCharType="end"/>
      </w:r>
      <w:r>
        <w:rPr>
          <w:rFonts w:hint="eastAsia" w:asciiTheme="minorEastAsia" w:hAnsiTheme="minorEastAsia" w:eastAsiaTheme="minorEastAsia" w:cstheme="minorEastAsia"/>
          <w:szCs w:val="36"/>
        </w:rPr>
        <w:fldChar w:fldCharType="end"/>
      </w:r>
    </w:p>
    <w:p w14:paraId="6DBF8664">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221" w:firstLineChars="100"/>
        <w:textAlignment w:val="auto"/>
        <w:rPr>
          <w:sz w:val="22"/>
          <w:szCs w:val="28"/>
        </w:rPr>
      </w:pPr>
      <w:r>
        <w:rPr>
          <w:rFonts w:hint="eastAsia" w:asciiTheme="minorEastAsia" w:hAnsiTheme="minorEastAsia" w:eastAsiaTheme="minorEastAsia" w:cstheme="minorEastAsia"/>
          <w:sz w:val="22"/>
          <w:szCs w:val="40"/>
        </w:rPr>
        <w:fldChar w:fldCharType="begin"/>
      </w:r>
      <w:r>
        <w:rPr>
          <w:rFonts w:hint="eastAsia" w:asciiTheme="minorEastAsia" w:hAnsiTheme="minorEastAsia" w:eastAsiaTheme="minorEastAsia" w:cstheme="minorEastAsia"/>
          <w:sz w:val="22"/>
          <w:szCs w:val="40"/>
        </w:rPr>
        <w:instrText xml:space="preserve"> HYPERLINK \l _Toc8123 </w:instrText>
      </w:r>
      <w:r>
        <w:rPr>
          <w:rFonts w:hint="eastAsia" w:asciiTheme="minorEastAsia" w:hAnsiTheme="minorEastAsia" w:eastAsiaTheme="minorEastAsia" w:cstheme="minorEastAsia"/>
          <w:sz w:val="22"/>
          <w:szCs w:val="40"/>
        </w:rPr>
        <w:fldChar w:fldCharType="separate"/>
      </w:r>
      <w:r>
        <w:rPr>
          <w:rFonts w:hint="eastAsia" w:asciiTheme="minorEastAsia" w:hAnsiTheme="minorEastAsia" w:eastAsiaTheme="minorEastAsia" w:cstheme="minorEastAsia"/>
          <w:sz w:val="22"/>
          <w:szCs w:val="44"/>
        </w:rPr>
        <w:t>第一节 投标须知前附表</w:t>
      </w:r>
      <w:r>
        <w:rPr>
          <w:sz w:val="22"/>
          <w:szCs w:val="28"/>
        </w:rPr>
        <w:tab/>
      </w:r>
      <w:r>
        <w:rPr>
          <w:sz w:val="22"/>
          <w:szCs w:val="28"/>
        </w:rPr>
        <w:fldChar w:fldCharType="begin"/>
      </w:r>
      <w:r>
        <w:rPr>
          <w:sz w:val="22"/>
          <w:szCs w:val="28"/>
        </w:rPr>
        <w:instrText xml:space="preserve"> PAGEREF _Toc8123 \h </w:instrText>
      </w:r>
      <w:r>
        <w:rPr>
          <w:sz w:val="22"/>
          <w:szCs w:val="28"/>
        </w:rPr>
        <w:fldChar w:fldCharType="separate"/>
      </w:r>
      <w:r>
        <w:rPr>
          <w:sz w:val="22"/>
          <w:szCs w:val="28"/>
        </w:rPr>
        <w:t>6</w:t>
      </w:r>
      <w:r>
        <w:rPr>
          <w:sz w:val="22"/>
          <w:szCs w:val="28"/>
        </w:rPr>
        <w:fldChar w:fldCharType="end"/>
      </w:r>
      <w:r>
        <w:rPr>
          <w:rFonts w:hint="eastAsia" w:asciiTheme="minorEastAsia" w:hAnsiTheme="minorEastAsia" w:eastAsiaTheme="minorEastAsia" w:cstheme="minorEastAsia"/>
          <w:sz w:val="22"/>
          <w:szCs w:val="40"/>
        </w:rPr>
        <w:fldChar w:fldCharType="end"/>
      </w:r>
    </w:p>
    <w:p w14:paraId="49EC7C5B">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221" w:firstLineChars="100"/>
        <w:textAlignment w:val="auto"/>
      </w:pPr>
      <w:r>
        <w:rPr>
          <w:rFonts w:hint="eastAsia" w:asciiTheme="minorEastAsia" w:hAnsiTheme="minorEastAsia" w:eastAsiaTheme="minorEastAsia" w:cstheme="minorEastAsia"/>
          <w:sz w:val="22"/>
          <w:szCs w:val="40"/>
        </w:rPr>
        <w:fldChar w:fldCharType="begin"/>
      </w:r>
      <w:r>
        <w:rPr>
          <w:rFonts w:hint="eastAsia" w:asciiTheme="minorEastAsia" w:hAnsiTheme="minorEastAsia" w:eastAsiaTheme="minorEastAsia" w:cstheme="minorEastAsia"/>
          <w:sz w:val="22"/>
          <w:szCs w:val="40"/>
        </w:rPr>
        <w:instrText xml:space="preserve"> HYPERLINK \l _Toc5734 </w:instrText>
      </w:r>
      <w:r>
        <w:rPr>
          <w:rFonts w:hint="eastAsia" w:asciiTheme="minorEastAsia" w:hAnsiTheme="minorEastAsia" w:eastAsiaTheme="minorEastAsia" w:cstheme="minorEastAsia"/>
          <w:sz w:val="22"/>
          <w:szCs w:val="40"/>
        </w:rPr>
        <w:fldChar w:fldCharType="separate"/>
      </w:r>
      <w:r>
        <w:rPr>
          <w:rFonts w:hint="eastAsia" w:asciiTheme="minorEastAsia" w:hAnsiTheme="minorEastAsia" w:eastAsiaTheme="minorEastAsia" w:cstheme="minorEastAsia"/>
          <w:sz w:val="22"/>
          <w:szCs w:val="44"/>
        </w:rPr>
        <w:t>第二节 投标须知</w:t>
      </w:r>
      <w:r>
        <w:rPr>
          <w:sz w:val="22"/>
          <w:szCs w:val="28"/>
        </w:rPr>
        <w:tab/>
      </w:r>
      <w:r>
        <w:rPr>
          <w:sz w:val="22"/>
          <w:szCs w:val="28"/>
        </w:rPr>
        <w:fldChar w:fldCharType="begin"/>
      </w:r>
      <w:r>
        <w:rPr>
          <w:sz w:val="22"/>
          <w:szCs w:val="28"/>
        </w:rPr>
        <w:instrText xml:space="preserve"> PAGEREF _Toc5734 \h </w:instrText>
      </w:r>
      <w:r>
        <w:rPr>
          <w:sz w:val="22"/>
          <w:szCs w:val="28"/>
        </w:rPr>
        <w:fldChar w:fldCharType="separate"/>
      </w:r>
      <w:r>
        <w:rPr>
          <w:sz w:val="22"/>
          <w:szCs w:val="28"/>
        </w:rPr>
        <w:t>10</w:t>
      </w:r>
      <w:r>
        <w:rPr>
          <w:sz w:val="22"/>
          <w:szCs w:val="28"/>
        </w:rPr>
        <w:fldChar w:fldCharType="end"/>
      </w:r>
      <w:r>
        <w:rPr>
          <w:rFonts w:hint="eastAsia" w:asciiTheme="minorEastAsia" w:hAnsiTheme="minorEastAsia" w:eastAsiaTheme="minorEastAsia" w:cstheme="minorEastAsia"/>
          <w:sz w:val="22"/>
          <w:szCs w:val="40"/>
        </w:rPr>
        <w:fldChar w:fldCharType="end"/>
      </w:r>
    </w:p>
    <w:p w14:paraId="4B3AA0E9">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422" w:firstLineChars="20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_Toc23857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szCs w:val="36"/>
        </w:rPr>
        <w:t>一、总则</w:t>
      </w:r>
      <w:r>
        <w:tab/>
      </w:r>
      <w:r>
        <w:fldChar w:fldCharType="begin"/>
      </w:r>
      <w:r>
        <w:instrText xml:space="preserve"> PAGEREF _Toc23857 \h </w:instrText>
      </w:r>
      <w:r>
        <w:fldChar w:fldCharType="separate"/>
      </w:r>
      <w:r>
        <w:t>10</w:t>
      </w:r>
      <w:r>
        <w:fldChar w:fldCharType="end"/>
      </w:r>
      <w:r>
        <w:rPr>
          <w:rFonts w:hint="eastAsia" w:asciiTheme="minorEastAsia" w:hAnsiTheme="minorEastAsia" w:eastAsiaTheme="minorEastAsia" w:cstheme="minorEastAsia"/>
          <w:szCs w:val="36"/>
        </w:rPr>
        <w:fldChar w:fldCharType="end"/>
      </w:r>
    </w:p>
    <w:p w14:paraId="1ECC315A">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422" w:firstLineChars="20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_Toc27161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szCs w:val="36"/>
        </w:rPr>
        <w:t>二、招标文件</w:t>
      </w:r>
      <w:r>
        <w:tab/>
      </w:r>
      <w:r>
        <w:fldChar w:fldCharType="begin"/>
      </w:r>
      <w:r>
        <w:instrText xml:space="preserve"> PAGEREF _Toc27161 \h </w:instrText>
      </w:r>
      <w:r>
        <w:fldChar w:fldCharType="separate"/>
      </w:r>
      <w:r>
        <w:t>11</w:t>
      </w:r>
      <w:r>
        <w:fldChar w:fldCharType="end"/>
      </w:r>
      <w:r>
        <w:rPr>
          <w:rFonts w:hint="eastAsia" w:asciiTheme="minorEastAsia" w:hAnsiTheme="minorEastAsia" w:eastAsiaTheme="minorEastAsia" w:cstheme="minorEastAsia"/>
          <w:szCs w:val="36"/>
        </w:rPr>
        <w:fldChar w:fldCharType="end"/>
      </w:r>
    </w:p>
    <w:p w14:paraId="6D1B90FC">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422" w:firstLineChars="20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_Toc14964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szCs w:val="36"/>
        </w:rPr>
        <w:t>三、投标文件</w:t>
      </w:r>
      <w:r>
        <w:tab/>
      </w:r>
      <w:r>
        <w:fldChar w:fldCharType="begin"/>
      </w:r>
      <w:r>
        <w:instrText xml:space="preserve"> PAGEREF _Toc14964 \h </w:instrText>
      </w:r>
      <w:r>
        <w:fldChar w:fldCharType="separate"/>
      </w:r>
      <w:r>
        <w:t>12</w:t>
      </w:r>
      <w:r>
        <w:fldChar w:fldCharType="end"/>
      </w:r>
      <w:r>
        <w:rPr>
          <w:rFonts w:hint="eastAsia" w:asciiTheme="minorEastAsia" w:hAnsiTheme="minorEastAsia" w:eastAsiaTheme="minorEastAsia" w:cstheme="minorEastAsia"/>
          <w:szCs w:val="36"/>
        </w:rPr>
        <w:fldChar w:fldCharType="end"/>
      </w:r>
    </w:p>
    <w:p w14:paraId="60972CA8">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422" w:firstLineChars="20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_Toc21341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szCs w:val="36"/>
        </w:rPr>
        <w:t>四、投标</w:t>
      </w:r>
      <w:r>
        <w:tab/>
      </w:r>
      <w:r>
        <w:fldChar w:fldCharType="begin"/>
      </w:r>
      <w:r>
        <w:instrText xml:space="preserve"> PAGEREF _Toc21341 \h </w:instrText>
      </w:r>
      <w:r>
        <w:fldChar w:fldCharType="separate"/>
      </w:r>
      <w:r>
        <w:t>16</w:t>
      </w:r>
      <w:r>
        <w:fldChar w:fldCharType="end"/>
      </w:r>
      <w:r>
        <w:rPr>
          <w:rFonts w:hint="eastAsia" w:asciiTheme="minorEastAsia" w:hAnsiTheme="minorEastAsia" w:eastAsiaTheme="minorEastAsia" w:cstheme="minorEastAsia"/>
          <w:szCs w:val="36"/>
        </w:rPr>
        <w:fldChar w:fldCharType="end"/>
      </w:r>
    </w:p>
    <w:p w14:paraId="64B7F518">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422" w:firstLineChars="20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_Toc23846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szCs w:val="36"/>
        </w:rPr>
        <w:t>五、开标，资格审查和评标</w:t>
      </w:r>
      <w:r>
        <w:tab/>
      </w:r>
      <w:r>
        <w:fldChar w:fldCharType="begin"/>
      </w:r>
      <w:r>
        <w:instrText xml:space="preserve"> PAGEREF _Toc23846 \h </w:instrText>
      </w:r>
      <w:r>
        <w:fldChar w:fldCharType="separate"/>
      </w:r>
      <w:r>
        <w:t>17</w:t>
      </w:r>
      <w:r>
        <w:fldChar w:fldCharType="end"/>
      </w:r>
      <w:r>
        <w:rPr>
          <w:rFonts w:hint="eastAsia" w:asciiTheme="minorEastAsia" w:hAnsiTheme="minorEastAsia" w:eastAsiaTheme="minorEastAsia" w:cstheme="minorEastAsia"/>
          <w:szCs w:val="36"/>
        </w:rPr>
        <w:fldChar w:fldCharType="end"/>
      </w:r>
    </w:p>
    <w:p w14:paraId="161C6060">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422" w:firstLineChars="20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_Toc10996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szCs w:val="36"/>
        </w:rPr>
        <w:t>六、中标信息公布</w:t>
      </w:r>
      <w:r>
        <w:tab/>
      </w:r>
      <w:r>
        <w:fldChar w:fldCharType="begin"/>
      </w:r>
      <w:r>
        <w:instrText xml:space="preserve"> PAGEREF _Toc10996 \h </w:instrText>
      </w:r>
      <w:r>
        <w:fldChar w:fldCharType="separate"/>
      </w:r>
      <w:r>
        <w:t>19</w:t>
      </w:r>
      <w:r>
        <w:fldChar w:fldCharType="end"/>
      </w:r>
      <w:r>
        <w:rPr>
          <w:rFonts w:hint="eastAsia" w:asciiTheme="minorEastAsia" w:hAnsiTheme="minorEastAsia" w:eastAsiaTheme="minorEastAsia" w:cstheme="minorEastAsia"/>
          <w:szCs w:val="36"/>
        </w:rPr>
        <w:fldChar w:fldCharType="end"/>
      </w:r>
    </w:p>
    <w:p w14:paraId="33EFF864">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422" w:firstLineChars="20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_Toc1535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szCs w:val="36"/>
        </w:rPr>
        <w:t>七、合同签订</w:t>
      </w:r>
      <w:r>
        <w:tab/>
      </w:r>
      <w:r>
        <w:fldChar w:fldCharType="begin"/>
      </w:r>
      <w:r>
        <w:instrText xml:space="preserve"> PAGEREF _Toc1535 \h </w:instrText>
      </w:r>
      <w:r>
        <w:fldChar w:fldCharType="separate"/>
      </w:r>
      <w:r>
        <w:t>20</w:t>
      </w:r>
      <w:r>
        <w:fldChar w:fldCharType="end"/>
      </w:r>
      <w:r>
        <w:rPr>
          <w:rFonts w:hint="eastAsia" w:asciiTheme="minorEastAsia" w:hAnsiTheme="minorEastAsia" w:eastAsiaTheme="minorEastAsia" w:cstheme="minorEastAsia"/>
          <w:szCs w:val="36"/>
        </w:rPr>
        <w:fldChar w:fldCharType="end"/>
      </w:r>
    </w:p>
    <w:p w14:paraId="1113832A">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422" w:firstLineChars="20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_Toc21932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szCs w:val="36"/>
        </w:rPr>
        <w:t>八、政府采购政策</w:t>
      </w:r>
      <w:r>
        <w:tab/>
      </w:r>
      <w:r>
        <w:fldChar w:fldCharType="begin"/>
      </w:r>
      <w:r>
        <w:instrText xml:space="preserve"> PAGEREF _Toc21932 \h </w:instrText>
      </w:r>
      <w:r>
        <w:fldChar w:fldCharType="separate"/>
      </w:r>
      <w:r>
        <w:t>20</w:t>
      </w:r>
      <w:r>
        <w:fldChar w:fldCharType="end"/>
      </w:r>
      <w:r>
        <w:rPr>
          <w:rFonts w:hint="eastAsia" w:asciiTheme="minorEastAsia" w:hAnsiTheme="minorEastAsia" w:eastAsiaTheme="minorEastAsia" w:cstheme="minorEastAsia"/>
          <w:szCs w:val="36"/>
        </w:rPr>
        <w:fldChar w:fldCharType="end"/>
      </w:r>
    </w:p>
    <w:p w14:paraId="7960B495">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422" w:firstLineChars="20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_Toc31146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szCs w:val="36"/>
        </w:rPr>
        <w:t>九、其他规定</w:t>
      </w:r>
      <w:r>
        <w:tab/>
      </w:r>
      <w:r>
        <w:fldChar w:fldCharType="begin"/>
      </w:r>
      <w:r>
        <w:instrText xml:space="preserve"> PAGEREF _Toc31146 \h </w:instrText>
      </w:r>
      <w:r>
        <w:fldChar w:fldCharType="separate"/>
      </w:r>
      <w:r>
        <w:t>23</w:t>
      </w:r>
      <w:r>
        <w:fldChar w:fldCharType="end"/>
      </w:r>
      <w:r>
        <w:rPr>
          <w:rFonts w:hint="eastAsia" w:asciiTheme="minorEastAsia" w:hAnsiTheme="minorEastAsia" w:eastAsiaTheme="minorEastAsia" w:cstheme="minorEastAsia"/>
          <w:szCs w:val="36"/>
        </w:rPr>
        <w:fldChar w:fldCharType="end"/>
      </w:r>
    </w:p>
    <w:p w14:paraId="3D23EF4A">
      <w:pPr>
        <w:pStyle w:val="62"/>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0" w:firstLineChars="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_Toc29779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bCs w:val="0"/>
          <w:szCs w:val="22"/>
        </w:rPr>
        <w:t>第三章 资格审查</w:t>
      </w:r>
      <w:r>
        <w:tab/>
      </w:r>
      <w:r>
        <w:fldChar w:fldCharType="begin"/>
      </w:r>
      <w:r>
        <w:instrText xml:space="preserve"> PAGEREF _Toc29779 \h </w:instrText>
      </w:r>
      <w:r>
        <w:fldChar w:fldCharType="separate"/>
      </w:r>
      <w:r>
        <w:t>24</w:t>
      </w:r>
      <w:r>
        <w:fldChar w:fldCharType="end"/>
      </w:r>
      <w:r>
        <w:rPr>
          <w:rFonts w:hint="eastAsia" w:asciiTheme="minorEastAsia" w:hAnsiTheme="minorEastAsia" w:eastAsiaTheme="minorEastAsia" w:cstheme="minorEastAsia"/>
          <w:szCs w:val="36"/>
        </w:rPr>
        <w:fldChar w:fldCharType="end"/>
      </w:r>
    </w:p>
    <w:p w14:paraId="350455CF">
      <w:pPr>
        <w:pStyle w:val="62"/>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0" w:firstLineChars="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_Toc12636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bCs w:val="0"/>
          <w:szCs w:val="22"/>
        </w:rPr>
        <w:t>第四章 评标方法及标准</w:t>
      </w:r>
      <w:r>
        <w:tab/>
      </w:r>
      <w:r>
        <w:fldChar w:fldCharType="begin"/>
      </w:r>
      <w:r>
        <w:instrText xml:space="preserve"> PAGEREF _Toc12636 \h </w:instrText>
      </w:r>
      <w:r>
        <w:fldChar w:fldCharType="separate"/>
      </w:r>
      <w:r>
        <w:t>27</w:t>
      </w:r>
      <w:r>
        <w:fldChar w:fldCharType="end"/>
      </w:r>
      <w:r>
        <w:rPr>
          <w:rFonts w:hint="eastAsia" w:asciiTheme="minorEastAsia" w:hAnsiTheme="minorEastAsia" w:eastAsiaTheme="minorEastAsia" w:cstheme="minorEastAsia"/>
          <w:szCs w:val="36"/>
        </w:rPr>
        <w:fldChar w:fldCharType="end"/>
      </w:r>
    </w:p>
    <w:p w14:paraId="4ACBC240">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221" w:firstLineChars="100"/>
        <w:textAlignment w:val="auto"/>
        <w:rPr>
          <w:sz w:val="22"/>
          <w:szCs w:val="28"/>
        </w:rPr>
      </w:pPr>
      <w:r>
        <w:rPr>
          <w:rFonts w:hint="eastAsia" w:asciiTheme="minorEastAsia" w:hAnsiTheme="minorEastAsia" w:eastAsiaTheme="minorEastAsia" w:cstheme="minorEastAsia"/>
          <w:sz w:val="22"/>
          <w:szCs w:val="40"/>
        </w:rPr>
        <w:fldChar w:fldCharType="begin"/>
      </w:r>
      <w:r>
        <w:rPr>
          <w:rFonts w:hint="eastAsia" w:asciiTheme="minorEastAsia" w:hAnsiTheme="minorEastAsia" w:eastAsiaTheme="minorEastAsia" w:cstheme="minorEastAsia"/>
          <w:sz w:val="22"/>
          <w:szCs w:val="40"/>
        </w:rPr>
        <w:instrText xml:space="preserve"> HYPERLINK \l _Toc4193 </w:instrText>
      </w:r>
      <w:r>
        <w:rPr>
          <w:rFonts w:hint="eastAsia" w:asciiTheme="minorEastAsia" w:hAnsiTheme="minorEastAsia" w:eastAsiaTheme="minorEastAsia" w:cstheme="minorEastAsia"/>
          <w:sz w:val="22"/>
          <w:szCs w:val="40"/>
        </w:rPr>
        <w:fldChar w:fldCharType="separate"/>
      </w:r>
      <w:r>
        <w:rPr>
          <w:rFonts w:hint="eastAsia" w:asciiTheme="minorEastAsia" w:hAnsiTheme="minorEastAsia" w:eastAsiaTheme="minorEastAsia" w:cstheme="minorEastAsia"/>
          <w:sz w:val="22"/>
          <w:szCs w:val="44"/>
        </w:rPr>
        <w:t>第一节 评标方法及标准前附表</w:t>
      </w:r>
      <w:r>
        <w:rPr>
          <w:sz w:val="22"/>
          <w:szCs w:val="28"/>
        </w:rPr>
        <w:tab/>
      </w:r>
      <w:r>
        <w:rPr>
          <w:sz w:val="22"/>
          <w:szCs w:val="28"/>
        </w:rPr>
        <w:fldChar w:fldCharType="begin"/>
      </w:r>
      <w:r>
        <w:rPr>
          <w:sz w:val="22"/>
          <w:szCs w:val="28"/>
        </w:rPr>
        <w:instrText xml:space="preserve"> PAGEREF _Toc4193 \h </w:instrText>
      </w:r>
      <w:r>
        <w:rPr>
          <w:sz w:val="22"/>
          <w:szCs w:val="28"/>
        </w:rPr>
        <w:fldChar w:fldCharType="separate"/>
      </w:r>
      <w:r>
        <w:rPr>
          <w:sz w:val="22"/>
          <w:szCs w:val="28"/>
        </w:rPr>
        <w:t>27</w:t>
      </w:r>
      <w:r>
        <w:rPr>
          <w:sz w:val="22"/>
          <w:szCs w:val="28"/>
        </w:rPr>
        <w:fldChar w:fldCharType="end"/>
      </w:r>
      <w:r>
        <w:rPr>
          <w:rFonts w:hint="eastAsia" w:asciiTheme="minorEastAsia" w:hAnsiTheme="minorEastAsia" w:eastAsiaTheme="minorEastAsia" w:cstheme="minorEastAsia"/>
          <w:sz w:val="22"/>
          <w:szCs w:val="40"/>
        </w:rPr>
        <w:fldChar w:fldCharType="end"/>
      </w:r>
    </w:p>
    <w:p w14:paraId="16FADBDA">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221" w:firstLineChars="100"/>
        <w:textAlignment w:val="auto"/>
        <w:rPr>
          <w:sz w:val="22"/>
          <w:szCs w:val="28"/>
        </w:rPr>
      </w:pPr>
      <w:r>
        <w:rPr>
          <w:rFonts w:hint="eastAsia" w:asciiTheme="minorEastAsia" w:hAnsiTheme="minorEastAsia" w:eastAsiaTheme="minorEastAsia" w:cstheme="minorEastAsia"/>
          <w:sz w:val="22"/>
          <w:szCs w:val="40"/>
        </w:rPr>
        <w:fldChar w:fldCharType="begin"/>
      </w:r>
      <w:r>
        <w:rPr>
          <w:rFonts w:hint="eastAsia" w:asciiTheme="minorEastAsia" w:hAnsiTheme="minorEastAsia" w:eastAsiaTheme="minorEastAsia" w:cstheme="minorEastAsia"/>
          <w:sz w:val="22"/>
          <w:szCs w:val="40"/>
        </w:rPr>
        <w:instrText xml:space="preserve"> HYPERLINK \l _Toc6501 </w:instrText>
      </w:r>
      <w:r>
        <w:rPr>
          <w:rFonts w:hint="eastAsia" w:asciiTheme="minorEastAsia" w:hAnsiTheme="minorEastAsia" w:eastAsiaTheme="minorEastAsia" w:cstheme="minorEastAsia"/>
          <w:sz w:val="22"/>
          <w:szCs w:val="40"/>
        </w:rPr>
        <w:fldChar w:fldCharType="separate"/>
      </w:r>
      <w:r>
        <w:rPr>
          <w:rFonts w:hint="eastAsia" w:asciiTheme="minorEastAsia" w:hAnsiTheme="minorEastAsia" w:eastAsiaTheme="minorEastAsia" w:cstheme="minorEastAsia"/>
          <w:sz w:val="22"/>
          <w:szCs w:val="44"/>
        </w:rPr>
        <w:t>第二节 评标方法及标准</w:t>
      </w:r>
      <w:r>
        <w:rPr>
          <w:sz w:val="22"/>
          <w:szCs w:val="28"/>
        </w:rPr>
        <w:tab/>
      </w:r>
      <w:r>
        <w:rPr>
          <w:sz w:val="22"/>
          <w:szCs w:val="28"/>
        </w:rPr>
        <w:fldChar w:fldCharType="begin"/>
      </w:r>
      <w:r>
        <w:rPr>
          <w:sz w:val="22"/>
          <w:szCs w:val="28"/>
        </w:rPr>
        <w:instrText xml:space="preserve"> PAGEREF _Toc6501 \h </w:instrText>
      </w:r>
      <w:r>
        <w:rPr>
          <w:sz w:val="22"/>
          <w:szCs w:val="28"/>
        </w:rPr>
        <w:fldChar w:fldCharType="separate"/>
      </w:r>
      <w:r>
        <w:rPr>
          <w:sz w:val="22"/>
          <w:szCs w:val="28"/>
        </w:rPr>
        <w:t>28</w:t>
      </w:r>
      <w:r>
        <w:rPr>
          <w:sz w:val="22"/>
          <w:szCs w:val="28"/>
        </w:rPr>
        <w:fldChar w:fldCharType="end"/>
      </w:r>
      <w:r>
        <w:rPr>
          <w:rFonts w:hint="eastAsia" w:asciiTheme="minorEastAsia" w:hAnsiTheme="minorEastAsia" w:eastAsiaTheme="minorEastAsia" w:cstheme="minorEastAsia"/>
          <w:sz w:val="22"/>
          <w:szCs w:val="40"/>
        </w:rPr>
        <w:fldChar w:fldCharType="end"/>
      </w:r>
    </w:p>
    <w:p w14:paraId="1BB31072">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221" w:firstLineChars="100"/>
        <w:textAlignment w:val="auto"/>
        <w:rPr>
          <w:sz w:val="22"/>
          <w:szCs w:val="28"/>
        </w:rPr>
      </w:pPr>
      <w:r>
        <w:rPr>
          <w:rFonts w:hint="eastAsia" w:asciiTheme="minorEastAsia" w:hAnsiTheme="minorEastAsia" w:eastAsiaTheme="minorEastAsia" w:cstheme="minorEastAsia"/>
          <w:sz w:val="22"/>
          <w:szCs w:val="40"/>
        </w:rPr>
        <w:fldChar w:fldCharType="begin"/>
      </w:r>
      <w:r>
        <w:rPr>
          <w:rFonts w:hint="eastAsia" w:asciiTheme="minorEastAsia" w:hAnsiTheme="minorEastAsia" w:eastAsiaTheme="minorEastAsia" w:cstheme="minorEastAsia"/>
          <w:sz w:val="22"/>
          <w:szCs w:val="40"/>
        </w:rPr>
        <w:instrText xml:space="preserve"> HYPERLINK \l _Toc4819 </w:instrText>
      </w:r>
      <w:r>
        <w:rPr>
          <w:rFonts w:hint="eastAsia" w:asciiTheme="minorEastAsia" w:hAnsiTheme="minorEastAsia" w:eastAsiaTheme="minorEastAsia" w:cstheme="minorEastAsia"/>
          <w:sz w:val="22"/>
          <w:szCs w:val="40"/>
        </w:rPr>
        <w:fldChar w:fldCharType="separate"/>
      </w:r>
      <w:r>
        <w:rPr>
          <w:rFonts w:hint="eastAsia" w:asciiTheme="minorEastAsia" w:hAnsiTheme="minorEastAsia" w:eastAsiaTheme="minorEastAsia" w:cstheme="minorEastAsia"/>
          <w:sz w:val="22"/>
          <w:szCs w:val="44"/>
        </w:rPr>
        <w:t>第三节 投标文件的符合性审查</w:t>
      </w:r>
      <w:r>
        <w:rPr>
          <w:sz w:val="22"/>
          <w:szCs w:val="28"/>
        </w:rPr>
        <w:tab/>
      </w:r>
      <w:r>
        <w:rPr>
          <w:sz w:val="22"/>
          <w:szCs w:val="28"/>
        </w:rPr>
        <w:fldChar w:fldCharType="begin"/>
      </w:r>
      <w:r>
        <w:rPr>
          <w:sz w:val="22"/>
          <w:szCs w:val="28"/>
        </w:rPr>
        <w:instrText xml:space="preserve"> PAGEREF _Toc4819 \h </w:instrText>
      </w:r>
      <w:r>
        <w:rPr>
          <w:sz w:val="22"/>
          <w:szCs w:val="28"/>
        </w:rPr>
        <w:fldChar w:fldCharType="separate"/>
      </w:r>
      <w:r>
        <w:rPr>
          <w:sz w:val="22"/>
          <w:szCs w:val="28"/>
        </w:rPr>
        <w:t>30</w:t>
      </w:r>
      <w:r>
        <w:rPr>
          <w:sz w:val="22"/>
          <w:szCs w:val="28"/>
        </w:rPr>
        <w:fldChar w:fldCharType="end"/>
      </w:r>
      <w:r>
        <w:rPr>
          <w:rFonts w:hint="eastAsia" w:asciiTheme="minorEastAsia" w:hAnsiTheme="minorEastAsia" w:eastAsiaTheme="minorEastAsia" w:cstheme="minorEastAsia"/>
          <w:sz w:val="22"/>
          <w:szCs w:val="40"/>
        </w:rPr>
        <w:fldChar w:fldCharType="end"/>
      </w:r>
    </w:p>
    <w:p w14:paraId="599592B6">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0" w:firstLineChars="0"/>
        <w:textAlignment w:val="auto"/>
      </w:pPr>
      <w:r>
        <w:rPr>
          <w:rFonts w:hint="eastAsia" w:asciiTheme="minorEastAsia" w:hAnsiTheme="minorEastAsia" w:eastAsiaTheme="minorEastAsia" w:cstheme="minorEastAsia"/>
          <w:sz w:val="22"/>
          <w:szCs w:val="40"/>
        </w:rPr>
        <w:fldChar w:fldCharType="begin"/>
      </w:r>
      <w:r>
        <w:rPr>
          <w:rFonts w:hint="eastAsia" w:asciiTheme="minorEastAsia" w:hAnsiTheme="minorEastAsia" w:eastAsiaTheme="minorEastAsia" w:cstheme="minorEastAsia"/>
          <w:sz w:val="22"/>
          <w:szCs w:val="40"/>
        </w:rPr>
        <w:instrText xml:space="preserve"> HYPERLINK \l _Toc5386 </w:instrText>
      </w:r>
      <w:r>
        <w:rPr>
          <w:rFonts w:hint="eastAsia" w:asciiTheme="minorEastAsia" w:hAnsiTheme="minorEastAsia" w:eastAsiaTheme="minorEastAsia" w:cstheme="minorEastAsia"/>
          <w:sz w:val="22"/>
          <w:szCs w:val="40"/>
        </w:rPr>
        <w:fldChar w:fldCharType="separate"/>
      </w:r>
      <w:r>
        <w:rPr>
          <w:rFonts w:hint="eastAsia" w:asciiTheme="minorEastAsia" w:hAnsiTheme="minorEastAsia" w:eastAsiaTheme="minorEastAsia" w:cstheme="minorEastAsia"/>
          <w:sz w:val="22"/>
          <w:szCs w:val="44"/>
        </w:rPr>
        <w:t>第四节 投标文件的比较与评价（综合评分法）</w:t>
      </w:r>
      <w:r>
        <w:rPr>
          <w:sz w:val="22"/>
          <w:szCs w:val="28"/>
        </w:rPr>
        <w:tab/>
      </w:r>
      <w:r>
        <w:rPr>
          <w:sz w:val="22"/>
          <w:szCs w:val="28"/>
        </w:rPr>
        <w:fldChar w:fldCharType="begin"/>
      </w:r>
      <w:r>
        <w:rPr>
          <w:sz w:val="22"/>
          <w:szCs w:val="28"/>
        </w:rPr>
        <w:instrText xml:space="preserve"> PAGEREF _Toc5386 \h </w:instrText>
      </w:r>
      <w:r>
        <w:rPr>
          <w:sz w:val="22"/>
          <w:szCs w:val="28"/>
        </w:rPr>
        <w:fldChar w:fldCharType="separate"/>
      </w:r>
      <w:r>
        <w:rPr>
          <w:sz w:val="22"/>
          <w:szCs w:val="28"/>
        </w:rPr>
        <w:t>32</w:t>
      </w:r>
      <w:r>
        <w:rPr>
          <w:sz w:val="22"/>
          <w:szCs w:val="28"/>
        </w:rPr>
        <w:fldChar w:fldCharType="end"/>
      </w:r>
      <w:r>
        <w:rPr>
          <w:rFonts w:hint="eastAsia" w:asciiTheme="minorEastAsia" w:hAnsiTheme="minorEastAsia" w:eastAsiaTheme="minorEastAsia" w:cstheme="minorEastAsia"/>
          <w:sz w:val="22"/>
          <w:szCs w:val="40"/>
        </w:rPr>
        <w:fldChar w:fldCharType="end"/>
      </w:r>
    </w:p>
    <w:p w14:paraId="4DC04BCA">
      <w:pPr>
        <w:pStyle w:val="62"/>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0" w:firstLineChars="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_Toc32530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bCs w:val="0"/>
          <w:szCs w:val="22"/>
        </w:rPr>
        <w:t>第五章 采购需求</w:t>
      </w:r>
      <w:r>
        <w:tab/>
      </w:r>
      <w:r>
        <w:fldChar w:fldCharType="begin"/>
      </w:r>
      <w:r>
        <w:instrText xml:space="preserve"> PAGEREF _Toc32530 \h </w:instrText>
      </w:r>
      <w:r>
        <w:fldChar w:fldCharType="separate"/>
      </w:r>
      <w:r>
        <w:t>37</w:t>
      </w:r>
      <w:r>
        <w:fldChar w:fldCharType="end"/>
      </w:r>
      <w:r>
        <w:rPr>
          <w:rFonts w:hint="eastAsia" w:asciiTheme="minorEastAsia" w:hAnsiTheme="minorEastAsia" w:eastAsiaTheme="minorEastAsia" w:cstheme="minorEastAsia"/>
          <w:szCs w:val="36"/>
        </w:rPr>
        <w:fldChar w:fldCharType="end"/>
      </w:r>
    </w:p>
    <w:p w14:paraId="627486C4">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221" w:firstLineChars="100"/>
        <w:textAlignment w:val="auto"/>
        <w:rPr>
          <w:sz w:val="22"/>
          <w:szCs w:val="28"/>
        </w:rPr>
      </w:pPr>
      <w:r>
        <w:rPr>
          <w:rFonts w:hint="eastAsia" w:asciiTheme="minorEastAsia" w:hAnsiTheme="minorEastAsia" w:eastAsiaTheme="minorEastAsia" w:cstheme="minorEastAsia"/>
          <w:sz w:val="22"/>
          <w:szCs w:val="40"/>
        </w:rPr>
        <w:fldChar w:fldCharType="begin"/>
      </w:r>
      <w:r>
        <w:rPr>
          <w:rFonts w:hint="eastAsia" w:asciiTheme="minorEastAsia" w:hAnsiTheme="minorEastAsia" w:eastAsiaTheme="minorEastAsia" w:cstheme="minorEastAsia"/>
          <w:sz w:val="22"/>
          <w:szCs w:val="40"/>
        </w:rPr>
        <w:instrText xml:space="preserve"> HYPERLINK \l _Toc31333 </w:instrText>
      </w:r>
      <w:r>
        <w:rPr>
          <w:rFonts w:hint="eastAsia" w:asciiTheme="minorEastAsia" w:hAnsiTheme="minorEastAsia" w:eastAsiaTheme="minorEastAsia" w:cstheme="minorEastAsia"/>
          <w:sz w:val="22"/>
          <w:szCs w:val="40"/>
        </w:rPr>
        <w:fldChar w:fldCharType="separate"/>
      </w:r>
      <w:r>
        <w:rPr>
          <w:rFonts w:hint="eastAsia" w:eastAsia="宋体" w:cs="Times New Roman"/>
          <w:sz w:val="22"/>
          <w:szCs w:val="44"/>
          <w:lang w:val="en-US" w:eastAsia="zh-CN"/>
        </w:rPr>
        <w:t>第一节 采购清单一览表</w:t>
      </w:r>
      <w:r>
        <w:rPr>
          <w:sz w:val="22"/>
          <w:szCs w:val="28"/>
        </w:rPr>
        <w:tab/>
      </w:r>
      <w:r>
        <w:rPr>
          <w:sz w:val="22"/>
          <w:szCs w:val="28"/>
        </w:rPr>
        <w:fldChar w:fldCharType="begin"/>
      </w:r>
      <w:r>
        <w:rPr>
          <w:sz w:val="22"/>
          <w:szCs w:val="28"/>
        </w:rPr>
        <w:instrText xml:space="preserve"> PAGEREF _Toc31333 \h </w:instrText>
      </w:r>
      <w:r>
        <w:rPr>
          <w:sz w:val="22"/>
          <w:szCs w:val="28"/>
        </w:rPr>
        <w:fldChar w:fldCharType="separate"/>
      </w:r>
      <w:r>
        <w:rPr>
          <w:sz w:val="22"/>
          <w:szCs w:val="28"/>
        </w:rPr>
        <w:t>37</w:t>
      </w:r>
      <w:r>
        <w:rPr>
          <w:sz w:val="22"/>
          <w:szCs w:val="28"/>
        </w:rPr>
        <w:fldChar w:fldCharType="end"/>
      </w:r>
      <w:r>
        <w:rPr>
          <w:rFonts w:hint="eastAsia" w:asciiTheme="minorEastAsia" w:hAnsiTheme="minorEastAsia" w:eastAsiaTheme="minorEastAsia" w:cstheme="minorEastAsia"/>
          <w:sz w:val="22"/>
          <w:szCs w:val="40"/>
        </w:rPr>
        <w:fldChar w:fldCharType="end"/>
      </w:r>
    </w:p>
    <w:p w14:paraId="2CEE9F80">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firstLine="221" w:firstLineChars="100"/>
        <w:textAlignment w:val="auto"/>
        <w:rPr>
          <w:sz w:val="22"/>
          <w:szCs w:val="28"/>
        </w:rPr>
      </w:pPr>
      <w:r>
        <w:rPr>
          <w:rFonts w:hint="eastAsia" w:asciiTheme="minorEastAsia" w:hAnsiTheme="minorEastAsia" w:eastAsiaTheme="minorEastAsia" w:cstheme="minorEastAsia"/>
          <w:sz w:val="22"/>
          <w:szCs w:val="40"/>
        </w:rPr>
        <w:fldChar w:fldCharType="begin"/>
      </w:r>
      <w:r>
        <w:rPr>
          <w:rFonts w:hint="eastAsia" w:asciiTheme="minorEastAsia" w:hAnsiTheme="minorEastAsia" w:eastAsiaTheme="minorEastAsia" w:cstheme="minorEastAsia"/>
          <w:sz w:val="22"/>
          <w:szCs w:val="40"/>
        </w:rPr>
        <w:instrText xml:space="preserve"> HYPERLINK \l _Toc31193 </w:instrText>
      </w:r>
      <w:r>
        <w:rPr>
          <w:rFonts w:hint="eastAsia" w:asciiTheme="minorEastAsia" w:hAnsiTheme="minorEastAsia" w:eastAsiaTheme="minorEastAsia" w:cstheme="minorEastAsia"/>
          <w:sz w:val="22"/>
          <w:szCs w:val="40"/>
        </w:rPr>
        <w:fldChar w:fldCharType="separate"/>
      </w:r>
      <w:r>
        <w:rPr>
          <w:rFonts w:hint="eastAsia" w:eastAsia="宋体" w:cs="Times New Roman"/>
          <w:sz w:val="22"/>
          <w:szCs w:val="44"/>
          <w:lang w:val="en-US" w:eastAsia="zh-CN"/>
        </w:rPr>
        <w:t>第二节 技术、建设内容和要求</w:t>
      </w:r>
      <w:r>
        <w:rPr>
          <w:sz w:val="22"/>
          <w:szCs w:val="28"/>
        </w:rPr>
        <w:tab/>
      </w:r>
      <w:r>
        <w:rPr>
          <w:sz w:val="22"/>
          <w:szCs w:val="28"/>
        </w:rPr>
        <w:fldChar w:fldCharType="begin"/>
      </w:r>
      <w:r>
        <w:rPr>
          <w:sz w:val="22"/>
          <w:szCs w:val="28"/>
        </w:rPr>
        <w:instrText xml:space="preserve"> PAGEREF _Toc31193 \h </w:instrText>
      </w:r>
      <w:r>
        <w:rPr>
          <w:sz w:val="22"/>
          <w:szCs w:val="28"/>
        </w:rPr>
        <w:fldChar w:fldCharType="separate"/>
      </w:r>
      <w:r>
        <w:rPr>
          <w:sz w:val="22"/>
          <w:szCs w:val="28"/>
        </w:rPr>
        <w:t>37</w:t>
      </w:r>
      <w:r>
        <w:rPr>
          <w:sz w:val="22"/>
          <w:szCs w:val="28"/>
        </w:rPr>
        <w:fldChar w:fldCharType="end"/>
      </w:r>
      <w:r>
        <w:rPr>
          <w:rFonts w:hint="eastAsia" w:asciiTheme="minorEastAsia" w:hAnsiTheme="minorEastAsia" w:eastAsiaTheme="minorEastAsia" w:cstheme="minorEastAsia"/>
          <w:sz w:val="22"/>
          <w:szCs w:val="40"/>
        </w:rPr>
        <w:fldChar w:fldCharType="end"/>
      </w:r>
    </w:p>
    <w:p w14:paraId="090B3FD1">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221" w:firstLineChars="100"/>
        <w:textAlignment w:val="auto"/>
      </w:pPr>
      <w:r>
        <w:rPr>
          <w:rFonts w:hint="eastAsia" w:asciiTheme="minorEastAsia" w:hAnsiTheme="minorEastAsia" w:eastAsiaTheme="minorEastAsia" w:cstheme="minorEastAsia"/>
          <w:sz w:val="22"/>
          <w:szCs w:val="40"/>
        </w:rPr>
        <w:fldChar w:fldCharType="begin"/>
      </w:r>
      <w:r>
        <w:rPr>
          <w:rFonts w:hint="eastAsia" w:asciiTheme="minorEastAsia" w:hAnsiTheme="minorEastAsia" w:eastAsiaTheme="minorEastAsia" w:cstheme="minorEastAsia"/>
          <w:sz w:val="22"/>
          <w:szCs w:val="40"/>
        </w:rPr>
        <w:instrText xml:space="preserve"> HYPERLINK \l _Toc3623 </w:instrText>
      </w:r>
      <w:r>
        <w:rPr>
          <w:rFonts w:hint="eastAsia" w:asciiTheme="minorEastAsia" w:hAnsiTheme="minorEastAsia" w:eastAsiaTheme="minorEastAsia" w:cstheme="minorEastAsia"/>
          <w:sz w:val="22"/>
          <w:szCs w:val="40"/>
        </w:rPr>
        <w:fldChar w:fldCharType="separate"/>
      </w:r>
      <w:r>
        <w:rPr>
          <w:rFonts w:hint="eastAsia" w:eastAsia="宋体" w:cs="Times New Roman"/>
          <w:sz w:val="22"/>
          <w:szCs w:val="44"/>
          <w:lang w:val="en-US" w:eastAsia="zh-CN"/>
        </w:rPr>
        <w:t>第三节 商务要求</w:t>
      </w:r>
      <w:r>
        <w:rPr>
          <w:sz w:val="22"/>
          <w:szCs w:val="28"/>
        </w:rPr>
        <w:tab/>
      </w:r>
      <w:r>
        <w:rPr>
          <w:sz w:val="22"/>
          <w:szCs w:val="28"/>
        </w:rPr>
        <w:fldChar w:fldCharType="begin"/>
      </w:r>
      <w:r>
        <w:rPr>
          <w:sz w:val="22"/>
          <w:szCs w:val="28"/>
        </w:rPr>
        <w:instrText xml:space="preserve"> PAGEREF _Toc3623 \h </w:instrText>
      </w:r>
      <w:r>
        <w:rPr>
          <w:sz w:val="22"/>
          <w:szCs w:val="28"/>
        </w:rPr>
        <w:fldChar w:fldCharType="separate"/>
      </w:r>
      <w:r>
        <w:rPr>
          <w:sz w:val="22"/>
          <w:szCs w:val="28"/>
        </w:rPr>
        <w:t>65</w:t>
      </w:r>
      <w:r>
        <w:rPr>
          <w:sz w:val="22"/>
          <w:szCs w:val="28"/>
        </w:rPr>
        <w:fldChar w:fldCharType="end"/>
      </w:r>
      <w:r>
        <w:rPr>
          <w:rFonts w:hint="eastAsia" w:asciiTheme="minorEastAsia" w:hAnsiTheme="minorEastAsia" w:eastAsiaTheme="minorEastAsia" w:cstheme="minorEastAsia"/>
          <w:sz w:val="22"/>
          <w:szCs w:val="40"/>
        </w:rPr>
        <w:fldChar w:fldCharType="end"/>
      </w:r>
    </w:p>
    <w:p w14:paraId="0454786D">
      <w:pPr>
        <w:pStyle w:val="62"/>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0" w:firstLineChars="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_Toc9329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bCs w:val="0"/>
          <w:szCs w:val="22"/>
        </w:rPr>
        <w:t>第六章 政府采购合同</w:t>
      </w:r>
      <w:r>
        <w:tab/>
      </w:r>
      <w:r>
        <w:fldChar w:fldCharType="begin"/>
      </w:r>
      <w:r>
        <w:instrText xml:space="preserve"> PAGEREF _Toc9329 \h </w:instrText>
      </w:r>
      <w:r>
        <w:fldChar w:fldCharType="separate"/>
      </w:r>
      <w:r>
        <w:t>68</w:t>
      </w:r>
      <w:r>
        <w:fldChar w:fldCharType="end"/>
      </w:r>
      <w:r>
        <w:rPr>
          <w:rFonts w:hint="eastAsia" w:asciiTheme="minorEastAsia" w:hAnsiTheme="minorEastAsia" w:eastAsiaTheme="minorEastAsia" w:cstheme="minorEastAsia"/>
          <w:szCs w:val="36"/>
        </w:rPr>
        <w:fldChar w:fldCharType="end"/>
      </w:r>
    </w:p>
    <w:p w14:paraId="44E0E9E2">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221" w:firstLineChars="100"/>
        <w:textAlignment w:val="auto"/>
        <w:rPr>
          <w:sz w:val="22"/>
          <w:szCs w:val="28"/>
        </w:rPr>
      </w:pPr>
      <w:r>
        <w:rPr>
          <w:rFonts w:hint="eastAsia" w:asciiTheme="minorEastAsia" w:hAnsiTheme="minorEastAsia" w:eastAsiaTheme="minorEastAsia" w:cstheme="minorEastAsia"/>
          <w:sz w:val="22"/>
          <w:szCs w:val="40"/>
        </w:rPr>
        <w:fldChar w:fldCharType="begin"/>
      </w:r>
      <w:r>
        <w:rPr>
          <w:rFonts w:hint="eastAsia" w:asciiTheme="minorEastAsia" w:hAnsiTheme="minorEastAsia" w:eastAsiaTheme="minorEastAsia" w:cstheme="minorEastAsia"/>
          <w:sz w:val="22"/>
          <w:szCs w:val="40"/>
        </w:rPr>
        <w:instrText xml:space="preserve"> HYPERLINK \l _Toc1636 </w:instrText>
      </w:r>
      <w:r>
        <w:rPr>
          <w:rFonts w:hint="eastAsia" w:asciiTheme="minorEastAsia" w:hAnsiTheme="minorEastAsia" w:eastAsiaTheme="minorEastAsia" w:cstheme="minorEastAsia"/>
          <w:sz w:val="22"/>
          <w:szCs w:val="40"/>
        </w:rPr>
        <w:fldChar w:fldCharType="separate"/>
      </w:r>
      <w:r>
        <w:rPr>
          <w:rFonts w:hint="eastAsia" w:asciiTheme="minorEastAsia" w:hAnsiTheme="minorEastAsia" w:eastAsiaTheme="minorEastAsia" w:cstheme="minorEastAsia"/>
          <w:sz w:val="22"/>
          <w:szCs w:val="44"/>
        </w:rPr>
        <w:t>第一节 政府采购合同协议书</w:t>
      </w:r>
      <w:r>
        <w:rPr>
          <w:sz w:val="22"/>
          <w:szCs w:val="28"/>
        </w:rPr>
        <w:tab/>
      </w:r>
      <w:r>
        <w:rPr>
          <w:sz w:val="22"/>
          <w:szCs w:val="28"/>
        </w:rPr>
        <w:fldChar w:fldCharType="begin"/>
      </w:r>
      <w:r>
        <w:rPr>
          <w:sz w:val="22"/>
          <w:szCs w:val="28"/>
        </w:rPr>
        <w:instrText xml:space="preserve"> PAGEREF _Toc1636 \h </w:instrText>
      </w:r>
      <w:r>
        <w:rPr>
          <w:sz w:val="22"/>
          <w:szCs w:val="28"/>
        </w:rPr>
        <w:fldChar w:fldCharType="separate"/>
      </w:r>
      <w:r>
        <w:rPr>
          <w:sz w:val="22"/>
          <w:szCs w:val="28"/>
        </w:rPr>
        <w:t>69</w:t>
      </w:r>
      <w:r>
        <w:rPr>
          <w:sz w:val="22"/>
          <w:szCs w:val="28"/>
        </w:rPr>
        <w:fldChar w:fldCharType="end"/>
      </w:r>
      <w:r>
        <w:rPr>
          <w:rFonts w:hint="eastAsia" w:asciiTheme="minorEastAsia" w:hAnsiTheme="minorEastAsia" w:eastAsiaTheme="minorEastAsia" w:cstheme="minorEastAsia"/>
          <w:sz w:val="22"/>
          <w:szCs w:val="40"/>
        </w:rPr>
        <w:fldChar w:fldCharType="end"/>
      </w:r>
    </w:p>
    <w:p w14:paraId="716682BB">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221" w:firstLineChars="100"/>
        <w:textAlignment w:val="auto"/>
        <w:rPr>
          <w:sz w:val="22"/>
          <w:szCs w:val="28"/>
        </w:rPr>
      </w:pPr>
      <w:r>
        <w:rPr>
          <w:rFonts w:hint="eastAsia" w:asciiTheme="minorEastAsia" w:hAnsiTheme="minorEastAsia" w:eastAsiaTheme="minorEastAsia" w:cstheme="minorEastAsia"/>
          <w:sz w:val="22"/>
          <w:szCs w:val="40"/>
        </w:rPr>
        <w:fldChar w:fldCharType="begin"/>
      </w:r>
      <w:r>
        <w:rPr>
          <w:rFonts w:hint="eastAsia" w:asciiTheme="minorEastAsia" w:hAnsiTheme="minorEastAsia" w:eastAsiaTheme="minorEastAsia" w:cstheme="minorEastAsia"/>
          <w:sz w:val="22"/>
          <w:szCs w:val="40"/>
        </w:rPr>
        <w:instrText xml:space="preserve"> HYPERLINK \l _Toc22216 </w:instrText>
      </w:r>
      <w:r>
        <w:rPr>
          <w:rFonts w:hint="eastAsia" w:asciiTheme="minorEastAsia" w:hAnsiTheme="minorEastAsia" w:eastAsiaTheme="minorEastAsia" w:cstheme="minorEastAsia"/>
          <w:sz w:val="22"/>
          <w:szCs w:val="40"/>
        </w:rPr>
        <w:fldChar w:fldCharType="separate"/>
      </w:r>
      <w:r>
        <w:rPr>
          <w:rFonts w:hint="eastAsia" w:asciiTheme="minorEastAsia" w:hAnsiTheme="minorEastAsia" w:eastAsiaTheme="minorEastAsia" w:cstheme="minorEastAsia"/>
          <w:sz w:val="22"/>
          <w:szCs w:val="44"/>
        </w:rPr>
        <w:t>第二节 政府采购合同通用条款</w:t>
      </w:r>
      <w:r>
        <w:rPr>
          <w:sz w:val="22"/>
          <w:szCs w:val="28"/>
        </w:rPr>
        <w:tab/>
      </w:r>
      <w:r>
        <w:rPr>
          <w:sz w:val="22"/>
          <w:szCs w:val="28"/>
        </w:rPr>
        <w:fldChar w:fldCharType="begin"/>
      </w:r>
      <w:r>
        <w:rPr>
          <w:sz w:val="22"/>
          <w:szCs w:val="28"/>
        </w:rPr>
        <w:instrText xml:space="preserve"> PAGEREF _Toc22216 \h </w:instrText>
      </w:r>
      <w:r>
        <w:rPr>
          <w:sz w:val="22"/>
          <w:szCs w:val="28"/>
        </w:rPr>
        <w:fldChar w:fldCharType="separate"/>
      </w:r>
      <w:r>
        <w:rPr>
          <w:sz w:val="22"/>
          <w:szCs w:val="28"/>
        </w:rPr>
        <w:t>71</w:t>
      </w:r>
      <w:r>
        <w:rPr>
          <w:sz w:val="22"/>
          <w:szCs w:val="28"/>
        </w:rPr>
        <w:fldChar w:fldCharType="end"/>
      </w:r>
      <w:r>
        <w:rPr>
          <w:rFonts w:hint="eastAsia" w:asciiTheme="minorEastAsia" w:hAnsiTheme="minorEastAsia" w:eastAsiaTheme="minorEastAsia" w:cstheme="minorEastAsia"/>
          <w:sz w:val="22"/>
          <w:szCs w:val="40"/>
        </w:rPr>
        <w:fldChar w:fldCharType="end"/>
      </w:r>
    </w:p>
    <w:p w14:paraId="7574673D">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221" w:firstLineChars="100"/>
        <w:textAlignment w:val="auto"/>
      </w:pPr>
      <w:r>
        <w:rPr>
          <w:rFonts w:hint="eastAsia" w:asciiTheme="minorEastAsia" w:hAnsiTheme="minorEastAsia" w:eastAsiaTheme="minorEastAsia" w:cstheme="minorEastAsia"/>
          <w:sz w:val="22"/>
          <w:szCs w:val="40"/>
        </w:rPr>
        <w:fldChar w:fldCharType="begin"/>
      </w:r>
      <w:r>
        <w:rPr>
          <w:rFonts w:hint="eastAsia" w:asciiTheme="minorEastAsia" w:hAnsiTheme="minorEastAsia" w:eastAsiaTheme="minorEastAsia" w:cstheme="minorEastAsia"/>
          <w:sz w:val="22"/>
          <w:szCs w:val="40"/>
        </w:rPr>
        <w:instrText xml:space="preserve"> HYPERLINK \l _Toc5336 </w:instrText>
      </w:r>
      <w:r>
        <w:rPr>
          <w:rFonts w:hint="eastAsia" w:asciiTheme="minorEastAsia" w:hAnsiTheme="minorEastAsia" w:eastAsiaTheme="minorEastAsia" w:cstheme="minorEastAsia"/>
          <w:sz w:val="22"/>
          <w:szCs w:val="40"/>
        </w:rPr>
        <w:fldChar w:fldCharType="separate"/>
      </w:r>
      <w:r>
        <w:rPr>
          <w:rFonts w:hint="eastAsia" w:asciiTheme="minorEastAsia" w:hAnsiTheme="minorEastAsia" w:eastAsiaTheme="minorEastAsia" w:cstheme="minorEastAsia"/>
          <w:sz w:val="22"/>
          <w:szCs w:val="44"/>
        </w:rPr>
        <w:t>第三节 政府采购合同专用条款</w:t>
      </w:r>
      <w:r>
        <w:rPr>
          <w:sz w:val="22"/>
          <w:szCs w:val="28"/>
        </w:rPr>
        <w:tab/>
      </w:r>
      <w:r>
        <w:rPr>
          <w:sz w:val="22"/>
          <w:szCs w:val="28"/>
        </w:rPr>
        <w:fldChar w:fldCharType="begin"/>
      </w:r>
      <w:r>
        <w:rPr>
          <w:sz w:val="22"/>
          <w:szCs w:val="28"/>
        </w:rPr>
        <w:instrText xml:space="preserve"> PAGEREF _Toc5336 \h </w:instrText>
      </w:r>
      <w:r>
        <w:rPr>
          <w:sz w:val="22"/>
          <w:szCs w:val="28"/>
        </w:rPr>
        <w:fldChar w:fldCharType="separate"/>
      </w:r>
      <w:r>
        <w:rPr>
          <w:sz w:val="22"/>
          <w:szCs w:val="28"/>
        </w:rPr>
        <w:t>77</w:t>
      </w:r>
      <w:r>
        <w:rPr>
          <w:sz w:val="22"/>
          <w:szCs w:val="28"/>
        </w:rPr>
        <w:fldChar w:fldCharType="end"/>
      </w:r>
      <w:r>
        <w:rPr>
          <w:rFonts w:hint="eastAsia" w:asciiTheme="minorEastAsia" w:hAnsiTheme="minorEastAsia" w:eastAsiaTheme="minorEastAsia" w:cstheme="minorEastAsia"/>
          <w:sz w:val="22"/>
          <w:szCs w:val="40"/>
        </w:rPr>
        <w:fldChar w:fldCharType="end"/>
      </w:r>
    </w:p>
    <w:p w14:paraId="11D5A23F">
      <w:pPr>
        <w:pStyle w:val="62"/>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0" w:firstLineChars="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_Toc22305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bCs w:val="0"/>
          <w:szCs w:val="22"/>
        </w:rPr>
        <w:t>第七章 投标文件的组成</w:t>
      </w:r>
      <w:r>
        <w:tab/>
      </w:r>
      <w:r>
        <w:fldChar w:fldCharType="begin"/>
      </w:r>
      <w:r>
        <w:instrText xml:space="preserve"> PAGEREF _Toc22305 \h </w:instrText>
      </w:r>
      <w:r>
        <w:fldChar w:fldCharType="separate"/>
      </w:r>
      <w:r>
        <w:t>79</w:t>
      </w:r>
      <w:r>
        <w:fldChar w:fldCharType="end"/>
      </w:r>
      <w:r>
        <w:rPr>
          <w:rFonts w:hint="eastAsia" w:asciiTheme="minorEastAsia" w:hAnsiTheme="minorEastAsia" w:eastAsiaTheme="minorEastAsia" w:cstheme="minorEastAsia"/>
          <w:szCs w:val="36"/>
        </w:rPr>
        <w:fldChar w:fldCharType="end"/>
      </w:r>
    </w:p>
    <w:p w14:paraId="736CED07">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221" w:firstLineChars="100"/>
        <w:textAlignment w:val="auto"/>
      </w:pPr>
      <w:r>
        <w:rPr>
          <w:rFonts w:hint="eastAsia" w:asciiTheme="minorEastAsia" w:hAnsiTheme="minorEastAsia" w:eastAsiaTheme="minorEastAsia" w:cstheme="minorEastAsia"/>
          <w:sz w:val="22"/>
          <w:szCs w:val="40"/>
        </w:rPr>
        <w:fldChar w:fldCharType="begin"/>
      </w:r>
      <w:r>
        <w:rPr>
          <w:rFonts w:hint="eastAsia" w:asciiTheme="minorEastAsia" w:hAnsiTheme="minorEastAsia" w:eastAsiaTheme="minorEastAsia" w:cstheme="minorEastAsia"/>
          <w:sz w:val="22"/>
          <w:szCs w:val="40"/>
        </w:rPr>
        <w:instrText xml:space="preserve"> HYPERLINK \l _Toc15433 </w:instrText>
      </w:r>
      <w:r>
        <w:rPr>
          <w:rFonts w:hint="eastAsia" w:asciiTheme="minorEastAsia" w:hAnsiTheme="minorEastAsia" w:eastAsiaTheme="minorEastAsia" w:cstheme="minorEastAsia"/>
          <w:sz w:val="22"/>
          <w:szCs w:val="40"/>
        </w:rPr>
        <w:fldChar w:fldCharType="separate"/>
      </w:r>
      <w:r>
        <w:rPr>
          <w:rFonts w:hint="eastAsia" w:asciiTheme="minorEastAsia" w:hAnsiTheme="minorEastAsia" w:eastAsiaTheme="minorEastAsia" w:cstheme="minorEastAsia"/>
          <w:sz w:val="22"/>
          <w:szCs w:val="56"/>
        </w:rPr>
        <w:t>第一部分 资格证明文件</w:t>
      </w:r>
      <w:r>
        <w:rPr>
          <w:sz w:val="22"/>
          <w:szCs w:val="28"/>
        </w:rPr>
        <w:tab/>
      </w:r>
      <w:r>
        <w:rPr>
          <w:sz w:val="22"/>
          <w:szCs w:val="28"/>
        </w:rPr>
        <w:fldChar w:fldCharType="begin"/>
      </w:r>
      <w:r>
        <w:rPr>
          <w:sz w:val="22"/>
          <w:szCs w:val="28"/>
        </w:rPr>
        <w:instrText xml:space="preserve"> PAGEREF _Toc15433 \h </w:instrText>
      </w:r>
      <w:r>
        <w:rPr>
          <w:sz w:val="22"/>
          <w:szCs w:val="28"/>
        </w:rPr>
        <w:fldChar w:fldCharType="separate"/>
      </w:r>
      <w:r>
        <w:rPr>
          <w:sz w:val="22"/>
          <w:szCs w:val="28"/>
        </w:rPr>
        <w:t>80</w:t>
      </w:r>
      <w:r>
        <w:rPr>
          <w:sz w:val="22"/>
          <w:szCs w:val="28"/>
        </w:rPr>
        <w:fldChar w:fldCharType="end"/>
      </w:r>
      <w:r>
        <w:rPr>
          <w:rFonts w:hint="eastAsia" w:asciiTheme="minorEastAsia" w:hAnsiTheme="minorEastAsia" w:eastAsiaTheme="minorEastAsia" w:cstheme="minorEastAsia"/>
          <w:sz w:val="22"/>
          <w:szCs w:val="40"/>
        </w:rPr>
        <w:fldChar w:fldCharType="end"/>
      </w:r>
    </w:p>
    <w:p w14:paraId="323F4CD6">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422" w:firstLineChars="20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_Toc25719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szCs w:val="40"/>
        </w:rPr>
        <w:t>一、法定代表人（单位负责人）身份证明</w:t>
      </w:r>
      <w:r>
        <w:tab/>
      </w:r>
      <w:r>
        <w:fldChar w:fldCharType="begin"/>
      </w:r>
      <w:r>
        <w:instrText xml:space="preserve"> PAGEREF _Toc25719 \h </w:instrText>
      </w:r>
      <w:r>
        <w:fldChar w:fldCharType="separate"/>
      </w:r>
      <w:r>
        <w:t>81</w:t>
      </w:r>
      <w:r>
        <w:fldChar w:fldCharType="end"/>
      </w:r>
      <w:r>
        <w:rPr>
          <w:rFonts w:hint="eastAsia" w:asciiTheme="minorEastAsia" w:hAnsiTheme="minorEastAsia" w:eastAsiaTheme="minorEastAsia" w:cstheme="minorEastAsia"/>
          <w:szCs w:val="36"/>
        </w:rPr>
        <w:fldChar w:fldCharType="end"/>
      </w:r>
    </w:p>
    <w:p w14:paraId="494E034F">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422" w:firstLineChars="20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_Toc4587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szCs w:val="40"/>
        </w:rPr>
        <w:t>二、湖南省政府采购供应商资格承诺函</w:t>
      </w:r>
      <w:r>
        <w:tab/>
      </w:r>
      <w:r>
        <w:fldChar w:fldCharType="begin"/>
      </w:r>
      <w:r>
        <w:instrText xml:space="preserve"> PAGEREF _Toc4587 \h </w:instrText>
      </w:r>
      <w:r>
        <w:fldChar w:fldCharType="separate"/>
      </w:r>
      <w:r>
        <w:t>83</w:t>
      </w:r>
      <w:r>
        <w:fldChar w:fldCharType="end"/>
      </w:r>
      <w:r>
        <w:rPr>
          <w:rFonts w:hint="eastAsia" w:asciiTheme="minorEastAsia" w:hAnsiTheme="minorEastAsia" w:eastAsiaTheme="minorEastAsia" w:cstheme="minorEastAsia"/>
          <w:szCs w:val="36"/>
        </w:rPr>
        <w:fldChar w:fldCharType="end"/>
      </w:r>
    </w:p>
    <w:p w14:paraId="3B5A55C4">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422" w:firstLineChars="20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_Toc20680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szCs w:val="36"/>
        </w:rPr>
        <w:t>三、法人或其他组织的营业执照等主体资格证明文件，自然人的身份证明</w:t>
      </w:r>
      <w:r>
        <w:tab/>
      </w:r>
      <w:r>
        <w:fldChar w:fldCharType="begin"/>
      </w:r>
      <w:r>
        <w:instrText xml:space="preserve"> PAGEREF _Toc20680 \h </w:instrText>
      </w:r>
      <w:r>
        <w:fldChar w:fldCharType="separate"/>
      </w:r>
      <w:r>
        <w:t>84</w:t>
      </w:r>
      <w:r>
        <w:fldChar w:fldCharType="end"/>
      </w:r>
      <w:r>
        <w:rPr>
          <w:rFonts w:hint="eastAsia" w:asciiTheme="minorEastAsia" w:hAnsiTheme="minorEastAsia" w:eastAsiaTheme="minorEastAsia" w:cstheme="minorEastAsia"/>
          <w:szCs w:val="36"/>
        </w:rPr>
        <w:fldChar w:fldCharType="end"/>
      </w:r>
    </w:p>
    <w:p w14:paraId="05021609">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221" w:firstLineChars="100"/>
        <w:textAlignment w:val="auto"/>
      </w:pPr>
      <w:r>
        <w:rPr>
          <w:rFonts w:hint="eastAsia" w:asciiTheme="minorEastAsia" w:hAnsiTheme="minorEastAsia" w:eastAsiaTheme="minorEastAsia" w:cstheme="minorEastAsia"/>
          <w:sz w:val="22"/>
          <w:szCs w:val="40"/>
        </w:rPr>
        <w:fldChar w:fldCharType="begin"/>
      </w:r>
      <w:r>
        <w:rPr>
          <w:rFonts w:hint="eastAsia" w:asciiTheme="minorEastAsia" w:hAnsiTheme="minorEastAsia" w:eastAsiaTheme="minorEastAsia" w:cstheme="minorEastAsia"/>
          <w:sz w:val="22"/>
          <w:szCs w:val="40"/>
        </w:rPr>
        <w:instrText xml:space="preserve"> HYPERLINK \l _Toc21234 </w:instrText>
      </w:r>
      <w:r>
        <w:rPr>
          <w:rFonts w:hint="eastAsia" w:asciiTheme="minorEastAsia" w:hAnsiTheme="minorEastAsia" w:eastAsiaTheme="minorEastAsia" w:cstheme="minorEastAsia"/>
          <w:sz w:val="22"/>
          <w:szCs w:val="40"/>
        </w:rPr>
        <w:fldChar w:fldCharType="separate"/>
      </w:r>
      <w:r>
        <w:rPr>
          <w:rFonts w:hint="eastAsia" w:asciiTheme="minorEastAsia" w:hAnsiTheme="minorEastAsia" w:eastAsiaTheme="minorEastAsia" w:cstheme="minorEastAsia"/>
          <w:sz w:val="22"/>
          <w:szCs w:val="56"/>
        </w:rPr>
        <w:t>第二部分 商务文件</w:t>
      </w:r>
      <w:r>
        <w:rPr>
          <w:sz w:val="22"/>
          <w:szCs w:val="28"/>
        </w:rPr>
        <w:tab/>
      </w:r>
      <w:r>
        <w:rPr>
          <w:sz w:val="22"/>
          <w:szCs w:val="28"/>
        </w:rPr>
        <w:fldChar w:fldCharType="begin"/>
      </w:r>
      <w:r>
        <w:rPr>
          <w:sz w:val="22"/>
          <w:szCs w:val="28"/>
        </w:rPr>
        <w:instrText xml:space="preserve"> PAGEREF _Toc21234 \h </w:instrText>
      </w:r>
      <w:r>
        <w:rPr>
          <w:sz w:val="22"/>
          <w:szCs w:val="28"/>
        </w:rPr>
        <w:fldChar w:fldCharType="separate"/>
      </w:r>
      <w:r>
        <w:rPr>
          <w:sz w:val="22"/>
          <w:szCs w:val="28"/>
        </w:rPr>
        <w:t>85</w:t>
      </w:r>
      <w:r>
        <w:rPr>
          <w:sz w:val="22"/>
          <w:szCs w:val="28"/>
        </w:rPr>
        <w:fldChar w:fldCharType="end"/>
      </w:r>
      <w:r>
        <w:rPr>
          <w:rFonts w:hint="eastAsia" w:asciiTheme="minorEastAsia" w:hAnsiTheme="minorEastAsia" w:eastAsiaTheme="minorEastAsia" w:cstheme="minorEastAsia"/>
          <w:sz w:val="22"/>
          <w:szCs w:val="40"/>
        </w:rPr>
        <w:fldChar w:fldCharType="end"/>
      </w:r>
    </w:p>
    <w:p w14:paraId="3757FF14">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422" w:firstLineChars="20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_Toc4834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szCs w:val="40"/>
        </w:rPr>
        <w:t>四、投标函</w:t>
      </w:r>
      <w:r>
        <w:tab/>
      </w:r>
      <w:r>
        <w:fldChar w:fldCharType="begin"/>
      </w:r>
      <w:r>
        <w:instrText xml:space="preserve"> PAGEREF _Toc4834 \h </w:instrText>
      </w:r>
      <w:r>
        <w:fldChar w:fldCharType="separate"/>
      </w:r>
      <w:r>
        <w:t>86</w:t>
      </w:r>
      <w:r>
        <w:fldChar w:fldCharType="end"/>
      </w:r>
      <w:r>
        <w:rPr>
          <w:rFonts w:hint="eastAsia" w:asciiTheme="minorEastAsia" w:hAnsiTheme="minorEastAsia" w:eastAsiaTheme="minorEastAsia" w:cstheme="minorEastAsia"/>
          <w:szCs w:val="36"/>
        </w:rPr>
        <w:fldChar w:fldCharType="end"/>
      </w:r>
    </w:p>
    <w:p w14:paraId="74D96112">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422" w:firstLineChars="20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_Toc14267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szCs w:val="40"/>
        </w:rPr>
        <w:t>五、开标一览表</w:t>
      </w:r>
      <w:r>
        <w:tab/>
      </w:r>
      <w:r>
        <w:fldChar w:fldCharType="begin"/>
      </w:r>
      <w:r>
        <w:instrText xml:space="preserve"> PAGEREF _Toc14267 \h </w:instrText>
      </w:r>
      <w:r>
        <w:fldChar w:fldCharType="separate"/>
      </w:r>
      <w:r>
        <w:t>88</w:t>
      </w:r>
      <w:r>
        <w:fldChar w:fldCharType="end"/>
      </w:r>
      <w:r>
        <w:rPr>
          <w:rFonts w:hint="eastAsia" w:asciiTheme="minorEastAsia" w:hAnsiTheme="minorEastAsia" w:eastAsiaTheme="minorEastAsia" w:cstheme="minorEastAsia"/>
          <w:szCs w:val="36"/>
        </w:rPr>
        <w:fldChar w:fldCharType="end"/>
      </w:r>
    </w:p>
    <w:p w14:paraId="0909AFF8">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422" w:firstLineChars="20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_Toc13158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szCs w:val="40"/>
        </w:rPr>
        <w:t>六、分项报价</w:t>
      </w:r>
      <w:r>
        <w:tab/>
      </w:r>
      <w:r>
        <w:fldChar w:fldCharType="begin"/>
      </w:r>
      <w:r>
        <w:instrText xml:space="preserve"> PAGEREF _Toc13158 \h </w:instrText>
      </w:r>
      <w:r>
        <w:fldChar w:fldCharType="separate"/>
      </w:r>
      <w:r>
        <w:t>89</w:t>
      </w:r>
      <w:r>
        <w:fldChar w:fldCharType="end"/>
      </w:r>
      <w:r>
        <w:rPr>
          <w:rFonts w:hint="eastAsia" w:asciiTheme="minorEastAsia" w:hAnsiTheme="minorEastAsia" w:eastAsiaTheme="minorEastAsia" w:cstheme="minorEastAsia"/>
          <w:szCs w:val="36"/>
        </w:rPr>
        <w:fldChar w:fldCharType="end"/>
      </w:r>
    </w:p>
    <w:p w14:paraId="597BE8EA">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422" w:firstLineChars="20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_Toc31025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szCs w:val="40"/>
        </w:rPr>
        <w:t>七、合同条款偏离表</w:t>
      </w:r>
      <w:r>
        <w:tab/>
      </w:r>
      <w:r>
        <w:fldChar w:fldCharType="begin"/>
      </w:r>
      <w:r>
        <w:instrText xml:space="preserve"> PAGEREF _Toc31025 \h </w:instrText>
      </w:r>
      <w:r>
        <w:fldChar w:fldCharType="separate"/>
      </w:r>
      <w:r>
        <w:t>91</w:t>
      </w:r>
      <w:r>
        <w:fldChar w:fldCharType="end"/>
      </w:r>
      <w:r>
        <w:rPr>
          <w:rFonts w:hint="eastAsia" w:asciiTheme="minorEastAsia" w:hAnsiTheme="minorEastAsia" w:eastAsiaTheme="minorEastAsia" w:cstheme="minorEastAsia"/>
          <w:szCs w:val="36"/>
        </w:rPr>
        <w:fldChar w:fldCharType="end"/>
      </w:r>
    </w:p>
    <w:p w14:paraId="3F0A1245">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422" w:firstLineChars="20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_Toc22303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szCs w:val="40"/>
        </w:rPr>
        <w:t>八、享受政府采购政策优惠的证明资料</w:t>
      </w:r>
      <w:r>
        <w:tab/>
      </w:r>
      <w:r>
        <w:fldChar w:fldCharType="begin"/>
      </w:r>
      <w:r>
        <w:instrText xml:space="preserve"> PAGEREF _Toc22303 \h </w:instrText>
      </w:r>
      <w:r>
        <w:fldChar w:fldCharType="separate"/>
      </w:r>
      <w:r>
        <w:t>92</w:t>
      </w:r>
      <w:r>
        <w:fldChar w:fldCharType="end"/>
      </w:r>
      <w:r>
        <w:rPr>
          <w:rFonts w:hint="eastAsia" w:asciiTheme="minorEastAsia" w:hAnsiTheme="minorEastAsia" w:eastAsiaTheme="minorEastAsia" w:cstheme="minorEastAsia"/>
          <w:szCs w:val="36"/>
        </w:rPr>
        <w:fldChar w:fldCharType="end"/>
      </w:r>
    </w:p>
    <w:p w14:paraId="7287A39E">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221" w:firstLineChars="100"/>
        <w:textAlignment w:val="auto"/>
      </w:pPr>
      <w:r>
        <w:rPr>
          <w:rFonts w:hint="eastAsia" w:asciiTheme="minorEastAsia" w:hAnsiTheme="minorEastAsia" w:eastAsiaTheme="minorEastAsia" w:cstheme="minorEastAsia"/>
          <w:sz w:val="22"/>
          <w:szCs w:val="40"/>
        </w:rPr>
        <w:fldChar w:fldCharType="begin"/>
      </w:r>
      <w:r>
        <w:rPr>
          <w:rFonts w:hint="eastAsia" w:asciiTheme="minorEastAsia" w:hAnsiTheme="minorEastAsia" w:eastAsiaTheme="minorEastAsia" w:cstheme="minorEastAsia"/>
          <w:sz w:val="22"/>
          <w:szCs w:val="40"/>
        </w:rPr>
        <w:instrText xml:space="preserve"> HYPERLINK \l _Toc25172 </w:instrText>
      </w:r>
      <w:r>
        <w:rPr>
          <w:rFonts w:hint="eastAsia" w:asciiTheme="minorEastAsia" w:hAnsiTheme="minorEastAsia" w:eastAsiaTheme="minorEastAsia" w:cstheme="minorEastAsia"/>
          <w:sz w:val="22"/>
          <w:szCs w:val="40"/>
        </w:rPr>
        <w:fldChar w:fldCharType="separate"/>
      </w:r>
      <w:r>
        <w:rPr>
          <w:rFonts w:hint="eastAsia" w:asciiTheme="minorEastAsia" w:hAnsiTheme="minorEastAsia" w:eastAsiaTheme="minorEastAsia" w:cstheme="minorEastAsia"/>
          <w:sz w:val="22"/>
          <w:szCs w:val="56"/>
        </w:rPr>
        <w:t>第三部分 技术文件</w:t>
      </w:r>
      <w:r>
        <w:rPr>
          <w:sz w:val="22"/>
          <w:szCs w:val="28"/>
        </w:rPr>
        <w:tab/>
      </w:r>
      <w:r>
        <w:rPr>
          <w:sz w:val="22"/>
          <w:szCs w:val="28"/>
        </w:rPr>
        <w:fldChar w:fldCharType="begin"/>
      </w:r>
      <w:r>
        <w:rPr>
          <w:sz w:val="22"/>
          <w:szCs w:val="28"/>
        </w:rPr>
        <w:instrText xml:space="preserve"> PAGEREF _Toc25172 \h </w:instrText>
      </w:r>
      <w:r>
        <w:rPr>
          <w:sz w:val="22"/>
          <w:szCs w:val="28"/>
        </w:rPr>
        <w:fldChar w:fldCharType="separate"/>
      </w:r>
      <w:r>
        <w:rPr>
          <w:sz w:val="22"/>
          <w:szCs w:val="28"/>
        </w:rPr>
        <w:t>94</w:t>
      </w:r>
      <w:r>
        <w:rPr>
          <w:sz w:val="22"/>
          <w:szCs w:val="28"/>
        </w:rPr>
        <w:fldChar w:fldCharType="end"/>
      </w:r>
      <w:r>
        <w:rPr>
          <w:rFonts w:hint="eastAsia" w:asciiTheme="minorEastAsia" w:hAnsiTheme="minorEastAsia" w:eastAsiaTheme="minorEastAsia" w:cstheme="minorEastAsia"/>
          <w:sz w:val="22"/>
          <w:szCs w:val="40"/>
        </w:rPr>
        <w:fldChar w:fldCharType="end"/>
      </w:r>
    </w:p>
    <w:p w14:paraId="61AD2076">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422" w:firstLineChars="20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_Toc30949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szCs w:val="40"/>
        </w:rPr>
        <w:t>九、采购需求响应</w:t>
      </w:r>
      <w:r>
        <w:tab/>
      </w:r>
      <w:r>
        <w:fldChar w:fldCharType="begin"/>
      </w:r>
      <w:r>
        <w:instrText xml:space="preserve"> PAGEREF _Toc30949 \h </w:instrText>
      </w:r>
      <w:r>
        <w:fldChar w:fldCharType="separate"/>
      </w:r>
      <w:r>
        <w:t>95</w:t>
      </w:r>
      <w:r>
        <w:fldChar w:fldCharType="end"/>
      </w:r>
      <w:r>
        <w:rPr>
          <w:rFonts w:hint="eastAsia" w:asciiTheme="minorEastAsia" w:hAnsiTheme="minorEastAsia" w:eastAsiaTheme="minorEastAsia" w:cstheme="minorEastAsia"/>
          <w:szCs w:val="36"/>
        </w:rPr>
        <w:fldChar w:fldCharType="end"/>
      </w:r>
    </w:p>
    <w:p w14:paraId="1EF9FBEE">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422" w:firstLineChars="20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_Toc22292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szCs w:val="40"/>
        </w:rPr>
        <w:t>十、采购需求偏离表</w:t>
      </w:r>
      <w:r>
        <w:tab/>
      </w:r>
      <w:r>
        <w:fldChar w:fldCharType="begin"/>
      </w:r>
      <w:r>
        <w:instrText xml:space="preserve"> PAGEREF _Toc22292 \h </w:instrText>
      </w:r>
      <w:r>
        <w:fldChar w:fldCharType="separate"/>
      </w:r>
      <w:r>
        <w:t>96</w:t>
      </w:r>
      <w:r>
        <w:fldChar w:fldCharType="end"/>
      </w:r>
      <w:r>
        <w:rPr>
          <w:rFonts w:hint="eastAsia" w:asciiTheme="minorEastAsia" w:hAnsiTheme="minorEastAsia" w:eastAsiaTheme="minorEastAsia" w:cstheme="minorEastAsia"/>
          <w:szCs w:val="36"/>
        </w:rPr>
        <w:fldChar w:fldCharType="end"/>
      </w:r>
    </w:p>
    <w:p w14:paraId="6D60A1AF">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422" w:firstLineChars="200"/>
        <w:textAlignment w:val="auto"/>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_Toc14228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szCs w:val="40"/>
        </w:rPr>
        <w:t>十一、投标标的符合招标文件规定的证明文件</w:t>
      </w:r>
      <w:r>
        <w:tab/>
      </w:r>
      <w:r>
        <w:fldChar w:fldCharType="begin"/>
      </w:r>
      <w:r>
        <w:instrText xml:space="preserve"> PAGEREF _Toc14228 \h </w:instrText>
      </w:r>
      <w:r>
        <w:fldChar w:fldCharType="separate"/>
      </w:r>
      <w:r>
        <w:t>97</w:t>
      </w:r>
      <w:r>
        <w:fldChar w:fldCharType="end"/>
      </w:r>
      <w:r>
        <w:rPr>
          <w:rFonts w:hint="eastAsia" w:asciiTheme="minorEastAsia" w:hAnsiTheme="minorEastAsia" w:eastAsiaTheme="minorEastAsia" w:cstheme="minorEastAsia"/>
          <w:szCs w:val="36"/>
        </w:rPr>
        <w:fldChar w:fldCharType="end"/>
      </w:r>
    </w:p>
    <w:p w14:paraId="191EBCE3">
      <w:pPr>
        <w:pStyle w:val="77"/>
        <w:keepNext w:val="0"/>
        <w:keepLines w:val="0"/>
        <w:pageBreakBefore w:val="0"/>
        <w:widowControl w:val="0"/>
        <w:tabs>
          <w:tab w:val="right" w:leader="dot" w:pos="9240"/>
        </w:tabs>
        <w:kinsoku/>
        <w:wordWrap/>
        <w:overflowPunct/>
        <w:topLinePunct w:val="0"/>
        <w:autoSpaceDE/>
        <w:autoSpaceDN/>
        <w:bidi w:val="0"/>
        <w:adjustRightInd/>
        <w:snapToGrid/>
        <w:spacing w:line="260" w:lineRule="auto"/>
        <w:ind w:left="420" w:leftChars="200" w:firstLine="422" w:firstLineChars="200"/>
        <w:textAlignment w:val="auto"/>
        <w:rPr>
          <w:rFonts w:hint="eastAsia" w:asciiTheme="minorEastAsia" w:hAnsiTheme="minorEastAsia" w:eastAsiaTheme="minorEastAsia" w:cstheme="minorEastAsia"/>
          <w:sz w:val="2"/>
          <w:szCs w:val="2"/>
        </w:rPr>
      </w:pPr>
      <w:r>
        <w:rPr>
          <w:rFonts w:hint="eastAsia" w:asciiTheme="minorEastAsia" w:hAnsiTheme="minorEastAsia" w:eastAsiaTheme="minorEastAsia" w:cstheme="minorEastAsia"/>
          <w:szCs w:val="36"/>
        </w:rPr>
        <w:fldChar w:fldCharType="begin"/>
      </w:r>
      <w:r>
        <w:rPr>
          <w:rFonts w:hint="eastAsia" w:asciiTheme="minorEastAsia" w:hAnsiTheme="minorEastAsia" w:eastAsiaTheme="minorEastAsia" w:cstheme="minorEastAsia"/>
          <w:szCs w:val="36"/>
        </w:rPr>
        <w:instrText xml:space="preserve"> HYPERLINK \l _Toc17112 </w:instrText>
      </w:r>
      <w:r>
        <w:rPr>
          <w:rFonts w:hint="eastAsia" w:asciiTheme="minorEastAsia" w:hAnsiTheme="minorEastAsia" w:eastAsiaTheme="minorEastAsia" w:cstheme="minorEastAsia"/>
          <w:szCs w:val="36"/>
        </w:rPr>
        <w:fldChar w:fldCharType="separate"/>
      </w:r>
      <w:r>
        <w:rPr>
          <w:rFonts w:hint="eastAsia" w:asciiTheme="minorEastAsia" w:hAnsiTheme="minorEastAsia" w:eastAsiaTheme="minorEastAsia" w:cstheme="minorEastAsia"/>
          <w:szCs w:val="40"/>
        </w:rPr>
        <w:t>十二、投标人认为需提供的其他资料</w:t>
      </w:r>
      <w:r>
        <w:tab/>
      </w:r>
      <w:r>
        <w:fldChar w:fldCharType="begin"/>
      </w:r>
      <w:r>
        <w:instrText xml:space="preserve"> PAGEREF _Toc17112 \h </w:instrText>
      </w:r>
      <w:r>
        <w:fldChar w:fldCharType="separate"/>
      </w:r>
      <w:r>
        <w:t>97</w:t>
      </w:r>
      <w:r>
        <w:fldChar w:fldCharType="end"/>
      </w:r>
      <w:r>
        <w:rPr>
          <w:rFonts w:hint="eastAsia" w:asciiTheme="minorEastAsia" w:hAnsiTheme="minorEastAsia" w:eastAsiaTheme="minorEastAsia" w:cstheme="minorEastAsia"/>
          <w:szCs w:val="36"/>
        </w:rPr>
        <w:fldChar w:fldCharType="end"/>
      </w:r>
      <w:r>
        <w:rPr>
          <w:rFonts w:hint="eastAsia" w:asciiTheme="minorEastAsia" w:hAnsiTheme="minorEastAsia" w:eastAsiaTheme="minorEastAsia" w:cstheme="minorEastAsia"/>
          <w:szCs w:val="36"/>
        </w:rPr>
        <w:fldChar w:fldCharType="end"/>
      </w:r>
    </w:p>
    <w:p w14:paraId="4B410E0E">
      <w:pPr>
        <w:tabs>
          <w:tab w:val="left" w:pos="2773"/>
        </w:tabs>
        <w:ind w:left="218" w:leftChars="104"/>
        <w:jc w:val="left"/>
        <w:rPr>
          <w:rFonts w:hint="eastAsia" w:asciiTheme="minorEastAsia" w:hAnsiTheme="minorEastAsia" w:eastAsiaTheme="minorEastAsia" w:cstheme="minorEastAsia"/>
          <w:sz w:val="2"/>
          <w:szCs w:val="6"/>
        </w:rPr>
        <w:sectPr>
          <w:footerReference r:id="rId7" w:type="default"/>
          <w:pgSz w:w="11906" w:h="16838"/>
          <w:pgMar w:top="510" w:right="1037" w:bottom="454" w:left="1270" w:header="113" w:footer="57" w:gutter="0"/>
          <w:pgBorders>
            <w:top w:val="none" w:sz="0" w:space="0"/>
            <w:left w:val="none" w:sz="0" w:space="0"/>
            <w:bottom w:val="none" w:sz="0" w:space="0"/>
            <w:right w:val="none" w:sz="0" w:space="0"/>
          </w:pgBorders>
          <w:pgNumType w:start="1"/>
          <w:cols w:space="0" w:num="1"/>
          <w:docGrid w:type="lines" w:linePitch="312" w:charSpace="0"/>
        </w:sectPr>
      </w:pPr>
      <w:bookmarkStart w:id="0" w:name="_Toc21000471"/>
      <w:bookmarkStart w:id="1" w:name="_Toc53472201"/>
      <w:bookmarkStart w:id="2" w:name="_Toc20642243"/>
      <w:bookmarkStart w:id="3" w:name="_Toc20988241"/>
      <w:bookmarkStart w:id="4" w:name="_Toc35421027"/>
      <w:bookmarkStart w:id="5" w:name="_Toc21001314"/>
      <w:bookmarkStart w:id="6" w:name="_Toc34720698"/>
      <w:bookmarkStart w:id="7" w:name="_Toc20816073"/>
    </w:p>
    <w:p w14:paraId="19C514C4">
      <w:pPr>
        <w:pStyle w:val="3"/>
        <w:spacing w:line="360" w:lineRule="auto"/>
        <w:ind w:right="-61" w:rightChars="-29"/>
        <w:jc w:val="center"/>
        <w:rPr>
          <w:rFonts w:hint="eastAsia" w:asciiTheme="minorEastAsia" w:hAnsiTheme="minorEastAsia" w:eastAsiaTheme="minorEastAsia" w:cstheme="minorEastAsia"/>
          <w:b/>
          <w:bCs w:val="0"/>
          <w:sz w:val="36"/>
          <w:szCs w:val="22"/>
        </w:rPr>
      </w:pPr>
      <w:bookmarkStart w:id="8" w:name="_Toc18314"/>
      <w:r>
        <w:rPr>
          <w:rFonts w:hint="eastAsia" w:asciiTheme="minorEastAsia" w:hAnsiTheme="minorEastAsia" w:eastAsiaTheme="minorEastAsia" w:cstheme="minorEastAsia"/>
          <w:b/>
          <w:bCs w:val="0"/>
          <w:sz w:val="36"/>
          <w:szCs w:val="22"/>
        </w:rPr>
        <w:t>第一章 投标邀请</w:t>
      </w:r>
      <w:bookmarkEnd w:id="8"/>
    </w:p>
    <w:p w14:paraId="38BA6956">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w:t>
      </w:r>
      <w:r>
        <w:rPr>
          <w:rFonts w:hint="eastAsia" w:asciiTheme="minorEastAsia" w:hAnsiTheme="minorEastAsia" w:eastAsiaTheme="minorEastAsia" w:cstheme="minorEastAsia"/>
          <w:sz w:val="24"/>
          <w:lang w:eastAsia="zh-CN"/>
        </w:rPr>
        <w:t>凤凰县人民医院县域医共体信息平台建设采购项目</w:t>
      </w:r>
      <w:r>
        <w:rPr>
          <w:rFonts w:hint="eastAsia" w:asciiTheme="minorEastAsia" w:hAnsiTheme="minorEastAsia" w:eastAsiaTheme="minorEastAsia" w:cstheme="minorEastAsia"/>
          <w:color w:val="000000" w:themeColor="text1"/>
          <w:sz w:val="24"/>
          <w14:textFill>
            <w14:solidFill>
              <w14:schemeClr w14:val="tx1"/>
            </w14:solidFill>
          </w14:textFill>
        </w:rPr>
        <w:t>》项目进行公开招标，现邀请符合资格条件的投标人参加投标。</w:t>
      </w:r>
    </w:p>
    <w:p w14:paraId="6267E2AE">
      <w:pPr>
        <w:tabs>
          <w:tab w:val="left" w:pos="235"/>
        </w:tabs>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一、采购项目基本信息</w:t>
      </w:r>
    </w:p>
    <w:p w14:paraId="46701044">
      <w:pPr>
        <w:adjustRightInd w:val="0"/>
        <w:spacing w:line="360" w:lineRule="auto"/>
        <w:ind w:right="-4" w:firstLine="480"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color w:val="000000" w:themeColor="text1"/>
          <w:sz w:val="24"/>
          <w14:textFill>
            <w14:solidFill>
              <w14:schemeClr w14:val="tx1"/>
            </w14:solidFill>
          </w14:textFill>
        </w:rPr>
        <w:t>1.采购项目名称：</w:t>
      </w:r>
      <w:r>
        <w:rPr>
          <w:rFonts w:hint="eastAsia" w:asciiTheme="minorEastAsia" w:hAnsiTheme="minorEastAsia" w:eastAsiaTheme="minorEastAsia" w:cstheme="minorEastAsia"/>
          <w:kern w:val="0"/>
          <w:sz w:val="24"/>
          <w:u w:val="single"/>
          <w:lang w:eastAsia="zh-CN"/>
        </w:rPr>
        <w:t>凤凰县人民医院县域医共体信息平台建设采购项目</w:t>
      </w:r>
    </w:p>
    <w:p w14:paraId="542CDF7D">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2.政府采购计划编号</w:t>
      </w:r>
      <w:r>
        <w:rPr>
          <w:rFonts w:hint="eastAsia" w:asciiTheme="minorEastAsia" w:hAnsiTheme="minorEastAsia" w:eastAsiaTheme="minorEastAsia" w:cstheme="minorEastAsia"/>
          <w:color w:val="auto"/>
          <w:sz w:val="24"/>
        </w:rPr>
        <w:t>：</w:t>
      </w:r>
      <w:r>
        <w:rPr>
          <w:rFonts w:hint="eastAsia" w:asciiTheme="minorEastAsia" w:hAnsiTheme="minorEastAsia" w:eastAsiaTheme="minorEastAsia" w:cstheme="minorEastAsia"/>
          <w:color w:val="000000" w:themeColor="text1"/>
          <w:sz w:val="24"/>
          <w:u w:val="single"/>
          <w:lang w:eastAsia="zh-CN"/>
          <w14:textFill>
            <w14:solidFill>
              <w14:schemeClr w14:val="tx1"/>
            </w14:solidFill>
          </w14:textFill>
        </w:rPr>
        <w:t>(2026)433123000005-1</w:t>
      </w:r>
    </w:p>
    <w:p w14:paraId="58868FA2">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3.委 托 代 理 编号：</w:t>
      </w:r>
      <w:r>
        <w:rPr>
          <w:rFonts w:hint="eastAsia" w:asciiTheme="minorEastAsia" w:hAnsiTheme="minorEastAsia" w:eastAsiaTheme="minorEastAsia" w:cstheme="minorEastAsia"/>
          <w:color w:val="000000" w:themeColor="text1"/>
          <w:sz w:val="24"/>
          <w:u w:val="single"/>
          <w:lang w:eastAsia="zh-CN"/>
          <w14:textFill>
            <w14:solidFill>
              <w14:schemeClr w14:val="tx1"/>
            </w14:solidFill>
          </w14:textFill>
        </w:rPr>
        <w:t>HNPJGZ-2026-001</w:t>
      </w:r>
    </w:p>
    <w:p w14:paraId="3D410FCB">
      <w:pPr>
        <w:adjustRightInd w:val="0"/>
        <w:spacing w:line="360" w:lineRule="auto"/>
        <w:ind w:right="-4"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000000" w:themeColor="text1"/>
          <w:sz w:val="24"/>
          <w14:textFill>
            <w14:solidFill>
              <w14:schemeClr w14:val="tx1"/>
            </w14:solidFill>
          </w14:textFill>
        </w:rPr>
        <w:t>4.采购项目预算金额：</w:t>
      </w:r>
      <w:r>
        <w:rPr>
          <w:rFonts w:hint="eastAsia" w:asciiTheme="minorEastAsia" w:hAnsiTheme="minorEastAsia" w:eastAsiaTheme="minorEastAsia" w:cstheme="minorEastAsia"/>
          <w:color w:val="auto"/>
          <w:sz w:val="24"/>
          <w:u w:val="single"/>
          <w:lang w:eastAsia="zh-CN"/>
        </w:rPr>
        <w:t>4,552,053.71</w:t>
      </w:r>
      <w:r>
        <w:rPr>
          <w:rFonts w:hint="eastAsia" w:asciiTheme="minorEastAsia" w:hAnsiTheme="minorEastAsia" w:eastAsiaTheme="minorEastAsia" w:cstheme="minorEastAsia"/>
          <w:color w:val="auto"/>
          <w:sz w:val="24"/>
        </w:rPr>
        <w:t>元</w:t>
      </w:r>
    </w:p>
    <w:p w14:paraId="0407C5B4">
      <w:pPr>
        <w:adjustRightInd w:val="0"/>
        <w:spacing w:line="360" w:lineRule="auto"/>
        <w:ind w:right="-4" w:firstLine="480" w:firstLineChars="200"/>
        <w:rPr>
          <w:rFonts w:hint="eastAsia" w:asciiTheme="minorEastAsia" w:hAnsiTheme="minorEastAsia" w:eastAsiaTheme="minorEastAsia" w:cstheme="minorEastAsia"/>
          <w:color w:val="auto"/>
          <w:sz w:val="24"/>
          <w:szCs w:val="32"/>
          <w:u w:val="single"/>
        </w:rPr>
      </w:pPr>
      <w:r>
        <w:rPr>
          <w:rFonts w:hint="eastAsia" w:asciiTheme="minorEastAsia" w:hAnsiTheme="minorEastAsia" w:eastAsiaTheme="minorEastAsia" w:cstheme="minorEastAsia"/>
          <w:color w:val="auto"/>
          <w:sz w:val="24"/>
        </w:rPr>
        <w:t>（ ）支持预付款，预付比例：</w:t>
      </w:r>
      <w:r>
        <w:rPr>
          <w:rFonts w:hint="eastAsia" w:asciiTheme="minorEastAsia" w:hAnsiTheme="minorEastAsia" w:eastAsiaTheme="minorEastAsia" w:cstheme="minorEastAsia"/>
          <w:color w:val="auto"/>
          <w:sz w:val="24"/>
          <w:u w:val="single"/>
        </w:rPr>
        <w:t xml:space="preserve">     </w:t>
      </w:r>
    </w:p>
    <w:p w14:paraId="39382D88">
      <w:pPr>
        <w:adjustRightInd w:val="0"/>
        <w:spacing w:line="360" w:lineRule="auto"/>
        <w:ind w:right="-4"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5.本项目对应的中小企业划分标准所属行业：</w:t>
      </w:r>
      <w:r>
        <w:rPr>
          <w:rFonts w:hint="eastAsia" w:asciiTheme="minorEastAsia" w:hAnsiTheme="minorEastAsia" w:eastAsiaTheme="minorEastAsia" w:cstheme="minorEastAsia"/>
          <w:color w:val="auto"/>
          <w:sz w:val="24"/>
          <w:u w:val="single"/>
        </w:rPr>
        <w:t>软件和信息技术服务业</w:t>
      </w:r>
    </w:p>
    <w:p w14:paraId="3B379B84">
      <w:pPr>
        <w:adjustRightInd w:val="0"/>
        <w:spacing w:line="360" w:lineRule="auto"/>
        <w:ind w:right="-4"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6.评标方法：（√）综合评分法   （ ）最低评标价法</w:t>
      </w:r>
    </w:p>
    <w:p w14:paraId="5F55DA03">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auto"/>
          <w:sz w:val="24"/>
        </w:rPr>
        <w:t>7.合同定价方式：（</w:t>
      </w:r>
      <w:r>
        <w:rPr>
          <w:rFonts w:hint="eastAsia" w:asciiTheme="minorEastAsia" w:hAnsiTheme="minorEastAsia" w:eastAsiaTheme="minorEastAsia" w:cstheme="minorEastAsia"/>
          <w:color w:val="auto"/>
          <w:sz w:val="24"/>
          <w:lang w:val="en-US" w:eastAsia="zh-CN"/>
        </w:rPr>
        <w:t xml:space="preserve"> </w:t>
      </w:r>
      <w:r>
        <w:rPr>
          <w:rFonts w:hint="eastAsia" w:asciiTheme="minorEastAsia" w:hAnsiTheme="minorEastAsia" w:eastAsiaTheme="minorEastAsia" w:cstheme="minorEastAsia"/>
          <w:color w:val="auto"/>
          <w:sz w:val="24"/>
        </w:rPr>
        <w:t>）固定总价</w:t>
      </w:r>
      <w:r>
        <w:rPr>
          <w:rFonts w:hint="eastAsia" w:asciiTheme="minorEastAsia" w:hAnsiTheme="minorEastAsia" w:eastAsiaTheme="minorEastAsia" w:cstheme="minorEastAsia"/>
          <w:color w:val="7030A0"/>
          <w:sz w:val="24"/>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 xml:space="preserve"> （</w:t>
      </w:r>
      <w:r>
        <w:rPr>
          <w:rFonts w:hint="eastAsia" w:asciiTheme="minorEastAsia" w:hAnsiTheme="minorEastAsia" w:eastAsiaTheme="minorEastAsia" w:cstheme="minorEastAsia"/>
          <w:color w:val="auto"/>
          <w:sz w:val="24"/>
        </w:rPr>
        <w:t>√</w:t>
      </w:r>
      <w:r>
        <w:rPr>
          <w:rFonts w:hint="eastAsia" w:asciiTheme="minorEastAsia" w:hAnsiTheme="minorEastAsia" w:eastAsiaTheme="minorEastAsia" w:cstheme="minorEastAsia"/>
          <w:color w:val="000000" w:themeColor="text1"/>
          <w:sz w:val="24"/>
          <w14:textFill>
            <w14:solidFill>
              <w14:schemeClr w14:val="tx1"/>
            </w14:solidFill>
          </w14:textFill>
        </w:rPr>
        <w:t>）固定单价  （ ）成本补偿  （ ）绩效激励</w:t>
      </w:r>
    </w:p>
    <w:p w14:paraId="7B9994BB">
      <w:pPr>
        <w:spacing w:line="312" w:lineRule="auto"/>
        <w:ind w:firstLine="480" w:firstLineChars="200"/>
        <w:jc w:val="left"/>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8.</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交付时间</w:t>
      </w:r>
      <w:r>
        <w:rPr>
          <w:rFonts w:hint="eastAsia" w:asciiTheme="minorEastAsia" w:hAnsiTheme="minorEastAsia" w:eastAsiaTheme="minorEastAsia" w:cstheme="minorEastAsia"/>
          <w:color w:val="000000" w:themeColor="text1"/>
          <w:sz w:val="24"/>
          <w14:textFill>
            <w14:solidFill>
              <w14:schemeClr w14:val="tx1"/>
            </w14:solidFill>
          </w14:textFill>
        </w:rPr>
        <w:t>：</w:t>
      </w:r>
      <w:r>
        <w:rPr>
          <w:rFonts w:hint="eastAsia" w:asciiTheme="minorEastAsia" w:hAnsiTheme="minorEastAsia" w:eastAsiaTheme="minorEastAsia" w:cstheme="minorEastAsia"/>
          <w:color w:val="000000" w:themeColor="text1"/>
          <w:kern w:val="0"/>
          <w:sz w:val="24"/>
          <w:u w:val="single"/>
          <w:lang w:eastAsia="zh-CN" w:bidi="ar"/>
          <w14:textFill>
            <w14:solidFill>
              <w14:schemeClr w14:val="tx1"/>
            </w14:solidFill>
          </w14:textFill>
        </w:rPr>
        <w:t>合同签订后90天内交付完毕</w:t>
      </w:r>
      <w:r>
        <w:rPr>
          <w:rFonts w:hint="eastAsia" w:asciiTheme="minorEastAsia" w:hAnsiTheme="minorEastAsia" w:eastAsiaTheme="minorEastAsia" w:cstheme="minorEastAsia"/>
          <w:color w:val="000000" w:themeColor="text1"/>
          <w:kern w:val="0"/>
          <w:sz w:val="24"/>
          <w:lang w:bidi="ar"/>
          <w14:textFill>
            <w14:solidFill>
              <w14:schemeClr w14:val="tx1"/>
            </w14:solidFill>
          </w14:textFill>
        </w:rPr>
        <w:t>。</w:t>
      </w:r>
    </w:p>
    <w:p w14:paraId="4DEBBC80">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9.本项目分阶段要求投标人提供以下保证：</w:t>
      </w:r>
    </w:p>
    <w:p w14:paraId="67AB49FF">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  ）投标保证金：采购项目预算的</w:t>
      </w:r>
      <w:r>
        <w:rPr>
          <w:rFonts w:hint="eastAsia" w:asciiTheme="minorEastAsia" w:hAnsiTheme="minorEastAsia" w:eastAsiaTheme="minorEastAsia" w:cstheme="minorEastAsia"/>
          <w:iCs/>
          <w:u w:val="single"/>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w:t>
      </w:r>
    </w:p>
    <w:p w14:paraId="3142B120">
      <w:pPr>
        <w:tabs>
          <w:tab w:val="left" w:pos="6724"/>
        </w:tabs>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  ）履约保证金：中标金额的</w:t>
      </w:r>
      <w:r>
        <w:rPr>
          <w:rFonts w:hint="eastAsia" w:asciiTheme="minorEastAsia" w:hAnsiTheme="minorEastAsia" w:eastAsiaTheme="minorEastAsia" w:cstheme="minorEastAsia"/>
          <w:iCs/>
          <w:u w:val="single"/>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w:t>
      </w:r>
    </w:p>
    <w:p w14:paraId="6691EB45">
      <w:pPr>
        <w:adjustRightInd w:val="0"/>
        <w:spacing w:line="360" w:lineRule="auto"/>
        <w:ind w:right="-4"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color w:val="000000" w:themeColor="text1"/>
          <w:sz w:val="24"/>
          <w14:textFill>
            <w14:solidFill>
              <w14:schemeClr w14:val="tx1"/>
            </w14:solidFill>
          </w14:textFill>
        </w:rPr>
        <w:t>（  ）预付款保证金：预付款的</w:t>
      </w:r>
      <w:r>
        <w:rPr>
          <w:rFonts w:hint="eastAsia" w:asciiTheme="minorEastAsia" w:hAnsiTheme="minorEastAsia" w:eastAsiaTheme="minorEastAsia" w:cstheme="minorEastAsia"/>
          <w:iCs/>
          <w:u w:val="single"/>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w:t>
      </w:r>
    </w:p>
    <w:p w14:paraId="06FB9D52">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sz w:val="24"/>
        </w:rPr>
        <w:t>（  ）质量保证金：合同</w:t>
      </w:r>
      <w:r>
        <w:rPr>
          <w:rFonts w:hint="eastAsia" w:asciiTheme="minorEastAsia" w:hAnsiTheme="minorEastAsia" w:eastAsiaTheme="minorEastAsia" w:cstheme="minorEastAsia"/>
          <w:color w:val="000000" w:themeColor="text1"/>
          <w:sz w:val="24"/>
          <w14:textFill>
            <w14:solidFill>
              <w14:schemeClr w14:val="tx1"/>
            </w14:solidFill>
          </w14:textFill>
        </w:rPr>
        <w:t>金额的</w:t>
      </w:r>
      <w:r>
        <w:rPr>
          <w:rFonts w:hint="eastAsia" w:asciiTheme="minorEastAsia" w:hAnsiTheme="minorEastAsia" w:eastAsiaTheme="minorEastAsia" w:cstheme="minorEastAsia"/>
          <w:iCs/>
          <w:u w:val="single"/>
          <w:lang w:val="en-US" w:eastAsia="zh-CN"/>
        </w:rPr>
        <w:t>5</w:t>
      </w:r>
      <w:r>
        <w:rPr>
          <w:rFonts w:hint="eastAsia" w:asciiTheme="minorEastAsia" w:hAnsiTheme="minorEastAsia" w:eastAsiaTheme="minorEastAsia" w:cstheme="minorEastAsia"/>
          <w:color w:val="000000" w:themeColor="text1"/>
          <w:sz w:val="24"/>
          <w14:textFill>
            <w14:solidFill>
              <w14:schemeClr w14:val="tx1"/>
            </w14:solidFill>
          </w14:textFill>
        </w:rPr>
        <w:t>%。</w:t>
      </w:r>
    </w:p>
    <w:p w14:paraId="7DCF11CD">
      <w:pPr>
        <w:adjustRightInd w:val="0"/>
        <w:snapToGrid w:val="0"/>
        <w:rPr>
          <w:rFonts w:hint="eastAsia" w:asciiTheme="minorEastAsia" w:hAnsiTheme="minorEastAsia" w:eastAsiaTheme="minorEastAsia" w:cstheme="minorEastAsia"/>
          <w:color w:val="000000" w:themeColor="text1"/>
          <w:sz w:val="10"/>
          <w:szCs w:val="10"/>
          <w14:textFill>
            <w14:solidFill>
              <w14:schemeClr w14:val="tx1"/>
            </w14:solidFill>
          </w14:textFill>
        </w:rPr>
      </w:pPr>
    </w:p>
    <w:p w14:paraId="0BEADC76">
      <w:pPr>
        <w:ind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二、采购人的采购需求</w:t>
      </w:r>
    </w:p>
    <w:tbl>
      <w:tblPr>
        <w:tblStyle w:val="91"/>
        <w:tblW w:w="9742" w:type="dxa"/>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4"/>
        <w:gridCol w:w="2269"/>
        <w:gridCol w:w="2082"/>
        <w:gridCol w:w="781"/>
        <w:gridCol w:w="1746"/>
      </w:tblGrid>
      <w:tr w14:paraId="3C48B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2864" w:type="dxa"/>
            <w:vAlign w:val="center"/>
          </w:tcPr>
          <w:p w14:paraId="4C185F6D">
            <w:pPr>
              <w:ind w:right="-4"/>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标的名称</w:t>
            </w:r>
          </w:p>
        </w:tc>
        <w:tc>
          <w:tcPr>
            <w:tcW w:w="2269" w:type="dxa"/>
            <w:vAlign w:val="center"/>
          </w:tcPr>
          <w:p w14:paraId="5E11BA27">
            <w:pPr>
              <w:ind w:right="-4"/>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所属品目</w:t>
            </w:r>
          </w:p>
        </w:tc>
        <w:tc>
          <w:tcPr>
            <w:tcW w:w="2082" w:type="dxa"/>
            <w:vAlign w:val="center"/>
          </w:tcPr>
          <w:p w14:paraId="691F5709">
            <w:pPr>
              <w:ind w:right="-4"/>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服务内容和要求</w:t>
            </w:r>
          </w:p>
        </w:tc>
        <w:tc>
          <w:tcPr>
            <w:tcW w:w="781" w:type="dxa"/>
            <w:vAlign w:val="center"/>
          </w:tcPr>
          <w:p w14:paraId="725AF18C">
            <w:pPr>
              <w:ind w:right="-4"/>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数量</w:t>
            </w:r>
          </w:p>
        </w:tc>
        <w:tc>
          <w:tcPr>
            <w:tcW w:w="1746" w:type="dxa"/>
            <w:vAlign w:val="center"/>
          </w:tcPr>
          <w:p w14:paraId="25F17CAD">
            <w:pPr>
              <w:ind w:right="-4"/>
              <w:jc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采购预算（元）</w:t>
            </w:r>
          </w:p>
        </w:tc>
      </w:tr>
      <w:tr w14:paraId="273BD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864" w:type="dxa"/>
            <w:vAlign w:val="center"/>
          </w:tcPr>
          <w:p w14:paraId="4C1031ED">
            <w:pPr>
              <w:jc w:val="center"/>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kern w:val="0"/>
                <w:sz w:val="24"/>
                <w:u w:val="none"/>
                <w:lang w:eastAsia="zh-CN"/>
              </w:rPr>
              <w:t>凤凰县人民医院县域医共体信息平台建设采购项目</w:t>
            </w:r>
          </w:p>
        </w:tc>
        <w:tc>
          <w:tcPr>
            <w:tcW w:w="2269" w:type="dxa"/>
            <w:vAlign w:val="center"/>
          </w:tcPr>
          <w:p w14:paraId="5CC5F94D">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kern w:val="0"/>
                <w:sz w:val="24"/>
                <w:u w:val="none"/>
                <w:lang w:eastAsia="zh-CN"/>
              </w:rPr>
              <w:t>C16010302－行业应用软件开发服务</w:t>
            </w:r>
          </w:p>
        </w:tc>
        <w:tc>
          <w:tcPr>
            <w:tcW w:w="2082" w:type="dxa"/>
            <w:vAlign w:val="center"/>
          </w:tcPr>
          <w:p w14:paraId="72ABC968">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详见第</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五</w:t>
            </w:r>
            <w:r>
              <w:rPr>
                <w:rFonts w:hint="eastAsia" w:asciiTheme="minorEastAsia" w:hAnsiTheme="minorEastAsia" w:eastAsiaTheme="minorEastAsia" w:cstheme="minorEastAsia"/>
                <w:color w:val="000000" w:themeColor="text1"/>
                <w:sz w:val="24"/>
                <w14:textFill>
                  <w14:solidFill>
                    <w14:schemeClr w14:val="tx1"/>
                  </w14:solidFill>
                </w14:textFill>
              </w:rPr>
              <w:t>章</w:t>
            </w:r>
          </w:p>
        </w:tc>
        <w:tc>
          <w:tcPr>
            <w:tcW w:w="781" w:type="dxa"/>
            <w:vAlign w:val="center"/>
          </w:tcPr>
          <w:p w14:paraId="435A7D3D">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1项</w:t>
            </w:r>
          </w:p>
        </w:tc>
        <w:tc>
          <w:tcPr>
            <w:tcW w:w="1746" w:type="dxa"/>
            <w:vAlign w:val="center"/>
          </w:tcPr>
          <w:p w14:paraId="01835AB7">
            <w:pPr>
              <w:jc w:val="center"/>
              <w:rPr>
                <w:rFonts w:hint="eastAsia" w:asciiTheme="minorEastAsia" w:hAnsiTheme="minorEastAsia" w:eastAsiaTheme="minorEastAsia" w:cstheme="minorEastAsia"/>
                <w:color w:val="7030A0"/>
                <w:sz w:val="24"/>
                <w:lang w:eastAsia="zh-CN"/>
              </w:rPr>
            </w:pPr>
            <w:r>
              <w:rPr>
                <w:rFonts w:hint="eastAsia" w:asciiTheme="minorEastAsia" w:hAnsiTheme="minorEastAsia" w:eastAsiaTheme="minorEastAsia" w:cstheme="minorEastAsia"/>
                <w:color w:val="auto"/>
                <w:sz w:val="24"/>
                <w:lang w:eastAsia="zh-CN"/>
              </w:rPr>
              <w:t>4,552,053.71</w:t>
            </w:r>
          </w:p>
        </w:tc>
      </w:tr>
    </w:tbl>
    <w:p w14:paraId="3CEF95CF">
      <w:pPr>
        <w:ind w:firstLine="241" w:firstLineChars="100"/>
        <w:rPr>
          <w:rFonts w:hint="eastAsia" w:asciiTheme="minorEastAsia" w:hAnsiTheme="minorEastAsia" w:eastAsiaTheme="minorEastAsia" w:cstheme="minorEastAsia"/>
          <w:b/>
          <w:bCs/>
          <w:sz w:val="24"/>
          <w:szCs w:val="32"/>
        </w:rPr>
      </w:pPr>
    </w:p>
    <w:p w14:paraId="4E52E8D9">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三、采购项目需落实的政府采购政策</w:t>
      </w:r>
    </w:p>
    <w:p w14:paraId="035A81A2">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支持中小企业：小微企业享受价格折扣。</w:t>
      </w:r>
    </w:p>
    <w:p w14:paraId="422BE018">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四、投标人的资格要求</w:t>
      </w:r>
    </w:p>
    <w:p w14:paraId="2840D40F">
      <w:pPr>
        <w:adjustRightInd w:val="0"/>
        <w:spacing w:line="360" w:lineRule="auto"/>
        <w:ind w:right="-4" w:firstLine="482"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1.基本资格条件：</w:t>
      </w:r>
    </w:p>
    <w:p w14:paraId="255D56F8">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1）</w:t>
      </w:r>
      <w:r>
        <w:rPr>
          <w:rFonts w:hint="eastAsia" w:asciiTheme="minorEastAsia" w:hAnsiTheme="minorEastAsia" w:eastAsiaTheme="minorEastAsia" w:cstheme="minorEastAsia"/>
          <w:sz w:val="24"/>
          <w:lang w:val="en-US" w:eastAsia="zh-CN"/>
        </w:rPr>
        <w:t>投标人</w:t>
      </w:r>
      <w:r>
        <w:rPr>
          <w:rFonts w:hint="eastAsia" w:asciiTheme="minorEastAsia" w:hAnsiTheme="minorEastAsia" w:eastAsiaTheme="minorEastAsia" w:cstheme="minorEastAsia"/>
          <w:color w:val="000000" w:themeColor="text1"/>
          <w:sz w:val="24"/>
          <w14:textFill>
            <w14:solidFill>
              <w14:schemeClr w14:val="tx1"/>
            </w14:solidFill>
          </w14:textFill>
        </w:rPr>
        <w:t>必须是在中华人民共和国境内注册登记的法人、其他组织或者自然人，且应当符合</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《中华人民共和国政府采购法》</w:t>
      </w:r>
      <w:r>
        <w:rPr>
          <w:rFonts w:hint="eastAsia" w:asciiTheme="minorEastAsia" w:hAnsiTheme="minorEastAsia" w:eastAsiaTheme="minorEastAsia" w:cstheme="minorEastAsia"/>
          <w:color w:val="000000" w:themeColor="text1"/>
          <w:sz w:val="24"/>
          <w14:textFill>
            <w14:solidFill>
              <w14:schemeClr w14:val="tx1"/>
            </w14:solidFill>
          </w14:textFill>
        </w:rPr>
        <w:t>第二十二条的规定。</w:t>
      </w:r>
    </w:p>
    <w:p w14:paraId="1A055967">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lang w:val="zh-CN"/>
          <w14:textFill>
            <w14:solidFill>
              <w14:schemeClr w14:val="tx1"/>
            </w14:solidFill>
          </w14:textFill>
        </w:rPr>
        <w:t>单位负责人为同一人或者存在直接控股、管理关系的不同</w:t>
      </w:r>
      <w:r>
        <w:rPr>
          <w:rFonts w:hint="eastAsia" w:asciiTheme="minorEastAsia" w:hAnsiTheme="minorEastAsia" w:eastAsiaTheme="minorEastAsia" w:cstheme="minorEastAsia"/>
          <w:sz w:val="24"/>
          <w:lang w:val="en-US" w:eastAsia="zh-CN"/>
        </w:rPr>
        <w:t>投标人</w:t>
      </w:r>
      <w:r>
        <w:rPr>
          <w:rFonts w:hint="eastAsia" w:asciiTheme="minorEastAsia" w:hAnsiTheme="minorEastAsia" w:eastAsiaTheme="minorEastAsia" w:cstheme="minorEastAsia"/>
          <w:color w:val="000000" w:themeColor="text1"/>
          <w:sz w:val="24"/>
          <w:lang w:val="zh-CN"/>
          <w14:textFill>
            <w14:solidFill>
              <w14:schemeClr w14:val="tx1"/>
            </w14:solidFill>
          </w14:textFill>
        </w:rPr>
        <w:t>，不得参加同一合同项下的政府采购活动。</w:t>
      </w:r>
    </w:p>
    <w:p w14:paraId="0F259DBD">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lang w:val="zh-CN"/>
          <w14:textFill>
            <w14:solidFill>
              <w14:schemeClr w14:val="tx1"/>
            </w14:solidFill>
          </w14:textFill>
        </w:rPr>
        <w:t>为本采购项目提供整体设计、规范编制或者项目管理、监理、检测等服务的，不得再参加此项目的其他采购活动。</w:t>
      </w:r>
    </w:p>
    <w:p w14:paraId="6F0CFA51">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lang w:val="zh-CN"/>
          <w14:textFill>
            <w14:solidFill>
              <w14:schemeClr w14:val="tx1"/>
            </w14:solidFill>
          </w14:textFill>
        </w:rPr>
        <w:t>列入失信被执行人、重大税收违法失信主体名单、政府采购严重违法失信行为记录名单的，拒绝其参与政府采购活动。</w:t>
      </w:r>
    </w:p>
    <w:p w14:paraId="5A140709">
      <w:pPr>
        <w:adjustRightInd w:val="0"/>
        <w:spacing w:line="360" w:lineRule="auto"/>
        <w:ind w:right="-4" w:firstLine="482" w:firstLineChars="200"/>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2.落实政府采购政策需满足的资格要求：</w:t>
      </w:r>
    </w:p>
    <w:p w14:paraId="4D5EB7F7">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 ）专门面向：（ ）中小企业  （ ）小微企业  （ ）监狱企业  （ ）福利性单位。</w:t>
      </w:r>
    </w:p>
    <w:p w14:paraId="45C45473">
      <w:pPr>
        <w:adjustRightInd w:val="0"/>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color w:val="000000" w:themeColor="text1"/>
          <w:sz w:val="24"/>
          <w14:textFill>
            <w14:solidFill>
              <w14:schemeClr w14:val="tx1"/>
            </w14:solidFill>
          </w14:textFill>
        </w:rPr>
        <w:t>（ ）强制分包：大型企业应将采购份额的</w:t>
      </w:r>
      <w:r>
        <w:rPr>
          <w:rFonts w:hint="eastAsia" w:asciiTheme="minorEastAsia" w:hAnsiTheme="minorEastAsia" w:eastAsiaTheme="minorEastAsia" w:cstheme="minorEastAsia"/>
          <w:sz w:val="24"/>
          <w:szCs w:val="32"/>
          <w:u w:val="single"/>
        </w:rPr>
        <w:t xml:space="preserve">   </w:t>
      </w:r>
      <w:r>
        <w:rPr>
          <w:rFonts w:hint="eastAsia" w:asciiTheme="minorEastAsia" w:hAnsiTheme="minorEastAsia" w:eastAsiaTheme="minorEastAsia" w:cstheme="minorEastAsia"/>
          <w:sz w:val="24"/>
          <w:szCs w:val="32"/>
        </w:rPr>
        <w:t>%分包给中小企业。</w:t>
      </w:r>
    </w:p>
    <w:p w14:paraId="17E891D4">
      <w:pPr>
        <w:adjustRightInd w:val="0"/>
        <w:spacing w:line="360" w:lineRule="auto"/>
        <w:ind w:right="-4" w:firstLine="482"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3.采购项目的特定资格条件：</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无</w:t>
      </w:r>
    </w:p>
    <w:p w14:paraId="5C70CC50">
      <w:pPr>
        <w:adjustRightInd w:val="0"/>
        <w:spacing w:line="360" w:lineRule="auto"/>
        <w:ind w:right="-4" w:firstLine="48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color w:val="000000" w:themeColor="text1"/>
          <w:sz w:val="24"/>
          <w14:textFill>
            <w14:solidFill>
              <w14:schemeClr w14:val="tx1"/>
            </w14:solidFill>
          </w14:textFill>
        </w:rPr>
        <w:t>4.本次招标</w:t>
      </w:r>
      <w:r>
        <w:rPr>
          <w:rFonts w:hint="eastAsia" w:asciiTheme="minorEastAsia" w:hAnsiTheme="minorEastAsia" w:eastAsiaTheme="minorEastAsia" w:cstheme="minorEastAsia"/>
          <w:sz w:val="24"/>
          <w:szCs w:val="32"/>
          <w:u w:val="single"/>
        </w:rPr>
        <w:t xml:space="preserve"> </w:t>
      </w:r>
      <w:r>
        <w:rPr>
          <w:rFonts w:hint="eastAsia" w:asciiTheme="minorEastAsia" w:hAnsiTheme="minorEastAsia" w:eastAsiaTheme="minorEastAsia" w:cstheme="minorEastAsia"/>
          <w:sz w:val="24"/>
          <w:szCs w:val="32"/>
          <w:u w:val="single"/>
          <w:lang w:val="en-US" w:eastAsia="zh-CN"/>
        </w:rPr>
        <w:t>不</w:t>
      </w:r>
      <w:r>
        <w:rPr>
          <w:rFonts w:hint="eastAsia" w:asciiTheme="minorEastAsia" w:hAnsiTheme="minorEastAsia" w:eastAsiaTheme="minorEastAsia" w:cstheme="minorEastAsia"/>
          <w:sz w:val="24"/>
          <w:szCs w:val="32"/>
          <w:u w:val="single"/>
        </w:rPr>
        <w:t xml:space="preserve">接受 </w:t>
      </w:r>
      <w:r>
        <w:rPr>
          <w:rFonts w:hint="eastAsia" w:asciiTheme="minorEastAsia" w:hAnsiTheme="minorEastAsia" w:eastAsiaTheme="minorEastAsia" w:cstheme="minorEastAsia"/>
          <w:sz w:val="24"/>
          <w:szCs w:val="32"/>
        </w:rPr>
        <w:t>联合体投标。</w:t>
      </w:r>
    </w:p>
    <w:p w14:paraId="6E5B0601">
      <w:pPr>
        <w:tabs>
          <w:tab w:val="left" w:pos="344"/>
        </w:tabs>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五、获取电子招标文件</w:t>
      </w:r>
    </w:p>
    <w:p w14:paraId="3502589D">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kern w:val="0"/>
          <w:sz w:val="24"/>
        </w:rPr>
        <w:t>1.投标人应于</w:t>
      </w:r>
      <w:r>
        <w:rPr>
          <w:rFonts w:hint="eastAsia" w:asciiTheme="minorEastAsia" w:hAnsiTheme="minorEastAsia" w:eastAsiaTheme="minorEastAsia" w:cstheme="minorEastAsia"/>
          <w:color w:val="auto"/>
          <w:kern w:val="0"/>
          <w:sz w:val="24"/>
          <w:u w:val="single"/>
        </w:rPr>
        <w:t>202</w:t>
      </w:r>
      <w:r>
        <w:rPr>
          <w:rFonts w:hint="eastAsia" w:asciiTheme="minorEastAsia" w:hAnsiTheme="minorEastAsia" w:eastAsiaTheme="minorEastAsia" w:cstheme="minorEastAsia"/>
          <w:color w:val="auto"/>
          <w:kern w:val="0"/>
          <w:sz w:val="24"/>
          <w:u w:val="single"/>
          <w:lang w:val="en-US" w:eastAsia="zh-CN"/>
        </w:rPr>
        <w:t>6</w:t>
      </w:r>
      <w:r>
        <w:rPr>
          <w:rFonts w:hint="eastAsia" w:asciiTheme="minorEastAsia" w:hAnsiTheme="minorEastAsia" w:eastAsiaTheme="minorEastAsia" w:cstheme="minorEastAsia"/>
          <w:color w:val="auto"/>
          <w:kern w:val="0"/>
          <w:sz w:val="24"/>
        </w:rPr>
        <w:t>年</w:t>
      </w:r>
      <w:r>
        <w:rPr>
          <w:rFonts w:hint="eastAsia" w:ascii="宋体" w:hAnsi="宋体" w:cs="宋体"/>
          <w:color w:val="auto"/>
          <w:kern w:val="0"/>
          <w:sz w:val="24"/>
          <w:u w:val="single"/>
          <w:lang w:val="en-US" w:eastAsia="zh-CN"/>
        </w:rPr>
        <w:t>8</w:t>
      </w:r>
      <w:r>
        <w:rPr>
          <w:rFonts w:hint="eastAsia" w:ascii="宋体" w:hAnsi="宋体" w:eastAsia="宋体" w:cs="宋体"/>
          <w:color w:val="auto"/>
          <w:kern w:val="0"/>
          <w:sz w:val="24"/>
        </w:rPr>
        <w:t>月</w:t>
      </w:r>
      <w:r>
        <w:rPr>
          <w:rFonts w:hint="eastAsia" w:ascii="宋体" w:hAnsi="宋体" w:cs="宋体"/>
          <w:color w:val="auto"/>
          <w:kern w:val="0"/>
          <w:sz w:val="24"/>
          <w:u w:val="single"/>
          <w:lang w:val="en-US" w:eastAsia="zh-CN"/>
        </w:rPr>
        <w:t>19</w:t>
      </w:r>
      <w:r>
        <w:rPr>
          <w:rFonts w:hint="eastAsia" w:ascii="宋体" w:hAnsi="宋体" w:eastAsia="宋体" w:cs="宋体"/>
          <w:color w:val="auto"/>
          <w:kern w:val="0"/>
          <w:sz w:val="24"/>
        </w:rPr>
        <w:t>日</w:t>
      </w:r>
      <w:r>
        <w:rPr>
          <w:rFonts w:hint="eastAsia" w:asciiTheme="minorEastAsia" w:hAnsiTheme="minorEastAsia" w:eastAsiaTheme="minorEastAsia" w:cstheme="minorEastAsia"/>
          <w:color w:val="auto"/>
          <w:kern w:val="0"/>
          <w:sz w:val="24"/>
          <w:u w:val="single"/>
          <w:lang w:val="en-US" w:eastAsia="zh-CN"/>
        </w:rPr>
        <w:t>00</w:t>
      </w:r>
      <w:r>
        <w:rPr>
          <w:rFonts w:hint="eastAsia" w:asciiTheme="minorEastAsia" w:hAnsiTheme="minorEastAsia" w:eastAsiaTheme="minorEastAsia" w:cstheme="minorEastAsia"/>
          <w:color w:val="auto"/>
          <w:kern w:val="0"/>
          <w:sz w:val="24"/>
        </w:rPr>
        <w:t>时</w:t>
      </w:r>
      <w:r>
        <w:rPr>
          <w:rFonts w:hint="eastAsia" w:asciiTheme="minorEastAsia" w:hAnsiTheme="minorEastAsia" w:eastAsiaTheme="minorEastAsia" w:cstheme="minorEastAsia"/>
          <w:color w:val="auto"/>
          <w:kern w:val="0"/>
          <w:sz w:val="24"/>
          <w:u w:val="single"/>
          <w:lang w:val="en-US" w:eastAsia="zh-CN"/>
        </w:rPr>
        <w:t>00</w:t>
      </w:r>
      <w:r>
        <w:rPr>
          <w:rFonts w:hint="eastAsia" w:asciiTheme="minorEastAsia" w:hAnsiTheme="minorEastAsia" w:eastAsiaTheme="minorEastAsia" w:cstheme="minorEastAsia"/>
          <w:color w:val="auto"/>
          <w:kern w:val="0"/>
          <w:sz w:val="24"/>
        </w:rPr>
        <w:t>分</w:t>
      </w:r>
      <w:r>
        <w:rPr>
          <w:rFonts w:hint="eastAsia" w:ascii="宋体" w:hAnsi="宋体" w:eastAsia="宋体" w:cs="宋体"/>
          <w:color w:val="auto"/>
          <w:kern w:val="0"/>
          <w:sz w:val="24"/>
        </w:rPr>
        <w:t>—</w:t>
      </w:r>
      <w:r>
        <w:rPr>
          <w:rFonts w:hint="eastAsia" w:ascii="宋体" w:hAnsi="宋体" w:eastAsia="宋体" w:cs="宋体"/>
          <w:color w:val="auto"/>
          <w:kern w:val="0"/>
          <w:sz w:val="24"/>
          <w:u w:val="single"/>
        </w:rPr>
        <w:t>2026</w:t>
      </w:r>
      <w:r>
        <w:rPr>
          <w:rFonts w:hint="eastAsia" w:ascii="宋体" w:hAnsi="宋体" w:eastAsia="宋体" w:cs="宋体"/>
          <w:color w:val="auto"/>
          <w:kern w:val="0"/>
          <w:sz w:val="24"/>
        </w:rPr>
        <w:t>年</w:t>
      </w:r>
      <w:r>
        <w:rPr>
          <w:rFonts w:hint="eastAsia" w:ascii="宋体" w:hAnsi="宋体" w:cs="宋体"/>
          <w:color w:val="auto"/>
          <w:kern w:val="0"/>
          <w:sz w:val="24"/>
          <w:u w:val="single"/>
          <w:lang w:val="en-US" w:eastAsia="zh-CN"/>
        </w:rPr>
        <w:t>8</w:t>
      </w:r>
      <w:r>
        <w:rPr>
          <w:rFonts w:hint="eastAsia" w:ascii="宋体" w:hAnsi="宋体" w:eastAsia="宋体" w:cs="宋体"/>
          <w:color w:val="auto"/>
          <w:kern w:val="0"/>
          <w:sz w:val="24"/>
        </w:rPr>
        <w:t>月</w:t>
      </w:r>
      <w:r>
        <w:rPr>
          <w:rFonts w:hint="eastAsia" w:ascii="宋体" w:hAnsi="宋体" w:cs="宋体"/>
          <w:color w:val="auto"/>
          <w:kern w:val="0"/>
          <w:sz w:val="24"/>
          <w:u w:val="single"/>
          <w:lang w:val="en-US" w:eastAsia="zh-CN"/>
        </w:rPr>
        <w:t>26</w:t>
      </w:r>
      <w:r>
        <w:rPr>
          <w:rFonts w:hint="eastAsia" w:ascii="宋体" w:hAnsi="宋体" w:eastAsia="宋体" w:cs="宋体"/>
          <w:color w:val="auto"/>
          <w:kern w:val="0"/>
          <w:sz w:val="24"/>
        </w:rPr>
        <w:t>日</w:t>
      </w:r>
      <w:r>
        <w:rPr>
          <w:rFonts w:hint="eastAsia" w:asciiTheme="minorEastAsia" w:hAnsiTheme="minorEastAsia" w:eastAsiaTheme="minorEastAsia" w:cstheme="minorEastAsia"/>
          <w:color w:val="auto"/>
          <w:kern w:val="0"/>
          <w:sz w:val="24"/>
          <w:u w:val="single"/>
          <w:lang w:val="en-US" w:eastAsia="zh-CN"/>
        </w:rPr>
        <w:t>17</w:t>
      </w:r>
      <w:r>
        <w:rPr>
          <w:rFonts w:hint="eastAsia" w:asciiTheme="minorEastAsia" w:hAnsiTheme="minorEastAsia" w:eastAsiaTheme="minorEastAsia" w:cstheme="minorEastAsia"/>
          <w:color w:val="auto"/>
          <w:kern w:val="0"/>
          <w:sz w:val="24"/>
        </w:rPr>
        <w:t>时</w:t>
      </w:r>
      <w:r>
        <w:rPr>
          <w:rFonts w:hint="eastAsia" w:asciiTheme="minorEastAsia" w:hAnsiTheme="minorEastAsia" w:eastAsiaTheme="minorEastAsia" w:cstheme="minorEastAsia"/>
          <w:color w:val="auto"/>
          <w:kern w:val="0"/>
          <w:sz w:val="24"/>
          <w:u w:val="single"/>
          <w:lang w:val="en-US" w:eastAsia="zh-CN"/>
        </w:rPr>
        <w:t>00</w:t>
      </w:r>
      <w:r>
        <w:rPr>
          <w:rFonts w:hint="eastAsia" w:asciiTheme="minorEastAsia" w:hAnsiTheme="minorEastAsia" w:eastAsiaTheme="minorEastAsia" w:cstheme="minorEastAsia"/>
          <w:color w:val="auto"/>
          <w:kern w:val="0"/>
          <w:sz w:val="24"/>
        </w:rPr>
        <w:t>分</w:t>
      </w:r>
      <w:r>
        <w:rPr>
          <w:rFonts w:hint="eastAsia" w:asciiTheme="minorEastAsia" w:hAnsiTheme="minorEastAsia" w:eastAsiaTheme="minorEastAsia" w:cstheme="minorEastAsia"/>
          <w:kern w:val="0"/>
          <w:sz w:val="24"/>
        </w:rPr>
        <w:t>（北京时</w:t>
      </w:r>
      <w:r>
        <w:rPr>
          <w:rFonts w:hint="eastAsia" w:asciiTheme="minorEastAsia" w:hAnsiTheme="minorEastAsia" w:eastAsiaTheme="minorEastAsia" w:cstheme="minorEastAsia"/>
          <w:color w:val="000000" w:themeColor="text1"/>
          <w:sz w:val="24"/>
          <w14:textFill>
            <w14:solidFill>
              <w14:schemeClr w14:val="tx1"/>
            </w14:solidFill>
          </w14:textFill>
        </w:rPr>
        <w:t>间，下同），登录中国湖南政府采购网（</w:t>
      </w:r>
      <w:r>
        <w:fldChar w:fldCharType="begin"/>
      </w:r>
      <w:r>
        <w:instrText xml:space="preserve"> HYPERLINK "http://www.ccgp-hunan.gov.cn/" </w:instrText>
      </w:r>
      <w:r>
        <w:fldChar w:fldCharType="separate"/>
      </w:r>
      <w:r>
        <w:rPr>
          <w:rFonts w:eastAsiaTheme="minorEastAsia"/>
          <w:color w:val="000000" w:themeColor="text1"/>
          <w:sz w:val="24"/>
          <w14:textFill>
            <w14:solidFill>
              <w14:schemeClr w14:val="tx1"/>
            </w14:solidFill>
          </w14:textFill>
        </w:rPr>
        <w:t>http://www.ccgp-hunan.gov.cn</w:t>
      </w:r>
      <w:r>
        <w:rPr>
          <w:rFonts w:eastAsiaTheme="minorEastAsia"/>
          <w:color w:val="000000" w:themeColor="text1"/>
          <w:sz w:val="24"/>
          <w14:textFill>
            <w14:solidFill>
              <w14:schemeClr w14:val="tx1"/>
            </w14:solidFill>
          </w14:textFill>
        </w:rPr>
        <w:fldChar w:fldCharType="end"/>
      </w:r>
      <w:r>
        <w:rPr>
          <w:rFonts w:hint="eastAsia" w:asciiTheme="minorEastAsia" w:hAnsiTheme="minorEastAsia" w:eastAsiaTheme="minorEastAsia" w:cstheme="minorEastAsia"/>
          <w:color w:val="000000" w:themeColor="text1"/>
          <w:sz w:val="24"/>
          <w14:textFill>
            <w14:solidFill>
              <w14:schemeClr w14:val="tx1"/>
            </w14:solidFill>
          </w14:textFill>
        </w:rPr>
        <w:t>）或公共资源交易服务平台</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w:t>
      </w:r>
      <w:r>
        <w:rPr>
          <w:rFonts w:hint="eastAsia" w:eastAsiaTheme="minorEastAsia"/>
          <w:color w:val="000000" w:themeColor="text1"/>
          <w:sz w:val="24"/>
          <w14:textFill>
            <w14:solidFill>
              <w14:schemeClr w14:val="tx1"/>
            </w14:solidFill>
          </w14:textFill>
        </w:rPr>
        <w:t>https://xiangxi.hnsggzy.com/#/sy</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或</w:t>
      </w:r>
      <w:r>
        <w:rPr>
          <w:rFonts w:hint="eastAsia" w:asciiTheme="minorEastAsia" w:hAnsiTheme="minorEastAsia" w:eastAsiaTheme="minorEastAsia" w:cstheme="minorEastAsia"/>
          <w:color w:val="000000" w:themeColor="text1"/>
          <w:sz w:val="24"/>
          <w14:textFill>
            <w14:solidFill>
              <w14:schemeClr w14:val="tx1"/>
            </w14:solidFill>
          </w14:textFill>
        </w:rPr>
        <w:t>湘西公共资源交易网（</w:t>
      </w:r>
      <w:r>
        <w:rPr>
          <w:rFonts w:eastAsiaTheme="minorEastAsia"/>
          <w:color w:val="000000" w:themeColor="text1"/>
          <w:sz w:val="24"/>
          <w14:textFill>
            <w14:solidFill>
              <w14:schemeClr w14:val="tx1"/>
            </w14:solidFill>
          </w14:textFill>
        </w:rPr>
        <w:t>http://ggzyjy.xxz.gov.cn</w:t>
      </w:r>
      <w:r>
        <w:rPr>
          <w:rFonts w:hint="eastAsia" w:asciiTheme="minorEastAsia" w:hAnsiTheme="minorEastAsia" w:eastAsiaTheme="minorEastAsia" w:cstheme="minorEastAsia"/>
          <w:color w:val="000000" w:themeColor="text1"/>
          <w:sz w:val="24"/>
          <w14:textFill>
            <w14:solidFill>
              <w14:schemeClr w14:val="tx1"/>
            </w14:solidFill>
          </w14:textFill>
        </w:rPr>
        <w:t>）下载招标文件。</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实际开始下载时间点及可下载时间段以挂网后系统显示的/可实际操作的可开始下载的时间点和时间段为准，总下载天数不少于5个工作日。</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w:t>
      </w:r>
    </w:p>
    <w:p w14:paraId="360E4971">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2.招标文件下载流程：登录《中国湖南政府采购网》→查看政府采购公告→附件→下载招标文件，</w:t>
      </w:r>
      <w:r>
        <w:rPr>
          <w:rFonts w:hint="eastAsia" w:asciiTheme="minorEastAsia" w:hAnsiTheme="minorEastAsia" w:eastAsiaTheme="minorEastAsia" w:cstheme="minorEastAsia"/>
          <w:b/>
          <w:bCs/>
          <w:color w:val="000000" w:themeColor="text1"/>
          <w:sz w:val="24"/>
          <w14:textFill>
            <w14:solidFill>
              <w14:schemeClr w14:val="tx1"/>
            </w14:solidFill>
          </w14:textFill>
        </w:rPr>
        <w:t>或</w:t>
      </w:r>
      <w:r>
        <w:rPr>
          <w:rFonts w:hint="eastAsia" w:asciiTheme="minorEastAsia" w:hAnsiTheme="minorEastAsia" w:eastAsiaTheme="minorEastAsia" w:cstheme="minorEastAsia"/>
          <w:b/>
          <w:bCs/>
          <w:color w:val="000000" w:themeColor="text1"/>
          <w:sz w:val="24"/>
          <w:lang w:eastAsia="zh-CN"/>
          <w14:textFill>
            <w14:solidFill>
              <w14:schemeClr w14:val="tx1"/>
            </w14:solidFill>
          </w14:textFill>
        </w:rPr>
        <w:t>登录</w:t>
      </w:r>
      <w:r>
        <w:rPr>
          <w:rFonts w:hint="eastAsia" w:asciiTheme="minorEastAsia" w:hAnsiTheme="minorEastAsia" w:eastAsiaTheme="minorEastAsia" w:cstheme="minorEastAsia"/>
          <w:b/>
          <w:bCs/>
          <w:color w:val="000000" w:themeColor="text1"/>
          <w:sz w:val="24"/>
          <w14:textFill>
            <w14:solidFill>
              <w14:schemeClr w14:val="tx1"/>
            </w14:solidFill>
          </w14:textFill>
        </w:rPr>
        <w:t>《湘西公共资源交易网》</w:t>
      </w:r>
      <w:r>
        <w:rPr>
          <w:rFonts w:hint="eastAsia" w:asciiTheme="minorEastAsia" w:hAnsiTheme="minorEastAsia" w:eastAsiaTheme="minorEastAsia" w:cstheme="minorEastAsia"/>
          <w:color w:val="000000" w:themeColor="text1"/>
          <w:sz w:val="24"/>
          <w14:textFill>
            <w14:solidFill>
              <w14:schemeClr w14:val="tx1"/>
            </w14:solidFill>
          </w14:textFill>
        </w:rPr>
        <w:t>→点击“一站式”综合服务系统→点击“招标代理/招标方/投标方/转（出）让方/竞买方”→CA登录→在“采购业务”菜单栏中点击“选择投标项目”进入页面找到项目</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点击</w:t>
      </w:r>
      <w:r>
        <w:rPr>
          <w:rFonts w:hint="eastAsia" w:asciiTheme="minorEastAsia" w:hAnsiTheme="minorEastAsia" w:eastAsiaTheme="minorEastAsia" w:cstheme="minorEastAsia"/>
          <w:color w:val="000000" w:themeColor="text1"/>
          <w:sz w:val="24"/>
          <w14:textFill>
            <w14:solidFill>
              <w14:schemeClr w14:val="tx1"/>
            </w14:solidFill>
          </w14:textFill>
        </w:rPr>
        <w:t>“操作”按钮进入页面填写投标报名信息→点击“我要投标”，再点击菜单中的“采购公告及文件下载”点击本项目的“领取”按钮进入交易文件下载页面→点击“下载招标文件”进行招标文件（</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14:textFill>
            <w14:solidFill>
              <w14:schemeClr w14:val="tx1"/>
            </w14:solidFill>
          </w14:textFill>
        </w:rPr>
        <w:t>XXZZF</w:t>
      </w:r>
      <w:r>
        <w:rPr>
          <w:rFonts w:hint="eastAsia" w:asciiTheme="minorEastAsia" w:hAnsiTheme="minorEastAsia" w:eastAsiaTheme="minorEastAsia" w:cstheme="minorEastAsia"/>
          <w:color w:val="000000" w:themeColor="text1"/>
          <w:sz w:val="24"/>
          <w14:textFill>
            <w14:solidFill>
              <w14:schemeClr w14:val="tx1"/>
            </w14:solidFill>
          </w14:textFill>
        </w:rPr>
        <w:t>格式）的下载和保存。</w:t>
      </w:r>
    </w:p>
    <w:p w14:paraId="5D2435B0">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kern w:val="0"/>
          <w:sz w:val="24"/>
        </w:rPr>
        <w:t>3.</w:t>
      </w:r>
      <w:r>
        <w:rPr>
          <w:rFonts w:hint="eastAsia" w:asciiTheme="minorEastAsia" w:hAnsiTheme="minorEastAsia" w:eastAsiaTheme="minorEastAsia" w:cstheme="minorEastAsia"/>
          <w:color w:val="000000" w:themeColor="text1"/>
          <w:sz w:val="24"/>
          <w14:textFill>
            <w14:solidFill>
              <w14:schemeClr w14:val="tx1"/>
            </w14:solidFill>
          </w14:textFill>
        </w:rPr>
        <w:t>以上两种途径均可获取招标文件，</w:t>
      </w:r>
      <w:r>
        <w:rPr>
          <w:rFonts w:hint="eastAsia" w:asciiTheme="minorEastAsia" w:hAnsiTheme="minorEastAsia" w:eastAsiaTheme="minorEastAsia" w:cstheme="minorEastAsia"/>
          <w:b/>
          <w:bCs/>
          <w:color w:val="000000" w:themeColor="text1"/>
          <w:sz w:val="24"/>
          <w14:textFill>
            <w14:solidFill>
              <w14:schemeClr w14:val="tx1"/>
            </w14:solidFill>
          </w14:textFill>
        </w:rPr>
        <w:t>但</w:t>
      </w:r>
      <w:r>
        <w:rPr>
          <w:rFonts w:hint="eastAsia" w:asciiTheme="minorEastAsia" w:hAnsiTheme="minorEastAsia" w:eastAsiaTheme="minorEastAsia" w:cstheme="minorEastAsia"/>
          <w:color w:val="000000" w:themeColor="text1"/>
          <w:sz w:val="24"/>
          <w14:textFill>
            <w14:solidFill>
              <w14:schemeClr w14:val="tx1"/>
            </w14:solidFill>
          </w14:textFill>
        </w:rPr>
        <w:t>投标人必须注册湘西公共资源交易网并用</w:t>
      </w:r>
      <w:r>
        <w:rPr>
          <w:rFonts w:hint="eastAsia" w:asciiTheme="minorEastAsia" w:hAnsiTheme="minorEastAsia" w:eastAsiaTheme="minorEastAsia" w:cstheme="minorEastAsia"/>
          <w:b/>
          <w:bCs/>
          <w:color w:val="000000" w:themeColor="text1"/>
          <w:sz w:val="24"/>
          <w14:textFill>
            <w14:solidFill>
              <w14:schemeClr w14:val="tx1"/>
            </w14:solidFill>
          </w14:textFill>
        </w:rPr>
        <w:t>CA登录</w:t>
      </w:r>
      <w:r>
        <w:rPr>
          <w:rFonts w:hint="eastAsia" w:asciiTheme="minorEastAsia" w:hAnsiTheme="minorEastAsia" w:eastAsiaTheme="minorEastAsia" w:cstheme="minorEastAsia"/>
          <w:color w:val="000000" w:themeColor="text1"/>
          <w:sz w:val="24"/>
          <w14:textFill>
            <w14:solidFill>
              <w14:schemeClr w14:val="tx1"/>
            </w14:solidFill>
          </w14:textFill>
        </w:rPr>
        <w:t>后台</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且</w:t>
      </w:r>
      <w:r>
        <w:rPr>
          <w:rFonts w:hint="eastAsia" w:asciiTheme="minorEastAsia" w:hAnsiTheme="minorEastAsia" w:eastAsiaTheme="minorEastAsia" w:cstheme="minorEastAsia"/>
          <w:color w:val="000000" w:themeColor="text1"/>
          <w:sz w:val="24"/>
          <w14:textFill>
            <w14:solidFill>
              <w14:schemeClr w14:val="tx1"/>
            </w14:solidFill>
          </w14:textFill>
        </w:rPr>
        <w:t>在</w:t>
      </w:r>
      <w:r>
        <w:rPr>
          <w:rFonts w:hint="eastAsia" w:asciiTheme="minorEastAsia" w:hAnsiTheme="minorEastAsia" w:eastAsiaTheme="minorEastAsia" w:cstheme="minorEastAsia"/>
          <w:b/>
          <w:bCs/>
          <w:color w:val="000000" w:themeColor="text1"/>
          <w:sz w:val="24"/>
          <w14:textFill>
            <w14:solidFill>
              <w14:schemeClr w14:val="tx1"/>
            </w14:solidFill>
          </w14:textFill>
        </w:rPr>
        <w:t>公告（下载）期限内</w:t>
      </w:r>
      <w:r>
        <w:rPr>
          <w:rFonts w:hint="eastAsia" w:asciiTheme="minorEastAsia" w:hAnsiTheme="minorEastAsia" w:eastAsiaTheme="minorEastAsia" w:cstheme="minorEastAsia"/>
          <w:color w:val="000000" w:themeColor="text1"/>
          <w:sz w:val="24"/>
          <w14:textFill>
            <w14:solidFill>
              <w14:schemeClr w14:val="tx1"/>
            </w14:solidFill>
          </w14:textFill>
        </w:rPr>
        <w:t>领取</w:t>
      </w:r>
      <w:r>
        <w:rPr>
          <w:rFonts w:hint="eastAsia" w:asciiTheme="minorEastAsia" w:hAnsiTheme="minorEastAsia" w:eastAsiaTheme="minorEastAsia" w:cstheme="minorEastAsia"/>
          <w:b/>
          <w:bCs/>
          <w:color w:val="000000" w:themeColor="text1"/>
          <w:sz w:val="24"/>
          <w14:textFill>
            <w14:solidFill>
              <w14:schemeClr w14:val="tx1"/>
            </w14:solidFill>
          </w14:textFill>
        </w:rPr>
        <w:t>下载保存</w:t>
      </w:r>
      <w:r>
        <w:rPr>
          <w:rFonts w:hint="eastAsia" w:asciiTheme="minorEastAsia" w:hAnsiTheme="minorEastAsia" w:eastAsiaTheme="minorEastAsia" w:cstheme="minorEastAsia"/>
          <w:b/>
          <w:bCs/>
          <w:color w:val="000000" w:themeColor="text1"/>
          <w:sz w:val="24"/>
          <w:lang w:val="en-US" w:eastAsia="zh-CN"/>
          <w14:textFill>
            <w14:solidFill>
              <w14:schemeClr w14:val="tx1"/>
            </w14:solidFill>
          </w14:textFill>
        </w:rPr>
        <w:t>.</w:t>
      </w:r>
      <w:r>
        <w:rPr>
          <w:rFonts w:hint="eastAsia" w:asciiTheme="minorEastAsia" w:hAnsiTheme="minorEastAsia" w:eastAsiaTheme="minorEastAsia" w:cstheme="minorEastAsia"/>
          <w:b/>
          <w:bCs/>
          <w:color w:val="FF0000"/>
          <w:sz w:val="24"/>
        </w:rPr>
        <w:t>XXZZF格式</w:t>
      </w:r>
      <w:r>
        <w:rPr>
          <w:rFonts w:hint="eastAsia" w:asciiTheme="minorEastAsia" w:hAnsiTheme="minorEastAsia" w:eastAsiaTheme="minorEastAsia" w:cstheme="minorEastAsia"/>
          <w:b/>
          <w:bCs/>
          <w:color w:val="000000" w:themeColor="text1"/>
          <w:sz w:val="24"/>
          <w14:textFill>
            <w14:solidFill>
              <w14:schemeClr w14:val="tx1"/>
            </w14:solidFill>
          </w14:textFill>
        </w:rPr>
        <w:t>的招标文件</w:t>
      </w:r>
      <w:r>
        <w:rPr>
          <w:rFonts w:hint="eastAsia" w:asciiTheme="minorEastAsia" w:hAnsiTheme="minorEastAsia" w:eastAsiaTheme="minorEastAsia" w:cstheme="minorEastAsia"/>
          <w:color w:val="000000" w:themeColor="text1"/>
          <w:sz w:val="24"/>
          <w14:textFill>
            <w14:solidFill>
              <w14:schemeClr w14:val="tx1"/>
            </w14:solidFill>
          </w14:textFill>
        </w:rPr>
        <w:t>，否则会</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无法</w:t>
      </w:r>
      <w:r>
        <w:rPr>
          <w:rFonts w:hint="eastAsia" w:asciiTheme="minorEastAsia" w:hAnsiTheme="minorEastAsia" w:eastAsiaTheme="minorEastAsia" w:cstheme="minorEastAsia"/>
          <w:color w:val="000000" w:themeColor="text1"/>
          <w:sz w:val="24"/>
          <w14:textFill>
            <w14:solidFill>
              <w14:schemeClr w14:val="tx1"/>
            </w14:solidFill>
          </w14:textFill>
        </w:rPr>
        <w:t>投标。</w:t>
      </w:r>
    </w:p>
    <w:p w14:paraId="512C7F46">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4.各投标人自行在以上网站下载或查阅招标相关文件和资料等，恕不另行通知，如有遗漏采购代理机构概不负责。</w:t>
      </w:r>
      <w:r>
        <w:rPr>
          <w:rFonts w:hint="eastAsia" w:asciiTheme="minorEastAsia" w:hAnsiTheme="minorEastAsia" w:eastAsiaTheme="minorEastAsia" w:cstheme="minorEastAsia"/>
          <w:kern w:val="0"/>
          <w:sz w:val="24"/>
        </w:rPr>
        <w:t>同时，以上</w:t>
      </w:r>
      <w:r>
        <w:rPr>
          <w:rFonts w:hint="eastAsia" w:asciiTheme="minorEastAsia" w:hAnsiTheme="minorEastAsia" w:eastAsiaTheme="minorEastAsia" w:cstheme="minorEastAsia"/>
          <w:color w:val="000000" w:themeColor="text1"/>
          <w:sz w:val="24"/>
          <w14:textFill>
            <w14:solidFill>
              <w14:schemeClr w14:val="tx1"/>
            </w14:solidFill>
          </w14:textFill>
        </w:rPr>
        <w:t>实际操作流程以</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网页</w:t>
      </w:r>
      <w:r>
        <w:rPr>
          <w:rFonts w:hint="eastAsia" w:asciiTheme="minorEastAsia" w:hAnsiTheme="minorEastAsia" w:eastAsiaTheme="minorEastAsia" w:cstheme="minorEastAsia"/>
          <w:color w:val="000000" w:themeColor="text1"/>
          <w:sz w:val="24"/>
          <w14:textFill>
            <w14:solidFill>
              <w14:schemeClr w14:val="tx1"/>
            </w14:solidFill>
          </w14:textFill>
        </w:rPr>
        <w:t>系统更新的界面菜单流程为准！</w:t>
      </w:r>
    </w:p>
    <w:p w14:paraId="331B6E35">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六、投标文件提交的截止时间、开标时间和地点</w:t>
      </w:r>
    </w:p>
    <w:p w14:paraId="3E5FAF8F">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1.投标文件</w:t>
      </w:r>
      <w:r>
        <w:rPr>
          <w:rFonts w:hint="eastAsia" w:asciiTheme="minorEastAsia" w:hAnsiTheme="minorEastAsia" w:eastAsiaTheme="minorEastAsia" w:cstheme="minorEastAsia"/>
          <w:b/>
          <w:bCs/>
          <w:color w:val="000000" w:themeColor="text1"/>
          <w:sz w:val="24"/>
          <w14:textFill>
            <w14:solidFill>
              <w14:schemeClr w14:val="tx1"/>
            </w14:solidFill>
          </w14:textFill>
        </w:rPr>
        <w:t>提交的截止时间</w:t>
      </w:r>
      <w:r>
        <w:rPr>
          <w:rFonts w:hint="eastAsia" w:asciiTheme="minorEastAsia" w:hAnsiTheme="minorEastAsia" w:eastAsiaTheme="minorEastAsia" w:cstheme="minorEastAsia"/>
          <w:color w:val="000000" w:themeColor="text1"/>
          <w:sz w:val="24"/>
          <w14:textFill>
            <w14:solidFill>
              <w14:schemeClr w14:val="tx1"/>
            </w14:solidFill>
          </w14:textFill>
        </w:rPr>
        <w:t>（投标截止时间）和</w:t>
      </w:r>
      <w:r>
        <w:rPr>
          <w:rFonts w:hint="eastAsia" w:asciiTheme="minorEastAsia" w:hAnsiTheme="minorEastAsia" w:eastAsiaTheme="minorEastAsia" w:cstheme="minorEastAsia"/>
          <w:b/>
          <w:bCs/>
          <w:color w:val="000000" w:themeColor="text1"/>
          <w:sz w:val="24"/>
          <w14:textFill>
            <w14:solidFill>
              <w14:schemeClr w14:val="tx1"/>
            </w14:solidFill>
          </w14:textFill>
        </w:rPr>
        <w:t>开标时间</w:t>
      </w:r>
      <w:r>
        <w:rPr>
          <w:rFonts w:hint="eastAsia" w:asciiTheme="minorEastAsia" w:hAnsiTheme="minorEastAsia" w:eastAsiaTheme="minorEastAsia" w:cstheme="minorEastAsia"/>
          <w:color w:val="000000" w:themeColor="text1"/>
          <w:sz w:val="24"/>
          <w14:textFill>
            <w14:solidFill>
              <w14:schemeClr w14:val="tx1"/>
            </w14:solidFill>
          </w14:textFill>
        </w:rPr>
        <w:t>均为</w:t>
      </w:r>
      <w:r>
        <w:rPr>
          <w:rFonts w:hint="eastAsia" w:asciiTheme="minorEastAsia" w:hAnsiTheme="minorEastAsia" w:eastAsiaTheme="minorEastAsia" w:cstheme="minorEastAsia"/>
          <w:color w:val="auto"/>
          <w:sz w:val="24"/>
          <w:u w:val="single"/>
        </w:rPr>
        <w:t>202</w:t>
      </w:r>
      <w:r>
        <w:rPr>
          <w:rFonts w:hint="eastAsia" w:asciiTheme="minorEastAsia" w:hAnsiTheme="minorEastAsia" w:eastAsiaTheme="minorEastAsia" w:cstheme="minorEastAsia"/>
          <w:color w:val="auto"/>
          <w:sz w:val="24"/>
          <w:u w:val="single"/>
          <w:lang w:val="en-US" w:eastAsia="zh-CN"/>
        </w:rPr>
        <w:t>6</w:t>
      </w:r>
      <w:r>
        <w:rPr>
          <w:rFonts w:hint="eastAsia" w:asciiTheme="minorEastAsia" w:hAnsiTheme="minorEastAsia" w:eastAsiaTheme="minorEastAsia" w:cstheme="minorEastAsia"/>
          <w:color w:val="auto"/>
          <w:sz w:val="24"/>
        </w:rPr>
        <w:t>年</w:t>
      </w:r>
      <w:r>
        <w:rPr>
          <w:rFonts w:hint="eastAsia" w:ascii="宋体" w:hAnsi="宋体" w:cs="宋体"/>
          <w:color w:val="auto"/>
          <w:sz w:val="24"/>
          <w:u w:val="single"/>
          <w:lang w:val="en-US" w:eastAsia="zh-CN"/>
        </w:rPr>
        <w:t>9</w:t>
      </w:r>
      <w:r>
        <w:rPr>
          <w:rFonts w:hint="eastAsia" w:ascii="宋体" w:hAnsi="宋体" w:eastAsia="宋体" w:cs="宋体"/>
          <w:color w:val="auto"/>
          <w:sz w:val="24"/>
        </w:rPr>
        <w:t>月</w:t>
      </w:r>
      <w:r>
        <w:rPr>
          <w:rFonts w:hint="eastAsia" w:ascii="宋体" w:hAnsi="宋体" w:cs="宋体"/>
          <w:color w:val="auto"/>
          <w:sz w:val="24"/>
          <w:u w:val="single"/>
          <w:lang w:val="en-US" w:eastAsia="zh-CN"/>
        </w:rPr>
        <w:t>9</w:t>
      </w:r>
      <w:r>
        <w:rPr>
          <w:rFonts w:hint="eastAsia" w:asciiTheme="minorEastAsia" w:hAnsiTheme="minorEastAsia" w:eastAsiaTheme="minorEastAsia" w:cstheme="minorEastAsia"/>
          <w:color w:val="auto"/>
          <w:sz w:val="24"/>
        </w:rPr>
        <w:t>日</w:t>
      </w:r>
      <w:r>
        <w:rPr>
          <w:rFonts w:hint="eastAsia" w:asciiTheme="minorEastAsia" w:hAnsiTheme="minorEastAsia" w:eastAsiaTheme="minorEastAsia" w:cstheme="minorEastAsia"/>
          <w:color w:val="auto"/>
          <w:sz w:val="24"/>
          <w:u w:val="single"/>
        </w:rPr>
        <w:t>9</w:t>
      </w:r>
      <w:r>
        <w:rPr>
          <w:rFonts w:hint="eastAsia" w:asciiTheme="minorEastAsia" w:hAnsiTheme="minorEastAsia" w:eastAsiaTheme="minorEastAsia" w:cstheme="minorEastAsia"/>
          <w:color w:val="auto"/>
          <w:sz w:val="24"/>
        </w:rPr>
        <w:t>时</w:t>
      </w:r>
      <w:r>
        <w:rPr>
          <w:rFonts w:hint="eastAsia" w:asciiTheme="minorEastAsia" w:hAnsiTheme="minorEastAsia" w:eastAsiaTheme="minorEastAsia" w:cstheme="minorEastAsia"/>
          <w:color w:val="auto"/>
          <w:sz w:val="24"/>
          <w:u w:val="single"/>
        </w:rPr>
        <w:t>00</w:t>
      </w:r>
      <w:r>
        <w:rPr>
          <w:rFonts w:hint="eastAsia" w:asciiTheme="minorEastAsia" w:hAnsiTheme="minorEastAsia" w:eastAsiaTheme="minorEastAsia" w:cstheme="minorEastAsia"/>
          <w:color w:val="000000" w:themeColor="text1"/>
          <w:sz w:val="24"/>
          <w14:textFill>
            <w14:solidFill>
              <w14:schemeClr w14:val="tx1"/>
            </w14:solidFill>
          </w14:textFill>
        </w:rPr>
        <w:t>分。投标人须用</w:t>
      </w:r>
      <w:r>
        <w:rPr>
          <w:rFonts w:hint="eastAsia" w:asciiTheme="minorEastAsia" w:hAnsiTheme="minorEastAsia" w:eastAsiaTheme="minorEastAsia" w:cstheme="minorEastAsia"/>
          <w:kern w:val="0"/>
          <w:sz w:val="24"/>
        </w:rPr>
        <w:t>“新点投标文件制作软件”工具</w:t>
      </w:r>
      <w:r>
        <w:rPr>
          <w:rFonts w:hint="eastAsia" w:asciiTheme="minorEastAsia" w:hAnsiTheme="minorEastAsia" w:eastAsiaTheme="minorEastAsia" w:cstheme="minorEastAsia"/>
          <w:color w:val="000000" w:themeColor="text1"/>
          <w:sz w:val="24"/>
          <w14:textFill>
            <w14:solidFill>
              <w14:schemeClr w14:val="tx1"/>
            </w14:solidFill>
          </w14:textFill>
        </w:rPr>
        <w:t>编制投标文件，在投标截止时间前将投标文件</w:t>
      </w:r>
      <w:r>
        <w:rPr>
          <w:rFonts w:hint="eastAsia" w:asciiTheme="minorEastAsia" w:hAnsiTheme="minorEastAsia" w:eastAsiaTheme="minorEastAsia" w:cstheme="minorEastAsia"/>
          <w:kern w:val="0"/>
          <w:sz w:val="24"/>
        </w:rPr>
        <w:t>上传至指定交易平台的相应栏目</w:t>
      </w:r>
      <w:r>
        <w:rPr>
          <w:rFonts w:hint="eastAsia" w:asciiTheme="minorEastAsia" w:hAnsiTheme="minorEastAsia" w:eastAsiaTheme="minorEastAsia" w:cstheme="minorEastAsia"/>
          <w:color w:val="000000" w:themeColor="text1"/>
          <w:sz w:val="24"/>
          <w14:textFill>
            <w14:solidFill>
              <w14:schemeClr w14:val="tx1"/>
            </w14:solidFill>
          </w14:textFill>
        </w:rPr>
        <w:t>。因逾期而提交失败的，投标人自行承担后果。</w:t>
      </w:r>
    </w:p>
    <w:p w14:paraId="77DEE5A6">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2.开标地点：</w:t>
      </w:r>
      <w:r>
        <w:rPr>
          <w:rFonts w:hint="eastAsia" w:asciiTheme="minorEastAsia" w:hAnsiTheme="minorEastAsia" w:eastAsiaTheme="minorEastAsia" w:cstheme="minorEastAsia"/>
          <w:sz w:val="24"/>
        </w:rPr>
        <w:t>湘西自治州公共资源交易中心四楼</w:t>
      </w:r>
      <w:r>
        <w:rPr>
          <w:rFonts w:hint="eastAsia" w:asciiTheme="minorEastAsia" w:hAnsiTheme="minorEastAsia" w:eastAsiaTheme="minorEastAsia" w:cstheme="minorEastAsia"/>
          <w:color w:val="auto"/>
          <w:sz w:val="24"/>
          <w:u w:val="single"/>
        </w:rPr>
        <w:t xml:space="preserve"> </w:t>
      </w:r>
      <w:r>
        <w:rPr>
          <w:rFonts w:hint="eastAsia" w:asciiTheme="minorEastAsia" w:hAnsiTheme="minorEastAsia" w:eastAsiaTheme="minorEastAsia" w:cstheme="minorEastAsia"/>
          <w:b/>
          <w:bCs/>
          <w:color w:val="auto"/>
          <w:sz w:val="24"/>
          <w:u w:val="single"/>
          <w:lang w:eastAsia="zh-CN"/>
        </w:rPr>
        <w:t>不见面开标室三</w:t>
      </w:r>
      <w:r>
        <w:rPr>
          <w:rFonts w:hint="eastAsia" w:asciiTheme="minorEastAsia" w:hAnsiTheme="minorEastAsia" w:eastAsiaTheme="minorEastAsia" w:cstheme="minorEastAsia"/>
          <w:b/>
          <w:bCs/>
          <w:color w:val="auto"/>
          <w:sz w:val="24"/>
          <w:u w:val="single"/>
        </w:rPr>
        <w:t xml:space="preserve"> </w:t>
      </w:r>
      <w:r>
        <w:rPr>
          <w:rFonts w:hint="eastAsia" w:asciiTheme="minorEastAsia" w:hAnsiTheme="minorEastAsia" w:eastAsiaTheme="minorEastAsia" w:cstheme="minorEastAsia"/>
          <w:color w:val="auto"/>
          <w:sz w:val="24"/>
        </w:rPr>
        <w:t>。</w:t>
      </w:r>
    </w:p>
    <w:p w14:paraId="3D1D164E">
      <w:pPr>
        <w:adjustRightInd w:val="0"/>
        <w:spacing w:line="360" w:lineRule="auto"/>
        <w:ind w:right="-4" w:firstLine="480" w:firstLineChars="200"/>
        <w:rPr>
          <w:rFonts w:hint="eastAsia" w:asciiTheme="minorEastAsia" w:hAnsiTheme="minorEastAsia" w:eastAsiaTheme="minorEastAsia" w:cstheme="minorEastAsia"/>
          <w:bCs/>
          <w:color w:val="000000" w:themeColor="text1"/>
          <w:sz w:val="28"/>
          <w:szCs w:val="28"/>
          <w:u w:val="single"/>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3.投标文件解密时间：</w:t>
      </w:r>
      <w:r>
        <w:rPr>
          <w:rFonts w:hint="eastAsia" w:asciiTheme="minorEastAsia" w:hAnsiTheme="minorEastAsia" w:eastAsiaTheme="minorEastAsia" w:cstheme="minorEastAsia"/>
          <w:color w:val="000000" w:themeColor="text1"/>
          <w:sz w:val="24"/>
          <w:u w:val="single"/>
          <w14:textFill>
            <w14:solidFill>
              <w14:schemeClr w14:val="tx1"/>
            </w14:solidFill>
          </w14:textFill>
        </w:rPr>
        <w:t>解密指令发出起</w:t>
      </w:r>
      <w:r>
        <w:rPr>
          <w:rFonts w:hint="eastAsia" w:asciiTheme="minorEastAsia" w:hAnsiTheme="minorEastAsia" w:eastAsiaTheme="minorEastAsia" w:cstheme="minorEastAsia"/>
          <w:b/>
          <w:bCs/>
          <w:iCs/>
          <w:color w:val="000000" w:themeColor="text1"/>
          <w:sz w:val="24"/>
          <w:u w:val="single"/>
          <w14:textFill>
            <w14:solidFill>
              <w14:schemeClr w14:val="tx1"/>
            </w14:solidFill>
          </w14:textFill>
        </w:rPr>
        <w:t>30分钟内</w:t>
      </w:r>
      <w:r>
        <w:rPr>
          <w:rFonts w:hint="eastAsia" w:asciiTheme="minorEastAsia" w:hAnsiTheme="minorEastAsia" w:eastAsiaTheme="minorEastAsia" w:cstheme="minorEastAsia"/>
          <w:iCs/>
          <w:color w:val="000000" w:themeColor="text1"/>
          <w:sz w:val="24"/>
          <w14:textFill>
            <w14:solidFill>
              <w14:schemeClr w14:val="tx1"/>
            </w14:solidFill>
          </w14:textFill>
        </w:rPr>
        <w:t>。投标人用</w:t>
      </w:r>
      <w:r>
        <w:rPr>
          <w:rFonts w:hint="eastAsia" w:asciiTheme="minorEastAsia" w:hAnsiTheme="minorEastAsia" w:eastAsiaTheme="minorEastAsia" w:cstheme="minorEastAsia"/>
          <w:b/>
          <w:bCs/>
          <w:iCs/>
          <w:color w:val="000000" w:themeColor="text1"/>
          <w:sz w:val="24"/>
          <w14:textFill>
            <w14:solidFill>
              <w14:schemeClr w14:val="tx1"/>
            </w14:solidFill>
          </w14:textFill>
        </w:rPr>
        <w:t>CA</w:t>
      </w:r>
      <w:r>
        <w:rPr>
          <w:rFonts w:hint="eastAsia" w:asciiTheme="minorEastAsia" w:hAnsiTheme="minorEastAsia" w:eastAsiaTheme="minorEastAsia" w:cstheme="minorEastAsia"/>
          <w:iCs/>
          <w:color w:val="000000" w:themeColor="text1"/>
          <w:sz w:val="24"/>
          <w14:textFill>
            <w14:solidFill>
              <w14:schemeClr w14:val="tx1"/>
            </w14:solidFill>
          </w14:textFill>
        </w:rPr>
        <w:t>数字证书登录不见面开标大厅</w:t>
      </w:r>
      <w:r>
        <w:rPr>
          <w:rFonts w:hint="eastAsia" w:asciiTheme="minorEastAsia" w:hAnsiTheme="minorEastAsia" w:eastAsiaTheme="minorEastAsia" w:cstheme="minorEastAsia"/>
          <w:color w:val="000000" w:themeColor="text1"/>
          <w:sz w:val="24"/>
          <w14:textFill>
            <w14:solidFill>
              <w14:schemeClr w14:val="tx1"/>
            </w14:solidFill>
          </w14:textFill>
        </w:rPr>
        <w:t>（</w:t>
      </w:r>
      <w:r>
        <w:rPr>
          <w:rFonts w:hint="eastAsia" w:eastAsiaTheme="minorEastAsia"/>
          <w:color w:val="000000" w:themeColor="text1"/>
          <w:sz w:val="24"/>
          <w14:textFill>
            <w14:solidFill>
              <w14:schemeClr w14:val="tx1"/>
            </w14:solidFill>
          </w14:textFill>
        </w:rPr>
        <w:t>http://xxzggzyjy.cn/BidOpening/bidopeninghallaction/hall/login</w:t>
      </w:r>
      <w:r>
        <w:rPr>
          <w:rFonts w:hint="eastAsia" w:asciiTheme="minorEastAsia" w:hAnsiTheme="minorEastAsia" w:eastAsiaTheme="minorEastAsia" w:cstheme="minorEastAsia"/>
          <w:color w:val="000000" w:themeColor="text1"/>
          <w:sz w:val="24"/>
          <w14:textFill>
            <w14:solidFill>
              <w14:schemeClr w14:val="tx1"/>
            </w14:solidFill>
          </w14:textFill>
        </w:rPr>
        <w:t>）进行线上解密</w:t>
      </w:r>
      <w:r>
        <w:rPr>
          <w:rFonts w:hint="eastAsia" w:asciiTheme="minorEastAsia" w:hAnsiTheme="minorEastAsia" w:eastAsiaTheme="minorEastAsia" w:cstheme="minorEastAsia"/>
          <w:iCs/>
          <w:color w:val="000000" w:themeColor="text1"/>
          <w:sz w:val="24"/>
          <w14:textFill>
            <w14:solidFill>
              <w14:schemeClr w14:val="tx1"/>
            </w14:solidFill>
          </w14:textFill>
        </w:rPr>
        <w:t>。如需在开标现场解密，投标人应携带CA数字证书并自备电脑和网络</w:t>
      </w:r>
      <w:r>
        <w:rPr>
          <w:rFonts w:hint="eastAsia" w:asciiTheme="minorEastAsia" w:hAnsiTheme="minorEastAsia" w:eastAsiaTheme="minorEastAsia" w:cstheme="minorEastAsia"/>
          <w:color w:val="FF0000"/>
          <w:sz w:val="24"/>
        </w:rPr>
        <w:t>（投标人因提交的文件含有计算机病毒，导致无法参与开标、评标等事项的，自行承担责任）</w:t>
      </w:r>
      <w:r>
        <w:rPr>
          <w:rFonts w:hint="eastAsia" w:asciiTheme="minorEastAsia" w:hAnsiTheme="minorEastAsia" w:eastAsiaTheme="minorEastAsia" w:cstheme="minorEastAsia"/>
          <w:iCs/>
          <w:color w:val="000000" w:themeColor="text1"/>
          <w:sz w:val="24"/>
          <w14:textFill>
            <w14:solidFill>
              <w14:schemeClr w14:val="tx1"/>
            </w14:solidFill>
          </w14:textFill>
        </w:rPr>
        <w:t>。</w:t>
      </w:r>
    </w:p>
    <w:p w14:paraId="1FED71B3">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七、公告期限</w:t>
      </w:r>
    </w:p>
    <w:p w14:paraId="732F9ED1">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1.本招标公告在中国湖南政府采购网（</w:t>
      </w:r>
      <w:r>
        <w:rPr>
          <w:rFonts w:eastAsiaTheme="minorEastAsia"/>
          <w:color w:val="000000" w:themeColor="text1"/>
          <w:sz w:val="24"/>
          <w14:textFill>
            <w14:solidFill>
              <w14:schemeClr w14:val="tx1"/>
            </w14:solidFill>
          </w14:textFill>
        </w:rPr>
        <w:t>www.ccgp-hunan.gov.cn</w:t>
      </w:r>
      <w:r>
        <w:rPr>
          <w:rFonts w:hint="eastAsia" w:asciiTheme="minorEastAsia" w:hAnsiTheme="minorEastAsia" w:eastAsiaTheme="minorEastAsia" w:cstheme="minorEastAsia"/>
          <w:color w:val="000000" w:themeColor="text1"/>
          <w:sz w:val="24"/>
          <w14:textFill>
            <w14:solidFill>
              <w14:schemeClr w14:val="tx1"/>
            </w14:solidFill>
          </w14:textFill>
        </w:rPr>
        <w:t>）及湘西公共资源交易网（</w:t>
      </w:r>
      <w:r>
        <w:rPr>
          <w:rFonts w:eastAsiaTheme="minorEastAsia"/>
          <w:color w:val="000000" w:themeColor="text1"/>
          <w:sz w:val="24"/>
          <w14:textFill>
            <w14:solidFill>
              <w14:schemeClr w14:val="tx1"/>
            </w14:solidFill>
          </w14:textFill>
        </w:rPr>
        <w:t>http://ggzyjy.xxz.gov.cn</w:t>
      </w:r>
      <w:r>
        <w:rPr>
          <w:rFonts w:hint="eastAsia" w:asciiTheme="minorEastAsia" w:hAnsiTheme="minorEastAsia" w:eastAsiaTheme="minorEastAsia" w:cstheme="minorEastAsia"/>
          <w:color w:val="000000" w:themeColor="text1"/>
          <w:sz w:val="24"/>
          <w14:textFill>
            <w14:solidFill>
              <w14:schemeClr w14:val="tx1"/>
            </w14:solidFill>
          </w14:textFill>
        </w:rPr>
        <w:t>）发布。公告期限从本招标公告发布之日起（不少于）5个工作日。</w:t>
      </w:r>
    </w:p>
    <w:p w14:paraId="04EC9A03">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2.在其他媒体发布的招标公告，公告内容以本招标公告指定媒体发布的公告为准；公告期限自本招标公告指定媒体最先发布公告之日起算。</w:t>
      </w:r>
    </w:p>
    <w:p w14:paraId="03DD0FBA">
      <w:pPr>
        <w:adjustRightInd w:val="0"/>
        <w:spacing w:line="360" w:lineRule="auto"/>
        <w:ind w:right="-4" w:firstLine="241" w:firstLineChars="100"/>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14:textFill>
            <w14:solidFill>
              <w14:schemeClr w14:val="tx1"/>
            </w14:solidFill>
          </w14:textFill>
        </w:rPr>
        <w:t>八、询问及质疑</w:t>
      </w:r>
    </w:p>
    <w:p w14:paraId="52B1139B">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1.投标人对政府采购活动事项如有疑问的，可以向采购人或者采购代理机构提出询问。采购人或者采购代理机构将在3个工作日内作出答复。</w:t>
      </w:r>
    </w:p>
    <w:p w14:paraId="6E4A149F">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潜在投标人认为招标文件或招标公告使自己的合法权益受到损害的，可以在获取招标文件之日或招标公告期限届满之日起7个工作日内，按《湖南省财政厅关于印发＜政府采购质疑答复和投诉处理操作规程＞的通知》（</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湘财购〔2024〕67号</w:t>
      </w:r>
      <w:r>
        <w:rPr>
          <w:rFonts w:hint="eastAsia" w:asciiTheme="minorEastAsia" w:hAnsiTheme="minorEastAsia" w:eastAsiaTheme="minorEastAsia" w:cstheme="minorEastAsia"/>
          <w:color w:val="000000" w:themeColor="text1"/>
          <w:sz w:val="24"/>
          <w14:textFill>
            <w14:solidFill>
              <w14:schemeClr w14:val="tx1"/>
            </w14:solidFill>
          </w14:textFill>
        </w:rPr>
        <w:t>）规定，以书面形式向采购人、采购代理机构提出质疑。</w:t>
      </w:r>
    </w:p>
    <w:p w14:paraId="2B060682">
      <w:pPr>
        <w:tabs>
          <w:tab w:val="left" w:pos="371"/>
        </w:tabs>
        <w:adjustRightInd w:val="0"/>
        <w:spacing w:line="360" w:lineRule="auto"/>
        <w:ind w:right="-4" w:firstLine="241" w:firstLineChars="100"/>
        <w:rPr>
          <w:rFonts w:hint="eastAsia" w:asciiTheme="minorEastAsia" w:hAnsiTheme="minorEastAsia" w:eastAsiaTheme="minorEastAsia" w:cstheme="minorEastAsia"/>
          <w:b/>
          <w:color w:val="000000" w:themeColor="text1"/>
          <w:kern w:val="0"/>
          <w:sz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14:textFill>
            <w14:solidFill>
              <w14:schemeClr w14:val="tx1"/>
            </w14:solidFill>
          </w14:textFill>
        </w:rPr>
        <w:t>九、投标说明</w:t>
      </w:r>
    </w:p>
    <w:p w14:paraId="21346EB0">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本公告选项：（√）表示选择，（  ）表示未选择。</w:t>
      </w:r>
    </w:p>
    <w:p w14:paraId="73871805">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十、其他补充事宜</w:t>
      </w:r>
    </w:p>
    <w:p w14:paraId="20B17FF7">
      <w:pPr>
        <w:spacing w:line="360" w:lineRule="auto"/>
        <w:ind w:firstLine="480" w:firstLineChars="200"/>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sz w:val="24"/>
          <w:szCs w:val="32"/>
        </w:rPr>
        <w:t>1.本项目实行电子交易，</w:t>
      </w:r>
      <w:r>
        <w:rPr>
          <w:rFonts w:hint="eastAsia" w:asciiTheme="minorEastAsia" w:hAnsiTheme="minorEastAsia" w:eastAsiaTheme="minorEastAsia" w:cstheme="minorEastAsia"/>
          <w:color w:val="000000" w:themeColor="text1"/>
          <w:sz w:val="24"/>
          <w14:textFill>
            <w14:solidFill>
              <w14:schemeClr w14:val="tx1"/>
            </w14:solidFill>
          </w14:textFill>
        </w:rPr>
        <w:t>投标人</w:t>
      </w:r>
      <w:r>
        <w:rPr>
          <w:rFonts w:hint="eastAsia" w:asciiTheme="minorEastAsia" w:hAnsiTheme="minorEastAsia" w:eastAsiaTheme="minorEastAsia" w:cstheme="minorEastAsia"/>
          <w:b/>
          <w:bCs/>
          <w:color w:val="000000" w:themeColor="text1"/>
          <w:sz w:val="24"/>
          <w14:textFill>
            <w14:solidFill>
              <w14:schemeClr w14:val="tx1"/>
            </w14:solidFill>
          </w14:textFill>
        </w:rPr>
        <w:t>必须用CA数字证书</w:t>
      </w:r>
      <w:r>
        <w:rPr>
          <w:rFonts w:hint="eastAsia" w:asciiTheme="minorEastAsia" w:hAnsiTheme="minorEastAsia" w:eastAsiaTheme="minorEastAsia" w:cstheme="minorEastAsia"/>
          <w:color w:val="000000" w:themeColor="text1"/>
          <w:sz w:val="24"/>
          <w14:textFill>
            <w14:solidFill>
              <w14:schemeClr w14:val="tx1"/>
            </w14:solidFill>
          </w14:textFill>
        </w:rPr>
        <w:t>报名下载招标文件、上传投标文件及参与开标等操作。</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故</w:t>
      </w:r>
      <w:r>
        <w:rPr>
          <w:rFonts w:hint="eastAsia" w:asciiTheme="minorEastAsia" w:hAnsiTheme="minorEastAsia" w:eastAsiaTheme="minorEastAsia" w:cstheme="minorEastAsia"/>
          <w:color w:val="000000" w:themeColor="text1"/>
          <w:sz w:val="24"/>
          <w14:textFill>
            <w14:solidFill>
              <w14:schemeClr w14:val="tx1"/>
            </w14:solidFill>
          </w14:textFill>
        </w:rPr>
        <w:t>投标人应及时办理购买/续买CA及相关事宜。CA</w:t>
      </w:r>
      <w:r>
        <w:rPr>
          <w:rFonts w:hint="eastAsia" w:asciiTheme="minorEastAsia" w:hAnsiTheme="minorEastAsia" w:eastAsiaTheme="minorEastAsia" w:cstheme="minorEastAsia"/>
          <w:kern w:val="0"/>
          <w:sz w:val="24"/>
        </w:rPr>
        <w:t>数字证书（含电子印章）具体办理流程详见“湘西公共资源交易网”→“交易服务”→“CA数字证书”菜单栏，或电话0743-8523032咨询。</w:t>
      </w:r>
      <w:r>
        <w:rPr>
          <w:rFonts w:hint="eastAsia" w:asciiTheme="minorEastAsia" w:hAnsiTheme="minorEastAsia" w:eastAsiaTheme="minorEastAsia" w:cstheme="minorEastAsia"/>
          <w:color w:val="000000" w:themeColor="text1"/>
          <w:sz w:val="24"/>
          <w14:textFill>
            <w14:solidFill>
              <w14:schemeClr w14:val="tx1"/>
            </w14:solidFill>
          </w14:textFill>
        </w:rPr>
        <w:t>若因CA问题导致无法投标，投标人自行负责。</w:t>
      </w:r>
    </w:p>
    <w:p w14:paraId="5486DBDB">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w:t>
      </w:r>
      <w:r>
        <w:rPr>
          <w:rFonts w:hint="eastAsia" w:asciiTheme="minorEastAsia" w:hAnsiTheme="minorEastAsia" w:eastAsiaTheme="minorEastAsia" w:cstheme="minorEastAsia"/>
          <w:color w:val="000000" w:themeColor="text1"/>
          <w:sz w:val="24"/>
          <w:u w:val="single"/>
          <w14:textFill>
            <w14:solidFill>
              <w14:schemeClr w14:val="tx1"/>
            </w14:solidFill>
          </w14:textFill>
        </w:rPr>
        <w:t>注意事项</w:t>
      </w:r>
    </w:p>
    <w:p w14:paraId="02AA9413">
      <w:pPr>
        <w:spacing w:line="360" w:lineRule="auto"/>
        <w:ind w:right="-4" w:firstLine="480" w:firstLineChars="200"/>
        <w:rPr>
          <w:rFonts w:hint="eastAsia" w:asciiTheme="minorEastAsia" w:hAnsiTheme="minorEastAsia" w:eastAsiaTheme="minorEastAsia" w:cstheme="minorEastAsia"/>
          <w:iCs/>
          <w:color w:val="000000" w:themeColor="text1"/>
          <w:sz w:val="24"/>
          <w14:textFill>
            <w14:solidFill>
              <w14:schemeClr w14:val="tx1"/>
            </w14:solidFill>
          </w14:textFill>
        </w:rPr>
      </w:pPr>
      <w:r>
        <w:rPr>
          <w:rFonts w:hint="eastAsia" w:asciiTheme="minorEastAsia" w:hAnsiTheme="minorEastAsia" w:eastAsiaTheme="minorEastAsia" w:cstheme="minorEastAsia"/>
          <w:iCs/>
          <w:color w:val="000000" w:themeColor="text1"/>
          <w:sz w:val="24"/>
          <w:lang w:eastAsia="zh-CN"/>
          <w14:textFill>
            <w14:solidFill>
              <w14:schemeClr w14:val="tx1"/>
            </w14:solidFill>
          </w14:textFill>
        </w:rPr>
        <w:t>（</w:t>
      </w:r>
      <w:r>
        <w:rPr>
          <w:rFonts w:hint="eastAsia" w:asciiTheme="minorEastAsia" w:hAnsiTheme="minorEastAsia" w:eastAsiaTheme="minorEastAsia" w:cstheme="minorEastAsia"/>
          <w:iCs/>
          <w:color w:val="000000" w:themeColor="text1"/>
          <w:sz w:val="24"/>
          <w:lang w:val="en-US" w:eastAsia="zh-CN"/>
          <w14:textFill>
            <w14:solidFill>
              <w14:schemeClr w14:val="tx1"/>
            </w14:solidFill>
          </w14:textFill>
        </w:rPr>
        <w:t>1）</w:t>
      </w:r>
      <w:r>
        <w:rPr>
          <w:rFonts w:hint="eastAsia" w:asciiTheme="minorEastAsia" w:hAnsiTheme="minorEastAsia" w:eastAsiaTheme="minorEastAsia" w:cstheme="minorEastAsia"/>
          <w:iCs/>
          <w:color w:val="000000" w:themeColor="text1"/>
          <w:sz w:val="24"/>
          <w14:textFill>
            <w14:solidFill>
              <w14:schemeClr w14:val="tx1"/>
            </w14:solidFill>
          </w14:textFill>
        </w:rPr>
        <w:t>投标人</w:t>
      </w:r>
      <w:r>
        <w:rPr>
          <w:rFonts w:hint="eastAsia" w:asciiTheme="minorEastAsia" w:hAnsiTheme="minorEastAsia" w:eastAsiaTheme="minorEastAsia" w:cstheme="minorEastAsia"/>
          <w:iCs/>
          <w:color w:val="000000" w:themeColor="text1"/>
          <w:sz w:val="24"/>
          <w:lang w:val="en-US" w:eastAsia="zh-CN"/>
          <w14:textFill>
            <w14:solidFill>
              <w14:schemeClr w14:val="tx1"/>
            </w14:solidFill>
          </w14:textFill>
        </w:rPr>
        <w:t>因</w:t>
      </w:r>
      <w:r>
        <w:rPr>
          <w:rFonts w:hint="eastAsia" w:asciiTheme="minorEastAsia" w:hAnsiTheme="minorEastAsia" w:eastAsiaTheme="minorEastAsia" w:cstheme="minorEastAsia"/>
          <w:iCs/>
          <w:color w:val="000000" w:themeColor="text1"/>
          <w:sz w:val="24"/>
          <w14:textFill>
            <w14:solidFill>
              <w14:schemeClr w14:val="tx1"/>
            </w14:solidFill>
          </w14:textFill>
        </w:rPr>
        <w:t>对网上招投标操作不熟悉或因自身电脑、网络等原因导致无法在规定时间内上传投标文件，开标时无法及时解密，</w:t>
      </w:r>
      <w:r>
        <w:rPr>
          <w:rFonts w:hint="eastAsia" w:asciiTheme="minorEastAsia" w:hAnsiTheme="minorEastAsia" w:eastAsiaTheme="minorEastAsia" w:cstheme="minorEastAsia"/>
          <w:kern w:val="0"/>
          <w:sz w:val="24"/>
          <w:lang w:val="en-US" w:eastAsia="zh-CN"/>
        </w:rPr>
        <w:t>评标时无法答疑或补正材料等情况的，</w:t>
      </w:r>
      <w:r>
        <w:rPr>
          <w:rFonts w:hint="eastAsia" w:asciiTheme="minorEastAsia" w:hAnsiTheme="minorEastAsia" w:eastAsiaTheme="minorEastAsia" w:cstheme="minorEastAsia"/>
          <w:iCs/>
          <w:color w:val="000000" w:themeColor="text1"/>
          <w:sz w:val="24"/>
          <w14:textFill>
            <w14:solidFill>
              <w14:schemeClr w14:val="tx1"/>
            </w14:solidFill>
          </w14:textFill>
        </w:rPr>
        <w:t>相应后果自行承担。系统操作过程中遇到任何问题及时向</w:t>
      </w:r>
      <w:r>
        <w:rPr>
          <w:rFonts w:hint="eastAsia" w:asciiTheme="minorEastAsia" w:hAnsiTheme="minorEastAsia" w:eastAsiaTheme="minorEastAsia" w:cstheme="minorEastAsia"/>
          <w:b/>
          <w:bCs/>
          <w:iCs/>
          <w:color w:val="000000" w:themeColor="text1"/>
          <w:sz w:val="24"/>
          <w:u w:val="single"/>
          <w14:textFill>
            <w14:solidFill>
              <w14:schemeClr w14:val="tx1"/>
            </w14:solidFill>
          </w14:textFill>
        </w:rPr>
        <w:t>软件部</w:t>
      </w:r>
      <w:r>
        <w:rPr>
          <w:rFonts w:hint="eastAsia" w:asciiTheme="minorEastAsia" w:hAnsiTheme="minorEastAsia" w:eastAsiaTheme="minorEastAsia" w:cstheme="minorEastAsia"/>
          <w:b/>
          <w:bCs/>
          <w:iCs/>
          <w:color w:val="000000" w:themeColor="text1"/>
          <w:sz w:val="24"/>
          <w:u w:val="single"/>
          <w:lang w:eastAsia="zh-CN"/>
          <w14:textFill>
            <w14:solidFill>
              <w14:schemeClr w14:val="tx1"/>
            </w14:solidFill>
          </w14:textFill>
        </w:rPr>
        <w:t>（</w:t>
      </w:r>
      <w:r>
        <w:rPr>
          <w:rFonts w:hint="eastAsia" w:asciiTheme="minorEastAsia" w:hAnsiTheme="minorEastAsia" w:eastAsiaTheme="minorEastAsia" w:cstheme="minorEastAsia"/>
          <w:b/>
          <w:bCs/>
          <w:iCs/>
          <w:color w:val="000000" w:themeColor="text1"/>
          <w:sz w:val="24"/>
          <w:u w:val="single"/>
          <w14:textFill>
            <w14:solidFill>
              <w14:schemeClr w14:val="tx1"/>
            </w14:solidFill>
          </w14:textFill>
        </w:rPr>
        <w:t>0743-8523902</w:t>
      </w:r>
      <w:r>
        <w:rPr>
          <w:rFonts w:hint="eastAsia" w:asciiTheme="minorEastAsia" w:hAnsiTheme="minorEastAsia" w:eastAsiaTheme="minorEastAsia" w:cstheme="minorEastAsia"/>
          <w:b/>
          <w:bCs/>
          <w:iCs/>
          <w:color w:val="000000" w:themeColor="text1"/>
          <w:sz w:val="24"/>
          <w:u w:val="single"/>
          <w:lang w:eastAsia="zh-CN"/>
          <w14:textFill>
            <w14:solidFill>
              <w14:schemeClr w14:val="tx1"/>
            </w14:solidFill>
          </w14:textFill>
        </w:rPr>
        <w:t>）</w:t>
      </w:r>
      <w:r>
        <w:rPr>
          <w:rFonts w:hint="eastAsia" w:asciiTheme="minorEastAsia" w:hAnsiTheme="minorEastAsia" w:eastAsiaTheme="minorEastAsia" w:cstheme="minorEastAsia"/>
          <w:iCs/>
          <w:color w:val="000000" w:themeColor="text1"/>
          <w:sz w:val="24"/>
          <w14:textFill>
            <w14:solidFill>
              <w14:schemeClr w14:val="tx1"/>
            </w14:solidFill>
          </w14:textFill>
        </w:rPr>
        <w:t>咨询。</w:t>
      </w:r>
    </w:p>
    <w:p w14:paraId="562576B8">
      <w:pPr>
        <w:spacing w:line="360" w:lineRule="auto"/>
        <w:ind w:firstLine="480" w:firstLineChars="200"/>
        <w:rPr>
          <w:rFonts w:hint="eastAsia" w:asciiTheme="minorEastAsia" w:hAnsiTheme="minorEastAsia" w:eastAsiaTheme="minorEastAsia" w:cstheme="minorEastAsia"/>
          <w:iCs/>
          <w:color w:val="000000" w:themeColor="text1"/>
          <w:sz w:val="24"/>
          <w14:textFill>
            <w14:solidFill>
              <w14:schemeClr w14:val="tx1"/>
            </w14:solidFill>
          </w14:textFill>
        </w:rPr>
      </w:pP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2）投标人最好在</w:t>
      </w:r>
      <w:r>
        <w:rPr>
          <w:rFonts w:hint="eastAsia" w:asciiTheme="minorEastAsia" w:hAnsiTheme="minorEastAsia" w:eastAsiaTheme="minorEastAsia" w:cstheme="minorEastAsia"/>
          <w:b/>
          <w:bCs/>
          <w:kern w:val="0"/>
          <w:sz w:val="24"/>
          <w:u w:val="single"/>
          <w:lang w:val="en-US" w:eastAsia="zh-CN"/>
        </w:rPr>
        <w:t>开标</w:t>
      </w:r>
      <w:r>
        <w:rPr>
          <w:rFonts w:hint="eastAsia" w:asciiTheme="minorEastAsia" w:hAnsiTheme="minorEastAsia" w:eastAsiaTheme="minorEastAsia" w:cstheme="minorEastAsia"/>
          <w:kern w:val="0"/>
          <w:sz w:val="24"/>
          <w:u w:val="single"/>
          <w:lang w:val="en-US" w:eastAsia="zh-CN"/>
        </w:rPr>
        <w:t>（</w:t>
      </w:r>
      <w:r>
        <w:rPr>
          <w:rFonts w:hint="eastAsia" w:asciiTheme="minorEastAsia" w:hAnsiTheme="minorEastAsia" w:eastAsiaTheme="minorEastAsia" w:cstheme="minorEastAsia"/>
          <w:b/>
          <w:bCs/>
          <w:kern w:val="0"/>
          <w:sz w:val="24"/>
          <w:u w:val="single"/>
          <w:lang w:val="en-US" w:eastAsia="zh-CN"/>
        </w:rPr>
        <w:t>至少）前一个工作日</w:t>
      </w:r>
      <w:r>
        <w:rPr>
          <w:rFonts w:hint="eastAsia" w:asciiTheme="minorEastAsia" w:hAnsiTheme="minorEastAsia" w:eastAsiaTheme="minorEastAsia" w:cstheme="minorEastAsia"/>
          <w:kern w:val="0"/>
          <w:sz w:val="24"/>
          <w:lang w:val="en-US" w:eastAsia="zh-CN"/>
        </w:rPr>
        <w:t>的交易中心</w:t>
      </w:r>
      <w:r>
        <w:rPr>
          <w:rFonts w:hint="eastAsia" w:asciiTheme="minorEastAsia" w:hAnsiTheme="minorEastAsia" w:eastAsiaTheme="minorEastAsia" w:cstheme="minorEastAsia"/>
          <w:b/>
          <w:bCs/>
          <w:kern w:val="0"/>
          <w:sz w:val="24"/>
          <w:u w:val="single"/>
          <w:lang w:val="en-US" w:eastAsia="zh-CN"/>
        </w:rPr>
        <w:t>工作时间内</w:t>
      </w:r>
      <w:r>
        <w:rPr>
          <w:rFonts w:hint="eastAsia" w:asciiTheme="minorEastAsia" w:hAnsiTheme="minorEastAsia" w:eastAsiaTheme="minorEastAsia" w:cstheme="minorEastAsia"/>
          <w:iCs/>
          <w:color w:val="000000" w:themeColor="text1"/>
          <w:sz w:val="24"/>
          <w:lang w:val="en-US" w:eastAsia="zh-CN"/>
          <w14:textFill>
            <w14:solidFill>
              <w14:schemeClr w14:val="tx1"/>
            </w14:solidFill>
          </w14:textFill>
        </w:rPr>
        <w:t>（8:30-12:00，13:30-17:00）</w:t>
      </w:r>
      <w:r>
        <w:rPr>
          <w:rFonts w:hint="eastAsia" w:asciiTheme="minorEastAsia" w:hAnsiTheme="minorEastAsia" w:eastAsiaTheme="minorEastAsia" w:cstheme="minorEastAsia"/>
          <w:kern w:val="0"/>
          <w:sz w:val="24"/>
          <w:lang w:val="en-US" w:eastAsia="zh-CN"/>
        </w:rPr>
        <w:t>上传好投标文件，以便如遇技术故障或操作不熟等情况导致无法上传文件时，有时间联系</w:t>
      </w:r>
      <w:r>
        <w:rPr>
          <w:rFonts w:hint="eastAsia" w:asciiTheme="minorEastAsia" w:hAnsiTheme="minorEastAsia" w:eastAsiaTheme="minorEastAsia" w:cstheme="minorEastAsia"/>
          <w:b/>
          <w:bCs/>
          <w:kern w:val="0"/>
          <w:sz w:val="24"/>
          <w:u w:val="none"/>
          <w:lang w:val="en-US" w:eastAsia="zh-CN"/>
        </w:rPr>
        <w:t>软件部</w:t>
      </w:r>
      <w:r>
        <w:rPr>
          <w:rFonts w:hint="eastAsia" w:asciiTheme="minorEastAsia" w:hAnsiTheme="minorEastAsia" w:eastAsiaTheme="minorEastAsia" w:cstheme="minorEastAsia"/>
          <w:b/>
          <w:bCs/>
          <w:iCs/>
          <w:color w:val="000000" w:themeColor="text1"/>
          <w:sz w:val="24"/>
          <w:u w:val="single"/>
          <w:lang w:eastAsia="zh-CN"/>
          <w14:textFill>
            <w14:solidFill>
              <w14:schemeClr w14:val="tx1"/>
            </w14:solidFill>
          </w14:textFill>
        </w:rPr>
        <w:t>（</w:t>
      </w:r>
      <w:r>
        <w:rPr>
          <w:rFonts w:hint="eastAsia" w:asciiTheme="minorEastAsia" w:hAnsiTheme="minorEastAsia" w:eastAsiaTheme="minorEastAsia" w:cstheme="minorEastAsia"/>
          <w:b/>
          <w:bCs/>
          <w:iCs/>
          <w:color w:val="000000" w:themeColor="text1"/>
          <w:sz w:val="24"/>
          <w:u w:val="single"/>
          <w14:textFill>
            <w14:solidFill>
              <w14:schemeClr w14:val="tx1"/>
            </w14:solidFill>
          </w14:textFill>
        </w:rPr>
        <w:t>0743-8523902</w:t>
      </w:r>
      <w:r>
        <w:rPr>
          <w:rFonts w:hint="eastAsia" w:asciiTheme="minorEastAsia" w:hAnsiTheme="minorEastAsia" w:eastAsiaTheme="minorEastAsia" w:cstheme="minorEastAsia"/>
          <w:b/>
          <w:bCs/>
          <w:iCs/>
          <w:color w:val="000000" w:themeColor="text1"/>
          <w:sz w:val="24"/>
          <w:u w:val="single"/>
          <w:lang w:eastAsia="zh-CN"/>
          <w14:textFill>
            <w14:solidFill>
              <w14:schemeClr w14:val="tx1"/>
            </w14:solidFill>
          </w14:textFill>
        </w:rPr>
        <w:t>）</w:t>
      </w:r>
      <w:r>
        <w:rPr>
          <w:rFonts w:hint="eastAsia" w:asciiTheme="minorEastAsia" w:hAnsiTheme="minorEastAsia" w:eastAsiaTheme="minorEastAsia" w:cstheme="minorEastAsia"/>
          <w:kern w:val="0"/>
          <w:sz w:val="24"/>
          <w:lang w:val="en-US" w:eastAsia="zh-CN"/>
        </w:rPr>
        <w:t>或其他</w:t>
      </w:r>
      <w:r>
        <w:rPr>
          <w:rFonts w:hint="eastAsia" w:asciiTheme="minorEastAsia" w:hAnsiTheme="minorEastAsia" w:eastAsiaTheme="minorEastAsia" w:cstheme="minorEastAsia"/>
          <w:iCs/>
          <w:color w:val="000000" w:themeColor="text1"/>
          <w:sz w:val="24"/>
          <w:lang w:val="en-US" w:eastAsia="zh-CN"/>
          <w14:textFill>
            <w14:solidFill>
              <w14:schemeClr w14:val="tx1"/>
            </w14:solidFill>
          </w14:textFill>
        </w:rPr>
        <w:t>相关科室解决相应情况，若因自留时间不够而无法联系到相关科室及时解决问题导致无法投标的，自行承担后果！</w:t>
      </w:r>
    </w:p>
    <w:p w14:paraId="5379D38D">
      <w:pPr>
        <w:spacing w:line="360" w:lineRule="auto"/>
        <w:ind w:firstLine="480" w:firstLineChars="200"/>
        <w:rPr>
          <w:rFonts w:hint="eastAsia" w:asciiTheme="minorEastAsia" w:hAnsiTheme="minorEastAsia" w:eastAsiaTheme="minorEastAsia" w:cstheme="minorEastAsia"/>
          <w:iCs/>
          <w:color w:val="000000" w:themeColor="text1"/>
          <w:sz w:val="24"/>
          <w:lang w:val="en-US" w:eastAsia="zh-CN"/>
          <w14:textFill>
            <w14:solidFill>
              <w14:schemeClr w14:val="tx1"/>
            </w14:solidFill>
          </w14:textFill>
        </w:rPr>
      </w:pPr>
      <w:r>
        <w:rPr>
          <w:rFonts w:hint="eastAsia" w:asciiTheme="minorEastAsia" w:hAnsiTheme="minorEastAsia" w:eastAsiaTheme="minorEastAsia" w:cstheme="minorEastAsia"/>
          <w:iCs/>
          <w:color w:val="000000" w:themeColor="text1"/>
          <w:sz w:val="24"/>
          <w:lang w:eastAsia="zh-CN"/>
          <w14:textFill>
            <w14:solidFill>
              <w14:schemeClr w14:val="tx1"/>
            </w14:solidFill>
          </w14:textFill>
        </w:rPr>
        <w:t>（</w:t>
      </w:r>
      <w:r>
        <w:rPr>
          <w:rFonts w:hint="eastAsia" w:asciiTheme="minorEastAsia" w:hAnsiTheme="minorEastAsia" w:eastAsiaTheme="minorEastAsia" w:cstheme="minorEastAsia"/>
          <w:iCs/>
          <w:color w:val="000000" w:themeColor="text1"/>
          <w:sz w:val="24"/>
          <w:lang w:val="en-US" w:eastAsia="zh-CN"/>
          <w14:textFill>
            <w14:solidFill>
              <w14:schemeClr w14:val="tx1"/>
            </w14:solidFill>
          </w14:textFill>
        </w:rPr>
        <w:t>3）投标</w:t>
      </w:r>
      <w:r>
        <w:rPr>
          <w:rFonts w:hint="eastAsia" w:asciiTheme="minorEastAsia" w:hAnsiTheme="minorEastAsia" w:eastAsiaTheme="minorEastAsia" w:cstheme="minorEastAsia"/>
          <w:kern w:val="0"/>
          <w:sz w:val="24"/>
          <w:szCs w:val="24"/>
          <w:lang w:val="en-US" w:eastAsia="zh-CN"/>
        </w:rPr>
        <w:t>文件控制在200M以内且单个节点容量不超过50M，</w:t>
      </w:r>
      <w:r>
        <w:rPr>
          <w:rFonts w:hint="eastAsia" w:asciiTheme="minorEastAsia" w:hAnsiTheme="minorEastAsia" w:eastAsiaTheme="minorEastAsia" w:cstheme="minorEastAsia"/>
          <w:iCs/>
          <w:color w:val="000000" w:themeColor="text1"/>
          <w:sz w:val="24"/>
          <w14:textFill>
            <w14:solidFill>
              <w14:schemeClr w14:val="tx1"/>
            </w14:solidFill>
          </w14:textFill>
        </w:rPr>
        <w:t>否则可能无法上传；</w:t>
      </w:r>
      <w:r>
        <w:rPr>
          <w:rFonts w:hint="eastAsia" w:asciiTheme="minorEastAsia" w:hAnsiTheme="minorEastAsia" w:eastAsiaTheme="minorEastAsia" w:cstheme="minorEastAsia"/>
          <w:iCs/>
          <w:color w:val="000000" w:themeColor="text1"/>
          <w:sz w:val="24"/>
          <w:lang w:val="en-US" w:eastAsia="zh-CN"/>
          <w14:textFill>
            <w14:solidFill>
              <w14:schemeClr w14:val="tx1"/>
            </w14:solidFill>
          </w14:textFill>
        </w:rPr>
        <w:t>还</w:t>
      </w:r>
      <w:r>
        <w:rPr>
          <w:rFonts w:hint="eastAsia" w:asciiTheme="minorEastAsia" w:hAnsiTheme="minorEastAsia" w:eastAsiaTheme="minorEastAsia" w:cstheme="minorEastAsia"/>
          <w:iCs/>
          <w:color w:val="000000" w:themeColor="text1"/>
          <w:sz w:val="24"/>
          <w14:textFill>
            <w14:solidFill>
              <w14:schemeClr w14:val="tx1"/>
            </w14:solidFill>
          </w14:textFill>
        </w:rPr>
        <w:t>应注意签章位置，因签章</w:t>
      </w:r>
      <w:r>
        <w:rPr>
          <w:rFonts w:hint="eastAsia" w:asciiTheme="minorEastAsia" w:hAnsiTheme="minorEastAsia" w:eastAsiaTheme="minorEastAsia" w:cstheme="minorEastAsia"/>
          <w:iCs/>
          <w:color w:val="000000" w:themeColor="text1"/>
          <w:sz w:val="24"/>
          <w:lang w:val="en-US" w:eastAsia="zh-CN"/>
          <w14:textFill>
            <w14:solidFill>
              <w14:schemeClr w14:val="tx1"/>
            </w14:solidFill>
          </w14:textFill>
        </w:rPr>
        <w:t>位置使</w:t>
      </w:r>
      <w:r>
        <w:rPr>
          <w:rFonts w:hint="eastAsia" w:asciiTheme="minorEastAsia" w:hAnsiTheme="minorEastAsia" w:eastAsiaTheme="minorEastAsia" w:cstheme="minorEastAsia"/>
          <w:iCs/>
          <w:color w:val="000000" w:themeColor="text1"/>
          <w:sz w:val="24"/>
          <w14:textFill>
            <w14:solidFill>
              <w14:schemeClr w14:val="tx1"/>
            </w14:solidFill>
          </w14:textFill>
        </w:rPr>
        <w:t>内容无法辨认而</w:t>
      </w:r>
      <w:r>
        <w:rPr>
          <w:rFonts w:hint="eastAsia" w:asciiTheme="minorEastAsia" w:hAnsiTheme="minorEastAsia" w:eastAsiaTheme="minorEastAsia" w:cstheme="minorEastAsia"/>
          <w:iCs/>
          <w:color w:val="000000" w:themeColor="text1"/>
          <w:sz w:val="24"/>
          <w:lang w:val="en-US" w:eastAsia="zh-CN"/>
          <w14:textFill>
            <w14:solidFill>
              <w14:schemeClr w14:val="tx1"/>
            </w14:solidFill>
          </w14:textFill>
        </w:rPr>
        <w:t>导致投标</w:t>
      </w:r>
      <w:r>
        <w:rPr>
          <w:rFonts w:hint="eastAsia" w:asciiTheme="minorEastAsia" w:hAnsiTheme="minorEastAsia" w:eastAsiaTheme="minorEastAsia" w:cstheme="minorEastAsia"/>
          <w:iCs/>
          <w:color w:val="000000" w:themeColor="text1"/>
          <w:sz w:val="24"/>
          <w14:textFill>
            <w14:solidFill>
              <w14:schemeClr w14:val="tx1"/>
            </w14:solidFill>
          </w14:textFill>
        </w:rPr>
        <w:t>无效或不予计分的，后果自行承担！</w:t>
      </w:r>
    </w:p>
    <w:p w14:paraId="352C229A">
      <w:pPr>
        <w:spacing w:line="360" w:lineRule="auto"/>
        <w:ind w:firstLine="480" w:firstLineChars="200"/>
        <w:rPr>
          <w:rFonts w:hint="eastAsia" w:asciiTheme="minorEastAsia" w:hAnsiTheme="minorEastAsia" w:eastAsiaTheme="minorEastAsia" w:cstheme="minorEastAsia"/>
          <w:iCs/>
          <w:color w:val="000000" w:themeColor="text1"/>
          <w:sz w:val="24"/>
          <w14:textFill>
            <w14:solidFill>
              <w14:schemeClr w14:val="tx1"/>
            </w14:solidFill>
          </w14:textFill>
        </w:rPr>
      </w:pPr>
      <w:r>
        <w:rPr>
          <w:rFonts w:hint="eastAsia" w:asciiTheme="minorEastAsia" w:hAnsiTheme="minorEastAsia" w:eastAsiaTheme="minorEastAsia" w:cstheme="minorEastAsia"/>
          <w:iCs/>
          <w:color w:val="000000" w:themeColor="text1"/>
          <w:sz w:val="24"/>
          <w:lang w:val="en-US" w:eastAsia="zh-CN"/>
          <w14:textFill>
            <w14:solidFill>
              <w14:schemeClr w14:val="tx1"/>
            </w14:solidFill>
          </w14:textFill>
        </w:rPr>
        <w:t>（4）若</w:t>
      </w:r>
      <w:r>
        <w:rPr>
          <w:rFonts w:hint="eastAsia" w:asciiTheme="minorEastAsia" w:hAnsiTheme="minorEastAsia" w:eastAsiaTheme="minorEastAsia" w:cstheme="minorEastAsia"/>
          <w:iCs/>
          <w:color w:val="000000" w:themeColor="text1"/>
          <w:sz w:val="24"/>
          <w14:textFill>
            <w14:solidFill>
              <w14:schemeClr w14:val="tx1"/>
            </w14:solidFill>
          </w14:textFill>
        </w:rPr>
        <w:t>开标时交易中心出现网络故障、技术故障等情形，采购人和采购代理机构可延长</w:t>
      </w:r>
      <w:r>
        <w:rPr>
          <w:rFonts w:hint="eastAsia" w:asciiTheme="minorEastAsia" w:hAnsiTheme="minorEastAsia" w:eastAsiaTheme="minorEastAsia" w:cstheme="minorEastAsia"/>
          <w:kern w:val="0"/>
          <w:sz w:val="24"/>
          <w:lang w:val="en-US" w:eastAsia="zh-CN"/>
        </w:rPr>
        <w:t>投标</w:t>
      </w:r>
      <w:r>
        <w:rPr>
          <w:rFonts w:hint="eastAsia" w:asciiTheme="minorEastAsia" w:hAnsiTheme="minorEastAsia" w:eastAsiaTheme="minorEastAsia" w:cstheme="minorEastAsia"/>
          <w:iCs/>
          <w:color w:val="000000" w:themeColor="text1"/>
          <w:sz w:val="24"/>
          <w14:textFill>
            <w14:solidFill>
              <w14:schemeClr w14:val="tx1"/>
            </w14:solidFill>
          </w14:textFill>
        </w:rPr>
        <w:t>文件解密时间，以保障</w:t>
      </w:r>
      <w:r>
        <w:rPr>
          <w:rFonts w:hint="eastAsia" w:asciiTheme="minorEastAsia" w:hAnsiTheme="minorEastAsia" w:eastAsiaTheme="minorEastAsia" w:cstheme="minorEastAsia"/>
          <w:iCs/>
          <w:color w:val="000000" w:themeColor="text1"/>
          <w:sz w:val="24"/>
          <w:lang w:val="en-US" w:eastAsia="zh-CN"/>
          <w14:textFill>
            <w14:solidFill>
              <w14:schemeClr w14:val="tx1"/>
            </w14:solidFill>
          </w14:textFill>
        </w:rPr>
        <w:t>采购</w:t>
      </w:r>
      <w:r>
        <w:rPr>
          <w:rFonts w:hint="eastAsia" w:asciiTheme="minorEastAsia" w:hAnsiTheme="minorEastAsia" w:eastAsiaTheme="minorEastAsia" w:cstheme="minorEastAsia"/>
          <w:iCs/>
          <w:color w:val="000000" w:themeColor="text1"/>
          <w:sz w:val="24"/>
          <w14:textFill>
            <w14:solidFill>
              <w14:schemeClr w14:val="tx1"/>
            </w14:solidFill>
          </w14:textFill>
        </w:rPr>
        <w:t>活动的公开、公平和公正，</w:t>
      </w:r>
      <w:r>
        <w:rPr>
          <w:rFonts w:hint="eastAsia" w:asciiTheme="minorEastAsia" w:hAnsiTheme="minorEastAsia" w:eastAsiaTheme="minorEastAsia" w:cstheme="minorEastAsia"/>
          <w:kern w:val="0"/>
          <w:sz w:val="24"/>
          <w:lang w:val="en-US" w:eastAsia="zh-CN"/>
        </w:rPr>
        <w:t>投标人</w:t>
      </w:r>
      <w:r>
        <w:rPr>
          <w:rFonts w:hint="eastAsia" w:asciiTheme="minorEastAsia" w:hAnsiTheme="minorEastAsia" w:eastAsiaTheme="minorEastAsia" w:cstheme="minorEastAsia"/>
          <w:iCs/>
          <w:color w:val="000000" w:themeColor="text1"/>
          <w:sz w:val="24"/>
          <w14:textFill>
            <w14:solidFill>
              <w14:schemeClr w14:val="tx1"/>
            </w14:solidFill>
          </w14:textFill>
        </w:rPr>
        <w:t>不得对此持有异议。</w:t>
      </w:r>
    </w:p>
    <w:p w14:paraId="1FFFB937">
      <w:pPr>
        <w:spacing w:line="360" w:lineRule="auto"/>
        <w:ind w:firstLine="480" w:firstLineChars="200"/>
        <w:rPr>
          <w:rFonts w:hint="eastAsia" w:asciiTheme="minorEastAsia" w:hAnsiTheme="minorEastAsia" w:eastAsiaTheme="minorEastAsia" w:cstheme="minorEastAsia"/>
          <w:iCs/>
          <w:color w:val="000000" w:themeColor="text1"/>
          <w:sz w:val="24"/>
          <w14:textFill>
            <w14:solidFill>
              <w14:schemeClr w14:val="tx1"/>
            </w14:solidFill>
          </w14:textFill>
        </w:rPr>
      </w:pPr>
      <w:r>
        <w:rPr>
          <w:rFonts w:hint="eastAsia" w:asciiTheme="minorEastAsia" w:hAnsiTheme="minorEastAsia" w:eastAsiaTheme="minorEastAsia" w:cstheme="minorEastAsia"/>
          <w:iCs/>
          <w:color w:val="000000" w:themeColor="text1"/>
          <w:sz w:val="24"/>
          <w:lang w:val="en-US" w:eastAsia="zh-CN"/>
          <w14:textFill>
            <w14:solidFill>
              <w14:schemeClr w14:val="tx1"/>
            </w14:solidFill>
          </w14:textFill>
        </w:rPr>
        <w:t>（5）评标期间，</w:t>
      </w:r>
      <w:r>
        <w:rPr>
          <w:rFonts w:hint="eastAsia" w:asciiTheme="minorEastAsia" w:hAnsiTheme="minorEastAsia" w:eastAsiaTheme="minorEastAsia" w:cstheme="minorEastAsia"/>
          <w:kern w:val="0"/>
          <w:sz w:val="24"/>
          <w:lang w:val="en-US" w:eastAsia="zh-CN"/>
        </w:rPr>
        <w:t>投标人仍须由相关责任人</w:t>
      </w:r>
      <w:r>
        <w:rPr>
          <w:rFonts w:hint="eastAsia" w:asciiTheme="minorEastAsia" w:hAnsiTheme="minorEastAsia" w:eastAsiaTheme="minorEastAsia" w:cstheme="minorEastAsia"/>
          <w:iCs/>
          <w:color w:val="000000" w:themeColor="text1"/>
          <w:sz w:val="24"/>
          <w:lang w:val="en-US" w:eastAsia="zh-CN"/>
          <w14:textFill>
            <w14:solidFill>
              <w14:schemeClr w14:val="tx1"/>
            </w14:solidFill>
          </w14:textFill>
        </w:rPr>
        <w:t>值守操作计算机，以及时线上应答评标委员会询标事宜。如因无人值守未及时响应导致影响评标结果的，</w:t>
      </w:r>
      <w:r>
        <w:rPr>
          <w:rFonts w:hint="eastAsia" w:asciiTheme="minorEastAsia" w:hAnsiTheme="minorEastAsia" w:eastAsiaTheme="minorEastAsia" w:cstheme="minorEastAsia"/>
          <w:iCs/>
          <w:color w:val="000000" w:themeColor="text1"/>
          <w:sz w:val="24"/>
          <w14:textFill>
            <w14:solidFill>
              <w14:schemeClr w14:val="tx1"/>
            </w14:solidFill>
          </w14:textFill>
        </w:rPr>
        <w:t>自行承担后果！</w:t>
      </w:r>
    </w:p>
    <w:p w14:paraId="2B9DCAB1">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十一、采购项目联系人姓名和电话</w:t>
      </w:r>
    </w:p>
    <w:p w14:paraId="5F75B4F3">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1.联系人：</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梁芳</w:t>
      </w:r>
      <w:r>
        <w:rPr>
          <w:rFonts w:hint="eastAsia" w:asciiTheme="minorEastAsia" w:hAnsiTheme="minorEastAsia" w:eastAsiaTheme="minorEastAsia" w:cstheme="minorEastAsia"/>
          <w:color w:val="000000" w:themeColor="text1"/>
          <w:sz w:val="24"/>
          <w14:textFill>
            <w14:solidFill>
              <w14:schemeClr w14:val="tx1"/>
            </w14:solidFill>
          </w14:textFill>
        </w:rPr>
        <w:t>、徐林芝</w:t>
      </w:r>
    </w:p>
    <w:p w14:paraId="41ABC783">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2.电  话：</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13789339282</w:t>
      </w:r>
      <w:r>
        <w:rPr>
          <w:rFonts w:hint="eastAsia" w:asciiTheme="minorEastAsia" w:hAnsiTheme="minorEastAsia" w:eastAsiaTheme="minorEastAsia" w:cstheme="minorEastAsia"/>
          <w:color w:val="000000" w:themeColor="text1"/>
          <w:sz w:val="24"/>
          <w14:textFill>
            <w14:solidFill>
              <w14:schemeClr w14:val="tx1"/>
            </w14:solidFill>
          </w14:textFill>
        </w:rPr>
        <w:t>、13574391213</w:t>
      </w:r>
    </w:p>
    <w:p w14:paraId="7611C261">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十二、采购人、采购代理机构的名称、地址和联系方法</w:t>
      </w:r>
    </w:p>
    <w:p w14:paraId="225B029E">
      <w:pPr>
        <w:adjustRightInd w:val="0"/>
        <w:spacing w:line="360" w:lineRule="auto"/>
        <w:ind w:right="-4" w:firstLine="482" w:firstLineChars="20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color w:val="000000" w:themeColor="text1"/>
          <w:kern w:val="0"/>
          <w:sz w:val="24"/>
          <w14:textFill>
            <w14:solidFill>
              <w14:schemeClr w14:val="tx1"/>
            </w14:solidFill>
          </w14:textFill>
        </w:rPr>
        <w:t>1</w:t>
      </w:r>
      <w:r>
        <w:rPr>
          <w:rFonts w:hint="eastAsia" w:asciiTheme="minorEastAsia" w:hAnsiTheme="minorEastAsia" w:eastAsiaTheme="minorEastAsia" w:cstheme="minorEastAsia"/>
          <w:color w:val="000000" w:themeColor="text1"/>
          <w:kern w:val="0"/>
          <w:sz w:val="24"/>
          <w14:textFill>
            <w14:solidFill>
              <w14:schemeClr w14:val="tx1"/>
            </w14:solidFill>
          </w14:textFill>
        </w:rPr>
        <w:t>.</w:t>
      </w:r>
      <w:r>
        <w:rPr>
          <w:rFonts w:hint="eastAsia" w:asciiTheme="minorEastAsia" w:hAnsiTheme="minorEastAsia" w:eastAsiaTheme="minorEastAsia" w:cstheme="minorEastAsia"/>
          <w:b/>
          <w:bCs/>
          <w:color w:val="000000" w:themeColor="text1"/>
          <w:sz w:val="24"/>
          <w14:textFill>
            <w14:solidFill>
              <w14:schemeClr w14:val="tx1"/>
            </w14:solidFill>
          </w14:textFill>
        </w:rPr>
        <w:t>采购人信息</w:t>
      </w:r>
    </w:p>
    <w:p w14:paraId="18803926">
      <w:pPr>
        <w:spacing w:line="360" w:lineRule="auto"/>
        <w:ind w:right="-4" w:firstLine="720" w:firstLineChars="300"/>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rPr>
        <w:t>名  称：</w:t>
      </w:r>
      <w:r>
        <w:rPr>
          <w:rFonts w:hint="eastAsia" w:asciiTheme="minorEastAsia" w:hAnsiTheme="minorEastAsia" w:eastAsiaTheme="minorEastAsia" w:cstheme="minorEastAsia"/>
          <w:sz w:val="24"/>
          <w:szCs w:val="32"/>
          <w:lang w:eastAsia="zh-CN"/>
        </w:rPr>
        <w:t>凤凰县人民医院</w:t>
      </w:r>
    </w:p>
    <w:p w14:paraId="0A1D20CE">
      <w:pPr>
        <w:spacing w:line="360" w:lineRule="auto"/>
        <w:ind w:right="-4" w:firstLine="720" w:firstLineChars="300"/>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rPr>
        <w:t>地  址：</w:t>
      </w:r>
      <w:r>
        <w:rPr>
          <w:rFonts w:hint="eastAsia" w:asciiTheme="minorEastAsia" w:hAnsiTheme="minorEastAsia" w:eastAsiaTheme="minorEastAsia" w:cstheme="minorEastAsia"/>
          <w:sz w:val="24"/>
          <w:szCs w:val="32"/>
          <w:lang w:eastAsia="zh-CN"/>
        </w:rPr>
        <w:t>凤凰县大坳村凤大公路北侧</w:t>
      </w:r>
    </w:p>
    <w:p w14:paraId="1A802294">
      <w:pPr>
        <w:spacing w:line="360" w:lineRule="auto"/>
        <w:ind w:right="-4" w:firstLine="720" w:firstLineChars="300"/>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rPr>
        <w:t>联系人：</w:t>
      </w:r>
      <w:r>
        <w:rPr>
          <w:rFonts w:hint="eastAsia" w:asciiTheme="minorEastAsia" w:hAnsiTheme="minorEastAsia" w:eastAsiaTheme="minorEastAsia" w:cstheme="minorEastAsia"/>
          <w:sz w:val="24"/>
          <w:szCs w:val="32"/>
          <w:lang w:eastAsia="zh-CN"/>
        </w:rPr>
        <w:t>梁芳</w:t>
      </w:r>
    </w:p>
    <w:p w14:paraId="40BB53E5">
      <w:pPr>
        <w:spacing w:line="360" w:lineRule="auto"/>
        <w:ind w:right="-4" w:firstLine="720" w:firstLineChars="300"/>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rPr>
        <w:t>电  话：</w:t>
      </w:r>
      <w:r>
        <w:rPr>
          <w:rFonts w:hint="eastAsia" w:asciiTheme="minorEastAsia" w:hAnsiTheme="minorEastAsia" w:eastAsiaTheme="minorEastAsia" w:cstheme="minorEastAsia"/>
          <w:sz w:val="24"/>
          <w:lang w:eastAsia="zh-CN"/>
        </w:rPr>
        <w:t>13789339282</w:t>
      </w:r>
    </w:p>
    <w:p w14:paraId="6D8E40A5">
      <w:pPr>
        <w:adjustRightInd w:val="0"/>
        <w:spacing w:line="360" w:lineRule="auto"/>
        <w:ind w:right="-4" w:firstLine="482" w:firstLineChars="200"/>
        <w:rPr>
          <w:rFonts w:hint="eastAsia" w:asciiTheme="minorEastAsia" w:hAnsiTheme="minorEastAsia" w:eastAsiaTheme="minorEastAsia" w:cstheme="minorEastAsia"/>
          <w:b/>
          <w:color w:val="000000" w:themeColor="text1"/>
          <w:kern w:val="0"/>
          <w:sz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14:textFill>
            <w14:solidFill>
              <w14:schemeClr w14:val="tx1"/>
            </w14:solidFill>
          </w14:textFill>
        </w:rPr>
        <w:t>2.采购代理机构信息</w:t>
      </w:r>
    </w:p>
    <w:p w14:paraId="0552EC96">
      <w:pPr>
        <w:spacing w:line="360" w:lineRule="auto"/>
        <w:ind w:right="-4" w:firstLine="720" w:firstLineChars="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名  称：湖南品鉴项目管理有限公司</w:t>
      </w:r>
    </w:p>
    <w:p w14:paraId="594AE6AB">
      <w:pPr>
        <w:spacing w:line="360" w:lineRule="auto"/>
        <w:ind w:right="-4" w:firstLine="720" w:firstLineChars="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地  址：</w:t>
      </w:r>
      <w:r>
        <w:rPr>
          <w:rFonts w:hint="eastAsia" w:asciiTheme="minorEastAsia" w:hAnsiTheme="minorEastAsia" w:eastAsiaTheme="minorEastAsia" w:cstheme="minorEastAsia"/>
          <w:kern w:val="0"/>
          <w:sz w:val="24"/>
        </w:rPr>
        <w:t>湖南省吉首市乾州办事处狮子社区黄家垴42号（乾城三智幼儿园旁）</w:t>
      </w:r>
    </w:p>
    <w:p w14:paraId="29802675">
      <w:pPr>
        <w:spacing w:line="360" w:lineRule="auto"/>
        <w:ind w:right="-4" w:firstLine="720" w:firstLineChars="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电  话：</w:t>
      </w:r>
      <w:r>
        <w:rPr>
          <w:rFonts w:hint="eastAsia" w:asciiTheme="minorEastAsia" w:hAnsiTheme="minorEastAsia" w:eastAsiaTheme="minorEastAsia" w:cstheme="minorEastAsia"/>
          <w:color w:val="000000" w:themeColor="text1"/>
          <w:sz w:val="24"/>
          <w14:textFill>
            <w14:solidFill>
              <w14:schemeClr w14:val="tx1"/>
            </w14:solidFill>
          </w14:textFill>
        </w:rPr>
        <w:t>0743-8566116</w:t>
      </w:r>
    </w:p>
    <w:p w14:paraId="34502568">
      <w:pPr>
        <w:spacing w:line="360" w:lineRule="auto"/>
        <w:ind w:right="-4" w:firstLine="720" w:firstLineChars="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联系人：徐林芝</w:t>
      </w:r>
      <w:r>
        <w:rPr>
          <w:rFonts w:hint="eastAsia" w:asciiTheme="minorEastAsia" w:hAnsiTheme="minorEastAsia" w:eastAsiaTheme="minorEastAsia" w:cstheme="minorEastAsia"/>
          <w:color w:val="000000" w:themeColor="text1"/>
          <w:sz w:val="24"/>
          <w14:textFill>
            <w14:solidFill>
              <w14:schemeClr w14:val="tx1"/>
            </w14:solidFill>
          </w14:textFill>
        </w:rPr>
        <w:t>、汤丹华</w:t>
      </w:r>
    </w:p>
    <w:p w14:paraId="01B7C487">
      <w:pPr>
        <w:spacing w:line="360" w:lineRule="auto"/>
        <w:ind w:right="-4" w:firstLine="720" w:firstLineChars="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联系电话：13574391213</w:t>
      </w:r>
    </w:p>
    <w:p w14:paraId="01FB15EF">
      <w:pPr>
        <w:spacing w:line="360" w:lineRule="auto"/>
        <w:ind w:right="-4" w:firstLine="720" w:firstLineChars="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电子邮箱：</w:t>
      </w:r>
      <w:r>
        <w:fldChar w:fldCharType="begin"/>
      </w:r>
      <w:r>
        <w:instrText xml:space="preserve"> HYPERLINK "mailto:2567507714@QQ.com" </w:instrText>
      </w:r>
      <w:r>
        <w:fldChar w:fldCharType="separate"/>
      </w:r>
      <w:r>
        <w:rPr>
          <w:rFonts w:hint="eastAsia" w:asciiTheme="minorEastAsia" w:hAnsiTheme="minorEastAsia" w:eastAsiaTheme="minorEastAsia" w:cstheme="minorEastAsia"/>
          <w:sz w:val="24"/>
          <w:szCs w:val="32"/>
        </w:rPr>
        <w:t>908224912@qq.com</w:t>
      </w:r>
      <w:r>
        <w:rPr>
          <w:rFonts w:hint="eastAsia" w:asciiTheme="minorEastAsia" w:hAnsiTheme="minorEastAsia" w:eastAsiaTheme="minorEastAsia" w:cstheme="minorEastAsia"/>
          <w:sz w:val="24"/>
          <w:szCs w:val="32"/>
        </w:rPr>
        <w:fldChar w:fldCharType="end"/>
      </w:r>
    </w:p>
    <w:p w14:paraId="18852FB8">
      <w:pPr>
        <w:adjustRightInd w:val="0"/>
        <w:spacing w:line="360" w:lineRule="auto"/>
        <w:ind w:right="-4" w:firstLine="482" w:firstLineChars="200"/>
        <w:rPr>
          <w:rFonts w:hint="eastAsia" w:asciiTheme="minorEastAsia" w:hAnsiTheme="minorEastAsia" w:eastAsiaTheme="minorEastAsia" w:cstheme="minorEastAsia"/>
          <w:b/>
          <w:color w:val="000000" w:themeColor="text1"/>
          <w:kern w:val="0"/>
          <w:sz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14:textFill>
            <w14:solidFill>
              <w14:schemeClr w14:val="tx1"/>
            </w14:solidFill>
          </w14:textFill>
        </w:rPr>
        <w:t>3.电子交易平台服务机构信息</w:t>
      </w:r>
    </w:p>
    <w:p w14:paraId="488471AB">
      <w:pPr>
        <w:spacing w:line="360" w:lineRule="auto"/>
        <w:ind w:right="-4" w:firstLine="720" w:firstLineChars="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名  称：湘西州公共资源交易中心</w:t>
      </w:r>
    </w:p>
    <w:p w14:paraId="1C097872">
      <w:pPr>
        <w:spacing w:line="360" w:lineRule="auto"/>
        <w:ind w:right="-4" w:firstLine="720" w:firstLineChars="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电  话：</w:t>
      </w:r>
      <w:r>
        <w:rPr>
          <w:rFonts w:hint="eastAsia" w:asciiTheme="minorEastAsia" w:hAnsiTheme="minorEastAsia" w:eastAsiaTheme="minorEastAsia" w:cstheme="minorEastAsia"/>
          <w:color w:val="000000" w:themeColor="text1"/>
          <w:sz w:val="24"/>
          <w14:textFill>
            <w14:solidFill>
              <w14:schemeClr w14:val="tx1"/>
            </w14:solidFill>
          </w14:textFill>
        </w:rPr>
        <w:t>0743-8523016（采购科）</w:t>
      </w:r>
    </w:p>
    <w:p w14:paraId="325E6E14">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十三、采购代理机构银行财务信息</w:t>
      </w:r>
    </w:p>
    <w:p w14:paraId="6BB1C5BC">
      <w:pPr>
        <w:spacing w:line="360" w:lineRule="auto"/>
        <w:ind w:right="-4" w:firstLine="720" w:firstLineChars="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开户名称：湖南品鉴项目管理有限公司</w:t>
      </w:r>
    </w:p>
    <w:p w14:paraId="1DFBC0A6">
      <w:pPr>
        <w:spacing w:line="360" w:lineRule="auto"/>
        <w:ind w:right="-4" w:firstLine="720" w:firstLineChars="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开 户 行：中国农业银行股份有限公司吉首武陵支行</w:t>
      </w:r>
    </w:p>
    <w:p w14:paraId="5E1A63D0">
      <w:pPr>
        <w:spacing w:line="360" w:lineRule="auto"/>
        <w:ind w:right="-4" w:firstLine="720" w:firstLineChars="3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sz w:val="24"/>
          <w:szCs w:val="32"/>
        </w:rPr>
        <w:t>银行账号：18831101040002223</w:t>
      </w:r>
      <w:bookmarkStart w:id="9" w:name="_Toc31898"/>
      <w:bookmarkStart w:id="10" w:name="_Toc16166"/>
      <w:bookmarkStart w:id="11" w:name="_Toc14969"/>
      <w:bookmarkStart w:id="12" w:name="_Toc13663"/>
      <w:r>
        <w:rPr>
          <w:rFonts w:hint="eastAsia" w:asciiTheme="minorEastAsia" w:hAnsiTheme="minorEastAsia" w:eastAsiaTheme="minorEastAsia" w:cstheme="minorEastAsia"/>
          <w:sz w:val="24"/>
          <w:szCs w:val="32"/>
        </w:rPr>
        <w:br w:type="page"/>
      </w:r>
    </w:p>
    <w:p w14:paraId="357415A7">
      <w:pPr>
        <w:pStyle w:val="3"/>
        <w:spacing w:line="360" w:lineRule="auto"/>
        <w:ind w:right="-61" w:rightChars="-29"/>
        <w:jc w:val="center"/>
        <w:rPr>
          <w:rFonts w:hint="eastAsia" w:asciiTheme="minorEastAsia" w:hAnsiTheme="minorEastAsia" w:eastAsiaTheme="minorEastAsia" w:cstheme="minorEastAsia"/>
          <w:b/>
          <w:bCs w:val="0"/>
          <w:sz w:val="36"/>
          <w:szCs w:val="22"/>
        </w:rPr>
      </w:pPr>
      <w:bookmarkStart w:id="13" w:name="_Toc25854"/>
      <w:r>
        <w:rPr>
          <w:rFonts w:hint="eastAsia" w:asciiTheme="minorEastAsia" w:hAnsiTheme="minorEastAsia" w:eastAsiaTheme="minorEastAsia" w:cstheme="minorEastAsia"/>
          <w:b/>
          <w:bCs w:val="0"/>
          <w:sz w:val="36"/>
          <w:szCs w:val="22"/>
        </w:rPr>
        <w:t>第二章 投标须知</w:t>
      </w:r>
      <w:bookmarkEnd w:id="0"/>
      <w:bookmarkEnd w:id="1"/>
      <w:bookmarkEnd w:id="2"/>
      <w:bookmarkEnd w:id="3"/>
      <w:bookmarkEnd w:id="4"/>
      <w:bookmarkEnd w:id="5"/>
      <w:bookmarkEnd w:id="6"/>
      <w:bookmarkEnd w:id="7"/>
      <w:bookmarkEnd w:id="9"/>
      <w:bookmarkEnd w:id="10"/>
      <w:bookmarkEnd w:id="11"/>
      <w:bookmarkEnd w:id="12"/>
      <w:bookmarkEnd w:id="13"/>
    </w:p>
    <w:p w14:paraId="416F8182">
      <w:pPr>
        <w:pStyle w:val="4"/>
        <w:jc w:val="center"/>
        <w:rPr>
          <w:rFonts w:hint="eastAsia" w:asciiTheme="minorEastAsia" w:hAnsiTheme="minorEastAsia" w:eastAsiaTheme="minorEastAsia" w:cstheme="minorEastAsia"/>
          <w:sz w:val="32"/>
          <w:szCs w:val="40"/>
        </w:rPr>
      </w:pPr>
      <w:bookmarkStart w:id="14" w:name="_Toc8123"/>
      <w:bookmarkStart w:id="15" w:name="_Toc3724"/>
      <w:bookmarkStart w:id="16" w:name="_Toc4285"/>
      <w:bookmarkStart w:id="17" w:name="_Toc27626"/>
      <w:bookmarkStart w:id="18" w:name="_Toc17883"/>
      <w:r>
        <w:rPr>
          <w:rFonts w:hint="eastAsia" w:asciiTheme="minorEastAsia" w:hAnsiTheme="minorEastAsia" w:eastAsiaTheme="minorEastAsia" w:cstheme="minorEastAsia"/>
          <w:sz w:val="32"/>
          <w:szCs w:val="40"/>
        </w:rPr>
        <w:t>第一节 投标须知前附表</w:t>
      </w:r>
      <w:bookmarkEnd w:id="14"/>
      <w:bookmarkEnd w:id="15"/>
      <w:bookmarkEnd w:id="16"/>
      <w:bookmarkEnd w:id="17"/>
      <w:bookmarkEnd w:id="18"/>
    </w:p>
    <w:p w14:paraId="6DC829E5">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表注：本项目启用的条款在“编列内容规定”栏内以“</w:t>
      </w:r>
      <w:r>
        <w:rPr>
          <w:rFonts w:hint="eastAsia" w:asciiTheme="minorEastAsia" w:hAnsiTheme="minorEastAsia" w:eastAsiaTheme="minorEastAsia" w:cstheme="minorEastAsia"/>
          <w:color w:val="000000" w:themeColor="text1"/>
          <w:sz w:val="24"/>
          <w14:textFill>
            <w14:solidFill>
              <w14:schemeClr w14:val="tx1"/>
            </w14:solidFill>
          </w14:textFill>
        </w:rPr>
        <w:sym w:font="Wingdings 2" w:char="0052"/>
      </w:r>
      <w:r>
        <w:rPr>
          <w:rFonts w:hint="eastAsia" w:asciiTheme="minorEastAsia" w:hAnsiTheme="minorEastAsia" w:eastAsiaTheme="minorEastAsia" w:cstheme="minorEastAsia"/>
        </w:rPr>
        <w:t>”标注。</w:t>
      </w:r>
    </w:p>
    <w:tbl>
      <w:tblPr>
        <w:tblStyle w:val="90"/>
        <w:tblW w:w="9774"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1935"/>
        <w:gridCol w:w="6496"/>
      </w:tblGrid>
      <w:tr w14:paraId="4B54BC3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blHeader/>
          <w:jc w:val="center"/>
        </w:trPr>
        <w:tc>
          <w:tcPr>
            <w:tcW w:w="1343" w:type="dxa"/>
            <w:tcBorders>
              <w:tl2br w:val="nil"/>
              <w:tr2bl w:val="nil"/>
            </w:tcBorders>
            <w:vAlign w:val="center"/>
          </w:tcPr>
          <w:p w14:paraId="32FC35F2">
            <w:pPr>
              <w:jc w:val="center"/>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条款号</w:t>
            </w:r>
          </w:p>
        </w:tc>
        <w:tc>
          <w:tcPr>
            <w:tcW w:w="1935" w:type="dxa"/>
            <w:tcBorders>
              <w:tl2br w:val="nil"/>
              <w:tr2bl w:val="nil"/>
            </w:tcBorders>
            <w:vAlign w:val="center"/>
          </w:tcPr>
          <w:p w14:paraId="10AE5338">
            <w:pPr>
              <w:jc w:val="center"/>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条款名称</w:t>
            </w:r>
          </w:p>
        </w:tc>
        <w:tc>
          <w:tcPr>
            <w:tcW w:w="6496" w:type="dxa"/>
            <w:tcBorders>
              <w:tl2br w:val="nil"/>
              <w:tr2bl w:val="nil"/>
            </w:tcBorders>
            <w:vAlign w:val="center"/>
          </w:tcPr>
          <w:p w14:paraId="0ABB37B4">
            <w:pPr>
              <w:jc w:val="center"/>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编列内容规定</w:t>
            </w:r>
          </w:p>
        </w:tc>
      </w:tr>
      <w:tr w14:paraId="3AADC27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74" w:type="dxa"/>
            <w:gridSpan w:val="3"/>
            <w:tcBorders>
              <w:tl2br w:val="nil"/>
              <w:tr2bl w:val="nil"/>
            </w:tcBorders>
            <w:vAlign w:val="center"/>
          </w:tcPr>
          <w:p w14:paraId="0CC69E26">
            <w:pP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一、说明</w:t>
            </w:r>
          </w:p>
        </w:tc>
      </w:tr>
      <w:tr w14:paraId="395AA3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3" w:type="dxa"/>
            <w:tcBorders>
              <w:tl2br w:val="nil"/>
              <w:tr2bl w:val="nil"/>
            </w:tcBorders>
            <w:vAlign w:val="center"/>
          </w:tcPr>
          <w:p w14:paraId="37092A17">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第1.1款</w:t>
            </w:r>
          </w:p>
        </w:tc>
        <w:tc>
          <w:tcPr>
            <w:tcW w:w="1935" w:type="dxa"/>
            <w:tcBorders>
              <w:tl2br w:val="nil"/>
              <w:tr2bl w:val="nil"/>
            </w:tcBorders>
            <w:vAlign w:val="center"/>
          </w:tcPr>
          <w:p w14:paraId="75A0814E">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采购项目</w:t>
            </w:r>
          </w:p>
        </w:tc>
        <w:tc>
          <w:tcPr>
            <w:tcW w:w="6496" w:type="dxa"/>
            <w:tcBorders>
              <w:tl2br w:val="nil"/>
              <w:tr2bl w:val="nil"/>
            </w:tcBorders>
            <w:vAlign w:val="center"/>
          </w:tcPr>
          <w:p w14:paraId="298D7C15">
            <w:pPr>
              <w:spacing w:line="360" w:lineRule="auto"/>
              <w:rPr>
                <w:rFonts w:hint="eastAsia" w:asciiTheme="minorEastAsia" w:hAnsiTheme="minorEastAsia" w:eastAsiaTheme="minorEastAsia" w:cstheme="minorEastAsia"/>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项目名称：</w:t>
            </w:r>
            <w:r>
              <w:rPr>
                <w:rFonts w:hint="eastAsia" w:asciiTheme="minorEastAsia" w:hAnsiTheme="minorEastAsia" w:eastAsiaTheme="minorEastAsia" w:cstheme="minorEastAsia"/>
                <w:color w:val="000000" w:themeColor="text1"/>
                <w:kern w:val="0"/>
                <w:sz w:val="24"/>
                <w:lang w:eastAsia="zh-CN"/>
                <w14:textFill>
                  <w14:solidFill>
                    <w14:schemeClr w14:val="tx1"/>
                  </w14:solidFill>
                </w14:textFill>
              </w:rPr>
              <w:t>凤凰县人民医院县域医共体信息平台建设采购项目</w:t>
            </w:r>
          </w:p>
          <w:p w14:paraId="33DDF717">
            <w:pPr>
              <w:spacing w:line="360" w:lineRule="auto"/>
              <w:rPr>
                <w:rFonts w:hint="eastAsia" w:asciiTheme="minorEastAsia" w:hAnsiTheme="minorEastAsia" w:eastAsiaTheme="minorEastAsia" w:cstheme="minorEastAsia"/>
                <w:color w:val="FF0000"/>
                <w:sz w:val="24"/>
                <w:lang w:eastAsia="zh-CN"/>
              </w:rPr>
            </w:pPr>
            <w:r>
              <w:rPr>
                <w:rFonts w:hint="eastAsia" w:asciiTheme="minorEastAsia" w:hAnsiTheme="minorEastAsia" w:eastAsiaTheme="minorEastAsia" w:cstheme="minorEastAsia"/>
                <w:color w:val="000000" w:themeColor="text1"/>
                <w:sz w:val="24"/>
                <w14:textFill>
                  <w14:solidFill>
                    <w14:schemeClr w14:val="tx1"/>
                  </w14:solidFill>
                </w14:textFill>
              </w:rPr>
              <w:t>政府采购计划编号：</w:t>
            </w:r>
            <w:r>
              <w:rPr>
                <w:rFonts w:hint="eastAsia" w:asciiTheme="minorEastAsia" w:hAnsiTheme="minorEastAsia" w:eastAsiaTheme="minorEastAsia" w:cstheme="minorEastAsia"/>
                <w:color w:val="auto"/>
                <w:kern w:val="0"/>
                <w:sz w:val="24"/>
                <w:lang w:eastAsia="zh-CN"/>
              </w:rPr>
              <w:t>(2026)433123000005-1</w:t>
            </w:r>
          </w:p>
          <w:p w14:paraId="655CEF71">
            <w:pPr>
              <w:spacing w:line="360" w:lineRule="auto"/>
              <w:rPr>
                <w:rFonts w:hint="eastAsia" w:asciiTheme="minorEastAsia" w:hAnsiTheme="minorEastAsia" w:eastAsiaTheme="minorEastAsia" w:cstheme="minorEastAsia"/>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委托代理编号：</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HNPJGZ-2026-001</w:t>
            </w:r>
          </w:p>
        </w:tc>
      </w:tr>
      <w:tr w14:paraId="751F7C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3" w:type="dxa"/>
            <w:tcBorders>
              <w:tl2br w:val="nil"/>
              <w:tr2bl w:val="nil"/>
            </w:tcBorders>
            <w:vAlign w:val="center"/>
          </w:tcPr>
          <w:p w14:paraId="654BFDCA">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第1.2款</w:t>
            </w:r>
          </w:p>
        </w:tc>
        <w:tc>
          <w:tcPr>
            <w:tcW w:w="1935" w:type="dxa"/>
            <w:tcBorders>
              <w:tl2br w:val="nil"/>
              <w:tr2bl w:val="nil"/>
            </w:tcBorders>
            <w:vAlign w:val="center"/>
          </w:tcPr>
          <w:p w14:paraId="2F541F4D">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预留采购份额</w:t>
            </w:r>
          </w:p>
        </w:tc>
        <w:tc>
          <w:tcPr>
            <w:tcW w:w="6496" w:type="dxa"/>
            <w:tcBorders>
              <w:tl2br w:val="nil"/>
              <w:tr2bl w:val="nil"/>
            </w:tcBorders>
            <w:vAlign w:val="center"/>
          </w:tcPr>
          <w:p w14:paraId="49419C8C">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sym w:font="Wingdings 2" w:char="00A3"/>
            </w:r>
            <w:r>
              <w:rPr>
                <w:rFonts w:hint="eastAsia" w:asciiTheme="minorEastAsia" w:hAnsiTheme="minorEastAsia" w:eastAsiaTheme="minorEastAsia" w:cstheme="minorEastAsia"/>
                <w:color w:val="000000" w:themeColor="text1"/>
                <w:sz w:val="24"/>
                <w14:textFill>
                  <w14:solidFill>
                    <w14:schemeClr w14:val="tx1"/>
                  </w14:solidFill>
                </w14:textFill>
              </w:rPr>
              <w:t xml:space="preserve">是   </w:t>
            </w:r>
            <w:r>
              <w:rPr>
                <w:rFonts w:hint="eastAsia" w:asciiTheme="minorEastAsia" w:hAnsiTheme="minorEastAsia" w:eastAsiaTheme="minorEastAsia" w:cstheme="minorEastAsia"/>
                <w:color w:val="000000" w:themeColor="text1"/>
                <w:sz w:val="24"/>
                <w14:textFill>
                  <w14:solidFill>
                    <w14:schemeClr w14:val="tx1"/>
                  </w14:solidFill>
                </w14:textFill>
              </w:rPr>
              <w:sym w:font="Wingdings 2" w:char="0052"/>
            </w:r>
            <w:r>
              <w:rPr>
                <w:rFonts w:hint="eastAsia" w:asciiTheme="minorEastAsia" w:hAnsiTheme="minorEastAsia" w:eastAsiaTheme="minorEastAsia" w:cstheme="minorEastAsia"/>
                <w:color w:val="000000" w:themeColor="text1"/>
                <w:sz w:val="24"/>
                <w14:textFill>
                  <w14:solidFill>
                    <w14:schemeClr w14:val="tx1"/>
                  </w14:solidFill>
                </w14:textFill>
              </w:rPr>
              <w:t>否</w:t>
            </w:r>
          </w:p>
        </w:tc>
      </w:tr>
      <w:tr w14:paraId="36BA7D6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3" w:type="dxa"/>
            <w:tcBorders>
              <w:tl2br w:val="nil"/>
              <w:tr2bl w:val="nil"/>
            </w:tcBorders>
            <w:vAlign w:val="center"/>
          </w:tcPr>
          <w:p w14:paraId="54096B2A">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第2.1</w:t>
            </w:r>
            <w:r>
              <w:rPr>
                <w:rFonts w:hint="eastAsia" w:asciiTheme="minorEastAsia" w:hAnsiTheme="minorEastAsia" w:eastAsiaTheme="minorEastAsia" w:cstheme="minorEastAsia"/>
                <w:color w:val="000000" w:themeColor="text1"/>
                <w:sz w:val="24"/>
                <w:lang w:val="zh-CN"/>
                <w14:textFill>
                  <w14:solidFill>
                    <w14:schemeClr w14:val="tx1"/>
                  </w14:solidFill>
                </w14:textFill>
              </w:rPr>
              <w:t>款</w:t>
            </w:r>
          </w:p>
        </w:tc>
        <w:tc>
          <w:tcPr>
            <w:tcW w:w="1935" w:type="dxa"/>
            <w:tcBorders>
              <w:tl2br w:val="nil"/>
              <w:tr2bl w:val="nil"/>
            </w:tcBorders>
          </w:tcPr>
          <w:p w14:paraId="086111E3">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采购项目联系人姓名和电话</w:t>
            </w:r>
          </w:p>
        </w:tc>
        <w:tc>
          <w:tcPr>
            <w:tcW w:w="6496" w:type="dxa"/>
            <w:tcBorders>
              <w:tl2br w:val="nil"/>
              <w:tr2bl w:val="nil"/>
            </w:tcBorders>
            <w:vAlign w:val="center"/>
          </w:tcPr>
          <w:p w14:paraId="0EF7ECF6">
            <w:pPr>
              <w:spacing w:line="360" w:lineRule="auto"/>
              <w:rPr>
                <w:rFonts w:hint="eastAsia" w:asciiTheme="minorEastAsia" w:hAnsiTheme="minorEastAsia" w:eastAsiaTheme="minorEastAsia" w:cstheme="minorEastAsia"/>
                <w:color w:val="000000" w:themeColor="text1"/>
                <w:sz w:val="24"/>
                <w:szCs w:val="32"/>
                <w14:textFill>
                  <w14:solidFill>
                    <w14:schemeClr w14:val="tx1"/>
                  </w14:solidFill>
                </w14:textFill>
              </w:rPr>
            </w:pPr>
            <w:r>
              <w:rPr>
                <w:rFonts w:hint="eastAsia" w:asciiTheme="minorEastAsia" w:hAnsiTheme="minorEastAsia" w:eastAsiaTheme="minorEastAsia" w:cstheme="minorEastAsia"/>
                <w:color w:val="000000" w:themeColor="text1"/>
                <w:sz w:val="24"/>
                <w:szCs w:val="32"/>
                <w14:textFill>
                  <w14:solidFill>
                    <w14:schemeClr w14:val="tx1"/>
                  </w14:solidFill>
                </w14:textFill>
              </w:rPr>
              <w:t>联 系 人：</w:t>
            </w:r>
            <w:r>
              <w:rPr>
                <w:rFonts w:hint="eastAsia" w:asciiTheme="minorEastAsia" w:hAnsiTheme="minorEastAsia" w:eastAsiaTheme="minorEastAsia" w:cstheme="minorEastAsia"/>
                <w:color w:val="000000" w:themeColor="text1"/>
                <w:sz w:val="24"/>
                <w:szCs w:val="32"/>
                <w:lang w:eastAsia="zh-CN"/>
                <w14:textFill>
                  <w14:solidFill>
                    <w14:schemeClr w14:val="tx1"/>
                  </w14:solidFill>
                </w14:textFill>
              </w:rPr>
              <w:t>梁芳</w:t>
            </w:r>
            <w:r>
              <w:rPr>
                <w:rFonts w:hint="eastAsia" w:asciiTheme="minorEastAsia" w:hAnsiTheme="minorEastAsia" w:eastAsiaTheme="minorEastAsia" w:cstheme="minorEastAsia"/>
                <w:color w:val="000000" w:themeColor="text1"/>
                <w:sz w:val="24"/>
                <w:szCs w:val="32"/>
                <w14:textFill>
                  <w14:solidFill>
                    <w14:schemeClr w14:val="tx1"/>
                  </w14:solidFill>
                </w14:textFill>
              </w:rPr>
              <w:t>、徐林芝</w:t>
            </w:r>
          </w:p>
          <w:p w14:paraId="584A5562">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szCs w:val="32"/>
                <w14:textFill>
                  <w14:solidFill>
                    <w14:schemeClr w14:val="tx1"/>
                  </w14:solidFill>
                </w14:textFill>
              </w:rPr>
              <w:t>电    话：</w:t>
            </w:r>
            <w:r>
              <w:rPr>
                <w:rFonts w:hint="eastAsia" w:asciiTheme="minorEastAsia" w:hAnsiTheme="minorEastAsia" w:eastAsiaTheme="minorEastAsia" w:cstheme="minorEastAsia"/>
                <w:color w:val="000000" w:themeColor="text1"/>
                <w:sz w:val="24"/>
                <w:szCs w:val="32"/>
                <w:lang w:eastAsia="zh-CN"/>
                <w14:textFill>
                  <w14:solidFill>
                    <w14:schemeClr w14:val="tx1"/>
                  </w14:solidFill>
                </w14:textFill>
              </w:rPr>
              <w:t>13789339282</w:t>
            </w:r>
            <w:r>
              <w:rPr>
                <w:rFonts w:hint="eastAsia" w:asciiTheme="minorEastAsia" w:hAnsiTheme="minorEastAsia" w:eastAsiaTheme="minorEastAsia" w:cstheme="minorEastAsia"/>
                <w:color w:val="000000" w:themeColor="text1"/>
                <w:sz w:val="24"/>
                <w:szCs w:val="32"/>
                <w14:textFill>
                  <w14:solidFill>
                    <w14:schemeClr w14:val="tx1"/>
                  </w14:solidFill>
                </w14:textFill>
              </w:rPr>
              <w:t>、13574391213</w:t>
            </w:r>
          </w:p>
        </w:tc>
      </w:tr>
      <w:tr w14:paraId="1A7D8A1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3" w:type="dxa"/>
            <w:tcBorders>
              <w:tl2br w:val="nil"/>
              <w:tr2bl w:val="nil"/>
            </w:tcBorders>
            <w:vAlign w:val="center"/>
          </w:tcPr>
          <w:p w14:paraId="2B698201">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第2.2款</w:t>
            </w:r>
          </w:p>
        </w:tc>
        <w:tc>
          <w:tcPr>
            <w:tcW w:w="1935" w:type="dxa"/>
            <w:tcBorders>
              <w:tl2br w:val="nil"/>
              <w:tr2bl w:val="nil"/>
            </w:tcBorders>
            <w:vAlign w:val="center"/>
          </w:tcPr>
          <w:p w14:paraId="09AD32F0">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采购人名称、</w:t>
            </w:r>
          </w:p>
          <w:p w14:paraId="5487DB1B">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地址、联系人、</w:t>
            </w:r>
          </w:p>
          <w:p w14:paraId="7AED844E">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电话</w:t>
            </w:r>
          </w:p>
        </w:tc>
        <w:tc>
          <w:tcPr>
            <w:tcW w:w="6496" w:type="dxa"/>
            <w:tcBorders>
              <w:tl2br w:val="nil"/>
              <w:tr2bl w:val="nil"/>
            </w:tcBorders>
            <w:vAlign w:val="center"/>
          </w:tcPr>
          <w:p w14:paraId="04F99AF4">
            <w:pPr>
              <w:spacing w:line="360" w:lineRule="auto"/>
              <w:rPr>
                <w:rFonts w:hint="eastAsia" w:asciiTheme="minorEastAsia" w:hAnsiTheme="minorEastAsia" w:eastAsiaTheme="minorEastAsia" w:cstheme="minorEastAsia"/>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名    称：</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凤凰县人民医院</w:t>
            </w:r>
          </w:p>
          <w:p w14:paraId="76BA246E">
            <w:pPr>
              <w:spacing w:line="360" w:lineRule="auto"/>
              <w:ind w:left="1200" w:hanging="1200" w:hangingChars="500"/>
              <w:rPr>
                <w:rFonts w:hint="eastAsia" w:asciiTheme="minorEastAsia" w:hAnsiTheme="minorEastAsia" w:eastAsiaTheme="minorEastAsia" w:cstheme="minorEastAsia"/>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地    址：</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凤凰县大坳村凤大公路北侧</w:t>
            </w:r>
          </w:p>
          <w:p w14:paraId="5E148D17">
            <w:pPr>
              <w:spacing w:line="360" w:lineRule="auto"/>
              <w:rPr>
                <w:rFonts w:hint="eastAsia" w:asciiTheme="minorEastAsia" w:hAnsiTheme="minorEastAsia" w:eastAsiaTheme="minorEastAsia" w:cstheme="minorEastAsia"/>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联 系 人：</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梁芳</w:t>
            </w:r>
          </w:p>
          <w:p w14:paraId="55759262">
            <w:pPr>
              <w:spacing w:line="360" w:lineRule="auto"/>
              <w:rPr>
                <w:rFonts w:hint="eastAsia" w:asciiTheme="minorEastAsia" w:hAnsiTheme="minorEastAsia" w:eastAsiaTheme="minorEastAsia" w:cstheme="minorEastAsia"/>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电    话：</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13789339282</w:t>
            </w:r>
          </w:p>
        </w:tc>
      </w:tr>
      <w:tr w14:paraId="1B24512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3" w:type="dxa"/>
            <w:tcBorders>
              <w:tl2br w:val="nil"/>
              <w:tr2bl w:val="nil"/>
            </w:tcBorders>
            <w:vAlign w:val="center"/>
          </w:tcPr>
          <w:p w14:paraId="5D26D7E3">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第2.3款</w:t>
            </w:r>
          </w:p>
        </w:tc>
        <w:tc>
          <w:tcPr>
            <w:tcW w:w="1935" w:type="dxa"/>
            <w:tcBorders>
              <w:tl2br w:val="nil"/>
              <w:tr2bl w:val="nil"/>
            </w:tcBorders>
            <w:vAlign w:val="center"/>
          </w:tcPr>
          <w:p w14:paraId="36350944">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采购代理机构名称、地址、联系人、电话</w:t>
            </w:r>
          </w:p>
        </w:tc>
        <w:tc>
          <w:tcPr>
            <w:tcW w:w="6496" w:type="dxa"/>
            <w:tcBorders>
              <w:tl2br w:val="nil"/>
              <w:tr2bl w:val="nil"/>
            </w:tcBorders>
            <w:vAlign w:val="center"/>
          </w:tcPr>
          <w:p w14:paraId="2BB13B77">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名    称：湖南品鉴项目管理有限公司</w:t>
            </w:r>
          </w:p>
          <w:p w14:paraId="4942FBD4">
            <w:pPr>
              <w:spacing w:line="360" w:lineRule="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地    址：</w:t>
            </w:r>
            <w:r>
              <w:rPr>
                <w:rFonts w:hint="eastAsia" w:asciiTheme="minorEastAsia" w:hAnsiTheme="minorEastAsia" w:eastAsiaTheme="minorEastAsia" w:cstheme="minorEastAsia"/>
                <w:kern w:val="0"/>
                <w:sz w:val="24"/>
              </w:rPr>
              <w:t>湖南省吉首市乾州办事处狮子社区黄家垴42号</w:t>
            </w:r>
          </w:p>
          <w:p w14:paraId="29C3C551">
            <w:pPr>
              <w:spacing w:line="360" w:lineRule="auto"/>
              <w:ind w:firstLine="1200" w:firstLineChars="5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（乾城三智幼儿园旁）</w:t>
            </w:r>
          </w:p>
          <w:p w14:paraId="56756AF9">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电    话：0743-8566116</w:t>
            </w:r>
          </w:p>
          <w:p w14:paraId="7195B549">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联 系 人：徐林芝</w:t>
            </w:r>
          </w:p>
          <w:p w14:paraId="1758A1C4">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联系电话：13574391213</w:t>
            </w:r>
          </w:p>
          <w:p w14:paraId="3E429393">
            <w:pPr>
              <w:spacing w:line="360" w:lineRule="auto"/>
              <w:ind w:right="-4"/>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szCs w:val="32"/>
              </w:rPr>
              <w:t>电子邮箱：</w:t>
            </w:r>
            <w:r>
              <w:fldChar w:fldCharType="begin"/>
            </w:r>
            <w:r>
              <w:instrText xml:space="preserve"> HYPERLINK "mailto:2567507714@QQ.com" </w:instrText>
            </w:r>
            <w:r>
              <w:fldChar w:fldCharType="separate"/>
            </w:r>
            <w:r>
              <w:rPr>
                <w:rFonts w:hint="eastAsia" w:asciiTheme="minorEastAsia" w:hAnsiTheme="minorEastAsia" w:eastAsiaTheme="minorEastAsia" w:cstheme="minorEastAsia"/>
                <w:sz w:val="24"/>
                <w:szCs w:val="32"/>
              </w:rPr>
              <w:t>908224912@qq.com</w:t>
            </w:r>
            <w:r>
              <w:rPr>
                <w:rFonts w:hint="eastAsia" w:asciiTheme="minorEastAsia" w:hAnsiTheme="minorEastAsia" w:eastAsiaTheme="minorEastAsia" w:cstheme="minorEastAsia"/>
                <w:sz w:val="24"/>
                <w:szCs w:val="32"/>
              </w:rPr>
              <w:fldChar w:fldCharType="end"/>
            </w:r>
          </w:p>
        </w:tc>
      </w:tr>
      <w:tr w14:paraId="22AD78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3" w:type="dxa"/>
            <w:tcBorders>
              <w:tl2br w:val="nil"/>
              <w:tr2bl w:val="nil"/>
            </w:tcBorders>
            <w:vAlign w:val="center"/>
          </w:tcPr>
          <w:p w14:paraId="5B4A54CE">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第3.1</w:t>
            </w:r>
            <w:r>
              <w:rPr>
                <w:rFonts w:hint="eastAsia" w:asciiTheme="minorEastAsia" w:hAnsiTheme="minorEastAsia" w:eastAsiaTheme="minorEastAsia" w:cstheme="minorEastAsia"/>
                <w:color w:val="000000" w:themeColor="text1"/>
                <w:sz w:val="24"/>
                <w:lang w:val="zh-CN"/>
                <w14:textFill>
                  <w14:solidFill>
                    <w14:schemeClr w14:val="tx1"/>
                  </w14:solidFill>
                </w14:textFill>
              </w:rPr>
              <w:t>款</w:t>
            </w:r>
          </w:p>
        </w:tc>
        <w:tc>
          <w:tcPr>
            <w:tcW w:w="1935" w:type="dxa"/>
            <w:tcBorders>
              <w:tl2br w:val="nil"/>
              <w:tr2bl w:val="nil"/>
            </w:tcBorders>
            <w:vAlign w:val="center"/>
          </w:tcPr>
          <w:p w14:paraId="4DA4448B">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投标人资格条件</w:t>
            </w:r>
          </w:p>
        </w:tc>
        <w:tc>
          <w:tcPr>
            <w:tcW w:w="6496" w:type="dxa"/>
            <w:tcBorders>
              <w:tl2br w:val="nil"/>
              <w:tr2bl w:val="nil"/>
            </w:tcBorders>
            <w:vAlign w:val="center"/>
          </w:tcPr>
          <w:p w14:paraId="31E65CF1">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1.基本资格条件：投标人必须是在中华人民共和国境内注册登记的法人、非法人组织或者自然人，且应当符合</w:t>
            </w:r>
            <w:r>
              <w:rPr>
                <w:rFonts w:hint="eastAsia" w:asciiTheme="minorEastAsia" w:hAnsiTheme="minorEastAsia" w:eastAsiaTheme="minorEastAsia" w:cstheme="minorEastAsia"/>
                <w:sz w:val="24"/>
                <w:lang w:eastAsia="zh-CN"/>
              </w:rPr>
              <w:t>《中华人民共和国政府采购法》</w:t>
            </w:r>
            <w:r>
              <w:rPr>
                <w:rFonts w:hint="eastAsia" w:asciiTheme="minorEastAsia" w:hAnsiTheme="minorEastAsia" w:eastAsiaTheme="minorEastAsia" w:cstheme="minorEastAsia"/>
                <w:sz w:val="24"/>
              </w:rPr>
              <w:t>第二十二条的规定。</w:t>
            </w:r>
          </w:p>
          <w:p w14:paraId="6D885839">
            <w:pPr>
              <w:spacing w:line="360" w:lineRule="auto"/>
              <w:rPr>
                <w:rFonts w:eastAsiaTheme="minorEastAsia"/>
              </w:rPr>
            </w:pPr>
            <w:r>
              <w:rPr>
                <w:rFonts w:hint="eastAsia" w:asciiTheme="minorEastAsia" w:hAnsiTheme="minorEastAsia" w:eastAsiaTheme="minorEastAsia" w:cstheme="minorEastAsia"/>
                <w:sz w:val="24"/>
              </w:rPr>
              <w:t>2.本项目特定资格条件：无</w:t>
            </w:r>
          </w:p>
        </w:tc>
      </w:tr>
      <w:tr w14:paraId="3F5CC7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3" w:type="dxa"/>
            <w:tcBorders>
              <w:tl2br w:val="nil"/>
              <w:tr2bl w:val="nil"/>
            </w:tcBorders>
            <w:vAlign w:val="center"/>
          </w:tcPr>
          <w:p w14:paraId="73EBC8C1">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第3.2</w:t>
            </w:r>
            <w:r>
              <w:rPr>
                <w:rFonts w:hint="eastAsia" w:asciiTheme="minorEastAsia" w:hAnsiTheme="minorEastAsia" w:eastAsiaTheme="minorEastAsia" w:cstheme="minorEastAsia"/>
                <w:color w:val="000000" w:themeColor="text1"/>
                <w:sz w:val="24"/>
                <w:lang w:val="zh-CN"/>
                <w14:textFill>
                  <w14:solidFill>
                    <w14:schemeClr w14:val="tx1"/>
                  </w14:solidFill>
                </w14:textFill>
              </w:rPr>
              <w:t>款</w:t>
            </w:r>
          </w:p>
        </w:tc>
        <w:tc>
          <w:tcPr>
            <w:tcW w:w="1935" w:type="dxa"/>
            <w:tcBorders>
              <w:tl2br w:val="nil"/>
              <w:tr2bl w:val="nil"/>
            </w:tcBorders>
            <w:vAlign w:val="center"/>
          </w:tcPr>
          <w:p w14:paraId="37817E36">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联合体形式投标</w:t>
            </w:r>
          </w:p>
        </w:tc>
        <w:tc>
          <w:tcPr>
            <w:tcW w:w="6496" w:type="dxa"/>
            <w:tcBorders>
              <w:tl2br w:val="nil"/>
              <w:tr2bl w:val="nil"/>
            </w:tcBorders>
            <w:vAlign w:val="center"/>
          </w:tcPr>
          <w:p w14:paraId="06F79A13">
            <w:pPr>
              <w:adjustRightInd w:val="0"/>
              <w:snapToGrid w:val="0"/>
              <w:spacing w:line="360" w:lineRule="auto"/>
              <w:rPr>
                <w:rFonts w:hint="eastAsia" w:ascii="宋体" w:hAnsi="宋体" w:eastAsia="宋体" w:cs="宋体"/>
                <w:kern w:val="0"/>
                <w:sz w:val="24"/>
                <w:lang w:eastAsia="zh-CN"/>
              </w:rPr>
            </w:pPr>
            <w:r>
              <w:rPr>
                <w:rFonts w:hint="eastAsia" w:asciiTheme="minorEastAsia" w:hAnsiTheme="minorEastAsia" w:eastAsiaTheme="minorEastAsia" w:cstheme="minorEastAsia"/>
                <w:sz w:val="24"/>
                <w:lang w:val="zh-CN" w:eastAsia="zh-CN"/>
              </w:rPr>
              <w:sym w:font="Wingdings 2" w:char="00A3"/>
            </w:r>
            <w:r>
              <w:rPr>
                <w:rFonts w:hint="eastAsia" w:asciiTheme="minorEastAsia" w:hAnsiTheme="minorEastAsia" w:eastAsiaTheme="minorEastAsia" w:cstheme="minorEastAsia"/>
                <w:sz w:val="24"/>
                <w:lang w:val="zh-CN"/>
              </w:rPr>
              <w:t>接受</w:t>
            </w:r>
          </w:p>
          <w:p w14:paraId="2B941224">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zh-CN" w:eastAsia="zh-CN"/>
              </w:rPr>
              <w:sym w:font="Wingdings 2" w:char="0052"/>
            </w:r>
            <w:r>
              <w:rPr>
                <w:rFonts w:hint="eastAsia" w:asciiTheme="minorEastAsia" w:hAnsiTheme="minorEastAsia" w:eastAsiaTheme="minorEastAsia" w:cstheme="minorEastAsia"/>
                <w:sz w:val="24"/>
                <w:lang w:val="zh-CN"/>
              </w:rPr>
              <w:t>不接受</w:t>
            </w:r>
          </w:p>
        </w:tc>
      </w:tr>
      <w:tr w14:paraId="08961AD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3" w:type="dxa"/>
            <w:tcBorders>
              <w:tl2br w:val="nil"/>
              <w:tr2bl w:val="nil"/>
            </w:tcBorders>
            <w:vAlign w:val="center"/>
          </w:tcPr>
          <w:p w14:paraId="6566FD84">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第5.2</w:t>
            </w:r>
            <w:r>
              <w:rPr>
                <w:rFonts w:hint="eastAsia" w:asciiTheme="minorEastAsia" w:hAnsiTheme="minorEastAsia" w:eastAsiaTheme="minorEastAsia" w:cstheme="minorEastAsia"/>
                <w:color w:val="000000" w:themeColor="text1"/>
                <w:sz w:val="24"/>
                <w:lang w:val="zh-CN"/>
                <w14:textFill>
                  <w14:solidFill>
                    <w14:schemeClr w14:val="tx1"/>
                  </w14:solidFill>
                </w14:textFill>
              </w:rPr>
              <w:t>款</w:t>
            </w:r>
          </w:p>
        </w:tc>
        <w:tc>
          <w:tcPr>
            <w:tcW w:w="1935" w:type="dxa"/>
            <w:tcBorders>
              <w:tl2br w:val="nil"/>
              <w:tr2bl w:val="nil"/>
            </w:tcBorders>
            <w:vAlign w:val="center"/>
          </w:tcPr>
          <w:p w14:paraId="3B188DB7">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组织现场考察</w:t>
            </w:r>
          </w:p>
          <w:p w14:paraId="38017A60">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或者召开答疑会</w:t>
            </w:r>
          </w:p>
        </w:tc>
        <w:tc>
          <w:tcPr>
            <w:tcW w:w="6496" w:type="dxa"/>
            <w:tcBorders>
              <w:tl2br w:val="nil"/>
              <w:tr2bl w:val="nil"/>
            </w:tcBorders>
            <w:vAlign w:val="center"/>
          </w:tcPr>
          <w:p w14:paraId="2BC086FF">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□组织</w:t>
            </w:r>
          </w:p>
          <w:p w14:paraId="1407C17A">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sym w:font="Wingdings 2" w:char="0052"/>
            </w:r>
            <w:r>
              <w:rPr>
                <w:rFonts w:hint="eastAsia" w:asciiTheme="minorEastAsia" w:hAnsiTheme="minorEastAsia" w:eastAsiaTheme="minorEastAsia" w:cstheme="minorEastAsia"/>
                <w:color w:val="000000" w:themeColor="text1"/>
                <w:sz w:val="24"/>
                <w14:textFill>
                  <w14:solidFill>
                    <w14:schemeClr w14:val="tx1"/>
                  </w14:solidFill>
                </w14:textFill>
              </w:rPr>
              <w:t>不组织</w:t>
            </w:r>
          </w:p>
        </w:tc>
      </w:tr>
      <w:tr w14:paraId="019DCC1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774" w:type="dxa"/>
            <w:gridSpan w:val="3"/>
            <w:tcBorders>
              <w:tl2br w:val="nil"/>
              <w:tr2bl w:val="nil"/>
            </w:tcBorders>
            <w:vAlign w:val="center"/>
          </w:tcPr>
          <w:p w14:paraId="018FB84B">
            <w:pP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二、招标文件</w:t>
            </w:r>
          </w:p>
        </w:tc>
      </w:tr>
      <w:tr w14:paraId="585E11D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343" w:type="dxa"/>
            <w:tcBorders>
              <w:tl2br w:val="nil"/>
              <w:tr2bl w:val="nil"/>
            </w:tcBorders>
            <w:vAlign w:val="center"/>
          </w:tcPr>
          <w:p w14:paraId="1DAB8D10">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第7.4款</w:t>
            </w:r>
          </w:p>
        </w:tc>
        <w:tc>
          <w:tcPr>
            <w:tcW w:w="1935" w:type="dxa"/>
            <w:tcBorders>
              <w:tl2br w:val="nil"/>
              <w:tr2bl w:val="nil"/>
            </w:tcBorders>
            <w:vAlign w:val="center"/>
          </w:tcPr>
          <w:p w14:paraId="594F63B5">
            <w:pPr>
              <w:spacing w:line="336"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非实质性偏离</w:t>
            </w:r>
          </w:p>
          <w:p w14:paraId="55B0ED7B">
            <w:pPr>
              <w:spacing w:line="336"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的范围和幅度</w:t>
            </w:r>
          </w:p>
        </w:tc>
        <w:tc>
          <w:tcPr>
            <w:tcW w:w="6496" w:type="dxa"/>
            <w:tcBorders>
              <w:tl2br w:val="nil"/>
              <w:tr2bl w:val="nil"/>
            </w:tcBorders>
            <w:vAlign w:val="center"/>
          </w:tcPr>
          <w:p w14:paraId="7F937E37">
            <w:pPr>
              <w:spacing w:line="336" w:lineRule="auto"/>
              <w:jc w:val="left"/>
              <w:rPr>
                <w:rFonts w:hint="default" w:asciiTheme="minorEastAsia" w:hAnsiTheme="minorEastAsia" w:eastAsiaTheme="minorEastAsia" w:cs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≤30项</w:t>
            </w:r>
          </w:p>
        </w:tc>
      </w:tr>
      <w:tr w14:paraId="7DBEC10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343" w:type="dxa"/>
            <w:vMerge w:val="restart"/>
            <w:tcBorders>
              <w:tl2br w:val="nil"/>
              <w:tr2bl w:val="nil"/>
            </w:tcBorders>
            <w:vAlign w:val="center"/>
          </w:tcPr>
          <w:p w14:paraId="2BDE7949">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第9.1款</w:t>
            </w:r>
          </w:p>
        </w:tc>
        <w:tc>
          <w:tcPr>
            <w:tcW w:w="1935" w:type="dxa"/>
            <w:tcBorders>
              <w:tl2br w:val="nil"/>
              <w:tr2bl w:val="nil"/>
            </w:tcBorders>
            <w:vAlign w:val="center"/>
          </w:tcPr>
          <w:p w14:paraId="10DFB0C0">
            <w:pPr>
              <w:spacing w:line="336"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招标公告</w:t>
            </w:r>
          </w:p>
          <w:p w14:paraId="708C774F">
            <w:pPr>
              <w:spacing w:line="336"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指定的媒体</w:t>
            </w:r>
          </w:p>
        </w:tc>
        <w:tc>
          <w:tcPr>
            <w:tcW w:w="6496" w:type="dxa"/>
            <w:tcBorders>
              <w:tl2br w:val="nil"/>
              <w:tr2bl w:val="nil"/>
            </w:tcBorders>
            <w:vAlign w:val="center"/>
          </w:tcPr>
          <w:p w14:paraId="57CA0F6E">
            <w:pPr>
              <w:spacing w:line="336"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《中国湖南政府采购网》（http://www.ccgp-hunan.gov.cn）</w:t>
            </w:r>
          </w:p>
        </w:tc>
      </w:tr>
      <w:tr w14:paraId="07DB98A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343" w:type="dxa"/>
            <w:vMerge w:val="continue"/>
            <w:tcBorders>
              <w:tl2br w:val="nil"/>
              <w:tr2bl w:val="nil"/>
            </w:tcBorders>
            <w:vAlign w:val="center"/>
          </w:tcPr>
          <w:p w14:paraId="19FF3F99">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p>
        </w:tc>
        <w:tc>
          <w:tcPr>
            <w:tcW w:w="1935" w:type="dxa"/>
            <w:tcBorders>
              <w:tl2br w:val="nil"/>
              <w:tr2bl w:val="nil"/>
            </w:tcBorders>
            <w:vAlign w:val="center"/>
          </w:tcPr>
          <w:p w14:paraId="70378A59">
            <w:pPr>
              <w:spacing w:line="336"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信息公告媒体</w:t>
            </w:r>
          </w:p>
        </w:tc>
        <w:tc>
          <w:tcPr>
            <w:tcW w:w="6496" w:type="dxa"/>
            <w:tcBorders>
              <w:tl2br w:val="nil"/>
              <w:tr2bl w:val="nil"/>
            </w:tcBorders>
          </w:tcPr>
          <w:p w14:paraId="1DC37A43">
            <w:pPr>
              <w:spacing w:line="336" w:lineRule="auto"/>
              <w:jc w:val="left"/>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《中国湖南政府采购网》（</w:t>
            </w:r>
            <w:r>
              <w:fldChar w:fldCharType="begin"/>
            </w:r>
            <w:r>
              <w:instrText xml:space="preserve"> HYPERLINK "http://ccgp-hunan.gov.cn/" </w:instrText>
            </w:r>
            <w:r>
              <w:fldChar w:fldCharType="separate"/>
            </w:r>
            <w:r>
              <w:rPr>
                <w:rFonts w:hint="eastAsia" w:asciiTheme="minorEastAsia" w:hAnsiTheme="minorEastAsia" w:eastAsiaTheme="minorEastAsia" w:cstheme="minorEastAsia"/>
                <w:color w:val="000000" w:themeColor="text1"/>
                <w:sz w:val="24"/>
                <w14:textFill>
                  <w14:solidFill>
                    <w14:schemeClr w14:val="tx1"/>
                  </w14:solidFill>
                </w14:textFill>
              </w:rPr>
              <w:t>http://ccgp</w:t>
            </w:r>
            <w:r>
              <w:rPr>
                <w:rFonts w:hint="eastAsia" w:asciiTheme="minorEastAsia" w:hAnsiTheme="minorEastAsia" w:eastAsiaTheme="minorEastAsia" w:cstheme="minorEastAsia"/>
                <w:color w:val="000000" w:themeColor="text1"/>
                <w:sz w:val="24"/>
                <w14:textFill>
                  <w14:solidFill>
                    <w14:schemeClr w14:val="tx1"/>
                  </w14:solidFill>
                </w14:textFill>
              </w:rPr>
              <w:fldChar w:fldCharType="end"/>
            </w:r>
            <w:r>
              <w:fldChar w:fldCharType="begin"/>
            </w:r>
            <w:r>
              <w:instrText xml:space="preserve"> HYPERLINK "http://ccgp-hunan.gov.cn/" </w:instrText>
            </w:r>
            <w:r>
              <w:fldChar w:fldCharType="separate"/>
            </w:r>
            <w:r>
              <w:rPr>
                <w:rFonts w:hint="eastAsia" w:asciiTheme="minorEastAsia" w:hAnsiTheme="minorEastAsia" w:eastAsiaTheme="minorEastAsia" w:cstheme="minorEastAsia"/>
                <w:color w:val="000000" w:themeColor="text1"/>
                <w:sz w:val="24"/>
                <w14:textFill>
                  <w14:solidFill>
                    <w14:schemeClr w14:val="tx1"/>
                  </w14:solidFill>
                </w14:textFill>
              </w:rPr>
              <w:t>-</w:t>
            </w:r>
            <w:r>
              <w:rPr>
                <w:rFonts w:hint="eastAsia" w:asciiTheme="minorEastAsia" w:hAnsiTheme="minorEastAsia" w:eastAsiaTheme="minorEastAsia" w:cstheme="minorEastAsia"/>
                <w:color w:val="000000" w:themeColor="text1"/>
                <w:sz w:val="24"/>
                <w14:textFill>
                  <w14:solidFill>
                    <w14:schemeClr w14:val="tx1"/>
                  </w14:solidFill>
                </w14:textFill>
              </w:rPr>
              <w:fldChar w:fldCharType="end"/>
            </w:r>
            <w:r>
              <w:fldChar w:fldCharType="begin"/>
            </w:r>
            <w:r>
              <w:instrText xml:space="preserve"> HYPERLINK "http://ccgp-hunan.gov.cn/" </w:instrText>
            </w:r>
            <w:r>
              <w:fldChar w:fldCharType="separate"/>
            </w:r>
            <w:r>
              <w:rPr>
                <w:rFonts w:hint="eastAsia" w:asciiTheme="minorEastAsia" w:hAnsiTheme="minorEastAsia" w:eastAsiaTheme="minorEastAsia" w:cstheme="minorEastAsia"/>
                <w:color w:val="000000" w:themeColor="text1"/>
                <w:sz w:val="24"/>
                <w14:textFill>
                  <w14:solidFill>
                    <w14:schemeClr w14:val="tx1"/>
                  </w14:solidFill>
                </w14:textFill>
              </w:rPr>
              <w:t>hunan.gov.cn</w:t>
            </w:r>
            <w:r>
              <w:rPr>
                <w:rFonts w:hint="eastAsia" w:asciiTheme="minorEastAsia" w:hAnsiTheme="minorEastAsia" w:eastAsiaTheme="minorEastAsia" w:cstheme="minorEastAsia"/>
                <w:color w:val="000000" w:themeColor="text1"/>
                <w:sz w:val="24"/>
                <w14:textFill>
                  <w14:solidFill>
                    <w14:schemeClr w14:val="tx1"/>
                  </w14:solidFill>
                </w14:textFill>
              </w:rPr>
              <w:fldChar w:fldCharType="end"/>
            </w:r>
            <w:r>
              <w:fldChar w:fldCharType="begin"/>
            </w:r>
            <w:r>
              <w:instrText xml:space="preserve"> HYPERLINK "http://ccgp-hunan.gov.cn/" </w:instrText>
            </w:r>
            <w:r>
              <w:fldChar w:fldCharType="separate"/>
            </w:r>
            <w:r>
              <w:rPr>
                <w:rFonts w:hint="eastAsia" w:asciiTheme="minorEastAsia" w:hAnsiTheme="minorEastAsia" w:eastAsiaTheme="minorEastAsia" w:cstheme="minorEastAsia"/>
                <w:color w:val="000000" w:themeColor="text1"/>
                <w:sz w:val="24"/>
                <w14:textFill>
                  <w14:solidFill>
                    <w14:schemeClr w14:val="tx1"/>
                  </w14:solidFill>
                </w14:textFill>
              </w:rPr>
              <w:t>）</w:t>
            </w:r>
            <w:r>
              <w:rPr>
                <w:rFonts w:hint="eastAsia" w:asciiTheme="minorEastAsia" w:hAnsiTheme="minorEastAsia" w:eastAsiaTheme="minorEastAsia" w:cstheme="minorEastAsia"/>
                <w:color w:val="000000" w:themeColor="text1"/>
                <w:sz w:val="24"/>
                <w14:textFill>
                  <w14:solidFill>
                    <w14:schemeClr w14:val="tx1"/>
                  </w14:solidFill>
                </w14:textFill>
              </w:rPr>
              <w:fldChar w:fldCharType="end"/>
            </w:r>
          </w:p>
          <w:p w14:paraId="6F360E9D">
            <w:pPr>
              <w:spacing w:line="336" w:lineRule="auto"/>
              <w:jc w:val="left"/>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《湘西公共资源交易网》（http://ggzyjy.xxz.gov.cn）</w:t>
            </w:r>
          </w:p>
        </w:tc>
      </w:tr>
      <w:tr w14:paraId="5F1A8F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9774" w:type="dxa"/>
            <w:gridSpan w:val="3"/>
            <w:tcBorders>
              <w:tl2br w:val="nil"/>
              <w:tr2bl w:val="nil"/>
            </w:tcBorders>
            <w:vAlign w:val="center"/>
          </w:tcPr>
          <w:p w14:paraId="0E7CA6E0">
            <w:pP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三、投标文件</w:t>
            </w:r>
          </w:p>
        </w:tc>
      </w:tr>
      <w:tr w14:paraId="3B6732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3" w:type="dxa"/>
            <w:tcBorders>
              <w:tl2br w:val="nil"/>
              <w:tr2bl w:val="nil"/>
            </w:tcBorders>
            <w:vAlign w:val="center"/>
          </w:tcPr>
          <w:p w14:paraId="18F3AD35">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第13.2</w:t>
            </w:r>
            <w:r>
              <w:rPr>
                <w:rFonts w:hint="eastAsia" w:asciiTheme="minorEastAsia" w:hAnsiTheme="minorEastAsia" w:eastAsiaTheme="minorEastAsia" w:cstheme="minorEastAsia"/>
                <w:color w:val="000000" w:themeColor="text1"/>
                <w:sz w:val="24"/>
                <w:lang w:val="zh-CN"/>
                <w14:textFill>
                  <w14:solidFill>
                    <w14:schemeClr w14:val="tx1"/>
                  </w14:solidFill>
                </w14:textFill>
              </w:rPr>
              <w:t>款</w:t>
            </w:r>
          </w:p>
        </w:tc>
        <w:tc>
          <w:tcPr>
            <w:tcW w:w="1935" w:type="dxa"/>
            <w:tcBorders>
              <w:tl2br w:val="nil"/>
              <w:tr2bl w:val="nil"/>
            </w:tcBorders>
            <w:vAlign w:val="center"/>
          </w:tcPr>
          <w:p w14:paraId="57488765">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采购项目预算</w:t>
            </w:r>
          </w:p>
          <w:p w14:paraId="147F0FED">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及最高限价</w:t>
            </w:r>
          </w:p>
        </w:tc>
        <w:tc>
          <w:tcPr>
            <w:tcW w:w="6496" w:type="dxa"/>
            <w:tcBorders>
              <w:tl2br w:val="nil"/>
              <w:tr2bl w:val="nil"/>
            </w:tcBorders>
            <w:vAlign w:val="center"/>
          </w:tcPr>
          <w:p w14:paraId="6992AF97">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auto"/>
                <w:sz w:val="24"/>
              </w:rPr>
              <w:t>4,552,053.71元，</w:t>
            </w:r>
            <w:r>
              <w:rPr>
                <w:rFonts w:hint="eastAsia" w:asciiTheme="minorEastAsia" w:hAnsiTheme="minorEastAsia" w:eastAsiaTheme="minorEastAsia" w:cstheme="minorEastAsia"/>
                <w:color w:val="000000" w:themeColor="text1"/>
                <w:sz w:val="24"/>
                <w14:textFill>
                  <w14:solidFill>
                    <w14:schemeClr w14:val="tx1"/>
                  </w14:solidFill>
                </w14:textFill>
              </w:rPr>
              <w:t>投标报价不能高于预算，</w:t>
            </w:r>
            <w:r>
              <w:rPr>
                <w:rFonts w:hint="eastAsia" w:asciiTheme="minorEastAsia" w:hAnsiTheme="minorEastAsia" w:eastAsiaTheme="minorEastAsia" w:cstheme="minorEastAsia"/>
                <w:sz w:val="24"/>
              </w:rPr>
              <w:t>否则将视为无效投标</w:t>
            </w:r>
          </w:p>
        </w:tc>
      </w:tr>
      <w:tr w14:paraId="62C7FA2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3" w:type="dxa"/>
            <w:tcBorders>
              <w:tl2br w:val="nil"/>
              <w:tr2bl w:val="nil"/>
            </w:tcBorders>
            <w:vAlign w:val="center"/>
          </w:tcPr>
          <w:p w14:paraId="0105B7F8">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第13.8款</w:t>
            </w:r>
          </w:p>
        </w:tc>
        <w:tc>
          <w:tcPr>
            <w:tcW w:w="1935" w:type="dxa"/>
            <w:tcBorders>
              <w:tl2br w:val="nil"/>
              <w:tr2bl w:val="nil"/>
            </w:tcBorders>
            <w:vAlign w:val="center"/>
          </w:tcPr>
          <w:p w14:paraId="536F660E">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投标报价</w:t>
            </w:r>
          </w:p>
          <w:p w14:paraId="73AB136E">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的其他要求</w:t>
            </w:r>
          </w:p>
        </w:tc>
        <w:tc>
          <w:tcPr>
            <w:tcW w:w="6496" w:type="dxa"/>
            <w:tcBorders>
              <w:tl2br w:val="nil"/>
              <w:tr2bl w:val="nil"/>
            </w:tcBorders>
            <w:vAlign w:val="center"/>
          </w:tcPr>
          <w:p w14:paraId="0515614B">
            <w:pPr>
              <w:pStyle w:val="110"/>
              <w:spacing w:line="360" w:lineRule="auto"/>
              <w:ind w:firstLine="0" w:firstLineChars="0"/>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1.投标人必须对本项目所投选包号的所有采购内容进行投标报价，不得只对其部分内容投标报价，否则，投标无效。</w:t>
            </w:r>
          </w:p>
          <w:p w14:paraId="2750D354">
            <w:pPr>
              <w:pStyle w:val="110"/>
              <w:spacing w:line="360" w:lineRule="auto"/>
              <w:ind w:firstLine="0" w:firstLineChars="0"/>
            </w:pPr>
            <w:r>
              <w:rPr>
                <w:rFonts w:hint="eastAsia" w:ascii="宋体" w:hAnsi="宋体" w:cs="宋体"/>
                <w:color w:val="000000"/>
                <w:kern w:val="0"/>
                <w:sz w:val="24"/>
              </w:rPr>
              <w:t>2.</w:t>
            </w:r>
            <w:r>
              <w:rPr>
                <w:rFonts w:hint="eastAsia" w:ascii="宋体" w:hAnsi="宋体" w:cs="宋体"/>
                <w:color w:val="000000"/>
                <w:kern w:val="0"/>
                <w:sz w:val="24"/>
                <w:lang w:eastAsia="zh-CN"/>
              </w:rPr>
              <w:t>其他</w:t>
            </w:r>
            <w:r>
              <w:rPr>
                <w:rFonts w:hint="eastAsia" w:ascii="宋体" w:hAnsi="宋体" w:cs="宋体"/>
                <w:color w:val="000000"/>
                <w:kern w:val="0"/>
                <w:sz w:val="24"/>
              </w:rPr>
              <w:t>要求见第四章</w:t>
            </w:r>
          </w:p>
        </w:tc>
      </w:tr>
      <w:tr w14:paraId="4EECE31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1343" w:type="dxa"/>
            <w:tcBorders>
              <w:tl2br w:val="nil"/>
              <w:tr2bl w:val="nil"/>
            </w:tcBorders>
            <w:vAlign w:val="center"/>
          </w:tcPr>
          <w:p w14:paraId="2CD3C22B">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第14.1款</w:t>
            </w:r>
          </w:p>
        </w:tc>
        <w:tc>
          <w:tcPr>
            <w:tcW w:w="1935" w:type="dxa"/>
            <w:tcBorders>
              <w:tl2br w:val="nil"/>
              <w:tr2bl w:val="nil"/>
            </w:tcBorders>
            <w:vAlign w:val="center"/>
          </w:tcPr>
          <w:p w14:paraId="52CCC0F7">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投标人应提供的资格审查资料</w:t>
            </w:r>
          </w:p>
        </w:tc>
        <w:tc>
          <w:tcPr>
            <w:tcW w:w="6496" w:type="dxa"/>
            <w:tcBorders>
              <w:tl2br w:val="nil"/>
              <w:tr2bl w:val="nil"/>
            </w:tcBorders>
            <w:vAlign w:val="center"/>
          </w:tcPr>
          <w:p w14:paraId="1413994D">
            <w:pPr>
              <w:spacing w:line="360" w:lineRule="auto"/>
              <w:jc w:val="left"/>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详见 第三章 附表1 资格审查表</w:t>
            </w:r>
          </w:p>
        </w:tc>
      </w:tr>
      <w:tr w14:paraId="67B6075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43" w:type="dxa"/>
            <w:tcBorders>
              <w:tl2br w:val="nil"/>
              <w:tr2bl w:val="nil"/>
            </w:tcBorders>
            <w:vAlign w:val="center"/>
          </w:tcPr>
          <w:p w14:paraId="70D07ABC">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第15.3款</w:t>
            </w:r>
          </w:p>
        </w:tc>
        <w:tc>
          <w:tcPr>
            <w:tcW w:w="1935" w:type="dxa"/>
            <w:tcBorders>
              <w:tl2br w:val="nil"/>
              <w:tr2bl w:val="nil"/>
            </w:tcBorders>
            <w:vAlign w:val="center"/>
          </w:tcPr>
          <w:p w14:paraId="090183E6">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样品</w:t>
            </w:r>
          </w:p>
        </w:tc>
        <w:tc>
          <w:tcPr>
            <w:tcW w:w="6496" w:type="dxa"/>
            <w:tcBorders>
              <w:tl2br w:val="nil"/>
              <w:tr2bl w:val="nil"/>
            </w:tcBorders>
            <w:vAlign w:val="center"/>
          </w:tcPr>
          <w:p w14:paraId="1A2DBCF0">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sym w:font="Wingdings 2" w:char="00A3"/>
            </w:r>
            <w:r>
              <w:rPr>
                <w:rFonts w:hint="eastAsia" w:asciiTheme="minorEastAsia" w:hAnsiTheme="minorEastAsia" w:eastAsiaTheme="minorEastAsia" w:cstheme="minorEastAsia"/>
                <w:color w:val="000000" w:themeColor="text1"/>
                <w:sz w:val="24"/>
                <w14:textFill>
                  <w14:solidFill>
                    <w14:schemeClr w14:val="tx1"/>
                  </w14:solidFill>
                </w14:textFill>
              </w:rPr>
              <w:t xml:space="preserve">有   </w:t>
            </w:r>
            <w:r>
              <w:rPr>
                <w:rFonts w:hint="eastAsia" w:asciiTheme="minorEastAsia" w:hAnsiTheme="minorEastAsia" w:eastAsiaTheme="minorEastAsia" w:cstheme="minorEastAsia"/>
                <w:color w:val="000000" w:themeColor="text1"/>
                <w:sz w:val="24"/>
                <w14:textFill>
                  <w14:solidFill>
                    <w14:schemeClr w14:val="tx1"/>
                  </w14:solidFill>
                </w14:textFill>
              </w:rPr>
              <w:sym w:font="Wingdings 2" w:char="0052"/>
            </w:r>
            <w:r>
              <w:rPr>
                <w:rFonts w:hint="eastAsia" w:asciiTheme="minorEastAsia" w:hAnsiTheme="minorEastAsia" w:eastAsiaTheme="minorEastAsia" w:cstheme="minorEastAsia"/>
                <w:color w:val="000000" w:themeColor="text1"/>
                <w:sz w:val="24"/>
                <w14:textFill>
                  <w14:solidFill>
                    <w14:schemeClr w14:val="tx1"/>
                  </w14:solidFill>
                </w14:textFill>
              </w:rPr>
              <w:t>无</w:t>
            </w:r>
          </w:p>
        </w:tc>
      </w:tr>
      <w:tr w14:paraId="627CB0C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343" w:type="dxa"/>
            <w:tcBorders>
              <w:tl2br w:val="nil"/>
              <w:tr2bl w:val="nil"/>
            </w:tcBorders>
            <w:vAlign w:val="center"/>
          </w:tcPr>
          <w:p w14:paraId="4D45AC97">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第16.1</w:t>
            </w:r>
            <w:r>
              <w:rPr>
                <w:rFonts w:hint="eastAsia" w:asciiTheme="minorEastAsia" w:hAnsiTheme="minorEastAsia" w:eastAsiaTheme="minorEastAsia" w:cstheme="minorEastAsia"/>
                <w:color w:val="000000" w:themeColor="text1"/>
                <w:sz w:val="24"/>
                <w:lang w:val="zh-CN"/>
                <w14:textFill>
                  <w14:solidFill>
                    <w14:schemeClr w14:val="tx1"/>
                  </w14:solidFill>
                </w14:textFill>
              </w:rPr>
              <w:t>款</w:t>
            </w:r>
          </w:p>
        </w:tc>
        <w:tc>
          <w:tcPr>
            <w:tcW w:w="1935" w:type="dxa"/>
            <w:tcBorders>
              <w:tl2br w:val="nil"/>
              <w:tr2bl w:val="nil"/>
            </w:tcBorders>
            <w:vAlign w:val="center"/>
          </w:tcPr>
          <w:p w14:paraId="04FAF7F9">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投标有效期</w:t>
            </w:r>
          </w:p>
        </w:tc>
        <w:tc>
          <w:tcPr>
            <w:tcW w:w="6496" w:type="dxa"/>
            <w:tcBorders>
              <w:tl2br w:val="nil"/>
              <w:tr2bl w:val="nil"/>
            </w:tcBorders>
            <w:vAlign w:val="center"/>
          </w:tcPr>
          <w:p w14:paraId="2B07BA24">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90日（日历日）</w:t>
            </w:r>
          </w:p>
        </w:tc>
      </w:tr>
      <w:tr w14:paraId="3FA082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43" w:type="dxa"/>
            <w:tcBorders>
              <w:tl2br w:val="nil"/>
              <w:tr2bl w:val="nil"/>
            </w:tcBorders>
            <w:vAlign w:val="center"/>
          </w:tcPr>
          <w:p w14:paraId="64967086">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第17.1</w:t>
            </w:r>
            <w:r>
              <w:rPr>
                <w:rFonts w:hint="eastAsia" w:asciiTheme="minorEastAsia" w:hAnsiTheme="minorEastAsia" w:eastAsiaTheme="minorEastAsia" w:cstheme="minorEastAsia"/>
                <w:color w:val="000000" w:themeColor="text1"/>
                <w:sz w:val="24"/>
                <w:lang w:val="zh-CN"/>
                <w14:textFill>
                  <w14:solidFill>
                    <w14:schemeClr w14:val="tx1"/>
                  </w14:solidFill>
                </w14:textFill>
              </w:rPr>
              <w:t>款</w:t>
            </w:r>
          </w:p>
        </w:tc>
        <w:tc>
          <w:tcPr>
            <w:tcW w:w="1935" w:type="dxa"/>
            <w:tcBorders>
              <w:tl2br w:val="nil"/>
              <w:tr2bl w:val="nil"/>
            </w:tcBorders>
            <w:vAlign w:val="center"/>
          </w:tcPr>
          <w:p w14:paraId="7A67A14A">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投标保证金</w:t>
            </w:r>
          </w:p>
        </w:tc>
        <w:tc>
          <w:tcPr>
            <w:tcW w:w="6496" w:type="dxa"/>
            <w:tcBorders>
              <w:tl2br w:val="nil"/>
              <w:tr2bl w:val="nil"/>
            </w:tcBorders>
            <w:vAlign w:val="center"/>
          </w:tcPr>
          <w:p w14:paraId="74A38133">
            <w:pPr>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themeColor="text1"/>
                <w:sz w:val="24"/>
                <w14:textFill>
                  <w14:solidFill>
                    <w14:schemeClr w14:val="tx1"/>
                  </w14:solidFill>
                </w14:textFill>
              </w:rPr>
              <w:t>无</w:t>
            </w:r>
          </w:p>
        </w:tc>
      </w:tr>
      <w:tr w14:paraId="7BC3808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43" w:type="dxa"/>
            <w:tcBorders>
              <w:tl2br w:val="nil"/>
              <w:tr2bl w:val="nil"/>
            </w:tcBorders>
            <w:vAlign w:val="center"/>
          </w:tcPr>
          <w:p w14:paraId="0BB4B3A6">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第18.1</w:t>
            </w:r>
            <w:r>
              <w:rPr>
                <w:rFonts w:hint="eastAsia" w:asciiTheme="minorEastAsia" w:hAnsiTheme="minorEastAsia" w:eastAsiaTheme="minorEastAsia" w:cstheme="minorEastAsia"/>
                <w:color w:val="000000" w:themeColor="text1"/>
                <w:sz w:val="24"/>
                <w:lang w:val="zh-CN"/>
                <w14:textFill>
                  <w14:solidFill>
                    <w14:schemeClr w14:val="tx1"/>
                  </w14:solidFill>
                </w14:textFill>
              </w:rPr>
              <w:t>款</w:t>
            </w:r>
          </w:p>
        </w:tc>
        <w:tc>
          <w:tcPr>
            <w:tcW w:w="1935" w:type="dxa"/>
            <w:tcBorders>
              <w:tl2br w:val="nil"/>
              <w:tr2bl w:val="nil"/>
            </w:tcBorders>
            <w:vAlign w:val="center"/>
          </w:tcPr>
          <w:p w14:paraId="2E5CA6B2">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分包</w:t>
            </w:r>
          </w:p>
        </w:tc>
        <w:tc>
          <w:tcPr>
            <w:tcW w:w="6496" w:type="dxa"/>
            <w:tcBorders>
              <w:tl2br w:val="nil"/>
              <w:tr2bl w:val="nil"/>
            </w:tcBorders>
            <w:vAlign w:val="center"/>
          </w:tcPr>
          <w:p w14:paraId="3373C7C4">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无</w:t>
            </w:r>
          </w:p>
        </w:tc>
      </w:tr>
      <w:tr w14:paraId="1AB268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343" w:type="dxa"/>
            <w:tcBorders>
              <w:tl2br w:val="nil"/>
              <w:tr2bl w:val="nil"/>
            </w:tcBorders>
            <w:vAlign w:val="center"/>
          </w:tcPr>
          <w:p w14:paraId="162651C0">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第19.1</w:t>
            </w:r>
            <w:r>
              <w:rPr>
                <w:rFonts w:hint="eastAsia" w:asciiTheme="minorEastAsia" w:hAnsiTheme="minorEastAsia" w:eastAsiaTheme="minorEastAsia" w:cstheme="minorEastAsia"/>
                <w:color w:val="000000" w:themeColor="text1"/>
                <w:sz w:val="24"/>
                <w:lang w:val="zh-CN"/>
                <w14:textFill>
                  <w14:solidFill>
                    <w14:schemeClr w14:val="tx1"/>
                  </w14:solidFill>
                </w14:textFill>
              </w:rPr>
              <w:t>款</w:t>
            </w:r>
          </w:p>
        </w:tc>
        <w:tc>
          <w:tcPr>
            <w:tcW w:w="1935" w:type="dxa"/>
            <w:tcBorders>
              <w:tl2br w:val="nil"/>
              <w:tr2bl w:val="nil"/>
            </w:tcBorders>
            <w:vAlign w:val="center"/>
          </w:tcPr>
          <w:p w14:paraId="571AE7B9">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投标文件分数</w:t>
            </w:r>
          </w:p>
        </w:tc>
        <w:tc>
          <w:tcPr>
            <w:tcW w:w="6496" w:type="dxa"/>
            <w:tcBorders>
              <w:tl2br w:val="nil"/>
              <w:tr2bl w:val="nil"/>
            </w:tcBorders>
            <w:vAlign w:val="center"/>
          </w:tcPr>
          <w:p w14:paraId="3E388E28">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投标人登录《湘西公共资源交易网》上传提交加密的电子投标文件一份。（中标人需提供至少2份与导入平台的电子投标文件内容一致的纸质版投标文件，不分正副本）</w:t>
            </w:r>
          </w:p>
        </w:tc>
      </w:tr>
      <w:tr w14:paraId="106A78A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1343" w:type="dxa"/>
            <w:tcBorders>
              <w:tl2br w:val="nil"/>
              <w:tr2bl w:val="nil"/>
            </w:tcBorders>
            <w:vAlign w:val="center"/>
          </w:tcPr>
          <w:p w14:paraId="49554ECA">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第19.2</w:t>
            </w:r>
            <w:r>
              <w:rPr>
                <w:rFonts w:hint="eastAsia" w:asciiTheme="minorEastAsia" w:hAnsiTheme="minorEastAsia" w:eastAsiaTheme="minorEastAsia" w:cstheme="minorEastAsia"/>
                <w:sz w:val="24"/>
                <w:lang w:val="zh-CN"/>
              </w:rPr>
              <w:t>款</w:t>
            </w:r>
          </w:p>
        </w:tc>
        <w:tc>
          <w:tcPr>
            <w:tcW w:w="1935" w:type="dxa"/>
            <w:tcBorders>
              <w:tl2br w:val="nil"/>
              <w:tr2bl w:val="nil"/>
            </w:tcBorders>
            <w:vAlign w:val="center"/>
          </w:tcPr>
          <w:p w14:paraId="68BC6D6D">
            <w:pPr>
              <w:spacing w:line="348"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投标文件</w:t>
            </w:r>
          </w:p>
          <w:p w14:paraId="1FBEEAD5">
            <w:pPr>
              <w:spacing w:line="348"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加密要求</w:t>
            </w:r>
          </w:p>
        </w:tc>
        <w:tc>
          <w:tcPr>
            <w:tcW w:w="6496" w:type="dxa"/>
            <w:tcBorders>
              <w:tl2br w:val="nil"/>
              <w:tr2bl w:val="nil"/>
            </w:tcBorders>
            <w:vAlign w:val="center"/>
          </w:tcPr>
          <w:p w14:paraId="7A43A6FF">
            <w:pPr>
              <w:spacing w:line="36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电子交易系统自动加密</w:t>
            </w:r>
          </w:p>
        </w:tc>
      </w:tr>
      <w:tr w14:paraId="761D28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774" w:type="dxa"/>
            <w:gridSpan w:val="3"/>
            <w:tcBorders>
              <w:tl2br w:val="nil"/>
              <w:tr2bl w:val="nil"/>
            </w:tcBorders>
            <w:vAlign w:val="center"/>
          </w:tcPr>
          <w:p w14:paraId="5FA272DB">
            <w:pP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四、投标</w:t>
            </w:r>
          </w:p>
        </w:tc>
      </w:tr>
      <w:tr w14:paraId="247CA1C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3" w:type="dxa"/>
            <w:tcBorders>
              <w:tl2br w:val="nil"/>
              <w:tr2bl w:val="nil"/>
            </w:tcBorders>
            <w:vAlign w:val="center"/>
          </w:tcPr>
          <w:p w14:paraId="57A7BABF">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第20.1</w:t>
            </w:r>
            <w:r>
              <w:rPr>
                <w:rFonts w:hint="eastAsia" w:asciiTheme="minorEastAsia" w:hAnsiTheme="minorEastAsia" w:eastAsiaTheme="minorEastAsia" w:cstheme="minorEastAsia"/>
                <w:color w:val="000000" w:themeColor="text1"/>
                <w:sz w:val="24"/>
                <w:lang w:val="zh-CN"/>
                <w14:textFill>
                  <w14:solidFill>
                    <w14:schemeClr w14:val="tx1"/>
                  </w14:solidFill>
                </w14:textFill>
              </w:rPr>
              <w:t>款</w:t>
            </w:r>
          </w:p>
        </w:tc>
        <w:tc>
          <w:tcPr>
            <w:tcW w:w="1935" w:type="dxa"/>
            <w:tcBorders>
              <w:tl2br w:val="nil"/>
              <w:tr2bl w:val="nil"/>
            </w:tcBorders>
            <w:vAlign w:val="center"/>
          </w:tcPr>
          <w:p w14:paraId="58B42227">
            <w:pPr>
              <w:spacing w:line="348"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投标截止时间</w:t>
            </w:r>
          </w:p>
          <w:p w14:paraId="118F1A2C">
            <w:pPr>
              <w:spacing w:line="348"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sz w:val="24"/>
              </w:rPr>
              <w:t>即开标时间</w:t>
            </w:r>
          </w:p>
        </w:tc>
        <w:tc>
          <w:tcPr>
            <w:tcW w:w="6496" w:type="dxa"/>
            <w:tcBorders>
              <w:tl2br w:val="nil"/>
              <w:tr2bl w:val="nil"/>
            </w:tcBorders>
            <w:vAlign w:val="center"/>
          </w:tcPr>
          <w:p w14:paraId="39EBC1F5">
            <w:pPr>
              <w:spacing w:line="360" w:lineRule="auto"/>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iCs/>
                <w:color w:val="auto"/>
                <w:sz w:val="24"/>
                <w:lang w:eastAsia="zh-CN"/>
              </w:rPr>
              <w:t>2026年</w:t>
            </w:r>
            <w:r>
              <w:rPr>
                <w:rFonts w:hint="eastAsia" w:ascii="宋体" w:hAnsi="宋体" w:cs="宋体"/>
                <w:iCs/>
                <w:color w:val="auto"/>
                <w:sz w:val="24"/>
                <w:lang w:val="en-US" w:eastAsia="zh-CN"/>
              </w:rPr>
              <w:t>9</w:t>
            </w:r>
            <w:r>
              <w:rPr>
                <w:rFonts w:hint="eastAsia" w:ascii="宋体" w:hAnsi="宋体" w:eastAsia="宋体" w:cs="宋体"/>
                <w:iCs/>
                <w:color w:val="auto"/>
                <w:sz w:val="24"/>
              </w:rPr>
              <w:t>月</w:t>
            </w:r>
            <w:r>
              <w:rPr>
                <w:rFonts w:hint="eastAsia" w:ascii="宋体" w:hAnsi="宋体" w:cs="宋体"/>
                <w:iCs/>
                <w:color w:val="auto"/>
                <w:sz w:val="24"/>
                <w:lang w:val="en-US" w:eastAsia="zh-CN"/>
              </w:rPr>
              <w:t>9</w:t>
            </w:r>
            <w:r>
              <w:rPr>
                <w:rFonts w:hint="eastAsia" w:ascii="宋体" w:hAnsi="宋体" w:eastAsia="宋体" w:cs="宋体"/>
                <w:iCs/>
                <w:color w:val="auto"/>
                <w:sz w:val="24"/>
              </w:rPr>
              <w:t>日</w:t>
            </w:r>
            <w:r>
              <w:rPr>
                <w:rFonts w:hint="eastAsia" w:asciiTheme="minorEastAsia" w:hAnsiTheme="minorEastAsia" w:eastAsiaTheme="minorEastAsia" w:cstheme="minorEastAsia"/>
                <w:iCs/>
                <w:color w:val="auto"/>
                <w:sz w:val="24"/>
              </w:rPr>
              <w:t>9时00分（北京时间）</w:t>
            </w:r>
          </w:p>
        </w:tc>
      </w:tr>
      <w:tr w14:paraId="126AA9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3" w:type="dxa"/>
            <w:tcBorders>
              <w:tl2br w:val="nil"/>
              <w:tr2bl w:val="nil"/>
            </w:tcBorders>
            <w:vAlign w:val="center"/>
          </w:tcPr>
          <w:p w14:paraId="5C573DF6">
            <w:pPr>
              <w:spacing w:line="360" w:lineRule="auto"/>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sz w:val="24"/>
              </w:rPr>
              <w:t>第22.3</w:t>
            </w:r>
            <w:r>
              <w:rPr>
                <w:rFonts w:hint="eastAsia" w:asciiTheme="minorEastAsia" w:hAnsiTheme="minorEastAsia" w:eastAsiaTheme="minorEastAsia" w:cstheme="minorEastAsia"/>
                <w:sz w:val="24"/>
                <w:lang w:val="zh-CN"/>
              </w:rPr>
              <w:t>款</w:t>
            </w:r>
          </w:p>
        </w:tc>
        <w:tc>
          <w:tcPr>
            <w:tcW w:w="1935" w:type="dxa"/>
            <w:tcBorders>
              <w:tl2br w:val="nil"/>
              <w:tr2bl w:val="nil"/>
            </w:tcBorders>
            <w:vAlign w:val="center"/>
          </w:tcPr>
          <w:p w14:paraId="19F0EB13">
            <w:pPr>
              <w:spacing w:line="360" w:lineRule="auto"/>
              <w:jc w:val="center"/>
              <w:rPr>
                <w:rFonts w:hint="eastAsia" w:asciiTheme="minorEastAsia" w:hAnsiTheme="minorEastAsia" w:eastAsiaTheme="minorEastAsia" w:cstheme="minorEastAsia"/>
                <w:color w:val="FF0000"/>
                <w:sz w:val="24"/>
                <w14:textFill>
                  <w14:gradFill>
                    <w14:gsLst>
                      <w14:gs w14:pos="0">
                        <w14:srgbClr w14:val="E30000"/>
                      </w14:gs>
                      <w14:gs w14:pos="100000">
                        <w14:srgbClr w14:val="760303"/>
                      </w14:gs>
                    </w14:gsLst>
                    <w14:lin w14:ang="0" w14:scaled="0"/>
                  </w14:gradFill>
                </w14:textFill>
              </w:rPr>
            </w:pPr>
            <w:r>
              <w:rPr>
                <w:rFonts w:hint="eastAsia" w:asciiTheme="minorEastAsia" w:hAnsiTheme="minorEastAsia" w:eastAsiaTheme="minorEastAsia" w:cstheme="minorEastAsia"/>
                <w:color w:val="FF0000"/>
                <w:sz w:val="24"/>
                <w14:textFill>
                  <w14:gradFill>
                    <w14:gsLst>
                      <w14:gs w14:pos="0">
                        <w14:srgbClr w14:val="E30000"/>
                      </w14:gs>
                      <w14:gs w14:pos="100000">
                        <w14:srgbClr w14:val="760303"/>
                      </w14:gs>
                    </w14:gsLst>
                    <w14:lin w14:ang="0" w14:scaled="0"/>
                  </w14:gradFill>
                </w14:textFill>
              </w:rPr>
              <w:t>电子标的</w:t>
            </w:r>
          </w:p>
          <w:p w14:paraId="4A76F02C">
            <w:pPr>
              <w:spacing w:line="360" w:lineRule="auto"/>
              <w:jc w:val="center"/>
              <w:rPr>
                <w:rFonts w:hint="eastAsia" w:asciiTheme="minorEastAsia" w:hAnsiTheme="minorEastAsia" w:eastAsiaTheme="minorEastAsia" w:cstheme="minorEastAsia"/>
                <w:color w:val="FF0000"/>
                <w:sz w:val="24"/>
                <w14:textFill>
                  <w14:gradFill>
                    <w14:gsLst>
                      <w14:gs w14:pos="0">
                        <w14:srgbClr w14:val="E30000"/>
                      </w14:gs>
                      <w14:gs w14:pos="100000">
                        <w14:srgbClr w14:val="760303"/>
                      </w14:gs>
                    </w14:gsLst>
                    <w14:lin w14:ang="0" w14:scaled="0"/>
                  </w14:gradFill>
                </w14:textFill>
              </w:rPr>
            </w:pPr>
            <w:r>
              <w:rPr>
                <w:rFonts w:hint="eastAsia" w:asciiTheme="minorEastAsia" w:hAnsiTheme="minorEastAsia" w:eastAsiaTheme="minorEastAsia" w:cstheme="minorEastAsia"/>
                <w:color w:val="FF0000"/>
                <w:sz w:val="24"/>
                <w14:textFill>
                  <w14:gradFill>
                    <w14:gsLst>
                      <w14:gs w14:pos="0">
                        <w14:srgbClr w14:val="E30000"/>
                      </w14:gs>
                      <w14:gs w14:pos="100000">
                        <w14:srgbClr w14:val="760303"/>
                      </w14:gs>
                    </w14:gsLst>
                    <w14:lin w14:ang="0" w14:scaled="0"/>
                  </w14:gradFill>
                </w14:textFill>
              </w:rPr>
              <w:t>涉嫌围标</w:t>
            </w:r>
          </w:p>
          <w:p w14:paraId="4FE8B1A2">
            <w:pPr>
              <w:spacing w:line="360" w:lineRule="auto"/>
              <w:jc w:val="center"/>
              <w:rPr>
                <w:rFonts w:hint="eastAsia" w:asciiTheme="minorEastAsia" w:hAnsiTheme="minorEastAsia" w:eastAsiaTheme="minorEastAsia" w:cstheme="minorEastAsia"/>
                <w:color w:val="FF0000"/>
                <w:sz w:val="24"/>
                <w14:textFill>
                  <w14:gradFill>
                    <w14:gsLst>
                      <w14:gs w14:pos="0">
                        <w14:srgbClr w14:val="E30000"/>
                      </w14:gs>
                      <w14:gs w14:pos="100000">
                        <w14:srgbClr w14:val="760303"/>
                      </w14:gs>
                    </w14:gsLst>
                    <w14:lin w14:ang="0" w14:scaled="0"/>
                  </w14:gradFill>
                </w14:textFill>
              </w:rPr>
            </w:pPr>
            <w:r>
              <w:rPr>
                <w:rFonts w:hint="eastAsia" w:asciiTheme="minorEastAsia" w:hAnsiTheme="minorEastAsia" w:eastAsiaTheme="minorEastAsia" w:cstheme="minorEastAsia"/>
                <w:color w:val="FF0000"/>
                <w:sz w:val="24"/>
                <w14:textFill>
                  <w14:gradFill>
                    <w14:gsLst>
                      <w14:gs w14:pos="0">
                        <w14:srgbClr w14:val="E30000"/>
                      </w14:gs>
                      <w14:gs w14:pos="100000">
                        <w14:srgbClr w14:val="760303"/>
                      </w14:gs>
                    </w14:gsLst>
                    <w14:lin w14:ang="0" w14:scaled="0"/>
                  </w14:gradFill>
                </w14:textFill>
              </w:rPr>
              <w:t>串标情形</w:t>
            </w:r>
          </w:p>
        </w:tc>
        <w:tc>
          <w:tcPr>
            <w:tcW w:w="6496" w:type="dxa"/>
            <w:tcBorders>
              <w:tl2br w:val="nil"/>
              <w:tr2bl w:val="nil"/>
            </w:tcBorders>
            <w:vAlign w:val="center"/>
          </w:tcPr>
          <w:p w14:paraId="2CF3720A">
            <w:pPr>
              <w:spacing w:line="360" w:lineRule="auto"/>
              <w:rPr>
                <w:rFonts w:hint="eastAsia" w:asciiTheme="minorEastAsia" w:hAnsiTheme="minorEastAsia" w:eastAsiaTheme="minorEastAsia" w:cstheme="minorEastAsia"/>
                <w:color w:val="FF0000"/>
                <w:sz w:val="24"/>
                <w14:textFill>
                  <w14:gradFill>
                    <w14:gsLst>
                      <w14:gs w14:pos="0">
                        <w14:srgbClr w14:val="E30000"/>
                      </w14:gs>
                      <w14:gs w14:pos="100000">
                        <w14:srgbClr w14:val="760303"/>
                      </w14:gs>
                    </w14:gsLst>
                    <w14:lin w14:ang="0" w14:scaled="0"/>
                  </w14:gradFill>
                </w14:textFill>
              </w:rPr>
            </w:pPr>
            <w:r>
              <w:rPr>
                <w:rFonts w:hint="eastAsia" w:asciiTheme="minorEastAsia" w:hAnsiTheme="minorEastAsia" w:eastAsiaTheme="minorEastAsia" w:cstheme="minorEastAsia"/>
                <w:color w:val="FF0000"/>
                <w:sz w:val="24"/>
                <w14:textFill>
                  <w14:gradFill>
                    <w14:gsLst>
                      <w14:gs w14:pos="0">
                        <w14:srgbClr w14:val="E30000"/>
                      </w14:gs>
                      <w14:gs w14:pos="100000">
                        <w14:srgbClr w14:val="760303"/>
                      </w14:gs>
                    </w14:gsLst>
                    <w14:lin w14:ang="0" w14:scaled="0"/>
                  </w14:gradFill>
                </w14:textFill>
              </w:rPr>
              <w:t>凡报名、领取、下载文件等操作中出现任一信息相同的，文件制作机器码、文件创建标识码、IP雷同或相同的，上传投标文件时任一信息相同的，其它有关情形等，均属涉嫌电子标围标串标情形，将触发湘西州公共资源交易大数据预警系统发生异常警报，有关监管部门将根据异常预警具体情况依法进行处理。有关涉嫌电子标围标串标嫌疑情形的解释者为湘西州公共资源交易中心。</w:t>
            </w:r>
          </w:p>
        </w:tc>
      </w:tr>
      <w:tr w14:paraId="58CDD3D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9774" w:type="dxa"/>
            <w:gridSpan w:val="3"/>
            <w:tcBorders>
              <w:tl2br w:val="nil"/>
              <w:tr2bl w:val="nil"/>
            </w:tcBorders>
            <w:vAlign w:val="center"/>
          </w:tcPr>
          <w:p w14:paraId="20F45782">
            <w:pP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五、开标、资格审查和评标</w:t>
            </w:r>
          </w:p>
        </w:tc>
      </w:tr>
      <w:tr w14:paraId="5BCEF97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343" w:type="dxa"/>
            <w:tcBorders>
              <w:tl2br w:val="nil"/>
              <w:tr2bl w:val="nil"/>
            </w:tcBorders>
            <w:vAlign w:val="center"/>
          </w:tcPr>
          <w:p w14:paraId="6B43DE9A">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sz w:val="24"/>
              </w:rPr>
              <w:t>第23.1</w:t>
            </w:r>
            <w:r>
              <w:rPr>
                <w:rFonts w:hint="eastAsia" w:asciiTheme="minorEastAsia" w:hAnsiTheme="minorEastAsia" w:eastAsiaTheme="minorEastAsia" w:cstheme="minorEastAsia"/>
                <w:sz w:val="24"/>
                <w:lang w:val="zh-CN"/>
              </w:rPr>
              <w:t>款</w:t>
            </w:r>
          </w:p>
        </w:tc>
        <w:tc>
          <w:tcPr>
            <w:tcW w:w="1935" w:type="dxa"/>
            <w:tcBorders>
              <w:tl2br w:val="nil"/>
              <w:tr2bl w:val="nil"/>
            </w:tcBorders>
            <w:vAlign w:val="center"/>
          </w:tcPr>
          <w:p w14:paraId="25BFA672">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sz w:val="24"/>
              </w:rPr>
              <w:t>开标地点</w:t>
            </w:r>
          </w:p>
        </w:tc>
        <w:tc>
          <w:tcPr>
            <w:tcW w:w="6496" w:type="dxa"/>
            <w:tcBorders>
              <w:tl2br w:val="nil"/>
              <w:tr2bl w:val="nil"/>
            </w:tcBorders>
            <w:vAlign w:val="center"/>
          </w:tcPr>
          <w:p w14:paraId="4461177D">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sz w:val="24"/>
              </w:rPr>
              <w:t>湘西自治州公共资源交</w:t>
            </w:r>
            <w:r>
              <w:rPr>
                <w:rFonts w:hint="eastAsia" w:asciiTheme="minorEastAsia" w:hAnsiTheme="minorEastAsia" w:eastAsiaTheme="minorEastAsia" w:cstheme="minorEastAsia"/>
                <w:color w:val="auto"/>
                <w:sz w:val="24"/>
              </w:rPr>
              <w:t>易中心四楼</w:t>
            </w:r>
            <w:r>
              <w:rPr>
                <w:rFonts w:hint="eastAsia" w:asciiTheme="minorEastAsia" w:hAnsiTheme="minorEastAsia" w:eastAsiaTheme="minorEastAsia" w:cstheme="minorEastAsia"/>
                <w:color w:val="auto"/>
                <w:sz w:val="24"/>
                <w:u w:val="single"/>
              </w:rPr>
              <w:t xml:space="preserve"> </w:t>
            </w:r>
            <w:r>
              <w:rPr>
                <w:rFonts w:hint="eastAsia" w:asciiTheme="minorEastAsia" w:hAnsiTheme="minorEastAsia" w:eastAsiaTheme="minorEastAsia" w:cstheme="minorEastAsia"/>
                <w:color w:val="auto"/>
                <w:sz w:val="24"/>
                <w:u w:val="single"/>
                <w:lang w:eastAsia="zh-CN"/>
              </w:rPr>
              <w:t>不见面开标室三</w:t>
            </w:r>
            <w:r>
              <w:rPr>
                <w:rFonts w:hint="eastAsia" w:asciiTheme="minorEastAsia" w:hAnsiTheme="minorEastAsia" w:eastAsiaTheme="minorEastAsia" w:cstheme="minorEastAsia"/>
                <w:color w:val="auto"/>
                <w:sz w:val="24"/>
                <w:u w:val="single"/>
              </w:rPr>
              <w:t xml:space="preserve"> </w:t>
            </w:r>
          </w:p>
        </w:tc>
      </w:tr>
      <w:tr w14:paraId="3A74D1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864" w:hRule="atLeast"/>
          <w:jc w:val="center"/>
        </w:trPr>
        <w:tc>
          <w:tcPr>
            <w:tcW w:w="1343" w:type="dxa"/>
            <w:tcBorders>
              <w:tl2br w:val="nil"/>
              <w:tr2bl w:val="nil"/>
            </w:tcBorders>
            <w:vAlign w:val="center"/>
          </w:tcPr>
          <w:p w14:paraId="2E452904">
            <w:pPr>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第23.2</w:t>
            </w:r>
            <w:r>
              <w:rPr>
                <w:rFonts w:hint="eastAsia" w:asciiTheme="minorEastAsia" w:hAnsiTheme="minorEastAsia" w:eastAsiaTheme="minorEastAsia" w:cstheme="minorEastAsia"/>
                <w:sz w:val="24"/>
                <w:lang w:val="zh-CN"/>
              </w:rPr>
              <w:t>款</w:t>
            </w:r>
          </w:p>
          <w:p w14:paraId="2E434FAD">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sz w:val="24"/>
              </w:rPr>
              <w:t>第（2）项</w:t>
            </w:r>
          </w:p>
        </w:tc>
        <w:tc>
          <w:tcPr>
            <w:tcW w:w="1935" w:type="dxa"/>
            <w:tcBorders>
              <w:tl2br w:val="nil"/>
              <w:tr2bl w:val="nil"/>
            </w:tcBorders>
            <w:vAlign w:val="center"/>
          </w:tcPr>
          <w:p w14:paraId="675475CA">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电子投标文件</w:t>
            </w:r>
          </w:p>
          <w:p w14:paraId="2E37AD56">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解密时限</w:t>
            </w:r>
          </w:p>
        </w:tc>
        <w:tc>
          <w:tcPr>
            <w:tcW w:w="6496" w:type="dxa"/>
            <w:tcBorders>
              <w:tl2br w:val="nil"/>
              <w:tr2bl w:val="nil"/>
            </w:tcBorders>
            <w:vAlign w:val="center"/>
          </w:tcPr>
          <w:p w14:paraId="290185C0">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投标人用公司CA数字证书进行解密，在解密指令发出起</w:t>
            </w:r>
            <w:r>
              <w:rPr>
                <w:rFonts w:hint="eastAsia" w:asciiTheme="minorEastAsia" w:hAnsiTheme="minorEastAsia" w:eastAsiaTheme="minorEastAsia" w:cstheme="minorEastAsia"/>
                <w:b/>
                <w:bCs/>
                <w:sz w:val="24"/>
              </w:rPr>
              <w:t>30分钟</w:t>
            </w:r>
            <w:r>
              <w:rPr>
                <w:rFonts w:hint="eastAsia" w:asciiTheme="minorEastAsia" w:hAnsiTheme="minorEastAsia" w:eastAsiaTheme="minorEastAsia" w:cstheme="minorEastAsia"/>
                <w:sz w:val="24"/>
              </w:rPr>
              <w:t>内完成。投标人在解密时限内未解密或解密失败的，视为撤销投标文件（如因</w:t>
            </w:r>
            <w:r>
              <w:rPr>
                <w:rFonts w:hint="eastAsia" w:asciiTheme="minorEastAsia" w:hAnsiTheme="minorEastAsia" w:eastAsiaTheme="minorEastAsia" w:cstheme="minorEastAsia"/>
                <w:color w:val="000000" w:themeColor="text1"/>
                <w:sz w:val="24"/>
                <w14:textFill>
                  <w14:solidFill>
                    <w14:schemeClr w14:val="tx1"/>
                  </w14:solidFill>
                </w14:textFill>
              </w:rPr>
              <w:t>平台</w:t>
            </w:r>
            <w:r>
              <w:rPr>
                <w:rFonts w:hint="eastAsia" w:asciiTheme="minorEastAsia" w:hAnsiTheme="minorEastAsia" w:eastAsiaTheme="minorEastAsia" w:cstheme="minorEastAsia"/>
                <w:sz w:val="24"/>
              </w:rPr>
              <w:t>出现系统故障导致无法解密，采购人和采购代理机构可酌情延长解密时间）。</w:t>
            </w:r>
          </w:p>
        </w:tc>
      </w:tr>
      <w:tr w14:paraId="3088B6E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343" w:type="dxa"/>
            <w:tcBorders>
              <w:tl2br w:val="nil"/>
              <w:tr2bl w:val="nil"/>
            </w:tcBorders>
            <w:vAlign w:val="center"/>
          </w:tcPr>
          <w:p w14:paraId="2E95B833">
            <w:pPr>
              <w:spacing w:line="348" w:lineRule="auto"/>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第23.2</w:t>
            </w:r>
            <w:r>
              <w:rPr>
                <w:rFonts w:hint="eastAsia" w:asciiTheme="minorEastAsia" w:hAnsiTheme="minorEastAsia" w:eastAsiaTheme="minorEastAsia" w:cstheme="minorEastAsia"/>
                <w:sz w:val="24"/>
                <w:lang w:val="zh-CN"/>
              </w:rPr>
              <w:t>款</w:t>
            </w:r>
          </w:p>
          <w:p w14:paraId="40C845CF">
            <w:pPr>
              <w:spacing w:line="348"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第（4）项</w:t>
            </w:r>
          </w:p>
        </w:tc>
        <w:tc>
          <w:tcPr>
            <w:tcW w:w="1935" w:type="dxa"/>
            <w:tcBorders>
              <w:tl2br w:val="nil"/>
              <w:tr2bl w:val="nil"/>
            </w:tcBorders>
            <w:vAlign w:val="center"/>
          </w:tcPr>
          <w:p w14:paraId="5E2AE266">
            <w:pPr>
              <w:spacing w:line="348"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需要宣布</w:t>
            </w:r>
          </w:p>
          <w:p w14:paraId="2E3C58D8">
            <w:pPr>
              <w:spacing w:line="348"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的其他内容</w:t>
            </w:r>
          </w:p>
        </w:tc>
        <w:tc>
          <w:tcPr>
            <w:tcW w:w="6496" w:type="dxa"/>
            <w:tcBorders>
              <w:tl2br w:val="nil"/>
              <w:tr2bl w:val="nil"/>
            </w:tcBorders>
            <w:vAlign w:val="center"/>
          </w:tcPr>
          <w:p w14:paraId="5C291EA0">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color w:val="000000" w:themeColor="text1"/>
                <w:sz w:val="24"/>
                <w14:textFill>
                  <w14:solidFill>
                    <w14:schemeClr w14:val="tx1"/>
                  </w14:solidFill>
                </w14:textFill>
              </w:rPr>
              <w:t>提供完整的《开标一览表》</w:t>
            </w:r>
          </w:p>
        </w:tc>
      </w:tr>
      <w:tr w14:paraId="4B7BF54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774" w:type="dxa"/>
            <w:gridSpan w:val="3"/>
            <w:tcBorders>
              <w:tl2br w:val="nil"/>
              <w:tr2bl w:val="nil"/>
            </w:tcBorders>
            <w:vAlign w:val="center"/>
          </w:tcPr>
          <w:p w14:paraId="07DD2FB5">
            <w:pP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六、中标信息公布</w:t>
            </w:r>
          </w:p>
        </w:tc>
      </w:tr>
      <w:tr w14:paraId="0086F37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43" w:type="dxa"/>
            <w:tcBorders>
              <w:tl2br w:val="nil"/>
              <w:tr2bl w:val="nil"/>
            </w:tcBorders>
            <w:vAlign w:val="center"/>
          </w:tcPr>
          <w:p w14:paraId="6D7DFD1C">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第27.2</w:t>
            </w:r>
            <w:r>
              <w:rPr>
                <w:rFonts w:hint="eastAsia" w:asciiTheme="minorEastAsia" w:hAnsiTheme="minorEastAsia" w:eastAsiaTheme="minorEastAsia" w:cstheme="minorEastAsia"/>
                <w:sz w:val="24"/>
                <w:lang w:val="zh-CN"/>
              </w:rPr>
              <w:t>款</w:t>
            </w:r>
          </w:p>
        </w:tc>
        <w:tc>
          <w:tcPr>
            <w:tcW w:w="1935" w:type="dxa"/>
            <w:tcBorders>
              <w:tl2br w:val="nil"/>
              <w:tr2bl w:val="nil"/>
            </w:tcBorders>
            <w:vAlign w:val="center"/>
          </w:tcPr>
          <w:p w14:paraId="15640439">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中标候选人</w:t>
            </w:r>
          </w:p>
          <w:p w14:paraId="3902CBA9">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并列时确定</w:t>
            </w:r>
          </w:p>
          <w:p w14:paraId="3B4BDAC7">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中标人的方式</w:t>
            </w:r>
          </w:p>
        </w:tc>
        <w:tc>
          <w:tcPr>
            <w:tcW w:w="6496" w:type="dxa"/>
            <w:tcBorders>
              <w:tl2br w:val="nil"/>
              <w:tr2bl w:val="nil"/>
            </w:tcBorders>
            <w:vAlign w:val="center"/>
          </w:tcPr>
          <w:p w14:paraId="6814C999">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在评标报告确定的中标候选人名单中按得分从高到低顺序确定中标人。</w:t>
            </w:r>
            <w:r>
              <w:rPr>
                <w:rFonts w:hint="eastAsia" w:asciiTheme="minorEastAsia" w:hAnsiTheme="minorEastAsia" w:eastAsiaTheme="minorEastAsia" w:cstheme="minorEastAsia"/>
                <w:sz w:val="24"/>
                <w:szCs w:val="32"/>
              </w:rPr>
              <w:t>得分相同的，按评审报价由低到高顺序确定中标人；得分且评审报价相同的并列，</w:t>
            </w:r>
            <w:r>
              <w:rPr>
                <w:rFonts w:hint="eastAsia" w:asciiTheme="minorEastAsia" w:hAnsiTheme="minorEastAsia" w:eastAsiaTheme="minorEastAsia" w:cstheme="minorEastAsia"/>
                <w:sz w:val="24"/>
              </w:rPr>
              <w:t>按技术指标优劣顺序确定</w:t>
            </w:r>
            <w:r>
              <w:rPr>
                <w:rFonts w:hint="eastAsia" w:asciiTheme="minorEastAsia" w:hAnsiTheme="minorEastAsia" w:eastAsiaTheme="minorEastAsia" w:cstheme="minorEastAsia"/>
                <w:sz w:val="24"/>
                <w:szCs w:val="32"/>
              </w:rPr>
              <w:t>中标人；</w:t>
            </w:r>
            <w:r>
              <w:rPr>
                <w:rFonts w:hint="eastAsia" w:asciiTheme="minorEastAsia" w:hAnsiTheme="minorEastAsia" w:eastAsiaTheme="minorEastAsia" w:cstheme="minorEastAsia"/>
                <w:sz w:val="24"/>
              </w:rPr>
              <w:t>若都相同，采取随机抽取的方式确定中标人。</w:t>
            </w:r>
          </w:p>
        </w:tc>
      </w:tr>
      <w:tr w14:paraId="15BB728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43" w:type="dxa"/>
            <w:tcBorders>
              <w:tl2br w:val="nil"/>
              <w:tr2bl w:val="nil"/>
            </w:tcBorders>
            <w:vAlign w:val="center"/>
          </w:tcPr>
          <w:p w14:paraId="5436B987">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第28.3</w:t>
            </w:r>
            <w:r>
              <w:rPr>
                <w:rFonts w:hint="eastAsia" w:asciiTheme="minorEastAsia" w:hAnsiTheme="minorEastAsia" w:eastAsiaTheme="minorEastAsia" w:cstheme="minorEastAsia"/>
                <w:sz w:val="24"/>
                <w:lang w:val="zh-CN"/>
              </w:rPr>
              <w:t>款</w:t>
            </w:r>
          </w:p>
        </w:tc>
        <w:tc>
          <w:tcPr>
            <w:tcW w:w="1935" w:type="dxa"/>
            <w:tcBorders>
              <w:tl2br w:val="nil"/>
              <w:tr2bl w:val="nil"/>
            </w:tcBorders>
            <w:vAlign w:val="center"/>
          </w:tcPr>
          <w:p w14:paraId="52784AB5">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接收质疑函</w:t>
            </w:r>
          </w:p>
          <w:p w14:paraId="6BD6DED0">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的联系部门</w:t>
            </w:r>
          </w:p>
          <w:p w14:paraId="2D2EC255">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联系电话和</w:t>
            </w:r>
          </w:p>
          <w:p w14:paraId="75E1F897">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通信</w:t>
            </w:r>
            <w:r>
              <w:rPr>
                <w:rFonts w:hint="eastAsia" w:asciiTheme="minorEastAsia" w:hAnsiTheme="minorEastAsia" w:eastAsiaTheme="minorEastAsia" w:cstheme="minorEastAsia"/>
                <w:sz w:val="24"/>
              </w:rPr>
              <w:t>地址</w:t>
            </w:r>
          </w:p>
        </w:tc>
        <w:tc>
          <w:tcPr>
            <w:tcW w:w="6496" w:type="dxa"/>
            <w:tcBorders>
              <w:tl2br w:val="nil"/>
              <w:tr2bl w:val="nil"/>
            </w:tcBorders>
            <w:vAlign w:val="center"/>
          </w:tcPr>
          <w:p w14:paraId="790A9E28">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投标人认为招标文件、招标过程、中标或者中标结果使自己的权益受到损害的，应当在知道或者应知其权益受到损害之日起7个工作日内，以书面形式向采购人和采购代理机构一次性提出针对同一采购程序环节的质疑。</w:t>
            </w:r>
          </w:p>
          <w:p w14:paraId="2762548D">
            <w:pPr>
              <w:spacing w:line="360" w:lineRule="auto"/>
              <w:rPr>
                <w:rFonts w:hint="eastAsia" w:asciiTheme="minorEastAsia" w:hAnsiTheme="minorEastAsia" w:eastAsiaTheme="minorEastAsia" w:cstheme="minorEastAsia"/>
                <w:b/>
                <w:bCs/>
                <w:sz w:val="24"/>
                <w:lang w:val="zh-CN"/>
              </w:rPr>
            </w:pPr>
            <w:r>
              <w:rPr>
                <w:rFonts w:hint="eastAsia" w:asciiTheme="minorEastAsia" w:hAnsiTheme="minorEastAsia" w:eastAsiaTheme="minorEastAsia" w:cstheme="minorEastAsia"/>
                <w:b/>
                <w:bCs/>
                <w:sz w:val="24"/>
                <w:lang w:val="zh-CN"/>
              </w:rPr>
              <w:t>采购人信息</w:t>
            </w:r>
          </w:p>
          <w:p w14:paraId="02526DFB">
            <w:pPr>
              <w:adjustRightInd w:val="0"/>
              <w:snapToGrid w:val="0"/>
              <w:spacing w:line="336" w:lineRule="auto"/>
              <w:ind w:firstLine="240" w:firstLineChars="100"/>
              <w:rPr>
                <w:rFonts w:hint="eastAsia" w:asciiTheme="minorEastAsia" w:hAnsiTheme="minorEastAsia" w:eastAsiaTheme="minorEastAsia" w:cstheme="minorEastAsia"/>
                <w:kern w:val="0"/>
                <w:sz w:val="24"/>
                <w:lang w:eastAsia="zh-CN"/>
              </w:rPr>
            </w:pPr>
            <w:r>
              <w:rPr>
                <w:rFonts w:hint="eastAsia" w:asciiTheme="minorEastAsia" w:hAnsiTheme="minorEastAsia" w:eastAsiaTheme="minorEastAsia" w:cstheme="minorEastAsia"/>
                <w:kern w:val="0"/>
                <w:sz w:val="24"/>
              </w:rPr>
              <w:t>名  称：</w:t>
            </w:r>
            <w:r>
              <w:rPr>
                <w:rFonts w:hint="eastAsia" w:asciiTheme="minorEastAsia" w:hAnsiTheme="minorEastAsia" w:eastAsiaTheme="minorEastAsia" w:cstheme="minorEastAsia"/>
                <w:kern w:val="0"/>
                <w:sz w:val="24"/>
                <w:lang w:eastAsia="zh-CN"/>
              </w:rPr>
              <w:t>凤凰县人民医院</w:t>
            </w:r>
            <w:r>
              <w:rPr>
                <w:rFonts w:hint="eastAsia" w:asciiTheme="minorEastAsia" w:hAnsiTheme="minorEastAsia" w:eastAsiaTheme="minorEastAsia" w:cstheme="minorEastAsia"/>
                <w:kern w:val="0"/>
                <w:sz w:val="24"/>
              </w:rPr>
              <w:t>联系人：</w:t>
            </w:r>
            <w:r>
              <w:rPr>
                <w:rFonts w:hint="eastAsia" w:asciiTheme="minorEastAsia" w:hAnsiTheme="minorEastAsia" w:eastAsiaTheme="minorEastAsia" w:cstheme="minorEastAsia"/>
                <w:kern w:val="0"/>
                <w:sz w:val="24"/>
                <w:lang w:eastAsia="zh-CN"/>
              </w:rPr>
              <w:t>梁芳</w:t>
            </w:r>
          </w:p>
          <w:p w14:paraId="2F51F7F9">
            <w:pPr>
              <w:adjustRightInd w:val="0"/>
              <w:snapToGrid w:val="0"/>
              <w:spacing w:line="336" w:lineRule="auto"/>
              <w:ind w:firstLine="240" w:firstLineChars="100"/>
              <w:rPr>
                <w:rFonts w:hint="eastAsia" w:asciiTheme="minorEastAsia" w:hAnsiTheme="minorEastAsia" w:eastAsiaTheme="minorEastAsia" w:cstheme="minorEastAsia"/>
                <w:kern w:val="0"/>
                <w:sz w:val="24"/>
                <w:lang w:eastAsia="zh-CN"/>
              </w:rPr>
            </w:pPr>
            <w:r>
              <w:rPr>
                <w:rFonts w:hint="eastAsia" w:asciiTheme="minorEastAsia" w:hAnsiTheme="minorEastAsia" w:eastAsiaTheme="minorEastAsia" w:cstheme="minorEastAsia"/>
                <w:kern w:val="0"/>
                <w:sz w:val="24"/>
              </w:rPr>
              <w:t>电  话：</w:t>
            </w:r>
            <w:r>
              <w:rPr>
                <w:rFonts w:hint="eastAsia" w:asciiTheme="minorEastAsia" w:hAnsiTheme="minorEastAsia" w:eastAsiaTheme="minorEastAsia" w:cstheme="minorEastAsia"/>
                <w:kern w:val="0"/>
                <w:sz w:val="24"/>
                <w:lang w:eastAsia="zh-CN"/>
              </w:rPr>
              <w:t>13789339282</w:t>
            </w:r>
          </w:p>
          <w:p w14:paraId="047A6910">
            <w:pPr>
              <w:spacing w:line="360" w:lineRule="auto"/>
              <w:ind w:left="1199" w:leftChars="114" w:hanging="960" w:hangingChars="400"/>
              <w:rPr>
                <w:rFonts w:hint="eastAsia" w:asciiTheme="minorEastAsia" w:hAnsiTheme="minorEastAsia" w:eastAsiaTheme="minorEastAsia" w:cstheme="minorEastAsia"/>
                <w:kern w:val="0"/>
                <w:sz w:val="24"/>
                <w:lang w:eastAsia="zh-CN"/>
              </w:rPr>
            </w:pPr>
            <w:r>
              <w:rPr>
                <w:rFonts w:hint="eastAsia" w:asciiTheme="minorEastAsia" w:hAnsiTheme="minorEastAsia" w:eastAsiaTheme="minorEastAsia" w:cstheme="minorEastAsia"/>
                <w:kern w:val="0"/>
                <w:sz w:val="24"/>
              </w:rPr>
              <w:t>地  址：</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凤凰县大坳村凤大公路北侧</w:t>
            </w:r>
          </w:p>
          <w:p w14:paraId="5F46DFAF">
            <w:pPr>
              <w:spacing w:line="312" w:lineRule="auto"/>
              <w:rPr>
                <w:rFonts w:hint="eastAsia" w:asciiTheme="minorEastAsia" w:hAnsiTheme="minorEastAsia" w:eastAsiaTheme="minorEastAsia" w:cstheme="minorEastAsia"/>
                <w:b/>
                <w:bCs/>
                <w:sz w:val="24"/>
                <w:lang w:val="zh-CN"/>
              </w:rPr>
            </w:pPr>
            <w:r>
              <w:rPr>
                <w:rFonts w:hint="eastAsia" w:asciiTheme="minorEastAsia" w:hAnsiTheme="minorEastAsia" w:eastAsiaTheme="minorEastAsia" w:cstheme="minorEastAsia"/>
                <w:b/>
                <w:bCs/>
                <w:sz w:val="24"/>
                <w:lang w:val="zh-CN"/>
              </w:rPr>
              <w:t>采购代理机构信息</w:t>
            </w:r>
          </w:p>
          <w:p w14:paraId="3D002300">
            <w:pPr>
              <w:spacing w:line="336" w:lineRule="auto"/>
              <w:ind w:firstLine="240" w:firstLineChars="1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名  称：湖南品鉴项目管理有限公司</w:t>
            </w:r>
          </w:p>
          <w:p w14:paraId="494B9C74">
            <w:pPr>
              <w:spacing w:line="336" w:lineRule="auto"/>
              <w:ind w:firstLine="240" w:firstLineChars="100"/>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地  址：</w:t>
            </w:r>
            <w:r>
              <w:rPr>
                <w:rFonts w:hint="eastAsia" w:asciiTheme="minorEastAsia" w:hAnsiTheme="minorEastAsia" w:eastAsiaTheme="minorEastAsia" w:cstheme="minorEastAsia"/>
                <w:kern w:val="0"/>
                <w:sz w:val="24"/>
              </w:rPr>
              <w:t>湖南省吉首市乾州办事处狮子社区黄家垴42号</w:t>
            </w:r>
          </w:p>
          <w:p w14:paraId="74BDE5BB">
            <w:pPr>
              <w:spacing w:line="336" w:lineRule="auto"/>
              <w:ind w:firstLine="1200" w:firstLineChars="5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（乾城三智幼儿园旁）</w:t>
            </w:r>
          </w:p>
          <w:p w14:paraId="34231DBC">
            <w:pPr>
              <w:spacing w:line="336" w:lineRule="auto"/>
              <w:ind w:firstLine="240" w:firstLineChars="1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电  话：0743-8566116</w:t>
            </w:r>
          </w:p>
          <w:p w14:paraId="4238973A">
            <w:pPr>
              <w:spacing w:line="336" w:lineRule="auto"/>
              <w:ind w:firstLine="240" w:firstLineChars="1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联系人：徐林芝</w:t>
            </w:r>
          </w:p>
          <w:p w14:paraId="100E756C">
            <w:pPr>
              <w:spacing w:line="336" w:lineRule="auto"/>
              <w:ind w:firstLine="240" w:firstLineChars="1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联系电话：13574391213</w:t>
            </w:r>
          </w:p>
        </w:tc>
      </w:tr>
      <w:tr w14:paraId="7BD31B1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9774" w:type="dxa"/>
            <w:gridSpan w:val="3"/>
            <w:tcBorders>
              <w:tl2br w:val="nil"/>
              <w:tr2bl w:val="nil"/>
            </w:tcBorders>
            <w:vAlign w:val="center"/>
          </w:tcPr>
          <w:p w14:paraId="5326352F">
            <w:pP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七、合同签订</w:t>
            </w:r>
          </w:p>
        </w:tc>
      </w:tr>
      <w:tr w14:paraId="704DF7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343" w:type="dxa"/>
            <w:tcBorders>
              <w:tl2br w:val="nil"/>
              <w:tr2bl w:val="nil"/>
            </w:tcBorders>
            <w:vAlign w:val="center"/>
          </w:tcPr>
          <w:p w14:paraId="6CC4664D">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第30.1</w:t>
            </w:r>
            <w:r>
              <w:rPr>
                <w:rFonts w:hint="eastAsia" w:asciiTheme="minorEastAsia" w:hAnsiTheme="minorEastAsia" w:eastAsiaTheme="minorEastAsia" w:cstheme="minorEastAsia"/>
                <w:color w:val="000000" w:themeColor="text1"/>
                <w:sz w:val="24"/>
                <w:lang w:val="zh-CN"/>
                <w14:textFill>
                  <w14:solidFill>
                    <w14:schemeClr w14:val="tx1"/>
                  </w14:solidFill>
                </w14:textFill>
              </w:rPr>
              <w:t>款</w:t>
            </w:r>
          </w:p>
        </w:tc>
        <w:tc>
          <w:tcPr>
            <w:tcW w:w="1935" w:type="dxa"/>
            <w:tcBorders>
              <w:tl2br w:val="nil"/>
              <w:tr2bl w:val="nil"/>
            </w:tcBorders>
            <w:vAlign w:val="center"/>
          </w:tcPr>
          <w:p w14:paraId="4595837F">
            <w:pPr>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履约担保</w:t>
            </w:r>
          </w:p>
        </w:tc>
        <w:tc>
          <w:tcPr>
            <w:tcW w:w="6496" w:type="dxa"/>
            <w:tcBorders>
              <w:tl2br w:val="nil"/>
              <w:tr2bl w:val="nil"/>
            </w:tcBorders>
            <w:vAlign w:val="center"/>
          </w:tcPr>
          <w:p w14:paraId="13E26BCB">
            <w:pPr>
              <w:widowControl/>
              <w:spacing w:line="36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themeColor="text1"/>
                <w:sz w:val="24"/>
                <w14:textFill>
                  <w14:solidFill>
                    <w14:schemeClr w14:val="tx1"/>
                  </w14:solidFill>
                </w14:textFill>
              </w:rPr>
              <w:t xml:space="preserve">□要求提供   </w:t>
            </w:r>
            <w:r>
              <w:rPr>
                <w:rFonts w:hint="eastAsia" w:asciiTheme="minorEastAsia" w:hAnsiTheme="minorEastAsia" w:eastAsiaTheme="minorEastAsia" w:cstheme="minorEastAsia"/>
                <w:color w:val="000000" w:themeColor="text1"/>
                <w:sz w:val="24"/>
                <w14:textFill>
                  <w14:solidFill>
                    <w14:schemeClr w14:val="tx1"/>
                  </w14:solidFill>
                </w14:textFill>
              </w:rPr>
              <w:sym w:font="Wingdings 2" w:char="0052"/>
            </w:r>
            <w:r>
              <w:rPr>
                <w:rFonts w:hint="eastAsia" w:asciiTheme="minorEastAsia" w:hAnsiTheme="minorEastAsia" w:eastAsiaTheme="minorEastAsia" w:cstheme="minorEastAsia"/>
                <w:color w:val="000000" w:themeColor="text1"/>
                <w:sz w:val="24"/>
                <w14:textFill>
                  <w14:solidFill>
                    <w14:schemeClr w14:val="tx1"/>
                  </w14:solidFill>
                </w14:textFill>
              </w:rPr>
              <w:t>不要求提供</w:t>
            </w:r>
          </w:p>
        </w:tc>
      </w:tr>
      <w:tr w14:paraId="51B3C4D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9774" w:type="dxa"/>
            <w:gridSpan w:val="3"/>
            <w:tcBorders>
              <w:tl2br w:val="nil"/>
              <w:tr2bl w:val="nil"/>
            </w:tcBorders>
            <w:vAlign w:val="center"/>
          </w:tcPr>
          <w:p w14:paraId="7A134E67">
            <w:pPr>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color w:val="000000" w:themeColor="text1"/>
                <w:sz w:val="24"/>
                <w14:textFill>
                  <w14:solidFill>
                    <w14:schemeClr w14:val="tx1"/>
                  </w14:solidFill>
                </w14:textFill>
              </w:rPr>
              <w:t>八、政府采购政策</w:t>
            </w:r>
          </w:p>
        </w:tc>
      </w:tr>
      <w:tr w14:paraId="69A1C76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343" w:type="dxa"/>
            <w:tcBorders>
              <w:tl2br w:val="nil"/>
              <w:tr2bl w:val="nil"/>
            </w:tcBorders>
            <w:vAlign w:val="center"/>
          </w:tcPr>
          <w:p w14:paraId="789477CC">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第38.1款</w:t>
            </w:r>
          </w:p>
        </w:tc>
        <w:tc>
          <w:tcPr>
            <w:tcW w:w="1935" w:type="dxa"/>
            <w:tcBorders>
              <w:tl2br w:val="nil"/>
              <w:tr2bl w:val="nil"/>
            </w:tcBorders>
            <w:vAlign w:val="center"/>
          </w:tcPr>
          <w:p w14:paraId="72C4D6AD">
            <w:pPr>
              <w:widowControl/>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采购进口产品</w:t>
            </w:r>
          </w:p>
        </w:tc>
        <w:tc>
          <w:tcPr>
            <w:tcW w:w="6496" w:type="dxa"/>
            <w:tcBorders>
              <w:tl2br w:val="nil"/>
              <w:tr2bl w:val="nil"/>
            </w:tcBorders>
            <w:vAlign w:val="center"/>
          </w:tcPr>
          <w:p w14:paraId="046C9793">
            <w:pPr>
              <w:widowControl/>
              <w:spacing w:line="360" w:lineRule="auto"/>
              <w:jc w:val="left"/>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sym w:font="Wingdings 2" w:char="00A3"/>
            </w:r>
            <w:r>
              <w:rPr>
                <w:rFonts w:hint="eastAsia" w:asciiTheme="minorEastAsia" w:hAnsiTheme="minorEastAsia" w:eastAsiaTheme="minorEastAsia" w:cstheme="minorEastAsia"/>
                <w:color w:val="000000" w:themeColor="text1"/>
                <w:sz w:val="24"/>
                <w14:textFill>
                  <w14:solidFill>
                    <w14:schemeClr w14:val="tx1"/>
                  </w14:solidFill>
                </w14:textFill>
              </w:rPr>
              <w:t>接受：本项目已经财政部门审核同意购买进口产品</w:t>
            </w:r>
          </w:p>
          <w:p w14:paraId="54FF8518">
            <w:pPr>
              <w:widowControl/>
              <w:spacing w:line="360" w:lineRule="auto"/>
              <w:jc w:val="left"/>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sym w:font="Wingdings 2" w:char="0052"/>
            </w:r>
            <w:r>
              <w:rPr>
                <w:rFonts w:hint="eastAsia" w:asciiTheme="minorEastAsia" w:hAnsiTheme="minorEastAsia" w:eastAsiaTheme="minorEastAsia" w:cstheme="minorEastAsia"/>
                <w:color w:val="000000" w:themeColor="text1"/>
                <w:sz w:val="24"/>
                <w14:textFill>
                  <w14:solidFill>
                    <w14:schemeClr w14:val="tx1"/>
                  </w14:solidFill>
                </w14:textFill>
              </w:rPr>
              <w:t>不接受</w:t>
            </w:r>
          </w:p>
        </w:tc>
      </w:tr>
      <w:tr w14:paraId="5DEFC39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774" w:type="dxa"/>
            <w:gridSpan w:val="3"/>
            <w:tcBorders>
              <w:tl2br w:val="nil"/>
              <w:tr2bl w:val="nil"/>
            </w:tcBorders>
            <w:vAlign w:val="center"/>
          </w:tcPr>
          <w:p w14:paraId="7E6AB006">
            <w:pP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九、其他规定</w:t>
            </w:r>
          </w:p>
        </w:tc>
      </w:tr>
      <w:tr w14:paraId="0200312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343" w:type="dxa"/>
            <w:tcBorders>
              <w:tl2br w:val="nil"/>
              <w:tr2bl w:val="nil"/>
            </w:tcBorders>
            <w:vAlign w:val="center"/>
          </w:tcPr>
          <w:p w14:paraId="522EBFBC">
            <w:pPr>
              <w:spacing w:line="288"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第41.1款第</w:t>
            </w:r>
            <w:r>
              <w:rPr>
                <w:rFonts w:hint="eastAsia" w:asciiTheme="minorEastAsia" w:hAnsiTheme="minorEastAsia" w:eastAsiaTheme="minorEastAsia" w:cstheme="minorEastAsia"/>
                <w:color w:val="000000" w:themeColor="text1"/>
                <w:sz w:val="24"/>
                <w:lang w:val="zh-CN"/>
                <w14:textFill>
                  <w14:solidFill>
                    <w14:schemeClr w14:val="tx1"/>
                  </w14:solidFill>
                </w14:textFill>
              </w:rPr>
              <w:t>（</w:t>
            </w:r>
            <w:r>
              <w:rPr>
                <w:rFonts w:hint="eastAsia" w:asciiTheme="minorEastAsia" w:hAnsiTheme="minorEastAsia" w:eastAsiaTheme="minorEastAsia" w:cstheme="minorEastAsia"/>
                <w:color w:val="000000" w:themeColor="text1"/>
                <w:sz w:val="24"/>
                <w14:textFill>
                  <w14:solidFill>
                    <w14:schemeClr w14:val="tx1"/>
                  </w14:solidFill>
                </w14:textFill>
              </w:rPr>
              <w:t>1</w:t>
            </w:r>
            <w:r>
              <w:rPr>
                <w:rFonts w:hint="eastAsia" w:asciiTheme="minorEastAsia" w:hAnsiTheme="minorEastAsia" w:eastAsiaTheme="minorEastAsia" w:cstheme="minorEastAsia"/>
                <w:color w:val="000000" w:themeColor="text1"/>
                <w:sz w:val="24"/>
                <w:lang w:val="zh-CN"/>
                <w14:textFill>
                  <w14:solidFill>
                    <w14:schemeClr w14:val="tx1"/>
                  </w14:solidFill>
                </w14:textFill>
              </w:rPr>
              <w:t>）</w:t>
            </w:r>
            <w:r>
              <w:rPr>
                <w:rFonts w:hint="eastAsia" w:asciiTheme="minorEastAsia" w:hAnsiTheme="minorEastAsia" w:eastAsiaTheme="minorEastAsia" w:cstheme="minorEastAsia"/>
                <w:color w:val="000000" w:themeColor="text1"/>
                <w:sz w:val="24"/>
                <w14:textFill>
                  <w14:solidFill>
                    <w14:schemeClr w14:val="tx1"/>
                  </w14:solidFill>
                </w14:textFill>
              </w:rPr>
              <w:t>项</w:t>
            </w:r>
          </w:p>
        </w:tc>
        <w:tc>
          <w:tcPr>
            <w:tcW w:w="1935" w:type="dxa"/>
            <w:tcBorders>
              <w:tl2br w:val="nil"/>
              <w:tr2bl w:val="nil"/>
            </w:tcBorders>
            <w:vAlign w:val="center"/>
          </w:tcPr>
          <w:p w14:paraId="667E6743">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合同预付款</w:t>
            </w:r>
          </w:p>
          <w:p w14:paraId="1A4C589F">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的支付比例</w:t>
            </w:r>
          </w:p>
          <w:p w14:paraId="7DF09916">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和支付条件</w:t>
            </w:r>
          </w:p>
        </w:tc>
        <w:tc>
          <w:tcPr>
            <w:tcW w:w="6496" w:type="dxa"/>
            <w:tcBorders>
              <w:tl2br w:val="nil"/>
              <w:tr2bl w:val="nil"/>
            </w:tcBorders>
            <w:vAlign w:val="center"/>
          </w:tcPr>
          <w:p w14:paraId="122DCC38">
            <w:pPr>
              <w:widowControl/>
              <w:spacing w:line="360" w:lineRule="auto"/>
              <w:rPr>
                <w:rFonts w:hint="eastAsia" w:asciiTheme="minorEastAsia" w:hAnsiTheme="minorEastAsia" w:eastAsiaTheme="minorEastAsia" w:cstheme="minorEastAsia"/>
                <w:b/>
                <w:bCs/>
                <w:color w:val="C00000"/>
                <w:lang w:eastAsia="zh-CN"/>
              </w:rPr>
            </w:pPr>
            <w:r>
              <w:rPr>
                <w:rFonts w:hint="eastAsia" w:asciiTheme="minorEastAsia" w:hAnsiTheme="minorEastAsia" w:eastAsiaTheme="minorEastAsia" w:cstheme="minorEastAsia"/>
                <w:b w:val="0"/>
                <w:bCs w:val="0"/>
                <w:color w:val="auto"/>
                <w:sz w:val="24"/>
                <w:lang w:val="en-US" w:eastAsia="zh-CN"/>
              </w:rPr>
              <w:t>/</w:t>
            </w:r>
          </w:p>
        </w:tc>
      </w:tr>
      <w:tr w14:paraId="7F6C4A2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343" w:type="dxa"/>
            <w:tcBorders>
              <w:tl2br w:val="nil"/>
              <w:tr2bl w:val="nil"/>
            </w:tcBorders>
            <w:vAlign w:val="center"/>
          </w:tcPr>
          <w:p w14:paraId="5C69559D">
            <w:pPr>
              <w:spacing w:line="288"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第41.1款第</w:t>
            </w:r>
            <w:r>
              <w:rPr>
                <w:rFonts w:hint="eastAsia" w:asciiTheme="minorEastAsia" w:hAnsiTheme="minorEastAsia" w:eastAsiaTheme="minorEastAsia" w:cstheme="minorEastAsia"/>
                <w:color w:val="000000" w:themeColor="text1"/>
                <w:sz w:val="24"/>
                <w:lang w:val="zh-CN"/>
                <w14:textFill>
                  <w14:solidFill>
                    <w14:schemeClr w14:val="tx1"/>
                  </w14:solidFill>
                </w14:textFill>
              </w:rPr>
              <w:t>（</w:t>
            </w:r>
            <w:r>
              <w:rPr>
                <w:rFonts w:hint="eastAsia" w:asciiTheme="minorEastAsia" w:hAnsiTheme="minorEastAsia" w:eastAsiaTheme="minorEastAsia" w:cstheme="minorEastAsia"/>
                <w:color w:val="000000" w:themeColor="text1"/>
                <w:sz w:val="24"/>
                <w14:textFill>
                  <w14:solidFill>
                    <w14:schemeClr w14:val="tx1"/>
                  </w14:solidFill>
                </w14:textFill>
              </w:rPr>
              <w:t>2</w:t>
            </w:r>
            <w:r>
              <w:rPr>
                <w:rFonts w:hint="eastAsia" w:asciiTheme="minorEastAsia" w:hAnsiTheme="minorEastAsia" w:eastAsiaTheme="minorEastAsia" w:cstheme="minorEastAsia"/>
                <w:color w:val="000000" w:themeColor="text1"/>
                <w:sz w:val="24"/>
                <w:lang w:val="zh-CN"/>
                <w14:textFill>
                  <w14:solidFill>
                    <w14:schemeClr w14:val="tx1"/>
                  </w14:solidFill>
                </w14:textFill>
              </w:rPr>
              <w:t>）</w:t>
            </w:r>
            <w:r>
              <w:rPr>
                <w:rFonts w:hint="eastAsia" w:asciiTheme="minorEastAsia" w:hAnsiTheme="minorEastAsia" w:eastAsiaTheme="minorEastAsia" w:cstheme="minorEastAsia"/>
                <w:color w:val="000000" w:themeColor="text1"/>
                <w:sz w:val="24"/>
                <w14:textFill>
                  <w14:solidFill>
                    <w14:schemeClr w14:val="tx1"/>
                  </w14:solidFill>
                </w14:textFill>
              </w:rPr>
              <w:t>项</w:t>
            </w:r>
          </w:p>
        </w:tc>
        <w:tc>
          <w:tcPr>
            <w:tcW w:w="1935" w:type="dxa"/>
            <w:tcBorders>
              <w:tl2br w:val="nil"/>
              <w:tr2bl w:val="nil"/>
            </w:tcBorders>
            <w:vAlign w:val="center"/>
          </w:tcPr>
          <w:p w14:paraId="500662B2">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质量保证金</w:t>
            </w:r>
          </w:p>
        </w:tc>
        <w:tc>
          <w:tcPr>
            <w:tcW w:w="6496" w:type="dxa"/>
            <w:tcBorders>
              <w:tl2br w:val="nil"/>
              <w:tr2bl w:val="nil"/>
            </w:tcBorders>
            <w:vAlign w:val="center"/>
          </w:tcPr>
          <w:p w14:paraId="20051E68">
            <w:pPr>
              <w:widowControl/>
              <w:spacing w:line="360" w:lineRule="auto"/>
              <w:jc w:val="left"/>
              <w:rPr>
                <w:rFonts w:hint="eastAsia" w:asciiTheme="minorEastAsia" w:hAnsiTheme="minorEastAsia" w:eastAsiaTheme="minorEastAsia" w:cstheme="minorEastAsia"/>
                <w:kern w:val="0"/>
                <w:sz w:val="24"/>
                <w:lang w:bidi="ar"/>
              </w:rPr>
            </w:pPr>
            <w:r>
              <w:rPr>
                <w:rFonts w:hint="eastAsia" w:asciiTheme="minorEastAsia" w:hAnsiTheme="minorEastAsia" w:eastAsiaTheme="minorEastAsia" w:cstheme="minorEastAsia"/>
                <w:b w:val="0"/>
                <w:bCs w:val="0"/>
                <w:color w:val="auto"/>
                <w:sz w:val="24"/>
                <w:lang w:val="en-US" w:eastAsia="zh-CN"/>
              </w:rPr>
              <w:t>/</w:t>
            </w:r>
          </w:p>
        </w:tc>
      </w:tr>
      <w:tr w14:paraId="21C1C0E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343" w:type="dxa"/>
            <w:tcBorders>
              <w:tl2br w:val="nil"/>
              <w:tr2bl w:val="nil"/>
            </w:tcBorders>
            <w:vAlign w:val="center"/>
          </w:tcPr>
          <w:p w14:paraId="7865BA38">
            <w:pPr>
              <w:spacing w:line="360" w:lineRule="auto"/>
              <w:rPr>
                <w:rFonts w:hint="eastAsia" w:asciiTheme="minorEastAsia" w:hAnsiTheme="minorEastAsia" w:eastAsiaTheme="minorEastAsia" w:cstheme="minorEastAsia"/>
                <w:sz w:val="24"/>
              </w:rPr>
            </w:pPr>
            <w:bookmarkStart w:id="19" w:name="_Toc1554"/>
            <w:bookmarkStart w:id="20" w:name="_Toc775"/>
            <w:bookmarkStart w:id="21" w:name="_Toc26476"/>
            <w:bookmarkStart w:id="22" w:name="_Toc11458"/>
            <w:r>
              <w:rPr>
                <w:rFonts w:hint="eastAsia" w:asciiTheme="minorEastAsia" w:hAnsiTheme="minorEastAsia" w:eastAsiaTheme="minorEastAsia" w:cstheme="minorEastAsia"/>
                <w:sz w:val="24"/>
              </w:rPr>
              <w:t>第42.1</w:t>
            </w:r>
            <w:r>
              <w:rPr>
                <w:rFonts w:hint="eastAsia" w:asciiTheme="minorEastAsia" w:hAnsiTheme="minorEastAsia" w:eastAsiaTheme="minorEastAsia" w:cstheme="minorEastAsia"/>
                <w:sz w:val="24"/>
                <w:lang w:val="zh-CN"/>
              </w:rPr>
              <w:t>款</w:t>
            </w:r>
          </w:p>
        </w:tc>
        <w:tc>
          <w:tcPr>
            <w:tcW w:w="1935" w:type="dxa"/>
            <w:tcBorders>
              <w:tl2br w:val="nil"/>
              <w:tr2bl w:val="nil"/>
            </w:tcBorders>
            <w:vAlign w:val="center"/>
          </w:tcPr>
          <w:p w14:paraId="71A5E084">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招标代理服务费</w:t>
            </w:r>
          </w:p>
        </w:tc>
        <w:tc>
          <w:tcPr>
            <w:tcW w:w="6496" w:type="dxa"/>
            <w:tcBorders>
              <w:tl2br w:val="nil"/>
              <w:tr2bl w:val="nil"/>
            </w:tcBorders>
            <w:vAlign w:val="center"/>
          </w:tcPr>
          <w:p w14:paraId="03A310A2">
            <w:pPr>
              <w:widowControl/>
              <w:spacing w:line="360" w:lineRule="auto"/>
              <w:jc w:val="left"/>
              <w:rPr>
                <w:rFonts w:hint="eastAsia" w:asciiTheme="minorEastAsia" w:hAnsiTheme="minorEastAsia" w:eastAsiaTheme="minorEastAsia" w:cstheme="minorEastAsia"/>
                <w:kern w:val="0"/>
                <w:sz w:val="24"/>
                <w:lang w:bidi="ar"/>
              </w:rPr>
            </w:pP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代理服务费按照《招标代理服务收费管理办法》(计价格(2002)1980号)下浮收取，共计38000.00元，专家评审费按实际发生金额另行计算。</w:t>
            </w:r>
          </w:p>
        </w:tc>
      </w:tr>
      <w:tr w14:paraId="394848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343" w:type="dxa"/>
            <w:tcBorders>
              <w:tl2br w:val="nil"/>
              <w:tr2bl w:val="nil"/>
            </w:tcBorders>
            <w:vAlign w:val="center"/>
          </w:tcPr>
          <w:p w14:paraId="21119A7C">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color w:val="000000" w:themeColor="text1"/>
                <w:sz w:val="24"/>
                <w14:textFill>
                  <w14:solidFill>
                    <w14:schemeClr w14:val="tx1"/>
                  </w14:solidFill>
                </w14:textFill>
              </w:rPr>
              <w:t>第42.2</w:t>
            </w:r>
            <w:r>
              <w:rPr>
                <w:rFonts w:hint="eastAsia" w:asciiTheme="minorEastAsia" w:hAnsiTheme="minorEastAsia" w:eastAsiaTheme="minorEastAsia" w:cstheme="minorEastAsia"/>
                <w:color w:val="000000" w:themeColor="text1"/>
                <w:sz w:val="24"/>
                <w:lang w:val="zh-CN"/>
                <w14:textFill>
                  <w14:solidFill>
                    <w14:schemeClr w14:val="tx1"/>
                  </w14:solidFill>
                </w14:textFill>
              </w:rPr>
              <w:t>款</w:t>
            </w:r>
          </w:p>
        </w:tc>
        <w:tc>
          <w:tcPr>
            <w:tcW w:w="1935" w:type="dxa"/>
            <w:tcBorders>
              <w:tl2br w:val="nil"/>
              <w:tr2bl w:val="nil"/>
            </w:tcBorders>
            <w:vAlign w:val="center"/>
          </w:tcPr>
          <w:p w14:paraId="3B604E9B">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color w:val="000000" w:themeColor="text1"/>
                <w:sz w:val="24"/>
                <w14:textFill>
                  <w14:solidFill>
                    <w14:schemeClr w14:val="tx1"/>
                  </w14:solidFill>
                </w14:textFill>
              </w:rPr>
              <w:t>其他规定</w:t>
            </w:r>
          </w:p>
        </w:tc>
        <w:tc>
          <w:tcPr>
            <w:tcW w:w="6496" w:type="dxa"/>
            <w:tcBorders>
              <w:tl2br w:val="nil"/>
              <w:tr2bl w:val="nil"/>
            </w:tcBorders>
            <w:vAlign w:val="center"/>
          </w:tcPr>
          <w:p w14:paraId="78B455B0">
            <w:pPr>
              <w:spacing w:line="324"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sz w:val="24"/>
                <w:lang w:eastAsia="zh-CN"/>
              </w:rPr>
              <w:t>法律法规</w:t>
            </w:r>
            <w:r>
              <w:rPr>
                <w:rFonts w:hint="eastAsia" w:asciiTheme="minorEastAsia" w:hAnsiTheme="minorEastAsia" w:eastAsiaTheme="minorEastAsia" w:cstheme="minorEastAsia"/>
                <w:sz w:val="24"/>
              </w:rPr>
              <w:t>、规章和省级以上财政部门规定的其他内容，按法律法规规定执行。</w:t>
            </w:r>
          </w:p>
        </w:tc>
      </w:tr>
    </w:tbl>
    <w:p w14:paraId="251D06A3">
      <w:pPr>
        <w:rPr>
          <w:rFonts w:hint="eastAsia" w:asciiTheme="minorEastAsia" w:hAnsiTheme="minorEastAsia" w:eastAsiaTheme="minorEastAsia" w:cstheme="minorEastAsia"/>
          <w:sz w:val="32"/>
          <w:szCs w:val="40"/>
        </w:rPr>
      </w:pPr>
      <w:r>
        <w:rPr>
          <w:rFonts w:hint="eastAsia" w:asciiTheme="minorEastAsia" w:hAnsiTheme="minorEastAsia" w:eastAsiaTheme="minorEastAsia" w:cstheme="minorEastAsia"/>
          <w:sz w:val="32"/>
          <w:szCs w:val="40"/>
        </w:rPr>
        <w:br w:type="page"/>
      </w:r>
    </w:p>
    <w:p w14:paraId="659456DB">
      <w:pPr>
        <w:pStyle w:val="4"/>
        <w:numPr>
          <w:ilvl w:val="0"/>
          <w:numId w:val="27"/>
        </w:numPr>
        <w:spacing w:line="240" w:lineRule="auto"/>
        <w:jc w:val="center"/>
        <w:rPr>
          <w:rFonts w:hint="eastAsia" w:asciiTheme="minorEastAsia" w:hAnsiTheme="minorEastAsia" w:eastAsiaTheme="minorEastAsia" w:cstheme="minorEastAsia"/>
          <w:sz w:val="32"/>
          <w:szCs w:val="40"/>
        </w:rPr>
      </w:pPr>
      <w:bookmarkStart w:id="23" w:name="_Toc5734"/>
      <w:r>
        <w:rPr>
          <w:rFonts w:hint="eastAsia" w:asciiTheme="minorEastAsia" w:hAnsiTheme="minorEastAsia" w:eastAsiaTheme="minorEastAsia" w:cstheme="minorEastAsia"/>
          <w:sz w:val="32"/>
          <w:szCs w:val="40"/>
        </w:rPr>
        <w:t>投标须知</w:t>
      </w:r>
      <w:bookmarkEnd w:id="19"/>
      <w:bookmarkEnd w:id="20"/>
      <w:bookmarkEnd w:id="21"/>
      <w:bookmarkEnd w:id="22"/>
      <w:bookmarkEnd w:id="23"/>
      <w:bookmarkStart w:id="24" w:name="_Toc23347"/>
      <w:bookmarkStart w:id="25" w:name="_Toc27075"/>
      <w:bookmarkStart w:id="26" w:name="_Toc5228"/>
      <w:bookmarkStart w:id="27" w:name="_Toc20463"/>
      <w:bookmarkStart w:id="28" w:name="_Toc24106"/>
    </w:p>
    <w:p w14:paraId="06D4FFE1">
      <w:pPr>
        <w:pStyle w:val="4"/>
        <w:spacing w:line="240" w:lineRule="auto"/>
        <w:ind w:right="-61" w:rightChars="-29"/>
        <w:jc w:val="center"/>
        <w:rPr>
          <w:rFonts w:hint="eastAsia" w:asciiTheme="minorEastAsia" w:hAnsiTheme="minorEastAsia" w:eastAsiaTheme="minorEastAsia" w:cstheme="minorEastAsia"/>
          <w:sz w:val="28"/>
          <w:szCs w:val="36"/>
        </w:rPr>
      </w:pPr>
      <w:bookmarkStart w:id="29" w:name="_Toc23857"/>
      <w:r>
        <w:rPr>
          <w:rFonts w:hint="eastAsia" w:asciiTheme="minorEastAsia" w:hAnsiTheme="minorEastAsia" w:eastAsiaTheme="minorEastAsia" w:cstheme="minorEastAsia"/>
          <w:sz w:val="28"/>
          <w:szCs w:val="36"/>
        </w:rPr>
        <w:t>一、总则</w:t>
      </w:r>
      <w:bookmarkEnd w:id="24"/>
      <w:bookmarkEnd w:id="25"/>
      <w:bookmarkEnd w:id="26"/>
      <w:bookmarkEnd w:id="27"/>
      <w:bookmarkEnd w:id="28"/>
      <w:bookmarkEnd w:id="29"/>
    </w:p>
    <w:p w14:paraId="346918EE">
      <w:pPr>
        <w:spacing w:line="360" w:lineRule="auto"/>
        <w:ind w:right="-4" w:firstLine="241" w:firstLineChars="100"/>
        <w:rPr>
          <w:rFonts w:hint="eastAsia" w:asciiTheme="minorEastAsia" w:hAnsiTheme="minorEastAsia" w:eastAsiaTheme="minorEastAsia" w:cstheme="minorEastAsia"/>
          <w:b/>
          <w:bCs/>
          <w:sz w:val="24"/>
          <w:szCs w:val="32"/>
        </w:rPr>
      </w:pPr>
      <w:bookmarkStart w:id="30" w:name="_Toc6141"/>
      <w:bookmarkStart w:id="31" w:name="_Toc27181"/>
      <w:bookmarkStart w:id="32" w:name="_Toc19963"/>
      <w:bookmarkStart w:id="33" w:name="_Toc10470"/>
      <w:bookmarkStart w:id="34" w:name="_Toc9646"/>
      <w:bookmarkStart w:id="35" w:name="_Toc20243"/>
      <w:bookmarkStart w:id="36" w:name="_Toc6223"/>
      <w:bookmarkStart w:id="37" w:name="_Toc12255"/>
      <w:r>
        <w:rPr>
          <w:rFonts w:hint="eastAsia" w:asciiTheme="minorEastAsia" w:hAnsiTheme="minorEastAsia" w:eastAsiaTheme="minorEastAsia" w:cstheme="minorEastAsia"/>
          <w:b/>
          <w:bCs/>
          <w:sz w:val="24"/>
          <w:szCs w:val="32"/>
        </w:rPr>
        <w:t>1.适用范围</w:t>
      </w:r>
      <w:bookmarkEnd w:id="30"/>
      <w:bookmarkEnd w:id="31"/>
      <w:bookmarkEnd w:id="32"/>
      <w:bookmarkEnd w:id="33"/>
      <w:bookmarkEnd w:id="34"/>
      <w:bookmarkEnd w:id="35"/>
      <w:bookmarkEnd w:id="36"/>
      <w:bookmarkEnd w:id="37"/>
    </w:p>
    <w:p w14:paraId="3EEE3329">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1.1本招标文件仅适用于本章第一节【投标须知前附表】中所叙述的采购项目。</w:t>
      </w:r>
    </w:p>
    <w:p w14:paraId="532D776C">
      <w:pPr>
        <w:spacing w:line="360" w:lineRule="auto"/>
        <w:ind w:right="-4" w:firstLine="48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szCs w:val="32"/>
        </w:rPr>
        <w:t>1.2【投标须知前附表】规定采购项目或者采购包属于“预留采购份额”的，投标人应当符合本章第32.1款规定，否则，其</w:t>
      </w:r>
      <w:r>
        <w:rPr>
          <w:rFonts w:hint="eastAsia" w:asciiTheme="minorEastAsia" w:hAnsiTheme="minorEastAsia" w:eastAsiaTheme="minorEastAsia" w:cstheme="minorEastAsia"/>
          <w:b/>
          <w:bCs/>
          <w:sz w:val="24"/>
          <w:szCs w:val="32"/>
        </w:rPr>
        <w:t>投标无效</w:t>
      </w:r>
      <w:r>
        <w:rPr>
          <w:rFonts w:hint="eastAsia" w:asciiTheme="minorEastAsia" w:hAnsiTheme="minorEastAsia" w:eastAsiaTheme="minorEastAsia" w:cstheme="minorEastAsia"/>
          <w:sz w:val="24"/>
          <w:szCs w:val="32"/>
        </w:rPr>
        <w:t>。</w:t>
      </w:r>
    </w:p>
    <w:p w14:paraId="124B47AC">
      <w:pPr>
        <w:spacing w:line="360" w:lineRule="auto"/>
        <w:ind w:right="-4" w:firstLine="241" w:firstLineChars="100"/>
        <w:rPr>
          <w:rFonts w:hint="eastAsia" w:asciiTheme="minorEastAsia" w:hAnsiTheme="minorEastAsia" w:eastAsiaTheme="minorEastAsia" w:cstheme="minorEastAsia"/>
          <w:b/>
          <w:bCs/>
          <w:sz w:val="24"/>
          <w:szCs w:val="32"/>
        </w:rPr>
      </w:pPr>
      <w:bookmarkStart w:id="38" w:name="_Toc27337"/>
      <w:bookmarkStart w:id="39" w:name="_Toc28766"/>
      <w:bookmarkStart w:id="40" w:name="_Toc21264"/>
      <w:bookmarkStart w:id="41" w:name="_Toc8402"/>
      <w:bookmarkStart w:id="42" w:name="_Toc27039"/>
      <w:bookmarkStart w:id="43" w:name="_Toc12828"/>
      <w:bookmarkStart w:id="44" w:name="_Toc28299"/>
      <w:bookmarkStart w:id="45" w:name="_Toc31880"/>
      <w:r>
        <w:rPr>
          <w:rFonts w:hint="eastAsia" w:asciiTheme="minorEastAsia" w:hAnsiTheme="minorEastAsia" w:eastAsiaTheme="minorEastAsia" w:cstheme="minorEastAsia"/>
          <w:b/>
          <w:bCs/>
          <w:sz w:val="24"/>
          <w:szCs w:val="32"/>
        </w:rPr>
        <w:t>2.定义</w:t>
      </w:r>
      <w:bookmarkEnd w:id="38"/>
      <w:bookmarkEnd w:id="39"/>
      <w:bookmarkEnd w:id="40"/>
      <w:bookmarkEnd w:id="41"/>
      <w:bookmarkEnd w:id="42"/>
      <w:bookmarkEnd w:id="43"/>
      <w:bookmarkEnd w:id="44"/>
      <w:bookmarkEnd w:id="45"/>
    </w:p>
    <w:p w14:paraId="6D09585D">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2.1采购项目联系人姓名和电话见【投标须知前附表】</w:t>
      </w:r>
    </w:p>
    <w:p w14:paraId="1A8FE18C">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2.2采购人名称、地址、电话、联系人见【投标须知前附表】</w:t>
      </w:r>
    </w:p>
    <w:p w14:paraId="1CCC71C8">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2.3采购代理机构名称、地址、电话、联系人见【投标须知前附表】</w:t>
      </w:r>
    </w:p>
    <w:p w14:paraId="6A35C8CA">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2.4投标人系指响应招标、参加投标的法人、其他组织或自然人。</w:t>
      </w:r>
    </w:p>
    <w:p w14:paraId="2C64E3FF">
      <w:pPr>
        <w:spacing w:line="360" w:lineRule="auto"/>
        <w:ind w:right="-4" w:firstLine="241" w:firstLineChars="100"/>
        <w:rPr>
          <w:rFonts w:hint="eastAsia" w:asciiTheme="minorEastAsia" w:hAnsiTheme="minorEastAsia" w:eastAsiaTheme="minorEastAsia" w:cstheme="minorEastAsia"/>
          <w:b/>
          <w:bCs/>
          <w:sz w:val="24"/>
          <w:szCs w:val="32"/>
        </w:rPr>
      </w:pPr>
      <w:bookmarkStart w:id="46" w:name="_Toc31007"/>
      <w:bookmarkStart w:id="47" w:name="_Toc11628"/>
      <w:bookmarkStart w:id="48" w:name="_Toc15741"/>
      <w:bookmarkStart w:id="49" w:name="_Toc32562"/>
      <w:bookmarkStart w:id="50" w:name="_Toc21582"/>
      <w:bookmarkStart w:id="51" w:name="_Toc28132"/>
      <w:bookmarkStart w:id="52" w:name="_Toc7656"/>
      <w:bookmarkStart w:id="53" w:name="_Toc4372"/>
      <w:r>
        <w:rPr>
          <w:rFonts w:hint="eastAsia" w:asciiTheme="minorEastAsia" w:hAnsiTheme="minorEastAsia" w:eastAsiaTheme="minorEastAsia" w:cstheme="minorEastAsia"/>
          <w:b/>
          <w:bCs/>
          <w:sz w:val="24"/>
          <w:szCs w:val="32"/>
        </w:rPr>
        <w:t>3.投标人的资格要求</w:t>
      </w:r>
      <w:bookmarkEnd w:id="46"/>
      <w:bookmarkEnd w:id="47"/>
      <w:bookmarkEnd w:id="48"/>
      <w:bookmarkEnd w:id="49"/>
      <w:bookmarkEnd w:id="50"/>
      <w:bookmarkEnd w:id="51"/>
      <w:bookmarkEnd w:id="52"/>
      <w:bookmarkEnd w:id="53"/>
    </w:p>
    <w:p w14:paraId="358B75B8">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3.1投标人应当符合【投标须知前附表】规定的投标人资格条件。</w:t>
      </w:r>
    </w:p>
    <w:p w14:paraId="422FE3A4">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3.2【投标须知前附表】规定接受联合体形式投标的，投标人除应符合本章第3.1</w:t>
      </w:r>
      <w:r>
        <w:rPr>
          <w:rFonts w:hint="eastAsia" w:asciiTheme="minorEastAsia" w:hAnsiTheme="minorEastAsia" w:eastAsiaTheme="minorEastAsia" w:cstheme="minorEastAsia"/>
          <w:sz w:val="24"/>
          <w:szCs w:val="32"/>
          <w:lang w:val="zh-CN"/>
        </w:rPr>
        <w:t>款</w:t>
      </w:r>
      <w:r>
        <w:rPr>
          <w:rFonts w:hint="eastAsia" w:asciiTheme="minorEastAsia" w:hAnsiTheme="minorEastAsia" w:eastAsiaTheme="minorEastAsia" w:cstheme="minorEastAsia"/>
          <w:sz w:val="24"/>
          <w:szCs w:val="32"/>
        </w:rPr>
        <w:t>规定外，还应遵守以下规定：</w:t>
      </w:r>
    </w:p>
    <w:p w14:paraId="423CF593">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（l）联合体中有同类资质的供应商按照联合体分工承担相同工作的，应当按照资质等级较低的供应商确定资质等级。</w:t>
      </w:r>
    </w:p>
    <w:p w14:paraId="37A5F0EE">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（2）联合体各方应按招标文件提供的格式签订联合体协议书，明确联合体牵头人和各方的权利义务、合同工作量比例；</w:t>
      </w:r>
    </w:p>
    <w:p w14:paraId="74189CD8">
      <w:pPr>
        <w:spacing w:line="360" w:lineRule="auto"/>
        <w:ind w:right="-4" w:firstLine="480" w:firstLineChars="200"/>
        <w:rPr>
          <w:rFonts w:asciiTheme="minorEastAsia" w:hAnsiTheme="minorEastAsia" w:eastAsiaTheme="minorEastAsia" w:cstheme="minorEastAsia"/>
          <w:sz w:val="24"/>
          <w:szCs w:val="32"/>
          <w:lang w:val="zh-CN"/>
        </w:rPr>
      </w:pPr>
      <w:r>
        <w:rPr>
          <w:rFonts w:hint="eastAsia" w:asciiTheme="minorEastAsia" w:hAnsiTheme="minorEastAsia" w:eastAsiaTheme="minorEastAsia" w:cstheme="minorEastAsia"/>
          <w:sz w:val="24"/>
          <w:szCs w:val="32"/>
        </w:rPr>
        <w:t>（3）联合体各方签订联合体协议书后，</w:t>
      </w:r>
      <w:r>
        <w:rPr>
          <w:rFonts w:hint="eastAsia" w:asciiTheme="minorEastAsia" w:hAnsiTheme="minorEastAsia" w:eastAsiaTheme="minorEastAsia" w:cstheme="minorEastAsia"/>
          <w:sz w:val="24"/>
          <w:szCs w:val="32"/>
          <w:lang w:val="zh-CN"/>
        </w:rPr>
        <w:t>不得再单独参加或者与其他投标人组成新的联合体参加</w:t>
      </w:r>
      <w:r>
        <w:rPr>
          <w:rFonts w:hint="eastAsia" w:asciiTheme="minorEastAsia" w:hAnsiTheme="minorEastAsia" w:eastAsiaTheme="minorEastAsia" w:cstheme="minorEastAsia"/>
          <w:sz w:val="24"/>
          <w:szCs w:val="32"/>
        </w:rPr>
        <w:t>本项目</w:t>
      </w:r>
      <w:r>
        <w:rPr>
          <w:rFonts w:hint="eastAsia" w:asciiTheme="minorEastAsia" w:hAnsiTheme="minorEastAsia" w:eastAsiaTheme="minorEastAsia" w:cstheme="minorEastAsia"/>
          <w:sz w:val="24"/>
          <w:szCs w:val="32"/>
          <w:lang w:val="zh-CN"/>
        </w:rPr>
        <w:t>同一合同项下的采购活动。</w:t>
      </w:r>
    </w:p>
    <w:p w14:paraId="6F46081F">
      <w:pPr>
        <w:spacing w:line="360" w:lineRule="auto"/>
        <w:ind w:right="-4" w:firstLine="241" w:firstLineChars="100"/>
        <w:rPr>
          <w:rFonts w:hint="eastAsia" w:asciiTheme="minorEastAsia" w:hAnsiTheme="minorEastAsia" w:eastAsiaTheme="minorEastAsia" w:cstheme="minorEastAsia"/>
          <w:b/>
          <w:bCs/>
          <w:sz w:val="24"/>
          <w:szCs w:val="32"/>
        </w:rPr>
      </w:pPr>
      <w:bookmarkStart w:id="54" w:name="_Toc25046"/>
      <w:bookmarkStart w:id="55" w:name="_Toc32107"/>
      <w:bookmarkStart w:id="56" w:name="_Toc8800"/>
      <w:bookmarkStart w:id="57" w:name="_Toc31244"/>
      <w:bookmarkStart w:id="58" w:name="_Toc30212"/>
      <w:bookmarkStart w:id="59" w:name="_Toc22137"/>
      <w:bookmarkStart w:id="60" w:name="_Toc13901"/>
      <w:bookmarkStart w:id="61" w:name="_Toc24749"/>
      <w:r>
        <w:rPr>
          <w:rFonts w:hint="eastAsia" w:asciiTheme="minorEastAsia" w:hAnsiTheme="minorEastAsia" w:eastAsiaTheme="minorEastAsia" w:cstheme="minorEastAsia"/>
          <w:b/>
          <w:bCs/>
          <w:sz w:val="24"/>
          <w:szCs w:val="32"/>
        </w:rPr>
        <w:t>4.投标费用</w:t>
      </w:r>
      <w:bookmarkEnd w:id="54"/>
      <w:bookmarkEnd w:id="55"/>
      <w:bookmarkEnd w:id="56"/>
      <w:bookmarkEnd w:id="57"/>
      <w:bookmarkEnd w:id="58"/>
      <w:bookmarkEnd w:id="59"/>
      <w:bookmarkEnd w:id="60"/>
      <w:bookmarkEnd w:id="61"/>
    </w:p>
    <w:p w14:paraId="6CB27EA0">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4.1投标人应自行承担所有参与投标的相关费用，不论投标的结果如何，采购人或者采购代理机构均无义务和责任承担这些费用。</w:t>
      </w:r>
    </w:p>
    <w:p w14:paraId="16B0B996">
      <w:pPr>
        <w:spacing w:line="360" w:lineRule="auto"/>
        <w:ind w:right="-4" w:firstLine="241" w:firstLineChars="100"/>
        <w:rPr>
          <w:rFonts w:hint="eastAsia" w:asciiTheme="minorEastAsia" w:hAnsiTheme="minorEastAsia" w:eastAsiaTheme="minorEastAsia" w:cstheme="minorEastAsia"/>
          <w:b/>
          <w:bCs/>
          <w:sz w:val="24"/>
          <w:szCs w:val="32"/>
        </w:rPr>
      </w:pPr>
      <w:bookmarkStart w:id="62" w:name="_Toc29596"/>
      <w:bookmarkStart w:id="63" w:name="_Toc31845"/>
      <w:bookmarkStart w:id="64" w:name="_Toc22028"/>
      <w:bookmarkStart w:id="65" w:name="_Toc19026"/>
      <w:bookmarkStart w:id="66" w:name="_Toc29415"/>
      <w:bookmarkStart w:id="67" w:name="_Toc7601"/>
      <w:bookmarkStart w:id="68" w:name="_Toc5919"/>
      <w:bookmarkStart w:id="69" w:name="_Toc4788"/>
      <w:r>
        <w:rPr>
          <w:rFonts w:hint="eastAsia" w:asciiTheme="minorEastAsia" w:hAnsiTheme="minorEastAsia" w:eastAsiaTheme="minorEastAsia" w:cstheme="minorEastAsia"/>
          <w:b/>
          <w:bCs/>
          <w:sz w:val="24"/>
          <w:szCs w:val="32"/>
        </w:rPr>
        <w:t>5.组织现场考察或者召开答疑会</w:t>
      </w:r>
      <w:bookmarkEnd w:id="62"/>
      <w:bookmarkEnd w:id="63"/>
      <w:bookmarkEnd w:id="64"/>
      <w:bookmarkEnd w:id="65"/>
      <w:bookmarkEnd w:id="66"/>
      <w:bookmarkEnd w:id="67"/>
      <w:bookmarkEnd w:id="68"/>
      <w:bookmarkEnd w:id="69"/>
    </w:p>
    <w:p w14:paraId="14CC73E8">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5.1采购人或者采购代理机构可以在招标文件提供期限截止后，组织已获取招标文件的潜在投标人现场考察或者召开开标前答疑会。</w:t>
      </w:r>
    </w:p>
    <w:p w14:paraId="0287388B">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5.2获取招标文件的潜在投标人应按【投标须知前附表】规定参加现场考察或者答疑会；如不参加，其风险由其自行承担。</w:t>
      </w:r>
    </w:p>
    <w:p w14:paraId="1890D4E3">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5.3潜在投标人现场考察或者参加答疑会的费用由自己承担，现场考察期间所发生的人身伤害及财产损失由自己负责。</w:t>
      </w:r>
    </w:p>
    <w:p w14:paraId="0743B846">
      <w:pPr>
        <w:pStyle w:val="79"/>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5.4采购人或者采购代理机构不对投标人据此而做出的推论、理解和结论负责。投标人一旦中标，不得以任何借口，提出额外补偿，或延长合同期限的要求。</w:t>
      </w:r>
      <w:bookmarkStart w:id="70" w:name="_Toc16688"/>
      <w:bookmarkStart w:id="71" w:name="_Toc9965"/>
      <w:bookmarkStart w:id="72" w:name="_Toc10489"/>
      <w:bookmarkStart w:id="73" w:name="_Toc22731"/>
    </w:p>
    <w:p w14:paraId="4C011B90">
      <w:pPr>
        <w:adjustRightInd w:val="0"/>
        <w:snapToGrid w:val="0"/>
        <w:rPr>
          <w:rFonts w:hint="eastAsia" w:asciiTheme="minorEastAsia" w:hAnsiTheme="minorEastAsia" w:eastAsiaTheme="minorEastAsia" w:cstheme="minorEastAsia"/>
          <w:color w:val="000000" w:themeColor="text1"/>
          <w:sz w:val="15"/>
          <w:szCs w:val="15"/>
          <w14:textFill>
            <w14:solidFill>
              <w14:schemeClr w14:val="tx1"/>
            </w14:solidFill>
          </w14:textFill>
        </w:rPr>
      </w:pPr>
    </w:p>
    <w:p w14:paraId="618B3DC0">
      <w:pPr>
        <w:pStyle w:val="4"/>
        <w:spacing w:line="240" w:lineRule="auto"/>
        <w:ind w:right="-61" w:rightChars="-29" w:firstLine="191" w:firstLineChars="68"/>
        <w:jc w:val="center"/>
        <w:rPr>
          <w:rFonts w:hint="eastAsia" w:asciiTheme="minorEastAsia" w:hAnsiTheme="minorEastAsia" w:eastAsiaTheme="minorEastAsia" w:cstheme="minorEastAsia"/>
          <w:sz w:val="28"/>
          <w:szCs w:val="36"/>
        </w:rPr>
      </w:pPr>
      <w:bookmarkStart w:id="74" w:name="_Toc8759"/>
      <w:bookmarkStart w:id="75" w:name="_Toc28307"/>
      <w:bookmarkStart w:id="76" w:name="_Toc27161"/>
      <w:r>
        <w:rPr>
          <w:rFonts w:hint="eastAsia" w:asciiTheme="minorEastAsia" w:hAnsiTheme="minorEastAsia" w:eastAsiaTheme="minorEastAsia" w:cstheme="minorEastAsia"/>
          <w:sz w:val="28"/>
          <w:szCs w:val="36"/>
        </w:rPr>
        <w:t>二、招标文件</w:t>
      </w:r>
      <w:bookmarkEnd w:id="70"/>
      <w:bookmarkEnd w:id="71"/>
      <w:bookmarkEnd w:id="72"/>
      <w:bookmarkEnd w:id="73"/>
      <w:bookmarkEnd w:id="74"/>
      <w:bookmarkEnd w:id="75"/>
      <w:bookmarkEnd w:id="76"/>
    </w:p>
    <w:p w14:paraId="35CCD1CE">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6.招标文件的构成和提供</w:t>
      </w:r>
    </w:p>
    <w:p w14:paraId="0D99AAA0">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6.1招标文件共七章，各章内容如下：</w:t>
      </w:r>
    </w:p>
    <w:p w14:paraId="5B3366FC">
      <w:pPr>
        <w:spacing w:line="360" w:lineRule="auto"/>
        <w:ind w:right="-4" w:firstLine="720" w:firstLineChars="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第一章 投标邀请</w:t>
      </w:r>
    </w:p>
    <w:p w14:paraId="5E02A77D">
      <w:pPr>
        <w:spacing w:line="360" w:lineRule="auto"/>
        <w:ind w:right="-4" w:firstLine="720" w:firstLineChars="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第二章 投标须知</w:t>
      </w:r>
    </w:p>
    <w:p w14:paraId="26E04D5D">
      <w:pPr>
        <w:spacing w:line="360" w:lineRule="auto"/>
        <w:ind w:right="-4" w:firstLine="720" w:firstLineChars="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第三章 资格审查</w:t>
      </w:r>
    </w:p>
    <w:p w14:paraId="0604B24B">
      <w:pPr>
        <w:spacing w:line="360" w:lineRule="auto"/>
        <w:ind w:right="-4" w:firstLine="720" w:firstLineChars="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第四章 评标方法及标准（综合评分法）</w:t>
      </w:r>
    </w:p>
    <w:p w14:paraId="7D38A1FD">
      <w:pPr>
        <w:spacing w:line="360" w:lineRule="auto"/>
        <w:ind w:right="-4" w:firstLine="720" w:firstLineChars="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第五章 采购需求</w:t>
      </w:r>
    </w:p>
    <w:p w14:paraId="00AB5057">
      <w:pPr>
        <w:spacing w:line="360" w:lineRule="auto"/>
        <w:ind w:right="-4" w:firstLine="720" w:firstLineChars="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第六章 政府采购合同</w:t>
      </w:r>
    </w:p>
    <w:p w14:paraId="4735BC99">
      <w:pPr>
        <w:spacing w:line="360" w:lineRule="auto"/>
        <w:ind w:right="-4" w:firstLine="720" w:firstLineChars="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第七章 投标文件的组成</w:t>
      </w:r>
    </w:p>
    <w:p w14:paraId="73910CC0">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6.2采购人或者采购代理机构在提交投标文件截止时间前对招标文件所作的澄清或者修改，构成招标文件的组成部分。</w:t>
      </w:r>
    </w:p>
    <w:p w14:paraId="1EA31EE2">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6.3招标</w:t>
      </w:r>
      <w:r>
        <w:rPr>
          <w:rFonts w:hint="eastAsia" w:asciiTheme="minorEastAsia" w:hAnsiTheme="minorEastAsia" w:eastAsiaTheme="minorEastAsia" w:cstheme="minorEastAsia"/>
          <w:sz w:val="24"/>
          <w:szCs w:val="32"/>
          <w:lang w:val="zh-CN"/>
        </w:rPr>
        <w:t>文件的提供期限自开始发出之日起不得少于5个工作日；</w:t>
      </w:r>
      <w:r>
        <w:rPr>
          <w:rFonts w:hint="eastAsia" w:asciiTheme="minorEastAsia" w:hAnsiTheme="minorEastAsia" w:eastAsiaTheme="minorEastAsia" w:cstheme="minorEastAsia"/>
          <w:sz w:val="24"/>
          <w:szCs w:val="32"/>
        </w:rPr>
        <w:t>投标人</w:t>
      </w:r>
      <w:r>
        <w:rPr>
          <w:rFonts w:hint="eastAsia" w:asciiTheme="minorEastAsia" w:hAnsiTheme="minorEastAsia" w:eastAsiaTheme="minorEastAsia" w:cstheme="minorEastAsia"/>
          <w:kern w:val="0"/>
          <w:sz w:val="24"/>
          <w:lang w:val="zh-CN"/>
        </w:rPr>
        <w:t>应</w:t>
      </w:r>
      <w:r>
        <w:rPr>
          <w:rFonts w:hint="eastAsia" w:asciiTheme="minorEastAsia" w:hAnsiTheme="minorEastAsia" w:eastAsiaTheme="minorEastAsia" w:cstheme="minorEastAsia"/>
          <w:kern w:val="0"/>
          <w:sz w:val="24"/>
        </w:rPr>
        <w:t>在招标公告载明的招标文件提供期限和说明的领取方式获取招标文件</w:t>
      </w:r>
      <w:r>
        <w:rPr>
          <w:rFonts w:hint="eastAsia" w:asciiTheme="minorEastAsia" w:hAnsiTheme="minorEastAsia" w:eastAsiaTheme="minorEastAsia" w:cstheme="minorEastAsia"/>
          <w:sz w:val="24"/>
          <w:szCs w:val="32"/>
          <w:lang w:val="zh-CN"/>
        </w:rPr>
        <w:t>。</w:t>
      </w:r>
    </w:p>
    <w:p w14:paraId="72E484C3">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7.偏离与实质性响应</w:t>
      </w:r>
    </w:p>
    <w:p w14:paraId="43C623AD">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7.1投标人应当按照招标文件的要求编制投标文件。投标文件应当对招标文件提出的要求和条件作出明确响应。</w:t>
      </w:r>
    </w:p>
    <w:p w14:paraId="235380FC">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7.2偏离是指投标文件不响应或者不满足招标文件提出的要求和条件，分为实质性偏离和非实质性偏离。</w:t>
      </w:r>
    </w:p>
    <w:p w14:paraId="558814EB">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7.3除</w:t>
      </w:r>
      <w:r>
        <w:rPr>
          <w:rFonts w:hint="eastAsia" w:asciiTheme="minorEastAsia" w:hAnsiTheme="minorEastAsia" w:eastAsiaTheme="minorEastAsia" w:cstheme="minorEastAsia"/>
          <w:sz w:val="24"/>
          <w:szCs w:val="32"/>
          <w:lang w:eastAsia="zh-CN"/>
        </w:rPr>
        <w:t>法律法规</w:t>
      </w:r>
      <w:r>
        <w:rPr>
          <w:rFonts w:hint="eastAsia" w:asciiTheme="minorEastAsia" w:hAnsiTheme="minorEastAsia" w:eastAsiaTheme="minorEastAsia" w:cstheme="minorEastAsia"/>
          <w:sz w:val="24"/>
          <w:szCs w:val="32"/>
        </w:rPr>
        <w:t>和招标文件规定的其他投标无效情形外，招标文件中用“★”符号标明的条款为实质性要求和条件，对其中任何一条的偏离，为实质性偏离，</w:t>
      </w:r>
      <w:r>
        <w:rPr>
          <w:rFonts w:hint="eastAsia" w:asciiTheme="minorEastAsia" w:hAnsiTheme="minorEastAsia" w:eastAsiaTheme="minorEastAsia" w:cstheme="minorEastAsia"/>
          <w:b/>
          <w:bCs/>
          <w:sz w:val="24"/>
          <w:szCs w:val="32"/>
        </w:rPr>
        <w:t>其投标无效</w:t>
      </w:r>
      <w:r>
        <w:rPr>
          <w:rFonts w:hint="eastAsia" w:asciiTheme="minorEastAsia" w:hAnsiTheme="minorEastAsia" w:eastAsiaTheme="minorEastAsia" w:cstheme="minorEastAsia"/>
          <w:sz w:val="24"/>
          <w:szCs w:val="32"/>
        </w:rPr>
        <w:t>。</w:t>
      </w:r>
    </w:p>
    <w:p w14:paraId="60975F40">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7.4投标文件偏离招标文件的非实质性要求和条件，为非实质性偏离。非实质性偏离的范围和幅度超出【投标须知前附表】规定的，</w:t>
      </w:r>
      <w:r>
        <w:rPr>
          <w:rFonts w:hint="eastAsia" w:asciiTheme="minorEastAsia" w:hAnsiTheme="minorEastAsia" w:eastAsiaTheme="minorEastAsia" w:cstheme="minorEastAsia"/>
          <w:b/>
          <w:bCs/>
          <w:sz w:val="24"/>
          <w:szCs w:val="32"/>
        </w:rPr>
        <w:t>其投标无效。</w:t>
      </w:r>
    </w:p>
    <w:p w14:paraId="2A2DF8F6">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8.询问</w:t>
      </w:r>
    </w:p>
    <w:p w14:paraId="40B4BF9F">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8.1潜在投标人应仔细阅读和检查招标文件的全部内容。如有疑问，可以向采购人或者采购代理机构提出询问。</w:t>
      </w:r>
    </w:p>
    <w:p w14:paraId="712810D3">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9.招标文件的澄清或者修改</w:t>
      </w:r>
    </w:p>
    <w:p w14:paraId="291A553B">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9.1采购人或者采购代理机构对已发出的招标文件进行必要澄清或者修改的，将在【投标须知前附表】规定的招标公告指定媒体上发布澄清或者修改公告。</w:t>
      </w:r>
    </w:p>
    <w:p w14:paraId="72448588">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9.2澄清或者修改的内容可能影响投标文件编制的，采购人或者采购代理机构将在提交投标文件截止时间15日前，以书面形式通知所有获取招标文件的潜在投标人；不足15日的，将相应延长提交投标文件的截止时间。</w:t>
      </w:r>
    </w:p>
    <w:p w14:paraId="49C3AF16">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9.3招标文件的提供期限届满后，获取招标文件的潜在投标人不足3家的，可以顺延提供期限，并在指定媒体上发布修改公告。</w:t>
      </w:r>
    </w:p>
    <w:p w14:paraId="7320C26B">
      <w:pPr>
        <w:pStyle w:val="79"/>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9.4通过电子招投标交易平台下载招标文件的，请获取招标文件的潜在投标人及时关注招标公告指定媒体发布的澄清或者更正公告，采购人、采购代理机构不再书面通知。</w:t>
      </w:r>
      <w:bookmarkStart w:id="77" w:name="_Toc23422"/>
      <w:bookmarkStart w:id="78" w:name="_Toc29241"/>
      <w:bookmarkStart w:id="79" w:name="_Toc4500"/>
      <w:bookmarkStart w:id="80" w:name="_Toc10444"/>
    </w:p>
    <w:p w14:paraId="4ACF847F">
      <w:pPr>
        <w:adjustRightInd w:val="0"/>
        <w:snapToGrid w:val="0"/>
        <w:rPr>
          <w:rFonts w:hint="eastAsia" w:asciiTheme="minorEastAsia" w:hAnsiTheme="minorEastAsia" w:eastAsiaTheme="minorEastAsia" w:cstheme="minorEastAsia"/>
          <w:color w:val="000000" w:themeColor="text1"/>
          <w:sz w:val="13"/>
          <w:szCs w:val="13"/>
          <w14:textFill>
            <w14:solidFill>
              <w14:schemeClr w14:val="tx1"/>
            </w14:solidFill>
          </w14:textFill>
        </w:rPr>
      </w:pPr>
    </w:p>
    <w:p w14:paraId="161ADF45">
      <w:pPr>
        <w:pStyle w:val="4"/>
        <w:spacing w:line="240" w:lineRule="auto"/>
        <w:ind w:right="-4" w:firstLine="174" w:firstLineChars="62"/>
        <w:jc w:val="center"/>
        <w:rPr>
          <w:rFonts w:hint="eastAsia" w:asciiTheme="minorEastAsia" w:hAnsiTheme="minorEastAsia" w:eastAsiaTheme="minorEastAsia" w:cstheme="minorEastAsia"/>
          <w:sz w:val="28"/>
          <w:szCs w:val="36"/>
        </w:rPr>
      </w:pPr>
      <w:bookmarkStart w:id="81" w:name="_Toc326"/>
      <w:bookmarkStart w:id="82" w:name="_Toc27029"/>
      <w:bookmarkStart w:id="83" w:name="_Toc14964"/>
      <w:r>
        <w:rPr>
          <w:rFonts w:hint="eastAsia" w:asciiTheme="minorEastAsia" w:hAnsiTheme="minorEastAsia" w:eastAsiaTheme="minorEastAsia" w:cstheme="minorEastAsia"/>
          <w:sz w:val="28"/>
          <w:szCs w:val="36"/>
        </w:rPr>
        <w:t>三、投标文件</w:t>
      </w:r>
      <w:bookmarkEnd w:id="77"/>
      <w:bookmarkEnd w:id="78"/>
      <w:bookmarkEnd w:id="79"/>
      <w:bookmarkEnd w:id="80"/>
      <w:bookmarkEnd w:id="81"/>
      <w:bookmarkEnd w:id="82"/>
      <w:bookmarkEnd w:id="83"/>
    </w:p>
    <w:p w14:paraId="1FF41975">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10.投标语言</w:t>
      </w:r>
    </w:p>
    <w:p w14:paraId="72816A9A">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10.1除专用术语外，投标人提交的投标文件及投标人与采购代理机构就有关投标的所有来往函电均使用中文。投标人可以提交</w:t>
      </w:r>
      <w:r>
        <w:rPr>
          <w:rFonts w:hint="eastAsia" w:asciiTheme="minorEastAsia" w:hAnsiTheme="minorEastAsia" w:eastAsiaTheme="minorEastAsia" w:cstheme="minorEastAsia"/>
          <w:sz w:val="24"/>
          <w:szCs w:val="32"/>
          <w:lang w:eastAsia="zh-CN"/>
        </w:rPr>
        <w:t>其他语言</w:t>
      </w:r>
      <w:r>
        <w:rPr>
          <w:rFonts w:hint="eastAsia" w:asciiTheme="minorEastAsia" w:hAnsiTheme="minorEastAsia" w:eastAsiaTheme="minorEastAsia" w:cstheme="minorEastAsia"/>
          <w:sz w:val="24"/>
          <w:szCs w:val="32"/>
        </w:rPr>
        <w:t>的资料，但应附有中文注释，有差异时以中文为准。</w:t>
      </w:r>
    </w:p>
    <w:p w14:paraId="69E392A0">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11.计量单位</w:t>
      </w:r>
    </w:p>
    <w:p w14:paraId="5A7CE78E">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11.1所有计量均采用中华人民共和国法定计量单位。</w:t>
      </w:r>
    </w:p>
    <w:p w14:paraId="04CC0DDA">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12.投标文件的组成</w:t>
      </w:r>
    </w:p>
    <w:p w14:paraId="233C20D0">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12.1投标文件由如下内容组成：</w:t>
      </w:r>
    </w:p>
    <w:p w14:paraId="54C3A361">
      <w:pPr>
        <w:spacing w:line="360" w:lineRule="auto"/>
        <w:ind w:right="-4" w:firstLine="630" w:firstLineChars="300"/>
        <w:rPr>
          <w:rFonts w:hint="eastAsia" w:asciiTheme="minorEastAsia" w:hAnsiTheme="minorEastAsia" w:eastAsiaTheme="minorEastAsia" w:cstheme="minorEastAsia"/>
          <w:sz w:val="24"/>
          <w:szCs w:val="32"/>
        </w:rPr>
      </w:pPr>
      <w:r>
        <w:fldChar w:fldCharType="begin"/>
      </w:r>
      <w:r>
        <w:instrText xml:space="preserve"> HYPERLINK \l "_Toc31681" </w:instrText>
      </w:r>
      <w:r>
        <w:fldChar w:fldCharType="separate"/>
      </w:r>
      <w:r>
        <w:rPr>
          <w:rFonts w:hint="eastAsia" w:asciiTheme="minorEastAsia" w:hAnsiTheme="minorEastAsia" w:eastAsiaTheme="minorEastAsia" w:cstheme="minorEastAsia"/>
          <w:sz w:val="24"/>
          <w:szCs w:val="32"/>
        </w:rPr>
        <w:t>第一部分 资格证明文件</w:t>
      </w:r>
      <w:r>
        <w:rPr>
          <w:rFonts w:hint="eastAsia" w:asciiTheme="minorEastAsia" w:hAnsiTheme="minorEastAsia" w:eastAsiaTheme="minorEastAsia" w:cstheme="minorEastAsia"/>
          <w:sz w:val="24"/>
          <w:szCs w:val="32"/>
        </w:rPr>
        <w:fldChar w:fldCharType="end"/>
      </w:r>
    </w:p>
    <w:p w14:paraId="705F9594">
      <w:pPr>
        <w:spacing w:line="360" w:lineRule="auto"/>
        <w:ind w:right="-4" w:firstLine="840" w:firstLineChars="400"/>
        <w:rPr>
          <w:rFonts w:hint="eastAsia" w:asciiTheme="minorEastAsia" w:hAnsiTheme="minorEastAsia" w:eastAsiaTheme="minorEastAsia" w:cstheme="minorEastAsia"/>
          <w:sz w:val="24"/>
          <w:szCs w:val="32"/>
        </w:rPr>
      </w:pPr>
      <w:r>
        <w:fldChar w:fldCharType="begin"/>
      </w:r>
      <w:r>
        <w:instrText xml:space="preserve"> HYPERLINK \l "_Toc30055" </w:instrText>
      </w:r>
      <w:r>
        <w:fldChar w:fldCharType="separate"/>
      </w:r>
      <w:r>
        <w:rPr>
          <w:rFonts w:hint="eastAsia" w:asciiTheme="minorEastAsia" w:hAnsiTheme="minorEastAsia" w:eastAsiaTheme="minorEastAsia" w:cstheme="minorEastAsia"/>
          <w:sz w:val="24"/>
          <w:szCs w:val="32"/>
        </w:rPr>
        <w:t>一、法定代表人（单位负责人）身份证明</w:t>
      </w:r>
      <w:r>
        <w:rPr>
          <w:rFonts w:hint="eastAsia" w:asciiTheme="minorEastAsia" w:hAnsiTheme="minorEastAsia" w:eastAsiaTheme="minorEastAsia" w:cstheme="minorEastAsia"/>
          <w:sz w:val="24"/>
          <w:szCs w:val="32"/>
        </w:rPr>
        <w:fldChar w:fldCharType="end"/>
      </w:r>
    </w:p>
    <w:p w14:paraId="1DFA4AB3">
      <w:pPr>
        <w:spacing w:line="360" w:lineRule="auto"/>
        <w:ind w:right="-4" w:firstLine="840" w:firstLineChars="400"/>
        <w:rPr>
          <w:rFonts w:hint="eastAsia" w:asciiTheme="minorEastAsia" w:hAnsiTheme="minorEastAsia" w:eastAsiaTheme="minorEastAsia" w:cstheme="minorEastAsia"/>
          <w:sz w:val="24"/>
          <w:szCs w:val="32"/>
        </w:rPr>
      </w:pPr>
      <w:r>
        <w:fldChar w:fldCharType="begin"/>
      </w:r>
      <w:r>
        <w:instrText xml:space="preserve"> HYPERLINK \l "_Toc3704" </w:instrText>
      </w:r>
      <w:r>
        <w:fldChar w:fldCharType="separate"/>
      </w:r>
      <w:r>
        <w:rPr>
          <w:rFonts w:hint="eastAsia" w:asciiTheme="minorEastAsia" w:hAnsiTheme="minorEastAsia" w:eastAsiaTheme="minorEastAsia" w:cstheme="minorEastAsia"/>
          <w:sz w:val="24"/>
          <w:szCs w:val="32"/>
        </w:rPr>
        <w:t>二、湖南省政府采购</w:t>
      </w:r>
      <w:r>
        <w:rPr>
          <w:rFonts w:hint="eastAsia" w:asciiTheme="minorEastAsia" w:hAnsiTheme="minorEastAsia" w:eastAsiaTheme="minorEastAsia" w:cstheme="minorEastAsia"/>
          <w:sz w:val="24"/>
          <w:szCs w:val="44"/>
        </w:rPr>
        <w:t>供应商资格承诺函</w:t>
      </w:r>
      <w:r>
        <w:rPr>
          <w:rFonts w:hint="eastAsia" w:asciiTheme="minorEastAsia" w:hAnsiTheme="minorEastAsia" w:eastAsiaTheme="minorEastAsia" w:cstheme="minorEastAsia"/>
          <w:sz w:val="24"/>
          <w:szCs w:val="44"/>
        </w:rPr>
        <w:fldChar w:fldCharType="end"/>
      </w:r>
    </w:p>
    <w:p w14:paraId="2610794A">
      <w:pPr>
        <w:spacing w:line="360" w:lineRule="auto"/>
        <w:ind w:right="-4" w:firstLine="840" w:firstLineChars="400"/>
        <w:rPr>
          <w:rFonts w:hint="eastAsia" w:asciiTheme="minorEastAsia" w:hAnsiTheme="minorEastAsia" w:eastAsiaTheme="minorEastAsia" w:cstheme="minorEastAsia"/>
          <w:sz w:val="24"/>
          <w:szCs w:val="32"/>
        </w:rPr>
      </w:pPr>
      <w:r>
        <w:fldChar w:fldCharType="begin"/>
      </w:r>
      <w:r>
        <w:instrText xml:space="preserve"> HYPERLINK \l "_Toc10461" </w:instrText>
      </w:r>
      <w:r>
        <w:fldChar w:fldCharType="separate"/>
      </w:r>
      <w:r>
        <w:rPr>
          <w:rFonts w:hint="eastAsia" w:asciiTheme="minorEastAsia" w:hAnsiTheme="minorEastAsia" w:eastAsiaTheme="minorEastAsia" w:cstheme="minorEastAsia"/>
          <w:sz w:val="24"/>
          <w:szCs w:val="32"/>
        </w:rPr>
        <w:t>三、法人或其他组织的营业执照等主体资格证明文件，自然人的身份证明</w:t>
      </w:r>
      <w:r>
        <w:rPr>
          <w:rFonts w:hint="eastAsia" w:asciiTheme="minorEastAsia" w:hAnsiTheme="minorEastAsia" w:eastAsiaTheme="minorEastAsia" w:cstheme="minorEastAsia"/>
          <w:sz w:val="24"/>
          <w:szCs w:val="32"/>
        </w:rPr>
        <w:fldChar w:fldCharType="end"/>
      </w:r>
    </w:p>
    <w:p w14:paraId="6109D190">
      <w:pPr>
        <w:spacing w:line="360" w:lineRule="auto"/>
        <w:ind w:right="-4" w:firstLine="630" w:firstLineChars="300"/>
        <w:rPr>
          <w:rFonts w:hint="eastAsia" w:asciiTheme="minorEastAsia" w:hAnsiTheme="minorEastAsia" w:eastAsiaTheme="minorEastAsia" w:cstheme="minorEastAsia"/>
          <w:sz w:val="24"/>
          <w:szCs w:val="32"/>
        </w:rPr>
      </w:pPr>
      <w:r>
        <w:fldChar w:fldCharType="begin"/>
      </w:r>
      <w:r>
        <w:instrText xml:space="preserve"> HYPERLINK \l "_Toc17695" </w:instrText>
      </w:r>
      <w:r>
        <w:fldChar w:fldCharType="separate"/>
      </w:r>
      <w:r>
        <w:rPr>
          <w:rFonts w:hint="eastAsia" w:asciiTheme="minorEastAsia" w:hAnsiTheme="minorEastAsia" w:eastAsiaTheme="minorEastAsia" w:cstheme="minorEastAsia"/>
          <w:sz w:val="24"/>
          <w:szCs w:val="32"/>
        </w:rPr>
        <w:t>第二部分 商务文件</w:t>
      </w:r>
      <w:r>
        <w:rPr>
          <w:rFonts w:hint="eastAsia" w:asciiTheme="minorEastAsia" w:hAnsiTheme="minorEastAsia" w:eastAsiaTheme="minorEastAsia" w:cstheme="minorEastAsia"/>
          <w:sz w:val="24"/>
          <w:szCs w:val="32"/>
        </w:rPr>
        <w:fldChar w:fldCharType="end"/>
      </w:r>
    </w:p>
    <w:p w14:paraId="50B97EAB">
      <w:pPr>
        <w:spacing w:line="360" w:lineRule="auto"/>
        <w:ind w:right="-4" w:firstLine="840" w:firstLineChars="400"/>
        <w:rPr>
          <w:rFonts w:hint="eastAsia" w:asciiTheme="minorEastAsia" w:hAnsiTheme="minorEastAsia" w:eastAsiaTheme="minorEastAsia" w:cstheme="minorEastAsia"/>
          <w:sz w:val="24"/>
          <w:szCs w:val="32"/>
        </w:rPr>
      </w:pPr>
      <w:r>
        <w:fldChar w:fldCharType="begin"/>
      </w:r>
      <w:r>
        <w:instrText xml:space="preserve"> HYPERLINK \l "_Toc1814" </w:instrText>
      </w:r>
      <w:r>
        <w:fldChar w:fldCharType="separate"/>
      </w:r>
      <w:r>
        <w:rPr>
          <w:rFonts w:hint="eastAsia" w:asciiTheme="minorEastAsia" w:hAnsiTheme="minorEastAsia" w:eastAsiaTheme="minorEastAsia" w:cstheme="minorEastAsia"/>
          <w:sz w:val="24"/>
          <w:szCs w:val="32"/>
        </w:rPr>
        <w:t>四、投标函</w:t>
      </w:r>
      <w:r>
        <w:rPr>
          <w:rFonts w:hint="eastAsia" w:asciiTheme="minorEastAsia" w:hAnsiTheme="minorEastAsia" w:eastAsiaTheme="minorEastAsia" w:cstheme="minorEastAsia"/>
          <w:sz w:val="24"/>
          <w:szCs w:val="32"/>
        </w:rPr>
        <w:fldChar w:fldCharType="end"/>
      </w:r>
    </w:p>
    <w:p w14:paraId="773D3B89">
      <w:pPr>
        <w:spacing w:line="360" w:lineRule="auto"/>
        <w:ind w:right="-4" w:firstLine="840" w:firstLineChars="400"/>
        <w:rPr>
          <w:rFonts w:hint="eastAsia" w:asciiTheme="minorEastAsia" w:hAnsiTheme="minorEastAsia" w:eastAsiaTheme="minorEastAsia" w:cstheme="minorEastAsia"/>
          <w:sz w:val="24"/>
          <w:szCs w:val="32"/>
        </w:rPr>
      </w:pPr>
      <w:r>
        <w:fldChar w:fldCharType="begin"/>
      </w:r>
      <w:r>
        <w:instrText xml:space="preserve"> HYPERLINK \l "_Toc31346" </w:instrText>
      </w:r>
      <w:r>
        <w:fldChar w:fldCharType="separate"/>
      </w:r>
      <w:r>
        <w:rPr>
          <w:rFonts w:hint="eastAsia" w:asciiTheme="minorEastAsia" w:hAnsiTheme="minorEastAsia" w:eastAsiaTheme="minorEastAsia" w:cstheme="minorEastAsia"/>
          <w:sz w:val="24"/>
          <w:szCs w:val="32"/>
        </w:rPr>
        <w:t>五、开标一览表</w:t>
      </w:r>
      <w:r>
        <w:rPr>
          <w:rFonts w:hint="eastAsia" w:asciiTheme="minorEastAsia" w:hAnsiTheme="minorEastAsia" w:eastAsiaTheme="minorEastAsia" w:cstheme="minorEastAsia"/>
          <w:sz w:val="24"/>
          <w:szCs w:val="32"/>
        </w:rPr>
        <w:fldChar w:fldCharType="end"/>
      </w:r>
    </w:p>
    <w:p w14:paraId="0321F9AC">
      <w:pPr>
        <w:spacing w:line="360" w:lineRule="auto"/>
        <w:ind w:right="-4" w:firstLine="840" w:firstLineChars="400"/>
        <w:rPr>
          <w:rFonts w:hint="eastAsia" w:asciiTheme="minorEastAsia" w:hAnsiTheme="minorEastAsia" w:eastAsiaTheme="minorEastAsia" w:cstheme="minorEastAsia"/>
          <w:sz w:val="24"/>
          <w:szCs w:val="32"/>
        </w:rPr>
      </w:pPr>
      <w:r>
        <w:fldChar w:fldCharType="begin"/>
      </w:r>
      <w:r>
        <w:instrText xml:space="preserve"> HYPERLINK \l "_Toc3787" </w:instrText>
      </w:r>
      <w:r>
        <w:fldChar w:fldCharType="separate"/>
      </w:r>
      <w:r>
        <w:rPr>
          <w:rFonts w:hint="eastAsia" w:asciiTheme="minorEastAsia" w:hAnsiTheme="minorEastAsia" w:eastAsiaTheme="minorEastAsia" w:cstheme="minorEastAsia"/>
          <w:sz w:val="24"/>
          <w:szCs w:val="32"/>
        </w:rPr>
        <w:t>六、分项报价</w:t>
      </w:r>
      <w:r>
        <w:rPr>
          <w:rFonts w:hint="eastAsia" w:asciiTheme="minorEastAsia" w:hAnsiTheme="minorEastAsia" w:eastAsiaTheme="minorEastAsia" w:cstheme="minorEastAsia"/>
          <w:sz w:val="24"/>
          <w:szCs w:val="32"/>
        </w:rPr>
        <w:fldChar w:fldCharType="end"/>
      </w:r>
    </w:p>
    <w:p w14:paraId="4973FB8C">
      <w:pPr>
        <w:spacing w:line="360" w:lineRule="auto"/>
        <w:ind w:right="-4" w:firstLine="840" w:firstLineChars="400"/>
        <w:rPr>
          <w:rFonts w:hint="eastAsia" w:asciiTheme="minorEastAsia" w:hAnsiTheme="minorEastAsia" w:eastAsiaTheme="minorEastAsia" w:cstheme="minorEastAsia"/>
          <w:sz w:val="24"/>
          <w:szCs w:val="32"/>
        </w:rPr>
      </w:pPr>
      <w:r>
        <w:fldChar w:fldCharType="begin"/>
      </w:r>
      <w:r>
        <w:instrText xml:space="preserve"> HYPERLINK \l "_Toc30695" </w:instrText>
      </w:r>
      <w:r>
        <w:fldChar w:fldCharType="separate"/>
      </w:r>
      <w:r>
        <w:rPr>
          <w:rFonts w:hint="eastAsia" w:asciiTheme="minorEastAsia" w:hAnsiTheme="minorEastAsia" w:eastAsiaTheme="minorEastAsia" w:cstheme="minorEastAsia"/>
          <w:sz w:val="24"/>
          <w:szCs w:val="32"/>
        </w:rPr>
        <w:t>七、合同条款偏离表</w:t>
      </w:r>
      <w:r>
        <w:rPr>
          <w:rFonts w:hint="eastAsia" w:asciiTheme="minorEastAsia" w:hAnsiTheme="minorEastAsia" w:eastAsiaTheme="minorEastAsia" w:cstheme="minorEastAsia"/>
          <w:sz w:val="24"/>
          <w:szCs w:val="32"/>
        </w:rPr>
        <w:fldChar w:fldCharType="end"/>
      </w:r>
    </w:p>
    <w:p w14:paraId="01860F52">
      <w:pPr>
        <w:spacing w:line="360" w:lineRule="auto"/>
        <w:ind w:right="-4" w:firstLine="840" w:firstLineChars="400"/>
        <w:rPr>
          <w:rFonts w:hint="eastAsia" w:asciiTheme="minorEastAsia" w:hAnsiTheme="minorEastAsia" w:eastAsiaTheme="minorEastAsia" w:cstheme="minorEastAsia"/>
          <w:sz w:val="24"/>
          <w:szCs w:val="32"/>
        </w:rPr>
      </w:pPr>
      <w:r>
        <w:fldChar w:fldCharType="begin"/>
      </w:r>
      <w:r>
        <w:instrText xml:space="preserve"> HYPERLINK \l "_Toc13774" </w:instrText>
      </w:r>
      <w:r>
        <w:fldChar w:fldCharType="separate"/>
      </w:r>
      <w:r>
        <w:rPr>
          <w:rFonts w:hint="eastAsia" w:asciiTheme="minorEastAsia" w:hAnsiTheme="minorEastAsia" w:eastAsiaTheme="minorEastAsia" w:cstheme="minorEastAsia"/>
          <w:sz w:val="24"/>
          <w:szCs w:val="32"/>
        </w:rPr>
        <w:t>八、享受政府采购政策优惠的证明资料</w:t>
      </w:r>
      <w:r>
        <w:rPr>
          <w:rFonts w:hint="eastAsia" w:asciiTheme="minorEastAsia" w:hAnsiTheme="minorEastAsia" w:eastAsiaTheme="minorEastAsia" w:cstheme="minorEastAsia"/>
          <w:sz w:val="24"/>
          <w:szCs w:val="32"/>
        </w:rPr>
        <w:fldChar w:fldCharType="end"/>
      </w:r>
    </w:p>
    <w:p w14:paraId="0F065EA9">
      <w:pPr>
        <w:spacing w:line="360" w:lineRule="auto"/>
        <w:ind w:right="-4" w:firstLine="630" w:firstLineChars="300"/>
        <w:rPr>
          <w:rFonts w:hint="eastAsia" w:asciiTheme="minorEastAsia" w:hAnsiTheme="minorEastAsia" w:eastAsiaTheme="minorEastAsia" w:cstheme="minorEastAsia"/>
          <w:sz w:val="24"/>
          <w:szCs w:val="32"/>
        </w:rPr>
      </w:pPr>
      <w:r>
        <w:fldChar w:fldCharType="begin"/>
      </w:r>
      <w:r>
        <w:instrText xml:space="preserve"> HYPERLINK \l "_Toc3047" </w:instrText>
      </w:r>
      <w:r>
        <w:fldChar w:fldCharType="separate"/>
      </w:r>
      <w:r>
        <w:rPr>
          <w:rFonts w:hint="eastAsia" w:asciiTheme="minorEastAsia" w:hAnsiTheme="minorEastAsia" w:eastAsiaTheme="minorEastAsia" w:cstheme="minorEastAsia"/>
          <w:sz w:val="24"/>
          <w:szCs w:val="32"/>
        </w:rPr>
        <w:t>第三部分 技术文件</w:t>
      </w:r>
      <w:r>
        <w:rPr>
          <w:rFonts w:hint="eastAsia" w:asciiTheme="minorEastAsia" w:hAnsiTheme="minorEastAsia" w:eastAsiaTheme="minorEastAsia" w:cstheme="minorEastAsia"/>
          <w:sz w:val="24"/>
          <w:szCs w:val="32"/>
        </w:rPr>
        <w:fldChar w:fldCharType="end"/>
      </w:r>
    </w:p>
    <w:p w14:paraId="026A30C6">
      <w:pPr>
        <w:spacing w:line="360" w:lineRule="auto"/>
        <w:ind w:right="-4" w:firstLine="840" w:firstLineChars="400"/>
        <w:rPr>
          <w:rFonts w:hint="eastAsia" w:asciiTheme="minorEastAsia" w:hAnsiTheme="minorEastAsia" w:eastAsiaTheme="minorEastAsia" w:cstheme="minorEastAsia"/>
          <w:sz w:val="24"/>
          <w:szCs w:val="32"/>
        </w:rPr>
      </w:pPr>
      <w:r>
        <w:fldChar w:fldCharType="begin"/>
      </w:r>
      <w:r>
        <w:instrText xml:space="preserve"> HYPERLINK \l "_Toc30248" </w:instrText>
      </w:r>
      <w:r>
        <w:fldChar w:fldCharType="separate"/>
      </w:r>
      <w:r>
        <w:rPr>
          <w:rFonts w:hint="eastAsia" w:asciiTheme="minorEastAsia" w:hAnsiTheme="minorEastAsia" w:eastAsiaTheme="minorEastAsia" w:cstheme="minorEastAsia"/>
          <w:sz w:val="24"/>
          <w:szCs w:val="32"/>
        </w:rPr>
        <w:t>九、采购需求响应</w:t>
      </w:r>
      <w:r>
        <w:rPr>
          <w:rFonts w:hint="eastAsia" w:asciiTheme="minorEastAsia" w:hAnsiTheme="minorEastAsia" w:eastAsiaTheme="minorEastAsia" w:cstheme="minorEastAsia"/>
          <w:sz w:val="24"/>
          <w:szCs w:val="32"/>
        </w:rPr>
        <w:fldChar w:fldCharType="end"/>
      </w:r>
    </w:p>
    <w:p w14:paraId="3EDDBD76">
      <w:pPr>
        <w:spacing w:line="360" w:lineRule="auto"/>
        <w:ind w:right="-4" w:firstLine="840" w:firstLineChars="400"/>
        <w:rPr>
          <w:rFonts w:hint="eastAsia" w:asciiTheme="minorEastAsia" w:hAnsiTheme="minorEastAsia" w:eastAsiaTheme="minorEastAsia" w:cstheme="minorEastAsia"/>
          <w:sz w:val="24"/>
          <w:szCs w:val="32"/>
        </w:rPr>
      </w:pPr>
      <w:r>
        <w:fldChar w:fldCharType="begin"/>
      </w:r>
      <w:r>
        <w:instrText xml:space="preserve"> HYPERLINK \l "_Toc12200" </w:instrText>
      </w:r>
      <w:r>
        <w:fldChar w:fldCharType="separate"/>
      </w:r>
      <w:r>
        <w:rPr>
          <w:rFonts w:hint="eastAsia" w:asciiTheme="minorEastAsia" w:hAnsiTheme="minorEastAsia" w:eastAsiaTheme="minorEastAsia" w:cstheme="minorEastAsia"/>
          <w:sz w:val="24"/>
          <w:szCs w:val="32"/>
        </w:rPr>
        <w:t>十、采购需求偏离表</w:t>
      </w:r>
      <w:r>
        <w:rPr>
          <w:rFonts w:hint="eastAsia" w:asciiTheme="minorEastAsia" w:hAnsiTheme="minorEastAsia" w:eastAsiaTheme="minorEastAsia" w:cstheme="minorEastAsia"/>
          <w:sz w:val="24"/>
          <w:szCs w:val="32"/>
        </w:rPr>
        <w:fldChar w:fldCharType="end"/>
      </w:r>
    </w:p>
    <w:p w14:paraId="5BBA296D">
      <w:pPr>
        <w:spacing w:line="360" w:lineRule="auto"/>
        <w:ind w:right="-4" w:firstLine="840" w:firstLineChars="400"/>
        <w:rPr>
          <w:rFonts w:hint="eastAsia" w:asciiTheme="minorEastAsia" w:hAnsiTheme="minorEastAsia" w:eastAsiaTheme="minorEastAsia" w:cstheme="minorEastAsia"/>
          <w:sz w:val="24"/>
          <w:szCs w:val="32"/>
        </w:rPr>
      </w:pPr>
      <w:r>
        <w:fldChar w:fldCharType="begin"/>
      </w:r>
      <w:r>
        <w:instrText xml:space="preserve"> HYPERLINK \l "_Toc1521" </w:instrText>
      </w:r>
      <w:r>
        <w:fldChar w:fldCharType="separate"/>
      </w:r>
      <w:r>
        <w:rPr>
          <w:rFonts w:hint="eastAsia" w:asciiTheme="minorEastAsia" w:hAnsiTheme="minorEastAsia" w:eastAsiaTheme="minorEastAsia" w:cstheme="minorEastAsia"/>
          <w:sz w:val="24"/>
          <w:szCs w:val="32"/>
        </w:rPr>
        <w:t>十一、投标标的符合招标文件规定的证明文件</w:t>
      </w:r>
      <w:r>
        <w:rPr>
          <w:rFonts w:hint="eastAsia" w:asciiTheme="minorEastAsia" w:hAnsiTheme="minorEastAsia" w:eastAsiaTheme="minorEastAsia" w:cstheme="minorEastAsia"/>
          <w:sz w:val="24"/>
          <w:szCs w:val="32"/>
        </w:rPr>
        <w:fldChar w:fldCharType="end"/>
      </w:r>
    </w:p>
    <w:p w14:paraId="0FD433AF">
      <w:pPr>
        <w:spacing w:line="360" w:lineRule="auto"/>
        <w:ind w:right="-4" w:firstLine="840" w:firstLineChars="400"/>
        <w:rPr>
          <w:rFonts w:hint="eastAsia" w:asciiTheme="minorEastAsia" w:hAnsiTheme="minorEastAsia" w:eastAsiaTheme="minorEastAsia" w:cstheme="minorEastAsia"/>
          <w:sz w:val="24"/>
          <w:szCs w:val="32"/>
        </w:rPr>
      </w:pPr>
      <w:r>
        <w:fldChar w:fldCharType="begin"/>
      </w:r>
      <w:r>
        <w:instrText xml:space="preserve"> HYPERLINK \l "_Toc11483" </w:instrText>
      </w:r>
      <w:r>
        <w:fldChar w:fldCharType="separate"/>
      </w:r>
      <w:r>
        <w:rPr>
          <w:rFonts w:hint="eastAsia" w:asciiTheme="minorEastAsia" w:hAnsiTheme="minorEastAsia" w:eastAsiaTheme="minorEastAsia" w:cstheme="minorEastAsia"/>
          <w:sz w:val="24"/>
          <w:szCs w:val="32"/>
        </w:rPr>
        <w:t>十二、投标人认为需提供的其他资料</w:t>
      </w:r>
      <w:r>
        <w:rPr>
          <w:rFonts w:hint="eastAsia" w:asciiTheme="minorEastAsia" w:hAnsiTheme="minorEastAsia" w:eastAsiaTheme="minorEastAsia" w:cstheme="minorEastAsia"/>
          <w:sz w:val="24"/>
          <w:szCs w:val="32"/>
        </w:rPr>
        <w:fldChar w:fldCharType="end"/>
      </w:r>
    </w:p>
    <w:p w14:paraId="5ACF886E">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12.2投标人应按照电子招标文件的格式和要求使用投标文件制作软件编制电子投标文件，包括编制资格证明文件，商务文件和技术文件，以及和评分因素相关的资料和招标文件要求的其他资料。否则，由于编制失误所产生的后果，由投标人自行承担。</w:t>
      </w:r>
    </w:p>
    <w:p w14:paraId="66B1C537">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12.3根据</w:t>
      </w:r>
      <w:r>
        <w:rPr>
          <w:rFonts w:hint="eastAsia" w:asciiTheme="minorEastAsia" w:hAnsiTheme="minorEastAsia" w:eastAsiaTheme="minorEastAsia" w:cstheme="minorEastAsia"/>
          <w:sz w:val="24"/>
          <w:szCs w:val="32"/>
          <w:lang w:eastAsia="zh-CN"/>
        </w:rPr>
        <w:t>《中华人民共和国政府采购法》</w:t>
      </w:r>
      <w:r>
        <w:rPr>
          <w:rFonts w:hint="eastAsia" w:asciiTheme="minorEastAsia" w:hAnsiTheme="minorEastAsia" w:eastAsiaTheme="minorEastAsia" w:cstheme="minorEastAsia"/>
          <w:sz w:val="24"/>
          <w:szCs w:val="32"/>
        </w:rPr>
        <w:t>第四十二条的规定，投标人无论中标与否其投标文件不予退还。</w:t>
      </w:r>
    </w:p>
    <w:p w14:paraId="4CE7C657">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13.投标报价</w:t>
      </w:r>
    </w:p>
    <w:p w14:paraId="72B0DF01">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13.1投标人应以招标文件规定的供货及服务要求、责任范围和合同条件为基础，按【投标须知前附表】及第五章采购需求的有关规定进行报价。投标人的报价应包括为完成本项目所要求的全部内容可能发生的全部费用和税费、规费、保险费（如果有）等，采购人将不再支付报价以外的任何费用。</w:t>
      </w:r>
    </w:p>
    <w:p w14:paraId="06681CAF">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13.2投标人的投标报价不得超过采购项目预算，也不得超过最高限价（如果设定），否则其</w:t>
      </w:r>
      <w:r>
        <w:rPr>
          <w:rFonts w:hint="eastAsia" w:asciiTheme="minorEastAsia" w:hAnsiTheme="minorEastAsia" w:eastAsiaTheme="minorEastAsia" w:cstheme="minorEastAsia"/>
          <w:b/>
          <w:bCs/>
          <w:sz w:val="24"/>
          <w:szCs w:val="32"/>
        </w:rPr>
        <w:t>投标无效</w:t>
      </w:r>
      <w:r>
        <w:rPr>
          <w:rFonts w:hint="eastAsia" w:asciiTheme="minorEastAsia" w:hAnsiTheme="minorEastAsia" w:eastAsiaTheme="minorEastAsia" w:cstheme="minorEastAsia"/>
          <w:sz w:val="24"/>
          <w:szCs w:val="32"/>
        </w:rPr>
        <w:t>。采购项目预算、最高限价见【投标须知前附表】</w:t>
      </w:r>
      <w:r>
        <w:rPr>
          <w:rFonts w:hint="eastAsia" w:asciiTheme="minorEastAsia" w:hAnsiTheme="minorEastAsia" w:eastAsiaTheme="minorEastAsia" w:cstheme="minorEastAsia"/>
          <w:b/>
          <w:bCs/>
          <w:sz w:val="24"/>
          <w:szCs w:val="32"/>
        </w:rPr>
        <w:t>。</w:t>
      </w:r>
    </w:p>
    <w:p w14:paraId="632107AA">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13.3投标人应在分项报价明细表中对每项内容给予详细分项报价。</w:t>
      </w:r>
    </w:p>
    <w:p w14:paraId="052FF767">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13.4投标人对采购项目内容只允许有一个投标报价，否则其</w:t>
      </w:r>
      <w:r>
        <w:rPr>
          <w:rFonts w:hint="eastAsia" w:asciiTheme="minorEastAsia" w:hAnsiTheme="minorEastAsia" w:eastAsiaTheme="minorEastAsia" w:cstheme="minorEastAsia"/>
          <w:b/>
          <w:bCs/>
          <w:sz w:val="24"/>
          <w:szCs w:val="32"/>
        </w:rPr>
        <w:t>投标无效</w:t>
      </w:r>
      <w:r>
        <w:rPr>
          <w:rFonts w:hint="eastAsia" w:asciiTheme="minorEastAsia" w:hAnsiTheme="minorEastAsia" w:eastAsiaTheme="minorEastAsia" w:cstheme="minorEastAsia"/>
          <w:sz w:val="24"/>
          <w:szCs w:val="32"/>
        </w:rPr>
        <w:t>。</w:t>
      </w:r>
    </w:p>
    <w:p w14:paraId="1C32DA73">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13.5采购人不接受投标人给予的赠品、回扣或者与采购无关的其他商品、服务。如有赠与行为，其</w:t>
      </w:r>
      <w:r>
        <w:rPr>
          <w:rFonts w:hint="eastAsia" w:asciiTheme="minorEastAsia" w:hAnsiTheme="minorEastAsia" w:eastAsiaTheme="minorEastAsia" w:cstheme="minorEastAsia"/>
          <w:b/>
          <w:bCs/>
          <w:sz w:val="24"/>
          <w:szCs w:val="32"/>
        </w:rPr>
        <w:t>投标无效</w:t>
      </w:r>
      <w:r>
        <w:rPr>
          <w:rFonts w:hint="eastAsia" w:asciiTheme="minorEastAsia" w:hAnsiTheme="minorEastAsia" w:eastAsiaTheme="minorEastAsia" w:cstheme="minorEastAsia"/>
          <w:sz w:val="24"/>
          <w:szCs w:val="32"/>
        </w:rPr>
        <w:t>。</w:t>
      </w:r>
    </w:p>
    <w:p w14:paraId="65F331CF">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13.6采用固定价格定价方式的采购项目，投标文件中标明的价格在合同执行过程中是固定不变的，不得以任何理由予以变更。任何包含价格调整要求和条件的投标，其</w:t>
      </w:r>
      <w:r>
        <w:rPr>
          <w:rFonts w:hint="eastAsia" w:asciiTheme="minorEastAsia" w:hAnsiTheme="minorEastAsia" w:eastAsiaTheme="minorEastAsia" w:cstheme="minorEastAsia"/>
          <w:b/>
          <w:bCs/>
          <w:sz w:val="24"/>
          <w:szCs w:val="32"/>
        </w:rPr>
        <w:t>投标无效</w:t>
      </w:r>
      <w:r>
        <w:rPr>
          <w:rFonts w:hint="eastAsia" w:asciiTheme="minorEastAsia" w:hAnsiTheme="minorEastAsia" w:eastAsiaTheme="minorEastAsia" w:cstheme="minorEastAsia"/>
          <w:sz w:val="24"/>
          <w:szCs w:val="32"/>
        </w:rPr>
        <w:t>。</w:t>
      </w:r>
    </w:p>
    <w:p w14:paraId="3DCACFB4">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13.7投标人在投标截止时间前修改“开标一览表”中的投标报价的，应同时修改投标文件“分项报价明细表”“享受政府采购政策优惠的证明资料”以及“联合体协议书”（如果影响）等相关内容。此修改须符合本章第21.1款的有关要求。</w:t>
      </w:r>
    </w:p>
    <w:p w14:paraId="288F0FBF">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13.8投标报价的其他要求见</w:t>
      </w:r>
      <w:r>
        <w:rPr>
          <w:rFonts w:hint="eastAsia" w:asciiTheme="minorEastAsia" w:hAnsiTheme="minorEastAsia" w:eastAsiaTheme="minorEastAsia" w:cstheme="minorEastAsia"/>
          <w:b/>
          <w:bCs/>
          <w:sz w:val="24"/>
          <w:szCs w:val="32"/>
        </w:rPr>
        <w:t>【</w:t>
      </w:r>
      <w:r>
        <w:rPr>
          <w:rFonts w:hint="eastAsia" w:asciiTheme="minorEastAsia" w:hAnsiTheme="minorEastAsia" w:eastAsiaTheme="minorEastAsia" w:cstheme="minorEastAsia"/>
          <w:sz w:val="24"/>
          <w:szCs w:val="32"/>
        </w:rPr>
        <w:t>投标须知前附表】。</w:t>
      </w:r>
    </w:p>
    <w:p w14:paraId="135BE6AF">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14.投标人的资格证明文件</w:t>
      </w:r>
    </w:p>
    <w:p w14:paraId="47AD8850">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14.1未进行资格预审的除【投标须知前附表】另有规定外，投标人应按下列规定提供资格证明文件：</w:t>
      </w:r>
    </w:p>
    <w:p w14:paraId="67533C80">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w:t>
      </w:r>
      <w:r>
        <w:rPr>
          <w:rFonts w:hint="eastAsia" w:asciiTheme="minorEastAsia" w:hAnsiTheme="minorEastAsia" w:eastAsiaTheme="minorEastAsia" w:cstheme="minorEastAsia"/>
          <w:b/>
          <w:bCs/>
          <w:sz w:val="24"/>
          <w:szCs w:val="32"/>
        </w:rPr>
        <w:t>法人或其他组织的营业执照等主体资格证明文件，自然人的身份证明：</w:t>
      </w:r>
      <w:r>
        <w:rPr>
          <w:rFonts w:hint="eastAsia" w:asciiTheme="minorEastAsia" w:hAnsiTheme="minorEastAsia" w:eastAsiaTheme="minorEastAsia" w:cstheme="minorEastAsia"/>
          <w:sz w:val="24"/>
          <w:szCs w:val="32"/>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7F44F9BA">
      <w:pPr>
        <w:spacing w:line="360" w:lineRule="auto"/>
        <w:ind w:right="-4" w:firstLine="480" w:firstLineChars="2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sz w:val="24"/>
          <w:szCs w:val="32"/>
        </w:rPr>
        <w:t>（2）</w:t>
      </w:r>
      <w:r>
        <w:rPr>
          <w:rFonts w:hint="eastAsia" w:asciiTheme="minorEastAsia" w:hAnsiTheme="minorEastAsia" w:eastAsiaTheme="minorEastAsia" w:cstheme="minorEastAsia"/>
          <w:b/>
          <w:bCs/>
          <w:sz w:val="24"/>
          <w:szCs w:val="32"/>
        </w:rPr>
        <w:t>湖南省政府采购</w:t>
      </w:r>
      <w:r>
        <w:rPr>
          <w:rFonts w:hint="eastAsia" w:asciiTheme="minorEastAsia" w:hAnsiTheme="minorEastAsia" w:eastAsiaTheme="minorEastAsia" w:cstheme="minorEastAsia"/>
          <w:b/>
          <w:bCs/>
          <w:sz w:val="24"/>
          <w:szCs w:val="44"/>
        </w:rPr>
        <w:t>供应商资格承诺函</w:t>
      </w:r>
      <w:r>
        <w:rPr>
          <w:rFonts w:hint="eastAsia" w:asciiTheme="minorEastAsia" w:hAnsiTheme="minorEastAsia" w:eastAsiaTheme="minorEastAsia" w:cstheme="minorEastAsia"/>
          <w:sz w:val="24"/>
          <w:szCs w:val="32"/>
        </w:rPr>
        <w:t>；</w:t>
      </w:r>
    </w:p>
    <w:p w14:paraId="142D3EBF">
      <w:pPr>
        <w:spacing w:line="360" w:lineRule="auto"/>
        <w:ind w:right="-4" w:firstLine="480" w:firstLineChars="2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sz w:val="24"/>
          <w:szCs w:val="32"/>
        </w:rPr>
        <w:t>（3）</w:t>
      </w:r>
      <w:r>
        <w:rPr>
          <w:rFonts w:hint="eastAsia" w:asciiTheme="minorEastAsia" w:hAnsiTheme="minorEastAsia" w:eastAsiaTheme="minorEastAsia" w:cstheme="minorEastAsia"/>
          <w:b/>
          <w:bCs/>
          <w:sz w:val="24"/>
          <w:szCs w:val="32"/>
        </w:rPr>
        <w:t>符合特定资格条件证明材料复印件或者情况说明原件</w:t>
      </w:r>
      <w:r>
        <w:rPr>
          <w:rFonts w:hint="eastAsia" w:asciiTheme="minorEastAsia" w:hAnsiTheme="minorEastAsia" w:eastAsiaTheme="minorEastAsia" w:cstheme="minorEastAsia"/>
          <w:sz w:val="24"/>
          <w:szCs w:val="32"/>
        </w:rPr>
        <w:t>。</w:t>
      </w:r>
    </w:p>
    <w:p w14:paraId="26CCE7B3">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14.2投标人以联合体形式投标的，除应提交联合协议外，参加联合体的各方均应提交上款资格证明材料。</w:t>
      </w:r>
    </w:p>
    <w:p w14:paraId="1DE18E5A">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14.3投标人的资格证明文件均应为有效文件并加盖投标人单位章，并按招标文件规定签署。</w:t>
      </w:r>
    </w:p>
    <w:p w14:paraId="711EE1BE">
      <w:pPr>
        <w:spacing w:line="360" w:lineRule="auto"/>
        <w:ind w:right="-4" w:firstLine="48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szCs w:val="32"/>
        </w:rPr>
        <w:t>14.4已进行资格预审的投标人的资格证明文件：被邀请的投标人在提交投标文件前，其资格条件发生变化，影响或者可能影响资格条件的，应随投标文件提供更新或者补充的资格证明资料，以证实其各项条件仍能继续满足本章第3.1款规定的投标人资格条件要求。</w:t>
      </w:r>
    </w:p>
    <w:p w14:paraId="48C72810">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15.投标货物及服务符合招标文件规定的证明文件</w:t>
      </w:r>
    </w:p>
    <w:p w14:paraId="1B58D956">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15.1投标人应当提交其拟供的合同项下货物及其服务符合招标文件规定的证明文件</w:t>
      </w:r>
      <w:r>
        <w:rPr>
          <w:rFonts w:hint="eastAsia" w:asciiTheme="minorEastAsia" w:hAnsiTheme="minorEastAsia" w:eastAsiaTheme="minorEastAsia" w:cstheme="minorEastAsia"/>
          <w:sz w:val="24"/>
          <w:szCs w:val="32"/>
          <w:lang w:eastAsia="zh-CN"/>
        </w:rPr>
        <w:t>，</w:t>
      </w:r>
      <w:r>
        <w:rPr>
          <w:rFonts w:hint="eastAsia" w:asciiTheme="minorEastAsia" w:hAnsiTheme="minorEastAsia" w:eastAsiaTheme="minorEastAsia" w:cstheme="minorEastAsia"/>
          <w:sz w:val="24"/>
          <w:szCs w:val="32"/>
        </w:rPr>
        <w:t>该证明文件作为投标文件的一部分。</w:t>
      </w:r>
    </w:p>
    <w:p w14:paraId="3A9684D2">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15.2上述证明文件可以是文字资料、图表、数据、证书等资料，包括但不限于：</w:t>
      </w:r>
    </w:p>
    <w:p w14:paraId="3B723831">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（1）货物主要技术指标和性能的详细说明。对有具体参数要求的指标，投标人应提供具体参数值；</w:t>
      </w:r>
    </w:p>
    <w:p w14:paraId="27E289B7">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（2）货物的品牌型号、制造商及原产地等说明；</w:t>
      </w:r>
    </w:p>
    <w:p w14:paraId="38CA0A1F">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（3）招标文件第五章“采购需求”</w:t>
      </w:r>
      <w:r>
        <w:rPr>
          <w:rFonts w:hint="eastAsia" w:asciiTheme="minorEastAsia" w:hAnsiTheme="minorEastAsia" w:eastAsiaTheme="minorEastAsia" w:cstheme="minorEastAsia"/>
          <w:sz w:val="24"/>
          <w:szCs w:val="32"/>
          <w:lang w:eastAsia="zh-CN"/>
        </w:rPr>
        <w:t>要求的其他文件</w:t>
      </w:r>
      <w:r>
        <w:rPr>
          <w:rFonts w:hint="eastAsia" w:asciiTheme="minorEastAsia" w:hAnsiTheme="minorEastAsia" w:eastAsiaTheme="minorEastAsia" w:cstheme="minorEastAsia"/>
          <w:sz w:val="24"/>
          <w:szCs w:val="32"/>
        </w:rPr>
        <w:t>。</w:t>
      </w:r>
    </w:p>
    <w:p w14:paraId="39F31C88">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15.3【投标须知前附表】规定投标人在投标时提供样品的，投标人有以下情形之一的，在评标时和样品有关的评审因素将不予评分：</w:t>
      </w:r>
    </w:p>
    <w:p w14:paraId="3E9A5C02">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（1）未在【投标须知前附表】规定的提交时间、地点提交的；</w:t>
      </w:r>
    </w:p>
    <w:p w14:paraId="42C880F5">
      <w:pPr>
        <w:spacing w:line="360" w:lineRule="auto"/>
        <w:ind w:right="-4" w:firstLine="480" w:firstLineChars="200"/>
        <w:rPr>
          <w:rFonts w:hint="eastAsia" w:asciiTheme="minorEastAsia" w:hAnsiTheme="minorEastAsia" w:eastAsiaTheme="minorEastAsia" w:cstheme="minorEastAsia"/>
          <w:color w:val="C00000"/>
        </w:rPr>
      </w:pPr>
      <w:r>
        <w:rPr>
          <w:rFonts w:hint="eastAsia" w:asciiTheme="minorEastAsia" w:hAnsiTheme="minorEastAsia" w:eastAsiaTheme="minorEastAsia" w:cstheme="minorEastAsia"/>
          <w:sz w:val="24"/>
          <w:szCs w:val="32"/>
        </w:rPr>
        <w:t>（2）投标人提交的样品与招标文件中规定的样品标准要求不一致的。</w:t>
      </w:r>
    </w:p>
    <w:p w14:paraId="210814BE">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16.投标有效期</w:t>
      </w:r>
    </w:p>
    <w:p w14:paraId="4E10796A">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16.1投标有效期从提交投标文件的截止之日起计算。投标文件中承诺的投标有效期应当不少于【投标须知前附表】中载明的投标有效期。投标有效期不满足要求的，其</w:t>
      </w:r>
      <w:r>
        <w:rPr>
          <w:rFonts w:hint="eastAsia" w:asciiTheme="minorEastAsia" w:hAnsiTheme="minorEastAsia" w:eastAsiaTheme="minorEastAsia" w:cstheme="minorEastAsia"/>
          <w:b/>
          <w:bCs/>
          <w:sz w:val="24"/>
          <w:szCs w:val="32"/>
        </w:rPr>
        <w:t>投标无效。</w:t>
      </w:r>
    </w:p>
    <w:p w14:paraId="690EC0C8">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16.2投标有效期内投标人撤销投标文件的，投标人应承担招标文件和法律规定的责任。</w:t>
      </w:r>
    </w:p>
    <w:p w14:paraId="76069A5C">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17.投标保证金</w:t>
      </w:r>
    </w:p>
    <w:p w14:paraId="765CB63A">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17.1招标文件要求投标人提交投标保证金的，投标人应按【投标须知前附表】规定，在提交投标文件的截止时间前提交投标保证金。投标人可以保函、电子增信替代投标保证金。</w:t>
      </w:r>
    </w:p>
    <w:p w14:paraId="5DC7C42F">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17.2联合体投标的，可以由联合体中的一方或者共同提交投标保证金。以一方名义提交投标保证金的，对联合体各方均具有约束力。</w:t>
      </w:r>
    </w:p>
    <w:p w14:paraId="53BE1551">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17.3投标保证金的退还按以下规定办理：</w:t>
      </w:r>
    </w:p>
    <w:p w14:paraId="3E44A0E3">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（1）中标投标人的投标保证金，将在政府采购合同签订后5个工作日内退还。</w:t>
      </w:r>
    </w:p>
    <w:p w14:paraId="69DD03D9">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（2）未中标的投标人的投标保证金，将在中标通知书发出后5个工作日内退还。</w:t>
      </w:r>
    </w:p>
    <w:p w14:paraId="5EE97E70">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（3）终止招标的。对于已递交投标保证金的，采购代理机构在终止招标公告发布后5个工作日内退还。</w:t>
      </w:r>
    </w:p>
    <w:p w14:paraId="3EA46A07">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（4）在投标截止日前撤回投标的，对于已递交投标保证金的，采购代理机构在收到投标人书面撤回投标通知之日起5个工作日内退还。</w:t>
      </w:r>
    </w:p>
    <w:p w14:paraId="44845221">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17.4有以下情形之一的，投标保证金将不予退还，</w:t>
      </w:r>
      <w:r>
        <w:rPr>
          <w:rFonts w:hint="eastAsia" w:asciiTheme="minorEastAsia" w:hAnsiTheme="minorEastAsia" w:eastAsiaTheme="minorEastAsia" w:cstheme="minorEastAsia"/>
          <w:sz w:val="24"/>
          <w:szCs w:val="32"/>
          <w:lang w:eastAsia="zh-CN"/>
        </w:rPr>
        <w:t>上缴国库</w:t>
      </w:r>
      <w:r>
        <w:rPr>
          <w:rFonts w:hint="eastAsia" w:asciiTheme="minorEastAsia" w:hAnsiTheme="minorEastAsia" w:eastAsiaTheme="minorEastAsia" w:cstheme="minorEastAsia"/>
          <w:sz w:val="24"/>
          <w:szCs w:val="32"/>
        </w:rPr>
        <w:t>：</w:t>
      </w:r>
    </w:p>
    <w:p w14:paraId="234F8FAF">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（1）投标人在招标文件中规定的投标有效期内撤销其投标；</w:t>
      </w:r>
    </w:p>
    <w:p w14:paraId="3E48024B">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（2）中标人无正当理由不与招标人订立合同，在签订合同时向招标人提出附加条件，或者不按照招标文件要求提交履约保证金。</w:t>
      </w:r>
    </w:p>
    <w:p w14:paraId="6B8CC94A">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18.分包</w:t>
      </w:r>
    </w:p>
    <w:p w14:paraId="1313181E">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18.1【投标须知前附表】规定投标人分包的，投标人分包承诺不符合招标文件中有关分包规定的，其</w:t>
      </w:r>
      <w:r>
        <w:rPr>
          <w:rFonts w:hint="eastAsia" w:asciiTheme="minorEastAsia" w:hAnsiTheme="minorEastAsia" w:eastAsiaTheme="minorEastAsia" w:cstheme="minorEastAsia"/>
          <w:b/>
          <w:bCs/>
          <w:sz w:val="24"/>
          <w:szCs w:val="32"/>
        </w:rPr>
        <w:t>投标无效</w:t>
      </w:r>
      <w:r>
        <w:rPr>
          <w:rFonts w:hint="eastAsia" w:asciiTheme="minorEastAsia" w:hAnsiTheme="minorEastAsia" w:eastAsiaTheme="minorEastAsia" w:cstheme="minorEastAsia"/>
          <w:sz w:val="24"/>
          <w:szCs w:val="32"/>
        </w:rPr>
        <w:t>。</w:t>
      </w:r>
    </w:p>
    <w:p w14:paraId="5E90F0AB">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18.2投标人应在签订政府采购合同前向采购人提供分包合同，否则，采购人有权拒绝签订采购合同。</w:t>
      </w:r>
    </w:p>
    <w:p w14:paraId="796DABAE">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18.3享受中小企业扶持政策获得政府采购合同的，小微企业不得将合同分包给大中型企业，中型企业不得将合同分包给大型企业。</w:t>
      </w:r>
    </w:p>
    <w:p w14:paraId="7F603110">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18.4分包供应商不得再次分包。</w:t>
      </w:r>
    </w:p>
    <w:p w14:paraId="28472096">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19.投标文件的签署</w:t>
      </w:r>
    </w:p>
    <w:p w14:paraId="4BB9D203">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19.1投标人确认投标后，应使用“新点投标文件制作软件”编制电子投标文件，否则将可能影响电子投标文件的上传而导致投标失败。</w:t>
      </w:r>
    </w:p>
    <w:p w14:paraId="32BAADC8">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19.2电子投标文件应按照招标文件要求进行电子签章并通过数字证书进行加密；未按要求加密和数字证书认证的电子投标文件，电子开标软件将无法接收，采购代理机构不予受理。</w:t>
      </w:r>
    </w:p>
    <w:p w14:paraId="3EA9B2B0">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19.3投标人因自身原因导致电子投标文件无法导入电子评标系统的</w:t>
      </w:r>
      <w:r>
        <w:rPr>
          <w:rFonts w:hint="eastAsia" w:asciiTheme="minorEastAsia" w:hAnsiTheme="minorEastAsia" w:eastAsiaTheme="minorEastAsia" w:cstheme="minorEastAsia"/>
          <w:kern w:val="0"/>
          <w:sz w:val="24"/>
        </w:rPr>
        <w:t>及</w:t>
      </w:r>
      <w:r>
        <w:rPr>
          <w:rFonts w:hint="eastAsia" w:asciiTheme="minorEastAsia" w:hAnsiTheme="minorEastAsia" w:eastAsiaTheme="minorEastAsia" w:cstheme="minorEastAsia"/>
          <w:kern w:val="0"/>
          <w:sz w:val="24"/>
          <w:lang w:val="zh-CN"/>
        </w:rPr>
        <w:t>经检查数字证书无效的</w:t>
      </w:r>
      <w:r>
        <w:rPr>
          <w:rFonts w:hint="eastAsia" w:asciiTheme="minorEastAsia" w:hAnsiTheme="minorEastAsia" w:eastAsiaTheme="minorEastAsia" w:cstheme="minorEastAsia"/>
          <w:sz w:val="24"/>
          <w:szCs w:val="32"/>
        </w:rPr>
        <w:t>，该电子投标文件视为</w:t>
      </w:r>
      <w:r>
        <w:rPr>
          <w:rFonts w:hint="eastAsia" w:asciiTheme="minorEastAsia" w:hAnsiTheme="minorEastAsia" w:eastAsiaTheme="minorEastAsia" w:cstheme="minorEastAsia"/>
          <w:b/>
          <w:bCs/>
          <w:sz w:val="24"/>
          <w:szCs w:val="32"/>
        </w:rPr>
        <w:t>无效投标文件</w:t>
      </w:r>
      <w:r>
        <w:rPr>
          <w:rFonts w:hint="eastAsia" w:asciiTheme="minorEastAsia" w:hAnsiTheme="minorEastAsia" w:eastAsiaTheme="minorEastAsia" w:cstheme="minorEastAsia"/>
          <w:sz w:val="24"/>
          <w:szCs w:val="32"/>
        </w:rPr>
        <w:t>。</w:t>
      </w:r>
    </w:p>
    <w:p w14:paraId="0F38EC66">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19.4电子招投标文件具有法律效力，若电子投标文件与电子招标文件要求不一致，其内容影响成交结果时，投标人自行承担责任。</w:t>
      </w:r>
    </w:p>
    <w:p w14:paraId="15D1AC18">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19.5电子招标的政府采购项目的投标文件均以上传至指定的</w:t>
      </w:r>
      <w:r>
        <w:rPr>
          <w:rFonts w:hint="eastAsia" w:asciiTheme="minorEastAsia" w:hAnsiTheme="minorEastAsia" w:eastAsiaTheme="minorEastAsia" w:cstheme="minorEastAsia"/>
          <w:kern w:val="0"/>
          <w:sz w:val="24"/>
        </w:rPr>
        <w:t>电子交易平台</w:t>
      </w:r>
      <w:r>
        <w:rPr>
          <w:rFonts w:hint="eastAsia" w:asciiTheme="minorEastAsia" w:hAnsiTheme="minorEastAsia" w:eastAsiaTheme="minorEastAsia" w:cstheme="minorEastAsia"/>
          <w:sz w:val="24"/>
          <w:szCs w:val="32"/>
        </w:rPr>
        <w:t>的指定栏目的电子投标文件为准。</w:t>
      </w:r>
    </w:p>
    <w:p w14:paraId="27C3E08C">
      <w:pPr>
        <w:adjustRightInd w:val="0"/>
        <w:snapToGrid w:val="0"/>
        <w:rPr>
          <w:rFonts w:hint="eastAsia" w:asciiTheme="minorEastAsia" w:hAnsiTheme="minorEastAsia" w:eastAsiaTheme="minorEastAsia" w:cstheme="minorEastAsia"/>
          <w:color w:val="000000" w:themeColor="text1"/>
          <w:sz w:val="15"/>
          <w:szCs w:val="15"/>
          <w14:textFill>
            <w14:solidFill>
              <w14:schemeClr w14:val="tx1"/>
            </w14:solidFill>
          </w14:textFill>
        </w:rPr>
      </w:pPr>
    </w:p>
    <w:p w14:paraId="208A2DCF">
      <w:pPr>
        <w:pStyle w:val="4"/>
        <w:spacing w:line="240" w:lineRule="auto"/>
        <w:ind w:right="-4"/>
        <w:jc w:val="center"/>
        <w:rPr>
          <w:rFonts w:hint="eastAsia" w:asciiTheme="minorEastAsia" w:hAnsiTheme="minorEastAsia" w:eastAsiaTheme="minorEastAsia" w:cstheme="minorEastAsia"/>
          <w:sz w:val="28"/>
          <w:szCs w:val="36"/>
        </w:rPr>
      </w:pPr>
      <w:bookmarkStart w:id="84" w:name="_Toc15735"/>
      <w:bookmarkStart w:id="85" w:name="_Toc21341"/>
      <w:bookmarkStart w:id="86" w:name="_Toc17500"/>
      <w:bookmarkStart w:id="87" w:name="_Toc28244"/>
      <w:bookmarkStart w:id="88" w:name="_Toc30187"/>
      <w:bookmarkStart w:id="89" w:name="_Toc8295"/>
      <w:r>
        <w:rPr>
          <w:rFonts w:hint="eastAsia" w:asciiTheme="minorEastAsia" w:hAnsiTheme="minorEastAsia" w:eastAsiaTheme="minorEastAsia" w:cstheme="minorEastAsia"/>
          <w:sz w:val="28"/>
          <w:szCs w:val="36"/>
        </w:rPr>
        <w:t>四、投标</w:t>
      </w:r>
      <w:bookmarkEnd w:id="84"/>
      <w:bookmarkEnd w:id="85"/>
      <w:bookmarkEnd w:id="86"/>
      <w:bookmarkEnd w:id="87"/>
      <w:bookmarkEnd w:id="88"/>
      <w:bookmarkEnd w:id="89"/>
    </w:p>
    <w:p w14:paraId="700C1498">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20.投标截止期</w:t>
      </w:r>
    </w:p>
    <w:p w14:paraId="1A7F067A">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20.1投标人应在【投标须知前附表】规定的投标截止时间前即开标时间前将加密版的电子投标文件提交至指定的电子交易平台。逾期不予受理。</w:t>
      </w:r>
    </w:p>
    <w:p w14:paraId="16284885">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20.2如遇系统提示“上传未成功”，投标人应及时修改文件或与系统运维公司联系，查明原因，确保上传提交无误，因自身原因导致不能上传提交的，投标人自行承担责任。</w:t>
      </w:r>
    </w:p>
    <w:p w14:paraId="2272D3C2">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21.投标文件的修改和撤回</w:t>
      </w:r>
    </w:p>
    <w:p w14:paraId="2A329138">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21.1投标人在投标截止时间前，可以撤回已提交的电子投标文件，也可撤回后修改电子投标文件在投标截止时间前重新上传提交。</w:t>
      </w:r>
    </w:p>
    <w:p w14:paraId="70F9DFB7">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21.2投标人在投标截止时间前撤回已提交的电子投标文件的，采购人、采购代理机构应当退还已收取的投标保证金，但因投标人自身原因导致无法及时退还的除外。</w:t>
      </w:r>
    </w:p>
    <w:p w14:paraId="3D086F89">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22.串通投标行为</w:t>
      </w:r>
    </w:p>
    <w:p w14:paraId="07AB9E95">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22.1有下列情形之一的，属于恶意串通，对投标人依照政府采购法第七十七条第一款的规定追究法律责任：</w:t>
      </w:r>
    </w:p>
    <w:p w14:paraId="5DEF7C5D">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（1）投标人直接或者间接从采购人或者采购代理机构处获得其他投标人的相关情况并修改其投标文件；</w:t>
      </w:r>
    </w:p>
    <w:p w14:paraId="4782EB81">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（2）投标人按照采购人或者采购代理机构的授意撤换、修改投标文件；</w:t>
      </w:r>
    </w:p>
    <w:p w14:paraId="0491870A">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（3）投标人之间协商报价、技术方案等投标文件的实质性内容；</w:t>
      </w:r>
    </w:p>
    <w:p w14:paraId="5DF62F92">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（4）属于同一集团、协会、商会等组织成员的投标人按照该组织要求协同参加政府采购活动；</w:t>
      </w:r>
    </w:p>
    <w:p w14:paraId="488BE2EF">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（5）投标人之间事先约定由某一特定投标人中标；</w:t>
      </w:r>
    </w:p>
    <w:p w14:paraId="398DBE12">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（6）投标人之间商定部分投标人放弃参加政府采购活动或者放弃中标；</w:t>
      </w:r>
    </w:p>
    <w:p w14:paraId="0DC18AD0">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（7）投标人与采购人或者采购代理机构之间、投标人相互之间，为谋求特定投标人中标或者排斥其他投标人的其他串通行为。</w:t>
      </w:r>
    </w:p>
    <w:p w14:paraId="54F711F9">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22.2有下列情形之一的，视为投标人串通投标，其</w:t>
      </w:r>
      <w:r>
        <w:rPr>
          <w:rFonts w:hint="eastAsia" w:asciiTheme="minorEastAsia" w:hAnsiTheme="minorEastAsia" w:eastAsiaTheme="minorEastAsia" w:cstheme="minorEastAsia"/>
          <w:b/>
          <w:bCs/>
          <w:sz w:val="24"/>
          <w:szCs w:val="32"/>
        </w:rPr>
        <w:t>投标无效</w:t>
      </w:r>
      <w:r>
        <w:rPr>
          <w:rFonts w:hint="eastAsia" w:asciiTheme="minorEastAsia" w:hAnsiTheme="minorEastAsia" w:eastAsiaTheme="minorEastAsia" w:cstheme="minorEastAsia"/>
          <w:sz w:val="24"/>
          <w:szCs w:val="32"/>
        </w:rPr>
        <w:t>：</w:t>
      </w:r>
    </w:p>
    <w:p w14:paraId="25795114">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（1）不同投标人的投标文件由同一单位或者个人编制；</w:t>
      </w:r>
    </w:p>
    <w:p w14:paraId="3A283B04">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（2）不同投标人委托同一单位或者个人办理投标事宜；</w:t>
      </w:r>
    </w:p>
    <w:p w14:paraId="346CDE9F">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（3）不同投标人的投标文件载明的项目管理成员或者联系人员为同一人；</w:t>
      </w:r>
    </w:p>
    <w:p w14:paraId="4FA54F41">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（4）不同投标人的投标文件异常一致或者投标报价呈规律性差异；</w:t>
      </w:r>
    </w:p>
    <w:p w14:paraId="13DE541F">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（5）不同投标人的投标文件相互混装；</w:t>
      </w:r>
    </w:p>
    <w:p w14:paraId="534DE521">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（6）不同投标人的投标保证金从同一单位或者个人的账户转出。</w:t>
      </w:r>
    </w:p>
    <w:p w14:paraId="6E5C01D8">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22.3其他涉嫌围标串标情形：电子标投标过程中，凡报名参加和领取及下载文件等操作中出现任一信息相同的，文件制作机器码、文件创建标识码、IP雷同或相同的，上传投标文件时任一信息相同的，其它有关情形等，均属涉嫌电子标围标串标情形，将触发湘西州公共资源交易大数据预警系统发生异常警报，有关监管部门将根据异常预警具体情况依法进行处理。有关涉嫌电子标围标串标嫌疑情形的解释</w:t>
      </w:r>
      <w:r>
        <w:rPr>
          <w:rFonts w:hint="eastAsia" w:asciiTheme="minorEastAsia" w:hAnsiTheme="minorEastAsia" w:eastAsiaTheme="minorEastAsia" w:cstheme="minorEastAsia"/>
          <w:sz w:val="24"/>
          <w:szCs w:val="32"/>
          <w:lang w:val="en-US" w:eastAsia="zh-CN"/>
        </w:rPr>
        <w:t>者</w:t>
      </w:r>
      <w:r>
        <w:rPr>
          <w:rFonts w:hint="eastAsia" w:asciiTheme="minorEastAsia" w:hAnsiTheme="minorEastAsia" w:eastAsiaTheme="minorEastAsia" w:cstheme="minorEastAsia"/>
          <w:sz w:val="24"/>
          <w:szCs w:val="32"/>
        </w:rPr>
        <w:t>为湘西州公共资源交易中心。</w:t>
      </w:r>
    </w:p>
    <w:p w14:paraId="5ABFBA05">
      <w:pPr>
        <w:adjustRightInd w:val="0"/>
        <w:snapToGrid w:val="0"/>
        <w:rPr>
          <w:rFonts w:hint="eastAsia" w:asciiTheme="minorEastAsia" w:hAnsiTheme="minorEastAsia" w:eastAsiaTheme="minorEastAsia" w:cstheme="minorEastAsia"/>
          <w:color w:val="000000" w:themeColor="text1"/>
          <w:sz w:val="20"/>
          <w:szCs w:val="20"/>
          <w14:textFill>
            <w14:solidFill>
              <w14:schemeClr w14:val="tx1"/>
            </w14:solidFill>
          </w14:textFill>
        </w:rPr>
      </w:pPr>
    </w:p>
    <w:p w14:paraId="08504A14">
      <w:pPr>
        <w:pStyle w:val="4"/>
        <w:spacing w:line="240" w:lineRule="auto"/>
        <w:ind w:right="-4" w:firstLine="562" w:firstLineChars="200"/>
        <w:jc w:val="center"/>
        <w:rPr>
          <w:rFonts w:hint="eastAsia" w:asciiTheme="minorEastAsia" w:hAnsiTheme="minorEastAsia" w:eastAsiaTheme="minorEastAsia" w:cstheme="minorEastAsia"/>
          <w:sz w:val="28"/>
          <w:szCs w:val="36"/>
        </w:rPr>
      </w:pPr>
      <w:bookmarkStart w:id="90" w:name="_Toc5262"/>
      <w:bookmarkStart w:id="91" w:name="_Toc17029"/>
      <w:bookmarkStart w:id="92" w:name="_Toc24709"/>
      <w:bookmarkStart w:id="93" w:name="_Toc4647"/>
      <w:bookmarkStart w:id="94" w:name="_Toc23846"/>
      <w:bookmarkStart w:id="95" w:name="_Toc15458"/>
      <w:bookmarkStart w:id="96" w:name="_Toc7171"/>
      <w:r>
        <w:rPr>
          <w:rFonts w:hint="eastAsia" w:asciiTheme="minorEastAsia" w:hAnsiTheme="minorEastAsia" w:eastAsiaTheme="minorEastAsia" w:cstheme="minorEastAsia"/>
          <w:sz w:val="28"/>
          <w:szCs w:val="36"/>
        </w:rPr>
        <w:t>五、开标，资格审查和评标</w:t>
      </w:r>
      <w:bookmarkEnd w:id="90"/>
      <w:bookmarkEnd w:id="91"/>
      <w:bookmarkEnd w:id="92"/>
      <w:bookmarkEnd w:id="93"/>
      <w:bookmarkEnd w:id="94"/>
      <w:bookmarkEnd w:id="95"/>
      <w:bookmarkEnd w:id="96"/>
    </w:p>
    <w:p w14:paraId="0B36A933">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23.开标</w:t>
      </w:r>
    </w:p>
    <w:p w14:paraId="4B05CB64">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23.1采购人、采购代理机构在【投标须知前附表】规定的开标地点组织开标，投标人未参加线上开标的，视同认可开标结果。</w:t>
      </w:r>
    </w:p>
    <w:p w14:paraId="38588835">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23.2主持人按下列程序进行开标：</w:t>
      </w:r>
    </w:p>
    <w:p w14:paraId="376E1AAB">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（l）公布投标人名称；投标人不足3家的，不得开标；</w:t>
      </w:r>
    </w:p>
    <w:p w14:paraId="1601DB8E">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（2）发起解密指令，投标人在【投标须知前附表】规定的时限内解密电子投标文件，</w:t>
      </w:r>
      <w:r>
        <w:rPr>
          <w:rFonts w:hint="eastAsia" w:asciiTheme="minorEastAsia" w:hAnsiTheme="minorEastAsia" w:eastAsiaTheme="minorEastAsia" w:cstheme="minorEastAsia"/>
          <w:kern w:val="0"/>
          <w:sz w:val="24"/>
        </w:rPr>
        <w:t>未在规定时限内</w:t>
      </w:r>
      <w:r>
        <w:rPr>
          <w:rFonts w:hint="eastAsia" w:asciiTheme="minorEastAsia" w:hAnsiTheme="minorEastAsia" w:eastAsiaTheme="minorEastAsia" w:cstheme="minorEastAsia"/>
          <w:sz w:val="24"/>
        </w:rPr>
        <w:t>解密的或解密失败的，视为撤销电子投标文件</w:t>
      </w:r>
      <w:r>
        <w:rPr>
          <w:rFonts w:hint="eastAsia" w:asciiTheme="minorEastAsia" w:hAnsiTheme="minorEastAsia" w:eastAsiaTheme="minorEastAsia" w:cstheme="minorEastAsia"/>
          <w:kern w:val="0"/>
          <w:sz w:val="24"/>
        </w:rPr>
        <w:t>。</w:t>
      </w:r>
    </w:p>
    <w:p w14:paraId="60508A5C">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（3）批量导入电子投标文件；</w:t>
      </w:r>
    </w:p>
    <w:p w14:paraId="0CD8D8F8">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（4）查看投标人保证金、唱标以及【投标须知前附表】规定需要宣布的其他内容；</w:t>
      </w:r>
    </w:p>
    <w:p w14:paraId="76086AFF">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（5）投标人确认开标结果；</w:t>
      </w:r>
    </w:p>
    <w:p w14:paraId="3BFDAEB9">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（6）生成开标记录表；</w:t>
      </w:r>
    </w:p>
    <w:p w14:paraId="0E24D33D">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（7）采购人确认开标记录；开标结束。</w:t>
      </w:r>
    </w:p>
    <w:p w14:paraId="35C89172">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23.3开标记录由参加开标的各投标人代表和相关工作人员确认后随采购文件一并存档。</w:t>
      </w:r>
    </w:p>
    <w:p w14:paraId="6A80846C">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23.4投标人代表对开标过程和开标记录有疑义，以及认为采购人、采购代理机构相关工作人员有《</w:t>
      </w:r>
      <w:r>
        <w:rPr>
          <w:rFonts w:hint="eastAsia" w:asciiTheme="minorEastAsia" w:hAnsiTheme="minorEastAsia" w:eastAsiaTheme="minorEastAsia" w:cstheme="minorEastAsia"/>
          <w:sz w:val="24"/>
          <w:szCs w:val="32"/>
          <w:lang w:eastAsia="zh-CN"/>
        </w:rPr>
        <w:t>中华人民共和国政府采购法实施条例</w:t>
      </w:r>
      <w:r>
        <w:rPr>
          <w:rFonts w:hint="eastAsia" w:asciiTheme="minorEastAsia" w:hAnsiTheme="minorEastAsia" w:eastAsiaTheme="minorEastAsia" w:cstheme="minorEastAsia"/>
          <w:sz w:val="24"/>
          <w:szCs w:val="32"/>
        </w:rPr>
        <w:t>》第九条第一款需要回避的情形的，应在线上开标平台当场提出询问或者回避申请。</w:t>
      </w:r>
    </w:p>
    <w:p w14:paraId="5F652469">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23.5采购人、采购代理机构对投标人代表在线上开标平台当场提出的询问或者回避申请，按《</w:t>
      </w:r>
      <w:r>
        <w:rPr>
          <w:rFonts w:hint="eastAsia" w:asciiTheme="minorEastAsia" w:hAnsiTheme="minorEastAsia" w:eastAsiaTheme="minorEastAsia" w:cstheme="minorEastAsia"/>
          <w:sz w:val="24"/>
          <w:szCs w:val="32"/>
          <w:lang w:eastAsia="zh-CN"/>
        </w:rPr>
        <w:t>中华人民共和国政府采购法实施条例</w:t>
      </w:r>
      <w:r>
        <w:rPr>
          <w:rFonts w:hint="eastAsia" w:asciiTheme="minorEastAsia" w:hAnsiTheme="minorEastAsia" w:eastAsiaTheme="minorEastAsia" w:cstheme="minorEastAsia"/>
          <w:sz w:val="24"/>
          <w:szCs w:val="32"/>
        </w:rPr>
        <w:t>》有关规定及时处理。</w:t>
      </w:r>
    </w:p>
    <w:p w14:paraId="4632AFAE">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23.6开标时，出现下列情形之一的，采购代理机构不予受理，不得进入评标：</w:t>
      </w:r>
    </w:p>
    <w:p w14:paraId="218A7064">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（1）经检查数字证书无效的电子投标文件；</w:t>
      </w:r>
    </w:p>
    <w:p w14:paraId="57067F6C">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（2）电子投标文件未按招标文件要求上传或未送达指定地点的；</w:t>
      </w:r>
    </w:p>
    <w:p w14:paraId="2F533CEF">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（3）投标人未在【投标须知前附表】规定的时间内完成电子投标文件解密的；</w:t>
      </w:r>
    </w:p>
    <w:p w14:paraId="2755697A">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w:t>
      </w:r>
      <w:r>
        <w:rPr>
          <w:rFonts w:hint="eastAsia" w:asciiTheme="minorEastAsia" w:hAnsiTheme="minorEastAsia" w:eastAsiaTheme="minorEastAsia" w:cstheme="minorEastAsia"/>
          <w:sz w:val="24"/>
          <w:szCs w:val="32"/>
          <w:lang w:eastAsia="zh-CN"/>
        </w:rPr>
        <w:t>其他</w:t>
      </w:r>
      <w:r>
        <w:rPr>
          <w:rFonts w:hint="eastAsia" w:asciiTheme="minorEastAsia" w:hAnsiTheme="minorEastAsia" w:eastAsiaTheme="minorEastAsia" w:cstheme="minorEastAsia"/>
          <w:sz w:val="24"/>
          <w:szCs w:val="32"/>
        </w:rPr>
        <w:t>违反</w:t>
      </w:r>
      <w:r>
        <w:rPr>
          <w:rFonts w:hint="eastAsia" w:asciiTheme="minorEastAsia" w:hAnsiTheme="minorEastAsia" w:eastAsiaTheme="minorEastAsia" w:cstheme="minorEastAsia"/>
          <w:sz w:val="24"/>
          <w:szCs w:val="32"/>
          <w:lang w:eastAsia="zh-CN"/>
        </w:rPr>
        <w:t>法律法规</w:t>
      </w:r>
      <w:r>
        <w:rPr>
          <w:rFonts w:hint="eastAsia" w:asciiTheme="minorEastAsia" w:hAnsiTheme="minorEastAsia" w:eastAsiaTheme="minorEastAsia" w:cstheme="minorEastAsia"/>
          <w:sz w:val="24"/>
          <w:szCs w:val="32"/>
        </w:rPr>
        <w:t>的情形。</w:t>
      </w:r>
    </w:p>
    <w:p w14:paraId="12BC4032">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23.7电子开标、评标如出现下列情形，导致系统无法正常运行时，可采取应急措施：</w:t>
      </w:r>
    </w:p>
    <w:p w14:paraId="5AF76D98">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（1）系统服务器发生故障，无法访问或无法使用系统；</w:t>
      </w:r>
    </w:p>
    <w:p w14:paraId="6134393B">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（2）系统的软件或数据库出现错误，不能进行正常操作；</w:t>
      </w:r>
    </w:p>
    <w:p w14:paraId="2B84848C">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（3）系统发现有安全漏洞，有潜在的泄密危险；</w:t>
      </w:r>
    </w:p>
    <w:p w14:paraId="15DDA8DB">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（4）病毒发作或受到外来病毒的攻击；</w:t>
      </w:r>
    </w:p>
    <w:p w14:paraId="73A3A3A9">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（5）其他特殊情况。</w:t>
      </w:r>
    </w:p>
    <w:p w14:paraId="67CA7CE2">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出现上述情况之一时，应对未开标的暂停开标或用纸质投标文件开标；已在系统内评标的，评标委员会可改用纸质投标文件进行评审。</w:t>
      </w:r>
    </w:p>
    <w:p w14:paraId="5E25D8EB">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24.资格审查</w:t>
      </w:r>
    </w:p>
    <w:p w14:paraId="6CFFA202">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24.1开标结束后，采购人或者采购代理机构依法按照第三章“资格审查”规定组织资格审查。</w:t>
      </w:r>
    </w:p>
    <w:p w14:paraId="25F7237C">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24.2资格审查结束后，采购人及采购代理机构应将资格审查结果告知评标委员会。资格审查不合格投标人不得进入评标；资格审查合格投标人少于3家的，不得评标。</w:t>
      </w:r>
    </w:p>
    <w:p w14:paraId="15191029">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25.评标委员会</w:t>
      </w:r>
    </w:p>
    <w:p w14:paraId="7D8DACA3">
      <w:pPr>
        <w:spacing w:line="360" w:lineRule="auto"/>
        <w:ind w:right="-4" w:firstLine="480" w:firstLineChars="200"/>
        <w:rPr>
          <w:rFonts w:hint="eastAsia" w:eastAsia="宋体" w:asciiTheme="minorEastAsia" w:hAnsiTheme="minorEastAsia" w:cstheme="minorEastAsia"/>
          <w:sz w:val="24"/>
          <w:szCs w:val="32"/>
          <w:lang w:eastAsia="zh-CN"/>
        </w:rPr>
      </w:pPr>
      <w:r>
        <w:rPr>
          <w:rFonts w:hint="eastAsia" w:asciiTheme="minorEastAsia" w:hAnsiTheme="minorEastAsia" w:eastAsiaTheme="minorEastAsia" w:cstheme="minorEastAsia"/>
          <w:sz w:val="24"/>
          <w:szCs w:val="32"/>
        </w:rPr>
        <w:t>25.1评标由依法组建的评标委员会负责，评标委员会由采购人代表和评审专家组成</w:t>
      </w:r>
      <w:r>
        <w:rPr>
          <w:rFonts w:hint="eastAsia" w:asciiTheme="minorEastAsia" w:hAnsiTheme="minorEastAsia" w:eastAsiaTheme="minorEastAsia" w:cstheme="minorEastAsia"/>
          <w:sz w:val="24"/>
          <w:szCs w:val="32"/>
          <w:lang w:eastAsia="zh-CN"/>
        </w:rPr>
        <w:t>，</w:t>
      </w:r>
      <w:r>
        <w:rPr>
          <w:rFonts w:hint="eastAsia"/>
          <w:sz w:val="24"/>
          <w:szCs w:val="32"/>
        </w:rPr>
        <w:t>成员人数为</w:t>
      </w:r>
      <w:r>
        <w:rPr>
          <w:rFonts w:hint="eastAsia" w:asciiTheme="minorEastAsia" w:hAnsiTheme="minorEastAsia" w:eastAsiaTheme="minorEastAsia" w:cstheme="minorEastAsia"/>
          <w:sz w:val="24"/>
          <w:szCs w:val="32"/>
        </w:rPr>
        <w:t>5人以上</w:t>
      </w:r>
      <w:r>
        <w:rPr>
          <w:rFonts w:hint="eastAsia" w:asciiTheme="minorEastAsia" w:hAnsiTheme="minorEastAsia" w:eastAsiaTheme="minorEastAsia" w:cstheme="minorEastAsia"/>
          <w:sz w:val="24"/>
          <w:szCs w:val="32"/>
          <w:lang w:eastAsia="zh-CN"/>
        </w:rPr>
        <w:t>（</w:t>
      </w:r>
      <w:r>
        <w:rPr>
          <w:rFonts w:hint="eastAsia" w:asciiTheme="minorEastAsia" w:hAnsiTheme="minorEastAsia" w:eastAsiaTheme="minorEastAsia" w:cstheme="minorEastAsia"/>
          <w:sz w:val="24"/>
          <w:szCs w:val="32"/>
          <w:lang w:val="en-US" w:eastAsia="zh-CN"/>
        </w:rPr>
        <w:t>含5人</w:t>
      </w:r>
      <w:r>
        <w:rPr>
          <w:rFonts w:hint="eastAsia" w:asciiTheme="minorEastAsia" w:hAnsiTheme="minorEastAsia" w:eastAsiaTheme="minorEastAsia" w:cstheme="minorEastAsia"/>
          <w:sz w:val="24"/>
          <w:szCs w:val="32"/>
          <w:lang w:eastAsia="zh-CN"/>
        </w:rPr>
        <w:t>）</w:t>
      </w:r>
      <w:r>
        <w:rPr>
          <w:rFonts w:hint="eastAsia" w:asciiTheme="minorEastAsia" w:hAnsiTheme="minorEastAsia" w:eastAsiaTheme="minorEastAsia" w:cstheme="minorEastAsia"/>
          <w:sz w:val="24"/>
          <w:szCs w:val="32"/>
        </w:rPr>
        <w:t>单数，其中评审专家不得少于成员总数的2/3</w:t>
      </w:r>
      <w:r>
        <w:rPr>
          <w:rFonts w:hint="eastAsia"/>
          <w:sz w:val="24"/>
          <w:szCs w:val="32"/>
          <w:lang w:eastAsia="zh-CN"/>
        </w:rPr>
        <w:t>。</w:t>
      </w:r>
    </w:p>
    <w:p w14:paraId="3F24EED0">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25.2评标委员会成员有下列情形之一的，应当回避：</w:t>
      </w:r>
    </w:p>
    <w:p w14:paraId="06EA764F">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（1）参加采购活动前三年内</w:t>
      </w:r>
      <w:r>
        <w:rPr>
          <w:rFonts w:hint="eastAsia" w:asciiTheme="minorEastAsia" w:hAnsiTheme="minorEastAsia" w:eastAsiaTheme="minorEastAsia" w:cstheme="minorEastAsia"/>
          <w:sz w:val="24"/>
          <w:szCs w:val="32"/>
          <w:lang w:eastAsia="zh-CN"/>
        </w:rPr>
        <w:t>，</w:t>
      </w:r>
      <w:r>
        <w:rPr>
          <w:rFonts w:hint="eastAsia" w:asciiTheme="minorEastAsia" w:hAnsiTheme="minorEastAsia" w:eastAsiaTheme="minorEastAsia" w:cstheme="minorEastAsia"/>
          <w:sz w:val="24"/>
          <w:szCs w:val="32"/>
        </w:rPr>
        <w:t>与投标人存在劳动关系</w:t>
      </w:r>
      <w:r>
        <w:rPr>
          <w:rFonts w:hint="eastAsia" w:asciiTheme="minorEastAsia" w:hAnsiTheme="minorEastAsia" w:eastAsiaTheme="minorEastAsia" w:cstheme="minorEastAsia"/>
          <w:sz w:val="24"/>
          <w:szCs w:val="32"/>
          <w:lang w:eastAsia="zh-CN"/>
        </w:rPr>
        <w:t>，</w:t>
      </w:r>
      <w:r>
        <w:rPr>
          <w:rFonts w:hint="eastAsia" w:asciiTheme="minorEastAsia" w:hAnsiTheme="minorEastAsia" w:eastAsiaTheme="minorEastAsia" w:cstheme="minorEastAsia"/>
          <w:sz w:val="24"/>
          <w:szCs w:val="32"/>
        </w:rPr>
        <w:t>或者担任过投标人的董事、监事</w:t>
      </w:r>
      <w:r>
        <w:rPr>
          <w:rFonts w:hint="eastAsia" w:asciiTheme="minorEastAsia" w:hAnsiTheme="minorEastAsia" w:eastAsiaTheme="minorEastAsia" w:cstheme="minorEastAsia"/>
          <w:sz w:val="24"/>
          <w:szCs w:val="32"/>
          <w:lang w:eastAsia="zh-CN"/>
        </w:rPr>
        <w:t>，</w:t>
      </w:r>
      <w:r>
        <w:rPr>
          <w:rFonts w:hint="eastAsia" w:asciiTheme="minorEastAsia" w:hAnsiTheme="minorEastAsia" w:eastAsiaTheme="minorEastAsia" w:cstheme="minorEastAsia"/>
          <w:sz w:val="24"/>
          <w:szCs w:val="32"/>
        </w:rPr>
        <w:t>或者是投标人的控股股东或实际控制人；</w:t>
      </w:r>
    </w:p>
    <w:p w14:paraId="6BC978E2">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（2）与投标人的法定代表人或者负责人有夫妻、直系血亲、三代以内旁系血亲或者近姻亲关系；</w:t>
      </w:r>
    </w:p>
    <w:p w14:paraId="2B2F5B2E">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（3）与投标人有其他可能影响政府采购活动公平、公正进行的关系。</w:t>
      </w:r>
    </w:p>
    <w:p w14:paraId="52C9CEE6">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25.3评标委员会负责具体评标事务，并独立履行下列职责：</w:t>
      </w:r>
    </w:p>
    <w:p w14:paraId="23132992">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（1）审查、评价投标文件是否符合招标文件的商务、技术等实质性要求；</w:t>
      </w:r>
    </w:p>
    <w:p w14:paraId="312E7B9D">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（2）要求投标人对投标文件有关事项作出澄清或者说明；</w:t>
      </w:r>
    </w:p>
    <w:p w14:paraId="5F490B01">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（3）对投标文件进行比较和评价；</w:t>
      </w:r>
    </w:p>
    <w:p w14:paraId="1037FE75">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（4）确定中标候选人名单，以及根据采购人委托直接确定中标人。</w:t>
      </w:r>
    </w:p>
    <w:p w14:paraId="4F2980DB">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26.评标</w:t>
      </w:r>
    </w:p>
    <w:p w14:paraId="06412DCD">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26.1评标委员会按照第四章“评标方法及标准”规定的评标方法、评审因素、标准和程序以及有关</w:t>
      </w:r>
      <w:r>
        <w:rPr>
          <w:rFonts w:hint="eastAsia" w:asciiTheme="minorEastAsia" w:hAnsiTheme="minorEastAsia" w:eastAsiaTheme="minorEastAsia" w:cstheme="minorEastAsia"/>
          <w:sz w:val="24"/>
          <w:szCs w:val="32"/>
          <w:lang w:eastAsia="zh-CN"/>
        </w:rPr>
        <w:t>法律法规</w:t>
      </w:r>
      <w:r>
        <w:rPr>
          <w:rFonts w:hint="eastAsia" w:asciiTheme="minorEastAsia" w:hAnsiTheme="minorEastAsia" w:eastAsiaTheme="minorEastAsia" w:cstheme="minorEastAsia"/>
          <w:sz w:val="24"/>
          <w:szCs w:val="32"/>
        </w:rPr>
        <w:t>及规章对投标文件进行评审。</w:t>
      </w:r>
    </w:p>
    <w:p w14:paraId="0D86B597">
      <w:pPr>
        <w:adjustRightInd w:val="0"/>
        <w:snapToGrid w:val="0"/>
        <w:rPr>
          <w:rFonts w:hint="eastAsia" w:asciiTheme="minorEastAsia" w:hAnsiTheme="minorEastAsia" w:eastAsiaTheme="minorEastAsia" w:cstheme="minorEastAsia"/>
          <w:color w:val="000000" w:themeColor="text1"/>
          <w:sz w:val="20"/>
          <w:szCs w:val="20"/>
          <w14:textFill>
            <w14:solidFill>
              <w14:schemeClr w14:val="tx1"/>
            </w14:solidFill>
          </w14:textFill>
        </w:rPr>
      </w:pPr>
    </w:p>
    <w:p w14:paraId="03F12A77">
      <w:pPr>
        <w:pStyle w:val="4"/>
        <w:spacing w:line="240" w:lineRule="auto"/>
        <w:ind w:right="-4" w:firstLine="174" w:firstLineChars="62"/>
        <w:jc w:val="center"/>
        <w:rPr>
          <w:rFonts w:hint="eastAsia" w:asciiTheme="minorEastAsia" w:hAnsiTheme="minorEastAsia" w:eastAsiaTheme="minorEastAsia" w:cstheme="minorEastAsia"/>
          <w:sz w:val="28"/>
          <w:szCs w:val="36"/>
        </w:rPr>
      </w:pPr>
      <w:bookmarkStart w:id="97" w:name="_Toc29057"/>
      <w:bookmarkStart w:id="98" w:name="_Toc32020"/>
      <w:bookmarkStart w:id="99" w:name="_Toc30147"/>
      <w:bookmarkStart w:id="100" w:name="_Toc25652"/>
      <w:bookmarkStart w:id="101" w:name="_Toc10996"/>
      <w:bookmarkStart w:id="102" w:name="_Toc31588"/>
      <w:bookmarkStart w:id="103" w:name="_Toc12947"/>
      <w:r>
        <w:rPr>
          <w:rFonts w:hint="eastAsia" w:asciiTheme="minorEastAsia" w:hAnsiTheme="minorEastAsia" w:eastAsiaTheme="minorEastAsia" w:cstheme="minorEastAsia"/>
          <w:sz w:val="28"/>
          <w:szCs w:val="36"/>
        </w:rPr>
        <w:t>六、中标信息公布</w:t>
      </w:r>
      <w:bookmarkEnd w:id="97"/>
      <w:bookmarkEnd w:id="98"/>
      <w:bookmarkEnd w:id="99"/>
      <w:bookmarkEnd w:id="100"/>
      <w:bookmarkEnd w:id="101"/>
      <w:bookmarkEnd w:id="102"/>
      <w:bookmarkEnd w:id="103"/>
    </w:p>
    <w:p w14:paraId="55F6CB14">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27.中标通知书与中标信息公布</w:t>
      </w:r>
    </w:p>
    <w:p w14:paraId="77D9B2C7">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27.1采购代理机构应当在评标结束后2个工作日内将资格审查情况报告和评标报告送采购人。</w:t>
      </w:r>
    </w:p>
    <w:p w14:paraId="75AC6770">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sz w:val="24"/>
          <w:szCs w:val="32"/>
        </w:rPr>
        <w:t>27.2采购人应当自收到资格审查情况报告和评标报告之日起5个工作日内，在评标报告确定的中标候选人名单中按顺序确定中标人。中标候</w:t>
      </w:r>
      <w:r>
        <w:rPr>
          <w:rFonts w:hint="eastAsia" w:asciiTheme="minorEastAsia" w:hAnsiTheme="minorEastAsia" w:eastAsiaTheme="minorEastAsia" w:cstheme="minorEastAsia"/>
          <w:color w:val="000000" w:themeColor="text1"/>
          <w:sz w:val="24"/>
          <w14:textFill>
            <w14:solidFill>
              <w14:schemeClr w14:val="tx1"/>
            </w14:solidFill>
          </w14:textFill>
        </w:rPr>
        <w:t>选人并列的，按照</w:t>
      </w:r>
      <w:r>
        <w:rPr>
          <w:rFonts w:hint="eastAsia" w:asciiTheme="minorEastAsia" w:hAnsiTheme="minorEastAsia" w:eastAsiaTheme="minorEastAsia" w:cstheme="minorEastAsia"/>
          <w:bCs/>
          <w:color w:val="000000" w:themeColor="text1"/>
          <w:sz w:val="24"/>
          <w14:textFill>
            <w14:solidFill>
              <w14:schemeClr w14:val="tx1"/>
            </w14:solidFill>
          </w14:textFill>
        </w:rPr>
        <w:t>【投标须知前附表】</w:t>
      </w:r>
      <w:r>
        <w:rPr>
          <w:rFonts w:hint="eastAsia" w:asciiTheme="minorEastAsia" w:hAnsiTheme="minorEastAsia" w:eastAsiaTheme="minorEastAsia" w:cstheme="minorEastAsia"/>
          <w:color w:val="000000" w:themeColor="text1"/>
          <w:sz w:val="24"/>
          <w14:textFill>
            <w14:solidFill>
              <w14:schemeClr w14:val="tx1"/>
            </w14:solidFill>
          </w14:textFill>
        </w:rPr>
        <w:t>规定的方式确定中标人；招标文件未确定的，采取随机抽取的方式确定。</w:t>
      </w:r>
    </w:p>
    <w:p w14:paraId="72092A4C">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27.3采购代理机构应当自采购人确定中标人之日起2个工作日内，发出中标通知书，并在招标公告指定的媒体上公告中标结果，招标文件随中标结果同时公告，中标结果公告期限为1个工作日。</w:t>
      </w:r>
    </w:p>
    <w:p w14:paraId="64A89420">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28.投标人询问及质疑</w:t>
      </w:r>
    </w:p>
    <w:p w14:paraId="32478CD5">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28.1投标人对政府采购活动事项有疑问的，可以向采购人或者采购代理机构提出询问。采购人或者采购代理机构应在3个工作日内作出答复。</w:t>
      </w:r>
    </w:p>
    <w:p w14:paraId="7DF28EDB">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28.2投标人认为招标文件、采购过程和中标结果使自己的权益受到损害的，可以在知道或者应知其权益受到损害之日起7个工作日内，按照《湖南省财政厅关于印发＜政府采购质疑答复和投诉处理操作规程＞的通知》（</w:t>
      </w:r>
      <w:r>
        <w:rPr>
          <w:rFonts w:hint="eastAsia" w:asciiTheme="minorEastAsia" w:hAnsiTheme="minorEastAsia" w:eastAsiaTheme="minorEastAsia" w:cstheme="minorEastAsia"/>
          <w:sz w:val="24"/>
          <w:szCs w:val="32"/>
          <w:lang w:eastAsia="zh-CN"/>
        </w:rPr>
        <w:t>湘财购〔2024〕67号</w:t>
      </w:r>
      <w:r>
        <w:rPr>
          <w:rFonts w:hint="eastAsia" w:asciiTheme="minorEastAsia" w:hAnsiTheme="minorEastAsia" w:eastAsiaTheme="minorEastAsia" w:cstheme="minorEastAsia"/>
          <w:sz w:val="24"/>
          <w:szCs w:val="32"/>
        </w:rPr>
        <w:t>）规定，以纸质书面形式向采购人、采购代理机构提出质疑。投标人应当在法定质疑期内一次性提出针对同一采购程序环节的质疑。</w:t>
      </w:r>
    </w:p>
    <w:p w14:paraId="5D5F72B3">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28.3投标人提出质疑的，应按照《湖南省财政厅关于印发＜政府采购质疑答复和投诉处理操作规程＞的通知》规定制作、签署、送达。采购人、采购代理机构接收质疑函的联系部门、联系电话和通讯地址见【投标须知前附表】。</w:t>
      </w:r>
    </w:p>
    <w:p w14:paraId="31C022B5">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28.4采购人、采购代理机构按照《湖南省财政厅关于印发＜政府采购质疑答复和投诉处理操作规程＞的通知》规定进行质疑答复。</w:t>
      </w:r>
    </w:p>
    <w:p w14:paraId="33003FE3">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28.5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3078E1CE">
      <w:pPr>
        <w:spacing w:line="240" w:lineRule="auto"/>
        <w:ind w:right="-4" w:firstLine="480" w:firstLineChars="200"/>
        <w:rPr>
          <w:rFonts w:hint="eastAsia" w:asciiTheme="minorEastAsia" w:hAnsiTheme="minorEastAsia" w:eastAsiaTheme="minorEastAsia" w:cstheme="minorEastAsia"/>
          <w:sz w:val="24"/>
          <w:szCs w:val="32"/>
        </w:rPr>
      </w:pPr>
    </w:p>
    <w:p w14:paraId="2B9FC1E8">
      <w:pPr>
        <w:pStyle w:val="4"/>
        <w:spacing w:line="240" w:lineRule="auto"/>
        <w:ind w:right="-4"/>
        <w:jc w:val="center"/>
        <w:rPr>
          <w:rFonts w:hint="eastAsia" w:asciiTheme="minorEastAsia" w:hAnsiTheme="minorEastAsia" w:eastAsiaTheme="minorEastAsia" w:cstheme="minorEastAsia"/>
          <w:sz w:val="28"/>
          <w:szCs w:val="36"/>
        </w:rPr>
      </w:pPr>
      <w:bookmarkStart w:id="104" w:name="_Toc31219"/>
      <w:bookmarkStart w:id="105" w:name="_Toc1535"/>
      <w:bookmarkStart w:id="106" w:name="_Toc19649"/>
      <w:bookmarkStart w:id="107" w:name="_Toc16217"/>
      <w:bookmarkStart w:id="108" w:name="_Toc31064"/>
      <w:bookmarkStart w:id="109" w:name="_Toc3334"/>
      <w:bookmarkStart w:id="110" w:name="_Toc30886"/>
      <w:r>
        <w:rPr>
          <w:rFonts w:hint="eastAsia" w:asciiTheme="minorEastAsia" w:hAnsiTheme="minorEastAsia" w:eastAsiaTheme="minorEastAsia" w:cstheme="minorEastAsia"/>
          <w:sz w:val="28"/>
          <w:szCs w:val="36"/>
        </w:rPr>
        <w:t>七、合同签订</w:t>
      </w:r>
      <w:bookmarkEnd w:id="104"/>
      <w:bookmarkEnd w:id="105"/>
      <w:bookmarkEnd w:id="106"/>
      <w:bookmarkEnd w:id="107"/>
      <w:bookmarkEnd w:id="108"/>
      <w:bookmarkEnd w:id="109"/>
      <w:bookmarkEnd w:id="110"/>
    </w:p>
    <w:p w14:paraId="2ADE9DFA">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29.签订合同</w:t>
      </w:r>
    </w:p>
    <w:p w14:paraId="395F383E">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29.1采购人应自中标通知书发出之日起30日内，按中标通知书指定的时间、地点与中标人签订政府采购合同。所签订的合同不得对招标文件和投标文件作实质性修改。</w:t>
      </w:r>
    </w:p>
    <w:p w14:paraId="14FD73C0">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29.2招标文件、中标人的投标文件均为签订合同的依据。</w:t>
      </w:r>
    </w:p>
    <w:p w14:paraId="5A4E3C54">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29.3联合体中标的，联合体各方应当共同与采购人签订合同，就中标项目向采购人承担连带责任。</w:t>
      </w:r>
    </w:p>
    <w:p w14:paraId="066D4979">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29.4中标合同将在招标公告指定媒体上公告，但合同中涉及国家秘密、商业秘密的内容除外。</w:t>
      </w:r>
    </w:p>
    <w:p w14:paraId="29A84A1A">
      <w:pPr>
        <w:spacing w:line="360" w:lineRule="auto"/>
        <w:ind w:right="-4" w:firstLine="480" w:firstLineChars="200"/>
        <w:rPr>
          <w:rFonts w:hint="eastAsia"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sz w:val="24"/>
          <w:szCs w:val="32"/>
        </w:rPr>
        <w:t>29.5中标人应当按照合同约定依法履行合同</w:t>
      </w:r>
      <w:r>
        <w:rPr>
          <w:rFonts w:hint="eastAsia" w:asciiTheme="minorEastAsia" w:hAnsiTheme="minorEastAsia" w:eastAsiaTheme="minorEastAsia" w:cstheme="minorEastAsia"/>
          <w:bCs/>
          <w:color w:val="000000" w:themeColor="text1"/>
          <w:sz w:val="24"/>
          <w14:textFill>
            <w14:solidFill>
              <w14:schemeClr w14:val="tx1"/>
            </w14:solidFill>
          </w14:textFill>
        </w:rPr>
        <w:t>义务。政府采购合同的履行、违约责任和解决争议的方法等适用《中华人民共和国民法典》。</w:t>
      </w:r>
    </w:p>
    <w:p w14:paraId="382F8231">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30.履约担保</w:t>
      </w:r>
    </w:p>
    <w:p w14:paraId="11A254DD">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30.1招标文件要求中标人向采购人提交履约担保的，中标人应按照【投标须知前附表】的规定提交，投标人可以保函、电子增信替代履约担保。联合体中标的，履约担保由联合体各方或联合体中牵头人的名义提交。</w:t>
      </w:r>
    </w:p>
    <w:p w14:paraId="1B9E6B91">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30.2中标人没有按照上</w:t>
      </w:r>
      <w:r>
        <w:rPr>
          <w:rFonts w:hint="eastAsia" w:asciiTheme="minorEastAsia" w:hAnsiTheme="minorEastAsia" w:eastAsiaTheme="minorEastAsia" w:cstheme="minorEastAsia"/>
          <w:sz w:val="24"/>
          <w:szCs w:val="32"/>
          <w:lang w:val="zh-CN"/>
        </w:rPr>
        <w:t>款</w:t>
      </w:r>
      <w:r>
        <w:rPr>
          <w:rFonts w:hint="eastAsia" w:asciiTheme="minorEastAsia" w:hAnsiTheme="minorEastAsia" w:eastAsiaTheme="minorEastAsia" w:cstheme="minorEastAsia"/>
          <w:sz w:val="24"/>
          <w:szCs w:val="32"/>
        </w:rPr>
        <w:t>规定提交履约担保的，视为放弃中标，其投标保证金不予退还。</w:t>
      </w:r>
    </w:p>
    <w:p w14:paraId="279165E1">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31.政府采购合同履行中数量的变更</w:t>
      </w:r>
    </w:p>
    <w:p w14:paraId="0FFE382A">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31.1政府采购合同履行中，采购人需追加与合同标的相同的货物服务的，在不改变合同其他条款的前提下，可以与中标人协商签订补充合同，但补充合同的采购金额不得超过原合同采购金额的百分之十。</w:t>
      </w:r>
    </w:p>
    <w:p w14:paraId="26BD6B6A">
      <w:pPr>
        <w:adjustRightInd w:val="0"/>
        <w:snapToGrid w:val="0"/>
        <w:rPr>
          <w:rFonts w:hint="eastAsia" w:asciiTheme="minorEastAsia" w:hAnsiTheme="minorEastAsia" w:eastAsiaTheme="minorEastAsia" w:cstheme="minorEastAsia"/>
          <w:color w:val="000000" w:themeColor="text1"/>
          <w:sz w:val="13"/>
          <w:szCs w:val="13"/>
          <w14:textFill>
            <w14:solidFill>
              <w14:schemeClr w14:val="tx1"/>
            </w14:solidFill>
          </w14:textFill>
        </w:rPr>
      </w:pPr>
    </w:p>
    <w:p w14:paraId="4BCE9846">
      <w:pPr>
        <w:pStyle w:val="4"/>
        <w:spacing w:line="240" w:lineRule="auto"/>
        <w:ind w:right="-4" w:firstLine="191" w:firstLineChars="68"/>
        <w:jc w:val="center"/>
        <w:rPr>
          <w:rFonts w:hint="eastAsia" w:asciiTheme="minorEastAsia" w:hAnsiTheme="minorEastAsia" w:eastAsiaTheme="minorEastAsia" w:cstheme="minorEastAsia"/>
          <w:sz w:val="28"/>
          <w:szCs w:val="36"/>
        </w:rPr>
      </w:pPr>
      <w:bookmarkStart w:id="111" w:name="_Toc28825"/>
      <w:bookmarkStart w:id="112" w:name="_Toc27798"/>
      <w:bookmarkStart w:id="113" w:name="_Toc24657"/>
      <w:bookmarkStart w:id="114" w:name="_Toc6235"/>
      <w:bookmarkStart w:id="115" w:name="_Toc27511"/>
      <w:bookmarkStart w:id="116" w:name="_Toc21932"/>
      <w:r>
        <w:rPr>
          <w:rFonts w:hint="eastAsia" w:asciiTheme="minorEastAsia" w:hAnsiTheme="minorEastAsia" w:eastAsiaTheme="minorEastAsia" w:cstheme="minorEastAsia"/>
          <w:sz w:val="28"/>
          <w:szCs w:val="36"/>
        </w:rPr>
        <w:t>八、</w:t>
      </w:r>
      <w:bookmarkEnd w:id="111"/>
      <w:bookmarkEnd w:id="112"/>
      <w:bookmarkEnd w:id="113"/>
      <w:bookmarkEnd w:id="114"/>
      <w:bookmarkEnd w:id="115"/>
      <w:r>
        <w:rPr>
          <w:rFonts w:hint="eastAsia" w:asciiTheme="minorEastAsia" w:hAnsiTheme="minorEastAsia" w:eastAsiaTheme="minorEastAsia" w:cstheme="minorEastAsia"/>
          <w:sz w:val="28"/>
          <w:szCs w:val="36"/>
        </w:rPr>
        <w:t>政府采购政策</w:t>
      </w:r>
      <w:bookmarkEnd w:id="116"/>
    </w:p>
    <w:p w14:paraId="4FB49C4E">
      <w:pPr>
        <w:spacing w:line="360" w:lineRule="auto"/>
        <w:ind w:right="-4" w:firstLine="241" w:firstLineChars="100"/>
        <w:rPr>
          <w:rFonts w:hint="eastAsia" w:asciiTheme="minorEastAsia" w:hAnsiTheme="minorEastAsia" w:eastAsiaTheme="minorEastAsia" w:cstheme="minorEastAsia"/>
          <w:b/>
          <w:bCs/>
          <w:sz w:val="24"/>
          <w:szCs w:val="32"/>
        </w:rPr>
      </w:pPr>
      <w:bookmarkStart w:id="117" w:name="_Toc62225465"/>
      <w:bookmarkStart w:id="118" w:name="_Toc107997880"/>
      <w:bookmarkStart w:id="119" w:name="_Toc107998007"/>
      <w:r>
        <w:rPr>
          <w:rFonts w:hint="eastAsia" w:asciiTheme="minorEastAsia" w:hAnsiTheme="minorEastAsia" w:eastAsiaTheme="minorEastAsia" w:cstheme="minorEastAsia"/>
          <w:b/>
          <w:bCs/>
          <w:sz w:val="24"/>
          <w:szCs w:val="32"/>
        </w:rPr>
        <w:t>32.</w:t>
      </w:r>
      <w:bookmarkEnd w:id="117"/>
      <w:r>
        <w:rPr>
          <w:rFonts w:hint="eastAsia" w:asciiTheme="minorEastAsia" w:hAnsiTheme="minorEastAsia" w:eastAsiaTheme="minorEastAsia" w:cstheme="minorEastAsia"/>
          <w:b/>
          <w:bCs/>
          <w:sz w:val="24"/>
          <w:szCs w:val="32"/>
        </w:rPr>
        <w:t>预留采购份额</w:t>
      </w:r>
      <w:bookmarkEnd w:id="118"/>
      <w:bookmarkEnd w:id="119"/>
    </w:p>
    <w:p w14:paraId="5EDD453C">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color w:val="000000" w:themeColor="text1"/>
          <w:sz w:val="24"/>
          <w14:textFill>
            <w14:solidFill>
              <w14:schemeClr w14:val="tx1"/>
            </w14:solidFill>
          </w14:textFill>
        </w:rPr>
        <w:t>32.1</w:t>
      </w:r>
      <w:r>
        <w:rPr>
          <w:rFonts w:hint="eastAsia" w:asciiTheme="minorEastAsia" w:hAnsiTheme="minorEastAsia" w:eastAsiaTheme="minorEastAsia" w:cstheme="minorEastAsia"/>
          <w:sz w:val="24"/>
          <w:szCs w:val="32"/>
        </w:rPr>
        <w:t>执行中小企业预留采购份额政策的规定：</w:t>
      </w:r>
    </w:p>
    <w:p w14:paraId="69B5F406">
      <w:pPr>
        <w:spacing w:line="360" w:lineRule="auto"/>
        <w:ind w:right="-4" w:firstLine="480" w:firstLineChars="200"/>
        <w:rPr>
          <w:rFonts w:hint="eastAsia" w:asciiTheme="minorEastAsia" w:hAnsiTheme="minorEastAsia" w:eastAsiaTheme="minorEastAsia" w:cstheme="minorEastAsia"/>
          <w:sz w:val="24"/>
          <w:szCs w:val="32"/>
          <w:lang w:val="zh-CN"/>
        </w:rPr>
      </w:pPr>
      <w:r>
        <w:rPr>
          <w:rFonts w:hint="eastAsia" w:asciiTheme="minorEastAsia" w:hAnsiTheme="minorEastAsia" w:eastAsiaTheme="minorEastAsia" w:cstheme="minorEastAsia"/>
          <w:sz w:val="24"/>
          <w:szCs w:val="32"/>
          <w:lang w:val="zh-CN"/>
        </w:rPr>
        <w:t>（1）预留份额的采购项目或者采购包，应明确该项目或相关采购包专门面向中小企业采购，以及相关标的及预算金额。</w:t>
      </w:r>
    </w:p>
    <w:p w14:paraId="045F733C">
      <w:pPr>
        <w:spacing w:line="360" w:lineRule="auto"/>
        <w:ind w:right="-4" w:firstLine="480" w:firstLineChars="200"/>
        <w:rPr>
          <w:rFonts w:hint="eastAsia" w:asciiTheme="minorEastAsia" w:hAnsiTheme="minorEastAsia" w:eastAsiaTheme="minorEastAsia" w:cstheme="minorEastAsia"/>
          <w:sz w:val="24"/>
          <w:szCs w:val="32"/>
          <w:lang w:val="zh-CN"/>
        </w:rPr>
      </w:pPr>
      <w:r>
        <w:rPr>
          <w:rFonts w:hint="eastAsia" w:asciiTheme="minorEastAsia" w:hAnsiTheme="minorEastAsia" w:eastAsiaTheme="minorEastAsia" w:cstheme="minorEastAsia"/>
          <w:sz w:val="24"/>
          <w:szCs w:val="32"/>
          <w:lang w:val="zh-CN"/>
        </w:rPr>
        <w:t>（2）要求以联合体形式参加或者合同分包的，</w:t>
      </w:r>
      <w:r>
        <w:rPr>
          <w:rFonts w:hint="eastAsia" w:asciiTheme="minorEastAsia" w:hAnsiTheme="minorEastAsia" w:eastAsiaTheme="minorEastAsia" w:cstheme="minorEastAsia"/>
          <w:sz w:val="24"/>
          <w:szCs w:val="32"/>
        </w:rPr>
        <w:t>应</w:t>
      </w:r>
      <w:r>
        <w:rPr>
          <w:rFonts w:hint="eastAsia" w:asciiTheme="minorEastAsia" w:hAnsiTheme="minorEastAsia" w:eastAsiaTheme="minorEastAsia" w:cstheme="minorEastAsia"/>
          <w:sz w:val="24"/>
          <w:szCs w:val="32"/>
          <w:lang w:val="zh-CN"/>
        </w:rPr>
        <w:t>明确联合协议或者分包意向协议中中小企业合同金额应当达到的比例，并作为</w:t>
      </w:r>
      <w:r>
        <w:rPr>
          <w:rFonts w:hint="eastAsia" w:asciiTheme="minorEastAsia" w:hAnsiTheme="minorEastAsia" w:eastAsiaTheme="minorEastAsia" w:cstheme="minorEastAsia"/>
          <w:sz w:val="24"/>
          <w:szCs w:val="32"/>
        </w:rPr>
        <w:t>投标人</w:t>
      </w:r>
      <w:r>
        <w:rPr>
          <w:rFonts w:hint="eastAsia" w:asciiTheme="minorEastAsia" w:hAnsiTheme="minorEastAsia" w:eastAsiaTheme="minorEastAsia" w:cstheme="minorEastAsia"/>
          <w:sz w:val="24"/>
          <w:szCs w:val="32"/>
          <w:lang w:val="zh-CN"/>
        </w:rPr>
        <w:t>资格条件。</w:t>
      </w:r>
    </w:p>
    <w:p w14:paraId="5CD46B3C">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（3）组成联合体或者接受分包合同的中小企业与联合体内其他企业（成员）、分包企业（投标人）之间不得存在直接控股、管理关系。</w:t>
      </w:r>
    </w:p>
    <w:p w14:paraId="5C22BD9A">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33.强制采购</w:t>
      </w:r>
    </w:p>
    <w:p w14:paraId="3BD0B0DC">
      <w:pPr>
        <w:spacing w:line="360" w:lineRule="auto"/>
        <w:ind w:right="-4" w:firstLine="480" w:firstLineChars="200"/>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33.1纳入财政部</w:t>
      </w:r>
      <w:r>
        <w:rPr>
          <w:rFonts w:hint="eastAsia" w:asciiTheme="minorEastAsia" w:hAnsiTheme="minorEastAsia" w:eastAsiaTheme="minorEastAsia" w:cstheme="minorEastAsia"/>
          <w:sz w:val="24"/>
          <w:szCs w:val="32"/>
        </w:rPr>
        <w:t>会同国务院有关部门发布的节能产品政府采购品目清单，实施政府强制采购的（品目清单标注</w:t>
      </w:r>
      <w:r>
        <w:rPr>
          <w:rFonts w:hint="eastAsia" w:asciiTheme="minorEastAsia" w:hAnsiTheme="minorEastAsia" w:eastAsiaTheme="minorEastAsia" w:cstheme="minorEastAsia"/>
          <w:sz w:val="24"/>
          <w:szCs w:val="32"/>
        </w:rPr>
        <w:sym w:font="Wingdings" w:char="F0AB"/>
      </w:r>
      <w:r>
        <w:rPr>
          <w:rFonts w:hint="eastAsia" w:asciiTheme="minorEastAsia" w:hAnsiTheme="minorEastAsia" w:eastAsiaTheme="minorEastAsia" w:cstheme="minorEastAsia"/>
          <w:sz w:val="24"/>
          <w:szCs w:val="32"/>
        </w:rPr>
        <w:t>符号产品），投标人投标产品应当取得国家确定的认证机构出具的、处于有效期之内的节能产品认</w:t>
      </w:r>
      <w:r>
        <w:rPr>
          <w:rFonts w:hint="eastAsia" w:asciiTheme="minorEastAsia" w:hAnsiTheme="minorEastAsia" w:eastAsiaTheme="minorEastAsia" w:cstheme="minorEastAsia"/>
          <w:color w:val="000000" w:themeColor="text1"/>
          <w:kern w:val="0"/>
          <w:sz w:val="24"/>
          <w14:textFill>
            <w14:solidFill>
              <w14:schemeClr w14:val="tx1"/>
            </w14:solidFill>
          </w14:textFill>
        </w:rPr>
        <w:t>证证书，否则其</w:t>
      </w:r>
      <w:r>
        <w:rPr>
          <w:rFonts w:hint="eastAsia" w:asciiTheme="minorEastAsia" w:hAnsiTheme="minorEastAsia" w:eastAsiaTheme="minorEastAsia" w:cstheme="minorEastAsia"/>
          <w:b/>
          <w:bCs/>
          <w:color w:val="000000" w:themeColor="text1"/>
          <w:kern w:val="0"/>
          <w:sz w:val="24"/>
          <w14:textFill>
            <w14:solidFill>
              <w14:schemeClr w14:val="tx1"/>
            </w14:solidFill>
          </w14:textFill>
        </w:rPr>
        <w:t>投标无效</w:t>
      </w:r>
      <w:r>
        <w:rPr>
          <w:rFonts w:hint="eastAsia" w:asciiTheme="minorEastAsia" w:hAnsiTheme="minorEastAsia" w:eastAsiaTheme="minorEastAsia" w:cstheme="minorEastAsia"/>
          <w:color w:val="000000" w:themeColor="text1"/>
          <w:kern w:val="0"/>
          <w:sz w:val="24"/>
          <w14:textFill>
            <w14:solidFill>
              <w14:schemeClr w14:val="tx1"/>
            </w14:solidFill>
          </w14:textFill>
        </w:rPr>
        <w:t>。</w:t>
      </w:r>
    </w:p>
    <w:p w14:paraId="501DC1AF">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34.优先采购</w:t>
      </w:r>
    </w:p>
    <w:p w14:paraId="209C47A5">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34.1</w:t>
      </w:r>
      <w:r>
        <w:rPr>
          <w:rFonts w:hint="eastAsia" w:asciiTheme="minorEastAsia" w:hAnsiTheme="minorEastAsia" w:eastAsiaTheme="minorEastAsia" w:cstheme="minorEastAsia"/>
          <w:sz w:val="24"/>
        </w:rPr>
        <w:t>纳入财政部会同国务院有关部门发布的节能产品</w:t>
      </w:r>
      <w:r>
        <w:rPr>
          <w:rFonts w:hint="eastAsia" w:asciiTheme="minorEastAsia" w:hAnsiTheme="minorEastAsia" w:eastAsiaTheme="minorEastAsia" w:cstheme="minorEastAsia"/>
          <w:kern w:val="0"/>
          <w:sz w:val="24"/>
          <w:lang w:val="zh-CN"/>
        </w:rPr>
        <w:t>（未标注</w:t>
      </w:r>
      <w:r>
        <w:rPr>
          <w:rFonts w:hint="eastAsia" w:asciiTheme="minorEastAsia" w:hAnsiTheme="minorEastAsia" w:eastAsiaTheme="minorEastAsia" w:cstheme="minorEastAsia"/>
          <w:kern w:val="0"/>
          <w:sz w:val="24"/>
          <w:lang w:val="zh-CN"/>
        </w:rPr>
        <w:sym w:font="Wingdings" w:char="F0AB"/>
      </w:r>
      <w:r>
        <w:rPr>
          <w:rFonts w:hint="eastAsia" w:asciiTheme="minorEastAsia" w:hAnsiTheme="minorEastAsia" w:eastAsiaTheme="minorEastAsia" w:cstheme="minorEastAsia"/>
          <w:kern w:val="0"/>
          <w:sz w:val="24"/>
          <w:lang w:val="zh-CN"/>
        </w:rPr>
        <w:t>符号产品）</w:t>
      </w:r>
      <w:r>
        <w:rPr>
          <w:rFonts w:hint="eastAsia" w:asciiTheme="minorEastAsia" w:hAnsiTheme="minorEastAsia" w:eastAsiaTheme="minorEastAsia" w:cstheme="minorEastAsia"/>
          <w:sz w:val="24"/>
        </w:rPr>
        <w:t>、环境标志产品政府采购品目清单，实施政府优先采购的，评审时按招标文件第四章第一节有关规定对该部分产品给予一定比例的价格折扣或者加分；</w:t>
      </w:r>
    </w:p>
    <w:p w14:paraId="26753C17">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35.价格评审优惠</w:t>
      </w:r>
    </w:p>
    <w:p w14:paraId="7A8F0C34">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35.1在政府采购活动中，供应商提供的货物或服务符合下列相应情形的，</w:t>
      </w:r>
      <w:r>
        <w:rPr>
          <w:rFonts w:hint="eastAsia" w:asciiTheme="minorEastAsia" w:hAnsiTheme="minorEastAsia" w:eastAsiaTheme="minorEastAsia" w:cstheme="minorEastAsia"/>
          <w:sz w:val="24"/>
          <w:szCs w:val="32"/>
        </w:rPr>
        <w:t>给予一定比例的价格折扣，用扣除后的价格参与评审</w:t>
      </w:r>
      <w:r>
        <w:rPr>
          <w:rFonts w:hint="eastAsia" w:asciiTheme="minorEastAsia" w:hAnsiTheme="minorEastAsia" w:eastAsiaTheme="minorEastAsia" w:cstheme="minorEastAsia"/>
          <w:color w:val="000000" w:themeColor="text1"/>
          <w:sz w:val="24"/>
          <w14:textFill>
            <w14:solidFill>
              <w14:schemeClr w14:val="tx1"/>
            </w14:solidFill>
          </w14:textFill>
        </w:rPr>
        <w:t>：</w:t>
      </w:r>
    </w:p>
    <w:p w14:paraId="5CD41C87">
      <w:pPr>
        <w:numPr>
          <w:ilvl w:val="0"/>
          <w:numId w:val="28"/>
        </w:num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在货物采购项目中，货物由小微企业制造，即货物由</w:t>
      </w:r>
      <w:r>
        <w:rPr>
          <w:rFonts w:hint="eastAsia" w:asciiTheme="minorEastAsia" w:hAnsiTheme="minorEastAsia" w:eastAsiaTheme="minorEastAsia" w:cstheme="minorEastAsia"/>
          <w:kern w:val="0"/>
          <w:sz w:val="24"/>
        </w:rPr>
        <w:t>小微</w:t>
      </w:r>
      <w:r>
        <w:rPr>
          <w:rFonts w:hint="eastAsia" w:asciiTheme="minorEastAsia" w:hAnsiTheme="minorEastAsia" w:eastAsiaTheme="minorEastAsia" w:cstheme="minorEastAsia"/>
          <w:sz w:val="24"/>
          <w:szCs w:val="32"/>
        </w:rPr>
        <w:t>企业生产且使用该</w:t>
      </w:r>
      <w:r>
        <w:rPr>
          <w:rFonts w:hint="eastAsia" w:asciiTheme="minorEastAsia" w:hAnsiTheme="minorEastAsia" w:eastAsiaTheme="minorEastAsia" w:cstheme="minorEastAsia"/>
          <w:kern w:val="0"/>
          <w:sz w:val="24"/>
        </w:rPr>
        <w:t>小微</w:t>
      </w:r>
      <w:r>
        <w:rPr>
          <w:rFonts w:hint="eastAsia" w:asciiTheme="minorEastAsia" w:hAnsiTheme="minorEastAsia" w:eastAsiaTheme="minorEastAsia" w:cstheme="minorEastAsia"/>
          <w:sz w:val="24"/>
          <w:szCs w:val="32"/>
        </w:rPr>
        <w:t>企业商号或者注册商标；</w:t>
      </w:r>
    </w:p>
    <w:p w14:paraId="505747C6">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（2）在服务采购项目中，服务由</w:t>
      </w:r>
      <w:r>
        <w:rPr>
          <w:rFonts w:hint="eastAsia" w:asciiTheme="minorEastAsia" w:hAnsiTheme="minorEastAsia" w:eastAsiaTheme="minorEastAsia" w:cstheme="minorEastAsia"/>
          <w:kern w:val="0"/>
          <w:sz w:val="24"/>
        </w:rPr>
        <w:t>小微</w:t>
      </w:r>
      <w:r>
        <w:rPr>
          <w:rFonts w:hint="eastAsia" w:asciiTheme="minorEastAsia" w:hAnsiTheme="minorEastAsia" w:eastAsiaTheme="minorEastAsia" w:cstheme="minorEastAsia"/>
          <w:sz w:val="24"/>
          <w:szCs w:val="32"/>
        </w:rPr>
        <w:t>企业承接，即提供服务的人员为</w:t>
      </w:r>
      <w:r>
        <w:rPr>
          <w:rFonts w:hint="eastAsia" w:asciiTheme="minorEastAsia" w:hAnsiTheme="minorEastAsia" w:eastAsiaTheme="minorEastAsia" w:cstheme="minorEastAsia"/>
          <w:kern w:val="0"/>
          <w:sz w:val="24"/>
        </w:rPr>
        <w:t>小微</w:t>
      </w:r>
      <w:r>
        <w:rPr>
          <w:rFonts w:hint="eastAsia" w:asciiTheme="minorEastAsia" w:hAnsiTheme="minorEastAsia" w:eastAsiaTheme="minorEastAsia" w:cstheme="minorEastAsia"/>
          <w:sz w:val="24"/>
          <w:szCs w:val="32"/>
        </w:rPr>
        <w:t>企业依照《中华人民共和国劳动合同法》订立劳动合同的从业人员。</w:t>
      </w:r>
    </w:p>
    <w:p w14:paraId="3F6963E0">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35.2价格折扣比例</w:t>
      </w:r>
    </w:p>
    <w:p w14:paraId="49296643">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对于经主管预算单位统筹后未预留份额专门面向中小企业采购的采购项目，以及预留份额项目中的非预留部分采购包，符合小微企业生产的货物或者提供的服务情形的，给予一定比例的价格折扣，用扣除后的价格参与评审。</w:t>
      </w:r>
    </w:p>
    <w:p w14:paraId="5444E2AB">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接受大中型企业与小微企业组成联合体或者允许大中型企业向一家或者多家小微企业分包的采购项目，对于联合协议或者分包意向协议约定小微企业的合同份额占到合同总金额30%以上的，给予一定比例的价格折扣，用扣除后的价格参与评审。以联合体形式参加政府采购活动，联合体各方均为中小企业的，联合体视同中小企业。其中，联合体各方均为小微企业的，联合体视同小微企业；</w:t>
      </w:r>
    </w:p>
    <w:p w14:paraId="71B89B27">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35.3符合中小企业划分标准的个体工商户视同中小企业，享受评审中价格扣除等促进中小企业发展的政府采购政策。</w:t>
      </w:r>
    </w:p>
    <w:p w14:paraId="5225099F">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35.4监狱企业、残疾人福利性单位视同小型、微型企业，享受评审中价格扣除等促进中小企业发展的政府采购政策。</w:t>
      </w:r>
    </w:p>
    <w:p w14:paraId="71EF0CAC">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35.5与大企业的负责人为同一人，或者与大企业存在直接控股、管理关系的中小企业，不享受评审中价格扣除等促进中小企业发展的政府采购政策。</w:t>
      </w:r>
    </w:p>
    <w:p w14:paraId="7AC6229C">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35.6本章第1.2款规定采购项目或者采购包属于“预留采购份额”的，预留部分不再享受本款“价格评审优惠”的小微企业扶持政策。</w:t>
      </w:r>
    </w:p>
    <w:p w14:paraId="1E2AABE4">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36.投标人应提供的政府采购政策证明资料</w:t>
      </w:r>
    </w:p>
    <w:p w14:paraId="66110EFC">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36.1符合本章第33条、第34条、第35条规定的，投标人在投标文件中应提供相关证明资料。</w:t>
      </w:r>
    </w:p>
    <w:p w14:paraId="3778CC7D">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（1）节能产品、环境标志产品：提供国家确定的认证机构出具的、处于有效期之内的节能产品、环境标志产品认证证书（复印件）。</w:t>
      </w:r>
    </w:p>
    <w:p w14:paraId="3049A350">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（2）中小企业：按《关于印发＜政府采购促进中小企业发展办法＞的通知》（财库〔2020〕46号）和《关于印发中小企业划型标准规定的通知》（工信部联企业〔2011〕300号）文件规定提供中小企业声明函。</w:t>
      </w:r>
    </w:p>
    <w:p w14:paraId="140B0DFB">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（3）监狱企业：按《关于政府采购支持监狱企业发展有关问题的通知》（财库〔2014〕68号）文件规定提供证明文件。</w:t>
      </w:r>
    </w:p>
    <w:p w14:paraId="07240877">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（4）残疾人福利性单位：按《关于促进残疾人就业政府采购政策的通知》（财库〔2017〕141号）文件规定提供《残疾人福利性单位声明函》。</w:t>
      </w:r>
    </w:p>
    <w:p w14:paraId="0C656C24">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37.政府采购政策交叉与叠加</w:t>
      </w:r>
    </w:p>
    <w:p w14:paraId="29F24951">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37.1投标产品取得两个及以上优先采购产品认证的，评审时只有其中一项产品能享受优先采购优惠（投标人自行选择，并在投标文件中填报相关信息及数据）</w:t>
      </w:r>
    </w:p>
    <w:p w14:paraId="4EF370A8">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37.2供应商同时符合小型、微型企业及监狱企业、残疾人福利性单位要求的，评审时只有一种类型享受价格评审优惠政策；</w:t>
      </w:r>
    </w:p>
    <w:p w14:paraId="6C35BAC4">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37.3小型和微型企业的价格评审优惠可以与同时属于“节能产品”和“环境标志产品”中的一项优先采购优惠累加计算。</w:t>
      </w:r>
    </w:p>
    <w:p w14:paraId="644AD3F5">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37.4在货物采购项目中，供应商提供的货物既有中小企业制造货物，也有大型企业制造货物的，不享受政府采购中小企业扶持政策。</w:t>
      </w:r>
    </w:p>
    <w:p w14:paraId="25B2476E">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38.采购进口产品</w:t>
      </w:r>
    </w:p>
    <w:p w14:paraId="436B103E">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38.1进口产品是指符合《政府采购进口产品管理办法》（财库</w:t>
      </w:r>
      <w:r>
        <w:rPr>
          <w:rFonts w:hint="eastAsia" w:asciiTheme="minorEastAsia" w:hAnsiTheme="minorEastAsia" w:eastAsiaTheme="minorEastAsia" w:cstheme="minorEastAsia"/>
          <w:sz w:val="24"/>
          <w:szCs w:val="32"/>
        </w:rPr>
        <w:t>〔2007〕119</w:t>
      </w:r>
      <w:r>
        <w:rPr>
          <w:rFonts w:hint="eastAsia" w:asciiTheme="minorEastAsia" w:hAnsiTheme="minorEastAsia" w:eastAsiaTheme="minorEastAsia" w:cstheme="minorEastAsia"/>
          <w:color w:val="000000" w:themeColor="text1"/>
          <w:sz w:val="24"/>
          <w14:textFill>
            <w14:solidFill>
              <w14:schemeClr w14:val="tx1"/>
            </w14:solidFill>
          </w14:textFill>
        </w:rPr>
        <w:t>号）和《关于政府采购进口产品管理有关问题的通知》（财办库</w:t>
      </w:r>
      <w:r>
        <w:rPr>
          <w:rFonts w:hint="eastAsia" w:asciiTheme="minorEastAsia" w:hAnsiTheme="minorEastAsia" w:eastAsiaTheme="minorEastAsia" w:cstheme="minorEastAsia"/>
          <w:sz w:val="24"/>
          <w:szCs w:val="32"/>
        </w:rPr>
        <w:t>〔2008〕248</w:t>
      </w:r>
      <w:r>
        <w:rPr>
          <w:rFonts w:hint="eastAsia" w:asciiTheme="minorEastAsia" w:hAnsiTheme="minorEastAsia" w:eastAsiaTheme="minorEastAsia" w:cstheme="minorEastAsia"/>
          <w:color w:val="000000" w:themeColor="text1"/>
          <w:sz w:val="24"/>
          <w14:textFill>
            <w14:solidFill>
              <w14:schemeClr w14:val="tx1"/>
            </w14:solidFill>
          </w14:textFill>
        </w:rPr>
        <w:t>号）文件规定的产品。除【投标须知前附表】另有规定外，采购项目拒绝进口产品参加投标。本款规定同意购买进口产品的，不限制满足招标文件要求的国内产品参与投标竞争。</w:t>
      </w:r>
    </w:p>
    <w:p w14:paraId="7D5AE6B9">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39.融资、担保</w:t>
      </w:r>
    </w:p>
    <w:p w14:paraId="23523CFF">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color w:val="000000" w:themeColor="text1"/>
          <w:sz w:val="24"/>
          <w14:textFill>
            <w14:solidFill>
              <w14:schemeClr w14:val="tx1"/>
            </w14:solidFill>
          </w14:textFill>
        </w:rPr>
        <w:t>39.1</w:t>
      </w:r>
      <w:r>
        <w:rPr>
          <w:rFonts w:hint="eastAsia" w:asciiTheme="minorEastAsia" w:hAnsiTheme="minorEastAsia" w:eastAsiaTheme="minorEastAsia" w:cstheme="minorEastAsia"/>
          <w:sz w:val="24"/>
          <w:szCs w:val="32"/>
        </w:rPr>
        <w:t>投标人有融资、担保需求的，可</w:t>
      </w:r>
      <w:r>
        <w:rPr>
          <w:rFonts w:hint="eastAsia" w:asciiTheme="minorEastAsia" w:hAnsiTheme="minorEastAsia" w:eastAsiaTheme="minorEastAsia" w:cstheme="minorEastAsia"/>
          <w:sz w:val="24"/>
          <w:szCs w:val="32"/>
          <w:lang w:eastAsia="zh-CN"/>
        </w:rPr>
        <w:t>登录</w:t>
      </w:r>
      <w:r>
        <w:rPr>
          <w:rFonts w:hint="eastAsia" w:asciiTheme="minorEastAsia" w:hAnsiTheme="minorEastAsia" w:eastAsiaTheme="minorEastAsia" w:cstheme="minorEastAsia"/>
          <w:sz w:val="24"/>
          <w:szCs w:val="32"/>
        </w:rPr>
        <w:t>中国湖南政府采购网查询相关银行、担保机构业务。</w:t>
      </w:r>
    </w:p>
    <w:p w14:paraId="24FACACB">
      <w:pPr>
        <w:adjustRightInd w:val="0"/>
        <w:snapToGrid w:val="0"/>
        <w:rPr>
          <w:rFonts w:hint="eastAsia" w:asciiTheme="minorEastAsia" w:hAnsiTheme="minorEastAsia" w:eastAsiaTheme="minorEastAsia" w:cstheme="minorEastAsia"/>
          <w:color w:val="000000" w:themeColor="text1"/>
          <w:sz w:val="13"/>
          <w:szCs w:val="13"/>
          <w14:textFill>
            <w14:solidFill>
              <w14:schemeClr w14:val="tx1"/>
            </w14:solidFill>
          </w14:textFill>
        </w:rPr>
      </w:pPr>
    </w:p>
    <w:p w14:paraId="4442A483">
      <w:pPr>
        <w:pStyle w:val="4"/>
        <w:spacing w:line="240" w:lineRule="auto"/>
        <w:ind w:right="-4" w:firstLine="191" w:firstLineChars="68"/>
        <w:jc w:val="center"/>
        <w:rPr>
          <w:rFonts w:hint="eastAsia" w:asciiTheme="minorEastAsia" w:hAnsiTheme="minorEastAsia" w:eastAsiaTheme="minorEastAsia" w:cstheme="minorEastAsia"/>
          <w:sz w:val="28"/>
          <w:szCs w:val="36"/>
        </w:rPr>
      </w:pPr>
      <w:bookmarkStart w:id="120" w:name="_Toc12206"/>
      <w:bookmarkStart w:id="121" w:name="_Toc31146"/>
      <w:r>
        <w:rPr>
          <w:rFonts w:hint="eastAsia" w:asciiTheme="minorEastAsia" w:hAnsiTheme="minorEastAsia" w:eastAsiaTheme="minorEastAsia" w:cstheme="minorEastAsia"/>
          <w:sz w:val="28"/>
          <w:szCs w:val="36"/>
        </w:rPr>
        <w:t>九、其他规定</w:t>
      </w:r>
      <w:bookmarkEnd w:id="120"/>
      <w:bookmarkEnd w:id="121"/>
    </w:p>
    <w:p w14:paraId="4BAE1C77">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40.招标不足三家处理</w:t>
      </w:r>
    </w:p>
    <w:p w14:paraId="7186EA21">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40.1公开招标数额标准以上的采购项目，投标截止后投标人不足3家或者通过资格审查或符合性审查的投标人不足3家的，除采购任务取消情形外，按照以下方式处理：</w:t>
      </w:r>
    </w:p>
    <w:p w14:paraId="5FD0D937">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color w:val="000000" w:themeColor="text1"/>
          <w:sz w:val="24"/>
          <w14:textFill>
            <w14:solidFill>
              <w14:schemeClr w14:val="tx1"/>
            </w14:solidFill>
          </w14:textFill>
        </w:rPr>
        <w:t>（1</w:t>
      </w:r>
      <w:r>
        <w:rPr>
          <w:rFonts w:hint="eastAsia" w:asciiTheme="minorEastAsia" w:hAnsiTheme="minorEastAsia" w:eastAsiaTheme="minorEastAsia" w:cstheme="minorEastAsia"/>
          <w:sz w:val="24"/>
          <w:szCs w:val="32"/>
        </w:rPr>
        <w:t>）招标文件存在不合理条款或者招标程序不符合规定的，采购人或者采购代理机构改正后依法重新招标；</w:t>
      </w:r>
    </w:p>
    <w:p w14:paraId="6A29FC1A">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（2）招标文件没有不合理条款、招标程序符合规定，需要采用其他采购方式采购的，采购人应当依法报财政部门批准。</w:t>
      </w:r>
    </w:p>
    <w:p w14:paraId="67B96B94">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40.2属上款第（2）项情形的，评标委员会应出具招标文件没有不合理条款的论证意见。</w:t>
      </w:r>
    </w:p>
    <w:p w14:paraId="4F60E974">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41.需要补充的其他内容</w:t>
      </w:r>
    </w:p>
    <w:p w14:paraId="53E8D511">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41.1合同价款支付</w:t>
      </w:r>
    </w:p>
    <w:p w14:paraId="2642C36C">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（1）招标文件规定支付合同预付款的，采购人应按</w:t>
      </w:r>
      <w:r>
        <w:rPr>
          <w:rFonts w:hint="eastAsia" w:asciiTheme="minorEastAsia" w:hAnsiTheme="minorEastAsia" w:eastAsiaTheme="minorEastAsia" w:cstheme="minorEastAsia"/>
          <w:sz w:val="24"/>
          <w:szCs w:val="32"/>
        </w:rPr>
        <w:t>【投标须知前附表】</w:t>
      </w:r>
      <w:r>
        <w:rPr>
          <w:rFonts w:hint="eastAsia" w:asciiTheme="minorEastAsia" w:hAnsiTheme="minorEastAsia" w:eastAsiaTheme="minorEastAsia" w:cstheme="minorEastAsia"/>
          <w:color w:val="000000" w:themeColor="text1"/>
          <w:sz w:val="24"/>
          <w14:textFill>
            <w14:solidFill>
              <w14:schemeClr w14:val="tx1"/>
            </w14:solidFill>
          </w14:textFill>
        </w:rPr>
        <w:t>规定的支付比例和支付条件向符合要求的中标投标人及时支付相应款项，并在政府采购合同中进行明确。</w:t>
      </w:r>
    </w:p>
    <w:p w14:paraId="6A4FBC55">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（2）招标文件规定需提交质量保证金的，采购人可以按</w:t>
      </w:r>
      <w:r>
        <w:rPr>
          <w:rFonts w:hint="eastAsia" w:asciiTheme="minorEastAsia" w:hAnsiTheme="minorEastAsia" w:eastAsiaTheme="minorEastAsia" w:cstheme="minorEastAsia"/>
          <w:sz w:val="24"/>
          <w:szCs w:val="32"/>
        </w:rPr>
        <w:t>【投标须知前附表】</w:t>
      </w:r>
      <w:r>
        <w:rPr>
          <w:rFonts w:hint="eastAsia" w:asciiTheme="minorEastAsia" w:hAnsiTheme="minorEastAsia" w:eastAsiaTheme="minorEastAsia" w:cstheme="minorEastAsia"/>
          <w:color w:val="000000" w:themeColor="text1"/>
          <w:sz w:val="24"/>
          <w14:textFill>
            <w14:solidFill>
              <w14:schemeClr w14:val="tx1"/>
            </w14:solidFill>
          </w14:textFill>
        </w:rPr>
        <w:t>规定要求中标投标人提交质量保证金，并在政府采购合同中进行明确。</w:t>
      </w:r>
    </w:p>
    <w:p w14:paraId="0FF8E844">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color w:val="000000" w:themeColor="text1"/>
          <w:sz w:val="24"/>
          <w14:textFill>
            <w14:solidFill>
              <w14:schemeClr w14:val="tx1"/>
            </w14:solidFill>
          </w14:textFill>
        </w:rPr>
        <w:t>（3）投标人可以保函、电子增信替代预付款担保、质量保证金。</w:t>
      </w:r>
    </w:p>
    <w:p w14:paraId="5AF334F2">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42.其他规定</w:t>
      </w:r>
    </w:p>
    <w:p w14:paraId="3F430341">
      <w:pPr>
        <w:spacing w:line="360" w:lineRule="auto"/>
        <w:ind w:right="-4" w:firstLine="480" w:firstLineChars="200"/>
        <w:rPr>
          <w:rFonts w:hint="eastAsia" w:asciiTheme="minorEastAsia" w:hAnsiTheme="minorEastAsia" w:eastAsiaTheme="minorEastAsia" w:cstheme="minorEastAsia"/>
          <w:color w:val="000000" w:themeColor="text1"/>
          <w:sz w:val="24"/>
          <w:szCs w:val="32"/>
          <w14:textFill>
            <w14:solidFill>
              <w14:schemeClr w14:val="tx1"/>
            </w14:solidFill>
          </w14:textFill>
        </w:rPr>
      </w:pPr>
      <w:r>
        <w:rPr>
          <w:rFonts w:hint="eastAsia" w:asciiTheme="minorEastAsia" w:hAnsiTheme="minorEastAsia" w:eastAsiaTheme="minorEastAsia" w:cstheme="minorEastAsia"/>
          <w:color w:val="000000" w:themeColor="text1"/>
          <w:sz w:val="24"/>
          <w:szCs w:val="32"/>
          <w14:textFill>
            <w14:solidFill>
              <w14:schemeClr w14:val="tx1"/>
            </w14:solidFill>
          </w14:textFill>
        </w:rPr>
        <w:t>42.1招标代理服务费按</w:t>
      </w:r>
      <w:r>
        <w:rPr>
          <w:rFonts w:hint="eastAsia" w:asciiTheme="minorEastAsia" w:hAnsiTheme="minorEastAsia" w:eastAsiaTheme="minorEastAsia" w:cstheme="minorEastAsia"/>
          <w:sz w:val="24"/>
          <w:szCs w:val="32"/>
        </w:rPr>
        <w:t>【投标须知前附表】</w:t>
      </w:r>
      <w:r>
        <w:rPr>
          <w:rFonts w:hint="eastAsia" w:asciiTheme="minorEastAsia" w:hAnsiTheme="minorEastAsia" w:eastAsiaTheme="minorEastAsia" w:cstheme="minorEastAsia"/>
          <w:color w:val="000000" w:themeColor="text1"/>
          <w:sz w:val="24"/>
          <w:szCs w:val="32"/>
          <w14:textFill>
            <w14:solidFill>
              <w14:schemeClr w14:val="tx1"/>
            </w14:solidFill>
          </w14:textFill>
        </w:rPr>
        <w:t>规定交纳。</w:t>
      </w:r>
    </w:p>
    <w:p w14:paraId="08E09834">
      <w:pPr>
        <w:spacing w:line="360" w:lineRule="auto"/>
        <w:ind w:right="-4" w:firstLine="480" w:firstLineChars="200"/>
        <w:rPr>
          <w:rFonts w:hint="eastAsia" w:asciiTheme="minorEastAsia" w:hAnsiTheme="minorEastAsia" w:eastAsiaTheme="minorEastAsia" w:cstheme="minorEastAsia"/>
          <w:bCs/>
          <w:color w:val="000000" w:themeColor="text1"/>
          <w:w w:val="90"/>
          <w:sz w:val="24"/>
          <w14:textFill>
            <w14:solidFill>
              <w14:schemeClr w14:val="tx1"/>
            </w14:solidFill>
          </w14:textFill>
        </w:rPr>
      </w:pPr>
      <w:r>
        <w:rPr>
          <w:rFonts w:hint="eastAsia" w:asciiTheme="minorEastAsia" w:hAnsiTheme="minorEastAsia" w:eastAsiaTheme="minorEastAsia" w:cstheme="minorEastAsia"/>
          <w:sz w:val="24"/>
          <w:szCs w:val="32"/>
        </w:rPr>
        <w:t>42.2招标文件需要补充的其他内容见【投标须知前附表】。</w:t>
      </w:r>
      <w:r>
        <w:rPr>
          <w:rFonts w:hint="eastAsia" w:asciiTheme="minorEastAsia" w:hAnsiTheme="minorEastAsia" w:eastAsiaTheme="minorEastAsia" w:cstheme="minorEastAsia"/>
          <w:color w:val="000000" w:themeColor="text1"/>
          <w:sz w:val="24"/>
          <w14:textFill>
            <w14:solidFill>
              <w14:schemeClr w14:val="tx1"/>
            </w14:solidFill>
          </w14:textFill>
        </w:rPr>
        <w:br w:type="page"/>
      </w:r>
    </w:p>
    <w:p w14:paraId="2B3BB039">
      <w:pPr>
        <w:pStyle w:val="3"/>
        <w:jc w:val="center"/>
        <w:rPr>
          <w:rFonts w:hint="eastAsia" w:asciiTheme="minorEastAsia" w:hAnsiTheme="minorEastAsia" w:eastAsiaTheme="minorEastAsia" w:cstheme="minorEastAsia"/>
          <w:b/>
          <w:bCs w:val="0"/>
          <w:sz w:val="36"/>
          <w:szCs w:val="22"/>
        </w:rPr>
      </w:pPr>
      <w:bookmarkStart w:id="122" w:name="_Toc29779"/>
      <w:bookmarkStart w:id="123" w:name="_Toc20775"/>
      <w:bookmarkStart w:id="124" w:name="_Toc21305"/>
      <w:bookmarkStart w:id="125" w:name="_Toc21845"/>
      <w:bookmarkStart w:id="126" w:name="_Toc13255"/>
      <w:r>
        <w:rPr>
          <w:rFonts w:hint="eastAsia" w:asciiTheme="minorEastAsia" w:hAnsiTheme="minorEastAsia" w:eastAsiaTheme="minorEastAsia" w:cstheme="minorEastAsia"/>
          <w:b/>
          <w:bCs w:val="0"/>
          <w:sz w:val="36"/>
          <w:szCs w:val="22"/>
        </w:rPr>
        <w:t>第三章 资格审查</w:t>
      </w:r>
      <w:bookmarkEnd w:id="122"/>
      <w:bookmarkEnd w:id="123"/>
      <w:bookmarkEnd w:id="124"/>
      <w:bookmarkEnd w:id="125"/>
      <w:bookmarkEnd w:id="126"/>
    </w:p>
    <w:p w14:paraId="2BE4506D">
      <w:pPr>
        <w:spacing w:line="360" w:lineRule="auto"/>
        <w:ind w:right="-4" w:firstLine="241" w:firstLineChars="100"/>
        <w:rPr>
          <w:rFonts w:hint="eastAsia" w:asciiTheme="minorEastAsia" w:hAnsiTheme="minorEastAsia" w:eastAsiaTheme="minorEastAsia" w:cstheme="minorEastAsia"/>
          <w:b/>
          <w:bCs/>
          <w:sz w:val="24"/>
          <w:szCs w:val="32"/>
        </w:rPr>
      </w:pPr>
      <w:bookmarkStart w:id="127" w:name="_Toc27082"/>
      <w:bookmarkStart w:id="128" w:name="_Toc15003"/>
      <w:bookmarkStart w:id="129" w:name="_Toc20120"/>
      <w:bookmarkStart w:id="130" w:name="_Toc24861"/>
      <w:bookmarkStart w:id="131" w:name="_Toc23392"/>
      <w:r>
        <w:rPr>
          <w:rFonts w:hint="eastAsia" w:asciiTheme="minorEastAsia" w:hAnsiTheme="minorEastAsia" w:eastAsiaTheme="minorEastAsia" w:cstheme="minorEastAsia"/>
          <w:b/>
          <w:bCs/>
          <w:sz w:val="24"/>
          <w:szCs w:val="32"/>
        </w:rPr>
        <w:t>1.资格审查主体</w:t>
      </w:r>
      <w:bookmarkEnd w:id="127"/>
      <w:bookmarkEnd w:id="128"/>
      <w:bookmarkEnd w:id="129"/>
      <w:bookmarkEnd w:id="130"/>
      <w:bookmarkEnd w:id="131"/>
    </w:p>
    <w:p w14:paraId="70EE37A4">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1.1资格审查主体：采购人及采购代理机构负责资格审查。</w:t>
      </w:r>
    </w:p>
    <w:p w14:paraId="7DD98ACE">
      <w:pPr>
        <w:spacing w:line="360" w:lineRule="auto"/>
        <w:ind w:right="-4" w:firstLine="241" w:firstLineChars="100"/>
        <w:rPr>
          <w:rFonts w:hint="eastAsia" w:asciiTheme="minorEastAsia" w:hAnsiTheme="minorEastAsia" w:eastAsiaTheme="minorEastAsia" w:cstheme="minorEastAsia"/>
          <w:b/>
          <w:bCs/>
          <w:sz w:val="24"/>
          <w:szCs w:val="32"/>
        </w:rPr>
      </w:pPr>
      <w:bookmarkStart w:id="132" w:name="_Toc22362"/>
      <w:bookmarkStart w:id="133" w:name="_Toc5052"/>
      <w:bookmarkStart w:id="134" w:name="_Toc27786"/>
      <w:bookmarkStart w:id="135" w:name="_Toc177"/>
      <w:bookmarkStart w:id="136" w:name="_Toc27473"/>
      <w:r>
        <w:rPr>
          <w:rFonts w:hint="eastAsia" w:asciiTheme="minorEastAsia" w:hAnsiTheme="minorEastAsia" w:eastAsiaTheme="minorEastAsia" w:cstheme="minorEastAsia"/>
          <w:b/>
          <w:bCs/>
          <w:sz w:val="24"/>
          <w:szCs w:val="32"/>
        </w:rPr>
        <w:t>2.资格审查</w:t>
      </w:r>
      <w:bookmarkEnd w:id="132"/>
      <w:bookmarkEnd w:id="133"/>
      <w:bookmarkEnd w:id="134"/>
      <w:bookmarkEnd w:id="135"/>
      <w:bookmarkEnd w:id="136"/>
      <w:r>
        <w:rPr>
          <w:rFonts w:hint="eastAsia" w:asciiTheme="minorEastAsia" w:hAnsiTheme="minorEastAsia" w:eastAsiaTheme="minorEastAsia" w:cstheme="minorEastAsia"/>
          <w:b/>
          <w:bCs/>
          <w:sz w:val="24"/>
          <w:szCs w:val="32"/>
        </w:rPr>
        <w:t>（未进行资格预审的）</w:t>
      </w:r>
    </w:p>
    <w:p w14:paraId="1DAF0756">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2.1资格审查依据法律法规和招标文件的规定，对投标文件中的资格证明文件等进行审查，以确定投标人是否符合招标文件规定的资格条件。</w:t>
      </w:r>
    </w:p>
    <w:p w14:paraId="5EB92384">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2.2采购人及采购代理机构按本章附表1所列审查项目及审查标准，对投标人资格进行审查。</w:t>
      </w:r>
    </w:p>
    <w:p w14:paraId="7F945E69">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sz w:val="24"/>
          <w:szCs w:val="32"/>
        </w:rPr>
        <w:t>2.3在资格审查时，投标人存在</w:t>
      </w:r>
      <w:r>
        <w:rPr>
          <w:rFonts w:hint="eastAsia" w:asciiTheme="minorEastAsia" w:hAnsiTheme="minorEastAsia" w:eastAsiaTheme="minorEastAsia" w:cstheme="minorEastAsia"/>
          <w:color w:val="000000" w:themeColor="text1"/>
          <w:sz w:val="24"/>
          <w14:textFill>
            <w14:solidFill>
              <w14:schemeClr w14:val="tx1"/>
            </w14:solidFill>
          </w14:textFill>
        </w:rPr>
        <w:t>下列情况之一的，资格审查不合格，其投标无效：</w:t>
      </w:r>
    </w:p>
    <w:p w14:paraId="79F6CBB7">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（1）不具备招标文件中规定的资格要求的，或提交的资格证明文件不符合招标文件要求的；</w:t>
      </w:r>
    </w:p>
    <w:p w14:paraId="0BF22924">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（2）联合体投标未提交联合体协议书，或未提交联合体各方资格证明文件的；</w:t>
      </w:r>
    </w:p>
    <w:p w14:paraId="6420EEB7">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（3）投标文件的资格证明文件未按照招标文件要求签署、盖章的；</w:t>
      </w:r>
    </w:p>
    <w:p w14:paraId="5E72DBDD">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（4）未按照招标文件的规定提交投标保证金的。</w:t>
      </w:r>
    </w:p>
    <w:p w14:paraId="77699103">
      <w:pPr>
        <w:tabs>
          <w:tab w:val="left" w:pos="474"/>
        </w:tabs>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（5）投标报价超过招标文件中规定的预算金额和最高限价（如有设定）的；</w:t>
      </w:r>
    </w:p>
    <w:p w14:paraId="27ED173A">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（6）</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法律法规</w:t>
      </w:r>
      <w:r>
        <w:rPr>
          <w:rFonts w:hint="eastAsia" w:asciiTheme="minorEastAsia" w:hAnsiTheme="minorEastAsia" w:eastAsiaTheme="minorEastAsia" w:cstheme="minorEastAsia"/>
          <w:color w:val="000000" w:themeColor="text1"/>
          <w:sz w:val="24"/>
          <w14:textFill>
            <w14:solidFill>
              <w14:schemeClr w14:val="tx1"/>
            </w14:solidFill>
          </w14:textFill>
        </w:rPr>
        <w:t>和招标文件规定的其他投标无效情形的。</w:t>
      </w:r>
    </w:p>
    <w:p w14:paraId="4DA0DEB7">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2.4信用记录。开标结束后资格审查时，采购人及采购代理机构将对投标人信用记录进行甄别。</w:t>
      </w:r>
    </w:p>
    <w:p w14:paraId="2F8CF9BC">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（1）信用信息查询的查询渠道：信用中国网（www.creditchina.gov.cn）、中国政府采购网（www.ccgp.gov.cn）；</w:t>
      </w:r>
    </w:p>
    <w:p w14:paraId="4E556050">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不良信用记录是指：投标人在“信用中国”网站被列入失信被执行人和重大税收违法案件当事人名单，或在“中国政府采购网”网站被列入政府采购严重违法失信行为记录名单。投标人有上述不良信用记录的，其投标无效，其中，列入政府采购严重违法失信行为记录名单的，按处罚结果执行。</w:t>
      </w:r>
    </w:p>
    <w:p w14:paraId="3C5CADB0">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（3）联合体形式投标的，联合体成员存在不良信用记录的，视同联合体存在不良信用记录。</w:t>
      </w:r>
    </w:p>
    <w:p w14:paraId="4A7FFD7F">
      <w:pPr>
        <w:spacing w:line="360" w:lineRule="auto"/>
        <w:ind w:right="-4"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4）信用信息查询记录和证据留存具体方式：采购人及采购代理机构经办人将查询网页截图、打印、签字，作为查询记录和证据，与其他采购文件一并保存。投标人不良信用记录以采购人及采购代理机构查询结果为准。采购人及采购代理机构查询之后，本章指定网站信息发生的任何变更均不再作为资格审查依据，投标人自行提供的与本章指定网站信息不一致的其他证明材料亦不作为资格审查依据。</w:t>
      </w:r>
    </w:p>
    <w:p w14:paraId="2B2CD2B2">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3.</w:t>
      </w:r>
      <w:bookmarkStart w:id="137" w:name="_Toc10764"/>
      <w:bookmarkStart w:id="138" w:name="_Toc30378"/>
      <w:bookmarkStart w:id="139" w:name="_Toc26213"/>
      <w:bookmarkStart w:id="140" w:name="_Toc31656"/>
      <w:bookmarkStart w:id="141" w:name="_Toc26904"/>
      <w:r>
        <w:rPr>
          <w:rFonts w:hint="eastAsia" w:asciiTheme="minorEastAsia" w:hAnsiTheme="minorEastAsia" w:eastAsiaTheme="minorEastAsia" w:cstheme="minorEastAsia"/>
          <w:b/>
          <w:bCs/>
          <w:sz w:val="24"/>
          <w:szCs w:val="32"/>
        </w:rPr>
        <w:t>资格审查结果</w:t>
      </w:r>
      <w:bookmarkEnd w:id="137"/>
      <w:bookmarkEnd w:id="138"/>
      <w:bookmarkEnd w:id="139"/>
      <w:bookmarkEnd w:id="140"/>
      <w:bookmarkEnd w:id="141"/>
    </w:p>
    <w:p w14:paraId="719BBD2B">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4.1未通过资格审查的投标人，采购人及采购代理机构应当告知其未通过的原因。</w:t>
      </w:r>
    </w:p>
    <w:p w14:paraId="7EB517E6">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4.2资格审查结束后，采购人及采购代理机构应将资格审查结果告知评标委员会。</w:t>
      </w:r>
    </w:p>
    <w:p w14:paraId="0462C75F">
      <w:pPr>
        <w:pStyle w:val="110"/>
        <w:spacing w:line="600" w:lineRule="auto"/>
        <w:ind w:firstLine="0" w:firstLineChars="0"/>
        <w:rPr>
          <w:rFonts w:hint="eastAsia" w:asciiTheme="minorEastAsia" w:hAnsiTheme="minorEastAsia" w:eastAsiaTheme="minorEastAsia" w:cstheme="minorEastAsia"/>
          <w:sz w:val="24"/>
          <w:szCs w:val="28"/>
        </w:rPr>
      </w:pPr>
    </w:p>
    <w:p w14:paraId="5C8741E1">
      <w:pPr>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附表1 资格审查表</w:t>
      </w:r>
    </w:p>
    <w:p w14:paraId="4BF741AF">
      <w:pPr>
        <w:adjustRightInd w:val="0"/>
        <w:snapToGrid w:val="0"/>
        <w:spacing w:line="288" w:lineRule="auto"/>
        <w:jc w:val="center"/>
        <w:rPr>
          <w:rFonts w:hint="eastAsia" w:asciiTheme="minorEastAsia" w:hAnsiTheme="minorEastAsia" w:eastAsiaTheme="minorEastAsia" w:cstheme="minorEastAsia"/>
          <w:b/>
          <w:color w:val="000000" w:themeColor="text1"/>
          <w:sz w:val="28"/>
          <w:szCs w:val="28"/>
          <w14:textFill>
            <w14:solidFill>
              <w14:schemeClr w14:val="tx1"/>
            </w14:solidFill>
          </w14:textFill>
        </w:rPr>
      </w:pPr>
      <w:r>
        <w:rPr>
          <w:rFonts w:hint="eastAsia" w:asciiTheme="minorEastAsia" w:hAnsiTheme="minorEastAsia" w:eastAsiaTheme="minorEastAsia" w:cstheme="minorEastAsia"/>
          <w:b/>
          <w:color w:val="000000" w:themeColor="text1"/>
          <w:sz w:val="28"/>
          <w:szCs w:val="28"/>
          <w14:textFill>
            <w14:solidFill>
              <w14:schemeClr w14:val="tx1"/>
            </w14:solidFill>
          </w14:textFill>
        </w:rPr>
        <w:t>资格审查表</w:t>
      </w:r>
    </w:p>
    <w:p w14:paraId="679FB475">
      <w:pPr>
        <w:adjustRightInd w:val="0"/>
        <w:snapToGrid w:val="0"/>
        <w:spacing w:line="30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项目名称：</w:t>
      </w:r>
      <w:r>
        <w:rPr>
          <w:rFonts w:hint="eastAsia" w:asciiTheme="minorEastAsia" w:hAnsiTheme="minorEastAsia" w:eastAsiaTheme="minorEastAsia" w:cstheme="minorEastAsia"/>
          <w:color w:val="000000" w:themeColor="text1"/>
          <w:sz w:val="24"/>
          <w:u w:val="single"/>
          <w:lang w:eastAsia="zh-CN"/>
          <w14:textFill>
            <w14:solidFill>
              <w14:schemeClr w14:val="tx1"/>
            </w14:solidFill>
          </w14:textFill>
        </w:rPr>
        <w:t>凤凰县人民医院县域医共体信息平台建设采购项目</w:t>
      </w:r>
      <w:r>
        <w:rPr>
          <w:rFonts w:hint="eastAsia" w:asciiTheme="minorEastAsia" w:hAnsiTheme="minorEastAsia" w:eastAsiaTheme="minorEastAsia" w:cstheme="minorEastAsia"/>
          <w:color w:val="000000" w:themeColor="text1"/>
          <w:sz w:val="24"/>
          <w14:textFill>
            <w14:solidFill>
              <w14:schemeClr w14:val="tx1"/>
            </w14:solidFill>
          </w14:textFill>
        </w:rPr>
        <w:t xml:space="preserve"> </w:t>
      </w:r>
    </w:p>
    <w:p w14:paraId="74DADD31">
      <w:pPr>
        <w:adjustRightInd w:val="0"/>
        <w:snapToGrid w:val="0"/>
        <w:rPr>
          <w:rFonts w:hint="eastAsia" w:asciiTheme="minorEastAsia" w:hAnsiTheme="minorEastAsia" w:eastAsiaTheme="minorEastAsia" w:cstheme="minorEastAsia"/>
          <w:color w:val="000000" w:themeColor="text1"/>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政府采购计划编号：</w:t>
      </w:r>
      <w:r>
        <w:rPr>
          <w:rFonts w:hint="eastAsia" w:asciiTheme="minorEastAsia" w:hAnsiTheme="minorEastAsia" w:eastAsiaTheme="minorEastAsia" w:cstheme="minorEastAsia"/>
          <w:color w:val="000000" w:themeColor="text1"/>
          <w:sz w:val="24"/>
          <w:u w:val="single"/>
          <w:lang w:eastAsia="zh-CN"/>
          <w14:textFill>
            <w14:solidFill>
              <w14:schemeClr w14:val="tx1"/>
            </w14:solidFill>
          </w14:textFill>
        </w:rPr>
        <w:t>(2026)433123000005-1</w:t>
      </w:r>
    </w:p>
    <w:tbl>
      <w:tblPr>
        <w:tblStyle w:val="91"/>
        <w:tblW w:w="972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54"/>
        <w:gridCol w:w="2981"/>
        <w:gridCol w:w="5989"/>
      </w:tblGrid>
      <w:tr w14:paraId="17A4A5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1" w:hRule="atLeast"/>
          <w:jc w:val="center"/>
        </w:trPr>
        <w:tc>
          <w:tcPr>
            <w:tcW w:w="754" w:type="dxa"/>
            <w:vAlign w:val="center"/>
          </w:tcPr>
          <w:p w14:paraId="0B64A833">
            <w:pPr>
              <w:spacing w:line="360" w:lineRule="auto"/>
              <w:jc w:val="center"/>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序号</w:t>
            </w:r>
          </w:p>
        </w:tc>
        <w:tc>
          <w:tcPr>
            <w:tcW w:w="2981" w:type="dxa"/>
            <w:vAlign w:val="center"/>
          </w:tcPr>
          <w:p w14:paraId="2F9568B2">
            <w:pPr>
              <w:spacing w:line="360" w:lineRule="auto"/>
              <w:jc w:val="center"/>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审查项目</w:t>
            </w:r>
          </w:p>
        </w:tc>
        <w:tc>
          <w:tcPr>
            <w:tcW w:w="5989" w:type="dxa"/>
            <w:vAlign w:val="center"/>
          </w:tcPr>
          <w:p w14:paraId="11DE4909">
            <w:pPr>
              <w:spacing w:line="360" w:lineRule="auto"/>
              <w:jc w:val="center"/>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审查标准</w:t>
            </w:r>
          </w:p>
        </w:tc>
      </w:tr>
      <w:tr w14:paraId="6D70FD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74" w:hRule="atLeast"/>
          <w:jc w:val="center"/>
        </w:trPr>
        <w:tc>
          <w:tcPr>
            <w:tcW w:w="754" w:type="dxa"/>
            <w:vAlign w:val="center"/>
          </w:tcPr>
          <w:p w14:paraId="22803B25">
            <w:pPr>
              <w:spacing w:line="360" w:lineRule="auto"/>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w:t>
            </w:r>
          </w:p>
        </w:tc>
        <w:tc>
          <w:tcPr>
            <w:tcW w:w="2981" w:type="dxa"/>
            <w:vAlign w:val="center"/>
          </w:tcPr>
          <w:p w14:paraId="2C69AD52">
            <w:pPr>
              <w:spacing w:line="360" w:lineRule="auto"/>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法人或其他组织的营业执照等主体资格证明文件，自然人的身份证明</w:t>
            </w:r>
          </w:p>
        </w:tc>
        <w:tc>
          <w:tcPr>
            <w:tcW w:w="5989" w:type="dxa"/>
            <w:vAlign w:val="center"/>
          </w:tcPr>
          <w:p w14:paraId="6D2AE313">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投标人为法人的，应提交营业执照或法人登记证书的复印件；</w:t>
            </w:r>
          </w:p>
          <w:p w14:paraId="21564A43">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投标人为非法人组织的，应提交依法登记证书复印件；投标人为个体工商户的，应提交个体工商户营业执照复印件；</w:t>
            </w:r>
          </w:p>
          <w:p w14:paraId="066BB7A6">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投标人为自然人的，应提交自然人的身份证明复印件。</w:t>
            </w:r>
          </w:p>
        </w:tc>
      </w:tr>
      <w:tr w14:paraId="38D774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5" w:hRule="atLeast"/>
          <w:jc w:val="center"/>
        </w:trPr>
        <w:tc>
          <w:tcPr>
            <w:tcW w:w="754" w:type="dxa"/>
            <w:vAlign w:val="center"/>
          </w:tcPr>
          <w:p w14:paraId="22B8DE34">
            <w:pPr>
              <w:spacing w:line="360" w:lineRule="auto"/>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w:t>
            </w:r>
          </w:p>
        </w:tc>
        <w:tc>
          <w:tcPr>
            <w:tcW w:w="2981" w:type="dxa"/>
            <w:vAlign w:val="center"/>
          </w:tcPr>
          <w:p w14:paraId="2931433D">
            <w:pPr>
              <w:spacing w:line="360" w:lineRule="auto"/>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投标人代表身份证明文件</w:t>
            </w:r>
          </w:p>
        </w:tc>
        <w:tc>
          <w:tcPr>
            <w:tcW w:w="5989" w:type="dxa"/>
            <w:vAlign w:val="center"/>
          </w:tcPr>
          <w:p w14:paraId="61ED4689">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投标人代表是法人的，提供法定代表人（单位负责人）身份证明；</w:t>
            </w:r>
          </w:p>
          <w:p w14:paraId="66B7EBA1">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投标人代表是法人授权的代理人的，提供授权委托书和法定代表人（单位负责人）身份证明。</w:t>
            </w:r>
          </w:p>
        </w:tc>
      </w:tr>
      <w:tr w14:paraId="6F6B77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4" w:hRule="atLeast"/>
          <w:jc w:val="center"/>
        </w:trPr>
        <w:tc>
          <w:tcPr>
            <w:tcW w:w="754" w:type="dxa"/>
            <w:vAlign w:val="center"/>
          </w:tcPr>
          <w:p w14:paraId="3CAF6D77">
            <w:pPr>
              <w:spacing w:line="360" w:lineRule="auto"/>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w:t>
            </w:r>
          </w:p>
        </w:tc>
        <w:tc>
          <w:tcPr>
            <w:tcW w:w="2981" w:type="dxa"/>
            <w:vAlign w:val="center"/>
          </w:tcPr>
          <w:p w14:paraId="3107557C">
            <w:pPr>
              <w:adjustRightInd w:val="0"/>
              <w:snapToGrid w:val="0"/>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color w:val="000000" w:themeColor="text1"/>
                <w:sz w:val="24"/>
                <w14:textFill>
                  <w14:solidFill>
                    <w14:schemeClr w14:val="tx1"/>
                  </w14:solidFill>
                </w14:textFill>
              </w:rPr>
              <w:t>湖南省政府采购供应商资格承诺函</w:t>
            </w:r>
          </w:p>
        </w:tc>
        <w:tc>
          <w:tcPr>
            <w:tcW w:w="5989" w:type="dxa"/>
            <w:vAlign w:val="center"/>
          </w:tcPr>
          <w:p w14:paraId="01673511">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提供《湖南省政府采购供应商资格承诺函》</w:t>
            </w:r>
          </w:p>
        </w:tc>
      </w:tr>
      <w:tr w14:paraId="7D962A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754" w:type="dxa"/>
            <w:vAlign w:val="center"/>
          </w:tcPr>
          <w:p w14:paraId="08D1C840">
            <w:pPr>
              <w:spacing w:line="360" w:lineRule="auto"/>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w:t>
            </w:r>
          </w:p>
        </w:tc>
        <w:tc>
          <w:tcPr>
            <w:tcW w:w="2981" w:type="dxa"/>
            <w:vAlign w:val="center"/>
          </w:tcPr>
          <w:p w14:paraId="72FC060E">
            <w:pPr>
              <w:spacing w:line="360" w:lineRule="auto"/>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投标报价</w:t>
            </w:r>
          </w:p>
        </w:tc>
        <w:tc>
          <w:tcPr>
            <w:tcW w:w="5989" w:type="dxa"/>
            <w:vAlign w:val="center"/>
          </w:tcPr>
          <w:p w14:paraId="498139E0">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报价未高出预算</w:t>
            </w:r>
          </w:p>
        </w:tc>
      </w:tr>
      <w:tr w14:paraId="55BD58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754" w:type="dxa"/>
            <w:vAlign w:val="center"/>
          </w:tcPr>
          <w:p w14:paraId="04F11D8D">
            <w:pPr>
              <w:spacing w:line="360" w:lineRule="auto"/>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5</w:t>
            </w:r>
          </w:p>
        </w:tc>
        <w:tc>
          <w:tcPr>
            <w:tcW w:w="2981" w:type="dxa"/>
            <w:vAlign w:val="center"/>
          </w:tcPr>
          <w:p w14:paraId="31075BE7">
            <w:pPr>
              <w:spacing w:line="360" w:lineRule="auto"/>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企业信用</w:t>
            </w:r>
          </w:p>
        </w:tc>
        <w:tc>
          <w:tcPr>
            <w:tcW w:w="5989" w:type="dxa"/>
            <w:vAlign w:val="center"/>
          </w:tcPr>
          <w:p w14:paraId="025D70CF">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rPr>
              <w:t>投标人无不良信用记录（采购人和代理机构按招标文件第三章第2.4条规定对投标人信用记录进行甄别）</w:t>
            </w:r>
          </w:p>
        </w:tc>
      </w:tr>
      <w:tr w14:paraId="782A97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754" w:type="dxa"/>
            <w:vAlign w:val="center"/>
          </w:tcPr>
          <w:p w14:paraId="5BE7633B">
            <w:pPr>
              <w:spacing w:line="360" w:lineRule="auto"/>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6</w:t>
            </w:r>
          </w:p>
        </w:tc>
        <w:tc>
          <w:tcPr>
            <w:tcW w:w="2981" w:type="dxa"/>
            <w:vAlign w:val="center"/>
          </w:tcPr>
          <w:p w14:paraId="56D6B8FB">
            <w:pPr>
              <w:spacing w:line="360" w:lineRule="auto"/>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资格证明文件的签署、盖章</w:t>
            </w:r>
          </w:p>
        </w:tc>
        <w:tc>
          <w:tcPr>
            <w:tcW w:w="5989" w:type="dxa"/>
            <w:vAlign w:val="center"/>
          </w:tcPr>
          <w:p w14:paraId="06835A44">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资格证明文件按招标文件要求签署、盖章</w:t>
            </w:r>
          </w:p>
        </w:tc>
      </w:tr>
      <w:tr w14:paraId="693A23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0" w:hRule="atLeast"/>
          <w:jc w:val="center"/>
        </w:trPr>
        <w:tc>
          <w:tcPr>
            <w:tcW w:w="754" w:type="dxa"/>
            <w:vAlign w:val="center"/>
          </w:tcPr>
          <w:p w14:paraId="15011230">
            <w:pPr>
              <w:spacing w:line="360" w:lineRule="auto"/>
              <w:jc w:val="center"/>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rPr>
              <w:t>7</w:t>
            </w:r>
          </w:p>
        </w:tc>
        <w:tc>
          <w:tcPr>
            <w:tcW w:w="2981" w:type="dxa"/>
            <w:vAlign w:val="center"/>
          </w:tcPr>
          <w:p w14:paraId="65237535">
            <w:pPr>
              <w:adjustRightInd w:val="0"/>
              <w:snapToGrid w:val="0"/>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color w:val="000000" w:themeColor="text1"/>
                <w:sz w:val="24"/>
                <w14:textFill>
                  <w14:solidFill>
                    <w14:schemeClr w14:val="tx1"/>
                  </w14:solidFill>
                </w14:textFill>
              </w:rPr>
              <w:t>法律法规和招标文件规定的其他投标无效情形</w:t>
            </w:r>
          </w:p>
        </w:tc>
        <w:tc>
          <w:tcPr>
            <w:tcW w:w="5989" w:type="dxa"/>
            <w:vAlign w:val="center"/>
          </w:tcPr>
          <w:p w14:paraId="1C544DD2">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无法律法规和招标文件规定的其他投标无效情形</w:t>
            </w:r>
          </w:p>
        </w:tc>
      </w:tr>
    </w:tbl>
    <w:p w14:paraId="766D8733">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bookmarkStart w:id="142" w:name="_Toc22319"/>
      <w:r>
        <w:rPr>
          <w:rFonts w:hint="eastAsia" w:asciiTheme="minorEastAsia" w:hAnsiTheme="minorEastAsia" w:eastAsiaTheme="minorEastAsia" w:cstheme="minorEastAsia"/>
          <w:color w:val="000000" w:themeColor="text1"/>
          <w:sz w:val="24"/>
          <w14:textFill>
            <w14:solidFill>
              <w14:schemeClr w14:val="tx1"/>
            </w14:solidFill>
          </w14:textFill>
        </w:rPr>
        <w:br w:type="page"/>
      </w:r>
    </w:p>
    <w:bookmarkEnd w:id="142"/>
    <w:p w14:paraId="62E8ACBB">
      <w:pPr>
        <w:spacing w:line="360" w:lineRule="auto"/>
        <w:rPr>
          <w:rFonts w:hint="eastAsia" w:asciiTheme="minorEastAsia" w:hAnsiTheme="minorEastAsia" w:eastAsiaTheme="minorEastAsia" w:cstheme="minorEastAsia"/>
          <w:b/>
          <w:bCs/>
          <w:sz w:val="22"/>
          <w:szCs w:val="28"/>
        </w:rPr>
      </w:pPr>
      <w:bookmarkStart w:id="143" w:name="_Toc9082"/>
      <w:bookmarkStart w:id="144" w:name="_Toc27285"/>
      <w:bookmarkStart w:id="145" w:name="_Toc4823"/>
      <w:bookmarkStart w:id="146" w:name="_Toc21877"/>
      <w:bookmarkStart w:id="147" w:name="_Toc12191"/>
      <w:bookmarkStart w:id="148" w:name="_Toc19705"/>
      <w:r>
        <w:rPr>
          <w:rFonts w:hint="eastAsia" w:asciiTheme="minorEastAsia" w:hAnsiTheme="minorEastAsia" w:eastAsiaTheme="minorEastAsia" w:cstheme="minorEastAsia"/>
          <w:b/>
          <w:bCs/>
          <w:sz w:val="22"/>
          <w:szCs w:val="28"/>
        </w:rPr>
        <w:t>附表2 资格审查结果一览表</w:t>
      </w:r>
      <w:bookmarkEnd w:id="143"/>
      <w:bookmarkEnd w:id="144"/>
      <w:bookmarkEnd w:id="145"/>
      <w:bookmarkEnd w:id="146"/>
      <w:bookmarkEnd w:id="147"/>
      <w:bookmarkEnd w:id="148"/>
    </w:p>
    <w:p w14:paraId="13376FDB">
      <w:pPr>
        <w:adjustRightInd w:val="0"/>
        <w:snapToGrid w:val="0"/>
        <w:spacing w:line="288" w:lineRule="auto"/>
        <w:jc w:val="center"/>
        <w:rPr>
          <w:rFonts w:hint="eastAsia" w:asciiTheme="minorEastAsia" w:hAnsiTheme="minorEastAsia" w:eastAsiaTheme="minorEastAsia" w:cstheme="minorEastAsia"/>
          <w:b/>
          <w:color w:val="000000" w:themeColor="text1"/>
          <w:sz w:val="28"/>
          <w:szCs w:val="28"/>
          <w14:textFill>
            <w14:solidFill>
              <w14:schemeClr w14:val="tx1"/>
            </w14:solidFill>
          </w14:textFill>
        </w:rPr>
      </w:pPr>
      <w:r>
        <w:rPr>
          <w:rFonts w:hint="eastAsia" w:asciiTheme="minorEastAsia" w:hAnsiTheme="minorEastAsia" w:eastAsiaTheme="minorEastAsia" w:cstheme="minorEastAsia"/>
          <w:b/>
          <w:color w:val="000000" w:themeColor="text1"/>
          <w:sz w:val="28"/>
          <w:szCs w:val="28"/>
          <w14:textFill>
            <w14:solidFill>
              <w14:schemeClr w14:val="tx1"/>
            </w14:solidFill>
          </w14:textFill>
        </w:rPr>
        <w:t>资格审查结果一览表</w:t>
      </w:r>
    </w:p>
    <w:p w14:paraId="50CAE9F1">
      <w:pPr>
        <w:adjustRightInd w:val="0"/>
        <w:snapToGrid w:val="0"/>
        <w:spacing w:line="30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项目名称：</w:t>
      </w:r>
      <w:r>
        <w:rPr>
          <w:rFonts w:hint="eastAsia" w:asciiTheme="minorEastAsia" w:hAnsiTheme="minorEastAsia" w:eastAsiaTheme="minorEastAsia" w:cstheme="minorEastAsia"/>
          <w:color w:val="000000" w:themeColor="text1"/>
          <w:sz w:val="24"/>
          <w:u w:val="single"/>
          <w:lang w:eastAsia="zh-CN"/>
          <w14:textFill>
            <w14:solidFill>
              <w14:schemeClr w14:val="tx1"/>
            </w14:solidFill>
          </w14:textFill>
        </w:rPr>
        <w:t>凤凰县人民医院县域医共体信息平台建设采购项目</w:t>
      </w:r>
      <w:r>
        <w:rPr>
          <w:rFonts w:hint="eastAsia" w:asciiTheme="minorEastAsia" w:hAnsiTheme="minorEastAsia" w:eastAsiaTheme="minorEastAsia" w:cstheme="minorEastAsia"/>
          <w:color w:val="000000" w:themeColor="text1"/>
          <w:sz w:val="24"/>
          <w14:textFill>
            <w14:solidFill>
              <w14:schemeClr w14:val="tx1"/>
            </w14:solidFill>
          </w14:textFill>
        </w:rPr>
        <w:t xml:space="preserve"> </w:t>
      </w:r>
    </w:p>
    <w:p w14:paraId="137DA409">
      <w:pPr>
        <w:adjustRightInd w:val="0"/>
        <w:snapToGrid w:val="0"/>
        <w:rPr>
          <w:rFonts w:hint="eastAsia" w:asciiTheme="minorEastAsia" w:hAnsiTheme="minorEastAsia" w:eastAsiaTheme="minorEastAsia" w:cstheme="minorEastAsia"/>
          <w:color w:val="000000" w:themeColor="text1"/>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政府采购计划编号：</w:t>
      </w:r>
      <w:r>
        <w:rPr>
          <w:rFonts w:hint="eastAsia" w:asciiTheme="minorEastAsia" w:hAnsiTheme="minorEastAsia" w:eastAsiaTheme="minorEastAsia" w:cstheme="minorEastAsia"/>
          <w:color w:val="000000" w:themeColor="text1"/>
          <w:sz w:val="24"/>
          <w:u w:val="single"/>
          <w:lang w:eastAsia="zh-CN"/>
          <w14:textFill>
            <w14:solidFill>
              <w14:schemeClr w14:val="tx1"/>
            </w14:solidFill>
          </w14:textFill>
        </w:rPr>
        <w:t>(2026)433123000005-1</w:t>
      </w:r>
    </w:p>
    <w:tbl>
      <w:tblPr>
        <w:tblStyle w:val="91"/>
        <w:tblW w:w="958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4"/>
        <w:gridCol w:w="2843"/>
        <w:gridCol w:w="3466"/>
        <w:gridCol w:w="2487"/>
      </w:tblGrid>
      <w:tr w14:paraId="303B95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8" w:hRule="atLeast"/>
          <w:jc w:val="center"/>
        </w:trPr>
        <w:tc>
          <w:tcPr>
            <w:tcW w:w="784" w:type="dxa"/>
            <w:vAlign w:val="center"/>
          </w:tcPr>
          <w:p w14:paraId="560AACCF">
            <w:pPr>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序号</w:t>
            </w:r>
          </w:p>
        </w:tc>
        <w:tc>
          <w:tcPr>
            <w:tcW w:w="2843" w:type="dxa"/>
            <w:vAlign w:val="center"/>
          </w:tcPr>
          <w:p w14:paraId="72945C3C">
            <w:pPr>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投标人名称</w:t>
            </w:r>
          </w:p>
        </w:tc>
        <w:tc>
          <w:tcPr>
            <w:tcW w:w="3466" w:type="dxa"/>
            <w:vAlign w:val="center"/>
          </w:tcPr>
          <w:p w14:paraId="40A35E3C">
            <w:pPr>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资格审查结果（合格/不合格）</w:t>
            </w:r>
          </w:p>
        </w:tc>
        <w:tc>
          <w:tcPr>
            <w:tcW w:w="2487" w:type="dxa"/>
            <w:vAlign w:val="center"/>
          </w:tcPr>
          <w:p w14:paraId="56630820">
            <w:pPr>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资格审查不合格原因</w:t>
            </w:r>
          </w:p>
        </w:tc>
      </w:tr>
      <w:tr w14:paraId="029A52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3" w:hRule="atLeast"/>
          <w:jc w:val="center"/>
        </w:trPr>
        <w:tc>
          <w:tcPr>
            <w:tcW w:w="784" w:type="dxa"/>
          </w:tcPr>
          <w:p w14:paraId="78EDF18B">
            <w:pPr>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1</w:t>
            </w:r>
          </w:p>
        </w:tc>
        <w:tc>
          <w:tcPr>
            <w:tcW w:w="2843" w:type="dxa"/>
          </w:tcPr>
          <w:p w14:paraId="5B58642B">
            <w:pPr>
              <w:adjustRightInd w:val="0"/>
              <w:snapToGrid w:val="0"/>
              <w:spacing w:line="360" w:lineRule="auto"/>
              <w:jc w:val="center"/>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3466" w:type="dxa"/>
          </w:tcPr>
          <w:p w14:paraId="6907BD6E">
            <w:pPr>
              <w:adjustRightInd w:val="0"/>
              <w:snapToGrid w:val="0"/>
              <w:spacing w:line="360" w:lineRule="auto"/>
              <w:jc w:val="center"/>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487" w:type="dxa"/>
          </w:tcPr>
          <w:p w14:paraId="68FB0FCE">
            <w:pPr>
              <w:adjustRightInd w:val="0"/>
              <w:snapToGrid w:val="0"/>
              <w:spacing w:line="360" w:lineRule="auto"/>
              <w:jc w:val="center"/>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79B4D9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3" w:hRule="atLeast"/>
          <w:jc w:val="center"/>
        </w:trPr>
        <w:tc>
          <w:tcPr>
            <w:tcW w:w="784" w:type="dxa"/>
          </w:tcPr>
          <w:p w14:paraId="7566DA02">
            <w:pPr>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2</w:t>
            </w:r>
          </w:p>
        </w:tc>
        <w:tc>
          <w:tcPr>
            <w:tcW w:w="2843" w:type="dxa"/>
          </w:tcPr>
          <w:p w14:paraId="05C67BA3">
            <w:pPr>
              <w:adjustRightInd w:val="0"/>
              <w:snapToGrid w:val="0"/>
              <w:spacing w:line="360" w:lineRule="auto"/>
              <w:jc w:val="center"/>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3466" w:type="dxa"/>
          </w:tcPr>
          <w:p w14:paraId="2A81DED4">
            <w:pPr>
              <w:adjustRightInd w:val="0"/>
              <w:snapToGrid w:val="0"/>
              <w:spacing w:line="360" w:lineRule="auto"/>
              <w:jc w:val="center"/>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487" w:type="dxa"/>
          </w:tcPr>
          <w:p w14:paraId="534E30D9">
            <w:pPr>
              <w:adjustRightInd w:val="0"/>
              <w:snapToGrid w:val="0"/>
              <w:spacing w:line="360" w:lineRule="auto"/>
              <w:jc w:val="center"/>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5824E8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3" w:hRule="atLeast"/>
          <w:jc w:val="center"/>
        </w:trPr>
        <w:tc>
          <w:tcPr>
            <w:tcW w:w="784" w:type="dxa"/>
          </w:tcPr>
          <w:p w14:paraId="2A12DB05">
            <w:pPr>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3</w:t>
            </w:r>
          </w:p>
        </w:tc>
        <w:tc>
          <w:tcPr>
            <w:tcW w:w="2843" w:type="dxa"/>
          </w:tcPr>
          <w:p w14:paraId="306905E4">
            <w:pPr>
              <w:adjustRightInd w:val="0"/>
              <w:snapToGrid w:val="0"/>
              <w:spacing w:line="360" w:lineRule="auto"/>
              <w:jc w:val="center"/>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3466" w:type="dxa"/>
          </w:tcPr>
          <w:p w14:paraId="4813C2B6">
            <w:pPr>
              <w:adjustRightInd w:val="0"/>
              <w:snapToGrid w:val="0"/>
              <w:spacing w:line="360" w:lineRule="auto"/>
              <w:jc w:val="center"/>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487" w:type="dxa"/>
          </w:tcPr>
          <w:p w14:paraId="39219383">
            <w:pPr>
              <w:adjustRightInd w:val="0"/>
              <w:snapToGrid w:val="0"/>
              <w:spacing w:line="360" w:lineRule="auto"/>
              <w:jc w:val="center"/>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11FC88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3" w:hRule="atLeast"/>
          <w:jc w:val="center"/>
        </w:trPr>
        <w:tc>
          <w:tcPr>
            <w:tcW w:w="784" w:type="dxa"/>
          </w:tcPr>
          <w:p w14:paraId="17349B83">
            <w:pPr>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w:t>
            </w:r>
          </w:p>
        </w:tc>
        <w:tc>
          <w:tcPr>
            <w:tcW w:w="2843" w:type="dxa"/>
          </w:tcPr>
          <w:p w14:paraId="583EAFFA">
            <w:pPr>
              <w:adjustRightInd w:val="0"/>
              <w:snapToGrid w:val="0"/>
              <w:spacing w:line="360" w:lineRule="auto"/>
              <w:jc w:val="center"/>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w:t>
            </w:r>
          </w:p>
        </w:tc>
        <w:tc>
          <w:tcPr>
            <w:tcW w:w="3466" w:type="dxa"/>
          </w:tcPr>
          <w:p w14:paraId="77F1FD48">
            <w:pPr>
              <w:adjustRightInd w:val="0"/>
              <w:snapToGrid w:val="0"/>
              <w:spacing w:line="360" w:lineRule="auto"/>
              <w:jc w:val="center"/>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w:t>
            </w:r>
          </w:p>
        </w:tc>
        <w:tc>
          <w:tcPr>
            <w:tcW w:w="2487" w:type="dxa"/>
          </w:tcPr>
          <w:p w14:paraId="198EAFD7">
            <w:pPr>
              <w:adjustRightInd w:val="0"/>
              <w:snapToGrid w:val="0"/>
              <w:spacing w:line="360" w:lineRule="auto"/>
              <w:jc w:val="center"/>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w:t>
            </w:r>
          </w:p>
        </w:tc>
      </w:tr>
    </w:tbl>
    <w:p w14:paraId="2000DB40">
      <w:pPr>
        <w:adjustRightInd w:val="0"/>
        <w:snapToGrid w:val="0"/>
        <w:rPr>
          <w:rFonts w:hint="eastAsia" w:asciiTheme="minorEastAsia" w:hAnsiTheme="minorEastAsia" w:eastAsiaTheme="minorEastAsia" w:cstheme="minorEastAsia"/>
          <w:color w:val="000000" w:themeColor="text1"/>
          <w:sz w:val="24"/>
          <w14:textFill>
            <w14:solidFill>
              <w14:schemeClr w14:val="tx1"/>
            </w14:solidFill>
          </w14:textFill>
        </w:rPr>
      </w:pPr>
    </w:p>
    <w:p w14:paraId="5BE7E2DE">
      <w:pPr>
        <w:adjustRightInd w:val="0"/>
        <w:snapToGrid w:val="0"/>
        <w:spacing w:line="480" w:lineRule="auto"/>
        <w:ind w:firstLine="241" w:firstLineChars="100"/>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采购人（签字）：</w:t>
      </w:r>
      <w:r>
        <w:rPr>
          <w:rFonts w:hint="eastAsia" w:asciiTheme="minorEastAsia" w:hAnsiTheme="minorEastAsia" w:eastAsiaTheme="minorEastAsia" w:cstheme="minorEastAsia"/>
          <w:b/>
          <w:bCs/>
          <w:sz w:val="24"/>
          <w:u w:val="single" w:color="000000"/>
        </w:rPr>
        <w:t xml:space="preserve">          </w:t>
      </w:r>
    </w:p>
    <w:p w14:paraId="69F73676">
      <w:pPr>
        <w:adjustRightInd w:val="0"/>
        <w:snapToGrid w:val="0"/>
        <w:ind w:firstLine="241" w:firstLineChars="100"/>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采购代理机构（签字）：</w:t>
      </w:r>
      <w:r>
        <w:rPr>
          <w:rFonts w:hint="eastAsia" w:asciiTheme="minorEastAsia" w:hAnsiTheme="minorEastAsia" w:eastAsiaTheme="minorEastAsia" w:cstheme="minorEastAsia"/>
          <w:b/>
          <w:bCs/>
          <w:sz w:val="22"/>
          <w:szCs w:val="28"/>
          <w:u w:val="single" w:color="000000"/>
        </w:rPr>
        <w:t xml:space="preserve">          </w:t>
      </w:r>
    </w:p>
    <w:p w14:paraId="4BF14893">
      <w:pPr>
        <w:adjustRightInd w:val="0"/>
        <w:snapToGrid w:val="0"/>
        <w:ind w:firstLine="6544" w:firstLineChars="2716"/>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日期：</w:t>
      </w:r>
      <w:r>
        <w:rPr>
          <w:rFonts w:hint="eastAsia" w:asciiTheme="minorEastAsia" w:hAnsiTheme="minorEastAsia" w:eastAsiaTheme="minorEastAsia" w:cstheme="minorEastAsia"/>
          <w:b/>
          <w:bCs/>
          <w:sz w:val="22"/>
          <w:szCs w:val="28"/>
          <w:u w:val="single" w:color="000000"/>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年</w:t>
      </w:r>
      <w:r>
        <w:rPr>
          <w:rFonts w:hint="eastAsia" w:asciiTheme="minorEastAsia" w:hAnsiTheme="minorEastAsia" w:eastAsiaTheme="minorEastAsia" w:cstheme="minorEastAsia"/>
          <w:b/>
          <w:bCs/>
          <w:sz w:val="22"/>
          <w:szCs w:val="28"/>
          <w:u w:val="single" w:color="000000"/>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月</w:t>
      </w:r>
      <w:r>
        <w:rPr>
          <w:rFonts w:hint="eastAsia" w:asciiTheme="minorEastAsia" w:hAnsiTheme="minorEastAsia" w:eastAsiaTheme="minorEastAsia" w:cstheme="minorEastAsia"/>
          <w:b/>
          <w:bCs/>
          <w:sz w:val="22"/>
          <w:szCs w:val="28"/>
          <w:u w:val="single" w:color="000000"/>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日</w:t>
      </w:r>
    </w:p>
    <w:p w14:paraId="027A04F9">
      <w:pPr>
        <w:adjustRightInd w:val="0"/>
        <w:snapToGrid w:val="0"/>
        <w:spacing w:line="360" w:lineRule="auto"/>
        <w:rPr>
          <w:rFonts w:hint="eastAsia" w:asciiTheme="minorEastAsia" w:hAnsiTheme="minorEastAsia" w:eastAsiaTheme="minorEastAsia" w:cstheme="minorEastAsia"/>
          <w:b/>
          <w:bCs/>
          <w:color w:val="000000" w:themeColor="text1"/>
          <w:sz w:val="32"/>
          <w:szCs w:val="32"/>
          <w14:textFill>
            <w14:solidFill>
              <w14:schemeClr w14:val="tx1"/>
            </w14:solidFill>
          </w14:textFill>
        </w:rPr>
      </w:pPr>
    </w:p>
    <w:p w14:paraId="1E1D8892">
      <w:pPr>
        <w:spacing w:line="360" w:lineRule="auto"/>
        <w:rPr>
          <w:rFonts w:hint="eastAsia" w:asciiTheme="minorEastAsia" w:hAnsiTheme="minorEastAsia" w:eastAsiaTheme="minorEastAsia" w:cstheme="minorEastAsia"/>
          <w:b/>
          <w:bCs/>
          <w:sz w:val="24"/>
          <w:szCs w:val="32"/>
        </w:rPr>
      </w:pPr>
    </w:p>
    <w:p w14:paraId="6E0D00C9">
      <w:pPr>
        <w:spacing w:line="360" w:lineRule="auto"/>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附表3 资格审查合格投标人名单</w:t>
      </w:r>
    </w:p>
    <w:p w14:paraId="03E41543">
      <w:pPr>
        <w:adjustRightInd w:val="0"/>
        <w:snapToGrid w:val="0"/>
        <w:spacing w:line="288" w:lineRule="auto"/>
        <w:jc w:val="center"/>
        <w:rPr>
          <w:rFonts w:hint="eastAsia" w:asciiTheme="minorEastAsia" w:hAnsiTheme="minorEastAsia" w:eastAsiaTheme="minorEastAsia" w:cstheme="minorEastAsia"/>
          <w:b/>
          <w:color w:val="000000" w:themeColor="text1"/>
          <w:sz w:val="28"/>
          <w:szCs w:val="28"/>
          <w14:textFill>
            <w14:solidFill>
              <w14:schemeClr w14:val="tx1"/>
            </w14:solidFill>
          </w14:textFill>
        </w:rPr>
      </w:pPr>
      <w:r>
        <w:rPr>
          <w:rFonts w:hint="eastAsia" w:asciiTheme="minorEastAsia" w:hAnsiTheme="minorEastAsia" w:eastAsiaTheme="minorEastAsia" w:cstheme="minorEastAsia"/>
          <w:b/>
          <w:color w:val="000000" w:themeColor="text1"/>
          <w:sz w:val="28"/>
          <w:szCs w:val="28"/>
          <w14:textFill>
            <w14:solidFill>
              <w14:schemeClr w14:val="tx1"/>
            </w14:solidFill>
          </w14:textFill>
        </w:rPr>
        <w:t>资格审查合格投标人名单</w:t>
      </w:r>
    </w:p>
    <w:p w14:paraId="601050BA">
      <w:pPr>
        <w:adjustRightInd w:val="0"/>
        <w:snapToGrid w:val="0"/>
        <w:spacing w:line="30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项目名称：</w:t>
      </w:r>
      <w:r>
        <w:rPr>
          <w:rFonts w:hint="eastAsia" w:asciiTheme="minorEastAsia" w:hAnsiTheme="minorEastAsia" w:eastAsiaTheme="minorEastAsia" w:cstheme="minorEastAsia"/>
          <w:color w:val="000000" w:themeColor="text1"/>
          <w:sz w:val="24"/>
          <w:u w:val="single"/>
          <w:lang w:eastAsia="zh-CN"/>
          <w14:textFill>
            <w14:solidFill>
              <w14:schemeClr w14:val="tx1"/>
            </w14:solidFill>
          </w14:textFill>
        </w:rPr>
        <w:t>凤凰县人民医院县域医共体信息平台建设采购项目</w:t>
      </w:r>
      <w:r>
        <w:rPr>
          <w:rFonts w:hint="eastAsia" w:asciiTheme="minorEastAsia" w:hAnsiTheme="minorEastAsia" w:eastAsiaTheme="minorEastAsia" w:cstheme="minorEastAsia"/>
          <w:color w:val="000000" w:themeColor="text1"/>
          <w:sz w:val="24"/>
          <w14:textFill>
            <w14:solidFill>
              <w14:schemeClr w14:val="tx1"/>
            </w14:solidFill>
          </w14:textFill>
        </w:rPr>
        <w:t xml:space="preserve"> </w:t>
      </w:r>
    </w:p>
    <w:p w14:paraId="6CF5E1E9">
      <w:pPr>
        <w:adjustRightInd w:val="0"/>
        <w:snapToGrid w:val="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color w:val="000000" w:themeColor="text1"/>
          <w:sz w:val="24"/>
          <w14:textFill>
            <w14:solidFill>
              <w14:schemeClr w14:val="tx1"/>
            </w14:solidFill>
          </w14:textFill>
        </w:rPr>
        <w:t>政府采购计划编号：</w:t>
      </w:r>
      <w:r>
        <w:rPr>
          <w:rFonts w:hint="eastAsia" w:asciiTheme="minorEastAsia" w:hAnsiTheme="minorEastAsia" w:eastAsiaTheme="minorEastAsia" w:cstheme="minorEastAsia"/>
          <w:color w:val="000000" w:themeColor="text1"/>
          <w:sz w:val="24"/>
          <w:u w:val="single"/>
          <w:lang w:eastAsia="zh-CN"/>
          <w14:textFill>
            <w14:solidFill>
              <w14:schemeClr w14:val="tx1"/>
            </w14:solidFill>
          </w14:textFill>
        </w:rPr>
        <w:t>(2026)433123000005-1</w:t>
      </w:r>
    </w:p>
    <w:tbl>
      <w:tblPr>
        <w:tblStyle w:val="202"/>
        <w:tblW w:w="9691" w:type="dxa"/>
        <w:jc w:val="center"/>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32" w:type="dxa"/>
          <w:left w:w="350" w:type="dxa"/>
          <w:bottom w:w="0" w:type="dxa"/>
          <w:right w:w="115" w:type="dxa"/>
        </w:tblCellMar>
      </w:tblPr>
      <w:tblGrid>
        <w:gridCol w:w="1439"/>
        <w:gridCol w:w="8252"/>
      </w:tblGrid>
      <w:tr w14:paraId="205C84D4">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32" w:type="dxa"/>
            <w:left w:w="350" w:type="dxa"/>
            <w:bottom w:w="0" w:type="dxa"/>
            <w:right w:w="115" w:type="dxa"/>
          </w:tblCellMar>
        </w:tblPrEx>
        <w:trPr>
          <w:trHeight w:val="420" w:hRule="atLeast"/>
          <w:jc w:val="center"/>
        </w:trPr>
        <w:tc>
          <w:tcPr>
            <w:tcW w:w="1439" w:type="dxa"/>
            <w:tcBorders>
              <w:tl2br w:val="nil"/>
              <w:tr2bl w:val="nil"/>
            </w:tcBorders>
            <w:vAlign w:val="center"/>
          </w:tcPr>
          <w:p w14:paraId="2FE88887">
            <w:pPr>
              <w:ind w:left="-199" w:leftChars="-95" w:firstLine="0" w:firstLineChars="0"/>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序号</w:t>
            </w:r>
          </w:p>
        </w:tc>
        <w:tc>
          <w:tcPr>
            <w:tcW w:w="8252" w:type="dxa"/>
            <w:tcBorders>
              <w:tl2br w:val="nil"/>
              <w:tr2bl w:val="nil"/>
            </w:tcBorders>
            <w:vAlign w:val="center"/>
          </w:tcPr>
          <w:p w14:paraId="06CA77A4">
            <w:pPr>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合格投标人名单</w:t>
            </w:r>
          </w:p>
        </w:tc>
      </w:tr>
      <w:tr w14:paraId="11284D61">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32" w:type="dxa"/>
            <w:left w:w="350" w:type="dxa"/>
            <w:bottom w:w="0" w:type="dxa"/>
            <w:right w:w="115" w:type="dxa"/>
          </w:tblCellMar>
        </w:tblPrEx>
        <w:trPr>
          <w:trHeight w:val="374" w:hRule="atLeast"/>
          <w:jc w:val="center"/>
        </w:trPr>
        <w:tc>
          <w:tcPr>
            <w:tcW w:w="1439" w:type="dxa"/>
            <w:tcBorders>
              <w:tl2br w:val="nil"/>
              <w:tr2bl w:val="nil"/>
            </w:tcBorders>
          </w:tcPr>
          <w:p w14:paraId="18607FFA">
            <w:pPr>
              <w:ind w:left="-199" w:leftChars="-95" w:firstLine="0" w:firstLineChars="0"/>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1</w:t>
            </w:r>
          </w:p>
        </w:tc>
        <w:tc>
          <w:tcPr>
            <w:tcW w:w="8252" w:type="dxa"/>
            <w:tcBorders>
              <w:tl2br w:val="nil"/>
              <w:tr2bl w:val="nil"/>
            </w:tcBorders>
          </w:tcPr>
          <w:p w14:paraId="491A4DD2">
            <w:pPr>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 xml:space="preserve"> </w:t>
            </w:r>
          </w:p>
        </w:tc>
      </w:tr>
      <w:tr w14:paraId="01CCE155">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32" w:type="dxa"/>
            <w:left w:w="350" w:type="dxa"/>
            <w:bottom w:w="0" w:type="dxa"/>
            <w:right w:w="115" w:type="dxa"/>
          </w:tblCellMar>
        </w:tblPrEx>
        <w:trPr>
          <w:trHeight w:val="422" w:hRule="atLeast"/>
          <w:jc w:val="center"/>
        </w:trPr>
        <w:tc>
          <w:tcPr>
            <w:tcW w:w="1439" w:type="dxa"/>
            <w:tcBorders>
              <w:tl2br w:val="nil"/>
              <w:tr2bl w:val="nil"/>
            </w:tcBorders>
          </w:tcPr>
          <w:p w14:paraId="522D3EC8">
            <w:pPr>
              <w:ind w:left="-199" w:leftChars="-95" w:firstLine="0" w:firstLineChars="0"/>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2</w:t>
            </w:r>
          </w:p>
        </w:tc>
        <w:tc>
          <w:tcPr>
            <w:tcW w:w="8252" w:type="dxa"/>
            <w:tcBorders>
              <w:tl2br w:val="nil"/>
              <w:tr2bl w:val="nil"/>
            </w:tcBorders>
          </w:tcPr>
          <w:p w14:paraId="2CCE4F81">
            <w:pPr>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 xml:space="preserve"> </w:t>
            </w:r>
          </w:p>
        </w:tc>
      </w:tr>
      <w:tr w14:paraId="5660CA1B">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32" w:type="dxa"/>
            <w:left w:w="350" w:type="dxa"/>
            <w:bottom w:w="0" w:type="dxa"/>
            <w:right w:w="115" w:type="dxa"/>
          </w:tblCellMar>
        </w:tblPrEx>
        <w:trPr>
          <w:trHeight w:val="422" w:hRule="atLeast"/>
          <w:jc w:val="center"/>
        </w:trPr>
        <w:tc>
          <w:tcPr>
            <w:tcW w:w="1439" w:type="dxa"/>
            <w:tcBorders>
              <w:tl2br w:val="nil"/>
              <w:tr2bl w:val="nil"/>
            </w:tcBorders>
          </w:tcPr>
          <w:p w14:paraId="2BED28B6">
            <w:pPr>
              <w:ind w:left="-199" w:leftChars="-95" w:firstLine="0" w:firstLineChars="0"/>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3</w:t>
            </w:r>
          </w:p>
        </w:tc>
        <w:tc>
          <w:tcPr>
            <w:tcW w:w="8252" w:type="dxa"/>
            <w:tcBorders>
              <w:tl2br w:val="nil"/>
              <w:tr2bl w:val="nil"/>
            </w:tcBorders>
          </w:tcPr>
          <w:p w14:paraId="443F95C0">
            <w:pPr>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 xml:space="preserve"> </w:t>
            </w:r>
          </w:p>
        </w:tc>
      </w:tr>
      <w:tr w14:paraId="0FD7C04E">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32" w:type="dxa"/>
            <w:left w:w="350" w:type="dxa"/>
            <w:bottom w:w="0" w:type="dxa"/>
            <w:right w:w="115" w:type="dxa"/>
          </w:tblCellMar>
        </w:tblPrEx>
        <w:trPr>
          <w:trHeight w:val="435" w:hRule="atLeast"/>
          <w:jc w:val="center"/>
        </w:trPr>
        <w:tc>
          <w:tcPr>
            <w:tcW w:w="1439" w:type="dxa"/>
            <w:tcBorders>
              <w:tl2br w:val="nil"/>
              <w:tr2bl w:val="nil"/>
            </w:tcBorders>
          </w:tcPr>
          <w:p w14:paraId="5A36421A">
            <w:pPr>
              <w:ind w:left="-199" w:leftChars="-95" w:firstLine="0" w:firstLineChars="0"/>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w:t>
            </w:r>
          </w:p>
        </w:tc>
        <w:tc>
          <w:tcPr>
            <w:tcW w:w="8252" w:type="dxa"/>
            <w:tcBorders>
              <w:tl2br w:val="nil"/>
              <w:tr2bl w:val="nil"/>
            </w:tcBorders>
          </w:tcPr>
          <w:p w14:paraId="6E92C68B">
            <w:pPr>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 xml:space="preserve">…… </w:t>
            </w:r>
          </w:p>
        </w:tc>
      </w:tr>
    </w:tbl>
    <w:p w14:paraId="62F922E9">
      <w:pPr>
        <w:spacing w:after="6" w:line="259" w:lineRule="auto"/>
        <w:rPr>
          <w:rFonts w:hint="eastAsia" w:asciiTheme="minorEastAsia" w:hAnsiTheme="minorEastAsia" w:eastAsiaTheme="minorEastAsia" w:cstheme="minorEastAsia"/>
        </w:rPr>
      </w:pPr>
    </w:p>
    <w:p w14:paraId="0ABD35CA">
      <w:pPr>
        <w:adjustRightInd w:val="0"/>
        <w:snapToGrid w:val="0"/>
        <w:spacing w:line="480" w:lineRule="auto"/>
        <w:ind w:firstLine="241" w:firstLineChars="100"/>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采购人（签字）：</w:t>
      </w:r>
      <w:r>
        <w:rPr>
          <w:rFonts w:hint="eastAsia" w:asciiTheme="minorEastAsia" w:hAnsiTheme="minorEastAsia" w:eastAsiaTheme="minorEastAsia" w:cstheme="minorEastAsia"/>
          <w:b/>
          <w:bCs/>
          <w:sz w:val="24"/>
          <w:u w:val="single" w:color="000000"/>
        </w:rPr>
        <w:t xml:space="preserve">          </w:t>
      </w:r>
    </w:p>
    <w:p w14:paraId="17C54480">
      <w:pPr>
        <w:adjustRightInd w:val="0"/>
        <w:snapToGrid w:val="0"/>
        <w:ind w:firstLine="241" w:firstLineChars="100"/>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采购代理机构（签字）：</w:t>
      </w:r>
      <w:r>
        <w:rPr>
          <w:rFonts w:hint="eastAsia" w:asciiTheme="minorEastAsia" w:hAnsiTheme="minorEastAsia" w:eastAsiaTheme="minorEastAsia" w:cstheme="minorEastAsia"/>
          <w:b/>
          <w:bCs/>
          <w:sz w:val="22"/>
          <w:szCs w:val="28"/>
          <w:u w:val="single" w:color="000000"/>
        </w:rPr>
        <w:t xml:space="preserve">          </w:t>
      </w:r>
    </w:p>
    <w:p w14:paraId="05E1AC3C">
      <w:pPr>
        <w:adjustRightInd w:val="0"/>
        <w:snapToGrid w:val="0"/>
        <w:ind w:firstLine="6544" w:firstLineChars="2716"/>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日期：</w:t>
      </w:r>
      <w:r>
        <w:rPr>
          <w:rFonts w:hint="eastAsia" w:asciiTheme="minorEastAsia" w:hAnsiTheme="minorEastAsia" w:eastAsiaTheme="minorEastAsia" w:cstheme="minorEastAsia"/>
          <w:b/>
          <w:bCs/>
          <w:sz w:val="22"/>
          <w:szCs w:val="28"/>
          <w:u w:val="single" w:color="000000"/>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年</w:t>
      </w:r>
      <w:r>
        <w:rPr>
          <w:rFonts w:hint="eastAsia" w:asciiTheme="minorEastAsia" w:hAnsiTheme="minorEastAsia" w:eastAsiaTheme="minorEastAsia" w:cstheme="minorEastAsia"/>
          <w:b/>
          <w:bCs/>
          <w:sz w:val="22"/>
          <w:szCs w:val="28"/>
          <w:u w:val="single" w:color="000000"/>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月</w:t>
      </w:r>
      <w:r>
        <w:rPr>
          <w:rFonts w:hint="eastAsia" w:asciiTheme="minorEastAsia" w:hAnsiTheme="minorEastAsia" w:eastAsiaTheme="minorEastAsia" w:cstheme="minorEastAsia"/>
          <w:b/>
          <w:bCs/>
          <w:sz w:val="22"/>
          <w:szCs w:val="28"/>
          <w:u w:val="single" w:color="000000"/>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日</w:t>
      </w:r>
    </w:p>
    <w:p w14:paraId="3D992315">
      <w:pPr>
        <w:rPr>
          <w:rFonts w:hint="eastAsia" w:asciiTheme="minorEastAsia" w:hAnsiTheme="minorEastAsia" w:eastAsiaTheme="minorEastAsia" w:cstheme="minorEastAsia"/>
        </w:rPr>
      </w:pPr>
      <w:r>
        <w:rPr>
          <w:rFonts w:hint="eastAsia" w:asciiTheme="minorEastAsia" w:hAnsiTheme="minorEastAsia" w:eastAsiaTheme="minorEastAsia" w:cstheme="minorEastAsia"/>
        </w:rPr>
        <w:br w:type="page"/>
      </w:r>
    </w:p>
    <w:p w14:paraId="36E3B9B1">
      <w:pPr>
        <w:pStyle w:val="3"/>
        <w:jc w:val="center"/>
        <w:rPr>
          <w:rFonts w:hint="eastAsia" w:asciiTheme="minorEastAsia" w:hAnsiTheme="minorEastAsia" w:eastAsiaTheme="minorEastAsia" w:cstheme="minorEastAsia"/>
          <w:b/>
          <w:bCs w:val="0"/>
          <w:sz w:val="36"/>
          <w:szCs w:val="22"/>
        </w:rPr>
      </w:pPr>
      <w:bookmarkStart w:id="149" w:name="_Toc12636"/>
      <w:bookmarkStart w:id="150" w:name="_Toc22128"/>
      <w:bookmarkStart w:id="151" w:name="_Toc14897"/>
      <w:bookmarkStart w:id="152" w:name="_Toc30023"/>
      <w:r>
        <w:rPr>
          <w:rFonts w:hint="eastAsia" w:asciiTheme="minorEastAsia" w:hAnsiTheme="minorEastAsia" w:eastAsiaTheme="minorEastAsia" w:cstheme="minorEastAsia"/>
          <w:b/>
          <w:bCs w:val="0"/>
          <w:sz w:val="36"/>
          <w:szCs w:val="22"/>
        </w:rPr>
        <w:t>第四章 评标方法及标准</w:t>
      </w:r>
      <w:bookmarkEnd w:id="149"/>
      <w:bookmarkEnd w:id="150"/>
      <w:bookmarkEnd w:id="151"/>
      <w:bookmarkEnd w:id="152"/>
    </w:p>
    <w:p w14:paraId="595785B4">
      <w:pPr>
        <w:pStyle w:val="4"/>
        <w:numPr>
          <w:ilvl w:val="0"/>
          <w:numId w:val="29"/>
        </w:numPr>
        <w:jc w:val="center"/>
        <w:rPr>
          <w:rFonts w:hint="eastAsia" w:asciiTheme="minorEastAsia" w:hAnsiTheme="minorEastAsia" w:eastAsiaTheme="minorEastAsia" w:cstheme="minorEastAsia"/>
          <w:sz w:val="32"/>
          <w:szCs w:val="40"/>
        </w:rPr>
      </w:pPr>
      <w:bookmarkStart w:id="153" w:name="_Toc4193"/>
      <w:bookmarkStart w:id="154" w:name="_Toc6607"/>
      <w:bookmarkStart w:id="155" w:name="_Toc17031"/>
      <w:bookmarkStart w:id="156" w:name="_Toc27919"/>
      <w:bookmarkStart w:id="157" w:name="_Toc20067"/>
      <w:bookmarkStart w:id="158" w:name="_Toc21015"/>
      <w:bookmarkStart w:id="159" w:name="_Toc29682"/>
      <w:r>
        <w:rPr>
          <w:rFonts w:hint="eastAsia" w:asciiTheme="minorEastAsia" w:hAnsiTheme="minorEastAsia" w:eastAsiaTheme="minorEastAsia" w:cstheme="minorEastAsia"/>
          <w:sz w:val="32"/>
          <w:szCs w:val="40"/>
        </w:rPr>
        <w:t>评标方法及标准前附表</w:t>
      </w:r>
      <w:bookmarkEnd w:id="153"/>
      <w:bookmarkEnd w:id="154"/>
      <w:bookmarkEnd w:id="155"/>
      <w:bookmarkEnd w:id="156"/>
      <w:bookmarkEnd w:id="157"/>
      <w:bookmarkEnd w:id="158"/>
      <w:bookmarkEnd w:id="159"/>
    </w:p>
    <w:tbl>
      <w:tblPr>
        <w:tblStyle w:val="90"/>
        <w:tblW w:w="9709" w:type="dxa"/>
        <w:tblInd w:w="8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52"/>
        <w:gridCol w:w="2375"/>
        <w:gridCol w:w="5782"/>
      </w:tblGrid>
      <w:tr w14:paraId="4CEAE6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8" w:hRule="atLeast"/>
        </w:trPr>
        <w:tc>
          <w:tcPr>
            <w:tcW w:w="1552" w:type="dxa"/>
            <w:vAlign w:val="center"/>
          </w:tcPr>
          <w:p w14:paraId="3F07D1CB">
            <w:pPr>
              <w:jc w:val="center"/>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条款号</w:t>
            </w:r>
          </w:p>
        </w:tc>
        <w:tc>
          <w:tcPr>
            <w:tcW w:w="2375" w:type="dxa"/>
            <w:vAlign w:val="center"/>
          </w:tcPr>
          <w:p w14:paraId="2A0824CD">
            <w:pPr>
              <w:jc w:val="center"/>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条款名称</w:t>
            </w:r>
          </w:p>
        </w:tc>
        <w:tc>
          <w:tcPr>
            <w:tcW w:w="5782" w:type="dxa"/>
            <w:vAlign w:val="center"/>
          </w:tcPr>
          <w:p w14:paraId="15788DF7">
            <w:pPr>
              <w:jc w:val="center"/>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编列内容规定</w:t>
            </w:r>
          </w:p>
        </w:tc>
      </w:tr>
      <w:tr w14:paraId="48BDBC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9" w:hRule="atLeast"/>
        </w:trPr>
        <w:tc>
          <w:tcPr>
            <w:tcW w:w="1552" w:type="dxa"/>
            <w:vAlign w:val="center"/>
          </w:tcPr>
          <w:p w14:paraId="6AA3C338">
            <w:pPr>
              <w:spacing w:line="360" w:lineRule="auto"/>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第1.3</w:t>
            </w:r>
            <w:r>
              <w:rPr>
                <w:rFonts w:hint="eastAsia" w:asciiTheme="minorEastAsia" w:hAnsiTheme="minorEastAsia" w:eastAsiaTheme="minorEastAsia" w:cstheme="minorEastAsia"/>
                <w:sz w:val="24"/>
                <w:szCs w:val="32"/>
                <w:lang w:val="zh-CN"/>
              </w:rPr>
              <w:t>款</w:t>
            </w:r>
          </w:p>
        </w:tc>
        <w:tc>
          <w:tcPr>
            <w:tcW w:w="2375" w:type="dxa"/>
            <w:vAlign w:val="center"/>
          </w:tcPr>
          <w:p w14:paraId="27852944">
            <w:pPr>
              <w:spacing w:line="360" w:lineRule="auto"/>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评标方法</w:t>
            </w:r>
          </w:p>
        </w:tc>
        <w:tc>
          <w:tcPr>
            <w:tcW w:w="5782" w:type="dxa"/>
            <w:vAlign w:val="center"/>
          </w:tcPr>
          <w:p w14:paraId="3A8CDB16">
            <w:pPr>
              <w:spacing w:line="360" w:lineRule="auto"/>
              <w:jc w:val="left"/>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综合评分法</w:t>
            </w:r>
          </w:p>
        </w:tc>
      </w:tr>
      <w:tr w14:paraId="6DA38F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552" w:type="dxa"/>
            <w:vAlign w:val="center"/>
          </w:tcPr>
          <w:p w14:paraId="5C4D72A7">
            <w:pPr>
              <w:spacing w:line="360" w:lineRule="auto"/>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第4.2</w:t>
            </w:r>
            <w:r>
              <w:rPr>
                <w:rFonts w:hint="eastAsia" w:asciiTheme="minorEastAsia" w:hAnsiTheme="minorEastAsia" w:eastAsiaTheme="minorEastAsia" w:cstheme="minorEastAsia"/>
                <w:sz w:val="24"/>
                <w:szCs w:val="32"/>
                <w:lang w:val="zh-CN"/>
              </w:rPr>
              <w:t>款</w:t>
            </w:r>
          </w:p>
        </w:tc>
        <w:tc>
          <w:tcPr>
            <w:tcW w:w="2375" w:type="dxa"/>
            <w:vAlign w:val="center"/>
          </w:tcPr>
          <w:p w14:paraId="223450CE">
            <w:pPr>
              <w:spacing w:line="360" w:lineRule="auto"/>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投标文件报价出现</w:t>
            </w:r>
          </w:p>
          <w:p w14:paraId="4C0CA409">
            <w:pPr>
              <w:spacing w:line="360" w:lineRule="auto"/>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前后不一致的修正</w:t>
            </w:r>
          </w:p>
        </w:tc>
        <w:tc>
          <w:tcPr>
            <w:tcW w:w="5782" w:type="dxa"/>
            <w:vAlign w:val="center"/>
          </w:tcPr>
          <w:p w14:paraId="1BFDC5C3">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1.投标文件中开标一览表（报价表）内容与投标文件中相应内容不一致的，以开标一览表（报价表）为准；</w:t>
            </w:r>
          </w:p>
          <w:p w14:paraId="7198912B">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2.大写金额和小写金额不一致的，以大写金额为准；</w:t>
            </w:r>
          </w:p>
          <w:p w14:paraId="05061BD5">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3.单价金额小数点或者百分比有明显错位的，以开标一览表的总价为准，并修改单价；</w:t>
            </w:r>
          </w:p>
          <w:p w14:paraId="56665B92">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4.总价金额与按单价汇总金额不一致的，以单价金额计算结果为准。</w:t>
            </w:r>
          </w:p>
          <w:p w14:paraId="2FD3DBCA">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同时出现两种以上不一致的，按照以上规定的顺序修正。修正后的报价由投标人代表签字或者加盖单位公章确认后产生约束力，投标人不确认的，其投标无效。</w:t>
            </w:r>
          </w:p>
        </w:tc>
      </w:tr>
      <w:tr w14:paraId="687EE8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1" w:hRule="atLeast"/>
        </w:trPr>
        <w:tc>
          <w:tcPr>
            <w:tcW w:w="1552" w:type="dxa"/>
            <w:vAlign w:val="center"/>
          </w:tcPr>
          <w:p w14:paraId="71047C2A">
            <w:pPr>
              <w:spacing w:line="360" w:lineRule="auto"/>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第5.4款</w:t>
            </w:r>
          </w:p>
          <w:p w14:paraId="541C3BE3">
            <w:pPr>
              <w:spacing w:line="360" w:lineRule="auto"/>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第（1）项</w:t>
            </w:r>
          </w:p>
        </w:tc>
        <w:tc>
          <w:tcPr>
            <w:tcW w:w="2375" w:type="dxa"/>
            <w:vAlign w:val="center"/>
          </w:tcPr>
          <w:p w14:paraId="5A324B34">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价格评审优惠</w:t>
            </w:r>
          </w:p>
        </w:tc>
        <w:tc>
          <w:tcPr>
            <w:tcW w:w="5782" w:type="dxa"/>
            <w:vAlign w:val="center"/>
          </w:tcPr>
          <w:p w14:paraId="567BFEA1">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lang w:val="en-US" w:eastAsia="zh-CN"/>
              </w:rPr>
              <w:t>供应商为</w:t>
            </w:r>
            <w:r>
              <w:rPr>
                <w:rFonts w:hint="eastAsia" w:asciiTheme="minorEastAsia" w:hAnsiTheme="minorEastAsia" w:eastAsiaTheme="minorEastAsia" w:cstheme="minorEastAsia"/>
                <w:sz w:val="24"/>
                <w:szCs w:val="32"/>
              </w:rPr>
              <w:t>小型和微型企业、监狱企业、残疾人福利性</w:t>
            </w:r>
            <w:r>
              <w:rPr>
                <w:rFonts w:hint="eastAsia" w:asciiTheme="minorEastAsia" w:hAnsiTheme="minorEastAsia" w:eastAsiaTheme="minorEastAsia" w:cstheme="minorEastAsia"/>
                <w:sz w:val="24"/>
                <w:szCs w:val="32"/>
                <w:lang w:val="en-US" w:eastAsia="zh-CN"/>
              </w:rPr>
              <w:t>企业</w:t>
            </w:r>
            <w:r>
              <w:rPr>
                <w:rFonts w:hint="eastAsia" w:asciiTheme="minorEastAsia" w:hAnsiTheme="minorEastAsia" w:eastAsiaTheme="minorEastAsia" w:cstheme="minorEastAsia"/>
                <w:sz w:val="24"/>
                <w:szCs w:val="32"/>
              </w:rPr>
              <w:t>的价格给予</w:t>
            </w:r>
            <w:r>
              <w:rPr>
                <w:rFonts w:hint="eastAsia" w:asciiTheme="minorEastAsia" w:hAnsiTheme="minorEastAsia" w:eastAsiaTheme="minorEastAsia" w:cstheme="minorEastAsia"/>
                <w:sz w:val="24"/>
                <w:szCs w:val="32"/>
                <w:lang w:eastAsia="zh-CN"/>
              </w:rPr>
              <w:t>10%—20%</w:t>
            </w:r>
            <w:r>
              <w:rPr>
                <w:rFonts w:hint="eastAsia" w:asciiTheme="minorEastAsia" w:hAnsiTheme="minorEastAsia" w:eastAsiaTheme="minorEastAsia" w:cstheme="minorEastAsia"/>
                <w:sz w:val="24"/>
                <w:szCs w:val="32"/>
              </w:rPr>
              <w:t>的扣除，用扣除后的价格参与评审，本项目具体扣除比例为10%。</w:t>
            </w:r>
          </w:p>
          <w:p w14:paraId="6DE4402D">
            <w:pPr>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b/>
                <w:bCs/>
                <w:sz w:val="24"/>
                <w:szCs w:val="32"/>
              </w:rPr>
              <w:t>备注：</w:t>
            </w:r>
            <w:r>
              <w:rPr>
                <w:rFonts w:hint="eastAsia" w:asciiTheme="minorEastAsia" w:hAnsiTheme="minorEastAsia" w:eastAsiaTheme="minorEastAsia" w:cstheme="minorEastAsia"/>
                <w:sz w:val="24"/>
                <w:szCs w:val="32"/>
              </w:rPr>
              <w:t>残疾人福利性企业、小型、微型企业和监狱企业，不重复享受政策，即供应商同时符合小型、微型企业及监狱企业、残疾人福利性单位要求的，评审时只有一种类型享受价格评审优惠政策。</w:t>
            </w:r>
          </w:p>
        </w:tc>
      </w:tr>
      <w:tr w14:paraId="3F88D0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24" w:hRule="atLeast"/>
        </w:trPr>
        <w:tc>
          <w:tcPr>
            <w:tcW w:w="1552" w:type="dxa"/>
            <w:vAlign w:val="center"/>
          </w:tcPr>
          <w:p w14:paraId="79584DA7">
            <w:pPr>
              <w:spacing w:line="360" w:lineRule="auto"/>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第6.2</w:t>
            </w:r>
            <w:r>
              <w:rPr>
                <w:rFonts w:hint="eastAsia" w:asciiTheme="minorEastAsia" w:hAnsiTheme="minorEastAsia" w:eastAsiaTheme="minorEastAsia" w:cstheme="minorEastAsia"/>
                <w:sz w:val="24"/>
                <w:szCs w:val="32"/>
                <w:lang w:val="zh-CN"/>
              </w:rPr>
              <w:t>款</w:t>
            </w:r>
          </w:p>
        </w:tc>
        <w:tc>
          <w:tcPr>
            <w:tcW w:w="2375" w:type="dxa"/>
            <w:vAlign w:val="center"/>
          </w:tcPr>
          <w:p w14:paraId="4BA804BD">
            <w:pPr>
              <w:spacing w:line="360" w:lineRule="auto"/>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中标候选人并列的</w:t>
            </w:r>
          </w:p>
          <w:p w14:paraId="07CAB748">
            <w:pPr>
              <w:spacing w:line="360" w:lineRule="auto"/>
              <w:jc w:val="center"/>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sz w:val="24"/>
                <w:szCs w:val="32"/>
              </w:rPr>
              <w:t>确定中标人的方式</w:t>
            </w:r>
          </w:p>
        </w:tc>
        <w:tc>
          <w:tcPr>
            <w:tcW w:w="5782" w:type="dxa"/>
            <w:vAlign w:val="center"/>
          </w:tcPr>
          <w:p w14:paraId="06E5F8DC">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在评标报告确定的中标候选人名单中按得分从高到低顺序确定中标人。得分相同的，按评审报价由低到高顺序确定中标人；得分且评审报价相同的并列，</w:t>
            </w:r>
            <w:r>
              <w:rPr>
                <w:rFonts w:hint="eastAsia" w:asciiTheme="minorEastAsia" w:hAnsiTheme="minorEastAsia" w:eastAsiaTheme="minorEastAsia" w:cstheme="minorEastAsia"/>
                <w:sz w:val="24"/>
              </w:rPr>
              <w:t>按技术指标优劣顺序确定</w:t>
            </w:r>
            <w:r>
              <w:rPr>
                <w:rFonts w:hint="eastAsia" w:asciiTheme="minorEastAsia" w:hAnsiTheme="minorEastAsia" w:eastAsiaTheme="minorEastAsia" w:cstheme="minorEastAsia"/>
                <w:sz w:val="24"/>
                <w:szCs w:val="32"/>
              </w:rPr>
              <w:t>中标人；若都相同，采取随机抽取的方式确定中标人。</w:t>
            </w:r>
          </w:p>
        </w:tc>
      </w:tr>
    </w:tbl>
    <w:p w14:paraId="5B81F0E4">
      <w:pPr>
        <w:adjustRightInd w:val="0"/>
        <w:snapToGrid w:val="0"/>
        <w:spacing w:before="156" w:beforeLines="50"/>
        <w:rPr>
          <w:rFonts w:hint="eastAsia" w:asciiTheme="minorEastAsia" w:hAnsiTheme="minorEastAsia" w:eastAsiaTheme="minorEastAsia" w:cstheme="minorEastAsia"/>
          <w:sz w:val="28"/>
          <w:szCs w:val="36"/>
        </w:rPr>
      </w:pPr>
    </w:p>
    <w:p w14:paraId="0AB04EDE">
      <w:pPr>
        <w:pStyle w:val="4"/>
        <w:numPr>
          <w:ilvl w:val="0"/>
          <w:numId w:val="29"/>
        </w:numPr>
        <w:jc w:val="center"/>
        <w:rPr>
          <w:rFonts w:hint="eastAsia" w:asciiTheme="minorEastAsia" w:hAnsiTheme="minorEastAsia" w:eastAsiaTheme="minorEastAsia" w:cstheme="minorEastAsia"/>
          <w:sz w:val="32"/>
          <w:szCs w:val="40"/>
        </w:rPr>
      </w:pPr>
      <w:bookmarkStart w:id="160" w:name="_Toc6501"/>
      <w:r>
        <w:rPr>
          <w:rFonts w:hint="eastAsia" w:asciiTheme="minorEastAsia" w:hAnsiTheme="minorEastAsia" w:eastAsiaTheme="minorEastAsia" w:cstheme="minorEastAsia"/>
          <w:sz w:val="32"/>
          <w:szCs w:val="40"/>
        </w:rPr>
        <w:t>评标方法及标准</w:t>
      </w:r>
      <w:bookmarkEnd w:id="160"/>
    </w:p>
    <w:p w14:paraId="28CE5984">
      <w:pPr>
        <w:spacing w:line="360" w:lineRule="auto"/>
        <w:ind w:right="-4" w:firstLine="241" w:firstLineChars="100"/>
        <w:rPr>
          <w:rFonts w:hint="eastAsia" w:asciiTheme="minorEastAsia" w:hAnsiTheme="minorEastAsia" w:eastAsiaTheme="minorEastAsia" w:cstheme="minorEastAsia"/>
          <w:b/>
          <w:bCs/>
          <w:sz w:val="24"/>
          <w:szCs w:val="32"/>
        </w:rPr>
      </w:pPr>
      <w:bookmarkStart w:id="161" w:name="_Toc24387"/>
      <w:bookmarkStart w:id="162" w:name="_Toc20706"/>
      <w:bookmarkStart w:id="163" w:name="_Toc12769"/>
      <w:bookmarkStart w:id="164" w:name="_Toc20651216"/>
      <w:bookmarkStart w:id="165" w:name="_Toc19011"/>
      <w:bookmarkStart w:id="166" w:name="_Toc30613"/>
      <w:bookmarkStart w:id="167" w:name="_Toc25176"/>
      <w:bookmarkStart w:id="168" w:name="_Toc31237"/>
      <w:r>
        <w:rPr>
          <w:rFonts w:hint="eastAsia" w:asciiTheme="minorEastAsia" w:hAnsiTheme="minorEastAsia" w:eastAsiaTheme="minorEastAsia" w:cstheme="minorEastAsia"/>
          <w:b/>
          <w:bCs/>
          <w:sz w:val="24"/>
          <w:szCs w:val="32"/>
        </w:rPr>
        <w:t>1.评标方法</w:t>
      </w:r>
      <w:bookmarkEnd w:id="161"/>
      <w:bookmarkEnd w:id="162"/>
      <w:bookmarkEnd w:id="163"/>
      <w:bookmarkEnd w:id="164"/>
      <w:bookmarkEnd w:id="165"/>
      <w:bookmarkEnd w:id="166"/>
      <w:bookmarkEnd w:id="167"/>
      <w:bookmarkEnd w:id="168"/>
    </w:p>
    <w:p w14:paraId="0F4CDFA5">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1.1综合评分法，指投标文件满足招标文件全部实质性要求，且按照评审因素的量化指标评审得分最高的投标人为中标候选人的评标方法。</w:t>
      </w:r>
    </w:p>
    <w:p w14:paraId="132C6362">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1.2最低评标价，是指投标文件满足招标文件全部实质性要求，且投标报价最低的投标人为中标候选人的评标方法。</w:t>
      </w:r>
    </w:p>
    <w:p w14:paraId="28ED610C">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1.3本采购项目评标方法见本章第一节</w:t>
      </w:r>
      <w:r>
        <w:rPr>
          <w:rFonts w:hint="eastAsia" w:asciiTheme="minorEastAsia" w:hAnsiTheme="minorEastAsia" w:eastAsiaTheme="minorEastAsia" w:cstheme="minorEastAsia"/>
          <w:b/>
          <w:bCs/>
          <w:sz w:val="24"/>
          <w:szCs w:val="32"/>
        </w:rPr>
        <w:t>【评标方法及标准前附表】</w:t>
      </w:r>
      <w:r>
        <w:rPr>
          <w:rFonts w:hint="eastAsia" w:asciiTheme="minorEastAsia" w:hAnsiTheme="minorEastAsia" w:eastAsiaTheme="minorEastAsia" w:cstheme="minorEastAsia"/>
          <w:sz w:val="24"/>
          <w:szCs w:val="32"/>
        </w:rPr>
        <w:t>。</w:t>
      </w:r>
    </w:p>
    <w:p w14:paraId="35B0D6E9">
      <w:pPr>
        <w:spacing w:line="360" w:lineRule="auto"/>
        <w:ind w:right="-4" w:firstLine="241" w:firstLineChars="100"/>
        <w:rPr>
          <w:rFonts w:hint="eastAsia" w:asciiTheme="minorEastAsia" w:hAnsiTheme="minorEastAsia" w:eastAsiaTheme="minorEastAsia" w:cstheme="minorEastAsia"/>
          <w:b/>
          <w:bCs/>
          <w:sz w:val="24"/>
          <w:szCs w:val="32"/>
        </w:rPr>
      </w:pPr>
      <w:bookmarkStart w:id="169" w:name="_Toc17984"/>
      <w:bookmarkStart w:id="170" w:name="_Toc1903"/>
      <w:bookmarkStart w:id="171" w:name="_Toc1562"/>
      <w:bookmarkStart w:id="172" w:name="_Toc16119"/>
      <w:bookmarkStart w:id="173" w:name="_Toc25877"/>
      <w:bookmarkStart w:id="174" w:name="_Toc27557"/>
      <w:bookmarkStart w:id="175" w:name="_Toc18349"/>
      <w:bookmarkStart w:id="176" w:name="_Toc20651217"/>
      <w:bookmarkStart w:id="177" w:name="_Toc16042"/>
      <w:bookmarkStart w:id="178" w:name="_Toc6778"/>
      <w:r>
        <w:rPr>
          <w:rFonts w:hint="eastAsia" w:asciiTheme="minorEastAsia" w:hAnsiTheme="minorEastAsia" w:eastAsiaTheme="minorEastAsia" w:cstheme="minorEastAsia"/>
          <w:b/>
          <w:bCs/>
          <w:sz w:val="24"/>
          <w:szCs w:val="32"/>
        </w:rPr>
        <w:t>2.评标程序</w:t>
      </w:r>
      <w:bookmarkEnd w:id="169"/>
      <w:bookmarkEnd w:id="170"/>
      <w:bookmarkEnd w:id="171"/>
      <w:bookmarkEnd w:id="172"/>
      <w:bookmarkEnd w:id="173"/>
      <w:bookmarkEnd w:id="174"/>
      <w:bookmarkEnd w:id="175"/>
      <w:bookmarkEnd w:id="176"/>
      <w:bookmarkEnd w:id="177"/>
      <w:bookmarkEnd w:id="178"/>
    </w:p>
    <w:p w14:paraId="5C318268">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2.1评标程序分为投标文件符合性审查、澄清有关问题、比较和评价、推荐中标候选人。</w:t>
      </w:r>
    </w:p>
    <w:p w14:paraId="7264C0D8">
      <w:pPr>
        <w:spacing w:line="360" w:lineRule="auto"/>
        <w:ind w:right="-4" w:firstLine="241" w:firstLineChars="100"/>
        <w:rPr>
          <w:rFonts w:hint="eastAsia" w:asciiTheme="minorEastAsia" w:hAnsiTheme="minorEastAsia" w:eastAsiaTheme="minorEastAsia" w:cstheme="minorEastAsia"/>
          <w:b/>
          <w:bCs/>
          <w:sz w:val="24"/>
          <w:szCs w:val="32"/>
        </w:rPr>
      </w:pPr>
      <w:bookmarkStart w:id="179" w:name="_Toc4305"/>
      <w:bookmarkStart w:id="180" w:name="_Toc20813"/>
      <w:bookmarkStart w:id="181" w:name="_Toc20651218"/>
      <w:bookmarkStart w:id="182" w:name="_Toc15093"/>
      <w:bookmarkStart w:id="183" w:name="_Toc9201"/>
      <w:bookmarkStart w:id="184" w:name="_Toc3279"/>
      <w:bookmarkStart w:id="185" w:name="_Toc22631"/>
      <w:bookmarkStart w:id="186" w:name="_Toc16158"/>
      <w:bookmarkStart w:id="187" w:name="_Toc8146"/>
      <w:bookmarkStart w:id="188" w:name="_Toc31746"/>
      <w:r>
        <w:rPr>
          <w:rFonts w:hint="eastAsia" w:asciiTheme="minorEastAsia" w:hAnsiTheme="minorEastAsia" w:eastAsiaTheme="minorEastAsia" w:cstheme="minorEastAsia"/>
          <w:b/>
          <w:bCs/>
          <w:sz w:val="24"/>
          <w:szCs w:val="32"/>
        </w:rPr>
        <w:t>3.投标文件的符合性审查</w:t>
      </w:r>
      <w:bookmarkEnd w:id="179"/>
      <w:bookmarkEnd w:id="180"/>
      <w:bookmarkEnd w:id="181"/>
      <w:bookmarkEnd w:id="182"/>
      <w:bookmarkEnd w:id="183"/>
      <w:bookmarkEnd w:id="184"/>
      <w:bookmarkEnd w:id="185"/>
      <w:bookmarkEnd w:id="186"/>
      <w:bookmarkEnd w:id="187"/>
      <w:bookmarkEnd w:id="188"/>
    </w:p>
    <w:p w14:paraId="1E472258">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3.1资格审查结束后，评标委员会依法按照本章第三节“投标文件的符合性审查”规定进行投标文件符合性。</w:t>
      </w:r>
    </w:p>
    <w:p w14:paraId="29FD57D2">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3.2符合性审查合格投标人少于3家的，应予废标。</w:t>
      </w:r>
    </w:p>
    <w:p w14:paraId="0604C647">
      <w:pPr>
        <w:spacing w:line="360" w:lineRule="auto"/>
        <w:ind w:right="-4" w:firstLine="241" w:firstLineChars="100"/>
        <w:rPr>
          <w:rFonts w:hint="eastAsia" w:asciiTheme="minorEastAsia" w:hAnsiTheme="minorEastAsia" w:eastAsiaTheme="minorEastAsia" w:cstheme="minorEastAsia"/>
          <w:b/>
          <w:bCs/>
          <w:sz w:val="24"/>
          <w:szCs w:val="32"/>
        </w:rPr>
      </w:pPr>
      <w:bookmarkStart w:id="189" w:name="_Toc26734"/>
      <w:bookmarkStart w:id="190" w:name="_Toc7621"/>
      <w:bookmarkStart w:id="191" w:name="_Toc20651219"/>
      <w:bookmarkStart w:id="192" w:name="_Toc28779"/>
      <w:bookmarkStart w:id="193" w:name="_Toc8944"/>
      <w:bookmarkStart w:id="194" w:name="_Toc10323"/>
      <w:bookmarkStart w:id="195" w:name="_Toc21236"/>
      <w:bookmarkStart w:id="196" w:name="_Toc20703"/>
      <w:bookmarkStart w:id="197" w:name="_Toc23862"/>
      <w:bookmarkStart w:id="198" w:name="_Toc3274"/>
      <w:r>
        <w:rPr>
          <w:rFonts w:hint="eastAsia" w:asciiTheme="minorEastAsia" w:hAnsiTheme="minorEastAsia" w:eastAsiaTheme="minorEastAsia" w:cstheme="minorEastAsia"/>
          <w:b/>
          <w:bCs/>
          <w:sz w:val="24"/>
          <w:szCs w:val="32"/>
        </w:rPr>
        <w:t>4.投标文件的澄清</w:t>
      </w:r>
      <w:bookmarkEnd w:id="189"/>
      <w:bookmarkEnd w:id="190"/>
      <w:bookmarkEnd w:id="191"/>
      <w:bookmarkEnd w:id="192"/>
      <w:bookmarkEnd w:id="193"/>
      <w:bookmarkEnd w:id="194"/>
      <w:bookmarkEnd w:id="195"/>
      <w:bookmarkEnd w:id="196"/>
      <w:bookmarkEnd w:id="197"/>
      <w:bookmarkEnd w:id="198"/>
    </w:p>
    <w:p w14:paraId="0037589B">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4.1对于投标文件中含义不明确、同类问题表述不一致或者有明显文字和计算错误的内容，评标委员会应当以书面形式要求投标人作出必要的澄清、说明或者补正。</w:t>
      </w:r>
    </w:p>
    <w:p w14:paraId="664ED85F">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4.2投标文件的投标报价出现</w:t>
      </w:r>
      <w:r>
        <w:rPr>
          <w:rFonts w:hint="eastAsia" w:asciiTheme="minorEastAsia" w:hAnsiTheme="minorEastAsia" w:eastAsiaTheme="minorEastAsia" w:cstheme="minorEastAsia"/>
          <w:color w:val="000000" w:themeColor="text1"/>
          <w:sz w:val="24"/>
          <w14:textFill>
            <w14:solidFill>
              <w14:schemeClr w14:val="tx1"/>
            </w14:solidFill>
          </w14:textFill>
        </w:rPr>
        <w:t>前后不一致的，除</w:t>
      </w:r>
      <w:r>
        <w:rPr>
          <w:rFonts w:hint="eastAsia" w:asciiTheme="minorEastAsia" w:hAnsiTheme="minorEastAsia" w:eastAsiaTheme="minorEastAsia" w:cstheme="minorEastAsia"/>
          <w:b/>
          <w:color w:val="000000" w:themeColor="text1"/>
          <w:sz w:val="24"/>
          <w14:textFill>
            <w14:solidFill>
              <w14:schemeClr w14:val="tx1"/>
            </w14:solidFill>
          </w14:textFill>
        </w:rPr>
        <w:t>【评标方法及标准前附表】</w:t>
      </w:r>
      <w:r>
        <w:rPr>
          <w:rFonts w:hint="eastAsia" w:asciiTheme="minorEastAsia" w:hAnsiTheme="minorEastAsia" w:eastAsiaTheme="minorEastAsia" w:cstheme="minorEastAsia"/>
          <w:color w:val="000000" w:themeColor="text1"/>
          <w:sz w:val="24"/>
          <w14:textFill>
            <w14:solidFill>
              <w14:schemeClr w14:val="tx1"/>
            </w14:solidFill>
          </w14:textFill>
        </w:rPr>
        <w:t>另有规定外，按照下列规定修正</w:t>
      </w:r>
      <w:r>
        <w:rPr>
          <w:rFonts w:hint="eastAsia" w:asciiTheme="minorEastAsia" w:hAnsiTheme="minorEastAsia" w:eastAsiaTheme="minorEastAsia" w:cstheme="minorEastAsia"/>
          <w:sz w:val="24"/>
          <w:szCs w:val="32"/>
        </w:rPr>
        <w:t>：</w:t>
      </w:r>
    </w:p>
    <w:p w14:paraId="79CF98D7">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（1）投标文件中开标一览表内容与投标文件中相应内容不一致的，以开标一览表为准；</w:t>
      </w:r>
    </w:p>
    <w:p w14:paraId="2C2760A6">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（2）大写金额和小写金额不一致的，以大写金额为准；</w:t>
      </w:r>
    </w:p>
    <w:p w14:paraId="7DB3938C">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（3）单价金额小数点或百分比有明显错位的，以开标一览表的总价为准，并修改单价；</w:t>
      </w:r>
    </w:p>
    <w:p w14:paraId="6D305A7E">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（4）总价金额与按单价汇总金额不一致的，以单价金额计算结果为准。</w:t>
      </w:r>
    </w:p>
    <w:p w14:paraId="730C7EB1">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4.3投标文件报价同时出现两种以上不一致的，按照前款规定的顺序修正。修正后的报价由投标人代表签字或者加盖单位公章确认后产生约束力，投标人不确认的，其投标无效。</w:t>
      </w:r>
    </w:p>
    <w:p w14:paraId="4165544C">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sz w:val="24"/>
          <w:szCs w:val="32"/>
        </w:rPr>
        <w:t>4.4投标人的澄清、说明或者补正应当采用书面形式，并加盖公章，或者由法定代表人或其授权的代表签字，并按评标</w:t>
      </w:r>
      <w:r>
        <w:rPr>
          <w:rFonts w:hint="eastAsia" w:asciiTheme="minorEastAsia" w:hAnsiTheme="minorEastAsia" w:eastAsiaTheme="minorEastAsia" w:cstheme="minorEastAsia"/>
          <w:color w:val="000000" w:themeColor="text1"/>
          <w:sz w:val="24"/>
          <w14:textFill>
            <w14:solidFill>
              <w14:schemeClr w14:val="tx1"/>
            </w14:solidFill>
          </w14:textFill>
        </w:rPr>
        <w:t>委员会的通知要求递交。投标人的澄清、说明或者补正不得超出投标文件的范围或者改变投标文件的实质性内容。</w:t>
      </w:r>
    </w:p>
    <w:p w14:paraId="675FB528">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4.5有效的书面澄清材料，是投标文件的补充材料，成为投标文件的组成部分。</w:t>
      </w:r>
    </w:p>
    <w:p w14:paraId="5DB5BFA8">
      <w:pPr>
        <w:spacing w:line="360" w:lineRule="auto"/>
        <w:ind w:right="-4" w:firstLine="48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sz w:val="24"/>
          <w:szCs w:val="32"/>
        </w:rPr>
        <w:t>4.6评标委员会认为投标人的报价明显低于其他通过符合性审查投标人的报价，有可能影响产品质量或</w:t>
      </w:r>
      <w:r>
        <w:rPr>
          <w:rFonts w:hint="eastAsia" w:asciiTheme="minorEastAsia" w:hAnsiTheme="minorEastAsia" w:eastAsiaTheme="minorEastAsia" w:cstheme="minorEastAsia"/>
          <w:color w:val="000000" w:themeColor="text1"/>
          <w:sz w:val="24"/>
          <w14:textFill>
            <w14:solidFill>
              <w14:schemeClr w14:val="tx1"/>
            </w14:solidFill>
          </w14:textFill>
        </w:rPr>
        <w:t>者</w:t>
      </w:r>
      <w:r>
        <w:rPr>
          <w:rFonts w:hint="eastAsia" w:asciiTheme="minorEastAsia" w:hAnsiTheme="minorEastAsia" w:eastAsiaTheme="minorEastAsia" w:cstheme="minorEastAsia"/>
          <w:sz w:val="24"/>
          <w:szCs w:val="32"/>
        </w:rPr>
        <w:t>不能诚信履约的，应当要求其在评标现场合理的时间内提供书面说明，必要时提交相关证明材料；投标人</w:t>
      </w:r>
      <w:r>
        <w:rPr>
          <w:rFonts w:hint="eastAsia" w:asciiTheme="minorEastAsia" w:hAnsiTheme="minorEastAsia" w:eastAsiaTheme="minorEastAsia" w:cstheme="minorEastAsia"/>
          <w:color w:val="000000" w:themeColor="text1"/>
          <w:sz w:val="24"/>
          <w14:textFill>
            <w14:solidFill>
              <w14:schemeClr w14:val="tx1"/>
            </w14:solidFill>
          </w14:textFill>
        </w:rPr>
        <w:t>不能证明其报价合理性的评标委员会应当将其作为投标无效处理。</w:t>
      </w:r>
    </w:p>
    <w:p w14:paraId="2086811A">
      <w:pPr>
        <w:spacing w:line="360" w:lineRule="auto"/>
        <w:ind w:right="-4" w:firstLine="241" w:firstLineChars="100"/>
        <w:rPr>
          <w:rFonts w:hint="eastAsia" w:asciiTheme="minorEastAsia" w:hAnsiTheme="minorEastAsia" w:eastAsiaTheme="minorEastAsia" w:cstheme="minorEastAsia"/>
          <w:b/>
          <w:bCs/>
          <w:sz w:val="24"/>
          <w:szCs w:val="32"/>
        </w:rPr>
      </w:pPr>
      <w:bookmarkStart w:id="199" w:name="_Toc10742"/>
      <w:bookmarkStart w:id="200" w:name="_Toc32102"/>
      <w:bookmarkStart w:id="201" w:name="_Toc3912"/>
      <w:bookmarkStart w:id="202" w:name="_Toc29907"/>
      <w:bookmarkStart w:id="203" w:name="_Toc13472"/>
      <w:bookmarkStart w:id="204" w:name="_Toc30603"/>
      <w:bookmarkStart w:id="205" w:name="_Toc7884"/>
      <w:bookmarkStart w:id="206" w:name="_Toc19692"/>
      <w:bookmarkStart w:id="207" w:name="_Toc29800"/>
      <w:bookmarkStart w:id="208" w:name="_Toc20651220"/>
      <w:r>
        <w:rPr>
          <w:rFonts w:hint="eastAsia" w:asciiTheme="minorEastAsia" w:hAnsiTheme="minorEastAsia" w:eastAsiaTheme="minorEastAsia" w:cstheme="minorEastAsia"/>
          <w:b/>
          <w:bCs/>
          <w:sz w:val="24"/>
          <w:szCs w:val="32"/>
        </w:rPr>
        <w:t>5.投标文件的比较与评价</w:t>
      </w:r>
      <w:bookmarkEnd w:id="199"/>
      <w:bookmarkEnd w:id="200"/>
      <w:bookmarkEnd w:id="201"/>
      <w:bookmarkEnd w:id="202"/>
      <w:bookmarkEnd w:id="203"/>
      <w:bookmarkEnd w:id="204"/>
      <w:bookmarkEnd w:id="205"/>
      <w:bookmarkEnd w:id="206"/>
      <w:bookmarkEnd w:id="207"/>
      <w:bookmarkEnd w:id="208"/>
    </w:p>
    <w:p w14:paraId="63137997">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5.1评标委员会依法按照本章第三节“投标文件的比较与评价”规定，对资格性检查和符合性检查合格的投标文件进行比较和评价。</w:t>
      </w:r>
    </w:p>
    <w:p w14:paraId="11B6B458">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sz w:val="24"/>
          <w:szCs w:val="32"/>
        </w:rPr>
        <w:t>5.</w:t>
      </w:r>
      <w:r>
        <w:rPr>
          <w:rFonts w:hint="eastAsia" w:asciiTheme="minorEastAsia" w:hAnsiTheme="minorEastAsia" w:eastAsiaTheme="minorEastAsia" w:cstheme="minorEastAsia"/>
          <w:sz w:val="24"/>
          <w:szCs w:val="32"/>
          <w:lang w:val="en-US" w:eastAsia="zh-CN"/>
        </w:rPr>
        <w:t>2</w:t>
      </w:r>
      <w:r>
        <w:rPr>
          <w:rFonts w:hint="eastAsia" w:asciiTheme="minorEastAsia" w:hAnsiTheme="minorEastAsia" w:eastAsiaTheme="minorEastAsia" w:cstheme="minorEastAsia"/>
          <w:color w:val="000000" w:themeColor="text1"/>
          <w:sz w:val="24"/>
          <w14:textFill>
            <w14:solidFill>
              <w14:schemeClr w14:val="tx1"/>
            </w14:solidFill>
          </w14:textFill>
        </w:rPr>
        <w:t>价格评审优惠</w:t>
      </w:r>
      <w:r>
        <w:rPr>
          <w:rFonts w:hint="eastAsia" w:asciiTheme="minorEastAsia" w:hAnsiTheme="minorEastAsia" w:eastAsiaTheme="minorEastAsia" w:cstheme="minorEastAsia"/>
          <w:sz w:val="24"/>
          <w:szCs w:val="32"/>
        </w:rPr>
        <w:t>政府采购政策</w:t>
      </w:r>
      <w:r>
        <w:rPr>
          <w:rFonts w:hint="eastAsia" w:asciiTheme="minorEastAsia" w:hAnsiTheme="minorEastAsia" w:eastAsiaTheme="minorEastAsia" w:cstheme="minorEastAsia"/>
          <w:color w:val="000000" w:themeColor="text1"/>
          <w:sz w:val="24"/>
          <w14:textFill>
            <w14:solidFill>
              <w14:schemeClr w14:val="tx1"/>
            </w14:solidFill>
          </w14:textFill>
        </w:rPr>
        <w:t>：按【</w:t>
      </w:r>
      <w:r>
        <w:rPr>
          <w:rFonts w:hint="eastAsia" w:asciiTheme="minorEastAsia" w:hAnsiTheme="minorEastAsia" w:eastAsiaTheme="minorEastAsia" w:cstheme="minorEastAsia"/>
          <w:b/>
          <w:bCs/>
          <w:color w:val="000000" w:themeColor="text1"/>
          <w:sz w:val="24"/>
          <w14:textFill>
            <w14:solidFill>
              <w14:schemeClr w14:val="tx1"/>
            </w14:solidFill>
          </w14:textFill>
        </w:rPr>
        <w:t>评标方法及标准前附表</w:t>
      </w:r>
      <w:r>
        <w:rPr>
          <w:rFonts w:hint="eastAsia" w:asciiTheme="minorEastAsia" w:hAnsiTheme="minorEastAsia" w:eastAsiaTheme="minorEastAsia" w:cstheme="minorEastAsia"/>
          <w:color w:val="000000" w:themeColor="text1"/>
          <w:sz w:val="24"/>
          <w14:textFill>
            <w14:solidFill>
              <w14:schemeClr w14:val="tx1"/>
            </w14:solidFill>
          </w14:textFill>
        </w:rPr>
        <w:t>】及第二章“投标须知”的相关规定给予一定的价格折扣。</w:t>
      </w:r>
    </w:p>
    <w:p w14:paraId="64ADF9A4">
      <w:pPr>
        <w:spacing w:line="360" w:lineRule="auto"/>
        <w:ind w:right="-4" w:firstLine="241" w:firstLineChars="100"/>
        <w:rPr>
          <w:rFonts w:hint="eastAsia" w:asciiTheme="minorEastAsia" w:hAnsiTheme="minorEastAsia" w:eastAsiaTheme="minorEastAsia" w:cstheme="minorEastAsia"/>
          <w:b/>
          <w:bCs/>
          <w:sz w:val="24"/>
          <w:szCs w:val="32"/>
        </w:rPr>
      </w:pPr>
      <w:bookmarkStart w:id="209" w:name="_Toc20410"/>
      <w:bookmarkStart w:id="210" w:name="_Toc20651221"/>
      <w:bookmarkStart w:id="211" w:name="_Toc30105"/>
      <w:bookmarkStart w:id="212" w:name="_Toc25320"/>
      <w:bookmarkStart w:id="213" w:name="_Toc22426"/>
      <w:bookmarkStart w:id="214" w:name="_Toc23362"/>
      <w:bookmarkStart w:id="215" w:name="_Toc30957"/>
      <w:bookmarkStart w:id="216" w:name="_Toc1596"/>
      <w:bookmarkStart w:id="217" w:name="_Toc15663"/>
      <w:bookmarkStart w:id="218" w:name="_Toc17333"/>
      <w:r>
        <w:rPr>
          <w:rFonts w:hint="eastAsia" w:asciiTheme="minorEastAsia" w:hAnsiTheme="minorEastAsia" w:eastAsiaTheme="minorEastAsia" w:cstheme="minorEastAsia"/>
          <w:b/>
          <w:bCs/>
          <w:sz w:val="24"/>
          <w:szCs w:val="32"/>
        </w:rPr>
        <w:t>6.推荐中标候选人</w:t>
      </w:r>
      <w:bookmarkEnd w:id="209"/>
      <w:bookmarkEnd w:id="210"/>
      <w:bookmarkEnd w:id="211"/>
      <w:bookmarkEnd w:id="212"/>
      <w:bookmarkEnd w:id="213"/>
      <w:bookmarkEnd w:id="214"/>
      <w:bookmarkEnd w:id="215"/>
      <w:bookmarkEnd w:id="216"/>
      <w:bookmarkEnd w:id="217"/>
      <w:bookmarkEnd w:id="218"/>
    </w:p>
    <w:p w14:paraId="014EFCB9">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6.1最低评标价法：评标结果按算术修正和落实政府采购政策需进行的价格扣除后的投标报价由低到高顺序排列。报价相同的并列，按</w:t>
      </w:r>
      <w:r>
        <w:rPr>
          <w:rFonts w:hint="eastAsia" w:asciiTheme="minorEastAsia" w:hAnsiTheme="minorEastAsia" w:eastAsiaTheme="minorEastAsia" w:cstheme="minorEastAsia"/>
          <w:b/>
          <w:bCs/>
          <w:sz w:val="24"/>
          <w:szCs w:val="32"/>
        </w:rPr>
        <w:t>【评标方法及标准前附表】</w:t>
      </w:r>
      <w:r>
        <w:rPr>
          <w:rFonts w:hint="eastAsia" w:asciiTheme="minorEastAsia" w:hAnsiTheme="minorEastAsia" w:eastAsiaTheme="minorEastAsia" w:cstheme="minorEastAsia"/>
          <w:sz w:val="24"/>
          <w:szCs w:val="32"/>
        </w:rPr>
        <w:t>规定的方式确定中标人；招标文件未规定的，采取随机抽取的方式确定。</w:t>
      </w:r>
    </w:p>
    <w:p w14:paraId="4E41E726">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6.2综合评分法：评标结果按评审后得分由高到低顺序排列。得分相同的，按投标报价由低到高顺序排列。得分且投标报价相同的并列，按</w:t>
      </w:r>
      <w:r>
        <w:rPr>
          <w:rFonts w:hint="eastAsia" w:asciiTheme="minorEastAsia" w:hAnsiTheme="minorEastAsia" w:eastAsiaTheme="minorEastAsia" w:cstheme="minorEastAsia"/>
          <w:b/>
          <w:bCs/>
          <w:sz w:val="24"/>
          <w:szCs w:val="32"/>
        </w:rPr>
        <w:t>【评标方法及标准前附表】</w:t>
      </w:r>
      <w:r>
        <w:rPr>
          <w:rFonts w:hint="eastAsia" w:asciiTheme="minorEastAsia" w:hAnsiTheme="minorEastAsia" w:eastAsiaTheme="minorEastAsia" w:cstheme="minorEastAsia"/>
          <w:sz w:val="24"/>
          <w:szCs w:val="32"/>
        </w:rPr>
        <w:t>规定的方式确定中标人；招标文件未规定的，采取随机抽取的方式确定。</w:t>
      </w:r>
    </w:p>
    <w:p w14:paraId="514D8182">
      <w:pPr>
        <w:spacing w:line="360" w:lineRule="auto"/>
        <w:ind w:right="-4" w:firstLine="241" w:firstLineChars="100"/>
        <w:rPr>
          <w:rFonts w:hint="eastAsia" w:asciiTheme="minorEastAsia" w:hAnsiTheme="minorEastAsia" w:eastAsiaTheme="minorEastAsia" w:cstheme="minorEastAsia"/>
          <w:b/>
          <w:bCs/>
          <w:sz w:val="24"/>
          <w:szCs w:val="32"/>
        </w:rPr>
      </w:pPr>
      <w:bookmarkStart w:id="219" w:name="_Toc4222"/>
      <w:bookmarkStart w:id="220" w:name="_Toc16500"/>
      <w:bookmarkStart w:id="221" w:name="_Toc10703"/>
      <w:bookmarkStart w:id="222" w:name="_Toc7585"/>
      <w:bookmarkStart w:id="223" w:name="_Toc31041"/>
      <w:bookmarkStart w:id="224" w:name="_Toc22322"/>
      <w:bookmarkStart w:id="225" w:name="_Toc3121"/>
      <w:bookmarkStart w:id="226" w:name="_Toc28162"/>
      <w:bookmarkStart w:id="227" w:name="_Toc20651222"/>
      <w:bookmarkStart w:id="228" w:name="_Toc14352"/>
      <w:r>
        <w:rPr>
          <w:rFonts w:hint="eastAsia" w:asciiTheme="minorEastAsia" w:hAnsiTheme="minorEastAsia" w:eastAsiaTheme="minorEastAsia" w:cstheme="minorEastAsia"/>
          <w:b/>
          <w:bCs/>
          <w:sz w:val="24"/>
          <w:szCs w:val="32"/>
        </w:rPr>
        <w:t>7.编写评标报告</w:t>
      </w:r>
      <w:bookmarkEnd w:id="219"/>
      <w:bookmarkEnd w:id="220"/>
      <w:bookmarkEnd w:id="221"/>
      <w:bookmarkEnd w:id="222"/>
      <w:bookmarkEnd w:id="223"/>
      <w:bookmarkEnd w:id="224"/>
      <w:bookmarkEnd w:id="225"/>
      <w:bookmarkEnd w:id="226"/>
      <w:bookmarkEnd w:id="227"/>
      <w:bookmarkEnd w:id="228"/>
    </w:p>
    <w:p w14:paraId="256E4254">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7.1评标委员会根据全体评标成员签字的原始评标记录和评标结果编写评标报告。</w:t>
      </w:r>
    </w:p>
    <w:p w14:paraId="11F34BC9">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7.2评标委员会成员对需要共同认定的事项存在争议的，应当按照少数服从多数的原则作出结论。持不同意见的评标委员会成员应当在评标报告上签署不同意见及理由，否则视为同意评标报告。</w:t>
      </w:r>
    </w:p>
    <w:p w14:paraId="3DAF2B7F">
      <w:pPr>
        <w:spacing w:line="360" w:lineRule="auto"/>
        <w:ind w:right="-4" w:firstLine="241" w:firstLineChars="100"/>
        <w:rPr>
          <w:rFonts w:hint="eastAsia" w:asciiTheme="minorEastAsia" w:hAnsiTheme="minorEastAsia" w:eastAsiaTheme="minorEastAsia" w:cstheme="minorEastAsia"/>
          <w:b/>
          <w:bCs/>
          <w:sz w:val="24"/>
          <w:szCs w:val="32"/>
        </w:rPr>
      </w:pPr>
      <w:bookmarkStart w:id="229" w:name="_Toc20651223"/>
      <w:bookmarkStart w:id="230" w:name="_Toc22683"/>
      <w:bookmarkStart w:id="231" w:name="_Toc15510"/>
      <w:bookmarkStart w:id="232" w:name="_Toc1151"/>
      <w:bookmarkStart w:id="233" w:name="_Toc13162"/>
      <w:bookmarkStart w:id="234" w:name="_Toc27162"/>
      <w:bookmarkStart w:id="235" w:name="_Toc11979"/>
      <w:bookmarkStart w:id="236" w:name="_Toc21765"/>
      <w:bookmarkStart w:id="237" w:name="_Toc24342"/>
      <w:bookmarkStart w:id="238" w:name="_Toc25954"/>
      <w:r>
        <w:rPr>
          <w:rFonts w:hint="eastAsia" w:asciiTheme="minorEastAsia" w:hAnsiTheme="minorEastAsia" w:eastAsiaTheme="minorEastAsia" w:cstheme="minorEastAsia"/>
          <w:b/>
          <w:bCs/>
          <w:sz w:val="24"/>
          <w:szCs w:val="32"/>
        </w:rPr>
        <w:t>8.评标报告复核</w:t>
      </w:r>
      <w:bookmarkEnd w:id="229"/>
      <w:bookmarkEnd w:id="230"/>
      <w:bookmarkEnd w:id="231"/>
      <w:bookmarkEnd w:id="232"/>
      <w:bookmarkEnd w:id="233"/>
      <w:bookmarkEnd w:id="234"/>
      <w:bookmarkEnd w:id="235"/>
      <w:bookmarkEnd w:id="236"/>
      <w:bookmarkEnd w:id="237"/>
      <w:bookmarkEnd w:id="238"/>
    </w:p>
    <w:p w14:paraId="042479F0">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8.1汇总结束后，评标委员会应当进行复核，特别要对拟推荐为中标候选中标人的、报价最低的、投标文件被认定为无效的进行重点复核。</w:t>
      </w:r>
    </w:p>
    <w:p w14:paraId="066694A7">
      <w:pPr>
        <w:spacing w:line="360" w:lineRule="auto"/>
        <w:ind w:right="-4" w:firstLine="480" w:firstLineChars="200"/>
        <w:rPr>
          <w:rFonts w:hint="eastAsia"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sz w:val="24"/>
          <w:szCs w:val="32"/>
        </w:rPr>
        <w:t>8.2汇总完成后，除下列情形外</w:t>
      </w:r>
      <w:r>
        <w:rPr>
          <w:rFonts w:hint="eastAsia" w:asciiTheme="minorEastAsia" w:hAnsiTheme="minorEastAsia" w:eastAsiaTheme="minorEastAsia" w:cstheme="minorEastAsia"/>
          <w:bCs/>
          <w:color w:val="000000" w:themeColor="text1"/>
          <w:sz w:val="24"/>
          <w14:textFill>
            <w14:solidFill>
              <w14:schemeClr w14:val="tx1"/>
            </w14:solidFill>
          </w14:textFill>
        </w:rPr>
        <w:t>，任何人不得修改评标结果：</w:t>
      </w:r>
    </w:p>
    <w:p w14:paraId="28618171">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（1）分值汇总计算错误的；</w:t>
      </w:r>
    </w:p>
    <w:p w14:paraId="3FAF9D6C">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（2）分项评分超出评分标准范围的；</w:t>
      </w:r>
    </w:p>
    <w:p w14:paraId="4F371C1D">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（3）评标委员会成员对客观评审因素评分不一致的；</w:t>
      </w:r>
    </w:p>
    <w:p w14:paraId="103E633F">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（4）经评标委员会认定评分畸高、畸低的。</w:t>
      </w:r>
    </w:p>
    <w:p w14:paraId="44723224">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8.3评标报告签署前，经复核发现存在以上情形之一的，评标委员会应当当场修改评标结果，并在评标报告中记载；评标报告签署后，采购人或</w:t>
      </w:r>
      <w:r>
        <w:rPr>
          <w:rFonts w:hint="eastAsia" w:asciiTheme="minorEastAsia" w:hAnsiTheme="minorEastAsia" w:eastAsiaTheme="minorEastAsia" w:cstheme="minorEastAsia"/>
          <w:color w:val="000000" w:themeColor="text1"/>
          <w:sz w:val="24"/>
          <w14:textFill>
            <w14:solidFill>
              <w14:schemeClr w14:val="tx1"/>
            </w14:solidFill>
          </w14:textFill>
        </w:rPr>
        <w:t>者</w:t>
      </w:r>
      <w:r>
        <w:rPr>
          <w:rFonts w:hint="eastAsia" w:asciiTheme="minorEastAsia" w:hAnsiTheme="minorEastAsia" w:eastAsiaTheme="minorEastAsia" w:cstheme="minorEastAsia"/>
          <w:sz w:val="24"/>
          <w:szCs w:val="32"/>
        </w:rPr>
        <w:t>采购代理机构发现存在以上情形之一的，应当组织原评标委员会进行重新评审。重新评审改变评标结果的，书面报告本级财政部门。</w:t>
      </w:r>
    </w:p>
    <w:p w14:paraId="6BFA6924">
      <w:pPr>
        <w:spacing w:line="360" w:lineRule="auto"/>
        <w:ind w:right="-4" w:firstLine="241" w:firstLineChars="100"/>
        <w:rPr>
          <w:rFonts w:hint="eastAsia" w:asciiTheme="minorEastAsia" w:hAnsiTheme="minorEastAsia" w:eastAsiaTheme="minorEastAsia" w:cstheme="minorEastAsia"/>
          <w:b/>
          <w:bCs/>
          <w:sz w:val="24"/>
          <w:szCs w:val="32"/>
        </w:rPr>
      </w:pPr>
      <w:bookmarkStart w:id="239" w:name="_Toc6812"/>
      <w:bookmarkStart w:id="240" w:name="_Toc4382"/>
      <w:bookmarkStart w:id="241" w:name="_Toc259"/>
      <w:bookmarkStart w:id="242" w:name="_Toc26495"/>
      <w:bookmarkStart w:id="243" w:name="_Toc20651224"/>
      <w:bookmarkStart w:id="244" w:name="_Toc18720"/>
      <w:bookmarkStart w:id="245" w:name="_Toc23641"/>
      <w:bookmarkStart w:id="246" w:name="_Toc1520"/>
      <w:bookmarkStart w:id="247" w:name="_Toc3013"/>
      <w:bookmarkStart w:id="248" w:name="_Toc3056"/>
      <w:r>
        <w:rPr>
          <w:rFonts w:hint="eastAsia" w:asciiTheme="minorEastAsia" w:hAnsiTheme="minorEastAsia" w:eastAsiaTheme="minorEastAsia" w:cstheme="minorEastAsia"/>
          <w:b/>
          <w:bCs/>
          <w:sz w:val="24"/>
          <w:szCs w:val="32"/>
        </w:rPr>
        <w:t>9.停止评标</w:t>
      </w:r>
      <w:bookmarkEnd w:id="239"/>
      <w:bookmarkEnd w:id="240"/>
      <w:bookmarkEnd w:id="241"/>
      <w:bookmarkEnd w:id="242"/>
      <w:bookmarkEnd w:id="243"/>
      <w:bookmarkEnd w:id="244"/>
      <w:bookmarkEnd w:id="245"/>
      <w:bookmarkEnd w:id="246"/>
      <w:bookmarkEnd w:id="247"/>
      <w:bookmarkEnd w:id="248"/>
    </w:p>
    <w:p w14:paraId="00A070A9">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9.1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260EAA22">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10.废标</w:t>
      </w:r>
    </w:p>
    <w:p w14:paraId="1BA1B0AC">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10.1根据有关法律法规和招标文件的有关规定，如出现下列情况之一的，应予以废标：</w:t>
      </w:r>
    </w:p>
    <w:p w14:paraId="25037F0E">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（1）符合专业条件的投标人或者对招标文件作实质响应的投标人不足三家的；</w:t>
      </w:r>
    </w:p>
    <w:p w14:paraId="122DFFA3">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（2）出现影响采购公正的违法、违规行为的；</w:t>
      </w:r>
    </w:p>
    <w:p w14:paraId="09B4CD3F">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（3）投标人的报价均超过招标人项目采购预算，招标人不能支付的；</w:t>
      </w:r>
    </w:p>
    <w:p w14:paraId="7832AE7B">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（4）因重大变故，采购任务取消的。</w:t>
      </w:r>
    </w:p>
    <w:p w14:paraId="4B5C9CE8">
      <w:pPr>
        <w:spacing w:line="360" w:lineRule="auto"/>
        <w:ind w:right="-4" w:firstLine="241" w:firstLineChars="100"/>
        <w:rPr>
          <w:rFonts w:hint="eastAsia" w:asciiTheme="minorEastAsia" w:hAnsiTheme="minorEastAsia" w:eastAsiaTheme="minorEastAsia" w:cstheme="minorEastAsia"/>
          <w:b/>
          <w:bCs/>
          <w:sz w:val="24"/>
          <w:szCs w:val="32"/>
        </w:rPr>
      </w:pPr>
      <w:bookmarkStart w:id="249" w:name="_Toc23655"/>
      <w:bookmarkStart w:id="250" w:name="_Toc490"/>
      <w:bookmarkStart w:id="251" w:name="_Toc18431"/>
      <w:bookmarkStart w:id="252" w:name="_Toc1565"/>
      <w:bookmarkStart w:id="253" w:name="_Toc20651225"/>
      <w:bookmarkStart w:id="254" w:name="_Toc24976"/>
      <w:bookmarkStart w:id="255" w:name="_Toc23882"/>
      <w:bookmarkStart w:id="256" w:name="_Toc22327"/>
      <w:bookmarkStart w:id="257" w:name="_Toc22006"/>
      <w:bookmarkStart w:id="258" w:name="_Toc15943"/>
      <w:r>
        <w:rPr>
          <w:rFonts w:hint="eastAsia" w:asciiTheme="minorEastAsia" w:hAnsiTheme="minorEastAsia" w:eastAsiaTheme="minorEastAsia" w:cstheme="minorEastAsia"/>
          <w:b/>
          <w:bCs/>
          <w:sz w:val="24"/>
          <w:szCs w:val="32"/>
        </w:rPr>
        <w:t>11.重新组建评标委员会进行评标</w:t>
      </w:r>
      <w:bookmarkEnd w:id="249"/>
      <w:bookmarkEnd w:id="250"/>
      <w:bookmarkEnd w:id="251"/>
      <w:bookmarkEnd w:id="252"/>
      <w:bookmarkEnd w:id="253"/>
      <w:bookmarkEnd w:id="254"/>
      <w:bookmarkEnd w:id="255"/>
      <w:bookmarkEnd w:id="256"/>
      <w:bookmarkEnd w:id="257"/>
      <w:bookmarkEnd w:id="258"/>
    </w:p>
    <w:p w14:paraId="3AFC4806">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11.1评标委员会或者其成员存在下列情形导致评标结果无效的，采购人、采购代理机构可以重新组建评标委员会进行评标，并书面报告本级财政部门，但采购合同已经履行的除外：</w:t>
      </w:r>
    </w:p>
    <w:p w14:paraId="7B63DC8D">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（1）评标委员会组成不符合《政府采购货物和服务招标投标管理办法》规定的；</w:t>
      </w:r>
    </w:p>
    <w:p w14:paraId="41110D46">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（2）有《政府采购货物和服务招标投标管理办法》第六十二条第一至五项情形的；</w:t>
      </w:r>
    </w:p>
    <w:p w14:paraId="4637209A">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（3）评标委员会及其成员独立评标受到非法干预的；</w:t>
      </w:r>
    </w:p>
    <w:p w14:paraId="4BEA9C8B">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（4）有政府采购法实施条例第七十五条规定的违法行为的。</w:t>
      </w:r>
    </w:p>
    <w:p w14:paraId="02847038">
      <w:pPr>
        <w:spacing w:line="360" w:lineRule="auto"/>
        <w:ind w:right="-4"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32"/>
        </w:rPr>
        <w:t>11.2有违法违规行为的原评标委员会成员不得参加重新组建的评标委员会。</w:t>
      </w:r>
    </w:p>
    <w:p w14:paraId="2DD1C127"/>
    <w:p w14:paraId="62EBC079">
      <w:pPr>
        <w:pStyle w:val="4"/>
        <w:ind w:right="-61" w:rightChars="-29"/>
        <w:jc w:val="center"/>
        <w:rPr>
          <w:rFonts w:hint="eastAsia" w:asciiTheme="minorEastAsia" w:hAnsiTheme="minorEastAsia" w:eastAsiaTheme="minorEastAsia" w:cstheme="minorEastAsia"/>
          <w:sz w:val="32"/>
          <w:szCs w:val="40"/>
        </w:rPr>
      </w:pPr>
      <w:bookmarkStart w:id="259" w:name="_Toc20651226"/>
      <w:bookmarkStart w:id="260" w:name="_Toc4819"/>
      <w:bookmarkStart w:id="261" w:name="_Toc9729"/>
      <w:bookmarkStart w:id="262" w:name="_Toc27823"/>
      <w:bookmarkStart w:id="263" w:name="_Toc32049"/>
      <w:bookmarkStart w:id="264" w:name="_Toc26501"/>
      <w:bookmarkStart w:id="265" w:name="_Toc30073"/>
      <w:bookmarkStart w:id="266" w:name="_Toc23521"/>
      <w:r>
        <w:rPr>
          <w:rFonts w:hint="eastAsia" w:asciiTheme="minorEastAsia" w:hAnsiTheme="minorEastAsia" w:eastAsiaTheme="minorEastAsia" w:cstheme="minorEastAsia"/>
          <w:sz w:val="32"/>
          <w:szCs w:val="40"/>
        </w:rPr>
        <w:t>第三节 投标文件的符合性审查</w:t>
      </w:r>
      <w:bookmarkEnd w:id="259"/>
      <w:bookmarkEnd w:id="260"/>
      <w:bookmarkEnd w:id="261"/>
      <w:bookmarkEnd w:id="262"/>
      <w:bookmarkEnd w:id="263"/>
      <w:bookmarkEnd w:id="264"/>
      <w:bookmarkEnd w:id="265"/>
      <w:bookmarkEnd w:id="266"/>
    </w:p>
    <w:p w14:paraId="0943C17F">
      <w:pPr>
        <w:spacing w:line="360" w:lineRule="auto"/>
        <w:ind w:right="-4" w:firstLine="241" w:firstLineChars="100"/>
        <w:rPr>
          <w:rFonts w:hint="eastAsia" w:asciiTheme="minorEastAsia" w:hAnsiTheme="minorEastAsia" w:eastAsiaTheme="minorEastAsia" w:cstheme="minorEastAsia"/>
          <w:b/>
          <w:bCs/>
          <w:sz w:val="24"/>
          <w:szCs w:val="32"/>
        </w:rPr>
      </w:pPr>
      <w:bookmarkStart w:id="267" w:name="_Toc19925"/>
      <w:bookmarkStart w:id="268" w:name="_Toc13657"/>
      <w:bookmarkStart w:id="269" w:name="_Toc7597"/>
      <w:bookmarkStart w:id="270" w:name="_Toc7897"/>
      <w:bookmarkStart w:id="271" w:name="_Toc20651227"/>
      <w:r>
        <w:rPr>
          <w:rFonts w:hint="eastAsia" w:asciiTheme="minorEastAsia" w:hAnsiTheme="minorEastAsia" w:eastAsiaTheme="minorEastAsia" w:cstheme="minorEastAsia"/>
          <w:b/>
          <w:bCs/>
          <w:sz w:val="24"/>
          <w:szCs w:val="32"/>
        </w:rPr>
        <w:t>1.符合性审查</w:t>
      </w:r>
    </w:p>
    <w:p w14:paraId="0762C8F5">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1.1评标委员会应按本章本节附表1“符合性审查表”所列审查项目及审查标准，对符合资格条件的投标人的投标文件进行符合性审查，以确定其是否满足招标文件的实质性要求。</w:t>
      </w:r>
    </w:p>
    <w:p w14:paraId="73C40BBC">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430315FF">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（2）投标人不得通过修正或撤销</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不符</w:t>
      </w:r>
      <w:r>
        <w:rPr>
          <w:rFonts w:hint="eastAsia" w:asciiTheme="minorEastAsia" w:hAnsiTheme="minorEastAsia" w:eastAsiaTheme="minorEastAsia" w:cstheme="minorEastAsia"/>
          <w:color w:val="000000" w:themeColor="text1"/>
          <w:sz w:val="24"/>
          <w14:textFill>
            <w14:solidFill>
              <w14:schemeClr w14:val="tx1"/>
            </w14:solidFill>
          </w14:textFill>
        </w:rPr>
        <w:t>合要求的偏离从而使其投标成为实质上响应的投标。</w:t>
      </w:r>
    </w:p>
    <w:p w14:paraId="686FA449">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1.2未通过符合性审查的投标人，其投标将被认定为投标无效，不能进入下一阶段评审。通过符合性审查的投标人数量不足3家的，不得作进一步的比较和评价。</w:t>
      </w:r>
    </w:p>
    <w:p w14:paraId="1DFE7DC2">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2.投标无效</w:t>
      </w:r>
    </w:p>
    <w:p w14:paraId="472B2AE8">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2.1投标人存在下列情况之一的，符合性审查不合格，投标无效：</w:t>
      </w:r>
    </w:p>
    <w:p w14:paraId="5E19DF4B">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（1）投标文件中商务技术文件未按照招标文件规定要求签署、盖章的；</w:t>
      </w:r>
    </w:p>
    <w:p w14:paraId="2198385C">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（2）投标文件没有对招标文件的实质性要求和条件作出响应，或者对招标文件的偏离超出招标文件规定的偏离范围和幅度；</w:t>
      </w:r>
    </w:p>
    <w:p w14:paraId="67B6DB6A">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（3）投标有效期不足的；</w:t>
      </w:r>
    </w:p>
    <w:p w14:paraId="6D0C61F9">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（4）投标文件含有采购人不能接受的附加条件的；</w:t>
      </w:r>
    </w:p>
    <w:p w14:paraId="0F177FF3">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（5）不符合本节第1.1款规定符合性审查标准的；</w:t>
      </w:r>
    </w:p>
    <w:p w14:paraId="139455BC">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（6）</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法律法规</w:t>
      </w:r>
      <w:r>
        <w:rPr>
          <w:rFonts w:hint="eastAsia" w:asciiTheme="minorEastAsia" w:hAnsiTheme="minorEastAsia" w:eastAsiaTheme="minorEastAsia" w:cstheme="minorEastAsia"/>
          <w:color w:val="000000" w:themeColor="text1"/>
          <w:sz w:val="24"/>
          <w14:textFill>
            <w14:solidFill>
              <w14:schemeClr w14:val="tx1"/>
            </w14:solidFill>
          </w14:textFill>
        </w:rPr>
        <w:t>和招标文件规定的其他投标无效情形的。</w:t>
      </w:r>
    </w:p>
    <w:p w14:paraId="3CA9D993">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sz w:val="24"/>
          <w:szCs w:val="32"/>
        </w:rPr>
        <w:t>2.2</w:t>
      </w:r>
      <w:r>
        <w:rPr>
          <w:rFonts w:hint="eastAsia" w:asciiTheme="minorEastAsia" w:hAnsiTheme="minorEastAsia" w:eastAsiaTheme="minorEastAsia" w:cstheme="minorEastAsia"/>
          <w:color w:val="000000" w:themeColor="text1"/>
          <w:sz w:val="24"/>
          <w14:textFill>
            <w14:solidFill>
              <w14:schemeClr w14:val="tx1"/>
            </w14:solidFill>
          </w14:textFill>
        </w:rPr>
        <w:t>在评标过程中发现投标人有不遵循公平竞争的原则，恶意串通，妨碍其他投标人的竞争行为，损害采购人或者其他投标人的合法权益的，评标委员会应当认定其投标无效，并书面报告本级财政部门。</w:t>
      </w:r>
      <w:bookmarkStart w:id="272" w:name="_Toc23821"/>
    </w:p>
    <w:p w14:paraId="5B0CB2CB">
      <w:pPr>
        <w:spacing w:line="480" w:lineRule="auto"/>
        <w:ind w:right="-6" w:firstLine="440" w:firstLineChars="200"/>
        <w:rPr>
          <w:rFonts w:hint="eastAsia" w:asciiTheme="minorEastAsia" w:hAnsiTheme="minorEastAsia" w:eastAsiaTheme="minorEastAsia" w:cstheme="minorEastAsia"/>
          <w:color w:val="000000" w:themeColor="text1"/>
          <w:sz w:val="22"/>
          <w:szCs w:val="22"/>
          <w14:textFill>
            <w14:solidFill>
              <w14:schemeClr w14:val="tx1"/>
            </w14:solidFill>
          </w14:textFill>
        </w:rPr>
      </w:pPr>
    </w:p>
    <w:p w14:paraId="11340026">
      <w:pPr>
        <w:adjustRightInd w:val="0"/>
        <w:snapToGrid w:val="0"/>
        <w:spacing w:before="156" w:beforeLines="50"/>
        <w:ind w:right="-4"/>
        <w:jc w:val="left"/>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附表1 符合性审查表</w:t>
      </w:r>
      <w:bookmarkEnd w:id="267"/>
      <w:bookmarkEnd w:id="268"/>
      <w:bookmarkEnd w:id="269"/>
      <w:bookmarkEnd w:id="270"/>
      <w:bookmarkEnd w:id="271"/>
      <w:bookmarkEnd w:id="272"/>
    </w:p>
    <w:p w14:paraId="12F66296">
      <w:pPr>
        <w:adjustRightInd w:val="0"/>
        <w:snapToGrid w:val="0"/>
        <w:spacing w:line="288" w:lineRule="auto"/>
        <w:jc w:val="center"/>
        <w:rPr>
          <w:rFonts w:hint="eastAsia" w:asciiTheme="minorEastAsia" w:hAnsiTheme="minorEastAsia" w:eastAsiaTheme="minorEastAsia" w:cstheme="minorEastAsia"/>
          <w:b/>
          <w:color w:val="000000" w:themeColor="text1"/>
          <w:sz w:val="28"/>
          <w:szCs w:val="28"/>
          <w14:textFill>
            <w14:solidFill>
              <w14:schemeClr w14:val="tx1"/>
            </w14:solidFill>
          </w14:textFill>
        </w:rPr>
      </w:pPr>
      <w:r>
        <w:rPr>
          <w:rFonts w:hint="eastAsia" w:asciiTheme="minorEastAsia" w:hAnsiTheme="minorEastAsia" w:eastAsiaTheme="minorEastAsia" w:cstheme="minorEastAsia"/>
          <w:b/>
          <w:color w:val="000000" w:themeColor="text1"/>
          <w:sz w:val="28"/>
          <w:szCs w:val="28"/>
          <w14:textFill>
            <w14:solidFill>
              <w14:schemeClr w14:val="tx1"/>
            </w14:solidFill>
          </w14:textFill>
        </w:rPr>
        <w:t>符合性审查表</w:t>
      </w:r>
    </w:p>
    <w:p w14:paraId="1130D17D">
      <w:pPr>
        <w:adjustRightInd w:val="0"/>
        <w:snapToGrid w:val="0"/>
        <w:ind w:right="-61" w:rightChars="-29"/>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项目名称：</w:t>
      </w:r>
      <w:r>
        <w:rPr>
          <w:rFonts w:hint="eastAsia" w:asciiTheme="minorEastAsia" w:hAnsiTheme="minorEastAsia" w:eastAsiaTheme="minorEastAsia" w:cstheme="minorEastAsia"/>
          <w:color w:val="000000" w:themeColor="text1"/>
          <w:sz w:val="24"/>
          <w:u w:val="single"/>
          <w:lang w:eastAsia="zh-CN"/>
          <w14:textFill>
            <w14:solidFill>
              <w14:schemeClr w14:val="tx1"/>
            </w14:solidFill>
          </w14:textFill>
        </w:rPr>
        <w:t>凤凰县人民医院县域医共体信息平台建设采购项目</w:t>
      </w:r>
      <w:r>
        <w:rPr>
          <w:rFonts w:hint="eastAsia" w:asciiTheme="minorEastAsia" w:hAnsiTheme="minorEastAsia" w:eastAsiaTheme="minorEastAsia" w:cstheme="minorEastAsia"/>
          <w:color w:val="000000" w:themeColor="text1"/>
          <w:sz w:val="24"/>
          <w14:textFill>
            <w14:solidFill>
              <w14:schemeClr w14:val="tx1"/>
            </w14:solidFill>
          </w14:textFill>
        </w:rPr>
        <w:t xml:space="preserve">  </w:t>
      </w:r>
    </w:p>
    <w:p w14:paraId="18E15658">
      <w:pPr>
        <w:adjustRightInd w:val="0"/>
        <w:snapToGrid w:val="0"/>
        <w:ind w:right="-61" w:rightChars="-29"/>
        <w:rPr>
          <w:rFonts w:hint="eastAsia" w:asciiTheme="minorEastAsia" w:hAnsiTheme="minorEastAsia" w:eastAsiaTheme="minorEastAsia" w:cstheme="minorEastAsia"/>
          <w:color w:val="000000" w:themeColor="text1"/>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政府采购计划编号：</w:t>
      </w:r>
      <w:r>
        <w:rPr>
          <w:rFonts w:hint="eastAsia" w:asciiTheme="minorEastAsia" w:hAnsiTheme="minorEastAsia" w:eastAsiaTheme="minorEastAsia" w:cstheme="minorEastAsia"/>
          <w:color w:val="000000" w:themeColor="text1"/>
          <w:sz w:val="24"/>
          <w:u w:val="single"/>
          <w:lang w:eastAsia="zh-CN"/>
          <w14:textFill>
            <w14:solidFill>
              <w14:schemeClr w14:val="tx1"/>
            </w14:solidFill>
          </w14:textFill>
        </w:rPr>
        <w:t>(2026)433123000005-1</w:t>
      </w:r>
    </w:p>
    <w:tbl>
      <w:tblPr>
        <w:tblStyle w:val="91"/>
        <w:tblW w:w="9781" w:type="dxa"/>
        <w:jc w:val="right"/>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34"/>
        <w:gridCol w:w="3221"/>
        <w:gridCol w:w="5826"/>
      </w:tblGrid>
      <w:tr w14:paraId="67AA66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4" w:hRule="atLeast"/>
          <w:jc w:val="right"/>
        </w:trPr>
        <w:tc>
          <w:tcPr>
            <w:tcW w:w="734" w:type="dxa"/>
            <w:vAlign w:val="center"/>
          </w:tcPr>
          <w:p w14:paraId="17BA2EB6">
            <w:pPr>
              <w:adjustRightInd w:val="0"/>
              <w:snapToGrid w:val="0"/>
              <w:jc w:val="center"/>
              <w:rPr>
                <w:rFonts w:hint="eastAsia" w:asciiTheme="minorEastAsia" w:hAnsiTheme="minorEastAsia" w:eastAsiaTheme="minorEastAsia" w:cstheme="minorEastAsia"/>
                <w:b/>
                <w:bCs/>
                <w:color w:val="000000" w:themeColor="text1"/>
                <w:kern w:val="0"/>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序号</w:t>
            </w:r>
          </w:p>
        </w:tc>
        <w:tc>
          <w:tcPr>
            <w:tcW w:w="3221" w:type="dxa"/>
            <w:vAlign w:val="center"/>
          </w:tcPr>
          <w:p w14:paraId="5C9EAD32">
            <w:pPr>
              <w:adjustRightInd w:val="0"/>
              <w:snapToGrid w:val="0"/>
              <w:jc w:val="center"/>
              <w:rPr>
                <w:rFonts w:hint="eastAsia" w:asciiTheme="minorEastAsia" w:hAnsiTheme="minorEastAsia" w:eastAsiaTheme="minorEastAsia" w:cstheme="minorEastAsia"/>
                <w:b/>
                <w:bCs/>
                <w:color w:val="000000" w:themeColor="text1"/>
                <w:kern w:val="0"/>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审查项目</w:t>
            </w:r>
          </w:p>
        </w:tc>
        <w:tc>
          <w:tcPr>
            <w:tcW w:w="5826" w:type="dxa"/>
            <w:vAlign w:val="center"/>
          </w:tcPr>
          <w:p w14:paraId="4E673007">
            <w:pPr>
              <w:adjustRightInd w:val="0"/>
              <w:snapToGrid w:val="0"/>
              <w:jc w:val="center"/>
              <w:rPr>
                <w:rFonts w:hint="eastAsia" w:asciiTheme="minorEastAsia" w:hAnsiTheme="minorEastAsia" w:eastAsiaTheme="minorEastAsia" w:cstheme="minorEastAsia"/>
                <w:b/>
                <w:bCs/>
                <w:color w:val="000000" w:themeColor="text1"/>
                <w:kern w:val="0"/>
                <w:sz w:val="24"/>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14:textFill>
                  <w14:solidFill>
                    <w14:schemeClr w14:val="tx1"/>
                  </w14:solidFill>
                </w14:textFill>
              </w:rPr>
              <w:t>审查标准</w:t>
            </w:r>
          </w:p>
        </w:tc>
      </w:tr>
      <w:tr w14:paraId="1D5DA9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right"/>
        </w:trPr>
        <w:tc>
          <w:tcPr>
            <w:tcW w:w="734" w:type="dxa"/>
            <w:vAlign w:val="center"/>
          </w:tcPr>
          <w:p w14:paraId="0F336315">
            <w:pPr>
              <w:adjustRightInd w:val="0"/>
              <w:snapToGrid w:val="0"/>
              <w:jc w:val="center"/>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w:t>
            </w:r>
          </w:p>
        </w:tc>
        <w:tc>
          <w:tcPr>
            <w:tcW w:w="3221" w:type="dxa"/>
            <w:vAlign w:val="center"/>
          </w:tcPr>
          <w:p w14:paraId="416CE5FC">
            <w:pPr>
              <w:adjustRightInd w:val="0"/>
              <w:snapToGrid w:val="0"/>
              <w:jc w:val="center"/>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商务、技术文件的签署和盖章</w:t>
            </w:r>
          </w:p>
        </w:tc>
        <w:tc>
          <w:tcPr>
            <w:tcW w:w="5826" w:type="dxa"/>
            <w:vAlign w:val="center"/>
          </w:tcPr>
          <w:p w14:paraId="09BFC7B9">
            <w:pPr>
              <w:adjustRightInd w:val="0"/>
              <w:snapToGrid w:val="0"/>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商务、技术文件按招标文件要求进行签署、盖章</w:t>
            </w:r>
          </w:p>
        </w:tc>
      </w:tr>
      <w:tr w14:paraId="7E3B78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9" w:hRule="atLeast"/>
          <w:jc w:val="right"/>
        </w:trPr>
        <w:tc>
          <w:tcPr>
            <w:tcW w:w="734" w:type="dxa"/>
            <w:vAlign w:val="center"/>
          </w:tcPr>
          <w:p w14:paraId="2D2EDF56">
            <w:pPr>
              <w:adjustRightInd w:val="0"/>
              <w:snapToGrid w:val="0"/>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w:t>
            </w:r>
          </w:p>
        </w:tc>
        <w:tc>
          <w:tcPr>
            <w:tcW w:w="3221" w:type="dxa"/>
            <w:vAlign w:val="center"/>
          </w:tcPr>
          <w:p w14:paraId="7A3AB97C">
            <w:pPr>
              <w:adjustRightInd w:val="0"/>
              <w:snapToGrid w:val="0"/>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sz w:val="24"/>
                <w:szCs w:val="32"/>
              </w:rPr>
              <w:t>商务、技术文件完整性</w:t>
            </w:r>
          </w:p>
        </w:tc>
        <w:tc>
          <w:tcPr>
            <w:tcW w:w="5826" w:type="dxa"/>
            <w:vAlign w:val="center"/>
          </w:tcPr>
          <w:p w14:paraId="39EAC2AF">
            <w:pPr>
              <w:adjustRightInd w:val="0"/>
              <w:snapToGrid w:val="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sz w:val="24"/>
                <w:szCs w:val="32"/>
              </w:rPr>
              <w:t>商务、技术文件对本项目的采购内容和要求应答完整，没有缺项漏项。</w:t>
            </w:r>
          </w:p>
        </w:tc>
      </w:tr>
      <w:tr w14:paraId="79364F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7" w:hRule="atLeast"/>
          <w:jc w:val="right"/>
        </w:trPr>
        <w:tc>
          <w:tcPr>
            <w:tcW w:w="734" w:type="dxa"/>
            <w:vAlign w:val="center"/>
          </w:tcPr>
          <w:p w14:paraId="4A7C91E8">
            <w:pPr>
              <w:adjustRightInd w:val="0"/>
              <w:snapToGrid w:val="0"/>
              <w:jc w:val="center"/>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3</w:t>
            </w:r>
          </w:p>
        </w:tc>
        <w:tc>
          <w:tcPr>
            <w:tcW w:w="3221" w:type="dxa"/>
            <w:vAlign w:val="center"/>
          </w:tcPr>
          <w:p w14:paraId="27F65E4E">
            <w:pPr>
              <w:adjustRightInd w:val="0"/>
              <w:snapToGrid w:val="0"/>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实质性响应</w:t>
            </w:r>
          </w:p>
        </w:tc>
        <w:tc>
          <w:tcPr>
            <w:tcW w:w="5826" w:type="dxa"/>
            <w:vAlign w:val="center"/>
          </w:tcPr>
          <w:p w14:paraId="318C94D4">
            <w:pPr>
              <w:adjustRightInd w:val="0"/>
              <w:snapToGrid w:val="0"/>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szCs w:val="32"/>
              </w:rPr>
              <w:t>商务、技术文件对招标文件的实质性要求和条款（含“★”符号条款）响应明确，没有保留和偏离。</w:t>
            </w:r>
          </w:p>
        </w:tc>
      </w:tr>
      <w:tr w14:paraId="7FC4B5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5" w:hRule="atLeast"/>
          <w:jc w:val="right"/>
        </w:trPr>
        <w:tc>
          <w:tcPr>
            <w:tcW w:w="734" w:type="dxa"/>
            <w:vAlign w:val="center"/>
          </w:tcPr>
          <w:p w14:paraId="338A1F1D">
            <w:pPr>
              <w:adjustRightInd w:val="0"/>
              <w:snapToGrid w:val="0"/>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4</w:t>
            </w:r>
          </w:p>
        </w:tc>
        <w:tc>
          <w:tcPr>
            <w:tcW w:w="3221" w:type="dxa"/>
            <w:vAlign w:val="center"/>
          </w:tcPr>
          <w:p w14:paraId="54D87A78">
            <w:pPr>
              <w:adjustRightInd w:val="0"/>
              <w:snapToGrid w:val="0"/>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非实质性偏离范围和幅度</w:t>
            </w:r>
          </w:p>
        </w:tc>
        <w:tc>
          <w:tcPr>
            <w:tcW w:w="5826" w:type="dxa"/>
            <w:vAlign w:val="center"/>
          </w:tcPr>
          <w:p w14:paraId="0FDF2CC2">
            <w:pPr>
              <w:adjustRightInd w:val="0"/>
              <w:snapToGrid w:val="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color w:val="000000" w:themeColor="text1"/>
                <w:sz w:val="24"/>
                <w14:textFill>
                  <w14:solidFill>
                    <w14:schemeClr w14:val="tx1"/>
                  </w14:solidFill>
                </w14:textFill>
              </w:rPr>
              <w:t>非实质性偏离未超过招标文件规定的范围和幅度</w:t>
            </w:r>
          </w:p>
        </w:tc>
      </w:tr>
      <w:tr w14:paraId="00B789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0" w:hRule="atLeast"/>
          <w:jc w:val="right"/>
        </w:trPr>
        <w:tc>
          <w:tcPr>
            <w:tcW w:w="734" w:type="dxa"/>
            <w:vAlign w:val="center"/>
          </w:tcPr>
          <w:p w14:paraId="387FD444">
            <w:pPr>
              <w:adjustRightInd w:val="0"/>
              <w:snapToGrid w:val="0"/>
              <w:jc w:val="center"/>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5</w:t>
            </w:r>
          </w:p>
        </w:tc>
        <w:tc>
          <w:tcPr>
            <w:tcW w:w="3221" w:type="dxa"/>
            <w:vAlign w:val="center"/>
          </w:tcPr>
          <w:p w14:paraId="1AFEF72B">
            <w:pPr>
              <w:adjustRightInd w:val="0"/>
              <w:snapToGrid w:val="0"/>
              <w:jc w:val="center"/>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投标有效期</w:t>
            </w:r>
          </w:p>
        </w:tc>
        <w:tc>
          <w:tcPr>
            <w:tcW w:w="5826" w:type="dxa"/>
            <w:vAlign w:val="center"/>
          </w:tcPr>
          <w:p w14:paraId="425CE485">
            <w:pPr>
              <w:adjustRightInd w:val="0"/>
              <w:snapToGrid w:val="0"/>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投标有效期满足招标文件要求</w:t>
            </w:r>
          </w:p>
        </w:tc>
      </w:tr>
      <w:tr w14:paraId="5D326F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73" w:hRule="atLeast"/>
          <w:jc w:val="right"/>
        </w:trPr>
        <w:tc>
          <w:tcPr>
            <w:tcW w:w="734" w:type="dxa"/>
            <w:vAlign w:val="center"/>
          </w:tcPr>
          <w:p w14:paraId="1C145D0E">
            <w:pPr>
              <w:adjustRightInd w:val="0"/>
              <w:snapToGrid w:val="0"/>
              <w:jc w:val="center"/>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6</w:t>
            </w:r>
          </w:p>
        </w:tc>
        <w:tc>
          <w:tcPr>
            <w:tcW w:w="3221" w:type="dxa"/>
            <w:vAlign w:val="center"/>
          </w:tcPr>
          <w:p w14:paraId="5442A00D">
            <w:pPr>
              <w:adjustRightInd w:val="0"/>
              <w:snapToGrid w:val="0"/>
              <w:jc w:val="center"/>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附加条件</w:t>
            </w:r>
          </w:p>
        </w:tc>
        <w:tc>
          <w:tcPr>
            <w:tcW w:w="5826" w:type="dxa"/>
            <w:vAlign w:val="center"/>
          </w:tcPr>
          <w:p w14:paraId="1B030062">
            <w:pPr>
              <w:adjustRightInd w:val="0"/>
              <w:snapToGrid w:val="0"/>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sz w:val="24"/>
                <w:szCs w:val="32"/>
              </w:rPr>
              <w:t>投标</w:t>
            </w:r>
            <w:r>
              <w:rPr>
                <w:rFonts w:hint="eastAsia" w:asciiTheme="minorEastAsia" w:hAnsiTheme="minorEastAsia" w:eastAsiaTheme="minorEastAsia" w:cstheme="minorEastAsia"/>
                <w:color w:val="000000" w:themeColor="text1"/>
                <w:sz w:val="24"/>
                <w14:textFill>
                  <w14:solidFill>
                    <w14:schemeClr w14:val="tx1"/>
                  </w14:solidFill>
                </w14:textFill>
              </w:rPr>
              <w:t>文件未含有采购人不能接受的附加条件</w:t>
            </w:r>
          </w:p>
        </w:tc>
      </w:tr>
      <w:tr w14:paraId="396B5D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4" w:hRule="atLeast"/>
          <w:jc w:val="right"/>
        </w:trPr>
        <w:tc>
          <w:tcPr>
            <w:tcW w:w="734" w:type="dxa"/>
            <w:vAlign w:val="center"/>
          </w:tcPr>
          <w:p w14:paraId="72F59214">
            <w:pPr>
              <w:adjustRightInd w:val="0"/>
              <w:snapToGrid w:val="0"/>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7</w:t>
            </w:r>
          </w:p>
        </w:tc>
        <w:tc>
          <w:tcPr>
            <w:tcW w:w="3221" w:type="dxa"/>
            <w:vAlign w:val="center"/>
          </w:tcPr>
          <w:p w14:paraId="51F20319">
            <w:pPr>
              <w:adjustRightInd w:val="0"/>
              <w:snapToGrid w:val="0"/>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法律法规和招标文件</w:t>
            </w:r>
          </w:p>
          <w:p w14:paraId="4C6DBD68">
            <w:pPr>
              <w:adjustRightInd w:val="0"/>
              <w:snapToGrid w:val="0"/>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规定的其他投标无效情形</w:t>
            </w:r>
          </w:p>
        </w:tc>
        <w:tc>
          <w:tcPr>
            <w:tcW w:w="5826" w:type="dxa"/>
            <w:vAlign w:val="center"/>
          </w:tcPr>
          <w:p w14:paraId="29082B21">
            <w:pPr>
              <w:adjustRightInd w:val="0"/>
              <w:snapToGrid w:val="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无法律法规和招标文件规定的其他投标无效情形</w:t>
            </w:r>
          </w:p>
        </w:tc>
      </w:tr>
    </w:tbl>
    <w:p w14:paraId="66EE6FB5">
      <w:pPr>
        <w:widowControl/>
        <w:spacing w:line="360" w:lineRule="auto"/>
        <w:jc w:val="left"/>
        <w:rPr>
          <w:rFonts w:hint="eastAsia" w:asciiTheme="minorEastAsia" w:hAnsiTheme="minorEastAsia" w:eastAsiaTheme="minorEastAsia" w:cstheme="minorEastAsia"/>
          <w:b/>
          <w:bCs/>
          <w:sz w:val="22"/>
          <w:szCs w:val="28"/>
        </w:rPr>
      </w:pPr>
      <w:bookmarkStart w:id="273" w:name="_Toc20651228"/>
      <w:bookmarkStart w:id="274" w:name="_Toc7232"/>
      <w:bookmarkStart w:id="275" w:name="_Toc9269"/>
      <w:bookmarkStart w:id="276" w:name="_Toc23274"/>
      <w:bookmarkStart w:id="277" w:name="_Toc21101"/>
      <w:bookmarkStart w:id="278" w:name="_Toc7985"/>
    </w:p>
    <w:p w14:paraId="69B00524">
      <w:pPr>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br w:type="page"/>
      </w:r>
    </w:p>
    <w:p w14:paraId="644050C9">
      <w:pPr>
        <w:widowControl/>
        <w:jc w:val="left"/>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 xml:space="preserve">附表2 </w:t>
      </w:r>
      <w:bookmarkEnd w:id="273"/>
      <w:bookmarkEnd w:id="274"/>
      <w:bookmarkEnd w:id="275"/>
      <w:bookmarkEnd w:id="276"/>
      <w:bookmarkEnd w:id="277"/>
      <w:r>
        <w:rPr>
          <w:rFonts w:hint="eastAsia" w:asciiTheme="minorEastAsia" w:hAnsiTheme="minorEastAsia" w:eastAsiaTheme="minorEastAsia" w:cstheme="minorEastAsia"/>
          <w:b/>
          <w:bCs/>
          <w:sz w:val="22"/>
          <w:szCs w:val="28"/>
        </w:rPr>
        <w:t>符合性审查结果一览表</w:t>
      </w:r>
      <w:bookmarkEnd w:id="278"/>
    </w:p>
    <w:p w14:paraId="12682DA7">
      <w:pPr>
        <w:adjustRightInd w:val="0"/>
        <w:snapToGrid w:val="0"/>
        <w:spacing w:line="288" w:lineRule="auto"/>
        <w:jc w:val="center"/>
        <w:rPr>
          <w:rFonts w:hint="eastAsia" w:asciiTheme="minorEastAsia" w:hAnsiTheme="minorEastAsia" w:eastAsiaTheme="minorEastAsia" w:cstheme="minorEastAsia"/>
          <w:b/>
          <w:color w:val="000000" w:themeColor="text1"/>
          <w:sz w:val="28"/>
          <w:szCs w:val="28"/>
          <w14:textFill>
            <w14:solidFill>
              <w14:schemeClr w14:val="tx1"/>
            </w14:solidFill>
          </w14:textFill>
        </w:rPr>
      </w:pPr>
      <w:r>
        <w:rPr>
          <w:rFonts w:hint="eastAsia" w:asciiTheme="minorEastAsia" w:hAnsiTheme="minorEastAsia" w:eastAsiaTheme="minorEastAsia" w:cstheme="minorEastAsia"/>
          <w:b/>
          <w:color w:val="000000" w:themeColor="text1"/>
          <w:sz w:val="28"/>
          <w:szCs w:val="28"/>
          <w14:textFill>
            <w14:solidFill>
              <w14:schemeClr w14:val="tx1"/>
            </w14:solidFill>
          </w14:textFill>
        </w:rPr>
        <w:t>符合性审查结果一览表</w:t>
      </w:r>
    </w:p>
    <w:p w14:paraId="41AC1218">
      <w:pPr>
        <w:adjustRightInd w:val="0"/>
        <w:snapToGrid w:val="0"/>
        <w:ind w:right="-118" w:rightChars="-56"/>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项目名称：</w:t>
      </w:r>
      <w:r>
        <w:rPr>
          <w:rFonts w:hint="eastAsia" w:asciiTheme="minorEastAsia" w:hAnsiTheme="minorEastAsia" w:eastAsiaTheme="minorEastAsia" w:cstheme="minorEastAsia"/>
          <w:color w:val="000000" w:themeColor="text1"/>
          <w:sz w:val="24"/>
          <w:u w:val="single"/>
          <w:lang w:eastAsia="zh-CN"/>
          <w14:textFill>
            <w14:solidFill>
              <w14:schemeClr w14:val="tx1"/>
            </w14:solidFill>
          </w14:textFill>
        </w:rPr>
        <w:t>凤凰县人民医院县域医共体信息平台建设采购项目</w:t>
      </w:r>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   </w:t>
      </w:r>
    </w:p>
    <w:p w14:paraId="013F05EE">
      <w:pPr>
        <w:adjustRightInd w:val="0"/>
        <w:snapToGrid w:val="0"/>
        <w:ind w:right="-118" w:rightChars="-56"/>
        <w:rPr>
          <w:rFonts w:hint="eastAsia" w:asciiTheme="minorEastAsia" w:hAnsiTheme="minorEastAsia" w:eastAsiaTheme="minorEastAsia" w:cstheme="minorEastAsia"/>
          <w:color w:val="000000" w:themeColor="text1"/>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政府采购计划编号：</w:t>
      </w:r>
      <w:r>
        <w:rPr>
          <w:rFonts w:hint="eastAsia" w:asciiTheme="minorEastAsia" w:hAnsiTheme="minorEastAsia" w:eastAsiaTheme="minorEastAsia" w:cstheme="minorEastAsia"/>
          <w:color w:val="000000" w:themeColor="text1"/>
          <w:sz w:val="24"/>
          <w:u w:val="single"/>
          <w:lang w:eastAsia="zh-CN"/>
          <w14:textFill>
            <w14:solidFill>
              <w14:schemeClr w14:val="tx1"/>
            </w14:solidFill>
          </w14:textFill>
        </w:rPr>
        <w:t>(2026)433123000005-1</w:t>
      </w:r>
    </w:p>
    <w:tbl>
      <w:tblPr>
        <w:tblStyle w:val="91"/>
        <w:tblW w:w="969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8"/>
        <w:gridCol w:w="2600"/>
        <w:gridCol w:w="3592"/>
        <w:gridCol w:w="2801"/>
      </w:tblGrid>
      <w:tr w14:paraId="005ABD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698" w:type="dxa"/>
            <w:vAlign w:val="center"/>
          </w:tcPr>
          <w:p w14:paraId="69D31B74">
            <w:pPr>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序号</w:t>
            </w:r>
          </w:p>
        </w:tc>
        <w:tc>
          <w:tcPr>
            <w:tcW w:w="2600" w:type="dxa"/>
            <w:vAlign w:val="center"/>
          </w:tcPr>
          <w:p w14:paraId="62D1207C">
            <w:pPr>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投标人名称</w:t>
            </w:r>
          </w:p>
        </w:tc>
        <w:tc>
          <w:tcPr>
            <w:tcW w:w="3592" w:type="dxa"/>
            <w:vAlign w:val="center"/>
          </w:tcPr>
          <w:p w14:paraId="0BD81735">
            <w:pPr>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符合性审查结果（合格/不合格）</w:t>
            </w:r>
          </w:p>
        </w:tc>
        <w:tc>
          <w:tcPr>
            <w:tcW w:w="2801" w:type="dxa"/>
            <w:vAlign w:val="center"/>
          </w:tcPr>
          <w:p w14:paraId="7BFEFDC7">
            <w:pPr>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符合性审查不合格原因</w:t>
            </w:r>
          </w:p>
        </w:tc>
      </w:tr>
      <w:tr w14:paraId="0C5CD8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75" w:hRule="atLeast"/>
          <w:jc w:val="center"/>
        </w:trPr>
        <w:tc>
          <w:tcPr>
            <w:tcW w:w="698" w:type="dxa"/>
            <w:vAlign w:val="center"/>
          </w:tcPr>
          <w:p w14:paraId="3436A48B">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p>
        </w:tc>
        <w:tc>
          <w:tcPr>
            <w:tcW w:w="2600" w:type="dxa"/>
            <w:vAlign w:val="center"/>
          </w:tcPr>
          <w:p w14:paraId="2F532CFC">
            <w:pPr>
              <w:jc w:val="center"/>
              <w:rPr>
                <w:rFonts w:hint="eastAsia" w:asciiTheme="minorEastAsia" w:hAnsiTheme="minorEastAsia" w:eastAsiaTheme="minorEastAsia" w:cstheme="minorEastAsia"/>
              </w:rPr>
            </w:pPr>
          </w:p>
        </w:tc>
        <w:tc>
          <w:tcPr>
            <w:tcW w:w="3592" w:type="dxa"/>
            <w:vAlign w:val="center"/>
          </w:tcPr>
          <w:p w14:paraId="24F18229">
            <w:pPr>
              <w:jc w:val="center"/>
              <w:rPr>
                <w:rFonts w:hint="eastAsia" w:asciiTheme="minorEastAsia" w:hAnsiTheme="minorEastAsia" w:eastAsiaTheme="minorEastAsia" w:cstheme="minorEastAsia"/>
              </w:rPr>
            </w:pPr>
          </w:p>
        </w:tc>
        <w:tc>
          <w:tcPr>
            <w:tcW w:w="2801" w:type="dxa"/>
            <w:vAlign w:val="center"/>
          </w:tcPr>
          <w:p w14:paraId="601B24BA">
            <w:pPr>
              <w:jc w:val="center"/>
              <w:rPr>
                <w:rFonts w:hint="eastAsia" w:asciiTheme="minorEastAsia" w:hAnsiTheme="minorEastAsia" w:eastAsiaTheme="minorEastAsia" w:cstheme="minorEastAsia"/>
              </w:rPr>
            </w:pPr>
          </w:p>
        </w:tc>
      </w:tr>
      <w:tr w14:paraId="179BE9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0" w:hRule="atLeast"/>
          <w:jc w:val="center"/>
        </w:trPr>
        <w:tc>
          <w:tcPr>
            <w:tcW w:w="698" w:type="dxa"/>
            <w:vAlign w:val="center"/>
          </w:tcPr>
          <w:p w14:paraId="60EA73AD">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p>
        </w:tc>
        <w:tc>
          <w:tcPr>
            <w:tcW w:w="2600" w:type="dxa"/>
            <w:vAlign w:val="center"/>
          </w:tcPr>
          <w:p w14:paraId="1D649123">
            <w:pPr>
              <w:jc w:val="center"/>
              <w:rPr>
                <w:rFonts w:hint="eastAsia" w:asciiTheme="minorEastAsia" w:hAnsiTheme="minorEastAsia" w:eastAsiaTheme="minorEastAsia" w:cstheme="minorEastAsia"/>
              </w:rPr>
            </w:pPr>
          </w:p>
        </w:tc>
        <w:tc>
          <w:tcPr>
            <w:tcW w:w="3592" w:type="dxa"/>
            <w:vAlign w:val="center"/>
          </w:tcPr>
          <w:p w14:paraId="3620A4A9">
            <w:pPr>
              <w:jc w:val="center"/>
              <w:rPr>
                <w:rFonts w:hint="eastAsia" w:asciiTheme="minorEastAsia" w:hAnsiTheme="minorEastAsia" w:eastAsiaTheme="minorEastAsia" w:cstheme="minorEastAsia"/>
              </w:rPr>
            </w:pPr>
          </w:p>
        </w:tc>
        <w:tc>
          <w:tcPr>
            <w:tcW w:w="2801" w:type="dxa"/>
            <w:vAlign w:val="center"/>
          </w:tcPr>
          <w:p w14:paraId="1D59C309">
            <w:pPr>
              <w:jc w:val="center"/>
              <w:rPr>
                <w:rFonts w:hint="eastAsia" w:asciiTheme="minorEastAsia" w:hAnsiTheme="minorEastAsia" w:eastAsiaTheme="minorEastAsia" w:cstheme="minorEastAsia"/>
              </w:rPr>
            </w:pPr>
          </w:p>
        </w:tc>
      </w:tr>
      <w:tr w14:paraId="34B88A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698" w:type="dxa"/>
            <w:vAlign w:val="center"/>
          </w:tcPr>
          <w:p w14:paraId="53547E5C">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p>
        </w:tc>
        <w:tc>
          <w:tcPr>
            <w:tcW w:w="2600" w:type="dxa"/>
            <w:vAlign w:val="center"/>
          </w:tcPr>
          <w:p w14:paraId="6B8066A3">
            <w:pPr>
              <w:jc w:val="center"/>
              <w:rPr>
                <w:rFonts w:hint="eastAsia" w:asciiTheme="minorEastAsia" w:hAnsiTheme="minorEastAsia" w:eastAsiaTheme="minorEastAsia" w:cstheme="minorEastAsia"/>
              </w:rPr>
            </w:pPr>
          </w:p>
        </w:tc>
        <w:tc>
          <w:tcPr>
            <w:tcW w:w="3592" w:type="dxa"/>
            <w:vAlign w:val="center"/>
          </w:tcPr>
          <w:p w14:paraId="37EE658A">
            <w:pPr>
              <w:jc w:val="center"/>
              <w:rPr>
                <w:rFonts w:hint="eastAsia" w:asciiTheme="minorEastAsia" w:hAnsiTheme="minorEastAsia" w:eastAsiaTheme="minorEastAsia" w:cstheme="minorEastAsia"/>
              </w:rPr>
            </w:pPr>
          </w:p>
        </w:tc>
        <w:tc>
          <w:tcPr>
            <w:tcW w:w="2801" w:type="dxa"/>
            <w:vAlign w:val="center"/>
          </w:tcPr>
          <w:p w14:paraId="4FBA2F61">
            <w:pPr>
              <w:jc w:val="center"/>
              <w:rPr>
                <w:rFonts w:hint="eastAsia" w:asciiTheme="minorEastAsia" w:hAnsiTheme="minorEastAsia" w:eastAsiaTheme="minorEastAsia" w:cstheme="minorEastAsia"/>
              </w:rPr>
            </w:pPr>
          </w:p>
        </w:tc>
      </w:tr>
      <w:tr w14:paraId="3E49D4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8" w:hRule="atLeast"/>
          <w:jc w:val="center"/>
        </w:trPr>
        <w:tc>
          <w:tcPr>
            <w:tcW w:w="698" w:type="dxa"/>
            <w:vAlign w:val="center"/>
          </w:tcPr>
          <w:p w14:paraId="26AD2B60">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tc>
        <w:tc>
          <w:tcPr>
            <w:tcW w:w="2600" w:type="dxa"/>
            <w:vAlign w:val="center"/>
          </w:tcPr>
          <w:p w14:paraId="5C65C682">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tc>
        <w:tc>
          <w:tcPr>
            <w:tcW w:w="3592" w:type="dxa"/>
            <w:vAlign w:val="center"/>
          </w:tcPr>
          <w:p w14:paraId="477D51C0">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tc>
        <w:tc>
          <w:tcPr>
            <w:tcW w:w="2801" w:type="dxa"/>
            <w:vAlign w:val="center"/>
          </w:tcPr>
          <w:p w14:paraId="2DB61B80">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tc>
      </w:tr>
    </w:tbl>
    <w:p w14:paraId="31753AAD">
      <w:pPr>
        <w:spacing w:line="360" w:lineRule="auto"/>
        <w:ind w:left="-5" w:right="6142" w:firstLine="241" w:firstLineChars="1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b/>
          <w:bCs/>
          <w:sz w:val="24"/>
          <w:szCs w:val="32"/>
        </w:rPr>
        <w:t>评标委员会签字：</w:t>
      </w:r>
      <w:r>
        <w:rPr>
          <w:rFonts w:hint="eastAsia" w:asciiTheme="minorEastAsia" w:hAnsiTheme="minorEastAsia" w:eastAsiaTheme="minorEastAsia" w:cstheme="minorEastAsia"/>
          <w:sz w:val="24"/>
          <w:szCs w:val="32"/>
          <w:u w:val="single" w:color="000000"/>
        </w:rPr>
        <w:t xml:space="preserve">         </w:t>
      </w:r>
    </w:p>
    <w:p w14:paraId="7958CAE6">
      <w:pPr>
        <w:adjustRightInd w:val="0"/>
        <w:snapToGrid w:val="0"/>
        <w:ind w:firstLine="6325" w:firstLineChars="2625"/>
        <w:jc w:val="center"/>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color w:val="000000" w:themeColor="text1"/>
          <w:sz w:val="24"/>
          <w14:textFill>
            <w14:solidFill>
              <w14:schemeClr w14:val="tx1"/>
            </w14:solidFill>
          </w14:textFill>
        </w:rPr>
        <w:t>日期：</w:t>
      </w:r>
      <w:r>
        <w:rPr>
          <w:rFonts w:hint="eastAsia" w:asciiTheme="minorEastAsia" w:hAnsiTheme="minorEastAsia" w:eastAsiaTheme="minorEastAsia" w:cstheme="minorEastAsia"/>
          <w:b/>
          <w:bCs/>
          <w:sz w:val="22"/>
          <w:szCs w:val="28"/>
          <w:u w:val="single" w:color="000000"/>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年</w:t>
      </w:r>
      <w:r>
        <w:rPr>
          <w:rFonts w:hint="eastAsia" w:asciiTheme="minorEastAsia" w:hAnsiTheme="minorEastAsia" w:eastAsiaTheme="minorEastAsia" w:cstheme="minorEastAsia"/>
          <w:b/>
          <w:bCs/>
          <w:sz w:val="22"/>
          <w:szCs w:val="28"/>
          <w:u w:val="single" w:color="000000"/>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月</w:t>
      </w:r>
      <w:r>
        <w:rPr>
          <w:rFonts w:hint="eastAsia" w:asciiTheme="minorEastAsia" w:hAnsiTheme="minorEastAsia" w:eastAsiaTheme="minorEastAsia" w:cstheme="minorEastAsia"/>
          <w:b/>
          <w:bCs/>
          <w:sz w:val="22"/>
          <w:szCs w:val="28"/>
          <w:u w:val="single" w:color="000000"/>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日</w:t>
      </w:r>
    </w:p>
    <w:p w14:paraId="5E6CC167">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p>
    <w:p w14:paraId="0D448355">
      <w:pPr>
        <w:spacing w:line="360" w:lineRule="auto"/>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附表3 符合性检查合格投标人名单表</w:t>
      </w:r>
    </w:p>
    <w:p w14:paraId="186F1179">
      <w:pPr>
        <w:adjustRightInd w:val="0"/>
        <w:snapToGrid w:val="0"/>
        <w:spacing w:line="264" w:lineRule="auto"/>
        <w:jc w:val="center"/>
        <w:rPr>
          <w:rFonts w:hint="eastAsia" w:asciiTheme="minorEastAsia" w:hAnsiTheme="minorEastAsia" w:eastAsiaTheme="minorEastAsia" w:cstheme="minorEastAsia"/>
          <w:b/>
          <w:color w:val="000000" w:themeColor="text1"/>
          <w:sz w:val="28"/>
          <w:szCs w:val="28"/>
          <w14:textFill>
            <w14:solidFill>
              <w14:schemeClr w14:val="tx1"/>
            </w14:solidFill>
          </w14:textFill>
        </w:rPr>
      </w:pPr>
      <w:bookmarkStart w:id="279" w:name="_Toc3597"/>
      <w:r>
        <w:rPr>
          <w:rFonts w:hint="eastAsia" w:asciiTheme="minorEastAsia" w:hAnsiTheme="minorEastAsia" w:eastAsiaTheme="minorEastAsia" w:cstheme="minorEastAsia"/>
          <w:b/>
          <w:color w:val="000000" w:themeColor="text1"/>
          <w:sz w:val="28"/>
          <w:szCs w:val="28"/>
          <w14:textFill>
            <w14:solidFill>
              <w14:schemeClr w14:val="tx1"/>
            </w14:solidFill>
          </w14:textFill>
        </w:rPr>
        <w:t>符合性检查合格投标人名单表</w:t>
      </w:r>
      <w:bookmarkEnd w:id="279"/>
    </w:p>
    <w:p w14:paraId="77FE0E45">
      <w:pPr>
        <w:spacing w:line="279" w:lineRule="auto"/>
        <w:ind w:right="-119"/>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4"/>
          <w:szCs w:val="32"/>
        </w:rPr>
        <w:t>项目名称：</w:t>
      </w:r>
      <w:r>
        <w:rPr>
          <w:rFonts w:hint="eastAsia" w:asciiTheme="minorEastAsia" w:hAnsiTheme="minorEastAsia" w:eastAsiaTheme="minorEastAsia" w:cstheme="minorEastAsia"/>
          <w:color w:val="000000" w:themeColor="text1"/>
          <w:sz w:val="24"/>
          <w:u w:val="single"/>
          <w:lang w:eastAsia="zh-CN"/>
          <w14:textFill>
            <w14:solidFill>
              <w14:schemeClr w14:val="tx1"/>
            </w14:solidFill>
          </w14:textFill>
        </w:rPr>
        <w:t>凤凰县人民医院县域医共体信息平台建设采购项目</w:t>
      </w:r>
      <w:r>
        <w:rPr>
          <w:rFonts w:hint="eastAsia" w:asciiTheme="minorEastAsia" w:hAnsiTheme="minorEastAsia" w:eastAsiaTheme="minorEastAsia" w:cstheme="minorEastAsia"/>
          <w:sz w:val="28"/>
          <w:szCs w:val="36"/>
        </w:rPr>
        <w:t xml:space="preserve">  </w:t>
      </w:r>
    </w:p>
    <w:p w14:paraId="6876598F">
      <w:pPr>
        <w:ind w:right="-119"/>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color w:val="000000" w:themeColor="text1"/>
          <w:sz w:val="24"/>
          <w14:textFill>
            <w14:solidFill>
              <w14:schemeClr w14:val="tx1"/>
            </w14:solidFill>
          </w14:textFill>
        </w:rPr>
        <w:t>政府采购计划</w:t>
      </w:r>
      <w:r>
        <w:rPr>
          <w:rFonts w:hint="eastAsia" w:asciiTheme="minorEastAsia" w:hAnsiTheme="minorEastAsia" w:eastAsiaTheme="minorEastAsia" w:cstheme="minorEastAsia"/>
          <w:sz w:val="24"/>
          <w:szCs w:val="32"/>
        </w:rPr>
        <w:t>编号：</w:t>
      </w:r>
      <w:r>
        <w:rPr>
          <w:rFonts w:hint="eastAsia" w:asciiTheme="minorEastAsia" w:hAnsiTheme="minorEastAsia" w:eastAsiaTheme="minorEastAsia" w:cstheme="minorEastAsia"/>
          <w:color w:val="000000" w:themeColor="text1"/>
          <w:sz w:val="24"/>
          <w:u w:val="single"/>
          <w:lang w:eastAsia="zh-CN"/>
          <w14:textFill>
            <w14:solidFill>
              <w14:schemeClr w14:val="tx1"/>
            </w14:solidFill>
          </w14:textFill>
        </w:rPr>
        <w:t>(2026)433123000005-1</w:t>
      </w:r>
    </w:p>
    <w:tbl>
      <w:tblPr>
        <w:tblStyle w:val="202"/>
        <w:tblW w:w="9748" w:type="dxa"/>
        <w:jc w:val="right"/>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37" w:type="dxa"/>
          <w:left w:w="350" w:type="dxa"/>
          <w:bottom w:w="0" w:type="dxa"/>
          <w:right w:w="115" w:type="dxa"/>
        </w:tblCellMar>
      </w:tblPr>
      <w:tblGrid>
        <w:gridCol w:w="1018"/>
        <w:gridCol w:w="8730"/>
      </w:tblGrid>
      <w:tr w14:paraId="4E53E09F">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37" w:type="dxa"/>
            <w:left w:w="350" w:type="dxa"/>
            <w:bottom w:w="0" w:type="dxa"/>
            <w:right w:w="115" w:type="dxa"/>
          </w:tblCellMar>
        </w:tblPrEx>
        <w:trPr>
          <w:trHeight w:val="374" w:hRule="atLeast"/>
          <w:jc w:val="right"/>
        </w:trPr>
        <w:tc>
          <w:tcPr>
            <w:tcW w:w="1018" w:type="dxa"/>
            <w:tcBorders>
              <w:tl2br w:val="nil"/>
              <w:tr2bl w:val="nil"/>
            </w:tcBorders>
            <w:vAlign w:val="center"/>
          </w:tcPr>
          <w:p w14:paraId="1F56C3C1">
            <w:pPr>
              <w:tabs>
                <w:tab w:val="left" w:pos="220"/>
              </w:tabs>
              <w:ind w:left="-202" w:leftChars="-96"/>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序号</w:t>
            </w:r>
          </w:p>
        </w:tc>
        <w:tc>
          <w:tcPr>
            <w:tcW w:w="8730" w:type="dxa"/>
            <w:tcBorders>
              <w:tl2br w:val="nil"/>
              <w:tr2bl w:val="nil"/>
            </w:tcBorders>
            <w:vAlign w:val="center"/>
          </w:tcPr>
          <w:p w14:paraId="5EA07FCE">
            <w:pPr>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符合性检查合格投标人名称</w:t>
            </w:r>
          </w:p>
        </w:tc>
      </w:tr>
      <w:tr w14:paraId="66B35B5D">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37" w:type="dxa"/>
            <w:left w:w="350" w:type="dxa"/>
            <w:bottom w:w="0" w:type="dxa"/>
            <w:right w:w="115" w:type="dxa"/>
          </w:tblCellMar>
        </w:tblPrEx>
        <w:trPr>
          <w:trHeight w:val="365" w:hRule="atLeast"/>
          <w:jc w:val="right"/>
        </w:trPr>
        <w:tc>
          <w:tcPr>
            <w:tcW w:w="1018" w:type="dxa"/>
            <w:tcBorders>
              <w:tl2br w:val="nil"/>
              <w:tr2bl w:val="nil"/>
            </w:tcBorders>
          </w:tcPr>
          <w:p w14:paraId="02DD04FD">
            <w:pPr>
              <w:tabs>
                <w:tab w:val="left" w:pos="220"/>
              </w:tabs>
              <w:ind w:left="-202" w:leftChars="-96"/>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1</w:t>
            </w:r>
          </w:p>
        </w:tc>
        <w:tc>
          <w:tcPr>
            <w:tcW w:w="8730" w:type="dxa"/>
            <w:tcBorders>
              <w:tl2br w:val="nil"/>
              <w:tr2bl w:val="nil"/>
            </w:tcBorders>
          </w:tcPr>
          <w:p w14:paraId="74150D7D">
            <w:pPr>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 xml:space="preserve"> </w:t>
            </w:r>
          </w:p>
        </w:tc>
      </w:tr>
      <w:tr w14:paraId="5971FCA8">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37" w:type="dxa"/>
            <w:left w:w="350" w:type="dxa"/>
            <w:bottom w:w="0" w:type="dxa"/>
            <w:right w:w="115" w:type="dxa"/>
          </w:tblCellMar>
        </w:tblPrEx>
        <w:trPr>
          <w:trHeight w:val="410" w:hRule="atLeast"/>
          <w:jc w:val="right"/>
        </w:trPr>
        <w:tc>
          <w:tcPr>
            <w:tcW w:w="1018" w:type="dxa"/>
            <w:tcBorders>
              <w:tl2br w:val="nil"/>
              <w:tr2bl w:val="nil"/>
            </w:tcBorders>
          </w:tcPr>
          <w:p w14:paraId="09C4DF5F">
            <w:pPr>
              <w:tabs>
                <w:tab w:val="left" w:pos="220"/>
              </w:tabs>
              <w:ind w:left="-202" w:leftChars="-96"/>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2</w:t>
            </w:r>
          </w:p>
        </w:tc>
        <w:tc>
          <w:tcPr>
            <w:tcW w:w="8730" w:type="dxa"/>
            <w:tcBorders>
              <w:tl2br w:val="nil"/>
              <w:tr2bl w:val="nil"/>
            </w:tcBorders>
          </w:tcPr>
          <w:p w14:paraId="60B9F828">
            <w:pPr>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 xml:space="preserve"> </w:t>
            </w:r>
          </w:p>
        </w:tc>
      </w:tr>
      <w:tr w14:paraId="486186B6">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37" w:type="dxa"/>
            <w:left w:w="350" w:type="dxa"/>
            <w:bottom w:w="0" w:type="dxa"/>
            <w:right w:w="115" w:type="dxa"/>
          </w:tblCellMar>
        </w:tblPrEx>
        <w:trPr>
          <w:trHeight w:val="390" w:hRule="atLeast"/>
          <w:jc w:val="right"/>
        </w:trPr>
        <w:tc>
          <w:tcPr>
            <w:tcW w:w="1018" w:type="dxa"/>
            <w:tcBorders>
              <w:tl2br w:val="nil"/>
              <w:tr2bl w:val="nil"/>
            </w:tcBorders>
          </w:tcPr>
          <w:p w14:paraId="04F6A8FA">
            <w:pPr>
              <w:tabs>
                <w:tab w:val="left" w:pos="220"/>
              </w:tabs>
              <w:ind w:left="-202" w:leftChars="-96"/>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3</w:t>
            </w:r>
          </w:p>
        </w:tc>
        <w:tc>
          <w:tcPr>
            <w:tcW w:w="8730" w:type="dxa"/>
            <w:tcBorders>
              <w:tl2br w:val="nil"/>
              <w:tr2bl w:val="nil"/>
            </w:tcBorders>
          </w:tcPr>
          <w:p w14:paraId="05BD4089">
            <w:pPr>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 xml:space="preserve"> </w:t>
            </w:r>
          </w:p>
        </w:tc>
      </w:tr>
      <w:tr w14:paraId="69E6CADA">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37" w:type="dxa"/>
            <w:left w:w="350" w:type="dxa"/>
            <w:bottom w:w="0" w:type="dxa"/>
            <w:right w:w="115" w:type="dxa"/>
          </w:tblCellMar>
        </w:tblPrEx>
        <w:trPr>
          <w:trHeight w:val="373" w:hRule="atLeast"/>
          <w:jc w:val="right"/>
        </w:trPr>
        <w:tc>
          <w:tcPr>
            <w:tcW w:w="1018" w:type="dxa"/>
            <w:tcBorders>
              <w:tl2br w:val="nil"/>
              <w:tr2bl w:val="nil"/>
            </w:tcBorders>
          </w:tcPr>
          <w:p w14:paraId="6079BDC5">
            <w:pPr>
              <w:tabs>
                <w:tab w:val="left" w:pos="220"/>
              </w:tabs>
              <w:ind w:left="-202" w:leftChars="-96"/>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w:t>
            </w:r>
          </w:p>
        </w:tc>
        <w:tc>
          <w:tcPr>
            <w:tcW w:w="8730" w:type="dxa"/>
            <w:tcBorders>
              <w:tl2br w:val="nil"/>
              <w:tr2bl w:val="nil"/>
            </w:tcBorders>
          </w:tcPr>
          <w:p w14:paraId="39721D9C">
            <w:pPr>
              <w:jc w:val="center"/>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w:t>
            </w:r>
          </w:p>
        </w:tc>
      </w:tr>
    </w:tbl>
    <w:p w14:paraId="5600FD96">
      <w:pPr>
        <w:spacing w:line="360" w:lineRule="auto"/>
        <w:ind w:left="-5" w:right="6142" w:firstLine="241" w:firstLineChars="100"/>
        <w:rPr>
          <w:rFonts w:hint="eastAsia" w:asciiTheme="minorEastAsia" w:hAnsiTheme="minorEastAsia" w:eastAsiaTheme="minorEastAsia" w:cstheme="minorEastAsia"/>
          <w:sz w:val="24"/>
          <w:szCs w:val="32"/>
        </w:rPr>
      </w:pPr>
      <w:bookmarkStart w:id="280" w:name="_Toc15236"/>
      <w:bookmarkStart w:id="281" w:name="_Toc17309"/>
      <w:bookmarkStart w:id="282" w:name="_Toc20651229"/>
      <w:bookmarkStart w:id="283" w:name="_Toc14049"/>
      <w:bookmarkStart w:id="284" w:name="_Toc23696"/>
      <w:bookmarkStart w:id="285" w:name="_Toc28954"/>
      <w:bookmarkStart w:id="286" w:name="_Toc19578"/>
      <w:r>
        <w:rPr>
          <w:rFonts w:hint="eastAsia" w:asciiTheme="minorEastAsia" w:hAnsiTheme="minorEastAsia" w:eastAsiaTheme="minorEastAsia" w:cstheme="minorEastAsia"/>
          <w:b/>
          <w:bCs/>
          <w:sz w:val="24"/>
          <w:szCs w:val="32"/>
        </w:rPr>
        <w:t>评标委员会签字：</w:t>
      </w:r>
      <w:r>
        <w:rPr>
          <w:rFonts w:hint="eastAsia" w:asciiTheme="minorEastAsia" w:hAnsiTheme="minorEastAsia" w:eastAsiaTheme="minorEastAsia" w:cstheme="minorEastAsia"/>
          <w:sz w:val="24"/>
          <w:szCs w:val="32"/>
          <w:u w:val="single" w:color="000000"/>
        </w:rPr>
        <w:t xml:space="preserve">         </w:t>
      </w:r>
    </w:p>
    <w:p w14:paraId="7F0D4F03">
      <w:pPr>
        <w:adjustRightInd w:val="0"/>
        <w:snapToGrid w:val="0"/>
        <w:ind w:firstLine="6325" w:firstLineChars="2625"/>
        <w:jc w:val="center"/>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日期：</w:t>
      </w:r>
      <w:r>
        <w:rPr>
          <w:rFonts w:hint="eastAsia" w:asciiTheme="minorEastAsia" w:hAnsiTheme="minorEastAsia" w:eastAsiaTheme="minorEastAsia" w:cstheme="minorEastAsia"/>
          <w:b/>
          <w:bCs/>
          <w:sz w:val="22"/>
          <w:szCs w:val="28"/>
          <w:u w:val="single" w:color="000000"/>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年</w:t>
      </w:r>
      <w:r>
        <w:rPr>
          <w:rFonts w:hint="eastAsia" w:asciiTheme="minorEastAsia" w:hAnsiTheme="minorEastAsia" w:eastAsiaTheme="minorEastAsia" w:cstheme="minorEastAsia"/>
          <w:b/>
          <w:bCs/>
          <w:sz w:val="22"/>
          <w:szCs w:val="28"/>
          <w:u w:val="single" w:color="000000"/>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月</w:t>
      </w:r>
      <w:r>
        <w:rPr>
          <w:rFonts w:hint="eastAsia" w:asciiTheme="minorEastAsia" w:hAnsiTheme="minorEastAsia" w:eastAsiaTheme="minorEastAsia" w:cstheme="minorEastAsia"/>
          <w:b/>
          <w:bCs/>
          <w:sz w:val="22"/>
          <w:szCs w:val="28"/>
          <w:u w:val="single" w:color="000000"/>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日</w:t>
      </w:r>
    </w:p>
    <w:p w14:paraId="3C9D1908">
      <w:pPr>
        <w:tabs>
          <w:tab w:val="left" w:pos="2428"/>
        </w:tabs>
        <w:adjustRightInd w:val="0"/>
        <w:snapToGrid w:val="0"/>
        <w:spacing w:line="360" w:lineRule="auto"/>
        <w:ind w:firstLine="6325" w:firstLineChars="2625"/>
        <w:jc w:val="left"/>
        <w:rPr>
          <w:rFonts w:hint="eastAsia" w:asciiTheme="minorEastAsia" w:hAnsiTheme="minorEastAsia" w:eastAsiaTheme="minorEastAsia" w:cstheme="minorEastAsia"/>
          <w:b/>
          <w:bCs/>
          <w:sz w:val="24"/>
          <w:szCs w:val="32"/>
        </w:rPr>
      </w:pPr>
    </w:p>
    <w:bookmarkEnd w:id="280"/>
    <w:bookmarkEnd w:id="281"/>
    <w:bookmarkEnd w:id="282"/>
    <w:bookmarkEnd w:id="283"/>
    <w:bookmarkEnd w:id="284"/>
    <w:bookmarkEnd w:id="285"/>
    <w:bookmarkEnd w:id="286"/>
    <w:p w14:paraId="71D613F5">
      <w:pPr>
        <w:pStyle w:val="4"/>
        <w:spacing w:line="240" w:lineRule="auto"/>
        <w:ind w:left="218" w:leftChars="104" w:right="-61" w:rightChars="-29"/>
        <w:jc w:val="center"/>
        <w:rPr>
          <w:rFonts w:hint="eastAsia" w:asciiTheme="minorEastAsia" w:hAnsiTheme="minorEastAsia" w:eastAsiaTheme="minorEastAsia" w:cstheme="minorEastAsia"/>
          <w:sz w:val="32"/>
          <w:szCs w:val="40"/>
        </w:rPr>
      </w:pPr>
      <w:bookmarkStart w:id="287" w:name="_Toc12649"/>
      <w:bookmarkStart w:id="288" w:name="_Toc5386"/>
      <w:bookmarkStart w:id="289" w:name="_Toc20651230"/>
      <w:bookmarkStart w:id="290" w:name="_Toc21712"/>
      <w:bookmarkStart w:id="291" w:name="_Toc23411"/>
      <w:bookmarkStart w:id="292" w:name="_Toc31719"/>
      <w:bookmarkStart w:id="293" w:name="_Toc13962"/>
      <w:bookmarkStart w:id="294" w:name="_Toc18947"/>
      <w:r>
        <w:rPr>
          <w:rFonts w:hint="eastAsia" w:asciiTheme="minorEastAsia" w:hAnsiTheme="minorEastAsia" w:eastAsiaTheme="minorEastAsia" w:cstheme="minorEastAsia"/>
          <w:sz w:val="32"/>
          <w:szCs w:val="40"/>
        </w:rPr>
        <w:t>第四节 投标文件的比较与评价（综合评分法）</w:t>
      </w:r>
      <w:bookmarkEnd w:id="287"/>
      <w:bookmarkEnd w:id="288"/>
      <w:bookmarkEnd w:id="289"/>
      <w:bookmarkEnd w:id="290"/>
      <w:bookmarkEnd w:id="291"/>
      <w:bookmarkEnd w:id="292"/>
      <w:bookmarkEnd w:id="293"/>
      <w:bookmarkEnd w:id="294"/>
    </w:p>
    <w:p w14:paraId="3CC885DB">
      <w:pPr>
        <w:spacing w:line="360" w:lineRule="auto"/>
        <w:ind w:right="-4" w:firstLine="241" w:firstLineChars="100"/>
        <w:rPr>
          <w:rFonts w:hint="eastAsia" w:asciiTheme="minorEastAsia" w:hAnsiTheme="minorEastAsia" w:eastAsiaTheme="minorEastAsia" w:cstheme="minorEastAsia"/>
          <w:b/>
          <w:bCs/>
          <w:sz w:val="24"/>
          <w:szCs w:val="32"/>
        </w:rPr>
      </w:pPr>
      <w:bookmarkStart w:id="295" w:name="_Toc20651231"/>
      <w:r>
        <w:rPr>
          <w:rFonts w:hint="eastAsia" w:asciiTheme="minorEastAsia" w:hAnsiTheme="minorEastAsia" w:eastAsiaTheme="minorEastAsia" w:cstheme="minorEastAsia"/>
          <w:b/>
          <w:bCs/>
          <w:sz w:val="24"/>
          <w:szCs w:val="32"/>
        </w:rPr>
        <w:t>1.综合评分法</w:t>
      </w:r>
    </w:p>
    <w:p w14:paraId="73C3F31B">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1.1综合评分法，指投标文件满足招标文件全部实质性要求，且按照评审因素的量化指标评审得分最高的投标人为中标候选人的评标方法。</w:t>
      </w:r>
    </w:p>
    <w:p w14:paraId="3F5236C3">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1.2评标因素：评审因素的设定应当与投标人所提供货物服务的质量相关，包括投标报价、技术或者服务水平、履约能力、售后服务等，但不包括第一章投标人的资格要求。本采购项目的评标因素和标准见本章本节</w:t>
      </w:r>
      <w:r>
        <w:rPr>
          <w:rFonts w:hint="eastAsia" w:asciiTheme="minorEastAsia" w:hAnsiTheme="minorEastAsia" w:eastAsiaTheme="minorEastAsia" w:cstheme="minorEastAsia"/>
          <w:b/>
          <w:bCs/>
          <w:sz w:val="24"/>
          <w:szCs w:val="32"/>
        </w:rPr>
        <w:t>“评标方法及标准表”</w:t>
      </w:r>
      <w:r>
        <w:rPr>
          <w:rFonts w:hint="eastAsia" w:asciiTheme="minorEastAsia" w:hAnsiTheme="minorEastAsia" w:eastAsiaTheme="minorEastAsia" w:cstheme="minorEastAsia"/>
          <w:sz w:val="24"/>
          <w:szCs w:val="32"/>
        </w:rPr>
        <w:t>。</w:t>
      </w:r>
    </w:p>
    <w:p w14:paraId="500BBCAB">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1.3未通过符合性审查的投标文件不得进入比较与评价。</w:t>
      </w:r>
    </w:p>
    <w:p w14:paraId="6D51C030">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2.投标报价的算术修正及政府采购政策调整</w:t>
      </w:r>
    </w:p>
    <w:p w14:paraId="7446E9FF">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2.1如果有算术错误，投标报价将按本章第二节第4.2款、第4.3款规定进行算术修正。</w:t>
      </w:r>
    </w:p>
    <w:p w14:paraId="5F8BBF84">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2.2需落实价格评审优惠政府采购政策的，按第二章“投标须知”及本章第二节第5.</w:t>
      </w:r>
      <w:r>
        <w:rPr>
          <w:rFonts w:hint="eastAsia" w:asciiTheme="minorEastAsia" w:hAnsiTheme="minorEastAsia" w:eastAsiaTheme="minorEastAsia" w:cstheme="minorEastAsia"/>
          <w:sz w:val="24"/>
          <w:szCs w:val="32"/>
          <w:lang w:val="en-US" w:eastAsia="zh-CN"/>
        </w:rPr>
        <w:t>2</w:t>
      </w:r>
      <w:r>
        <w:rPr>
          <w:rFonts w:hint="eastAsia" w:asciiTheme="minorEastAsia" w:hAnsiTheme="minorEastAsia" w:eastAsiaTheme="minorEastAsia" w:cstheme="minorEastAsia"/>
          <w:sz w:val="24"/>
          <w:szCs w:val="32"/>
        </w:rPr>
        <w:t>款的相关规定进行价格调整。</w:t>
      </w:r>
    </w:p>
    <w:p w14:paraId="0F3F09BE">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2.3按本章本节第2.1款、第2.2款规定，以修正或调整后的价格确定投标人的投标报价和评标基准价，用于投标报价评价。</w:t>
      </w:r>
    </w:p>
    <w:p w14:paraId="006568E3">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3.投标报价评价</w:t>
      </w:r>
    </w:p>
    <w:p w14:paraId="4D757C0B">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3.1投标报价评价：价格分应当采用低价优先法计算，即满足招标文件要求且投标价格最低的投标报价为评标基准价，其价格分为满分（报价权重分）。其他投标人的价格分统一按照下列公式计算：</w:t>
      </w:r>
    </w:p>
    <w:p w14:paraId="0E7F6546">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投标报价得分</w:t>
      </w:r>
      <w:r>
        <w:rPr>
          <w:rFonts w:hint="eastAsia" w:asciiTheme="minorEastAsia" w:hAnsiTheme="minorEastAsia" w:eastAsiaTheme="minorEastAsia" w:cstheme="minorEastAsia"/>
          <w:color w:val="000000" w:themeColor="text1"/>
          <w:sz w:val="24"/>
          <w14:textFill>
            <w14:solidFill>
              <w14:schemeClr w14:val="tx1"/>
            </w14:solidFill>
          </w14:textFill>
        </w:rPr>
        <w:t>=（评标基准价</w:t>
      </w:r>
      <w:r>
        <w:rPr>
          <w:rFonts w:hint="eastAsia" w:asciiTheme="minorEastAsia" w:hAnsiTheme="minorEastAsia" w:eastAsiaTheme="minorEastAsia" w:cstheme="minorEastAsia"/>
          <w:color w:val="000000" w:themeColor="text1"/>
          <w:sz w:val="24"/>
          <w:vertAlign w:val="subscript"/>
          <w14:textFill>
            <w14:solidFill>
              <w14:schemeClr w14:val="tx1"/>
            </w14:solidFill>
          </w14:textFill>
        </w:rPr>
        <w:t>修正或调整</w:t>
      </w:r>
      <w:r>
        <w:rPr>
          <w:rFonts w:hint="eastAsia" w:asciiTheme="minorEastAsia" w:hAnsiTheme="minorEastAsia" w:eastAsiaTheme="minorEastAsia" w:cstheme="minorEastAsia"/>
          <w:color w:val="000000" w:themeColor="text1"/>
          <w:sz w:val="24"/>
          <w14:textFill>
            <w14:solidFill>
              <w14:schemeClr w14:val="tx1"/>
            </w14:solidFill>
          </w14:textFill>
        </w:rPr>
        <w:t>／投标报价</w:t>
      </w:r>
      <w:r>
        <w:rPr>
          <w:rFonts w:hint="eastAsia" w:asciiTheme="minorEastAsia" w:hAnsiTheme="minorEastAsia" w:eastAsiaTheme="minorEastAsia" w:cstheme="minorEastAsia"/>
          <w:color w:val="000000" w:themeColor="text1"/>
          <w:sz w:val="24"/>
          <w:vertAlign w:val="subscript"/>
          <w14:textFill>
            <w14:solidFill>
              <w14:schemeClr w14:val="tx1"/>
            </w14:solidFill>
          </w14:textFill>
        </w:rPr>
        <w:t>修正或调整</w:t>
      </w:r>
      <w:r>
        <w:rPr>
          <w:rFonts w:hint="eastAsia" w:asciiTheme="minorEastAsia" w:hAnsiTheme="minorEastAsia" w:eastAsiaTheme="minorEastAsia" w:cstheme="minorEastAsia"/>
          <w:color w:val="000000" w:themeColor="text1"/>
          <w:sz w:val="24"/>
          <w14:textFill>
            <w14:solidFill>
              <w14:schemeClr w14:val="tx1"/>
            </w14:solidFill>
          </w14:textFill>
        </w:rPr>
        <w:t>）×报价权重分</w:t>
      </w:r>
    </w:p>
    <w:p w14:paraId="485CF2EA">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lang w:val="en-US" w:eastAsia="zh-CN"/>
        </w:rPr>
        <w:t>4</w:t>
      </w:r>
      <w:r>
        <w:rPr>
          <w:rFonts w:hint="eastAsia" w:asciiTheme="minorEastAsia" w:hAnsiTheme="minorEastAsia" w:eastAsiaTheme="minorEastAsia" w:cstheme="minorEastAsia"/>
          <w:b/>
          <w:bCs/>
          <w:sz w:val="24"/>
          <w:szCs w:val="32"/>
        </w:rPr>
        <w:t>.评标总得分</w:t>
      </w:r>
    </w:p>
    <w:p w14:paraId="30DFD599">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lang w:val="en-US" w:eastAsia="zh-CN"/>
        </w:rPr>
        <w:t>4</w:t>
      </w:r>
      <w:r>
        <w:rPr>
          <w:rFonts w:hint="eastAsia" w:asciiTheme="minorEastAsia" w:hAnsiTheme="minorEastAsia" w:eastAsiaTheme="minorEastAsia" w:cstheme="minorEastAsia"/>
          <w:sz w:val="24"/>
          <w:szCs w:val="32"/>
        </w:rPr>
        <w:t>.1评标总得分为投标报价、技术、商务等评分项得分（含优先采购政策加分）之和。</w:t>
      </w:r>
    </w:p>
    <w:p w14:paraId="16121937">
      <w:pPr>
        <w:spacing w:line="360" w:lineRule="auto"/>
        <w:ind w:left="420" w:leftChars="200"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lang w:val="ru-RU" w:eastAsia="ru-RU"/>
        </w:rPr>
        <w:t>评标总得分＝F</w:t>
      </w:r>
      <w:r>
        <w:rPr>
          <w:rFonts w:hint="eastAsia" w:asciiTheme="minorEastAsia" w:hAnsiTheme="minorEastAsia" w:eastAsiaTheme="minorEastAsia" w:cstheme="minorEastAsia"/>
          <w:sz w:val="24"/>
          <w:szCs w:val="32"/>
          <w:vertAlign w:val="subscript"/>
        </w:rPr>
        <w:t>1</w:t>
      </w:r>
      <w:r>
        <w:rPr>
          <w:rFonts w:hint="eastAsia" w:asciiTheme="minorEastAsia" w:hAnsiTheme="minorEastAsia" w:eastAsiaTheme="minorEastAsia" w:cstheme="minorEastAsia"/>
          <w:sz w:val="24"/>
          <w:szCs w:val="32"/>
          <w:lang w:val="ru-RU" w:eastAsia="ru-RU"/>
        </w:rPr>
        <w:t>×A</w:t>
      </w:r>
      <w:r>
        <w:rPr>
          <w:rFonts w:hint="eastAsia" w:asciiTheme="minorEastAsia" w:hAnsiTheme="minorEastAsia" w:eastAsiaTheme="minorEastAsia" w:cstheme="minorEastAsia"/>
          <w:sz w:val="24"/>
          <w:szCs w:val="32"/>
          <w:vertAlign w:val="subscript"/>
        </w:rPr>
        <w:t>1</w:t>
      </w:r>
      <w:r>
        <w:rPr>
          <w:rFonts w:hint="eastAsia" w:asciiTheme="minorEastAsia" w:hAnsiTheme="minorEastAsia" w:eastAsiaTheme="minorEastAsia" w:cstheme="minorEastAsia"/>
          <w:sz w:val="24"/>
          <w:szCs w:val="32"/>
          <w:lang w:val="ru-RU" w:eastAsia="ru-RU"/>
        </w:rPr>
        <w:t>＋F</w:t>
      </w:r>
      <w:r>
        <w:rPr>
          <w:rFonts w:hint="eastAsia" w:asciiTheme="minorEastAsia" w:hAnsiTheme="minorEastAsia" w:eastAsiaTheme="minorEastAsia" w:cstheme="minorEastAsia"/>
          <w:sz w:val="24"/>
          <w:szCs w:val="32"/>
          <w:vertAlign w:val="subscript"/>
        </w:rPr>
        <w:t>2</w:t>
      </w:r>
      <w:r>
        <w:rPr>
          <w:rFonts w:hint="eastAsia" w:asciiTheme="minorEastAsia" w:hAnsiTheme="minorEastAsia" w:eastAsiaTheme="minorEastAsia" w:cstheme="minorEastAsia"/>
          <w:sz w:val="24"/>
          <w:szCs w:val="32"/>
          <w:lang w:val="ru-RU" w:eastAsia="ru-RU"/>
        </w:rPr>
        <w:t>×A</w:t>
      </w:r>
      <w:r>
        <w:rPr>
          <w:rFonts w:hint="eastAsia" w:asciiTheme="minorEastAsia" w:hAnsiTheme="minorEastAsia" w:eastAsiaTheme="minorEastAsia" w:cstheme="minorEastAsia"/>
          <w:sz w:val="24"/>
          <w:szCs w:val="32"/>
          <w:vertAlign w:val="subscript"/>
        </w:rPr>
        <w:t>2</w:t>
      </w:r>
      <w:r>
        <w:rPr>
          <w:rFonts w:hint="eastAsia" w:asciiTheme="minorEastAsia" w:hAnsiTheme="minorEastAsia" w:eastAsiaTheme="minorEastAsia" w:cstheme="minorEastAsia"/>
          <w:sz w:val="24"/>
          <w:szCs w:val="32"/>
          <w:lang w:val="ru-RU" w:eastAsia="ru-RU"/>
        </w:rPr>
        <w:t>＋……＋F</w:t>
      </w:r>
      <w:r>
        <w:rPr>
          <w:rFonts w:hint="eastAsia" w:asciiTheme="minorEastAsia" w:hAnsiTheme="minorEastAsia" w:eastAsiaTheme="minorEastAsia" w:cstheme="minorEastAsia"/>
          <w:sz w:val="24"/>
          <w:szCs w:val="32"/>
        </w:rPr>
        <w:t>n</w:t>
      </w:r>
      <w:r>
        <w:rPr>
          <w:rFonts w:hint="eastAsia" w:asciiTheme="minorEastAsia" w:hAnsiTheme="minorEastAsia" w:eastAsiaTheme="minorEastAsia" w:cstheme="minorEastAsia"/>
          <w:sz w:val="24"/>
          <w:szCs w:val="32"/>
          <w:lang w:val="ru-RU" w:eastAsia="ru-RU"/>
        </w:rPr>
        <w:t>×A</w:t>
      </w:r>
      <w:r>
        <w:rPr>
          <w:rFonts w:hint="eastAsia" w:asciiTheme="minorEastAsia" w:hAnsiTheme="minorEastAsia" w:eastAsiaTheme="minorEastAsia" w:cstheme="minorEastAsia"/>
          <w:sz w:val="24"/>
          <w:szCs w:val="32"/>
        </w:rPr>
        <w:t>n</w:t>
      </w:r>
    </w:p>
    <w:p w14:paraId="4F5E0329">
      <w:pPr>
        <w:spacing w:line="360" w:lineRule="auto"/>
        <w:ind w:left="420" w:leftChars="200" w:right="-6" w:firstLine="480" w:firstLineChars="200"/>
        <w:rPr>
          <w:rFonts w:hint="eastAsia" w:asciiTheme="minorEastAsia" w:hAnsiTheme="minorEastAsia" w:eastAsiaTheme="minorEastAsia" w:cstheme="minorEastAsia"/>
          <w:sz w:val="24"/>
          <w:szCs w:val="32"/>
          <w:lang w:val="ru-RU" w:eastAsia="ru-RU"/>
        </w:rPr>
      </w:pPr>
      <w:r>
        <w:rPr>
          <w:rFonts w:hint="eastAsia" w:asciiTheme="minorEastAsia" w:hAnsiTheme="minorEastAsia" w:eastAsiaTheme="minorEastAsia" w:cstheme="minorEastAsia"/>
          <w:sz w:val="24"/>
          <w:szCs w:val="32"/>
          <w:lang w:val="ru-RU" w:eastAsia="ru-RU"/>
        </w:rPr>
        <w:t>F</w:t>
      </w:r>
      <w:r>
        <w:rPr>
          <w:rFonts w:hint="eastAsia" w:asciiTheme="minorEastAsia" w:hAnsiTheme="minorEastAsia" w:eastAsiaTheme="minorEastAsia" w:cstheme="minorEastAsia"/>
          <w:sz w:val="24"/>
          <w:szCs w:val="32"/>
          <w:vertAlign w:val="subscript"/>
        </w:rPr>
        <w:t>1</w:t>
      </w:r>
      <w:r>
        <w:rPr>
          <w:rFonts w:hint="eastAsia" w:asciiTheme="minorEastAsia" w:hAnsiTheme="minorEastAsia" w:eastAsiaTheme="minorEastAsia" w:cstheme="minorEastAsia"/>
          <w:sz w:val="24"/>
          <w:szCs w:val="32"/>
          <w:lang w:val="ru-RU"/>
        </w:rPr>
        <w:t>、</w:t>
      </w:r>
      <w:r>
        <w:rPr>
          <w:rFonts w:hint="eastAsia" w:asciiTheme="minorEastAsia" w:hAnsiTheme="minorEastAsia" w:eastAsiaTheme="minorEastAsia" w:cstheme="minorEastAsia"/>
          <w:sz w:val="24"/>
          <w:szCs w:val="32"/>
          <w:lang w:val="ru-RU" w:eastAsia="ru-RU"/>
        </w:rPr>
        <w:t>F</w:t>
      </w:r>
      <w:r>
        <w:rPr>
          <w:rFonts w:hint="eastAsia" w:asciiTheme="minorEastAsia" w:hAnsiTheme="minorEastAsia" w:eastAsiaTheme="minorEastAsia" w:cstheme="minorEastAsia"/>
          <w:sz w:val="24"/>
          <w:szCs w:val="32"/>
          <w:vertAlign w:val="subscript"/>
        </w:rPr>
        <w:t>2</w:t>
      </w:r>
      <w:r>
        <w:rPr>
          <w:rFonts w:hint="eastAsia" w:asciiTheme="minorEastAsia" w:hAnsiTheme="minorEastAsia" w:eastAsiaTheme="minorEastAsia" w:cstheme="minorEastAsia"/>
          <w:sz w:val="24"/>
          <w:szCs w:val="32"/>
          <w:lang w:val="ru-RU" w:eastAsia="ru-RU"/>
        </w:rPr>
        <w:t>……F</w:t>
      </w:r>
      <w:r>
        <w:rPr>
          <w:rFonts w:hint="eastAsia" w:asciiTheme="minorEastAsia" w:hAnsiTheme="minorEastAsia" w:eastAsiaTheme="minorEastAsia" w:cstheme="minorEastAsia"/>
          <w:sz w:val="24"/>
          <w:szCs w:val="32"/>
          <w:vertAlign w:val="subscript"/>
        </w:rPr>
        <w:t>n</w:t>
      </w:r>
      <w:r>
        <w:rPr>
          <w:rFonts w:hint="eastAsia" w:asciiTheme="minorEastAsia" w:hAnsiTheme="minorEastAsia" w:eastAsiaTheme="minorEastAsia" w:cstheme="minorEastAsia"/>
          <w:sz w:val="24"/>
          <w:szCs w:val="32"/>
          <w:lang w:val="ru-RU" w:eastAsia="ru-RU"/>
        </w:rPr>
        <w:t>分别为各项评审因素的得分；</w:t>
      </w:r>
    </w:p>
    <w:p w14:paraId="64AC0DDD">
      <w:pPr>
        <w:spacing w:line="360" w:lineRule="auto"/>
        <w:ind w:left="420" w:leftChars="200"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lang w:val="ru-RU" w:eastAsia="ru-RU"/>
        </w:rPr>
        <w:t>A</w:t>
      </w:r>
      <w:r>
        <w:rPr>
          <w:rFonts w:hint="eastAsia" w:asciiTheme="minorEastAsia" w:hAnsiTheme="minorEastAsia" w:eastAsiaTheme="minorEastAsia" w:cstheme="minorEastAsia"/>
          <w:sz w:val="24"/>
          <w:szCs w:val="32"/>
          <w:vertAlign w:val="subscript"/>
        </w:rPr>
        <w:t>1</w:t>
      </w:r>
      <w:r>
        <w:rPr>
          <w:rFonts w:hint="eastAsia" w:asciiTheme="minorEastAsia" w:hAnsiTheme="minorEastAsia" w:eastAsiaTheme="minorEastAsia" w:cstheme="minorEastAsia"/>
          <w:sz w:val="24"/>
          <w:szCs w:val="32"/>
          <w:lang w:val="ru-RU"/>
        </w:rPr>
        <w:t>、</w:t>
      </w:r>
      <w:r>
        <w:rPr>
          <w:rFonts w:hint="eastAsia" w:asciiTheme="minorEastAsia" w:hAnsiTheme="minorEastAsia" w:eastAsiaTheme="minorEastAsia" w:cstheme="minorEastAsia"/>
          <w:sz w:val="24"/>
          <w:szCs w:val="32"/>
          <w:lang w:val="ru-RU" w:eastAsia="ru-RU"/>
        </w:rPr>
        <w:t>A</w:t>
      </w:r>
      <w:r>
        <w:rPr>
          <w:rFonts w:hint="eastAsia" w:asciiTheme="minorEastAsia" w:hAnsiTheme="minorEastAsia" w:eastAsiaTheme="minorEastAsia" w:cstheme="minorEastAsia"/>
          <w:sz w:val="24"/>
          <w:szCs w:val="32"/>
          <w:vertAlign w:val="subscript"/>
        </w:rPr>
        <w:t>2</w:t>
      </w:r>
      <w:r>
        <w:rPr>
          <w:rFonts w:hint="eastAsia" w:asciiTheme="minorEastAsia" w:hAnsiTheme="minorEastAsia" w:eastAsiaTheme="minorEastAsia" w:cstheme="minorEastAsia"/>
          <w:sz w:val="24"/>
          <w:szCs w:val="32"/>
          <w:lang w:val="ru-RU" w:eastAsia="ru-RU"/>
        </w:rPr>
        <w:t>……A</w:t>
      </w:r>
      <w:r>
        <w:rPr>
          <w:rFonts w:hint="eastAsia" w:asciiTheme="minorEastAsia" w:hAnsiTheme="minorEastAsia" w:eastAsiaTheme="minorEastAsia" w:cstheme="minorEastAsia"/>
          <w:sz w:val="24"/>
          <w:szCs w:val="32"/>
        </w:rPr>
        <w:t>n</w:t>
      </w:r>
      <w:r>
        <w:rPr>
          <w:rFonts w:hint="eastAsia" w:asciiTheme="minorEastAsia" w:hAnsiTheme="minorEastAsia" w:eastAsiaTheme="minorEastAsia" w:cstheme="minorEastAsia"/>
          <w:sz w:val="24"/>
          <w:szCs w:val="32"/>
          <w:lang w:val="ru-RU" w:eastAsia="ru-RU"/>
        </w:rPr>
        <w:t>分别为各项评审因素所占的权重（A</w:t>
      </w:r>
      <w:r>
        <w:rPr>
          <w:rFonts w:hint="eastAsia" w:asciiTheme="minorEastAsia" w:hAnsiTheme="minorEastAsia" w:eastAsiaTheme="minorEastAsia" w:cstheme="minorEastAsia"/>
          <w:sz w:val="24"/>
          <w:szCs w:val="32"/>
          <w:vertAlign w:val="subscript"/>
        </w:rPr>
        <w:t>1</w:t>
      </w:r>
      <w:r>
        <w:rPr>
          <w:rFonts w:hint="eastAsia" w:asciiTheme="minorEastAsia" w:hAnsiTheme="minorEastAsia" w:eastAsiaTheme="minorEastAsia" w:cstheme="minorEastAsia"/>
          <w:sz w:val="24"/>
          <w:szCs w:val="32"/>
          <w:lang w:val="ru-RU" w:eastAsia="ru-RU"/>
        </w:rPr>
        <w:t>＋A</w:t>
      </w:r>
      <w:r>
        <w:rPr>
          <w:rFonts w:hint="eastAsia" w:asciiTheme="minorEastAsia" w:hAnsiTheme="minorEastAsia" w:eastAsiaTheme="minorEastAsia" w:cstheme="minorEastAsia"/>
          <w:sz w:val="24"/>
          <w:szCs w:val="32"/>
          <w:vertAlign w:val="subscript"/>
        </w:rPr>
        <w:t>2</w:t>
      </w:r>
      <w:r>
        <w:rPr>
          <w:rFonts w:hint="eastAsia" w:asciiTheme="minorEastAsia" w:hAnsiTheme="minorEastAsia" w:eastAsiaTheme="minorEastAsia" w:cstheme="minorEastAsia"/>
          <w:sz w:val="24"/>
          <w:szCs w:val="32"/>
          <w:lang w:val="ru-RU" w:eastAsia="ru-RU"/>
        </w:rPr>
        <w:t>＋……＋A</w:t>
      </w:r>
      <w:r>
        <w:rPr>
          <w:rFonts w:hint="eastAsia" w:asciiTheme="minorEastAsia" w:hAnsiTheme="minorEastAsia" w:eastAsiaTheme="minorEastAsia" w:cstheme="minorEastAsia"/>
          <w:sz w:val="24"/>
          <w:szCs w:val="32"/>
        </w:rPr>
        <w:t>n</w:t>
      </w:r>
      <w:r>
        <w:rPr>
          <w:rFonts w:hint="eastAsia" w:asciiTheme="minorEastAsia" w:hAnsiTheme="minorEastAsia" w:eastAsiaTheme="minorEastAsia" w:cstheme="minorEastAsia"/>
          <w:sz w:val="24"/>
          <w:szCs w:val="32"/>
          <w:lang w:val="ru-RU" w:eastAsia="ru-RU"/>
        </w:rPr>
        <w:t>＝1）。</w:t>
      </w:r>
    </w:p>
    <w:p w14:paraId="379CCC8C">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lang w:val="en-US" w:eastAsia="zh-CN"/>
        </w:rPr>
        <w:t>4</w:t>
      </w:r>
      <w:r>
        <w:rPr>
          <w:rFonts w:hint="eastAsia" w:asciiTheme="minorEastAsia" w:hAnsiTheme="minorEastAsia" w:eastAsiaTheme="minorEastAsia" w:cstheme="minorEastAsia"/>
          <w:sz w:val="24"/>
          <w:szCs w:val="32"/>
        </w:rPr>
        <w:t>.2评分分值计算保留小数点后两位，小数点后第三位“四舍五入”。</w:t>
      </w:r>
    </w:p>
    <w:p w14:paraId="155FFAF7">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sz w:val="24"/>
          <w:szCs w:val="32"/>
          <w:lang w:val="en-US" w:eastAsia="zh-CN"/>
        </w:rPr>
        <w:t>4</w:t>
      </w:r>
      <w:r>
        <w:rPr>
          <w:rFonts w:hint="eastAsia" w:asciiTheme="minorEastAsia" w:hAnsiTheme="minorEastAsia" w:eastAsiaTheme="minorEastAsia" w:cstheme="minorEastAsia"/>
          <w:sz w:val="24"/>
          <w:szCs w:val="32"/>
        </w:rPr>
        <w:t>.3评标时，评标委员会成员应当独立对满足招标文件全部实质性要求投标人的投标文件进行评价、评分，然后汇总每个投标人每项评分因素的得分。每个投标</w:t>
      </w:r>
      <w:r>
        <w:rPr>
          <w:rFonts w:hint="eastAsia" w:asciiTheme="minorEastAsia" w:hAnsiTheme="minorEastAsia" w:eastAsiaTheme="minorEastAsia" w:cstheme="minorEastAsia"/>
          <w:color w:val="000000" w:themeColor="text1"/>
          <w:sz w:val="24"/>
          <w14:textFill>
            <w14:solidFill>
              <w14:schemeClr w14:val="tx1"/>
            </w14:solidFill>
          </w14:textFill>
        </w:rPr>
        <w:t>人的最终得分为所有评标委员会成员评分的算术平均值。</w:t>
      </w:r>
    </w:p>
    <w:p w14:paraId="1E2BA2FC">
      <w:pPr>
        <w:spacing w:line="360" w:lineRule="auto"/>
        <w:ind w:right="-4"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lang w:val="en-US" w:eastAsia="zh-CN"/>
        </w:rPr>
        <w:t>5</w:t>
      </w:r>
      <w:r>
        <w:rPr>
          <w:rFonts w:hint="eastAsia" w:asciiTheme="minorEastAsia" w:hAnsiTheme="minorEastAsia" w:eastAsiaTheme="minorEastAsia" w:cstheme="minorEastAsia"/>
          <w:b/>
          <w:bCs/>
          <w:sz w:val="24"/>
          <w:szCs w:val="32"/>
        </w:rPr>
        <w:t>.中标候选人的推荐方法</w:t>
      </w:r>
    </w:p>
    <w:p w14:paraId="0B185B71">
      <w:pPr>
        <w:spacing w:line="360" w:lineRule="auto"/>
        <w:ind w:right="-4"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lang w:val="en-US" w:eastAsia="zh-CN"/>
        </w:rPr>
        <w:t>5</w:t>
      </w:r>
      <w:r>
        <w:rPr>
          <w:rFonts w:hint="eastAsia" w:asciiTheme="minorEastAsia" w:hAnsiTheme="minorEastAsia" w:eastAsiaTheme="minorEastAsia" w:cstheme="minorEastAsia"/>
          <w:sz w:val="24"/>
          <w:szCs w:val="32"/>
        </w:rPr>
        <w:t>.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4078B2E0">
      <w:pPr>
        <w:spacing w:line="360" w:lineRule="auto"/>
        <w:ind w:right="-4" w:firstLine="480" w:firstLineChars="200"/>
        <w:rPr>
          <w:rFonts w:hint="eastAsia" w:asciiTheme="minorEastAsia" w:hAnsiTheme="minorEastAsia" w:eastAsiaTheme="minorEastAsia" w:cstheme="minorEastAsia"/>
          <w:sz w:val="24"/>
          <w:szCs w:val="32"/>
        </w:rPr>
      </w:pPr>
      <w:bookmarkStart w:id="296" w:name="_Toc21180"/>
      <w:bookmarkStart w:id="297" w:name="_Toc1138"/>
      <w:bookmarkStart w:id="298" w:name="_Toc26246"/>
      <w:bookmarkStart w:id="299" w:name="_Toc5423"/>
      <w:bookmarkStart w:id="300" w:name="_Toc11190"/>
      <w:bookmarkStart w:id="301" w:name="_Toc3637"/>
      <w:bookmarkStart w:id="302" w:name="_Toc21561"/>
      <w:bookmarkStart w:id="303" w:name="_Toc17766"/>
      <w:bookmarkStart w:id="304" w:name="_Toc3678"/>
      <w:r>
        <w:rPr>
          <w:rFonts w:hint="eastAsia" w:asciiTheme="minorEastAsia" w:hAnsiTheme="minorEastAsia" w:eastAsiaTheme="minorEastAsia" w:cstheme="minorEastAsia"/>
          <w:sz w:val="24"/>
          <w:szCs w:val="32"/>
          <w:lang w:val="en-US" w:eastAsia="zh-CN"/>
        </w:rPr>
        <w:t>5</w:t>
      </w:r>
      <w:r>
        <w:rPr>
          <w:rFonts w:hint="eastAsia" w:asciiTheme="minorEastAsia" w:hAnsiTheme="minorEastAsia" w:eastAsiaTheme="minorEastAsia" w:cstheme="minorEastAsia"/>
          <w:sz w:val="24"/>
          <w:szCs w:val="32"/>
        </w:rPr>
        <w:t>.2得分且投标报价相同的并列，按本章第二节规定确定中标候选人。</w:t>
      </w:r>
      <w:bookmarkEnd w:id="296"/>
      <w:bookmarkEnd w:id="297"/>
      <w:bookmarkEnd w:id="298"/>
      <w:bookmarkEnd w:id="299"/>
      <w:bookmarkEnd w:id="300"/>
      <w:bookmarkEnd w:id="301"/>
      <w:bookmarkEnd w:id="302"/>
      <w:bookmarkEnd w:id="303"/>
      <w:bookmarkEnd w:id="304"/>
    </w:p>
    <w:p w14:paraId="71731762">
      <w:pPr>
        <w:spacing w:line="240" w:lineRule="auto"/>
        <w:ind w:right="-4" w:firstLine="440" w:firstLineChars="200"/>
        <w:rPr>
          <w:rFonts w:hint="eastAsia" w:asciiTheme="minorEastAsia" w:hAnsiTheme="minorEastAsia" w:eastAsiaTheme="minorEastAsia" w:cstheme="minorEastAsia"/>
          <w:sz w:val="22"/>
          <w:szCs w:val="28"/>
        </w:rPr>
      </w:pPr>
    </w:p>
    <w:p w14:paraId="67550CE6">
      <w:pPr>
        <w:spacing w:line="240" w:lineRule="auto"/>
        <w:ind w:right="-4"/>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附表1 评标方法及标准表</w:t>
      </w:r>
      <w:bookmarkEnd w:id="295"/>
    </w:p>
    <w:p w14:paraId="44DCCEF6">
      <w:pPr>
        <w:adjustRightInd w:val="0"/>
        <w:snapToGrid w:val="0"/>
        <w:spacing w:line="240" w:lineRule="auto"/>
        <w:ind w:firstLine="422" w:firstLineChars="150"/>
        <w:jc w:val="center"/>
        <w:rPr>
          <w:rFonts w:hint="eastAsia" w:asciiTheme="minorEastAsia" w:hAnsiTheme="minorEastAsia" w:eastAsiaTheme="minorEastAsia" w:cstheme="minorEastAsia"/>
          <w:b/>
          <w:color w:val="000000" w:themeColor="text1"/>
          <w:sz w:val="28"/>
          <w:szCs w:val="28"/>
          <w14:textFill>
            <w14:solidFill>
              <w14:schemeClr w14:val="tx1"/>
            </w14:solidFill>
          </w14:textFill>
        </w:rPr>
      </w:pPr>
      <w:bookmarkStart w:id="305" w:name="_Toc28417"/>
      <w:r>
        <w:rPr>
          <w:rFonts w:hint="eastAsia" w:asciiTheme="minorEastAsia" w:hAnsiTheme="minorEastAsia" w:eastAsiaTheme="minorEastAsia" w:cstheme="minorEastAsia"/>
          <w:b/>
          <w:color w:val="000000" w:themeColor="text1"/>
          <w:sz w:val="28"/>
          <w:szCs w:val="28"/>
          <w14:textFill>
            <w14:solidFill>
              <w14:schemeClr w14:val="tx1"/>
            </w14:solidFill>
          </w14:textFill>
        </w:rPr>
        <w:t>本采购项目的权数见下表</w:t>
      </w:r>
    </w:p>
    <w:tbl>
      <w:tblPr>
        <w:tblStyle w:val="90"/>
        <w:tblW w:w="3672" w:type="pct"/>
        <w:jc w:val="center"/>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33"/>
        <w:gridCol w:w="3092"/>
        <w:gridCol w:w="2702"/>
      </w:tblGrid>
      <w:tr w14:paraId="12DA6678">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center"/>
        </w:trPr>
        <w:tc>
          <w:tcPr>
            <w:tcW w:w="877" w:type="pct"/>
            <w:tcBorders>
              <w:tl2br w:val="nil"/>
              <w:tr2bl w:val="nil"/>
            </w:tcBorders>
            <w:vAlign w:val="center"/>
          </w:tcPr>
          <w:p w14:paraId="65FC936C">
            <w:pPr>
              <w:jc w:val="center"/>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序号</w:t>
            </w:r>
          </w:p>
        </w:tc>
        <w:tc>
          <w:tcPr>
            <w:tcW w:w="2200" w:type="pct"/>
            <w:tcBorders>
              <w:tl2br w:val="nil"/>
              <w:tr2bl w:val="nil"/>
            </w:tcBorders>
            <w:vAlign w:val="center"/>
          </w:tcPr>
          <w:p w14:paraId="25B09132">
            <w:pPr>
              <w:jc w:val="center"/>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项 目</w:t>
            </w:r>
          </w:p>
        </w:tc>
        <w:tc>
          <w:tcPr>
            <w:tcW w:w="1922" w:type="pct"/>
            <w:tcBorders>
              <w:tl2br w:val="nil"/>
              <w:tr2bl w:val="nil"/>
            </w:tcBorders>
            <w:vAlign w:val="center"/>
          </w:tcPr>
          <w:p w14:paraId="01BEE16B">
            <w:pPr>
              <w:jc w:val="center"/>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权值的取值</w:t>
            </w:r>
          </w:p>
        </w:tc>
      </w:tr>
      <w:tr w14:paraId="53412ACE">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jc w:val="center"/>
        </w:trPr>
        <w:tc>
          <w:tcPr>
            <w:tcW w:w="877" w:type="pct"/>
            <w:tcBorders>
              <w:tl2br w:val="nil"/>
              <w:tr2bl w:val="nil"/>
            </w:tcBorders>
            <w:vAlign w:val="center"/>
          </w:tcPr>
          <w:p w14:paraId="5F99BD98">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w:t>
            </w:r>
          </w:p>
        </w:tc>
        <w:tc>
          <w:tcPr>
            <w:tcW w:w="2200" w:type="pct"/>
            <w:tcBorders>
              <w:tl2br w:val="nil"/>
              <w:tr2bl w:val="nil"/>
            </w:tcBorders>
            <w:vAlign w:val="center"/>
          </w:tcPr>
          <w:p w14:paraId="280B634F">
            <w:pPr>
              <w:adjustRightInd w:val="0"/>
              <w:snapToGrid w:val="0"/>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kern w:val="0"/>
                <w:sz w:val="24"/>
                <w:lang w:val="ru-RU" w:eastAsia="ru-RU"/>
              </w:rPr>
              <w:t>报价</w:t>
            </w:r>
            <w:r>
              <w:rPr>
                <w:rFonts w:hint="eastAsia" w:asciiTheme="minorEastAsia" w:hAnsiTheme="minorEastAsia" w:eastAsiaTheme="minorEastAsia" w:cstheme="minorEastAsia"/>
                <w:kern w:val="0"/>
                <w:sz w:val="24"/>
                <w:lang w:val="ru-RU"/>
              </w:rPr>
              <w:t>（A</w:t>
            </w:r>
            <w:r>
              <w:rPr>
                <w:rFonts w:hint="eastAsia" w:asciiTheme="minorEastAsia" w:hAnsiTheme="minorEastAsia" w:eastAsiaTheme="minorEastAsia" w:cstheme="minorEastAsia"/>
                <w:bCs/>
                <w:sz w:val="24"/>
                <w:vertAlign w:val="subscript"/>
              </w:rPr>
              <w:t>1</w:t>
            </w:r>
            <w:r>
              <w:rPr>
                <w:rFonts w:hint="eastAsia" w:asciiTheme="minorEastAsia" w:hAnsiTheme="minorEastAsia" w:eastAsiaTheme="minorEastAsia" w:cstheme="minorEastAsia"/>
                <w:kern w:val="0"/>
                <w:sz w:val="24"/>
                <w:lang w:val="ru-RU"/>
              </w:rPr>
              <w:t>）</w:t>
            </w:r>
          </w:p>
        </w:tc>
        <w:tc>
          <w:tcPr>
            <w:tcW w:w="1922" w:type="pct"/>
            <w:tcBorders>
              <w:tl2br w:val="nil"/>
              <w:tr2bl w:val="nil"/>
            </w:tcBorders>
            <w:vAlign w:val="center"/>
          </w:tcPr>
          <w:p w14:paraId="57EDA789">
            <w:pPr>
              <w:jc w:val="center"/>
              <w:rPr>
                <w:rFonts w:hint="eastAsia" w:asciiTheme="minorEastAsia" w:hAnsiTheme="minorEastAsia" w:eastAsiaTheme="minorEastAsia" w:cstheme="minorEastAsia"/>
                <w:color w:val="auto"/>
                <w:sz w:val="24"/>
                <w:lang w:eastAsia="zh-CN"/>
              </w:rPr>
            </w:pPr>
            <w:r>
              <w:rPr>
                <w:rFonts w:hint="eastAsia" w:asciiTheme="minorEastAsia" w:hAnsiTheme="minorEastAsia" w:eastAsiaTheme="minorEastAsia" w:cstheme="minorEastAsia"/>
                <w:color w:val="auto"/>
                <w:sz w:val="24"/>
              </w:rPr>
              <w:t>0.1</w:t>
            </w:r>
            <w:r>
              <w:rPr>
                <w:rFonts w:hint="eastAsia" w:asciiTheme="minorEastAsia" w:hAnsiTheme="minorEastAsia" w:eastAsiaTheme="minorEastAsia" w:cstheme="minorEastAsia"/>
                <w:color w:val="auto"/>
                <w:sz w:val="24"/>
                <w:lang w:val="en-US" w:eastAsia="zh-CN"/>
              </w:rPr>
              <w:t>5</w:t>
            </w:r>
          </w:p>
        </w:tc>
      </w:tr>
      <w:tr w14:paraId="353567C3">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13" w:hRule="atLeast"/>
          <w:jc w:val="center"/>
        </w:trPr>
        <w:tc>
          <w:tcPr>
            <w:tcW w:w="877" w:type="pct"/>
            <w:tcBorders>
              <w:tl2br w:val="nil"/>
              <w:tr2bl w:val="nil"/>
            </w:tcBorders>
            <w:vAlign w:val="center"/>
          </w:tcPr>
          <w:p w14:paraId="0613FA3B">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w:t>
            </w:r>
          </w:p>
        </w:tc>
        <w:tc>
          <w:tcPr>
            <w:tcW w:w="2200" w:type="pct"/>
            <w:tcBorders>
              <w:tl2br w:val="nil"/>
              <w:tr2bl w:val="nil"/>
            </w:tcBorders>
            <w:vAlign w:val="center"/>
          </w:tcPr>
          <w:p w14:paraId="4773514C">
            <w:pPr>
              <w:adjustRightInd w:val="0"/>
              <w:snapToGrid w:val="0"/>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kern w:val="0"/>
                <w:sz w:val="24"/>
                <w:lang w:val="ru-RU" w:eastAsia="ru-RU"/>
              </w:rPr>
              <w:t>技术</w:t>
            </w:r>
            <w:r>
              <w:rPr>
                <w:rFonts w:hint="eastAsia" w:asciiTheme="minorEastAsia" w:hAnsiTheme="minorEastAsia" w:eastAsiaTheme="minorEastAsia" w:cstheme="minorEastAsia"/>
                <w:kern w:val="0"/>
                <w:sz w:val="24"/>
                <w:lang w:val="ru-RU"/>
              </w:rPr>
              <w:t>（A</w:t>
            </w:r>
            <w:r>
              <w:rPr>
                <w:rFonts w:hint="eastAsia" w:asciiTheme="minorEastAsia" w:hAnsiTheme="minorEastAsia" w:eastAsiaTheme="minorEastAsia" w:cstheme="minorEastAsia"/>
                <w:bCs/>
                <w:sz w:val="24"/>
                <w:vertAlign w:val="subscript"/>
              </w:rPr>
              <w:t>2</w:t>
            </w:r>
            <w:r>
              <w:rPr>
                <w:rFonts w:hint="eastAsia" w:asciiTheme="minorEastAsia" w:hAnsiTheme="minorEastAsia" w:eastAsiaTheme="minorEastAsia" w:cstheme="minorEastAsia"/>
                <w:kern w:val="0"/>
                <w:sz w:val="24"/>
                <w:lang w:val="ru-RU"/>
              </w:rPr>
              <w:t>）</w:t>
            </w:r>
          </w:p>
        </w:tc>
        <w:tc>
          <w:tcPr>
            <w:tcW w:w="1922" w:type="pct"/>
            <w:tcBorders>
              <w:tl2br w:val="nil"/>
              <w:tr2bl w:val="nil"/>
            </w:tcBorders>
            <w:vAlign w:val="center"/>
          </w:tcPr>
          <w:p w14:paraId="2E029C5D">
            <w:pPr>
              <w:jc w:val="center"/>
              <w:rPr>
                <w:rFonts w:hint="default" w:asciiTheme="minorEastAsia" w:hAnsiTheme="minorEastAsia" w:eastAsiaTheme="minorEastAsia" w:cstheme="minorEastAsia"/>
                <w:color w:val="auto"/>
                <w:sz w:val="24"/>
                <w:lang w:val="en-US" w:eastAsia="zh-CN"/>
              </w:rPr>
            </w:pPr>
            <w:r>
              <w:rPr>
                <w:rFonts w:hint="eastAsia" w:asciiTheme="minorEastAsia" w:hAnsiTheme="minorEastAsia" w:eastAsiaTheme="minorEastAsia" w:cstheme="minorEastAsia"/>
                <w:color w:val="auto"/>
                <w:sz w:val="24"/>
              </w:rPr>
              <w:t>0.</w:t>
            </w:r>
            <w:r>
              <w:rPr>
                <w:rFonts w:hint="eastAsia" w:asciiTheme="minorEastAsia" w:hAnsiTheme="minorEastAsia" w:eastAsiaTheme="minorEastAsia" w:cstheme="minorEastAsia"/>
                <w:color w:val="auto"/>
                <w:sz w:val="24"/>
                <w:lang w:val="en-US" w:eastAsia="zh-CN"/>
              </w:rPr>
              <w:t>65</w:t>
            </w:r>
          </w:p>
        </w:tc>
      </w:tr>
      <w:tr w14:paraId="4D11130F">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26" w:hRule="atLeast"/>
          <w:jc w:val="center"/>
        </w:trPr>
        <w:tc>
          <w:tcPr>
            <w:tcW w:w="877" w:type="pct"/>
            <w:tcBorders>
              <w:tl2br w:val="nil"/>
              <w:tr2bl w:val="nil"/>
            </w:tcBorders>
            <w:vAlign w:val="center"/>
          </w:tcPr>
          <w:p w14:paraId="5CDA84B8">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3</w:t>
            </w:r>
          </w:p>
        </w:tc>
        <w:tc>
          <w:tcPr>
            <w:tcW w:w="2200" w:type="pct"/>
            <w:tcBorders>
              <w:tl2br w:val="nil"/>
              <w:tr2bl w:val="nil"/>
            </w:tcBorders>
            <w:vAlign w:val="center"/>
          </w:tcPr>
          <w:p w14:paraId="462281BA">
            <w:pPr>
              <w:adjustRightInd w:val="0"/>
              <w:snapToGrid w:val="0"/>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kern w:val="0"/>
                <w:sz w:val="24"/>
                <w:lang w:val="ru-RU"/>
              </w:rPr>
              <w:t>商务（A</w:t>
            </w:r>
            <w:r>
              <w:rPr>
                <w:rFonts w:hint="eastAsia" w:asciiTheme="minorEastAsia" w:hAnsiTheme="minorEastAsia" w:eastAsiaTheme="minorEastAsia" w:cstheme="minorEastAsia"/>
                <w:bCs/>
                <w:sz w:val="24"/>
                <w:vertAlign w:val="subscript"/>
              </w:rPr>
              <w:t>3</w:t>
            </w:r>
            <w:r>
              <w:rPr>
                <w:rFonts w:hint="eastAsia" w:asciiTheme="minorEastAsia" w:hAnsiTheme="minorEastAsia" w:eastAsiaTheme="minorEastAsia" w:cstheme="minorEastAsia"/>
                <w:kern w:val="0"/>
                <w:sz w:val="24"/>
                <w:lang w:val="ru-RU"/>
              </w:rPr>
              <w:t>）</w:t>
            </w:r>
          </w:p>
        </w:tc>
        <w:tc>
          <w:tcPr>
            <w:tcW w:w="1922" w:type="pct"/>
            <w:tcBorders>
              <w:tl2br w:val="nil"/>
              <w:tr2bl w:val="nil"/>
            </w:tcBorders>
            <w:vAlign w:val="center"/>
          </w:tcPr>
          <w:p w14:paraId="34D79237">
            <w:pPr>
              <w:jc w:val="center"/>
              <w:rPr>
                <w:rFonts w:hint="default" w:asciiTheme="minorEastAsia" w:hAnsiTheme="minorEastAsia" w:eastAsiaTheme="minorEastAsia" w:cstheme="minorEastAsia"/>
                <w:color w:val="auto"/>
                <w:sz w:val="24"/>
                <w:lang w:val="en-US" w:eastAsia="zh-CN"/>
              </w:rPr>
            </w:pPr>
            <w:r>
              <w:rPr>
                <w:rFonts w:hint="eastAsia" w:asciiTheme="minorEastAsia" w:hAnsiTheme="minorEastAsia" w:eastAsiaTheme="minorEastAsia" w:cstheme="minorEastAsia"/>
                <w:color w:val="auto"/>
                <w:sz w:val="24"/>
              </w:rPr>
              <w:t>0.</w:t>
            </w:r>
            <w:r>
              <w:rPr>
                <w:rFonts w:hint="eastAsia" w:asciiTheme="minorEastAsia" w:hAnsiTheme="minorEastAsia" w:eastAsiaTheme="minorEastAsia" w:cstheme="minorEastAsia"/>
                <w:color w:val="auto"/>
                <w:sz w:val="24"/>
                <w:lang w:val="en-US" w:eastAsia="zh-CN"/>
              </w:rPr>
              <w:t>20</w:t>
            </w:r>
          </w:p>
        </w:tc>
      </w:tr>
      <w:tr w14:paraId="684B3CC1">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47" w:hRule="atLeast"/>
          <w:jc w:val="center"/>
        </w:trPr>
        <w:tc>
          <w:tcPr>
            <w:tcW w:w="3077" w:type="pct"/>
            <w:gridSpan w:val="2"/>
            <w:tcBorders>
              <w:tl2br w:val="nil"/>
              <w:tr2bl w:val="nil"/>
            </w:tcBorders>
            <w:vAlign w:val="center"/>
          </w:tcPr>
          <w:p w14:paraId="23150071">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合 计</w:t>
            </w:r>
          </w:p>
        </w:tc>
        <w:tc>
          <w:tcPr>
            <w:tcW w:w="1922" w:type="pct"/>
            <w:tcBorders>
              <w:tl2br w:val="nil"/>
              <w:tr2bl w:val="nil"/>
            </w:tcBorders>
            <w:vAlign w:val="center"/>
          </w:tcPr>
          <w:p w14:paraId="77BEA84B">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1.00</w:t>
            </w:r>
          </w:p>
        </w:tc>
      </w:tr>
    </w:tbl>
    <w:p w14:paraId="195CA8C3">
      <w:pPr>
        <w:adjustRightInd w:val="0"/>
        <w:snapToGrid w:val="0"/>
        <w:jc w:val="center"/>
        <w:rPr>
          <w:rFonts w:hint="eastAsia" w:asciiTheme="minorEastAsia" w:hAnsiTheme="minorEastAsia" w:eastAsiaTheme="minorEastAsia" w:cstheme="minorEastAsia"/>
          <w:b/>
          <w:color w:val="000000" w:themeColor="text1"/>
          <w:sz w:val="28"/>
          <w:szCs w:val="28"/>
          <w:lang w:val="en-US" w:eastAsia="zh-CN"/>
          <w14:textFill>
            <w14:solidFill>
              <w14:schemeClr w14:val="tx1"/>
            </w14:solidFill>
          </w14:textFill>
        </w:rPr>
      </w:pPr>
      <w:bookmarkStart w:id="306" w:name="_Toc4806"/>
      <w:bookmarkStart w:id="307" w:name="_Toc21679"/>
      <w:bookmarkStart w:id="308" w:name="_Toc23540"/>
      <w:bookmarkStart w:id="309" w:name="_Toc3977"/>
      <w:bookmarkStart w:id="310" w:name="_Toc9228"/>
      <w:bookmarkStart w:id="311" w:name="_Toc23795"/>
      <w:bookmarkStart w:id="312" w:name="_Toc25464"/>
      <w:bookmarkStart w:id="313" w:name="_Toc6632"/>
      <w:bookmarkStart w:id="314" w:name="_Toc17384"/>
    </w:p>
    <w:p w14:paraId="304CA1B7">
      <w:pPr>
        <w:adjustRightInd w:val="0"/>
        <w:snapToGrid w:val="0"/>
        <w:jc w:val="center"/>
        <w:rPr>
          <w:rFonts w:hint="eastAsia" w:asciiTheme="minorEastAsia" w:hAnsiTheme="minorEastAsia" w:eastAsiaTheme="minorEastAsia" w:cstheme="minorEastAsia"/>
          <w:b/>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sz w:val="28"/>
          <w:szCs w:val="28"/>
          <w:lang w:val="en-US" w:eastAsia="zh-CN"/>
          <w14:textFill>
            <w14:solidFill>
              <w14:schemeClr w14:val="tx1"/>
            </w14:solidFill>
          </w14:textFill>
        </w:rPr>
        <w:t>评标方法及标准表</w:t>
      </w:r>
      <w:bookmarkEnd w:id="306"/>
      <w:bookmarkEnd w:id="307"/>
      <w:bookmarkEnd w:id="308"/>
      <w:bookmarkEnd w:id="309"/>
      <w:bookmarkEnd w:id="310"/>
      <w:bookmarkEnd w:id="311"/>
      <w:bookmarkEnd w:id="312"/>
      <w:bookmarkEnd w:id="313"/>
      <w:bookmarkEnd w:id="314"/>
    </w:p>
    <w:tbl>
      <w:tblPr>
        <w:tblStyle w:val="202"/>
        <w:tblW w:w="96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39" w:type="dxa"/>
          <w:left w:w="106" w:type="dxa"/>
          <w:bottom w:w="0" w:type="dxa"/>
          <w:right w:w="0" w:type="dxa"/>
        </w:tblCellMar>
      </w:tblPr>
      <w:tblGrid>
        <w:gridCol w:w="1101"/>
        <w:gridCol w:w="642"/>
        <w:gridCol w:w="636"/>
        <w:gridCol w:w="7307"/>
      </w:tblGrid>
      <w:tr w14:paraId="0C9E0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9" w:type="dxa"/>
            <w:left w:w="106" w:type="dxa"/>
            <w:bottom w:w="0" w:type="dxa"/>
            <w:right w:w="0" w:type="dxa"/>
          </w:tblCellMar>
        </w:tblPrEx>
        <w:trPr>
          <w:trHeight w:val="0" w:hRule="atLeast"/>
          <w:tblHeader/>
          <w:jc w:val="center"/>
        </w:trPr>
        <w:tc>
          <w:tcPr>
            <w:tcW w:w="1743" w:type="dxa"/>
            <w:gridSpan w:val="2"/>
            <w:tcBorders>
              <w:right w:val="single" w:color="auto" w:sz="4" w:space="0"/>
              <w:tl2br w:val="nil"/>
              <w:tr2bl w:val="nil"/>
            </w:tcBorders>
            <w:vAlign w:val="center"/>
          </w:tcPr>
          <w:p w14:paraId="58D073A8">
            <w:pPr>
              <w:spacing w:line="240" w:lineRule="auto"/>
              <w:ind w:right="88" w:rightChars="42"/>
              <w:jc w:val="center"/>
              <w:rPr>
                <w:rFonts w:hint="eastAsia" w:asciiTheme="minorEastAsia" w:hAnsiTheme="minorEastAsia" w:eastAsiaTheme="minorEastAsia" w:cstheme="minorEastAsia"/>
                <w:b/>
                <w:bCs/>
                <w:sz w:val="22"/>
                <w:szCs w:val="22"/>
              </w:rPr>
            </w:pPr>
            <w:bookmarkStart w:id="315" w:name="_Hlk217290852"/>
            <w:r>
              <w:rPr>
                <w:rFonts w:hint="eastAsia" w:asciiTheme="minorEastAsia" w:hAnsiTheme="minorEastAsia" w:eastAsiaTheme="minorEastAsia" w:cstheme="minorEastAsia"/>
                <w:b/>
                <w:bCs/>
                <w:sz w:val="22"/>
                <w:szCs w:val="22"/>
              </w:rPr>
              <w:t>评标因素</w:t>
            </w:r>
          </w:p>
        </w:tc>
        <w:tc>
          <w:tcPr>
            <w:tcW w:w="636" w:type="dxa"/>
            <w:tcBorders>
              <w:left w:val="single" w:color="auto" w:sz="4" w:space="0"/>
              <w:right w:val="single" w:color="auto" w:sz="4" w:space="0"/>
              <w:tl2br w:val="nil"/>
              <w:tr2bl w:val="nil"/>
            </w:tcBorders>
            <w:vAlign w:val="center"/>
          </w:tcPr>
          <w:p w14:paraId="3A540415">
            <w:pPr>
              <w:spacing w:line="240" w:lineRule="auto"/>
              <w:ind w:right="88" w:rightChars="42"/>
              <w:jc w:val="center"/>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分值</w:t>
            </w:r>
          </w:p>
        </w:tc>
        <w:tc>
          <w:tcPr>
            <w:tcW w:w="7307" w:type="dxa"/>
            <w:tcBorders>
              <w:left w:val="single" w:color="auto" w:sz="4" w:space="0"/>
              <w:tl2br w:val="nil"/>
              <w:tr2bl w:val="nil"/>
            </w:tcBorders>
            <w:vAlign w:val="center"/>
          </w:tcPr>
          <w:p w14:paraId="2DC82D37">
            <w:pPr>
              <w:spacing w:line="240" w:lineRule="auto"/>
              <w:ind w:right="88" w:rightChars="42"/>
              <w:jc w:val="center"/>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评标标准</w:t>
            </w:r>
          </w:p>
        </w:tc>
      </w:tr>
      <w:tr w14:paraId="24F4F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9" w:type="dxa"/>
            <w:left w:w="106" w:type="dxa"/>
            <w:bottom w:w="0" w:type="dxa"/>
            <w:right w:w="0" w:type="dxa"/>
          </w:tblCellMar>
        </w:tblPrEx>
        <w:trPr>
          <w:trHeight w:val="0" w:hRule="atLeast"/>
          <w:jc w:val="center"/>
        </w:trPr>
        <w:tc>
          <w:tcPr>
            <w:tcW w:w="9686" w:type="dxa"/>
            <w:gridSpan w:val="4"/>
            <w:tcBorders>
              <w:tl2br w:val="nil"/>
              <w:tr2bl w:val="nil"/>
            </w:tcBorders>
            <w:vAlign w:val="center"/>
          </w:tcPr>
          <w:p w14:paraId="0E1F25A3">
            <w:pPr>
              <w:snapToGrid w:val="0"/>
              <w:spacing w:line="240" w:lineRule="auto"/>
              <w:ind w:left="0" w:leftChars="0" w:right="0" w:rightChars="0" w:firstLine="0" w:firstLineChars="0"/>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投标报价调整：供应商小微企业的，给予</w:t>
            </w:r>
            <w:r>
              <w:rPr>
                <w:rFonts w:hint="eastAsia" w:asciiTheme="minorEastAsia" w:hAnsiTheme="minorEastAsia" w:eastAsiaTheme="minorEastAsia" w:cstheme="minorEastAsia"/>
                <w:sz w:val="22"/>
                <w:szCs w:val="22"/>
                <w:lang w:eastAsia="zh-CN"/>
              </w:rPr>
              <w:t>10%—20%</w:t>
            </w:r>
            <w:r>
              <w:rPr>
                <w:rFonts w:hint="eastAsia" w:asciiTheme="minorEastAsia" w:hAnsiTheme="minorEastAsia" w:eastAsiaTheme="minorEastAsia" w:cstheme="minorEastAsia"/>
                <w:sz w:val="22"/>
                <w:szCs w:val="22"/>
              </w:rPr>
              <w:t>的价格折扣。本项目具体扣除比例为</w:t>
            </w:r>
            <w:r>
              <w:rPr>
                <w:rFonts w:hint="eastAsia" w:asciiTheme="minorEastAsia" w:hAnsiTheme="minorEastAsia" w:eastAsiaTheme="minorEastAsia" w:cstheme="minorEastAsia"/>
                <w:sz w:val="22"/>
                <w:szCs w:val="22"/>
                <w:u w:val="single"/>
              </w:rPr>
              <w:t>10%</w:t>
            </w:r>
            <w:r>
              <w:rPr>
                <w:rFonts w:hint="eastAsia" w:asciiTheme="minorEastAsia" w:hAnsiTheme="minorEastAsia" w:eastAsiaTheme="minorEastAsia" w:cstheme="minorEastAsia"/>
                <w:sz w:val="22"/>
                <w:szCs w:val="22"/>
              </w:rPr>
              <w:t>。（监狱企业、残疾人福利性单位视同小型、微型企业，享受政府采购价格评审优惠政策；同时符合小型、微型企业及监狱企业、残疾人福利性单位要求的，评审时只有一种类型享受价格扣除）</w:t>
            </w:r>
          </w:p>
        </w:tc>
      </w:tr>
      <w:tr w14:paraId="18F0F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9" w:type="dxa"/>
            <w:left w:w="106" w:type="dxa"/>
            <w:bottom w:w="0" w:type="dxa"/>
            <w:right w:w="0" w:type="dxa"/>
          </w:tblCellMar>
        </w:tblPrEx>
        <w:trPr>
          <w:trHeight w:val="0" w:hRule="atLeast"/>
          <w:jc w:val="center"/>
        </w:trPr>
        <w:tc>
          <w:tcPr>
            <w:tcW w:w="1743" w:type="dxa"/>
            <w:gridSpan w:val="2"/>
            <w:tcBorders>
              <w:right w:val="single" w:color="auto" w:sz="4" w:space="0"/>
              <w:tl2br w:val="nil"/>
              <w:tr2bl w:val="nil"/>
            </w:tcBorders>
            <w:vAlign w:val="center"/>
          </w:tcPr>
          <w:p w14:paraId="4C3D08CB">
            <w:pPr>
              <w:spacing w:line="281" w:lineRule="auto"/>
              <w:ind w:right="88" w:rightChars="42"/>
              <w:jc w:val="center"/>
              <w:rPr>
                <w:rFonts w:hint="eastAsia" w:asciiTheme="minorEastAsia" w:hAnsiTheme="minorEastAsia" w:eastAsiaTheme="minorEastAsia" w:cstheme="minorEastAsia"/>
                <w:color w:val="000000" w:themeColor="text1"/>
                <w:sz w:val="22"/>
                <w:szCs w:val="22"/>
                <w14:textFill>
                  <w14:solidFill>
                    <w14:schemeClr w14:val="tx1"/>
                  </w14:solidFill>
                </w14:textFill>
              </w:rPr>
            </w:pPr>
            <w:r>
              <w:rPr>
                <w:rFonts w:hint="eastAsia" w:asciiTheme="minorEastAsia" w:hAnsiTheme="minorEastAsia" w:eastAsiaTheme="minorEastAsia" w:cstheme="minorEastAsia"/>
                <w:color w:val="000000" w:themeColor="text1"/>
                <w:sz w:val="22"/>
                <w:szCs w:val="22"/>
                <w14:textFill>
                  <w14:solidFill>
                    <w14:schemeClr w14:val="tx1"/>
                  </w14:solidFill>
                </w14:textFill>
              </w:rPr>
              <w:t>报价部分</w:t>
            </w:r>
          </w:p>
          <w:p w14:paraId="333CD12E">
            <w:pPr>
              <w:spacing w:line="281" w:lineRule="auto"/>
              <w:ind w:right="88" w:rightChars="42"/>
              <w:jc w:val="center"/>
              <w:rPr>
                <w:rFonts w:hint="eastAsia" w:asciiTheme="minorEastAsia" w:hAnsiTheme="minorEastAsia" w:eastAsiaTheme="minorEastAsia" w:cstheme="minorEastAsia"/>
                <w:color w:val="000000" w:themeColor="text1"/>
                <w:sz w:val="22"/>
                <w:szCs w:val="22"/>
                <w:lang w:val="ru-RU" w:eastAsia="ru-RU"/>
                <w14:textFill>
                  <w14:solidFill>
                    <w14:schemeClr w14:val="tx1"/>
                  </w14:solidFill>
                </w14:textFill>
              </w:rPr>
            </w:pPr>
            <w:r>
              <w:rPr>
                <w:rFonts w:hint="eastAsia" w:asciiTheme="minorEastAsia" w:hAnsiTheme="minorEastAsia" w:eastAsiaTheme="minorEastAsia" w:cstheme="minorEastAsia"/>
                <w:color w:val="000000" w:themeColor="text1"/>
                <w:sz w:val="22"/>
                <w:szCs w:val="22"/>
                <w:lang w:val="ru-RU" w:eastAsia="ru-RU"/>
                <w14:textFill>
                  <w14:solidFill>
                    <w14:schemeClr w14:val="tx1"/>
                  </w14:solidFill>
                </w14:textFill>
              </w:rPr>
              <w:t>（A</w:t>
            </w:r>
            <w:r>
              <w:rPr>
                <w:rFonts w:hint="eastAsia" w:ascii="宋体" w:eastAsia="宋体" w:hAnsiTheme="minorEastAsia" w:cstheme="minorEastAsia"/>
                <w:bCs/>
                <w:sz w:val="22"/>
                <w:vertAlign w:val="subscript"/>
                <w:lang w:val="ru-RU" w:eastAsia="ru-RU"/>
              </w:rPr>
              <w:t>1</w:t>
            </w:r>
            <w:r>
              <w:rPr>
                <w:rFonts w:hint="eastAsia" w:asciiTheme="minorEastAsia" w:hAnsiTheme="minorEastAsia" w:eastAsiaTheme="minorEastAsia" w:cstheme="minorEastAsia"/>
                <w:color w:val="000000" w:themeColor="text1"/>
                <w:sz w:val="22"/>
                <w:szCs w:val="22"/>
                <w:lang w:val="ru-RU" w:eastAsia="zh-CN"/>
                <w14:textFill>
                  <w14:solidFill>
                    <w14:schemeClr w14:val="tx1"/>
                  </w14:solidFill>
                </w14:textFill>
              </w:rPr>
              <w:t>:</w:t>
            </w:r>
            <w:r>
              <w:rPr>
                <w:rFonts w:hint="eastAsia" w:asciiTheme="minorEastAsia" w:hAnsiTheme="minorEastAsia" w:eastAsiaTheme="minorEastAsia" w:cstheme="minorEastAsia"/>
                <w:color w:val="000000" w:themeColor="text1"/>
                <w:sz w:val="22"/>
                <w:szCs w:val="22"/>
                <w:lang w:val="ru-RU" w:eastAsia="ru-RU"/>
                <w14:textFill>
                  <w14:solidFill>
                    <w14:schemeClr w14:val="tx1"/>
                  </w14:solidFill>
                </w14:textFill>
              </w:rPr>
              <w:t>1</w:t>
            </w:r>
            <w:r>
              <w:rPr>
                <w:rFonts w:hint="eastAsia" w:asciiTheme="minorEastAsia" w:hAnsiTheme="minorEastAsia" w:eastAsiaTheme="minorEastAsia" w:cstheme="minorEastAsia"/>
                <w:color w:val="000000" w:themeColor="text1"/>
                <w:sz w:val="22"/>
                <w:szCs w:val="22"/>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2"/>
                <w:szCs w:val="22"/>
                <w:lang w:val="ru-RU" w:eastAsia="ru-RU"/>
                <w14:textFill>
                  <w14:solidFill>
                    <w14:schemeClr w14:val="tx1"/>
                  </w14:solidFill>
                </w14:textFill>
              </w:rPr>
              <w:t>%）</w:t>
            </w:r>
          </w:p>
          <w:p w14:paraId="1250CB97">
            <w:pPr>
              <w:spacing w:line="281" w:lineRule="auto"/>
              <w:ind w:right="88" w:rightChars="42"/>
              <w:jc w:val="center"/>
              <w:rPr>
                <w:rFonts w:hint="eastAsia" w:ascii="宋体" w:eastAsia="宋体" w:hAnsiTheme="minorEastAsia" w:cstheme="minorEastAsia"/>
                <w:sz w:val="22"/>
                <w:szCs w:val="22"/>
              </w:rPr>
            </w:pPr>
            <w:r>
              <w:rPr>
                <w:rFonts w:hint="eastAsia" w:asciiTheme="minorEastAsia" w:hAnsiTheme="minorEastAsia" w:eastAsiaTheme="minorEastAsia" w:cstheme="minorEastAsia"/>
                <w:color w:val="000000" w:themeColor="text1"/>
                <w:sz w:val="22"/>
                <w:szCs w:val="22"/>
                <w:lang w:val="ru-RU" w:eastAsia="ru-RU"/>
                <w14:textFill>
                  <w14:solidFill>
                    <w14:schemeClr w14:val="tx1"/>
                  </w14:solidFill>
                </w14:textFill>
              </w:rPr>
              <w:t>F</w:t>
            </w:r>
            <w:r>
              <w:rPr>
                <w:rFonts w:hint="eastAsia" w:asciiTheme="minorEastAsia" w:hAnsiTheme="minorEastAsia" w:eastAsiaTheme="minorEastAsia" w:cstheme="minorEastAsia"/>
                <w:color w:val="000000" w:themeColor="text1"/>
                <w:sz w:val="22"/>
                <w:szCs w:val="22"/>
                <w14:textFill>
                  <w14:solidFill>
                    <w14:schemeClr w14:val="tx1"/>
                  </w14:solidFill>
                </w14:textFill>
              </w:rPr>
              <w:t>1=100分</w:t>
            </w:r>
          </w:p>
        </w:tc>
        <w:tc>
          <w:tcPr>
            <w:tcW w:w="636" w:type="dxa"/>
            <w:tcBorders>
              <w:left w:val="single" w:color="auto" w:sz="4" w:space="0"/>
              <w:right w:val="single" w:color="auto" w:sz="4" w:space="0"/>
              <w:tl2br w:val="nil"/>
              <w:tr2bl w:val="nil"/>
            </w:tcBorders>
            <w:vAlign w:val="center"/>
          </w:tcPr>
          <w:p w14:paraId="387E678E">
            <w:pPr>
              <w:spacing w:line="240" w:lineRule="auto"/>
              <w:ind w:right="88" w:rightChars="42"/>
              <w:jc w:val="center"/>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z w:val="22"/>
                <w:szCs w:val="22"/>
              </w:rPr>
              <w:t>100</w:t>
            </w:r>
            <w:r>
              <w:rPr>
                <w:rFonts w:hint="eastAsia" w:asciiTheme="minorEastAsia" w:hAnsiTheme="minorEastAsia" w:eastAsiaTheme="minorEastAsia" w:cstheme="minorEastAsia"/>
                <w:b w:val="0"/>
                <w:bCs w:val="0"/>
                <w:sz w:val="22"/>
                <w:szCs w:val="22"/>
                <w:lang w:val="en-US" w:eastAsia="zh-CN"/>
              </w:rPr>
              <w:t>分</w:t>
            </w:r>
          </w:p>
        </w:tc>
        <w:tc>
          <w:tcPr>
            <w:tcW w:w="7307" w:type="dxa"/>
            <w:tcBorders>
              <w:left w:val="single" w:color="auto" w:sz="4" w:space="0"/>
              <w:tl2br w:val="nil"/>
              <w:tr2bl w:val="nil"/>
            </w:tcBorders>
            <w:vAlign w:val="center"/>
          </w:tcPr>
          <w:p w14:paraId="18739530">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经评标委员会一致认定满足招标文件要求且按照投标报价调整适用情形进行报价调整后投标价格最低的投标总报价为评标基准价，其价格得分为100分，其他投标人的价格得分统一按公式计算：投标报价得分=（评标基准价</w:t>
            </w:r>
            <w:r>
              <w:rPr>
                <w:rFonts w:hint="eastAsia" w:ascii="宋体" w:eastAsia="宋体" w:hAnsiTheme="minorEastAsia" w:cstheme="minorEastAsia"/>
                <w:color w:val="000000" w:themeColor="text1"/>
                <w:sz w:val="22"/>
                <w:szCs w:val="22"/>
                <w:vertAlign w:val="subscript"/>
                <w14:textFill>
                  <w14:solidFill>
                    <w14:schemeClr w14:val="tx1"/>
                  </w14:solidFill>
                </w14:textFill>
              </w:rPr>
              <w:t>修正或调整</w:t>
            </w:r>
            <w:r>
              <w:rPr>
                <w:rFonts w:hint="eastAsia" w:ascii="宋体" w:eastAsia="宋体" w:hAnsiTheme="minorEastAsia" w:cstheme="minorEastAsia"/>
                <w:color w:val="000000" w:themeColor="text1"/>
                <w:sz w:val="22"/>
                <w:szCs w:val="22"/>
                <w14:textFill>
                  <w14:solidFill>
                    <w14:schemeClr w14:val="tx1"/>
                  </w14:solidFill>
                </w14:textFill>
              </w:rPr>
              <w:t>／投标报价</w:t>
            </w:r>
            <w:r>
              <w:rPr>
                <w:rFonts w:hint="eastAsia" w:ascii="宋体" w:eastAsia="宋体" w:hAnsiTheme="minorEastAsia" w:cstheme="minorEastAsia"/>
                <w:color w:val="000000" w:themeColor="text1"/>
                <w:sz w:val="22"/>
                <w:szCs w:val="22"/>
                <w:vertAlign w:val="subscript"/>
                <w14:textFill>
                  <w14:solidFill>
                    <w14:schemeClr w14:val="tx1"/>
                  </w14:solidFill>
                </w14:textFill>
              </w:rPr>
              <w:t>修正或调整</w:t>
            </w:r>
            <w:r>
              <w:rPr>
                <w:rFonts w:hint="eastAsia" w:ascii="宋体" w:eastAsia="宋体" w:hAnsiTheme="minorEastAsia" w:cstheme="minorEastAsia"/>
                <w:color w:val="000000" w:themeColor="text1"/>
                <w:sz w:val="22"/>
                <w:szCs w:val="22"/>
                <w14:textFill>
                  <w14:solidFill>
                    <w14:schemeClr w14:val="tx1"/>
                  </w14:solidFill>
                </w14:textFill>
              </w:rPr>
              <w:t>）×100。</w:t>
            </w:r>
          </w:p>
          <w:p w14:paraId="7526662D">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注：采购评审中出现下列情形之一的，评</w:t>
            </w:r>
            <w:r>
              <w:rPr>
                <w:rFonts w:hint="eastAsia" w:ascii="宋体" w:hAnsiTheme="minorEastAsia" w:cstheme="minorEastAsia"/>
                <w:color w:val="000000" w:themeColor="text1"/>
                <w:sz w:val="22"/>
                <w:szCs w:val="22"/>
                <w:lang w:val="en-US" w:eastAsia="zh-CN"/>
                <w14:textFill>
                  <w14:solidFill>
                    <w14:schemeClr w14:val="tx1"/>
                  </w14:solidFill>
                </w14:textFill>
              </w:rPr>
              <w:t>标</w:t>
            </w:r>
            <w:r>
              <w:rPr>
                <w:rFonts w:hint="eastAsia" w:ascii="宋体" w:eastAsia="宋体" w:hAnsiTheme="minorEastAsia" w:cstheme="minorEastAsia"/>
                <w:color w:val="000000" w:themeColor="text1"/>
                <w:sz w:val="22"/>
                <w:szCs w:val="22"/>
                <w14:textFill>
                  <w14:solidFill>
                    <w14:schemeClr w14:val="tx1"/>
                  </w14:solidFill>
                </w14:textFill>
              </w:rPr>
              <w:t>委员会应当启动异常低价投标审查程序：</w:t>
            </w:r>
          </w:p>
          <w:p w14:paraId="26F76DEB">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1</w:t>
            </w:r>
            <w:r>
              <w:rPr>
                <w:rFonts w:hint="eastAsia" w:ascii="宋体" w:hAnsiTheme="minorEastAsia" w:cstheme="minorEastAsia"/>
                <w:color w:val="000000" w:themeColor="text1"/>
                <w:sz w:val="22"/>
                <w:szCs w:val="22"/>
                <w:lang w:val="en-US" w:eastAsia="zh-CN"/>
                <w14:textFill>
                  <w14:solidFill>
                    <w14:schemeClr w14:val="tx1"/>
                  </w14:solidFill>
                </w14:textFill>
              </w:rPr>
              <w:t>.</w:t>
            </w:r>
            <w:r>
              <w:rPr>
                <w:rFonts w:hint="eastAsia" w:ascii="宋体" w:eastAsia="宋体" w:hAnsiTheme="minorEastAsia" w:cstheme="minorEastAsia"/>
                <w:color w:val="000000" w:themeColor="text1"/>
                <w:sz w:val="22"/>
                <w:szCs w:val="22"/>
                <w14:textFill>
                  <w14:solidFill>
                    <w14:schemeClr w14:val="tx1"/>
                  </w14:solidFill>
                </w14:textFill>
              </w:rPr>
              <w:t>投标报价低于全部通过符合性审查</w:t>
            </w:r>
            <w:r>
              <w:rPr>
                <w:rFonts w:hint="eastAsia" w:ascii="宋体" w:hAnsiTheme="minorEastAsia" w:cstheme="minorEastAsia"/>
                <w:color w:val="000000" w:themeColor="text1"/>
                <w:sz w:val="22"/>
                <w:szCs w:val="22"/>
                <w:lang w:eastAsia="zh-CN"/>
                <w14:textFill>
                  <w14:solidFill>
                    <w14:schemeClr w14:val="tx1"/>
                  </w14:solidFill>
                </w14:textFill>
              </w:rPr>
              <w:t>投标人</w:t>
            </w:r>
            <w:r>
              <w:rPr>
                <w:rFonts w:hint="eastAsia" w:ascii="宋体" w:eastAsia="宋体" w:hAnsiTheme="minorEastAsia" w:cstheme="minorEastAsia"/>
                <w:color w:val="000000" w:themeColor="text1"/>
                <w:sz w:val="22"/>
                <w:szCs w:val="22"/>
                <w14:textFill>
                  <w14:solidFill>
                    <w14:schemeClr w14:val="tx1"/>
                  </w14:solidFill>
                </w14:textFill>
              </w:rPr>
              <w:t>投标报价平均值65%的（不得超过65%），即投标报价＜全部通过符合性审查</w:t>
            </w:r>
            <w:r>
              <w:rPr>
                <w:rFonts w:hint="eastAsia" w:ascii="宋体" w:hAnsiTheme="minorEastAsia" w:cstheme="minorEastAsia"/>
                <w:color w:val="000000" w:themeColor="text1"/>
                <w:sz w:val="22"/>
                <w:szCs w:val="22"/>
                <w:lang w:eastAsia="zh-CN"/>
                <w14:textFill>
                  <w14:solidFill>
                    <w14:schemeClr w14:val="tx1"/>
                  </w14:solidFill>
                </w14:textFill>
              </w:rPr>
              <w:t>投标人</w:t>
            </w:r>
            <w:r>
              <w:rPr>
                <w:rFonts w:hint="eastAsia" w:ascii="宋体" w:eastAsia="宋体" w:hAnsiTheme="minorEastAsia" w:cstheme="minorEastAsia"/>
                <w:color w:val="000000" w:themeColor="text1"/>
                <w:sz w:val="22"/>
                <w:szCs w:val="22"/>
                <w14:textFill>
                  <w14:solidFill>
                    <w14:schemeClr w14:val="tx1"/>
                  </w14:solidFill>
                </w14:textFill>
              </w:rPr>
              <w:t>投标报价平均值×65%；</w:t>
            </w:r>
          </w:p>
          <w:p w14:paraId="05B64C17">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2</w:t>
            </w:r>
            <w:r>
              <w:rPr>
                <w:rFonts w:hint="eastAsia" w:ascii="宋体" w:hAnsiTheme="minorEastAsia" w:cstheme="minorEastAsia"/>
                <w:color w:val="000000" w:themeColor="text1"/>
                <w:sz w:val="22"/>
                <w:szCs w:val="22"/>
                <w:lang w:val="en-US" w:eastAsia="zh-CN"/>
                <w14:textFill>
                  <w14:solidFill>
                    <w14:schemeClr w14:val="tx1"/>
                  </w14:solidFill>
                </w14:textFill>
              </w:rPr>
              <w:t>.</w:t>
            </w:r>
            <w:r>
              <w:rPr>
                <w:rFonts w:hint="eastAsia" w:ascii="宋体" w:eastAsia="宋体" w:hAnsiTheme="minorEastAsia" w:cstheme="minorEastAsia"/>
                <w:color w:val="000000" w:themeColor="text1"/>
                <w:sz w:val="22"/>
                <w:szCs w:val="22"/>
                <w14:textFill>
                  <w14:solidFill>
                    <w14:schemeClr w14:val="tx1"/>
                  </w14:solidFill>
                </w14:textFill>
              </w:rPr>
              <w:t>投标报价低于通过符合性审查的次低报价</w:t>
            </w:r>
            <w:r>
              <w:rPr>
                <w:rFonts w:hint="eastAsia" w:ascii="宋体" w:hAnsiTheme="minorEastAsia" w:cstheme="minorEastAsia"/>
                <w:color w:val="000000" w:themeColor="text1"/>
                <w:sz w:val="22"/>
                <w:szCs w:val="22"/>
                <w:lang w:eastAsia="zh-CN"/>
                <w14:textFill>
                  <w14:solidFill>
                    <w14:schemeClr w14:val="tx1"/>
                  </w14:solidFill>
                </w14:textFill>
              </w:rPr>
              <w:t>投标人</w:t>
            </w:r>
            <w:r>
              <w:rPr>
                <w:rFonts w:hint="eastAsia" w:ascii="宋体" w:eastAsia="宋体" w:hAnsiTheme="minorEastAsia" w:cstheme="minorEastAsia"/>
                <w:color w:val="000000" w:themeColor="text1"/>
                <w:sz w:val="22"/>
                <w:szCs w:val="22"/>
                <w14:textFill>
                  <w14:solidFill>
                    <w14:schemeClr w14:val="tx1"/>
                  </w14:solidFill>
                </w14:textFill>
              </w:rPr>
              <w:t>投标报价65%的（不得超过65%），即投标报价＜通过符合性审查的次低报价</w:t>
            </w:r>
            <w:r>
              <w:rPr>
                <w:rFonts w:hint="eastAsia" w:ascii="宋体" w:hAnsiTheme="minorEastAsia" w:cstheme="minorEastAsia"/>
                <w:color w:val="000000" w:themeColor="text1"/>
                <w:sz w:val="22"/>
                <w:szCs w:val="22"/>
                <w:lang w:eastAsia="zh-CN"/>
                <w14:textFill>
                  <w14:solidFill>
                    <w14:schemeClr w14:val="tx1"/>
                  </w14:solidFill>
                </w14:textFill>
              </w:rPr>
              <w:t>投标人</w:t>
            </w:r>
            <w:r>
              <w:rPr>
                <w:rFonts w:hint="eastAsia" w:ascii="宋体" w:eastAsia="宋体" w:hAnsiTheme="minorEastAsia" w:cstheme="minorEastAsia"/>
                <w:color w:val="000000" w:themeColor="text1"/>
                <w:sz w:val="22"/>
                <w:szCs w:val="22"/>
                <w14:textFill>
                  <w14:solidFill>
                    <w14:schemeClr w14:val="tx1"/>
                  </w14:solidFill>
                </w14:textFill>
              </w:rPr>
              <w:t>投标报价×65%；</w:t>
            </w:r>
          </w:p>
          <w:p w14:paraId="46B2FD29">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3</w:t>
            </w:r>
            <w:r>
              <w:rPr>
                <w:rFonts w:hint="eastAsia" w:ascii="宋体" w:hAnsiTheme="minorEastAsia" w:cstheme="minorEastAsia"/>
                <w:color w:val="000000" w:themeColor="text1"/>
                <w:sz w:val="22"/>
                <w:szCs w:val="22"/>
                <w:lang w:val="en-US" w:eastAsia="zh-CN"/>
                <w14:textFill>
                  <w14:solidFill>
                    <w14:schemeClr w14:val="tx1"/>
                  </w14:solidFill>
                </w14:textFill>
              </w:rPr>
              <w:t>.</w:t>
            </w:r>
            <w:r>
              <w:rPr>
                <w:rFonts w:hint="eastAsia" w:ascii="宋体" w:eastAsia="宋体" w:hAnsiTheme="minorEastAsia" w:cstheme="minorEastAsia"/>
                <w:color w:val="000000" w:themeColor="text1"/>
                <w:sz w:val="22"/>
                <w:szCs w:val="22"/>
                <w14:textFill>
                  <w14:solidFill>
                    <w14:schemeClr w14:val="tx1"/>
                  </w14:solidFill>
                </w14:textFill>
              </w:rPr>
              <w:t>投标报价低于采购项目最高限价65%的（不得超过65%），即投标报价＜采购项目最高限价×65%；</w:t>
            </w:r>
          </w:p>
          <w:p w14:paraId="224CB1EC">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4</w:t>
            </w:r>
            <w:r>
              <w:rPr>
                <w:rFonts w:hint="eastAsia" w:ascii="宋体" w:hAnsiTheme="minorEastAsia" w:cstheme="minorEastAsia"/>
                <w:color w:val="000000" w:themeColor="text1"/>
                <w:sz w:val="22"/>
                <w:szCs w:val="22"/>
                <w:lang w:val="en-US" w:eastAsia="zh-CN"/>
                <w14:textFill>
                  <w14:solidFill>
                    <w14:schemeClr w14:val="tx1"/>
                  </w14:solidFill>
                </w14:textFill>
              </w:rPr>
              <w:t>.</w:t>
            </w:r>
            <w:r>
              <w:rPr>
                <w:rFonts w:hint="eastAsia" w:ascii="宋体" w:hAnsiTheme="minorEastAsia" w:cstheme="minorEastAsia"/>
                <w:color w:val="000000" w:themeColor="text1"/>
                <w:sz w:val="22"/>
                <w:szCs w:val="22"/>
                <w:lang w:eastAsia="zh-CN"/>
                <w14:textFill>
                  <w14:solidFill>
                    <w14:schemeClr w14:val="tx1"/>
                  </w14:solidFill>
                </w14:textFill>
              </w:rPr>
              <w:t>评标委员会</w:t>
            </w:r>
            <w:r>
              <w:rPr>
                <w:rFonts w:hint="eastAsia" w:ascii="宋体" w:eastAsia="宋体" w:hAnsiTheme="minorEastAsia" w:cstheme="minorEastAsia"/>
                <w:color w:val="000000" w:themeColor="text1"/>
                <w:sz w:val="22"/>
                <w:szCs w:val="22"/>
                <w14:textFill>
                  <w14:solidFill>
                    <w14:schemeClr w14:val="tx1"/>
                  </w14:solidFill>
                </w14:textFill>
              </w:rPr>
              <w:t>基于专业判断，认为</w:t>
            </w:r>
            <w:r>
              <w:rPr>
                <w:rFonts w:hint="eastAsia" w:ascii="宋体" w:hAnsiTheme="minorEastAsia" w:cstheme="minorEastAsia"/>
                <w:color w:val="000000" w:themeColor="text1"/>
                <w:sz w:val="22"/>
                <w:szCs w:val="22"/>
                <w:lang w:eastAsia="zh-CN"/>
                <w14:textFill>
                  <w14:solidFill>
                    <w14:schemeClr w14:val="tx1"/>
                  </w14:solidFill>
                </w14:textFill>
              </w:rPr>
              <w:t>投标人</w:t>
            </w:r>
            <w:r>
              <w:rPr>
                <w:rFonts w:hint="eastAsia" w:ascii="宋体" w:eastAsia="宋体" w:hAnsiTheme="minorEastAsia" w:cstheme="minorEastAsia"/>
                <w:color w:val="000000" w:themeColor="text1"/>
                <w:sz w:val="22"/>
                <w:szCs w:val="22"/>
                <w14:textFill>
                  <w14:solidFill>
                    <w14:schemeClr w14:val="tx1"/>
                  </w14:solidFill>
                </w14:textFill>
              </w:rPr>
              <w:t>报价过低，有可能影响产品质量或者不能诚信履约的其他情形。相关法律法规对</w:t>
            </w:r>
            <w:r>
              <w:rPr>
                <w:rFonts w:hint="eastAsia" w:ascii="宋体" w:hAnsiTheme="minorEastAsia" w:cstheme="minorEastAsia"/>
                <w:color w:val="000000" w:themeColor="text1"/>
                <w:sz w:val="22"/>
                <w:szCs w:val="22"/>
                <w:lang w:eastAsia="zh-CN"/>
                <w14:textFill>
                  <w14:solidFill>
                    <w14:schemeClr w14:val="tx1"/>
                  </w14:solidFill>
                </w14:textFill>
              </w:rPr>
              <w:t>投标人</w:t>
            </w:r>
            <w:r>
              <w:rPr>
                <w:rFonts w:hint="eastAsia" w:ascii="宋体" w:eastAsia="宋体" w:hAnsiTheme="minorEastAsia" w:cstheme="minorEastAsia"/>
                <w:color w:val="000000" w:themeColor="text1"/>
                <w:sz w:val="22"/>
                <w:szCs w:val="22"/>
                <w14:textFill>
                  <w14:solidFill>
                    <w14:schemeClr w14:val="tx1"/>
                  </w14:solidFill>
                </w14:textFill>
              </w:rPr>
              <w:t>报价有规定的，从其规定。</w:t>
            </w:r>
          </w:p>
          <w:p w14:paraId="190FD286">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hAnsiTheme="minorEastAsia" w:cstheme="minorEastAsia"/>
                <w:color w:val="000000" w:themeColor="text1"/>
                <w:sz w:val="22"/>
                <w:szCs w:val="22"/>
                <w:lang w:eastAsia="zh-CN"/>
                <w14:textFill>
                  <w14:solidFill>
                    <w14:schemeClr w14:val="tx1"/>
                  </w14:solidFill>
                </w14:textFill>
              </w:rPr>
              <w:t>评标委员会</w:t>
            </w:r>
            <w:r>
              <w:rPr>
                <w:rFonts w:hint="eastAsia" w:ascii="宋体" w:eastAsia="宋体" w:hAnsiTheme="minorEastAsia" w:cstheme="minorEastAsia"/>
                <w:color w:val="000000" w:themeColor="text1"/>
                <w:sz w:val="22"/>
                <w:szCs w:val="22"/>
                <w14:textFill>
                  <w14:solidFill>
                    <w14:schemeClr w14:val="tx1"/>
                  </w14:solidFill>
                </w14:textFill>
              </w:rPr>
              <w:t>启动异常低价投标审查后，属于</w:t>
            </w:r>
            <w:r>
              <w:rPr>
                <w:rFonts w:hint="eastAsia" w:ascii="宋体" w:hAnsiTheme="minorEastAsia" w:cstheme="minorEastAsia"/>
                <w:color w:val="000000" w:themeColor="text1"/>
                <w:sz w:val="22"/>
                <w:szCs w:val="22"/>
                <w:lang w:val="en-US" w:eastAsia="zh-CN"/>
                <w14:textFill>
                  <w14:solidFill>
                    <w14:schemeClr w14:val="tx1"/>
                  </w14:solidFill>
                </w14:textFill>
              </w:rPr>
              <w:t>以上4点任一相关</w:t>
            </w:r>
            <w:r>
              <w:rPr>
                <w:rFonts w:hint="eastAsia" w:ascii="宋体" w:eastAsia="宋体" w:hAnsiTheme="minorEastAsia" w:cstheme="minorEastAsia"/>
                <w:color w:val="000000" w:themeColor="text1"/>
                <w:sz w:val="22"/>
                <w:szCs w:val="22"/>
                <w14:textFill>
                  <w14:solidFill>
                    <w14:schemeClr w14:val="tx1"/>
                  </w14:solidFill>
                </w14:textFill>
              </w:rPr>
              <w:t>情形的，应当要求相关</w:t>
            </w:r>
            <w:r>
              <w:rPr>
                <w:rFonts w:hint="eastAsia" w:ascii="宋体" w:hAnsiTheme="minorEastAsia" w:cstheme="minorEastAsia"/>
                <w:color w:val="000000" w:themeColor="text1"/>
                <w:sz w:val="22"/>
                <w:szCs w:val="22"/>
                <w:lang w:eastAsia="zh-CN"/>
                <w14:textFill>
                  <w14:solidFill>
                    <w14:schemeClr w14:val="tx1"/>
                  </w14:solidFill>
                </w14:textFill>
              </w:rPr>
              <w:t>投标人</w:t>
            </w:r>
            <w:r>
              <w:rPr>
                <w:rFonts w:hint="eastAsia" w:ascii="宋体" w:eastAsia="宋体" w:hAnsiTheme="minorEastAsia" w:cstheme="minorEastAsia"/>
                <w:color w:val="000000" w:themeColor="text1"/>
                <w:sz w:val="22"/>
                <w:szCs w:val="22"/>
                <w14:textFill>
                  <w14:solidFill>
                    <w14:schemeClr w14:val="tx1"/>
                  </w14:solidFill>
                </w14:textFill>
              </w:rPr>
              <w:t>在评审现场合理的时间内对投标价格作出解释，提供项目具体成本测算等与报价合理性相关的书面说明及必要的证明材料，包括但不限于原材料成本、人工成本、制造费用等，给予相关</w:t>
            </w:r>
            <w:r>
              <w:rPr>
                <w:rFonts w:hint="eastAsia" w:ascii="宋体" w:hAnsiTheme="minorEastAsia" w:cstheme="minorEastAsia"/>
                <w:color w:val="000000" w:themeColor="text1"/>
                <w:sz w:val="22"/>
                <w:szCs w:val="22"/>
                <w:lang w:eastAsia="zh-CN"/>
                <w14:textFill>
                  <w14:solidFill>
                    <w14:schemeClr w14:val="tx1"/>
                  </w14:solidFill>
                </w14:textFill>
              </w:rPr>
              <w:t>投标人</w:t>
            </w:r>
            <w:r>
              <w:rPr>
                <w:rFonts w:hint="eastAsia" w:ascii="宋体" w:eastAsia="宋体" w:hAnsiTheme="minorEastAsia" w:cstheme="minorEastAsia"/>
                <w:color w:val="000000" w:themeColor="text1"/>
                <w:sz w:val="22"/>
                <w:szCs w:val="22"/>
                <w14:textFill>
                  <w14:solidFill>
                    <w14:schemeClr w14:val="tx1"/>
                  </w14:solidFill>
                </w14:textFill>
              </w:rPr>
              <w:t>的合理时间一般不少于30分钟。其中，属于第3</w:t>
            </w:r>
            <w:r>
              <w:rPr>
                <w:rFonts w:hint="eastAsia" w:ascii="宋体" w:hAnsiTheme="minorEastAsia" w:cstheme="minorEastAsia"/>
                <w:color w:val="000000" w:themeColor="text1"/>
                <w:sz w:val="22"/>
                <w:szCs w:val="22"/>
                <w:lang w:val="en-US" w:eastAsia="zh-CN"/>
                <w14:textFill>
                  <w14:solidFill>
                    <w14:schemeClr w14:val="tx1"/>
                  </w14:solidFill>
                </w14:textFill>
              </w:rPr>
              <w:t>点</w:t>
            </w:r>
            <w:r>
              <w:rPr>
                <w:rFonts w:hint="eastAsia" w:ascii="宋体" w:eastAsia="宋体" w:hAnsiTheme="minorEastAsia" w:cstheme="minorEastAsia"/>
                <w:color w:val="000000" w:themeColor="text1"/>
                <w:sz w:val="22"/>
                <w:szCs w:val="22"/>
                <w14:textFill>
                  <w14:solidFill>
                    <w14:schemeClr w14:val="tx1"/>
                  </w14:solidFill>
                </w14:textFill>
              </w:rPr>
              <w:t>情形，</w:t>
            </w:r>
            <w:r>
              <w:rPr>
                <w:rFonts w:hint="eastAsia" w:ascii="宋体" w:hAnsiTheme="minorEastAsia" w:cstheme="minorEastAsia"/>
                <w:color w:val="000000" w:themeColor="text1"/>
                <w:sz w:val="22"/>
                <w:szCs w:val="22"/>
                <w:lang w:eastAsia="zh-CN"/>
                <w14:textFill>
                  <w14:solidFill>
                    <w14:schemeClr w14:val="tx1"/>
                  </w14:solidFill>
                </w14:textFill>
              </w:rPr>
              <w:t>投标人</w:t>
            </w:r>
            <w:r>
              <w:rPr>
                <w:rFonts w:hint="eastAsia" w:ascii="宋体" w:eastAsia="宋体" w:hAnsiTheme="minorEastAsia" w:cstheme="minorEastAsia"/>
                <w:color w:val="000000" w:themeColor="text1"/>
                <w:sz w:val="22"/>
                <w:szCs w:val="22"/>
                <w14:textFill>
                  <w14:solidFill>
                    <w14:schemeClr w14:val="tx1"/>
                  </w14:solidFill>
                </w14:textFill>
              </w:rPr>
              <w:t>已随</w:t>
            </w:r>
            <w:r>
              <w:rPr>
                <w:rFonts w:hint="eastAsia" w:ascii="宋体" w:hAnsiTheme="minorEastAsia" w:cstheme="minorEastAsia"/>
                <w:color w:val="000000" w:themeColor="text1"/>
                <w:sz w:val="22"/>
                <w:szCs w:val="22"/>
                <w:lang w:eastAsia="zh-CN"/>
                <w14:textFill>
                  <w14:solidFill>
                    <w14:schemeClr w14:val="tx1"/>
                  </w14:solidFill>
                </w14:textFill>
              </w:rPr>
              <w:t>投标文件</w:t>
            </w:r>
            <w:r>
              <w:rPr>
                <w:rFonts w:hint="eastAsia" w:ascii="宋体" w:eastAsia="宋体" w:hAnsiTheme="minorEastAsia" w:cstheme="minorEastAsia"/>
                <w:color w:val="000000" w:themeColor="text1"/>
                <w:sz w:val="22"/>
                <w:szCs w:val="22"/>
                <w14:textFill>
                  <w14:solidFill>
                    <w14:schemeClr w14:val="tx1"/>
                  </w14:solidFill>
                </w14:textFill>
              </w:rPr>
              <w:t>一并提交相关书面说明及必要的证明</w:t>
            </w:r>
            <w:bookmarkStart w:id="406" w:name="_GoBack"/>
            <w:bookmarkEnd w:id="406"/>
            <w:r>
              <w:rPr>
                <w:rFonts w:hint="eastAsia" w:ascii="宋体" w:eastAsia="宋体" w:hAnsiTheme="minorEastAsia" w:cstheme="minorEastAsia"/>
                <w:color w:val="000000" w:themeColor="text1"/>
                <w:sz w:val="22"/>
                <w:szCs w:val="22"/>
                <w14:textFill>
                  <w14:solidFill>
                    <w14:schemeClr w14:val="tx1"/>
                  </w14:solidFill>
                </w14:textFill>
              </w:rPr>
              <w:t>材料的，在评审现场可不再重复提交。</w:t>
            </w:r>
            <w:r>
              <w:rPr>
                <w:rFonts w:hint="eastAsia" w:ascii="宋体" w:hAnsiTheme="minorEastAsia" w:cstheme="minorEastAsia"/>
                <w:color w:val="000000" w:themeColor="text1"/>
                <w:sz w:val="22"/>
                <w:szCs w:val="22"/>
                <w:lang w:eastAsia="zh-CN"/>
                <w14:textFill>
                  <w14:solidFill>
                    <w14:schemeClr w14:val="tx1"/>
                  </w14:solidFill>
                </w14:textFill>
              </w:rPr>
              <w:t>评标委员会</w:t>
            </w:r>
            <w:r>
              <w:rPr>
                <w:rFonts w:hint="eastAsia" w:ascii="宋体" w:eastAsia="宋体" w:hAnsiTheme="minorEastAsia" w:cstheme="minorEastAsia"/>
                <w:color w:val="000000" w:themeColor="text1"/>
                <w:sz w:val="22"/>
                <w:szCs w:val="22"/>
                <w14:textFill>
                  <w14:solidFill>
                    <w14:schemeClr w14:val="tx1"/>
                  </w14:solidFill>
                </w14:textFill>
              </w:rPr>
              <w:t>依据专业经验，参考同类项目中标（成交）价格、类似产品市场价格水平、行业人工费用标准、国家有关部门指导行业协会发布的行业平均成本等情况，对报价合理性进行判断。</w:t>
            </w:r>
            <w:r>
              <w:rPr>
                <w:rFonts w:hint="eastAsia" w:ascii="宋体" w:hAnsiTheme="minorEastAsia" w:cstheme="minorEastAsia"/>
                <w:color w:val="000000" w:themeColor="text1"/>
                <w:sz w:val="22"/>
                <w:szCs w:val="22"/>
                <w:lang w:eastAsia="zh-CN"/>
                <w14:textFill>
                  <w14:solidFill>
                    <w14:schemeClr w14:val="tx1"/>
                  </w14:solidFill>
                </w14:textFill>
              </w:rPr>
              <w:t>投标人</w:t>
            </w:r>
            <w:r>
              <w:rPr>
                <w:rFonts w:hint="eastAsia" w:ascii="宋体" w:eastAsia="宋体" w:hAnsiTheme="minorEastAsia" w:cstheme="minorEastAsia"/>
                <w:color w:val="000000" w:themeColor="text1"/>
                <w:sz w:val="22"/>
                <w:szCs w:val="22"/>
                <w14:textFill>
                  <w14:solidFill>
                    <w14:schemeClr w14:val="tx1"/>
                  </w14:solidFill>
                </w14:textFill>
              </w:rPr>
              <w:t>不能提供书面说明、证明材料，或者提供的书面说明、证明材料不能证明其报价合理性的，</w:t>
            </w:r>
            <w:r>
              <w:rPr>
                <w:rFonts w:hint="eastAsia" w:ascii="宋体" w:hAnsiTheme="minorEastAsia" w:cstheme="minorEastAsia"/>
                <w:color w:val="000000" w:themeColor="text1"/>
                <w:sz w:val="22"/>
                <w:szCs w:val="22"/>
                <w:lang w:eastAsia="zh-CN"/>
                <w14:textFill>
                  <w14:solidFill>
                    <w14:schemeClr w14:val="tx1"/>
                  </w14:solidFill>
                </w14:textFill>
              </w:rPr>
              <w:t>评标委员会</w:t>
            </w:r>
            <w:r>
              <w:rPr>
                <w:rFonts w:hint="eastAsia" w:ascii="宋体" w:eastAsia="宋体" w:hAnsiTheme="minorEastAsia" w:cstheme="minorEastAsia"/>
                <w:color w:val="000000" w:themeColor="text1"/>
                <w:sz w:val="22"/>
                <w:szCs w:val="22"/>
                <w14:textFill>
                  <w14:solidFill>
                    <w14:schemeClr w14:val="tx1"/>
                  </w14:solidFill>
                </w14:textFill>
              </w:rPr>
              <w:t>应当将其作为无效投标处理。</w:t>
            </w:r>
          </w:p>
        </w:tc>
      </w:tr>
      <w:tr w14:paraId="352F5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9" w:type="dxa"/>
            <w:left w:w="106" w:type="dxa"/>
            <w:bottom w:w="0" w:type="dxa"/>
            <w:right w:w="0" w:type="dxa"/>
          </w:tblCellMar>
        </w:tblPrEx>
        <w:trPr>
          <w:trHeight w:val="0" w:hRule="atLeast"/>
          <w:jc w:val="center"/>
        </w:trPr>
        <w:tc>
          <w:tcPr>
            <w:tcW w:w="1101" w:type="dxa"/>
            <w:vMerge w:val="restart"/>
            <w:tcBorders>
              <w:tl2br w:val="nil"/>
              <w:tr2bl w:val="nil"/>
            </w:tcBorders>
            <w:vAlign w:val="center"/>
          </w:tcPr>
          <w:p w14:paraId="275F579F">
            <w:pPr>
              <w:spacing w:line="281" w:lineRule="auto"/>
              <w:ind w:right="88" w:rightChars="42"/>
              <w:jc w:val="center"/>
              <w:rPr>
                <w:rFonts w:hint="eastAsia" w:asciiTheme="minorEastAsia" w:hAnsiTheme="minorEastAsia" w:eastAsiaTheme="minorEastAsia" w:cstheme="minorEastAsia"/>
                <w:color w:val="000000" w:themeColor="text1"/>
                <w:sz w:val="22"/>
                <w:szCs w:val="22"/>
                <w14:textFill>
                  <w14:solidFill>
                    <w14:schemeClr w14:val="tx1"/>
                  </w14:solidFill>
                </w14:textFill>
              </w:rPr>
            </w:pPr>
            <w:r>
              <w:rPr>
                <w:rFonts w:hint="eastAsia" w:asciiTheme="minorEastAsia" w:hAnsiTheme="minorEastAsia" w:eastAsiaTheme="minorEastAsia" w:cstheme="minorEastAsia"/>
                <w:color w:val="000000" w:themeColor="text1"/>
                <w:sz w:val="22"/>
                <w:szCs w:val="22"/>
                <w14:textFill>
                  <w14:solidFill>
                    <w14:schemeClr w14:val="tx1"/>
                  </w14:solidFill>
                </w14:textFill>
              </w:rPr>
              <w:t>技术部分</w:t>
            </w:r>
          </w:p>
          <w:p w14:paraId="7F7BC1F2">
            <w:pPr>
              <w:snapToGrid w:val="0"/>
              <w:spacing w:line="240" w:lineRule="auto"/>
              <w:ind w:left="0" w:leftChars="0" w:right="0" w:rightChars="0" w:firstLine="0" w:firstLineChars="0"/>
              <w:jc w:val="center"/>
              <w:rPr>
                <w:rFonts w:hint="eastAsia" w:ascii="宋体" w:eastAsia="宋体" w:hAnsiTheme="minorEastAsia" w:cstheme="minorEastAsia"/>
                <w:sz w:val="22"/>
                <w:szCs w:val="22"/>
              </w:rPr>
            </w:pPr>
            <w:r>
              <w:rPr>
                <w:rFonts w:hint="eastAsia" w:ascii="宋体" w:eastAsia="宋体" w:hAnsiTheme="minorEastAsia" w:cstheme="minorEastAsia"/>
                <w:sz w:val="22"/>
                <w:szCs w:val="22"/>
              </w:rPr>
              <w:t>（A</w:t>
            </w:r>
            <w:r>
              <w:rPr>
                <w:rFonts w:hint="eastAsia" w:ascii="宋体" w:eastAsia="宋体" w:hAnsiTheme="minorEastAsia" w:cstheme="minorEastAsia"/>
                <w:bCs/>
                <w:sz w:val="22"/>
                <w:vertAlign w:val="subscript"/>
              </w:rPr>
              <w:t>2</w:t>
            </w:r>
            <w:r>
              <w:rPr>
                <w:rFonts w:hint="eastAsia" w:ascii="宋体" w:eastAsia="宋体" w:hAnsiTheme="minorEastAsia" w:cstheme="minorEastAsia"/>
                <w:bCs/>
                <w:sz w:val="22"/>
                <w:vertAlign w:val="subscript"/>
                <w:lang w:eastAsia="zh-CN"/>
              </w:rPr>
              <w:t>:</w:t>
            </w:r>
            <w:r>
              <w:rPr>
                <w:rFonts w:hint="eastAsia" w:ascii="宋体" w:eastAsia="宋体" w:hAnsiTheme="minorEastAsia" w:cstheme="minorEastAsia"/>
                <w:sz w:val="22"/>
                <w:szCs w:val="22"/>
                <w:lang w:val="en-US" w:eastAsia="zh-CN"/>
              </w:rPr>
              <w:t>65</w:t>
            </w:r>
            <w:r>
              <w:rPr>
                <w:rFonts w:hint="eastAsia" w:ascii="宋体" w:eastAsia="宋体" w:hAnsiTheme="minorEastAsia" w:cstheme="minorEastAsia"/>
                <w:sz w:val="22"/>
                <w:szCs w:val="22"/>
              </w:rPr>
              <w:t>%）</w:t>
            </w:r>
          </w:p>
          <w:p w14:paraId="3CA97595">
            <w:pPr>
              <w:snapToGrid w:val="0"/>
              <w:spacing w:line="240" w:lineRule="auto"/>
              <w:ind w:left="0" w:leftChars="0" w:right="0" w:rightChars="0" w:firstLine="0" w:firstLineChars="0"/>
              <w:jc w:val="center"/>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eastAsia="宋体" w:hAnsiTheme="minorEastAsia" w:cstheme="minorEastAsia"/>
                <w:color w:val="000000" w:themeColor="text1"/>
                <w:sz w:val="22"/>
                <w:szCs w:val="22"/>
                <w:lang w:val="ru-RU" w:eastAsia="ru-RU"/>
                <w14:textFill>
                  <w14:solidFill>
                    <w14:schemeClr w14:val="tx1"/>
                  </w14:solidFill>
                </w14:textFill>
              </w:rPr>
              <w:t>F</w:t>
            </w:r>
            <w:r>
              <w:rPr>
                <w:rFonts w:hint="eastAsia" w:ascii="宋体" w:eastAsia="宋体" w:hAnsiTheme="minorEastAsia" w:cstheme="minorEastAsia"/>
                <w:bCs/>
                <w:sz w:val="22"/>
                <w:vertAlign w:val="subscript"/>
              </w:rPr>
              <w:t>2</w:t>
            </w:r>
            <w:r>
              <w:rPr>
                <w:rFonts w:hint="eastAsia" w:ascii="宋体" w:eastAsia="宋体" w:hAnsiTheme="minorEastAsia" w:cstheme="minorEastAsia"/>
                <w:color w:val="000000" w:themeColor="text1"/>
                <w:sz w:val="22"/>
                <w:szCs w:val="22"/>
                <w14:textFill>
                  <w14:solidFill>
                    <w14:schemeClr w14:val="tx1"/>
                  </w14:solidFill>
                </w14:textFill>
              </w:rPr>
              <w:t>=100分</w:t>
            </w:r>
          </w:p>
        </w:tc>
        <w:tc>
          <w:tcPr>
            <w:tcW w:w="642" w:type="dxa"/>
            <w:tcBorders>
              <w:tl2br w:val="nil"/>
              <w:tr2bl w:val="nil"/>
            </w:tcBorders>
            <w:vAlign w:val="center"/>
          </w:tcPr>
          <w:p w14:paraId="489CC07A">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eastAsia="宋体" w:hAnsiTheme="minorEastAsia" w:cstheme="minorEastAsia"/>
                <w:color w:val="000000" w:themeColor="text1"/>
                <w:sz w:val="22"/>
                <w:szCs w:val="22"/>
                <w:lang w:val="en-US" w:eastAsia="zh-CN"/>
                <w14:textFill>
                  <w14:solidFill>
                    <w14:schemeClr w14:val="tx1"/>
                  </w14:solidFill>
                </w14:textFill>
              </w:rPr>
              <w:t>采购</w:t>
            </w:r>
            <w:r>
              <w:rPr>
                <w:rFonts w:hint="eastAsia" w:ascii="宋体" w:eastAsia="宋体" w:hAnsiTheme="minorEastAsia" w:cstheme="minorEastAsia"/>
                <w:color w:val="000000" w:themeColor="text1"/>
                <w:sz w:val="22"/>
                <w:szCs w:val="22"/>
                <w14:textFill>
                  <w14:solidFill>
                    <w14:schemeClr w14:val="tx1"/>
                  </w14:solidFill>
                </w14:textFill>
              </w:rPr>
              <w:t>需求响应</w:t>
            </w:r>
          </w:p>
        </w:tc>
        <w:tc>
          <w:tcPr>
            <w:tcW w:w="636" w:type="dxa"/>
            <w:tcBorders>
              <w:right w:val="single" w:color="auto" w:sz="4" w:space="0"/>
              <w:tl2br w:val="nil"/>
              <w:tr2bl w:val="nil"/>
            </w:tcBorders>
            <w:vAlign w:val="center"/>
          </w:tcPr>
          <w:p w14:paraId="15BAC193">
            <w:pPr>
              <w:spacing w:line="240" w:lineRule="auto"/>
              <w:ind w:right="88" w:rightChars="42"/>
              <w:jc w:val="center"/>
              <w:rPr>
                <w:rFonts w:hint="eastAsia"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sz w:val="22"/>
                <w:szCs w:val="22"/>
                <w:lang w:val="en-US" w:eastAsia="zh-CN"/>
              </w:rPr>
              <w:t>40</w:t>
            </w:r>
            <w:r>
              <w:rPr>
                <w:rFonts w:hint="eastAsia" w:asciiTheme="minorEastAsia" w:hAnsiTheme="minorEastAsia" w:eastAsiaTheme="minorEastAsia" w:cstheme="minorEastAsia"/>
                <w:b w:val="0"/>
                <w:bCs w:val="0"/>
                <w:sz w:val="22"/>
                <w:szCs w:val="22"/>
              </w:rPr>
              <w:t>分</w:t>
            </w:r>
          </w:p>
        </w:tc>
        <w:tc>
          <w:tcPr>
            <w:tcW w:w="7307" w:type="dxa"/>
            <w:tcBorders>
              <w:left w:val="single" w:color="auto" w:sz="4" w:space="0"/>
              <w:tl2br w:val="nil"/>
              <w:tr2bl w:val="nil"/>
            </w:tcBorders>
            <w:vAlign w:val="center"/>
          </w:tcPr>
          <w:p w14:paraId="0801D765">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lang w:eastAsia="zh-CN"/>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根据投标人提供的服务内容响应情况进行评审</w:t>
            </w:r>
            <w:r>
              <w:rPr>
                <w:rFonts w:hint="eastAsia" w:ascii="宋体" w:eastAsia="宋体" w:hAnsiTheme="minorEastAsia" w:cstheme="minorEastAsia"/>
                <w:color w:val="000000" w:themeColor="text1"/>
                <w:sz w:val="22"/>
                <w:szCs w:val="22"/>
                <w:lang w:eastAsia="zh-CN"/>
                <w14:textFill>
                  <w14:solidFill>
                    <w14:schemeClr w14:val="tx1"/>
                  </w14:solidFill>
                </w14:textFill>
              </w:rPr>
              <w:t>，</w:t>
            </w:r>
            <w:r>
              <w:rPr>
                <w:rFonts w:hint="eastAsia" w:ascii="宋体" w:eastAsia="宋体" w:hAnsiTheme="minorEastAsia" w:cstheme="minorEastAsia"/>
                <w:color w:val="000000" w:themeColor="text1"/>
                <w:sz w:val="22"/>
                <w:szCs w:val="22"/>
                <w14:textFill>
                  <w14:solidFill>
                    <w14:schemeClr w14:val="tx1"/>
                  </w14:solidFill>
                </w14:textFill>
              </w:rPr>
              <w:t>完全满足招标文件要求</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的计40</w:t>
            </w:r>
            <w:r>
              <w:rPr>
                <w:rFonts w:hint="eastAsia" w:ascii="宋体" w:eastAsia="宋体" w:hAnsiTheme="minorEastAsia" w:cstheme="minorEastAsia"/>
                <w:color w:val="000000" w:themeColor="text1"/>
                <w:sz w:val="22"/>
                <w:szCs w:val="22"/>
                <w14:textFill>
                  <w14:solidFill>
                    <w14:schemeClr w14:val="tx1"/>
                  </w14:solidFill>
                </w14:textFill>
              </w:rPr>
              <w:t>分</w:t>
            </w:r>
            <w:r>
              <w:rPr>
                <w:rFonts w:hint="eastAsia" w:ascii="宋体" w:eastAsia="宋体" w:hAnsiTheme="minorEastAsia" w:cstheme="minorEastAsia"/>
                <w:color w:val="000000" w:themeColor="text1"/>
                <w:sz w:val="22"/>
                <w:szCs w:val="22"/>
                <w:lang w:eastAsia="zh-CN"/>
                <w14:textFill>
                  <w14:solidFill>
                    <w14:schemeClr w14:val="tx1"/>
                  </w14:solidFill>
                </w14:textFill>
              </w:rPr>
              <w:t>。</w:t>
            </w:r>
          </w:p>
          <w:p w14:paraId="12EE81AC">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lang w:val="en-US" w:eastAsia="zh-CN"/>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①</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标“▲”项技术参数</w:t>
            </w:r>
            <w:r>
              <w:rPr>
                <w:rFonts w:hint="eastAsia" w:ascii="宋体" w:eastAsia="宋体" w:hAnsiTheme="minorEastAsia" w:cstheme="minorEastAsia"/>
                <w:color w:val="auto"/>
                <w:sz w:val="22"/>
                <w:szCs w:val="22"/>
                <w:lang w:val="en-US" w:eastAsia="zh-CN"/>
              </w:rPr>
              <w:t>（共13项）完全满足得26</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分，每出现1项负偏离扣2分，最多扣26分。（标“▲”项技术参数要求提供视频演示，仅PPT静态页面、图片和方案讲解类演示不得分，不提供演示视频不得分。演示视频总时间不超过20分钟、总大小不超过200兆）</w:t>
            </w:r>
          </w:p>
          <w:p w14:paraId="46D6E861">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lang w:val="en-US" w:eastAsia="zh-CN"/>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②</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未标“▲”项技术参数完全满足得14分，每出现1项负偏离扣0.7分，最多扣14分。</w:t>
            </w:r>
          </w:p>
          <w:p w14:paraId="722B6D4C">
            <w:pPr>
              <w:snapToGrid w:val="0"/>
              <w:spacing w:line="240" w:lineRule="auto"/>
              <w:ind w:left="0" w:leftChars="0" w:right="0" w:rightChars="0" w:firstLine="0" w:firstLineChars="0"/>
              <w:jc w:val="left"/>
              <w:rPr>
                <w:rFonts w:hint="default" w:ascii="宋体" w:eastAsia="宋体" w:hAnsiTheme="minorEastAsia" w:cstheme="minorEastAsia"/>
                <w:color w:val="000000" w:themeColor="text1"/>
                <w:sz w:val="22"/>
                <w:szCs w:val="22"/>
                <w:lang w:val="en-US"/>
                <w14:textFill>
                  <w14:solidFill>
                    <w14:schemeClr w14:val="tx1"/>
                  </w14:solidFill>
                </w14:textFill>
              </w:rPr>
            </w:pPr>
            <w:r>
              <w:rPr>
                <w:rFonts w:hint="eastAsia" w:ascii="宋体" w:eastAsia="宋体" w:hAnsiTheme="minorEastAsia" w:cstheme="minorEastAsia"/>
                <w:b/>
                <w:bCs/>
                <w:color w:val="000000" w:themeColor="text1"/>
                <w:sz w:val="22"/>
                <w:szCs w:val="22"/>
                <w:lang w:val="en-US" w:eastAsia="zh-CN"/>
                <w14:textFill>
                  <w14:solidFill>
                    <w14:schemeClr w14:val="tx1"/>
                  </w14:solidFill>
                </w14:textFill>
              </w:rPr>
              <w:t>非实质性参数负偏离超过30项，为无效投标。</w:t>
            </w:r>
          </w:p>
        </w:tc>
      </w:tr>
      <w:tr w14:paraId="260AE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9" w:type="dxa"/>
            <w:left w:w="106" w:type="dxa"/>
            <w:bottom w:w="0" w:type="dxa"/>
            <w:right w:w="0" w:type="dxa"/>
          </w:tblCellMar>
        </w:tblPrEx>
        <w:trPr>
          <w:trHeight w:val="0" w:hRule="atLeast"/>
          <w:jc w:val="center"/>
        </w:trPr>
        <w:tc>
          <w:tcPr>
            <w:tcW w:w="1101" w:type="dxa"/>
            <w:vMerge w:val="continue"/>
            <w:tcBorders>
              <w:tl2br w:val="nil"/>
              <w:tr2bl w:val="nil"/>
            </w:tcBorders>
            <w:vAlign w:val="center"/>
          </w:tcPr>
          <w:p w14:paraId="62C0F13F">
            <w:pPr>
              <w:snapToGrid w:val="0"/>
              <w:spacing w:line="240" w:lineRule="auto"/>
              <w:ind w:left="0" w:leftChars="0" w:right="0" w:rightChars="0" w:firstLine="0" w:firstLineChars="0"/>
              <w:jc w:val="center"/>
              <w:rPr>
                <w:rFonts w:hint="eastAsia" w:ascii="宋体" w:eastAsia="宋体" w:hAnsiTheme="minorEastAsia" w:cstheme="minorEastAsia"/>
                <w:color w:val="000000" w:themeColor="text1"/>
                <w:sz w:val="22"/>
                <w:szCs w:val="22"/>
                <w:lang w:val="ru-RU" w:eastAsia="ru-RU"/>
                <w14:textFill>
                  <w14:solidFill>
                    <w14:schemeClr w14:val="tx1"/>
                  </w14:solidFill>
                </w14:textFill>
              </w:rPr>
            </w:pPr>
          </w:p>
        </w:tc>
        <w:tc>
          <w:tcPr>
            <w:tcW w:w="642" w:type="dxa"/>
            <w:tcBorders>
              <w:tl2br w:val="nil"/>
              <w:tr2bl w:val="nil"/>
            </w:tcBorders>
            <w:vAlign w:val="center"/>
          </w:tcPr>
          <w:p w14:paraId="6801921C">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项目实施方案</w:t>
            </w:r>
          </w:p>
        </w:tc>
        <w:tc>
          <w:tcPr>
            <w:tcW w:w="636" w:type="dxa"/>
            <w:tcBorders>
              <w:right w:val="single" w:color="auto" w:sz="4" w:space="0"/>
              <w:tl2br w:val="nil"/>
              <w:tr2bl w:val="nil"/>
            </w:tcBorders>
            <w:vAlign w:val="center"/>
          </w:tcPr>
          <w:p w14:paraId="40E51670">
            <w:pPr>
              <w:spacing w:line="240" w:lineRule="auto"/>
              <w:ind w:right="88" w:rightChars="42"/>
              <w:jc w:val="center"/>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z w:val="22"/>
                <w:szCs w:val="22"/>
                <w:lang w:val="en-US" w:eastAsia="zh-CN"/>
              </w:rPr>
              <w:t>16分</w:t>
            </w:r>
          </w:p>
        </w:tc>
        <w:tc>
          <w:tcPr>
            <w:tcW w:w="7307" w:type="dxa"/>
            <w:tcBorders>
              <w:left w:val="single" w:color="auto" w:sz="4" w:space="0"/>
              <w:tl2br w:val="nil"/>
              <w:tr2bl w:val="nil"/>
            </w:tcBorders>
            <w:vAlign w:val="center"/>
          </w:tcPr>
          <w:p w14:paraId="00A9BBB1">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投标人提供</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的</w:t>
            </w:r>
            <w:r>
              <w:rPr>
                <w:rFonts w:hint="eastAsia" w:ascii="宋体" w:eastAsia="宋体" w:hAnsiTheme="minorEastAsia" w:cstheme="minorEastAsia"/>
                <w:color w:val="000000" w:themeColor="text1"/>
                <w:sz w:val="22"/>
                <w:szCs w:val="22"/>
                <w14:textFill>
                  <w14:solidFill>
                    <w14:schemeClr w14:val="tx1"/>
                  </w14:solidFill>
                </w14:textFill>
              </w:rPr>
              <w:t>项目实施方案包含</w:t>
            </w:r>
            <w:r>
              <w:rPr>
                <w:rFonts w:hint="eastAsia" w:ascii="宋体" w:eastAsia="宋体" w:hAnsiTheme="minorEastAsia" w:cstheme="minorEastAsia"/>
                <w:color w:val="000000" w:themeColor="text1"/>
                <w:sz w:val="22"/>
                <w:szCs w:val="22"/>
                <w:lang w:eastAsia="zh-CN"/>
                <w14:textFill>
                  <w14:solidFill>
                    <w14:schemeClr w14:val="tx1"/>
                  </w14:solidFill>
                </w14:textFill>
              </w:rPr>
              <w:t>“</w:t>
            </w:r>
            <w:r>
              <w:rPr>
                <w:rFonts w:hint="eastAsia" w:ascii="宋体" w:eastAsia="宋体" w:hAnsiTheme="minorEastAsia" w:cstheme="minorEastAsia"/>
                <w:color w:val="000000" w:themeColor="text1"/>
                <w:sz w:val="22"/>
                <w:szCs w:val="22"/>
                <w14:textFill>
                  <w14:solidFill>
                    <w14:schemeClr w14:val="tx1"/>
                  </w14:solidFill>
                </w14:textFill>
              </w:rPr>
              <w:t>①项目管理制度</w:t>
            </w:r>
            <w:r>
              <w:rPr>
                <w:rFonts w:hint="eastAsia" w:ascii="宋体" w:eastAsia="宋体" w:hAnsiTheme="minorEastAsia" w:cstheme="minorEastAsia"/>
                <w:color w:val="000000" w:themeColor="text1"/>
                <w:sz w:val="22"/>
                <w:szCs w:val="22"/>
                <w:lang w:eastAsia="zh-CN"/>
                <w14:textFill>
                  <w14:solidFill>
                    <w14:schemeClr w14:val="tx1"/>
                  </w14:solidFill>
                </w14:textFill>
              </w:rPr>
              <w:t>、</w:t>
            </w:r>
            <w:r>
              <w:rPr>
                <w:rFonts w:hint="eastAsia" w:ascii="宋体" w:eastAsia="宋体" w:hAnsiTheme="minorEastAsia" w:cstheme="minorEastAsia"/>
                <w:color w:val="000000" w:themeColor="text1"/>
                <w:sz w:val="22"/>
                <w:szCs w:val="22"/>
                <w14:textFill>
                  <w14:solidFill>
                    <w14:schemeClr w14:val="tx1"/>
                  </w14:solidFill>
                </w14:textFill>
              </w:rPr>
              <w:t>②实施计划</w:t>
            </w:r>
            <w:r>
              <w:rPr>
                <w:rFonts w:hint="eastAsia" w:ascii="宋体" w:eastAsia="宋体" w:hAnsiTheme="minorEastAsia" w:cstheme="minorEastAsia"/>
                <w:color w:val="000000" w:themeColor="text1"/>
                <w:sz w:val="22"/>
                <w:szCs w:val="22"/>
                <w:lang w:eastAsia="zh-CN"/>
                <w14:textFill>
                  <w14:solidFill>
                    <w14:schemeClr w14:val="tx1"/>
                  </w14:solidFill>
                </w14:textFill>
              </w:rPr>
              <w:t>、</w:t>
            </w:r>
            <w:r>
              <w:rPr>
                <w:rFonts w:hint="eastAsia" w:ascii="宋体" w:eastAsia="宋体" w:hAnsiTheme="minorEastAsia" w:cstheme="minorEastAsia"/>
                <w:color w:val="000000" w:themeColor="text1"/>
                <w:sz w:val="22"/>
                <w:szCs w:val="22"/>
                <w14:textFill>
                  <w14:solidFill>
                    <w14:schemeClr w14:val="tx1"/>
                  </w14:solidFill>
                </w14:textFill>
              </w:rPr>
              <w:t>③进度控制措施</w:t>
            </w:r>
            <w:r>
              <w:rPr>
                <w:rFonts w:hint="eastAsia" w:ascii="宋体" w:eastAsia="宋体" w:hAnsiTheme="minorEastAsia" w:cstheme="minorEastAsia"/>
                <w:color w:val="000000" w:themeColor="text1"/>
                <w:sz w:val="22"/>
                <w:szCs w:val="22"/>
                <w:lang w:eastAsia="zh-CN"/>
                <w14:textFill>
                  <w14:solidFill>
                    <w14:schemeClr w14:val="tx1"/>
                  </w14:solidFill>
                </w14:textFill>
              </w:rPr>
              <w:t>、</w:t>
            </w:r>
            <w:r>
              <w:rPr>
                <w:rFonts w:hint="eastAsia" w:ascii="宋体" w:eastAsia="宋体" w:hAnsiTheme="minorEastAsia" w:cstheme="minorEastAsia"/>
                <w:color w:val="000000" w:themeColor="text1"/>
                <w:sz w:val="22"/>
                <w:szCs w:val="22"/>
                <w14:textFill>
                  <w14:solidFill>
                    <w14:schemeClr w14:val="tx1"/>
                  </w14:solidFill>
                </w14:textFill>
              </w:rPr>
              <w:t>④质量保障措施</w:t>
            </w:r>
            <w:r>
              <w:rPr>
                <w:rFonts w:hint="eastAsia" w:ascii="宋体" w:eastAsia="宋体" w:hAnsiTheme="minorEastAsia" w:cstheme="minorEastAsia"/>
                <w:color w:val="000000" w:themeColor="text1"/>
                <w:sz w:val="22"/>
                <w:szCs w:val="22"/>
                <w:lang w:eastAsia="zh-CN"/>
                <w14:textFill>
                  <w14:solidFill>
                    <w14:schemeClr w14:val="tx1"/>
                  </w14:solidFill>
                </w14:textFill>
              </w:rPr>
              <w:t>”</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四项内容，内容</w:t>
            </w:r>
            <w:r>
              <w:rPr>
                <w:rFonts w:hint="eastAsia" w:ascii="宋体" w:eastAsia="宋体" w:hAnsiTheme="minorEastAsia" w:cstheme="minorEastAsia"/>
                <w:color w:val="000000" w:themeColor="text1"/>
                <w:sz w:val="22"/>
                <w:szCs w:val="22"/>
                <w14:textFill>
                  <w14:solidFill>
                    <w14:schemeClr w14:val="tx1"/>
                  </w14:solidFill>
                </w14:textFill>
              </w:rPr>
              <w:t>完全满足</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项目内容</w:t>
            </w:r>
            <w:r>
              <w:rPr>
                <w:rFonts w:hint="eastAsia" w:ascii="宋体" w:eastAsia="宋体" w:hAnsiTheme="minorEastAsia" w:cstheme="minorEastAsia"/>
                <w:color w:val="000000" w:themeColor="text1"/>
                <w:sz w:val="22"/>
                <w:szCs w:val="22"/>
                <w14:textFill>
                  <w14:solidFill>
                    <w14:schemeClr w14:val="tx1"/>
                  </w14:solidFill>
                </w14:textFill>
              </w:rPr>
              <w:t>要求</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的计16</w:t>
            </w:r>
            <w:r>
              <w:rPr>
                <w:rFonts w:hint="eastAsia" w:ascii="宋体" w:eastAsia="宋体" w:hAnsiTheme="minorEastAsia" w:cstheme="minorEastAsia"/>
                <w:color w:val="000000" w:themeColor="text1"/>
                <w:sz w:val="22"/>
                <w:szCs w:val="22"/>
                <w14:textFill>
                  <w14:solidFill>
                    <w14:schemeClr w14:val="tx1"/>
                  </w14:solidFill>
                </w14:textFill>
              </w:rPr>
              <w:t>分。方案中每有一项内容要素存在遗漏或描述不完整或仅有大纲标题无正文内容的扣</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4</w:t>
            </w:r>
            <w:r>
              <w:rPr>
                <w:rFonts w:hint="eastAsia" w:ascii="宋体" w:eastAsia="宋体" w:hAnsiTheme="minorEastAsia" w:cstheme="minorEastAsia"/>
                <w:color w:val="000000" w:themeColor="text1"/>
                <w:sz w:val="22"/>
                <w:szCs w:val="22"/>
                <w14:textFill>
                  <w14:solidFill>
                    <w14:schemeClr w14:val="tx1"/>
                  </w14:solidFill>
                </w14:textFill>
              </w:rPr>
              <w:t>分，方案内容要素中每存在一处内容不足或缺陷的扣1分，单项内容要素扣减分值不超过</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4</w:t>
            </w:r>
            <w:r>
              <w:rPr>
                <w:rFonts w:hint="eastAsia" w:ascii="宋体" w:eastAsia="宋体" w:hAnsiTheme="minorEastAsia" w:cstheme="minorEastAsia"/>
                <w:color w:val="000000" w:themeColor="text1"/>
                <w:sz w:val="22"/>
                <w:szCs w:val="22"/>
                <w14:textFill>
                  <w14:solidFill>
                    <w14:schemeClr w14:val="tx1"/>
                  </w14:solidFill>
                </w14:textFill>
              </w:rPr>
              <w:t>分。扣完为止。</w:t>
            </w:r>
          </w:p>
          <w:p w14:paraId="13DDF028">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内容不足或缺陷是指存在不适用项目实际情况的情形、凭空编造、方案中内容前后不一致、前后逻辑错误、与招标文件项目实施要求不符或无关等情况。</w:t>
            </w:r>
          </w:p>
        </w:tc>
      </w:tr>
      <w:tr w14:paraId="5AC47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9" w:type="dxa"/>
            <w:left w:w="106" w:type="dxa"/>
            <w:bottom w:w="0" w:type="dxa"/>
            <w:right w:w="0" w:type="dxa"/>
          </w:tblCellMar>
        </w:tblPrEx>
        <w:trPr>
          <w:trHeight w:val="0" w:hRule="atLeast"/>
          <w:jc w:val="center"/>
        </w:trPr>
        <w:tc>
          <w:tcPr>
            <w:tcW w:w="1101" w:type="dxa"/>
            <w:vMerge w:val="continue"/>
            <w:tcBorders>
              <w:tl2br w:val="nil"/>
              <w:tr2bl w:val="nil"/>
            </w:tcBorders>
            <w:vAlign w:val="center"/>
          </w:tcPr>
          <w:p w14:paraId="3649C495">
            <w:pPr>
              <w:snapToGrid w:val="0"/>
              <w:spacing w:line="240" w:lineRule="auto"/>
              <w:ind w:left="0" w:leftChars="0" w:right="0" w:rightChars="0" w:firstLine="0" w:firstLineChars="0"/>
              <w:jc w:val="center"/>
              <w:rPr>
                <w:rFonts w:hint="eastAsia" w:ascii="宋体" w:eastAsia="宋体" w:hAnsiTheme="minorEastAsia" w:cstheme="minorEastAsia"/>
                <w:color w:val="000000" w:themeColor="text1"/>
                <w:sz w:val="22"/>
                <w:szCs w:val="22"/>
                <w:lang w:val="ru-RU" w:eastAsia="ru-RU"/>
                <w14:textFill>
                  <w14:solidFill>
                    <w14:schemeClr w14:val="tx1"/>
                  </w14:solidFill>
                </w14:textFill>
              </w:rPr>
            </w:pPr>
          </w:p>
        </w:tc>
        <w:tc>
          <w:tcPr>
            <w:tcW w:w="642" w:type="dxa"/>
            <w:tcBorders>
              <w:tl2br w:val="nil"/>
              <w:tr2bl w:val="nil"/>
            </w:tcBorders>
            <w:vAlign w:val="center"/>
          </w:tcPr>
          <w:p w14:paraId="10E97911">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项目培训方案</w:t>
            </w:r>
          </w:p>
        </w:tc>
        <w:tc>
          <w:tcPr>
            <w:tcW w:w="636" w:type="dxa"/>
            <w:tcBorders>
              <w:right w:val="single" w:color="auto" w:sz="4" w:space="0"/>
              <w:tl2br w:val="nil"/>
              <w:tr2bl w:val="nil"/>
            </w:tcBorders>
            <w:vAlign w:val="center"/>
          </w:tcPr>
          <w:p w14:paraId="7D2A80FA">
            <w:pPr>
              <w:spacing w:line="240" w:lineRule="auto"/>
              <w:ind w:right="88" w:rightChars="42"/>
              <w:jc w:val="center"/>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z w:val="22"/>
                <w:szCs w:val="22"/>
                <w:lang w:val="en-US" w:eastAsia="zh-CN"/>
              </w:rPr>
              <w:t>12分</w:t>
            </w:r>
          </w:p>
        </w:tc>
        <w:tc>
          <w:tcPr>
            <w:tcW w:w="7307" w:type="dxa"/>
            <w:tcBorders>
              <w:left w:val="single" w:color="auto" w:sz="4" w:space="0"/>
              <w:tl2br w:val="nil"/>
              <w:tr2bl w:val="nil"/>
            </w:tcBorders>
            <w:vAlign w:val="center"/>
          </w:tcPr>
          <w:p w14:paraId="63A70435">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投标人提供</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的</w:t>
            </w:r>
            <w:r>
              <w:rPr>
                <w:rFonts w:hint="eastAsia" w:ascii="宋体" w:eastAsia="宋体" w:hAnsiTheme="minorEastAsia" w:cstheme="minorEastAsia"/>
                <w:color w:val="000000" w:themeColor="text1"/>
                <w:sz w:val="22"/>
                <w:szCs w:val="22"/>
                <w14:textFill>
                  <w14:solidFill>
                    <w14:schemeClr w14:val="tx1"/>
                  </w14:solidFill>
                </w14:textFill>
              </w:rPr>
              <w:t>项目培训方案包含</w:t>
            </w:r>
            <w:r>
              <w:rPr>
                <w:rFonts w:hint="eastAsia" w:ascii="宋体" w:eastAsia="宋体" w:hAnsiTheme="minorEastAsia" w:cstheme="minorEastAsia"/>
                <w:color w:val="000000" w:themeColor="text1"/>
                <w:sz w:val="22"/>
                <w:szCs w:val="22"/>
                <w:lang w:eastAsia="zh-CN"/>
                <w14:textFill>
                  <w14:solidFill>
                    <w14:schemeClr w14:val="tx1"/>
                  </w14:solidFill>
                </w14:textFill>
              </w:rPr>
              <w:t>“</w:t>
            </w:r>
            <w:r>
              <w:rPr>
                <w:rFonts w:hint="eastAsia" w:ascii="宋体" w:eastAsia="宋体" w:hAnsiTheme="minorEastAsia" w:cstheme="minorEastAsia"/>
                <w:color w:val="000000" w:themeColor="text1"/>
                <w:sz w:val="22"/>
                <w:szCs w:val="22"/>
                <w14:textFill>
                  <w14:solidFill>
                    <w14:schemeClr w14:val="tx1"/>
                  </w14:solidFill>
                </w14:textFill>
              </w:rPr>
              <w:t>①培训内容</w:t>
            </w:r>
            <w:r>
              <w:rPr>
                <w:rFonts w:hint="eastAsia" w:ascii="宋体" w:eastAsia="宋体" w:hAnsiTheme="minorEastAsia" w:cstheme="minorEastAsia"/>
                <w:color w:val="000000" w:themeColor="text1"/>
                <w:sz w:val="22"/>
                <w:szCs w:val="22"/>
                <w:lang w:eastAsia="zh-CN"/>
                <w14:textFill>
                  <w14:solidFill>
                    <w14:schemeClr w14:val="tx1"/>
                  </w14:solidFill>
                </w14:textFill>
              </w:rPr>
              <w:t>、</w:t>
            </w:r>
            <w:r>
              <w:rPr>
                <w:rFonts w:hint="eastAsia" w:ascii="宋体" w:eastAsia="宋体" w:hAnsiTheme="minorEastAsia" w:cstheme="minorEastAsia"/>
                <w:color w:val="000000" w:themeColor="text1"/>
                <w:sz w:val="22"/>
                <w:szCs w:val="22"/>
                <w14:textFill>
                  <w14:solidFill>
                    <w14:schemeClr w14:val="tx1"/>
                  </w14:solidFill>
                </w14:textFill>
              </w:rPr>
              <w:t>②师资力量配备</w:t>
            </w:r>
            <w:r>
              <w:rPr>
                <w:rFonts w:hint="eastAsia" w:ascii="宋体" w:eastAsia="宋体" w:hAnsiTheme="minorEastAsia" w:cstheme="minorEastAsia"/>
                <w:color w:val="000000" w:themeColor="text1"/>
                <w:sz w:val="22"/>
                <w:szCs w:val="22"/>
                <w:lang w:eastAsia="zh-CN"/>
                <w14:textFill>
                  <w14:solidFill>
                    <w14:schemeClr w14:val="tx1"/>
                  </w14:solidFill>
                </w14:textFill>
              </w:rPr>
              <w:t>、</w:t>
            </w:r>
            <w:r>
              <w:rPr>
                <w:rFonts w:hint="eastAsia" w:ascii="宋体" w:eastAsia="宋体" w:hAnsiTheme="minorEastAsia" w:cstheme="minorEastAsia"/>
                <w:color w:val="000000" w:themeColor="text1"/>
                <w:sz w:val="22"/>
                <w:szCs w:val="22"/>
                <w14:textFill>
                  <w14:solidFill>
                    <w14:schemeClr w14:val="tx1"/>
                  </w14:solidFill>
                </w14:textFill>
              </w:rPr>
              <w:t>③培训人次安排</w:t>
            </w:r>
            <w:r>
              <w:rPr>
                <w:rFonts w:hint="eastAsia" w:ascii="宋体" w:eastAsia="宋体" w:hAnsiTheme="minorEastAsia" w:cstheme="minorEastAsia"/>
                <w:color w:val="000000" w:themeColor="text1"/>
                <w:sz w:val="22"/>
                <w:szCs w:val="22"/>
                <w:lang w:eastAsia="zh-CN"/>
                <w14:textFill>
                  <w14:solidFill>
                    <w14:schemeClr w14:val="tx1"/>
                  </w14:solidFill>
                </w14:textFill>
              </w:rPr>
              <w:t>”</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三项内容</w:t>
            </w:r>
            <w:r>
              <w:rPr>
                <w:rFonts w:hint="eastAsia" w:ascii="宋体" w:eastAsia="宋体" w:hAnsiTheme="minorEastAsia" w:cstheme="minorEastAsia"/>
                <w:color w:val="000000" w:themeColor="text1"/>
                <w:sz w:val="22"/>
                <w:szCs w:val="22"/>
                <w14:textFill>
                  <w14:solidFill>
                    <w14:schemeClr w14:val="tx1"/>
                  </w14:solidFill>
                </w14:textFill>
              </w:rPr>
              <w:t>。</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内容</w:t>
            </w:r>
            <w:r>
              <w:rPr>
                <w:rFonts w:hint="eastAsia" w:ascii="宋体" w:eastAsia="宋体" w:hAnsiTheme="minorEastAsia" w:cstheme="minorEastAsia"/>
                <w:color w:val="000000" w:themeColor="text1"/>
                <w:sz w:val="22"/>
                <w:szCs w:val="22"/>
                <w14:textFill>
                  <w14:solidFill>
                    <w14:schemeClr w14:val="tx1"/>
                  </w14:solidFill>
                </w14:textFill>
              </w:rPr>
              <w:t>完全满足招标文件要求</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的计12</w:t>
            </w:r>
            <w:r>
              <w:rPr>
                <w:rFonts w:hint="eastAsia" w:ascii="宋体" w:eastAsia="宋体" w:hAnsiTheme="minorEastAsia" w:cstheme="minorEastAsia"/>
                <w:color w:val="000000" w:themeColor="text1"/>
                <w:sz w:val="22"/>
                <w:szCs w:val="22"/>
                <w14:textFill>
                  <w14:solidFill>
                    <w14:schemeClr w14:val="tx1"/>
                  </w14:solidFill>
                </w14:textFill>
              </w:rPr>
              <w:t>分。方案中每有一项内容要素存在遗漏或描述不完整或仅有大纲标题无正文内容的扣</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4</w:t>
            </w:r>
            <w:r>
              <w:rPr>
                <w:rFonts w:hint="eastAsia" w:ascii="宋体" w:eastAsia="宋体" w:hAnsiTheme="minorEastAsia" w:cstheme="minorEastAsia"/>
                <w:color w:val="000000" w:themeColor="text1"/>
                <w:sz w:val="22"/>
                <w:szCs w:val="22"/>
                <w14:textFill>
                  <w14:solidFill>
                    <w14:schemeClr w14:val="tx1"/>
                  </w14:solidFill>
                </w14:textFill>
              </w:rPr>
              <w:t>分，方案内容要素中每存在一处内容不足或缺陷的扣1分，单项内容要素扣减分值不超过</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4</w:t>
            </w:r>
            <w:r>
              <w:rPr>
                <w:rFonts w:hint="eastAsia" w:ascii="宋体" w:eastAsia="宋体" w:hAnsiTheme="minorEastAsia" w:cstheme="minorEastAsia"/>
                <w:color w:val="000000" w:themeColor="text1"/>
                <w:sz w:val="22"/>
                <w:szCs w:val="22"/>
                <w14:textFill>
                  <w14:solidFill>
                    <w14:schemeClr w14:val="tx1"/>
                  </w14:solidFill>
                </w14:textFill>
              </w:rPr>
              <w:t>分。扣完为止。</w:t>
            </w:r>
          </w:p>
          <w:p w14:paraId="363F0E51">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内容不足或缺陷是指存在不适用项目实际情况的情形、凭空编造、方案中内容前后不一致、前后逻辑错误、与招标文件培训要求不符或无关等情况。</w:t>
            </w:r>
          </w:p>
        </w:tc>
      </w:tr>
      <w:tr w14:paraId="781D2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9" w:type="dxa"/>
            <w:left w:w="106" w:type="dxa"/>
            <w:bottom w:w="0" w:type="dxa"/>
            <w:right w:w="0" w:type="dxa"/>
          </w:tblCellMar>
        </w:tblPrEx>
        <w:trPr>
          <w:trHeight w:val="0" w:hRule="atLeast"/>
          <w:jc w:val="center"/>
        </w:trPr>
        <w:tc>
          <w:tcPr>
            <w:tcW w:w="1101" w:type="dxa"/>
            <w:vMerge w:val="continue"/>
            <w:tcBorders>
              <w:tl2br w:val="nil"/>
              <w:tr2bl w:val="nil"/>
            </w:tcBorders>
            <w:vAlign w:val="center"/>
          </w:tcPr>
          <w:p w14:paraId="2B2127D3">
            <w:pPr>
              <w:snapToGrid w:val="0"/>
              <w:spacing w:line="240" w:lineRule="auto"/>
              <w:ind w:left="0" w:leftChars="0" w:right="0" w:rightChars="0" w:firstLine="0" w:firstLineChars="0"/>
              <w:jc w:val="center"/>
              <w:rPr>
                <w:rFonts w:hint="eastAsia" w:ascii="宋体" w:eastAsia="宋体" w:hAnsiTheme="minorEastAsia" w:cstheme="minorEastAsia"/>
                <w:color w:val="000000" w:themeColor="text1"/>
                <w:sz w:val="22"/>
                <w:szCs w:val="22"/>
                <w:lang w:val="ru-RU" w:eastAsia="ru-RU"/>
                <w14:textFill>
                  <w14:solidFill>
                    <w14:schemeClr w14:val="tx1"/>
                  </w14:solidFill>
                </w14:textFill>
              </w:rPr>
            </w:pPr>
          </w:p>
        </w:tc>
        <w:tc>
          <w:tcPr>
            <w:tcW w:w="642" w:type="dxa"/>
            <w:tcBorders>
              <w:tl2br w:val="nil"/>
              <w:tr2bl w:val="nil"/>
            </w:tcBorders>
            <w:vAlign w:val="center"/>
          </w:tcPr>
          <w:p w14:paraId="2916E53E">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eastAsia="宋体" w:hAnsiTheme="minorEastAsia" w:cstheme="minorEastAsia"/>
                <w:color w:val="000000" w:themeColor="text1"/>
                <w:sz w:val="22"/>
                <w:szCs w:val="22"/>
                <w:lang w:eastAsia="zh-CN"/>
                <w14:textFill>
                  <w14:solidFill>
                    <w14:schemeClr w14:val="tx1"/>
                  </w14:solidFill>
                </w14:textFill>
              </w:rPr>
              <w:t>应急预案</w:t>
            </w:r>
          </w:p>
        </w:tc>
        <w:tc>
          <w:tcPr>
            <w:tcW w:w="636" w:type="dxa"/>
            <w:tcBorders>
              <w:right w:val="single" w:color="auto" w:sz="4" w:space="0"/>
              <w:tl2br w:val="nil"/>
              <w:tr2bl w:val="nil"/>
            </w:tcBorders>
            <w:vAlign w:val="center"/>
          </w:tcPr>
          <w:p w14:paraId="00A28EB3">
            <w:pPr>
              <w:spacing w:line="240" w:lineRule="auto"/>
              <w:ind w:right="88" w:rightChars="42"/>
              <w:jc w:val="center"/>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z w:val="22"/>
                <w:szCs w:val="22"/>
                <w:lang w:val="en-US" w:eastAsia="zh-CN"/>
              </w:rPr>
              <w:t>10分</w:t>
            </w:r>
          </w:p>
        </w:tc>
        <w:tc>
          <w:tcPr>
            <w:tcW w:w="7307" w:type="dxa"/>
            <w:tcBorders>
              <w:left w:val="single" w:color="auto" w:sz="4" w:space="0"/>
              <w:tl2br w:val="nil"/>
              <w:tr2bl w:val="nil"/>
            </w:tcBorders>
            <w:vAlign w:val="center"/>
          </w:tcPr>
          <w:p w14:paraId="265D4F5C">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投标人提供</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的</w:t>
            </w:r>
            <w:r>
              <w:rPr>
                <w:rFonts w:hint="eastAsia" w:ascii="宋体" w:eastAsia="宋体" w:hAnsiTheme="minorEastAsia" w:cstheme="minorEastAsia"/>
                <w:color w:val="000000" w:themeColor="text1"/>
                <w:sz w:val="22"/>
                <w:szCs w:val="22"/>
                <w14:textFill>
                  <w14:solidFill>
                    <w14:schemeClr w14:val="tx1"/>
                  </w14:solidFill>
                </w14:textFill>
              </w:rPr>
              <w:t>应急预案包含</w:t>
            </w:r>
            <w:r>
              <w:rPr>
                <w:rFonts w:hint="eastAsia" w:ascii="宋体" w:eastAsia="宋体" w:hAnsiTheme="minorEastAsia" w:cstheme="minorEastAsia"/>
                <w:color w:val="000000" w:themeColor="text1"/>
                <w:sz w:val="22"/>
                <w:szCs w:val="22"/>
                <w:lang w:eastAsia="zh-CN"/>
                <w14:textFill>
                  <w14:solidFill>
                    <w14:schemeClr w14:val="tx1"/>
                  </w14:solidFill>
                </w14:textFill>
              </w:rPr>
              <w:t>“</w:t>
            </w:r>
            <w:r>
              <w:rPr>
                <w:rFonts w:hint="eastAsia" w:ascii="宋体" w:eastAsia="宋体" w:hAnsiTheme="minorEastAsia" w:cstheme="minorEastAsia"/>
                <w:color w:val="000000" w:themeColor="text1"/>
                <w:sz w:val="22"/>
                <w:szCs w:val="22"/>
                <w14:textFill>
                  <w14:solidFill>
                    <w14:schemeClr w14:val="tx1"/>
                  </w14:solidFill>
                </w14:textFill>
              </w:rPr>
              <w:t>①响应及排除故障时间</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安排、</w:t>
            </w:r>
            <w:r>
              <w:rPr>
                <w:rFonts w:hint="eastAsia" w:ascii="宋体" w:eastAsia="宋体" w:hAnsiTheme="minorEastAsia" w:cstheme="minorEastAsia"/>
                <w:color w:val="000000" w:themeColor="text1"/>
                <w:sz w:val="22"/>
                <w:szCs w:val="22"/>
                <w14:textFill>
                  <w14:solidFill>
                    <w14:schemeClr w14:val="tx1"/>
                  </w14:solidFill>
                </w14:textFill>
              </w:rPr>
              <w:t>②保障措施</w:t>
            </w:r>
            <w:r>
              <w:rPr>
                <w:rFonts w:hint="eastAsia" w:ascii="宋体" w:eastAsia="宋体" w:hAnsiTheme="minorEastAsia" w:cstheme="minorEastAsia"/>
                <w:color w:val="000000" w:themeColor="text1"/>
                <w:sz w:val="22"/>
                <w:szCs w:val="22"/>
                <w:lang w:eastAsia="zh-CN"/>
                <w14:textFill>
                  <w14:solidFill>
                    <w14:schemeClr w14:val="tx1"/>
                  </w14:solidFill>
                </w14:textFill>
              </w:rPr>
              <w:t>”</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两项内容</w:t>
            </w:r>
            <w:r>
              <w:rPr>
                <w:rFonts w:hint="eastAsia" w:ascii="宋体" w:eastAsia="宋体" w:hAnsiTheme="minorEastAsia" w:cstheme="minorEastAsia"/>
                <w:color w:val="000000" w:themeColor="text1"/>
                <w:sz w:val="22"/>
                <w:szCs w:val="22"/>
                <w14:textFill>
                  <w14:solidFill>
                    <w14:schemeClr w14:val="tx1"/>
                  </w14:solidFill>
                </w14:textFill>
              </w:rPr>
              <w:t>。</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内容</w:t>
            </w:r>
            <w:r>
              <w:rPr>
                <w:rFonts w:hint="eastAsia" w:ascii="宋体" w:eastAsia="宋体" w:hAnsiTheme="minorEastAsia" w:cstheme="minorEastAsia"/>
                <w:color w:val="000000" w:themeColor="text1"/>
                <w:sz w:val="22"/>
                <w:szCs w:val="22"/>
                <w14:textFill>
                  <w14:solidFill>
                    <w14:schemeClr w14:val="tx1"/>
                  </w14:solidFill>
                </w14:textFill>
              </w:rPr>
              <w:t>完全满足招标文件要求</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的计10</w:t>
            </w:r>
            <w:r>
              <w:rPr>
                <w:rFonts w:hint="eastAsia" w:ascii="宋体" w:eastAsia="宋体" w:hAnsiTheme="minorEastAsia" w:cstheme="minorEastAsia"/>
                <w:color w:val="000000" w:themeColor="text1"/>
                <w:sz w:val="22"/>
                <w:szCs w:val="22"/>
                <w14:textFill>
                  <w14:solidFill>
                    <w14:schemeClr w14:val="tx1"/>
                  </w14:solidFill>
                </w14:textFill>
              </w:rPr>
              <w:t>分。方案中每有一项内容要素存在遗漏或描述不完整或仅有大纲标题无正文内容的扣</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5</w:t>
            </w:r>
            <w:r>
              <w:rPr>
                <w:rFonts w:hint="eastAsia" w:ascii="宋体" w:eastAsia="宋体" w:hAnsiTheme="minorEastAsia" w:cstheme="minorEastAsia"/>
                <w:color w:val="000000" w:themeColor="text1"/>
                <w:sz w:val="22"/>
                <w:szCs w:val="22"/>
                <w14:textFill>
                  <w14:solidFill>
                    <w14:schemeClr w14:val="tx1"/>
                  </w14:solidFill>
                </w14:textFill>
              </w:rPr>
              <w:t>分，方案内容要素中每存在一处内容不足或缺陷的扣1分，单项内容要素扣减分值不超过</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5</w:t>
            </w:r>
            <w:r>
              <w:rPr>
                <w:rFonts w:hint="eastAsia" w:ascii="宋体" w:eastAsia="宋体" w:hAnsiTheme="minorEastAsia" w:cstheme="minorEastAsia"/>
                <w:color w:val="000000" w:themeColor="text1"/>
                <w:sz w:val="22"/>
                <w:szCs w:val="22"/>
                <w14:textFill>
                  <w14:solidFill>
                    <w14:schemeClr w14:val="tx1"/>
                  </w14:solidFill>
                </w14:textFill>
              </w:rPr>
              <w:t>分。扣完为止。</w:t>
            </w:r>
          </w:p>
          <w:p w14:paraId="0CDB0807">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内容不足或缺陷是指存在不适用项目实际情况的情形、凭空编造、方案中内容前后不一致、前后逻辑错误、与招标文件应急预案要求不符或无关等情况</w:t>
            </w:r>
          </w:p>
        </w:tc>
      </w:tr>
      <w:tr w14:paraId="29E3A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9" w:type="dxa"/>
            <w:left w:w="106" w:type="dxa"/>
            <w:bottom w:w="0" w:type="dxa"/>
            <w:right w:w="0" w:type="dxa"/>
          </w:tblCellMar>
        </w:tblPrEx>
        <w:trPr>
          <w:trHeight w:val="0" w:hRule="atLeast"/>
          <w:jc w:val="center"/>
        </w:trPr>
        <w:tc>
          <w:tcPr>
            <w:tcW w:w="1101" w:type="dxa"/>
            <w:vMerge w:val="continue"/>
            <w:tcBorders>
              <w:tl2br w:val="nil"/>
              <w:tr2bl w:val="nil"/>
            </w:tcBorders>
            <w:shd w:val="clear" w:color="auto" w:fill="auto"/>
            <w:vAlign w:val="center"/>
          </w:tcPr>
          <w:p w14:paraId="47BAD85C">
            <w:pPr>
              <w:snapToGrid w:val="0"/>
              <w:spacing w:line="240" w:lineRule="auto"/>
              <w:ind w:left="0" w:leftChars="0" w:right="0" w:rightChars="0" w:firstLine="0" w:firstLineChars="0"/>
              <w:jc w:val="center"/>
              <w:rPr>
                <w:rFonts w:hint="eastAsia" w:ascii="宋体" w:eastAsia="宋体" w:hAnsiTheme="minorEastAsia" w:cstheme="minorEastAsia"/>
                <w:color w:val="000000" w:themeColor="text1"/>
                <w:sz w:val="22"/>
                <w:szCs w:val="22"/>
                <w:lang w:val="ru-RU" w:eastAsia="ru-RU"/>
                <w14:textFill>
                  <w14:solidFill>
                    <w14:schemeClr w14:val="tx1"/>
                  </w14:solidFill>
                </w14:textFill>
              </w:rPr>
            </w:pPr>
          </w:p>
        </w:tc>
        <w:tc>
          <w:tcPr>
            <w:tcW w:w="642" w:type="dxa"/>
            <w:tcBorders>
              <w:tl2br w:val="nil"/>
              <w:tr2bl w:val="nil"/>
            </w:tcBorders>
            <w:shd w:val="clear" w:color="auto" w:fill="auto"/>
            <w:vAlign w:val="center"/>
          </w:tcPr>
          <w:p w14:paraId="77B0E046">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lang w:val="en-US" w:eastAsia="zh-CN"/>
                <w14:textFill>
                  <w14:solidFill>
                    <w14:schemeClr w14:val="tx1"/>
                  </w14:solidFill>
                </w14:textFill>
              </w:rPr>
            </w:pPr>
            <w:r>
              <w:rPr>
                <w:rFonts w:hint="eastAsia" w:ascii="宋体" w:eastAsia="宋体" w:hAnsiTheme="minorEastAsia" w:cstheme="minorEastAsia"/>
                <w:color w:val="000000" w:themeColor="text1"/>
                <w:sz w:val="22"/>
                <w:szCs w:val="22"/>
                <w:lang w:val="en-US" w:eastAsia="zh-CN"/>
                <w14:textFill>
                  <w14:solidFill>
                    <w14:schemeClr w14:val="tx1"/>
                  </w14:solidFill>
                </w14:textFill>
              </w:rPr>
              <w:t>安全保障</w:t>
            </w:r>
            <w:r>
              <w:rPr>
                <w:rFonts w:hint="eastAsia" w:ascii="宋体" w:eastAsia="宋体" w:hAnsiTheme="minorEastAsia" w:cstheme="minorEastAsia"/>
                <w:color w:val="000000" w:themeColor="text1"/>
                <w:sz w:val="22"/>
                <w:szCs w:val="22"/>
                <w14:textFill>
                  <w14:solidFill>
                    <w14:schemeClr w14:val="tx1"/>
                  </w14:solidFill>
                </w14:textFill>
              </w:rPr>
              <w:t>方案</w:t>
            </w:r>
          </w:p>
        </w:tc>
        <w:tc>
          <w:tcPr>
            <w:tcW w:w="636" w:type="dxa"/>
            <w:tcBorders>
              <w:right w:val="single" w:color="auto" w:sz="4" w:space="0"/>
              <w:tl2br w:val="nil"/>
              <w:tr2bl w:val="nil"/>
            </w:tcBorders>
            <w:shd w:val="clear" w:color="auto" w:fill="auto"/>
            <w:vAlign w:val="center"/>
          </w:tcPr>
          <w:p w14:paraId="1C9AEE1B">
            <w:pPr>
              <w:spacing w:line="240" w:lineRule="auto"/>
              <w:ind w:right="88" w:rightChars="42"/>
              <w:jc w:val="center"/>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z w:val="22"/>
                <w:szCs w:val="22"/>
                <w:lang w:val="en-US" w:eastAsia="zh-CN"/>
              </w:rPr>
              <w:t>12分</w:t>
            </w:r>
          </w:p>
        </w:tc>
        <w:tc>
          <w:tcPr>
            <w:tcW w:w="7307" w:type="dxa"/>
            <w:tcBorders>
              <w:left w:val="single" w:color="auto" w:sz="4" w:space="0"/>
              <w:tl2br w:val="nil"/>
              <w:tr2bl w:val="nil"/>
            </w:tcBorders>
            <w:shd w:val="clear" w:color="auto" w:fill="auto"/>
            <w:vAlign w:val="center"/>
          </w:tcPr>
          <w:p w14:paraId="4F008A87">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投标人提供</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的安全保障</w:t>
            </w:r>
            <w:r>
              <w:rPr>
                <w:rFonts w:hint="eastAsia" w:ascii="宋体" w:eastAsia="宋体" w:hAnsiTheme="minorEastAsia" w:cstheme="minorEastAsia"/>
                <w:color w:val="000000" w:themeColor="text1"/>
                <w:sz w:val="22"/>
                <w:szCs w:val="22"/>
                <w14:textFill>
                  <w14:solidFill>
                    <w14:schemeClr w14:val="tx1"/>
                  </w14:solidFill>
                </w14:textFill>
              </w:rPr>
              <w:t>方案包含</w:t>
            </w:r>
            <w:r>
              <w:rPr>
                <w:rFonts w:hint="eastAsia" w:ascii="宋体" w:eastAsia="宋体" w:hAnsiTheme="minorEastAsia" w:cstheme="minorEastAsia"/>
                <w:color w:val="000000" w:themeColor="text1"/>
                <w:sz w:val="22"/>
                <w:szCs w:val="22"/>
                <w:lang w:eastAsia="zh-CN"/>
                <w14:textFill>
                  <w14:solidFill>
                    <w14:schemeClr w14:val="tx1"/>
                  </w14:solidFill>
                </w14:textFill>
              </w:rPr>
              <w:t>“</w:t>
            </w:r>
            <w:r>
              <w:rPr>
                <w:rFonts w:hint="eastAsia" w:ascii="宋体" w:eastAsia="宋体" w:hAnsiTheme="minorEastAsia" w:cstheme="minorEastAsia"/>
                <w:color w:val="000000" w:themeColor="text1"/>
                <w:sz w:val="22"/>
                <w:szCs w:val="22"/>
                <w14:textFill>
                  <w14:solidFill>
                    <w14:schemeClr w14:val="tx1"/>
                  </w14:solidFill>
                </w14:textFill>
              </w:rPr>
              <w:t>①安全策略</w:t>
            </w:r>
            <w:r>
              <w:rPr>
                <w:rFonts w:hint="eastAsia" w:ascii="宋体" w:eastAsia="宋体" w:hAnsiTheme="minorEastAsia" w:cstheme="minorEastAsia"/>
                <w:color w:val="000000" w:themeColor="text1"/>
                <w:sz w:val="22"/>
                <w:szCs w:val="22"/>
                <w:lang w:eastAsia="zh-CN"/>
                <w14:textFill>
                  <w14:solidFill>
                    <w14:schemeClr w14:val="tx1"/>
                  </w14:solidFill>
                </w14:textFill>
              </w:rPr>
              <w:t>、</w:t>
            </w:r>
            <w:r>
              <w:rPr>
                <w:rFonts w:hint="eastAsia" w:ascii="宋体" w:eastAsia="宋体" w:hAnsiTheme="minorEastAsia" w:cstheme="minorEastAsia"/>
                <w:color w:val="000000" w:themeColor="text1"/>
                <w:sz w:val="22"/>
                <w:szCs w:val="22"/>
                <w14:textFill>
                  <w14:solidFill>
                    <w14:schemeClr w14:val="tx1"/>
                  </w14:solidFill>
                </w14:textFill>
              </w:rPr>
              <w:t>②</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安全措施</w:t>
            </w:r>
            <w:r>
              <w:rPr>
                <w:rFonts w:hint="eastAsia" w:ascii="宋体" w:eastAsia="宋体" w:hAnsiTheme="minorEastAsia" w:cstheme="minorEastAsia"/>
                <w:color w:val="000000" w:themeColor="text1"/>
                <w:sz w:val="22"/>
                <w:szCs w:val="22"/>
                <w:lang w:eastAsia="zh-CN"/>
                <w14:textFill>
                  <w14:solidFill>
                    <w14:schemeClr w14:val="tx1"/>
                  </w14:solidFill>
                </w14:textFill>
              </w:rPr>
              <w:t>、</w:t>
            </w:r>
            <w:r>
              <w:rPr>
                <w:rFonts w:hint="eastAsia" w:ascii="宋体" w:eastAsia="宋体" w:hAnsiTheme="minorEastAsia" w:cstheme="minorEastAsia"/>
                <w:color w:val="000000" w:themeColor="text1"/>
                <w:sz w:val="22"/>
                <w:szCs w:val="22"/>
                <w14:textFill>
                  <w14:solidFill>
                    <w14:schemeClr w14:val="tx1"/>
                  </w14:solidFill>
                </w14:textFill>
              </w:rPr>
              <w:t>③</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安全步骤”三项内容</w:t>
            </w:r>
            <w:r>
              <w:rPr>
                <w:rFonts w:hint="eastAsia" w:ascii="宋体" w:eastAsia="宋体" w:hAnsiTheme="minorEastAsia" w:cstheme="minorEastAsia"/>
                <w:color w:val="000000" w:themeColor="text1"/>
                <w:sz w:val="22"/>
                <w:szCs w:val="22"/>
                <w14:textFill>
                  <w14:solidFill>
                    <w14:schemeClr w14:val="tx1"/>
                  </w14:solidFill>
                </w14:textFill>
              </w:rPr>
              <w:t>。完全满足招标文件要求</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的计12</w:t>
            </w:r>
            <w:r>
              <w:rPr>
                <w:rFonts w:hint="eastAsia" w:ascii="宋体" w:eastAsia="宋体" w:hAnsiTheme="minorEastAsia" w:cstheme="minorEastAsia"/>
                <w:color w:val="000000" w:themeColor="text1"/>
                <w:sz w:val="22"/>
                <w:szCs w:val="22"/>
                <w14:textFill>
                  <w14:solidFill>
                    <w14:schemeClr w14:val="tx1"/>
                  </w14:solidFill>
                </w14:textFill>
              </w:rPr>
              <w:t>分。方案中每有一项内容要素存在遗漏或描述不完整或仅有大纲标题无正文内容的扣</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4</w:t>
            </w:r>
            <w:r>
              <w:rPr>
                <w:rFonts w:hint="eastAsia" w:ascii="宋体" w:eastAsia="宋体" w:hAnsiTheme="minorEastAsia" w:cstheme="minorEastAsia"/>
                <w:color w:val="000000" w:themeColor="text1"/>
                <w:sz w:val="22"/>
                <w:szCs w:val="22"/>
                <w14:textFill>
                  <w14:solidFill>
                    <w14:schemeClr w14:val="tx1"/>
                  </w14:solidFill>
                </w14:textFill>
              </w:rPr>
              <w:t>分，方案内容要素中每存在一处内容不足或缺陷的扣</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1</w:t>
            </w:r>
            <w:r>
              <w:rPr>
                <w:rFonts w:hint="eastAsia" w:ascii="宋体" w:eastAsia="宋体" w:hAnsiTheme="minorEastAsia" w:cstheme="minorEastAsia"/>
                <w:color w:val="000000" w:themeColor="text1"/>
                <w:sz w:val="22"/>
                <w:szCs w:val="22"/>
                <w14:textFill>
                  <w14:solidFill>
                    <w14:schemeClr w14:val="tx1"/>
                  </w14:solidFill>
                </w14:textFill>
              </w:rPr>
              <w:t>分，单项内容要素扣减分值不超过</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4</w:t>
            </w:r>
            <w:r>
              <w:rPr>
                <w:rFonts w:hint="eastAsia" w:ascii="宋体" w:eastAsia="宋体" w:hAnsiTheme="minorEastAsia" w:cstheme="minorEastAsia"/>
                <w:color w:val="000000" w:themeColor="text1"/>
                <w:sz w:val="22"/>
                <w:szCs w:val="22"/>
                <w14:textFill>
                  <w14:solidFill>
                    <w14:schemeClr w14:val="tx1"/>
                  </w14:solidFill>
                </w14:textFill>
              </w:rPr>
              <w:t>分。扣完为止。</w:t>
            </w:r>
          </w:p>
          <w:p w14:paraId="13542CA3">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lang w:val="en-US" w:eastAsia="zh-CN"/>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内容不足或缺陷是指存在不适用项目实际情况的情形、凭空编造、方案中内容前后不一致、前后逻辑错误、与招标文件要求不符或无关等情况</w:t>
            </w:r>
          </w:p>
        </w:tc>
      </w:tr>
      <w:tr w14:paraId="630B7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39" w:type="dxa"/>
            <w:left w:w="106" w:type="dxa"/>
            <w:bottom w:w="0" w:type="dxa"/>
            <w:right w:w="0" w:type="dxa"/>
          </w:tblCellMar>
        </w:tblPrEx>
        <w:trPr>
          <w:trHeight w:val="0" w:hRule="atLeast"/>
          <w:jc w:val="center"/>
        </w:trPr>
        <w:tc>
          <w:tcPr>
            <w:tcW w:w="1101" w:type="dxa"/>
            <w:vMerge w:val="continue"/>
            <w:tcBorders>
              <w:tl2br w:val="nil"/>
              <w:tr2bl w:val="nil"/>
            </w:tcBorders>
            <w:vAlign w:val="center"/>
          </w:tcPr>
          <w:p w14:paraId="4540BEE2">
            <w:pPr>
              <w:snapToGrid w:val="0"/>
              <w:spacing w:line="240" w:lineRule="auto"/>
              <w:ind w:left="0" w:leftChars="0" w:right="0" w:rightChars="0" w:firstLine="0" w:firstLineChars="0"/>
              <w:jc w:val="center"/>
              <w:rPr>
                <w:rFonts w:hint="eastAsia" w:ascii="宋体" w:eastAsia="宋体" w:hAnsiTheme="minorEastAsia" w:cstheme="minorEastAsia"/>
                <w:color w:val="000000" w:themeColor="text1"/>
                <w:sz w:val="22"/>
                <w:szCs w:val="22"/>
                <w:lang w:val="ru-RU" w:eastAsia="ru-RU"/>
                <w14:textFill>
                  <w14:solidFill>
                    <w14:schemeClr w14:val="tx1"/>
                  </w14:solidFill>
                </w14:textFill>
              </w:rPr>
            </w:pPr>
          </w:p>
        </w:tc>
        <w:tc>
          <w:tcPr>
            <w:tcW w:w="642" w:type="dxa"/>
            <w:tcBorders>
              <w:tl2br w:val="nil"/>
              <w:tr2bl w:val="nil"/>
            </w:tcBorders>
            <w:shd w:val="clear" w:color="auto" w:fill="auto"/>
            <w:vAlign w:val="center"/>
          </w:tcPr>
          <w:p w14:paraId="51F1B3E3">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lang w:val="en-US" w:eastAsia="zh-CN"/>
                <w14:textFill>
                  <w14:solidFill>
                    <w14:schemeClr w14:val="tx1"/>
                  </w14:solidFill>
                </w14:textFill>
              </w:rPr>
            </w:pPr>
            <w:r>
              <w:rPr>
                <w:rFonts w:hint="eastAsia" w:ascii="宋体" w:eastAsia="宋体" w:hAnsiTheme="minorEastAsia" w:cstheme="minorEastAsia"/>
                <w:color w:val="000000" w:themeColor="text1"/>
                <w:sz w:val="22"/>
                <w:szCs w:val="22"/>
                <w:lang w:val="en-US" w:eastAsia="zh-CN"/>
                <w14:textFill>
                  <w14:solidFill>
                    <w14:schemeClr w14:val="tx1"/>
                  </w14:solidFill>
                </w14:textFill>
              </w:rPr>
              <w:t>项目风险管理方案</w:t>
            </w:r>
          </w:p>
        </w:tc>
        <w:tc>
          <w:tcPr>
            <w:tcW w:w="636" w:type="dxa"/>
            <w:tcBorders>
              <w:right w:val="single" w:color="auto" w:sz="4" w:space="0"/>
              <w:tl2br w:val="nil"/>
              <w:tr2bl w:val="nil"/>
            </w:tcBorders>
            <w:shd w:val="clear" w:color="auto" w:fill="auto"/>
            <w:vAlign w:val="center"/>
          </w:tcPr>
          <w:p w14:paraId="696F9088">
            <w:pPr>
              <w:spacing w:line="240" w:lineRule="auto"/>
              <w:ind w:right="88" w:rightChars="42"/>
              <w:jc w:val="center"/>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z w:val="22"/>
                <w:szCs w:val="22"/>
                <w:lang w:val="en-US" w:eastAsia="zh-CN"/>
              </w:rPr>
              <w:t>10分</w:t>
            </w:r>
          </w:p>
        </w:tc>
        <w:tc>
          <w:tcPr>
            <w:tcW w:w="7307" w:type="dxa"/>
            <w:tcBorders>
              <w:left w:val="single" w:color="auto" w:sz="4" w:space="0"/>
              <w:tl2br w:val="nil"/>
              <w:tr2bl w:val="nil"/>
            </w:tcBorders>
            <w:shd w:val="clear" w:color="auto" w:fill="auto"/>
            <w:vAlign w:val="center"/>
          </w:tcPr>
          <w:p w14:paraId="376DAB72">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投标人提供</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的项目风险管理方案</w:t>
            </w:r>
            <w:r>
              <w:rPr>
                <w:rFonts w:hint="eastAsia" w:ascii="宋体" w:eastAsia="宋体" w:hAnsiTheme="minorEastAsia" w:cstheme="minorEastAsia"/>
                <w:color w:val="000000" w:themeColor="text1"/>
                <w:sz w:val="22"/>
                <w:szCs w:val="22"/>
                <w14:textFill>
                  <w14:solidFill>
                    <w14:schemeClr w14:val="tx1"/>
                  </w14:solidFill>
                </w14:textFill>
              </w:rPr>
              <w:t>包含</w:t>
            </w:r>
            <w:r>
              <w:rPr>
                <w:rFonts w:hint="eastAsia" w:ascii="宋体" w:eastAsia="宋体" w:hAnsiTheme="minorEastAsia" w:cstheme="minorEastAsia"/>
                <w:color w:val="000000" w:themeColor="text1"/>
                <w:sz w:val="22"/>
                <w:szCs w:val="22"/>
                <w:lang w:eastAsia="zh-CN"/>
                <w14:textFill>
                  <w14:solidFill>
                    <w14:schemeClr w14:val="tx1"/>
                  </w14:solidFill>
                </w14:textFill>
              </w:rPr>
              <w:t>“</w:t>
            </w:r>
            <w:r>
              <w:rPr>
                <w:rFonts w:hint="eastAsia" w:ascii="宋体" w:eastAsia="宋体" w:hAnsiTheme="minorEastAsia" w:cstheme="minorEastAsia"/>
                <w:color w:val="000000" w:themeColor="text1"/>
                <w:sz w:val="22"/>
                <w:szCs w:val="22"/>
                <w14:textFill>
                  <w14:solidFill>
                    <w14:schemeClr w14:val="tx1"/>
                  </w14:solidFill>
                </w14:textFill>
              </w:rPr>
              <w:t>①风险识别与分析</w:t>
            </w:r>
            <w:r>
              <w:rPr>
                <w:rFonts w:hint="eastAsia" w:ascii="宋体" w:eastAsia="宋体" w:hAnsiTheme="minorEastAsia" w:cstheme="minorEastAsia"/>
                <w:color w:val="000000" w:themeColor="text1"/>
                <w:sz w:val="22"/>
                <w:szCs w:val="22"/>
                <w:lang w:eastAsia="zh-CN"/>
                <w14:textFill>
                  <w14:solidFill>
                    <w14:schemeClr w14:val="tx1"/>
                  </w14:solidFill>
                </w14:textFill>
              </w:rPr>
              <w:t>；</w:t>
            </w:r>
            <w:r>
              <w:rPr>
                <w:rFonts w:hint="eastAsia" w:ascii="宋体" w:eastAsia="宋体" w:hAnsiTheme="minorEastAsia" w:cstheme="minorEastAsia"/>
                <w:color w:val="000000" w:themeColor="text1"/>
                <w:sz w:val="22"/>
                <w:szCs w:val="22"/>
                <w14:textFill>
                  <w14:solidFill>
                    <w14:schemeClr w14:val="tx1"/>
                  </w14:solidFill>
                </w14:textFill>
              </w:rPr>
              <w:t>②风险防范对策</w:t>
            </w:r>
            <w:r>
              <w:rPr>
                <w:rFonts w:hint="eastAsia" w:ascii="宋体" w:eastAsia="宋体" w:hAnsiTheme="minorEastAsia" w:cstheme="minorEastAsia"/>
                <w:color w:val="000000" w:themeColor="text1"/>
                <w:sz w:val="22"/>
                <w:szCs w:val="22"/>
                <w:lang w:eastAsia="zh-CN"/>
                <w14:textFill>
                  <w14:solidFill>
                    <w14:schemeClr w14:val="tx1"/>
                  </w14:solidFill>
                </w14:textFill>
              </w:rPr>
              <w:t>”</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两项内容。内容</w:t>
            </w:r>
            <w:r>
              <w:rPr>
                <w:rFonts w:hint="eastAsia" w:ascii="宋体" w:eastAsia="宋体" w:hAnsiTheme="minorEastAsia" w:cstheme="minorEastAsia"/>
                <w:color w:val="000000" w:themeColor="text1"/>
                <w:sz w:val="22"/>
                <w:szCs w:val="22"/>
                <w14:textFill>
                  <w14:solidFill>
                    <w14:schemeClr w14:val="tx1"/>
                  </w14:solidFill>
                </w14:textFill>
              </w:rPr>
              <w:t>完全满足招标文件要求</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的计10</w:t>
            </w:r>
            <w:r>
              <w:rPr>
                <w:rFonts w:hint="eastAsia" w:ascii="宋体" w:eastAsia="宋体" w:hAnsiTheme="minorEastAsia" w:cstheme="minorEastAsia"/>
                <w:color w:val="000000" w:themeColor="text1"/>
                <w:sz w:val="22"/>
                <w:szCs w:val="22"/>
                <w14:textFill>
                  <w14:solidFill>
                    <w14:schemeClr w14:val="tx1"/>
                  </w14:solidFill>
                </w14:textFill>
              </w:rPr>
              <w:t>分。方案中每有一项内容要素存在遗漏或描述不完整或仅有大纲标题无正文内容的扣</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5</w:t>
            </w:r>
            <w:r>
              <w:rPr>
                <w:rFonts w:hint="eastAsia" w:ascii="宋体" w:eastAsia="宋体" w:hAnsiTheme="minorEastAsia" w:cstheme="minorEastAsia"/>
                <w:color w:val="000000" w:themeColor="text1"/>
                <w:sz w:val="22"/>
                <w:szCs w:val="22"/>
                <w14:textFill>
                  <w14:solidFill>
                    <w14:schemeClr w14:val="tx1"/>
                  </w14:solidFill>
                </w14:textFill>
              </w:rPr>
              <w:t>分，方案内容要素中每存在一处内容不足或缺陷的扣</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1</w:t>
            </w:r>
            <w:r>
              <w:rPr>
                <w:rFonts w:hint="eastAsia" w:ascii="宋体" w:eastAsia="宋体" w:hAnsiTheme="minorEastAsia" w:cstheme="minorEastAsia"/>
                <w:color w:val="000000" w:themeColor="text1"/>
                <w:sz w:val="22"/>
                <w:szCs w:val="22"/>
                <w14:textFill>
                  <w14:solidFill>
                    <w14:schemeClr w14:val="tx1"/>
                  </w14:solidFill>
                </w14:textFill>
              </w:rPr>
              <w:t>分，单项内容要素扣减分值不超过</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5</w:t>
            </w:r>
            <w:r>
              <w:rPr>
                <w:rFonts w:hint="eastAsia" w:ascii="宋体" w:eastAsia="宋体" w:hAnsiTheme="minorEastAsia" w:cstheme="minorEastAsia"/>
                <w:color w:val="000000" w:themeColor="text1"/>
                <w:sz w:val="22"/>
                <w:szCs w:val="22"/>
                <w14:textFill>
                  <w14:solidFill>
                    <w14:schemeClr w14:val="tx1"/>
                  </w14:solidFill>
                </w14:textFill>
              </w:rPr>
              <w:t>分。扣完为止。</w:t>
            </w:r>
          </w:p>
          <w:p w14:paraId="7FE918E6">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lang w:val="en-US" w:eastAsia="zh-CN"/>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内容不足或缺陷是指存在不适用项目实际情况的情形、凭空编造、方案中内容前后不一致、前后逻辑错误、与招标文件</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项目风险管理</w:t>
            </w:r>
            <w:r>
              <w:rPr>
                <w:rFonts w:hint="eastAsia" w:ascii="宋体" w:eastAsia="宋体" w:hAnsiTheme="minorEastAsia" w:cstheme="minorEastAsia"/>
                <w:color w:val="000000" w:themeColor="text1"/>
                <w:sz w:val="22"/>
                <w:szCs w:val="22"/>
                <w14:textFill>
                  <w14:solidFill>
                    <w14:schemeClr w14:val="tx1"/>
                  </w14:solidFill>
                </w14:textFill>
              </w:rPr>
              <w:t>要求不符或无关等情况。</w:t>
            </w:r>
          </w:p>
        </w:tc>
      </w:tr>
      <w:tr w14:paraId="25364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8" w:type="dxa"/>
            <w:left w:w="106" w:type="dxa"/>
            <w:bottom w:w="0" w:type="dxa"/>
            <w:right w:w="0" w:type="dxa"/>
          </w:tblCellMar>
        </w:tblPrEx>
        <w:trPr>
          <w:trHeight w:val="0" w:hRule="atLeast"/>
          <w:jc w:val="center"/>
        </w:trPr>
        <w:tc>
          <w:tcPr>
            <w:tcW w:w="1101" w:type="dxa"/>
            <w:vMerge w:val="restart"/>
            <w:tcBorders>
              <w:tl2br w:val="nil"/>
              <w:tr2bl w:val="nil"/>
            </w:tcBorders>
            <w:vAlign w:val="center"/>
          </w:tcPr>
          <w:p w14:paraId="7A747567">
            <w:pPr>
              <w:spacing w:line="281" w:lineRule="auto"/>
              <w:ind w:right="88" w:rightChars="42"/>
              <w:jc w:val="center"/>
              <w:rPr>
                <w:rFonts w:hint="eastAsia" w:asciiTheme="minorEastAsia" w:hAnsiTheme="minorEastAsia" w:eastAsiaTheme="minorEastAsia" w:cstheme="minorEastAsia"/>
                <w:color w:val="000000" w:themeColor="text1"/>
                <w:sz w:val="22"/>
                <w:szCs w:val="22"/>
                <w14:textFill>
                  <w14:solidFill>
                    <w14:schemeClr w14:val="tx1"/>
                  </w14:solidFill>
                </w14:textFill>
              </w:rPr>
            </w:pPr>
            <w:r>
              <w:rPr>
                <w:rFonts w:hint="eastAsia" w:asciiTheme="minorEastAsia" w:hAnsiTheme="minorEastAsia" w:eastAsiaTheme="minorEastAsia" w:cstheme="minorEastAsia"/>
                <w:color w:val="000000" w:themeColor="text1"/>
                <w:sz w:val="22"/>
                <w:szCs w:val="22"/>
                <w14:textFill>
                  <w14:solidFill>
                    <w14:schemeClr w14:val="tx1"/>
                  </w14:solidFill>
                </w14:textFill>
              </w:rPr>
              <w:t>商务部分</w:t>
            </w:r>
          </w:p>
          <w:p w14:paraId="379AA460">
            <w:pPr>
              <w:snapToGrid w:val="0"/>
              <w:spacing w:line="240" w:lineRule="auto"/>
              <w:ind w:left="0" w:leftChars="0" w:right="0" w:rightChars="0" w:firstLine="0" w:firstLineChars="0"/>
              <w:jc w:val="center"/>
              <w:rPr>
                <w:rFonts w:hint="eastAsia" w:ascii="宋体" w:eastAsia="宋体" w:hAnsiTheme="minorEastAsia" w:cstheme="minorEastAsia"/>
                <w:sz w:val="22"/>
                <w:szCs w:val="22"/>
              </w:rPr>
            </w:pPr>
            <w:r>
              <w:rPr>
                <w:rFonts w:hint="eastAsia" w:ascii="宋体" w:eastAsia="宋体" w:hAnsiTheme="minorEastAsia" w:cstheme="minorEastAsia"/>
                <w:sz w:val="22"/>
                <w:szCs w:val="22"/>
              </w:rPr>
              <w:t>（A</w:t>
            </w:r>
            <w:r>
              <w:rPr>
                <w:rFonts w:hint="eastAsia" w:ascii="宋体" w:eastAsia="宋体" w:hAnsiTheme="minorEastAsia" w:cstheme="minorEastAsia"/>
                <w:bCs/>
                <w:sz w:val="22"/>
                <w:vertAlign w:val="subscript"/>
              </w:rPr>
              <w:t>3</w:t>
            </w:r>
            <w:r>
              <w:rPr>
                <w:rFonts w:hint="eastAsia" w:ascii="宋体" w:eastAsia="宋体" w:hAnsiTheme="minorEastAsia" w:cstheme="minorEastAsia"/>
                <w:bCs/>
                <w:sz w:val="22"/>
                <w:vertAlign w:val="subscript"/>
                <w:lang w:eastAsia="zh-CN"/>
              </w:rPr>
              <w:t>:</w:t>
            </w:r>
            <w:r>
              <w:rPr>
                <w:rFonts w:hint="eastAsia" w:ascii="宋体" w:eastAsia="宋体" w:hAnsiTheme="minorEastAsia" w:cstheme="minorEastAsia"/>
                <w:sz w:val="22"/>
                <w:szCs w:val="22"/>
                <w:lang w:val="en-US" w:eastAsia="zh-CN"/>
              </w:rPr>
              <w:t>20</w:t>
            </w:r>
            <w:r>
              <w:rPr>
                <w:rFonts w:hint="eastAsia" w:ascii="宋体" w:eastAsia="宋体" w:hAnsiTheme="minorEastAsia" w:cstheme="minorEastAsia"/>
                <w:sz w:val="22"/>
                <w:szCs w:val="22"/>
              </w:rPr>
              <w:t>%）</w:t>
            </w:r>
          </w:p>
          <w:p w14:paraId="05DC24CF">
            <w:pPr>
              <w:spacing w:line="281" w:lineRule="auto"/>
              <w:ind w:right="88" w:rightChars="42"/>
              <w:jc w:val="center"/>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Theme="minorEastAsia" w:hAnsiTheme="minorEastAsia" w:eastAsiaTheme="minorEastAsia" w:cstheme="minorEastAsia"/>
                <w:color w:val="000000" w:themeColor="text1"/>
                <w:sz w:val="22"/>
                <w:szCs w:val="22"/>
                <w:lang w:val="ru-RU" w:eastAsia="ru-RU"/>
                <w14:textFill>
                  <w14:solidFill>
                    <w14:schemeClr w14:val="tx1"/>
                  </w14:solidFill>
                </w14:textFill>
              </w:rPr>
              <w:t>F</w:t>
            </w:r>
            <w:r>
              <w:rPr>
                <w:rFonts w:hint="eastAsia" w:ascii="宋体" w:eastAsia="宋体" w:hAnsiTheme="minorEastAsia" w:cstheme="minorEastAsia"/>
                <w:bCs/>
                <w:sz w:val="22"/>
                <w:vertAlign w:val="subscript"/>
              </w:rPr>
              <w:t>3</w:t>
            </w:r>
            <w:r>
              <w:rPr>
                <w:rFonts w:hint="eastAsia" w:asciiTheme="minorEastAsia" w:hAnsiTheme="minorEastAsia" w:eastAsiaTheme="minorEastAsia" w:cstheme="minorEastAsia"/>
                <w:color w:val="000000" w:themeColor="text1"/>
                <w:sz w:val="22"/>
                <w:szCs w:val="22"/>
                <w14:textFill>
                  <w14:solidFill>
                    <w14:schemeClr w14:val="tx1"/>
                  </w14:solidFill>
                </w14:textFill>
              </w:rPr>
              <w:t>=100分</w:t>
            </w:r>
          </w:p>
        </w:tc>
        <w:tc>
          <w:tcPr>
            <w:tcW w:w="642" w:type="dxa"/>
            <w:tcBorders>
              <w:tl2br w:val="nil"/>
              <w:tr2bl w:val="nil"/>
            </w:tcBorders>
            <w:vAlign w:val="center"/>
          </w:tcPr>
          <w:p w14:paraId="07843F23">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lang w:val="en-US" w:eastAsia="zh-CN"/>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售后服务方案</w:t>
            </w:r>
          </w:p>
        </w:tc>
        <w:tc>
          <w:tcPr>
            <w:tcW w:w="636" w:type="dxa"/>
            <w:tcBorders>
              <w:tl2br w:val="nil"/>
              <w:tr2bl w:val="nil"/>
            </w:tcBorders>
            <w:vAlign w:val="center"/>
          </w:tcPr>
          <w:p w14:paraId="04A0952B">
            <w:pPr>
              <w:spacing w:line="240" w:lineRule="auto"/>
              <w:ind w:right="88" w:rightChars="42"/>
              <w:jc w:val="center"/>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z w:val="22"/>
                <w:szCs w:val="22"/>
                <w:lang w:val="en-US" w:eastAsia="zh-CN"/>
              </w:rPr>
              <w:t>40分</w:t>
            </w:r>
          </w:p>
        </w:tc>
        <w:tc>
          <w:tcPr>
            <w:tcW w:w="7307" w:type="dxa"/>
            <w:tcBorders>
              <w:tl2br w:val="nil"/>
              <w:tr2bl w:val="nil"/>
            </w:tcBorders>
            <w:vAlign w:val="center"/>
          </w:tcPr>
          <w:p w14:paraId="1E180456">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投标人提供</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的</w:t>
            </w:r>
            <w:r>
              <w:rPr>
                <w:rFonts w:hint="eastAsia" w:ascii="宋体" w:eastAsia="宋体" w:hAnsiTheme="minorEastAsia" w:cstheme="minorEastAsia"/>
                <w:color w:val="000000" w:themeColor="text1"/>
                <w:sz w:val="22"/>
                <w:szCs w:val="22"/>
                <w14:textFill>
                  <w14:solidFill>
                    <w14:schemeClr w14:val="tx1"/>
                  </w14:solidFill>
                </w14:textFill>
              </w:rPr>
              <w:t>售后服务方案包含</w:t>
            </w:r>
            <w:r>
              <w:rPr>
                <w:rFonts w:hint="eastAsia" w:ascii="宋体" w:eastAsia="宋体" w:hAnsiTheme="minorEastAsia" w:cstheme="minorEastAsia"/>
                <w:color w:val="000000" w:themeColor="text1"/>
                <w:sz w:val="22"/>
                <w:szCs w:val="22"/>
                <w:lang w:eastAsia="zh-CN"/>
                <w14:textFill>
                  <w14:solidFill>
                    <w14:schemeClr w14:val="tx1"/>
                  </w14:solidFill>
                </w14:textFill>
              </w:rPr>
              <w:t>“</w:t>
            </w:r>
            <w:r>
              <w:rPr>
                <w:rFonts w:hint="eastAsia" w:ascii="宋体" w:eastAsia="宋体" w:hAnsiTheme="minorEastAsia" w:cstheme="minorEastAsia"/>
                <w:color w:val="000000" w:themeColor="text1"/>
                <w:sz w:val="22"/>
                <w:szCs w:val="22"/>
                <w14:textFill>
                  <w14:solidFill>
                    <w14:schemeClr w14:val="tx1"/>
                  </w14:solidFill>
                </w14:textFill>
              </w:rPr>
              <w:t>①售后服务体系</w:t>
            </w:r>
            <w:r>
              <w:rPr>
                <w:rFonts w:hint="eastAsia" w:ascii="宋体" w:eastAsia="宋体" w:hAnsiTheme="minorEastAsia" w:cstheme="minorEastAsia"/>
                <w:color w:val="000000" w:themeColor="text1"/>
                <w:sz w:val="22"/>
                <w:szCs w:val="22"/>
                <w:lang w:eastAsia="zh-CN"/>
                <w14:textFill>
                  <w14:solidFill>
                    <w14:schemeClr w14:val="tx1"/>
                  </w14:solidFill>
                </w14:textFill>
              </w:rPr>
              <w:t>、</w:t>
            </w:r>
            <w:r>
              <w:rPr>
                <w:rFonts w:hint="eastAsia" w:ascii="宋体" w:eastAsia="宋体" w:hAnsiTheme="minorEastAsia" w:cstheme="minorEastAsia"/>
                <w:color w:val="000000" w:themeColor="text1"/>
                <w:sz w:val="22"/>
                <w:szCs w:val="22"/>
                <w14:textFill>
                  <w14:solidFill>
                    <w14:schemeClr w14:val="tx1"/>
                  </w14:solidFill>
                </w14:textFill>
              </w:rPr>
              <w:t>②服务人员配备</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及</w:t>
            </w:r>
            <w:r>
              <w:rPr>
                <w:rFonts w:hint="eastAsia" w:ascii="宋体" w:eastAsia="宋体" w:hAnsiTheme="minorEastAsia" w:cstheme="minorEastAsia"/>
                <w:color w:val="000000" w:themeColor="text1"/>
                <w:sz w:val="22"/>
                <w:szCs w:val="22"/>
                <w14:textFill>
                  <w14:solidFill>
                    <w14:schemeClr w14:val="tx1"/>
                  </w14:solidFill>
                </w14:textFill>
              </w:rPr>
              <w:t>分工</w:t>
            </w:r>
            <w:r>
              <w:rPr>
                <w:rFonts w:hint="eastAsia" w:ascii="宋体" w:eastAsia="宋体" w:hAnsiTheme="minorEastAsia" w:cstheme="minorEastAsia"/>
                <w:color w:val="000000" w:themeColor="text1"/>
                <w:sz w:val="22"/>
                <w:szCs w:val="22"/>
                <w:lang w:eastAsia="zh-CN"/>
                <w14:textFill>
                  <w14:solidFill>
                    <w14:schemeClr w14:val="tx1"/>
                  </w14:solidFill>
                </w14:textFill>
              </w:rPr>
              <w:t>、</w:t>
            </w:r>
            <w:r>
              <w:rPr>
                <w:rFonts w:hint="eastAsia" w:ascii="宋体" w:eastAsia="宋体" w:hAnsiTheme="minorEastAsia" w:cstheme="minorEastAsia"/>
                <w:color w:val="000000" w:themeColor="text1"/>
                <w:sz w:val="22"/>
                <w:szCs w:val="22"/>
                <w14:textFill>
                  <w14:solidFill>
                    <w14:schemeClr w14:val="tx1"/>
                  </w14:solidFill>
                </w14:textFill>
              </w:rPr>
              <w:t>③响应时间</w:t>
            </w:r>
            <w:r>
              <w:rPr>
                <w:rFonts w:hint="eastAsia" w:ascii="宋体" w:eastAsia="宋体" w:hAnsiTheme="minorEastAsia" w:cstheme="minorEastAsia"/>
                <w:color w:val="000000" w:themeColor="text1"/>
                <w:sz w:val="22"/>
                <w:szCs w:val="22"/>
                <w:lang w:eastAsia="zh-CN"/>
                <w14:textFill>
                  <w14:solidFill>
                    <w14:schemeClr w14:val="tx1"/>
                  </w14:solidFill>
                </w14:textFill>
              </w:rPr>
              <w:t>、</w:t>
            </w:r>
            <w:r>
              <w:rPr>
                <w:rFonts w:hint="eastAsia" w:ascii="宋体" w:eastAsia="宋体" w:hAnsiTheme="minorEastAsia" w:cstheme="minorEastAsia"/>
                <w:color w:val="000000" w:themeColor="text1"/>
                <w:sz w:val="22"/>
                <w:szCs w:val="22"/>
                <w14:textFill>
                  <w14:solidFill>
                    <w14:schemeClr w14:val="tx1"/>
                  </w14:solidFill>
                </w14:textFill>
              </w:rPr>
              <w:t>④售后服务措施</w:t>
            </w:r>
            <w:r>
              <w:rPr>
                <w:rFonts w:hint="eastAsia" w:ascii="宋体" w:eastAsia="宋体" w:hAnsiTheme="minorEastAsia" w:cstheme="minorEastAsia"/>
                <w:color w:val="000000" w:themeColor="text1"/>
                <w:sz w:val="22"/>
                <w:szCs w:val="22"/>
                <w:lang w:eastAsia="zh-CN"/>
                <w14:textFill>
                  <w14:solidFill>
                    <w14:schemeClr w14:val="tx1"/>
                  </w14:solidFill>
                </w14:textFill>
              </w:rPr>
              <w:t>”</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四项内容</w:t>
            </w:r>
            <w:r>
              <w:rPr>
                <w:rFonts w:hint="eastAsia" w:ascii="宋体" w:eastAsia="宋体" w:hAnsiTheme="minorEastAsia" w:cstheme="minorEastAsia"/>
                <w:color w:val="000000" w:themeColor="text1"/>
                <w:sz w:val="22"/>
                <w:szCs w:val="22"/>
                <w14:textFill>
                  <w14:solidFill>
                    <w14:schemeClr w14:val="tx1"/>
                  </w14:solidFill>
                </w14:textFill>
              </w:rPr>
              <w:t>。</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内容</w:t>
            </w:r>
            <w:r>
              <w:rPr>
                <w:rFonts w:hint="eastAsia" w:ascii="宋体" w:eastAsia="宋体" w:hAnsiTheme="minorEastAsia" w:cstheme="minorEastAsia"/>
                <w:color w:val="000000" w:themeColor="text1"/>
                <w:sz w:val="22"/>
                <w:szCs w:val="22"/>
                <w14:textFill>
                  <w14:solidFill>
                    <w14:schemeClr w14:val="tx1"/>
                  </w14:solidFill>
                </w14:textFill>
              </w:rPr>
              <w:t>完全满足招标文件要求</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的计40</w:t>
            </w:r>
            <w:r>
              <w:rPr>
                <w:rFonts w:hint="eastAsia" w:ascii="宋体" w:eastAsia="宋体" w:hAnsiTheme="minorEastAsia" w:cstheme="minorEastAsia"/>
                <w:color w:val="000000" w:themeColor="text1"/>
                <w:sz w:val="22"/>
                <w:szCs w:val="22"/>
                <w14:textFill>
                  <w14:solidFill>
                    <w14:schemeClr w14:val="tx1"/>
                  </w14:solidFill>
                </w14:textFill>
              </w:rPr>
              <w:t>分。方案中每有一项内容要素存在遗漏或描述不完整或仅有大纲标题无正文内容的扣</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10</w:t>
            </w:r>
            <w:r>
              <w:rPr>
                <w:rFonts w:hint="eastAsia" w:ascii="宋体" w:eastAsia="宋体" w:hAnsiTheme="minorEastAsia" w:cstheme="minorEastAsia"/>
                <w:color w:val="000000" w:themeColor="text1"/>
                <w:sz w:val="22"/>
                <w:szCs w:val="22"/>
                <w14:textFill>
                  <w14:solidFill>
                    <w14:schemeClr w14:val="tx1"/>
                  </w14:solidFill>
                </w14:textFill>
              </w:rPr>
              <w:t>分，方案内容要素中每存在一处内容不足或缺陷的扣</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2</w:t>
            </w:r>
            <w:r>
              <w:rPr>
                <w:rFonts w:hint="eastAsia" w:ascii="宋体" w:eastAsia="宋体" w:hAnsiTheme="minorEastAsia" w:cstheme="minorEastAsia"/>
                <w:color w:val="000000" w:themeColor="text1"/>
                <w:sz w:val="22"/>
                <w:szCs w:val="22"/>
                <w14:textFill>
                  <w14:solidFill>
                    <w14:schemeClr w14:val="tx1"/>
                  </w14:solidFill>
                </w14:textFill>
              </w:rPr>
              <w:t>分，单项内容要素扣减分值不超过</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10</w:t>
            </w:r>
            <w:r>
              <w:rPr>
                <w:rFonts w:hint="eastAsia" w:ascii="宋体" w:eastAsia="宋体" w:hAnsiTheme="minorEastAsia" w:cstheme="minorEastAsia"/>
                <w:color w:val="000000" w:themeColor="text1"/>
                <w:sz w:val="22"/>
                <w:szCs w:val="22"/>
                <w14:textFill>
                  <w14:solidFill>
                    <w14:schemeClr w14:val="tx1"/>
                  </w14:solidFill>
                </w14:textFill>
              </w:rPr>
              <w:t>分。扣完为止。</w:t>
            </w:r>
          </w:p>
          <w:p w14:paraId="08019F5A">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内容不足或缺陷是指存在不适用项目实际情况的情形、凭空编造、方案中内容前后不一致、前后逻辑错误、与招标文件售后</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服务</w:t>
            </w:r>
            <w:r>
              <w:rPr>
                <w:rFonts w:hint="eastAsia" w:ascii="宋体" w:eastAsia="宋体" w:hAnsiTheme="minorEastAsia" w:cstheme="minorEastAsia"/>
                <w:color w:val="000000" w:themeColor="text1"/>
                <w:sz w:val="22"/>
                <w:szCs w:val="22"/>
                <w14:textFill>
                  <w14:solidFill>
                    <w14:schemeClr w14:val="tx1"/>
                  </w14:solidFill>
                </w14:textFill>
              </w:rPr>
              <w:t>要求不符或无关等情况。</w:t>
            </w:r>
          </w:p>
        </w:tc>
      </w:tr>
      <w:tr w14:paraId="75D70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8" w:type="dxa"/>
            <w:left w:w="106" w:type="dxa"/>
            <w:bottom w:w="0" w:type="dxa"/>
            <w:right w:w="0" w:type="dxa"/>
          </w:tblCellMar>
        </w:tblPrEx>
        <w:trPr>
          <w:trHeight w:val="0" w:hRule="atLeast"/>
          <w:jc w:val="center"/>
        </w:trPr>
        <w:tc>
          <w:tcPr>
            <w:tcW w:w="1101" w:type="dxa"/>
            <w:vMerge w:val="continue"/>
            <w:tcBorders>
              <w:tl2br w:val="nil"/>
              <w:tr2bl w:val="nil"/>
            </w:tcBorders>
            <w:vAlign w:val="center"/>
          </w:tcPr>
          <w:p w14:paraId="1AAF4969">
            <w:pPr>
              <w:snapToGrid w:val="0"/>
              <w:spacing w:line="240" w:lineRule="auto"/>
              <w:ind w:left="0" w:leftChars="0" w:right="0" w:rightChars="0" w:firstLine="0" w:firstLineChars="0"/>
              <w:jc w:val="center"/>
              <w:rPr>
                <w:rFonts w:hint="eastAsia" w:ascii="宋体" w:eastAsia="宋体" w:hAnsiTheme="minorEastAsia" w:cstheme="minorEastAsia"/>
                <w:color w:val="000000" w:themeColor="text1"/>
                <w:sz w:val="22"/>
                <w:szCs w:val="22"/>
                <w:lang w:val="ru-RU" w:eastAsia="ru-RU"/>
                <w14:textFill>
                  <w14:solidFill>
                    <w14:schemeClr w14:val="tx1"/>
                  </w14:solidFill>
                </w14:textFill>
              </w:rPr>
            </w:pPr>
          </w:p>
        </w:tc>
        <w:tc>
          <w:tcPr>
            <w:tcW w:w="642" w:type="dxa"/>
            <w:tcBorders>
              <w:tl2br w:val="nil"/>
              <w:tr2bl w:val="nil"/>
            </w:tcBorders>
            <w:vAlign w:val="center"/>
          </w:tcPr>
          <w:p w14:paraId="69FD3CF2">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lang w:val="en-US" w:eastAsia="zh-CN"/>
                <w14:textFill>
                  <w14:solidFill>
                    <w14:schemeClr w14:val="tx1"/>
                  </w14:solidFill>
                </w14:textFill>
              </w:rPr>
            </w:pPr>
            <w:r>
              <w:rPr>
                <w:rFonts w:hint="eastAsia" w:ascii="宋体" w:eastAsia="宋体" w:hAnsiTheme="minorEastAsia" w:cstheme="minorEastAsia"/>
                <w:color w:val="000000" w:themeColor="text1"/>
                <w:sz w:val="22"/>
                <w:szCs w:val="22"/>
                <w:lang w:val="en-US" w:eastAsia="zh-CN"/>
                <w14:textFill>
                  <w14:solidFill>
                    <w14:schemeClr w14:val="tx1"/>
                  </w14:solidFill>
                </w14:textFill>
              </w:rPr>
              <w:t>履约能力</w:t>
            </w:r>
          </w:p>
        </w:tc>
        <w:tc>
          <w:tcPr>
            <w:tcW w:w="636" w:type="dxa"/>
            <w:tcBorders>
              <w:tl2br w:val="nil"/>
              <w:tr2bl w:val="nil"/>
            </w:tcBorders>
            <w:vAlign w:val="center"/>
          </w:tcPr>
          <w:p w14:paraId="03C3693D">
            <w:pPr>
              <w:spacing w:line="240" w:lineRule="auto"/>
              <w:ind w:right="88" w:rightChars="42"/>
              <w:jc w:val="center"/>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z w:val="22"/>
                <w:szCs w:val="22"/>
                <w:lang w:val="en-US" w:eastAsia="zh-CN"/>
              </w:rPr>
              <w:t>20分</w:t>
            </w:r>
          </w:p>
        </w:tc>
        <w:tc>
          <w:tcPr>
            <w:tcW w:w="7307" w:type="dxa"/>
            <w:tcBorders>
              <w:tl2br w:val="nil"/>
              <w:tr2bl w:val="nil"/>
            </w:tcBorders>
            <w:vAlign w:val="center"/>
          </w:tcPr>
          <w:p w14:paraId="3FE322FB">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lang w:val="zh-CN"/>
                <w14:textFill>
                  <w14:solidFill>
                    <w14:schemeClr w14:val="tx1"/>
                  </w14:solidFill>
                </w14:textFill>
              </w:rPr>
            </w:pPr>
            <w:r>
              <w:rPr>
                <w:rFonts w:hint="eastAsia" w:ascii="宋体" w:eastAsia="宋体" w:hAnsiTheme="minorEastAsia" w:cstheme="minorEastAsia"/>
                <w:color w:val="000000" w:themeColor="text1"/>
                <w:sz w:val="22"/>
                <w:szCs w:val="22"/>
                <w:lang w:val="zh-CN"/>
                <w14:textFill>
                  <w14:solidFill>
                    <w14:schemeClr w14:val="tx1"/>
                  </w14:solidFill>
                </w14:textFill>
              </w:rPr>
              <w:t>投标人提供本项目所涉及系统</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的</w:t>
            </w:r>
            <w:r>
              <w:rPr>
                <w:rFonts w:hint="eastAsia" w:ascii="宋体" w:eastAsia="宋体" w:hAnsiTheme="minorEastAsia" w:cstheme="minorEastAsia"/>
                <w:color w:val="000000" w:themeColor="text1"/>
                <w:sz w:val="22"/>
                <w:szCs w:val="22"/>
                <w:lang w:val="zh-CN"/>
                <w14:textFill>
                  <w14:solidFill>
                    <w14:schemeClr w14:val="tx1"/>
                  </w14:solidFill>
                </w14:textFill>
              </w:rPr>
              <w:t>自主知识产权计算机软件著作权登记证书</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的，</w:t>
            </w:r>
            <w:r>
              <w:rPr>
                <w:rFonts w:hint="eastAsia" w:ascii="宋体" w:eastAsia="宋体" w:hAnsiTheme="minorEastAsia" w:cstheme="minorEastAsia"/>
                <w:color w:val="000000" w:themeColor="text1"/>
                <w:sz w:val="22"/>
                <w:szCs w:val="22"/>
                <w:highlight w:val="none"/>
                <w:lang w:val="en-US" w:eastAsia="zh-CN"/>
                <w14:textFill>
                  <w14:solidFill>
                    <w14:schemeClr w14:val="tx1"/>
                  </w14:solidFill>
                </w14:textFill>
              </w:rPr>
              <w:t>每提供一个</w:t>
            </w:r>
            <w:r>
              <w:rPr>
                <w:rFonts w:hint="eastAsia" w:ascii="宋体" w:eastAsia="宋体" w:hAnsiTheme="minorEastAsia" w:cstheme="minorEastAsia"/>
                <w:color w:val="000000" w:themeColor="text1"/>
                <w:sz w:val="22"/>
                <w:szCs w:val="22"/>
                <w:highlight w:val="none"/>
                <w:lang w:val="zh-CN"/>
                <w14:textFill>
                  <w14:solidFill>
                    <w14:schemeClr w14:val="tx1"/>
                  </w14:solidFill>
                </w14:textFill>
              </w:rPr>
              <w:t>得</w:t>
            </w:r>
            <w:r>
              <w:rPr>
                <w:rFonts w:hint="eastAsia" w:ascii="宋体" w:eastAsia="宋体" w:hAnsiTheme="minorEastAsia" w:cstheme="minorEastAsia"/>
                <w:color w:val="000000" w:themeColor="text1"/>
                <w:sz w:val="22"/>
                <w:szCs w:val="22"/>
                <w:highlight w:val="none"/>
                <w:lang w:val="en-US" w:eastAsia="zh-CN"/>
                <w14:textFill>
                  <w14:solidFill>
                    <w14:schemeClr w14:val="tx1"/>
                  </w14:solidFill>
                </w14:textFill>
              </w:rPr>
              <w:t>10</w:t>
            </w:r>
            <w:r>
              <w:rPr>
                <w:rFonts w:hint="eastAsia" w:ascii="宋体" w:eastAsia="宋体" w:hAnsiTheme="minorEastAsia" w:cstheme="minorEastAsia"/>
                <w:color w:val="000000" w:themeColor="text1"/>
                <w:sz w:val="22"/>
                <w:szCs w:val="22"/>
                <w:highlight w:val="none"/>
                <w:lang w:val="zh-CN"/>
                <w14:textFill>
                  <w14:solidFill>
                    <w14:schemeClr w14:val="tx1"/>
                  </w14:solidFill>
                </w14:textFill>
              </w:rPr>
              <w:t>分，</w:t>
            </w:r>
            <w:r>
              <w:rPr>
                <w:rFonts w:hint="eastAsia" w:ascii="宋体" w:eastAsia="宋体" w:hAnsiTheme="minorEastAsia" w:cstheme="minorEastAsia"/>
                <w:color w:val="000000" w:themeColor="text1"/>
                <w:sz w:val="22"/>
                <w:szCs w:val="22"/>
                <w:highlight w:val="none"/>
                <w:lang w:val="en-US" w:eastAsia="zh-CN"/>
                <w14:textFill>
                  <w14:solidFill>
                    <w14:schemeClr w14:val="tx1"/>
                  </w14:solidFill>
                </w14:textFill>
              </w:rPr>
              <w:t>最多得20分，</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不提供不得分</w:t>
            </w:r>
            <w:r>
              <w:rPr>
                <w:rFonts w:hint="eastAsia" w:ascii="宋体" w:eastAsia="宋体" w:hAnsiTheme="minorEastAsia" w:cstheme="minorEastAsia"/>
                <w:color w:val="000000" w:themeColor="text1"/>
                <w:sz w:val="22"/>
                <w:szCs w:val="22"/>
                <w:lang w:val="zh-CN" w:eastAsia="zh-CN"/>
                <w14:textFill>
                  <w14:solidFill>
                    <w14:schemeClr w14:val="tx1"/>
                  </w14:solidFill>
                </w14:textFill>
              </w:rPr>
              <w:t>。</w:t>
            </w:r>
          </w:p>
          <w:p w14:paraId="4989A481">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lang w:val="zh-CN"/>
                <w14:textFill>
                  <w14:solidFill>
                    <w14:schemeClr w14:val="tx1"/>
                  </w14:solidFill>
                </w14:textFill>
              </w:rPr>
            </w:pPr>
            <w:r>
              <w:rPr>
                <w:rFonts w:hint="eastAsia" w:ascii="宋体" w:eastAsia="宋体" w:hAnsiTheme="minorEastAsia" w:cstheme="minorEastAsia"/>
                <w:color w:val="000000" w:themeColor="text1"/>
                <w:sz w:val="22"/>
                <w:szCs w:val="22"/>
                <w:lang w:val="zh-CN"/>
                <w14:textFill>
                  <w14:solidFill>
                    <w14:schemeClr w14:val="tx1"/>
                  </w14:solidFill>
                </w14:textFill>
              </w:rPr>
              <w:t>注：软件著作权名称可以不完全一致，与本次采购系统功能相同或注册登记名称相近即可。（提供证明材料原件扫描件加盖投标人公章）</w:t>
            </w:r>
          </w:p>
        </w:tc>
      </w:tr>
      <w:tr w14:paraId="13B54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8" w:type="dxa"/>
            <w:left w:w="106" w:type="dxa"/>
            <w:bottom w:w="0" w:type="dxa"/>
            <w:right w:w="0" w:type="dxa"/>
          </w:tblCellMar>
        </w:tblPrEx>
        <w:trPr>
          <w:trHeight w:val="0" w:hRule="atLeast"/>
          <w:jc w:val="center"/>
        </w:trPr>
        <w:tc>
          <w:tcPr>
            <w:tcW w:w="1101" w:type="dxa"/>
            <w:vMerge w:val="continue"/>
            <w:tcBorders>
              <w:tl2br w:val="nil"/>
              <w:tr2bl w:val="nil"/>
            </w:tcBorders>
            <w:vAlign w:val="center"/>
          </w:tcPr>
          <w:p w14:paraId="27BE3845">
            <w:pPr>
              <w:snapToGrid w:val="0"/>
              <w:spacing w:line="240" w:lineRule="auto"/>
              <w:ind w:left="0" w:leftChars="0" w:right="0" w:rightChars="0" w:firstLine="0" w:firstLineChars="0"/>
              <w:jc w:val="center"/>
              <w:rPr>
                <w:rFonts w:hint="eastAsia" w:ascii="宋体" w:eastAsia="宋体" w:hAnsiTheme="minorEastAsia" w:cstheme="minorEastAsia"/>
                <w:color w:val="000000" w:themeColor="text1"/>
                <w:sz w:val="22"/>
                <w:szCs w:val="22"/>
                <w:lang w:val="ru-RU" w:eastAsia="ru-RU"/>
                <w14:textFill>
                  <w14:solidFill>
                    <w14:schemeClr w14:val="tx1"/>
                  </w14:solidFill>
                </w14:textFill>
              </w:rPr>
            </w:pPr>
          </w:p>
        </w:tc>
        <w:tc>
          <w:tcPr>
            <w:tcW w:w="642" w:type="dxa"/>
            <w:tcBorders>
              <w:bottom w:val="single" w:color="auto" w:sz="4" w:space="0"/>
              <w:tl2br w:val="nil"/>
              <w:tr2bl w:val="nil"/>
            </w:tcBorders>
            <w:vAlign w:val="center"/>
          </w:tcPr>
          <w:p w14:paraId="55CD30B2">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lang w:val="en-US" w:eastAsia="zh-CN"/>
                <w14:textFill>
                  <w14:solidFill>
                    <w14:schemeClr w14:val="tx1"/>
                  </w14:solidFill>
                </w14:textFill>
              </w:rPr>
            </w:pPr>
            <w:r>
              <w:rPr>
                <w:rFonts w:hint="eastAsia" w:ascii="宋体" w:eastAsia="宋体" w:hAnsiTheme="minorEastAsia" w:cstheme="minorEastAsia"/>
                <w:color w:val="000000" w:themeColor="text1"/>
                <w:sz w:val="22"/>
                <w:szCs w:val="22"/>
                <w:lang w:val="en-US" w:eastAsia="zh-CN"/>
                <w14:textFill>
                  <w14:solidFill>
                    <w14:schemeClr w14:val="tx1"/>
                  </w14:solidFill>
                </w14:textFill>
              </w:rPr>
              <w:t>项目团队</w:t>
            </w:r>
          </w:p>
        </w:tc>
        <w:tc>
          <w:tcPr>
            <w:tcW w:w="636" w:type="dxa"/>
            <w:tcBorders>
              <w:bottom w:val="single" w:color="auto" w:sz="4" w:space="0"/>
              <w:tl2br w:val="nil"/>
              <w:tr2bl w:val="nil"/>
            </w:tcBorders>
            <w:vAlign w:val="center"/>
          </w:tcPr>
          <w:p w14:paraId="7B3BE9E5">
            <w:pPr>
              <w:spacing w:line="240" w:lineRule="auto"/>
              <w:ind w:right="88" w:rightChars="42"/>
              <w:jc w:val="center"/>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z w:val="22"/>
                <w:szCs w:val="22"/>
                <w:lang w:val="en-US" w:eastAsia="zh-CN"/>
              </w:rPr>
              <w:t>20分</w:t>
            </w:r>
          </w:p>
        </w:tc>
        <w:tc>
          <w:tcPr>
            <w:tcW w:w="7307" w:type="dxa"/>
            <w:tcBorders>
              <w:tl2br w:val="nil"/>
              <w:tr2bl w:val="nil"/>
            </w:tcBorders>
            <w:vAlign w:val="center"/>
          </w:tcPr>
          <w:p w14:paraId="4C0FA1C2">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lang w:val="zh-CN"/>
                <w14:textFill>
                  <w14:solidFill>
                    <w14:schemeClr w14:val="tx1"/>
                  </w14:solidFill>
                </w14:textFill>
              </w:rPr>
            </w:pPr>
            <w:r>
              <w:rPr>
                <w:rFonts w:hint="eastAsia" w:ascii="宋体" w:eastAsia="宋体" w:hAnsiTheme="minorEastAsia" w:cstheme="minorEastAsia"/>
                <w:color w:val="000000" w:themeColor="text1"/>
                <w:sz w:val="22"/>
                <w:szCs w:val="22"/>
                <w:lang w:val="zh-CN"/>
                <w14:textFill>
                  <w14:solidFill>
                    <w14:schemeClr w14:val="tx1"/>
                  </w14:solidFill>
                </w14:textFill>
              </w:rPr>
              <w:t>为保障项目实施质量，投标人项目实施团队应配置专业技术人员，并提供所配置专业技术人员的相关证明材料。</w:t>
            </w:r>
          </w:p>
          <w:p w14:paraId="67494495">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lang w:val="zh-CN"/>
                <w14:textFill>
                  <w14:solidFill>
                    <w14:schemeClr w14:val="tx1"/>
                  </w14:solidFill>
                </w14:textFill>
              </w:rPr>
            </w:pPr>
            <w:r>
              <w:rPr>
                <w:rFonts w:hint="eastAsia" w:ascii="宋体" w:eastAsia="宋体" w:hAnsiTheme="minorEastAsia" w:cstheme="minorEastAsia"/>
                <w:color w:val="000000" w:themeColor="text1"/>
                <w:sz w:val="22"/>
                <w:szCs w:val="22"/>
                <w:lang w:val="zh-CN"/>
                <w14:textFill>
                  <w14:solidFill>
                    <w14:schemeClr w14:val="tx1"/>
                  </w14:solidFill>
                </w14:textFill>
              </w:rPr>
              <w:t>1</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w:t>
            </w:r>
            <w:r>
              <w:rPr>
                <w:rFonts w:hint="eastAsia" w:ascii="宋体" w:eastAsia="宋体" w:hAnsiTheme="minorEastAsia" w:cstheme="minorEastAsia"/>
                <w:color w:val="000000" w:themeColor="text1"/>
                <w:sz w:val="22"/>
                <w:szCs w:val="22"/>
                <w:lang w:val="zh-CN"/>
                <w14:textFill>
                  <w14:solidFill>
                    <w14:schemeClr w14:val="tx1"/>
                  </w14:solidFill>
                </w14:textFill>
              </w:rPr>
              <w:t>项目实施团队配置的项目经理具有</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国家认可的</w:t>
            </w:r>
            <w:r>
              <w:rPr>
                <w:rFonts w:hint="eastAsia" w:ascii="宋体" w:eastAsia="宋体" w:hAnsiTheme="minorEastAsia" w:cstheme="minorEastAsia"/>
                <w:color w:val="000000" w:themeColor="text1"/>
                <w:sz w:val="22"/>
                <w:szCs w:val="22"/>
                <w:lang w:val="zh-CN"/>
                <w14:textFill>
                  <w14:solidFill>
                    <w14:schemeClr w14:val="tx1"/>
                  </w14:solidFill>
                </w14:textFill>
              </w:rPr>
              <w:t>计算机技术与软件专业技术资格高级证书的</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计10</w:t>
            </w:r>
            <w:r>
              <w:rPr>
                <w:rFonts w:hint="eastAsia" w:ascii="宋体" w:eastAsia="宋体" w:hAnsiTheme="minorEastAsia" w:cstheme="minorEastAsia"/>
                <w:color w:val="000000" w:themeColor="text1"/>
                <w:sz w:val="22"/>
                <w:szCs w:val="22"/>
                <w:lang w:val="zh-CN"/>
                <w14:textFill>
                  <w14:solidFill>
                    <w14:schemeClr w14:val="tx1"/>
                  </w14:solidFill>
                </w14:textFill>
              </w:rPr>
              <w:t>分。</w:t>
            </w:r>
          </w:p>
          <w:p w14:paraId="52AC684F">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lang w:val="zh-CN"/>
                <w14:textFill>
                  <w14:solidFill>
                    <w14:schemeClr w14:val="tx1"/>
                  </w14:solidFill>
                </w14:textFill>
              </w:rPr>
            </w:pPr>
            <w:r>
              <w:rPr>
                <w:rFonts w:hint="eastAsia" w:ascii="宋体" w:eastAsia="宋体" w:hAnsiTheme="minorEastAsia" w:cstheme="minorEastAsia"/>
                <w:color w:val="000000" w:themeColor="text1"/>
                <w:sz w:val="22"/>
                <w:szCs w:val="22"/>
                <w:lang w:val="zh-CN"/>
                <w14:textFill>
                  <w14:solidFill>
                    <w14:schemeClr w14:val="tx1"/>
                  </w14:solidFill>
                </w14:textFill>
              </w:rPr>
              <w:t>2</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w:t>
            </w:r>
            <w:r>
              <w:rPr>
                <w:rFonts w:hint="eastAsia" w:ascii="宋体" w:eastAsia="宋体" w:hAnsiTheme="minorEastAsia" w:cstheme="minorEastAsia"/>
                <w:color w:val="000000" w:themeColor="text1"/>
                <w:sz w:val="22"/>
                <w:szCs w:val="22"/>
                <w:lang w:val="zh-CN"/>
                <w14:textFill>
                  <w14:solidFill>
                    <w14:schemeClr w14:val="tx1"/>
                  </w14:solidFill>
                </w14:textFill>
              </w:rPr>
              <w:t>其他项目组成员中每配置一名具备</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国家认可的</w:t>
            </w:r>
            <w:r>
              <w:rPr>
                <w:rFonts w:hint="eastAsia" w:ascii="宋体" w:eastAsia="宋体" w:hAnsiTheme="minorEastAsia" w:cstheme="minorEastAsia"/>
                <w:color w:val="000000" w:themeColor="text1"/>
                <w:sz w:val="22"/>
                <w:szCs w:val="22"/>
                <w:lang w:val="zh-CN"/>
                <w14:textFill>
                  <w14:solidFill>
                    <w14:schemeClr w14:val="tx1"/>
                  </w14:solidFill>
                </w14:textFill>
              </w:rPr>
              <w:t>计算机技术与软件专业技术资格中级及以上证书的</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计5</w:t>
            </w:r>
            <w:r>
              <w:rPr>
                <w:rFonts w:hint="eastAsia" w:ascii="宋体" w:eastAsia="宋体" w:hAnsiTheme="minorEastAsia" w:cstheme="minorEastAsia"/>
                <w:color w:val="000000" w:themeColor="text1"/>
                <w:sz w:val="22"/>
                <w:szCs w:val="22"/>
                <w:lang w:val="zh-CN"/>
                <w14:textFill>
                  <w14:solidFill>
                    <w14:schemeClr w14:val="tx1"/>
                  </w14:solidFill>
                </w14:textFill>
              </w:rPr>
              <w:t>分，本</w:t>
            </w:r>
            <w:r>
              <w:rPr>
                <w:rFonts w:hint="eastAsia" w:ascii="宋体" w:hAnsiTheme="minorEastAsia" w:cstheme="minorEastAsia"/>
                <w:color w:val="000000" w:themeColor="text1"/>
                <w:sz w:val="22"/>
                <w:szCs w:val="22"/>
                <w:lang w:val="en-US" w:eastAsia="zh-CN"/>
                <w14:textFill>
                  <w14:solidFill>
                    <w14:schemeClr w14:val="tx1"/>
                  </w14:solidFill>
                </w14:textFill>
              </w:rPr>
              <w:t>点</w:t>
            </w:r>
            <w:r>
              <w:rPr>
                <w:rFonts w:hint="eastAsia" w:ascii="宋体" w:eastAsia="宋体" w:hAnsiTheme="minorEastAsia" w:cstheme="minorEastAsia"/>
                <w:color w:val="000000" w:themeColor="text1"/>
                <w:sz w:val="22"/>
                <w:szCs w:val="22"/>
                <w:lang w:val="zh-CN"/>
                <w14:textFill>
                  <w14:solidFill>
                    <w14:schemeClr w14:val="tx1"/>
                  </w14:solidFill>
                </w14:textFill>
              </w:rPr>
              <w:t>最多</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计10</w:t>
            </w:r>
            <w:r>
              <w:rPr>
                <w:rFonts w:hint="eastAsia" w:ascii="宋体" w:eastAsia="宋体" w:hAnsiTheme="minorEastAsia" w:cstheme="minorEastAsia"/>
                <w:color w:val="000000" w:themeColor="text1"/>
                <w:sz w:val="22"/>
                <w:szCs w:val="22"/>
                <w:lang w:val="zh-CN"/>
                <w14:textFill>
                  <w14:solidFill>
                    <w14:schemeClr w14:val="tx1"/>
                  </w14:solidFill>
                </w14:textFill>
              </w:rPr>
              <w:t>分。</w:t>
            </w:r>
          </w:p>
          <w:p w14:paraId="0CB9E5AA">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eastAsia="宋体" w:hAnsiTheme="minorEastAsia" w:cstheme="minorEastAsia"/>
                <w:color w:val="000000" w:themeColor="text1"/>
                <w:sz w:val="22"/>
                <w:szCs w:val="22"/>
                <w:lang w:val="zh-CN"/>
                <w14:textFill>
                  <w14:solidFill>
                    <w14:schemeClr w14:val="tx1"/>
                  </w14:solidFill>
                </w14:textFill>
              </w:rPr>
              <w:t>注：同一技术人员具备不同类证书的不重复计分。</w:t>
            </w:r>
            <w:r>
              <w:rPr>
                <w:rFonts w:hint="eastAsia" w:ascii="宋体" w:hAnsiTheme="minorEastAsia" w:cstheme="minorEastAsia"/>
                <w:color w:val="000000" w:themeColor="text1"/>
                <w:sz w:val="22"/>
                <w:szCs w:val="22"/>
                <w:lang w:val="en-US" w:eastAsia="zh-CN"/>
                <w14:textFill>
                  <w14:solidFill>
                    <w14:schemeClr w14:val="tx1"/>
                  </w14:solidFill>
                </w14:textFill>
              </w:rPr>
              <w:t>投标人</w:t>
            </w:r>
            <w:r>
              <w:rPr>
                <w:rFonts w:hint="eastAsia" w:ascii="宋体" w:eastAsia="宋体" w:hAnsiTheme="minorEastAsia" w:cstheme="minorEastAsia"/>
                <w:color w:val="000000" w:themeColor="text1"/>
                <w:sz w:val="22"/>
                <w:szCs w:val="22"/>
                <w:lang w:val="zh-CN"/>
                <w14:textFill>
                  <w14:solidFill>
                    <w14:schemeClr w14:val="tx1"/>
                  </w14:solidFill>
                </w14:textFill>
              </w:rPr>
              <w:t>提供以上人员证书扫描件及</w:t>
            </w:r>
            <w:r>
              <w:rPr>
                <w:rFonts w:hint="eastAsia" w:ascii="宋体" w:hAnsiTheme="minorEastAsia" w:cstheme="minorEastAsia"/>
                <w:color w:val="000000" w:themeColor="text1"/>
                <w:sz w:val="22"/>
                <w:szCs w:val="22"/>
                <w:lang w:val="en-US" w:eastAsia="zh-CN"/>
                <w14:textFill>
                  <w14:solidFill>
                    <w14:schemeClr w14:val="tx1"/>
                  </w14:solidFill>
                </w14:textFill>
              </w:rPr>
              <w:t>近</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半年内任意连续3个月的</w:t>
            </w:r>
            <w:r>
              <w:rPr>
                <w:rFonts w:hint="eastAsia" w:ascii="宋体" w:hAnsiTheme="minorEastAsia" w:cstheme="minorEastAsia"/>
                <w:color w:val="000000" w:themeColor="text1"/>
                <w:sz w:val="22"/>
                <w:szCs w:val="22"/>
                <w:lang w:val="en-US" w:eastAsia="zh-CN"/>
                <w14:textFill>
                  <w14:solidFill>
                    <w14:schemeClr w14:val="tx1"/>
                  </w14:solidFill>
                </w14:textFill>
              </w:rPr>
              <w:t>本单位</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社保缴纳证明</w:t>
            </w:r>
            <w:r>
              <w:rPr>
                <w:rFonts w:hint="eastAsia" w:ascii="宋体" w:eastAsia="宋体" w:hAnsiTheme="minorEastAsia" w:cstheme="minorEastAsia"/>
                <w:color w:val="000000" w:themeColor="text1"/>
                <w:sz w:val="22"/>
                <w:szCs w:val="22"/>
                <w:lang w:val="zh-CN"/>
                <w14:textFill>
                  <w14:solidFill>
                    <w14:schemeClr w14:val="tx1"/>
                  </w14:solidFill>
                </w14:textFill>
              </w:rPr>
              <w:t>，否则不予计分</w:t>
            </w:r>
            <w:r>
              <w:rPr>
                <w:rFonts w:hint="eastAsia" w:ascii="宋体" w:hAnsiTheme="minorEastAsia" w:cstheme="minorEastAsia"/>
                <w:color w:val="000000" w:themeColor="text1"/>
                <w:sz w:val="22"/>
                <w:szCs w:val="22"/>
                <w:lang w:val="zh-CN"/>
                <w14:textFill>
                  <w14:solidFill>
                    <w14:schemeClr w14:val="tx1"/>
                  </w14:solidFill>
                </w14:textFill>
              </w:rPr>
              <w:t>。</w:t>
            </w:r>
          </w:p>
        </w:tc>
      </w:tr>
      <w:tr w14:paraId="2995D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8" w:type="dxa"/>
            <w:left w:w="106" w:type="dxa"/>
            <w:bottom w:w="0" w:type="dxa"/>
            <w:right w:w="0" w:type="dxa"/>
          </w:tblCellMar>
        </w:tblPrEx>
        <w:trPr>
          <w:trHeight w:val="0" w:hRule="atLeast"/>
          <w:jc w:val="center"/>
        </w:trPr>
        <w:tc>
          <w:tcPr>
            <w:tcW w:w="1101" w:type="dxa"/>
            <w:vMerge w:val="continue"/>
            <w:tcBorders>
              <w:tl2br w:val="nil"/>
              <w:tr2bl w:val="nil"/>
            </w:tcBorders>
            <w:shd w:val="clear" w:color="auto" w:fill="auto"/>
            <w:vAlign w:val="center"/>
          </w:tcPr>
          <w:p w14:paraId="605950EF">
            <w:pPr>
              <w:snapToGrid w:val="0"/>
              <w:spacing w:line="240" w:lineRule="auto"/>
              <w:ind w:left="0" w:leftChars="0" w:right="0" w:rightChars="0" w:firstLine="0" w:firstLineChars="0"/>
              <w:jc w:val="center"/>
              <w:rPr>
                <w:rFonts w:hint="eastAsia" w:ascii="宋体" w:eastAsia="宋体" w:hAnsiTheme="minorEastAsia" w:cstheme="minorEastAsia"/>
                <w:color w:val="000000" w:themeColor="text1"/>
                <w:sz w:val="22"/>
                <w:szCs w:val="22"/>
                <w:lang w:val="ru-RU" w:eastAsia="ru-RU"/>
                <w14:textFill>
                  <w14:solidFill>
                    <w14:schemeClr w14:val="tx1"/>
                  </w14:solidFill>
                </w14:textFill>
              </w:rPr>
            </w:pPr>
          </w:p>
        </w:tc>
        <w:tc>
          <w:tcPr>
            <w:tcW w:w="642" w:type="dxa"/>
            <w:tcBorders>
              <w:bottom w:val="single" w:color="auto" w:sz="4" w:space="0"/>
              <w:tl2br w:val="nil"/>
              <w:tr2bl w:val="nil"/>
            </w:tcBorders>
            <w:vAlign w:val="center"/>
          </w:tcPr>
          <w:p w14:paraId="2A368257">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lang w:val="en-US" w:eastAsia="zh-CN"/>
                <w14:textFill>
                  <w14:solidFill>
                    <w14:schemeClr w14:val="tx1"/>
                  </w14:solidFill>
                </w14:textFill>
              </w:rPr>
            </w:pPr>
            <w:r>
              <w:rPr>
                <w:rFonts w:hint="eastAsia" w:ascii="宋体" w:eastAsia="宋体" w:hAnsiTheme="minorEastAsia" w:cstheme="minorEastAsia"/>
                <w:color w:val="000000" w:themeColor="text1"/>
                <w:sz w:val="22"/>
                <w:szCs w:val="22"/>
                <w:lang w:val="en-US" w:eastAsia="zh-CN"/>
                <w14:textFill>
                  <w14:solidFill>
                    <w14:schemeClr w14:val="tx1"/>
                  </w14:solidFill>
                </w14:textFill>
              </w:rPr>
              <w:t>类似业绩</w:t>
            </w:r>
          </w:p>
        </w:tc>
        <w:tc>
          <w:tcPr>
            <w:tcW w:w="636" w:type="dxa"/>
            <w:tcBorders>
              <w:bottom w:val="single" w:color="auto" w:sz="4" w:space="0"/>
              <w:tl2br w:val="nil"/>
              <w:tr2bl w:val="nil"/>
            </w:tcBorders>
            <w:vAlign w:val="center"/>
          </w:tcPr>
          <w:p w14:paraId="4A5E6012">
            <w:pPr>
              <w:spacing w:line="240" w:lineRule="auto"/>
              <w:ind w:right="88" w:rightChars="42"/>
              <w:jc w:val="center"/>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z w:val="22"/>
                <w:szCs w:val="22"/>
                <w:lang w:val="en-US" w:eastAsia="zh-CN"/>
              </w:rPr>
              <w:t>20分</w:t>
            </w:r>
          </w:p>
        </w:tc>
        <w:tc>
          <w:tcPr>
            <w:tcW w:w="7307" w:type="dxa"/>
            <w:tcBorders>
              <w:tl2br w:val="nil"/>
              <w:tr2bl w:val="nil"/>
            </w:tcBorders>
            <w:vAlign w:val="center"/>
          </w:tcPr>
          <w:p w14:paraId="7F352235">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投标人提供自202</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2</w:t>
            </w:r>
            <w:r>
              <w:rPr>
                <w:rFonts w:hint="eastAsia" w:ascii="宋体" w:eastAsia="宋体" w:hAnsiTheme="minorEastAsia" w:cstheme="minorEastAsia"/>
                <w:color w:val="000000" w:themeColor="text1"/>
                <w:sz w:val="22"/>
                <w:szCs w:val="22"/>
                <w14:textFill>
                  <w14:solidFill>
                    <w14:schemeClr w14:val="tx1"/>
                  </w14:solidFill>
                </w14:textFill>
              </w:rPr>
              <w:t>年1月1日至今签署的类似项目业绩，每提供一份类似项目业绩证明的</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计10</w:t>
            </w:r>
            <w:r>
              <w:rPr>
                <w:rFonts w:hint="eastAsia" w:ascii="宋体" w:eastAsia="宋体" w:hAnsiTheme="minorEastAsia" w:cstheme="minorEastAsia"/>
                <w:color w:val="000000" w:themeColor="text1"/>
                <w:sz w:val="22"/>
                <w:szCs w:val="22"/>
                <w14:textFill>
                  <w14:solidFill>
                    <w14:schemeClr w14:val="tx1"/>
                  </w14:solidFill>
                </w14:textFill>
              </w:rPr>
              <w:t>分</w:t>
            </w:r>
            <w:r>
              <w:rPr>
                <w:rFonts w:hint="eastAsia" w:ascii="宋体" w:eastAsia="宋体" w:hAnsiTheme="minorEastAsia" w:cstheme="minorEastAsia"/>
                <w:color w:val="000000" w:themeColor="text1"/>
                <w:sz w:val="22"/>
                <w:szCs w:val="22"/>
                <w:lang w:eastAsia="zh-CN"/>
                <w14:textFill>
                  <w14:solidFill>
                    <w14:schemeClr w14:val="tx1"/>
                  </w14:solidFill>
                </w14:textFill>
              </w:rPr>
              <w:t>；</w:t>
            </w:r>
            <w:r>
              <w:rPr>
                <w:rFonts w:hint="eastAsia" w:ascii="宋体" w:eastAsia="宋体" w:hAnsiTheme="minorEastAsia" w:cstheme="minorEastAsia"/>
                <w:color w:val="000000" w:themeColor="text1"/>
                <w:sz w:val="22"/>
                <w:szCs w:val="22"/>
                <w14:textFill>
                  <w14:solidFill>
                    <w14:schemeClr w14:val="tx1"/>
                  </w14:solidFill>
                </w14:textFill>
              </w:rPr>
              <w:t>最高累计</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计20</w:t>
            </w:r>
            <w:r>
              <w:rPr>
                <w:rFonts w:hint="eastAsia" w:ascii="宋体" w:eastAsia="宋体" w:hAnsiTheme="minorEastAsia" w:cstheme="minorEastAsia"/>
                <w:color w:val="000000" w:themeColor="text1"/>
                <w:sz w:val="22"/>
                <w:szCs w:val="22"/>
                <w14:textFill>
                  <w14:solidFill>
                    <w14:schemeClr w14:val="tx1"/>
                  </w14:solidFill>
                </w14:textFill>
              </w:rPr>
              <w:t>分，不提供不</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计</w:t>
            </w:r>
            <w:r>
              <w:rPr>
                <w:rFonts w:hint="eastAsia" w:ascii="宋体" w:eastAsia="宋体" w:hAnsiTheme="minorEastAsia" w:cstheme="minorEastAsia"/>
                <w:color w:val="000000" w:themeColor="text1"/>
                <w:sz w:val="22"/>
                <w:szCs w:val="22"/>
                <w14:textFill>
                  <w14:solidFill>
                    <w14:schemeClr w14:val="tx1"/>
                  </w14:solidFill>
                </w14:textFill>
              </w:rPr>
              <w:t>分。</w:t>
            </w:r>
          </w:p>
          <w:p w14:paraId="0034A089">
            <w:pPr>
              <w:snapToGrid w:val="0"/>
              <w:spacing w:line="240" w:lineRule="auto"/>
              <w:ind w:left="0" w:leftChars="0" w:right="0" w:rightChars="0" w:firstLine="0" w:firstLineChars="0"/>
              <w:jc w:val="left"/>
              <w:rPr>
                <w:rFonts w:hint="eastAsia" w:ascii="宋体" w:eastAsia="宋体" w:hAnsiTheme="minorEastAsia" w:cstheme="minorEastAsia"/>
                <w:color w:val="000000" w:themeColor="text1"/>
                <w:sz w:val="22"/>
                <w:szCs w:val="22"/>
                <w14:textFill>
                  <w14:solidFill>
                    <w14:schemeClr w14:val="tx1"/>
                  </w14:solidFill>
                </w14:textFill>
              </w:rPr>
            </w:pPr>
            <w:r>
              <w:rPr>
                <w:rFonts w:hint="eastAsia" w:ascii="宋体" w:eastAsia="宋体" w:hAnsiTheme="minorEastAsia" w:cstheme="minorEastAsia"/>
                <w:color w:val="000000" w:themeColor="text1"/>
                <w:sz w:val="22"/>
                <w:szCs w:val="22"/>
                <w14:textFill>
                  <w14:solidFill>
                    <w14:schemeClr w14:val="tx1"/>
                  </w14:solidFill>
                </w14:textFill>
              </w:rPr>
              <w:t>注：需在投标文件中提供采购合同原件扫描件或中标（成交）通知书原件扫描件，相应材料扫描件加盖公章做入投标文件中否则不</w:t>
            </w:r>
            <w:r>
              <w:rPr>
                <w:rFonts w:hint="eastAsia" w:ascii="宋体" w:eastAsia="宋体" w:hAnsiTheme="minorEastAsia" w:cstheme="minorEastAsia"/>
                <w:color w:val="000000" w:themeColor="text1"/>
                <w:sz w:val="22"/>
                <w:szCs w:val="22"/>
                <w:lang w:val="en-US" w:eastAsia="zh-CN"/>
                <w14:textFill>
                  <w14:solidFill>
                    <w14:schemeClr w14:val="tx1"/>
                  </w14:solidFill>
                </w14:textFill>
              </w:rPr>
              <w:t>计</w:t>
            </w:r>
            <w:r>
              <w:rPr>
                <w:rFonts w:hint="eastAsia" w:ascii="宋体" w:eastAsia="宋体" w:hAnsiTheme="minorEastAsia" w:cstheme="minorEastAsia"/>
                <w:color w:val="000000" w:themeColor="text1"/>
                <w:sz w:val="22"/>
                <w:szCs w:val="22"/>
                <w14:textFill>
                  <w14:solidFill>
                    <w14:schemeClr w14:val="tx1"/>
                  </w14:solidFill>
                </w14:textFill>
              </w:rPr>
              <w:t>分。</w:t>
            </w:r>
          </w:p>
        </w:tc>
      </w:tr>
      <w:tr w14:paraId="42EF3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8" w:type="dxa"/>
            <w:left w:w="106" w:type="dxa"/>
            <w:bottom w:w="0" w:type="dxa"/>
            <w:right w:w="0" w:type="dxa"/>
          </w:tblCellMar>
        </w:tblPrEx>
        <w:trPr>
          <w:trHeight w:val="0" w:hRule="atLeast"/>
          <w:jc w:val="center"/>
        </w:trPr>
        <w:tc>
          <w:tcPr>
            <w:tcW w:w="1743" w:type="dxa"/>
            <w:gridSpan w:val="2"/>
            <w:tcBorders>
              <w:right w:val="single" w:color="auto" w:sz="4" w:space="0"/>
              <w:tl2br w:val="nil"/>
              <w:tr2bl w:val="nil"/>
            </w:tcBorders>
            <w:vAlign w:val="center"/>
          </w:tcPr>
          <w:p w14:paraId="06E9E4C4">
            <w:pPr>
              <w:snapToGrid w:val="0"/>
              <w:spacing w:line="240" w:lineRule="auto"/>
              <w:ind w:left="0" w:leftChars="0" w:right="0" w:rightChars="0" w:firstLine="0" w:firstLineChars="0"/>
              <w:jc w:val="center"/>
              <w:rPr>
                <w:rFonts w:hint="eastAsia" w:ascii="宋体" w:eastAsia="宋体" w:hAnsiTheme="minorEastAsia" w:cstheme="minorEastAsia"/>
                <w:b/>
                <w:sz w:val="22"/>
                <w:szCs w:val="24"/>
              </w:rPr>
            </w:pPr>
            <w:r>
              <w:rPr>
                <w:rFonts w:hint="eastAsia" w:ascii="宋体" w:eastAsia="宋体" w:hAnsiTheme="minorEastAsia" w:cstheme="minorEastAsia"/>
                <w:b/>
                <w:sz w:val="22"/>
                <w:szCs w:val="24"/>
              </w:rPr>
              <w:t>∑</w:t>
            </w:r>
          </w:p>
        </w:tc>
        <w:tc>
          <w:tcPr>
            <w:tcW w:w="7943" w:type="dxa"/>
            <w:gridSpan w:val="2"/>
            <w:tcBorders>
              <w:top w:val="single" w:color="auto" w:sz="4" w:space="0"/>
              <w:left w:val="single" w:color="auto" w:sz="4" w:space="0"/>
              <w:tl2br w:val="nil"/>
              <w:tr2bl w:val="nil"/>
            </w:tcBorders>
            <w:vAlign w:val="center"/>
          </w:tcPr>
          <w:p w14:paraId="34D9109F">
            <w:pPr>
              <w:snapToGrid w:val="0"/>
              <w:spacing w:line="240" w:lineRule="auto"/>
              <w:ind w:left="0" w:leftChars="0" w:right="0" w:rightChars="0" w:firstLine="0" w:firstLineChars="0"/>
              <w:jc w:val="center"/>
              <w:rPr>
                <w:rFonts w:hint="eastAsia" w:ascii="宋体" w:eastAsia="宋体" w:hAnsiTheme="minorEastAsia" w:cstheme="minorEastAsia"/>
                <w:b/>
                <w:color w:val="000000" w:themeColor="text1"/>
                <w:sz w:val="22"/>
                <w:szCs w:val="24"/>
                <w14:textFill>
                  <w14:solidFill>
                    <w14:schemeClr w14:val="tx1"/>
                  </w14:solidFill>
                </w14:textFill>
              </w:rPr>
            </w:pPr>
            <w:r>
              <w:rPr>
                <w:rFonts w:hint="eastAsia" w:ascii="宋体" w:eastAsia="宋体" w:hAnsiTheme="minorEastAsia" w:cstheme="minorEastAsia"/>
                <w:b/>
                <w:color w:val="000000" w:themeColor="text1"/>
                <w:sz w:val="22"/>
                <w:szCs w:val="24"/>
                <w:lang w:val="ru-RU" w:eastAsia="ru-RU"/>
                <w14:textFill>
                  <w14:solidFill>
                    <w14:schemeClr w14:val="tx1"/>
                  </w14:solidFill>
                </w14:textFill>
              </w:rPr>
              <w:t>F</w:t>
            </w:r>
            <w:r>
              <w:rPr>
                <w:rFonts w:hint="eastAsia" w:ascii="宋体" w:eastAsia="宋体" w:hAnsiTheme="minorEastAsia" w:cstheme="minorEastAsia"/>
                <w:b/>
                <w:bCs/>
                <w:color w:val="000000" w:themeColor="text1"/>
                <w:sz w:val="22"/>
                <w:szCs w:val="24"/>
                <w:vertAlign w:val="subscript"/>
                <w14:textFill>
                  <w14:solidFill>
                    <w14:schemeClr w14:val="tx1"/>
                  </w14:solidFill>
                </w14:textFill>
              </w:rPr>
              <w:t xml:space="preserve">1 </w:t>
            </w:r>
            <w:r>
              <w:rPr>
                <w:rFonts w:hint="eastAsia" w:ascii="宋体" w:eastAsia="宋体" w:hAnsiTheme="minorEastAsia" w:cstheme="minorEastAsia"/>
                <w:b/>
                <w:color w:val="000000" w:themeColor="text1"/>
                <w:sz w:val="22"/>
                <w:szCs w:val="24"/>
                <w:lang w:val="ru-RU" w:eastAsia="ru-RU"/>
                <w14:textFill>
                  <w14:solidFill>
                    <w14:schemeClr w14:val="tx1"/>
                  </w14:solidFill>
                </w14:textFill>
              </w:rPr>
              <w:t>×</w:t>
            </w:r>
            <w:r>
              <w:rPr>
                <w:rFonts w:hint="eastAsia" w:ascii="宋体" w:eastAsia="宋体" w:hAnsiTheme="minorEastAsia" w:cstheme="minorEastAsia"/>
                <w:b/>
                <w:color w:val="000000" w:themeColor="text1"/>
                <w:sz w:val="22"/>
                <w:szCs w:val="24"/>
                <w14:textFill>
                  <w14:solidFill>
                    <w14:schemeClr w14:val="tx1"/>
                  </w14:solidFill>
                </w14:textFill>
              </w:rPr>
              <w:t xml:space="preserve"> A</w:t>
            </w:r>
            <w:r>
              <w:rPr>
                <w:rFonts w:hint="eastAsia" w:ascii="宋体" w:eastAsia="宋体" w:hAnsiTheme="minorEastAsia" w:cstheme="minorEastAsia"/>
                <w:b/>
                <w:bCs/>
                <w:color w:val="000000" w:themeColor="text1"/>
                <w:sz w:val="22"/>
                <w:szCs w:val="24"/>
                <w:vertAlign w:val="subscript"/>
                <w14:textFill>
                  <w14:solidFill>
                    <w14:schemeClr w14:val="tx1"/>
                  </w14:solidFill>
                </w14:textFill>
              </w:rPr>
              <w:t xml:space="preserve">1 </w:t>
            </w:r>
            <w:r>
              <w:rPr>
                <w:rFonts w:hint="eastAsia" w:ascii="宋体" w:eastAsia="宋体" w:hAnsiTheme="minorEastAsia" w:cstheme="minorEastAsia"/>
                <w:b/>
                <w:color w:val="000000" w:themeColor="text1"/>
                <w:sz w:val="22"/>
                <w:szCs w:val="24"/>
                <w14:textFill>
                  <w14:solidFill>
                    <w14:schemeClr w14:val="tx1"/>
                  </w14:solidFill>
                </w14:textFill>
              </w:rPr>
              <w:t xml:space="preserve">+ </w:t>
            </w:r>
            <w:r>
              <w:rPr>
                <w:rFonts w:hint="eastAsia" w:ascii="宋体" w:eastAsia="宋体" w:hAnsiTheme="minorEastAsia" w:cstheme="minorEastAsia"/>
                <w:b/>
                <w:color w:val="000000" w:themeColor="text1"/>
                <w:sz w:val="22"/>
                <w:szCs w:val="24"/>
                <w:lang w:val="ru-RU" w:eastAsia="ru-RU"/>
                <w14:textFill>
                  <w14:solidFill>
                    <w14:schemeClr w14:val="tx1"/>
                  </w14:solidFill>
                </w14:textFill>
              </w:rPr>
              <w:t>F</w:t>
            </w:r>
            <w:r>
              <w:rPr>
                <w:rFonts w:hint="eastAsia" w:ascii="宋体" w:eastAsia="宋体" w:hAnsiTheme="minorEastAsia" w:cstheme="minorEastAsia"/>
                <w:b/>
                <w:bCs/>
                <w:color w:val="000000" w:themeColor="text1"/>
                <w:sz w:val="22"/>
                <w:szCs w:val="24"/>
                <w:vertAlign w:val="subscript"/>
                <w14:textFill>
                  <w14:solidFill>
                    <w14:schemeClr w14:val="tx1"/>
                  </w14:solidFill>
                </w14:textFill>
              </w:rPr>
              <w:t xml:space="preserve">2 </w:t>
            </w:r>
            <w:r>
              <w:rPr>
                <w:rFonts w:hint="eastAsia" w:ascii="宋体" w:eastAsia="宋体" w:hAnsiTheme="minorEastAsia" w:cstheme="minorEastAsia"/>
                <w:b/>
                <w:color w:val="000000" w:themeColor="text1"/>
                <w:sz w:val="22"/>
                <w:szCs w:val="24"/>
                <w:lang w:val="ru-RU" w:eastAsia="ru-RU"/>
                <w14:textFill>
                  <w14:solidFill>
                    <w14:schemeClr w14:val="tx1"/>
                  </w14:solidFill>
                </w14:textFill>
              </w:rPr>
              <w:t>×</w:t>
            </w:r>
            <w:r>
              <w:rPr>
                <w:rFonts w:hint="eastAsia" w:ascii="宋体" w:eastAsia="宋体" w:hAnsiTheme="minorEastAsia" w:cstheme="minorEastAsia"/>
                <w:b/>
                <w:color w:val="000000" w:themeColor="text1"/>
                <w:sz w:val="22"/>
                <w:szCs w:val="24"/>
                <w14:textFill>
                  <w14:solidFill>
                    <w14:schemeClr w14:val="tx1"/>
                  </w14:solidFill>
                </w14:textFill>
              </w:rPr>
              <w:t xml:space="preserve"> A</w:t>
            </w:r>
            <w:r>
              <w:rPr>
                <w:rFonts w:hint="eastAsia" w:ascii="宋体" w:eastAsia="宋体" w:hAnsiTheme="minorEastAsia" w:cstheme="minorEastAsia"/>
                <w:b/>
                <w:bCs/>
                <w:color w:val="000000" w:themeColor="text1"/>
                <w:sz w:val="22"/>
                <w:szCs w:val="24"/>
                <w:vertAlign w:val="subscript"/>
                <w14:textFill>
                  <w14:solidFill>
                    <w14:schemeClr w14:val="tx1"/>
                  </w14:solidFill>
                </w14:textFill>
              </w:rPr>
              <w:t xml:space="preserve">2 </w:t>
            </w:r>
            <w:r>
              <w:rPr>
                <w:rFonts w:hint="eastAsia" w:ascii="宋体" w:eastAsia="宋体" w:hAnsiTheme="minorEastAsia" w:cstheme="minorEastAsia"/>
                <w:b/>
                <w:color w:val="000000" w:themeColor="text1"/>
                <w:sz w:val="22"/>
                <w:szCs w:val="24"/>
                <w14:textFill>
                  <w14:solidFill>
                    <w14:schemeClr w14:val="tx1"/>
                  </w14:solidFill>
                </w14:textFill>
              </w:rPr>
              <w:t xml:space="preserve">+ </w:t>
            </w:r>
            <w:r>
              <w:rPr>
                <w:rFonts w:hint="eastAsia" w:ascii="宋体" w:eastAsia="宋体" w:hAnsiTheme="minorEastAsia" w:cstheme="minorEastAsia"/>
                <w:b/>
                <w:color w:val="000000" w:themeColor="text1"/>
                <w:sz w:val="22"/>
                <w:szCs w:val="24"/>
                <w:lang w:val="ru-RU" w:eastAsia="ru-RU"/>
                <w14:textFill>
                  <w14:solidFill>
                    <w14:schemeClr w14:val="tx1"/>
                  </w14:solidFill>
                </w14:textFill>
              </w:rPr>
              <w:t>F</w:t>
            </w:r>
            <w:r>
              <w:rPr>
                <w:rFonts w:hint="eastAsia" w:ascii="宋体" w:eastAsia="宋体" w:hAnsiTheme="minorEastAsia" w:cstheme="minorEastAsia"/>
                <w:b/>
                <w:bCs/>
                <w:color w:val="000000" w:themeColor="text1"/>
                <w:sz w:val="22"/>
                <w:szCs w:val="24"/>
                <w:vertAlign w:val="subscript"/>
                <w14:textFill>
                  <w14:solidFill>
                    <w14:schemeClr w14:val="tx1"/>
                  </w14:solidFill>
                </w14:textFill>
              </w:rPr>
              <w:t xml:space="preserve">3 </w:t>
            </w:r>
            <w:r>
              <w:rPr>
                <w:rFonts w:hint="eastAsia" w:ascii="宋体" w:eastAsia="宋体" w:hAnsiTheme="minorEastAsia" w:cstheme="minorEastAsia"/>
                <w:b/>
                <w:color w:val="000000" w:themeColor="text1"/>
                <w:sz w:val="22"/>
                <w:szCs w:val="24"/>
                <w:lang w:val="ru-RU" w:eastAsia="ru-RU"/>
                <w14:textFill>
                  <w14:solidFill>
                    <w14:schemeClr w14:val="tx1"/>
                  </w14:solidFill>
                </w14:textFill>
              </w:rPr>
              <w:t>×</w:t>
            </w:r>
            <w:r>
              <w:rPr>
                <w:rFonts w:hint="eastAsia" w:ascii="宋体" w:eastAsia="宋体" w:hAnsiTheme="minorEastAsia" w:cstheme="minorEastAsia"/>
                <w:b/>
                <w:color w:val="000000" w:themeColor="text1"/>
                <w:sz w:val="22"/>
                <w:szCs w:val="24"/>
                <w14:textFill>
                  <w14:solidFill>
                    <w14:schemeClr w14:val="tx1"/>
                  </w14:solidFill>
                </w14:textFill>
              </w:rPr>
              <w:t xml:space="preserve"> A</w:t>
            </w:r>
            <w:r>
              <w:rPr>
                <w:rFonts w:hint="eastAsia" w:ascii="宋体" w:eastAsia="宋体" w:hAnsiTheme="minorEastAsia" w:cstheme="minorEastAsia"/>
                <w:b/>
                <w:bCs/>
                <w:color w:val="000000" w:themeColor="text1"/>
                <w:sz w:val="22"/>
                <w:szCs w:val="24"/>
                <w:vertAlign w:val="subscript"/>
                <w14:textFill>
                  <w14:solidFill>
                    <w14:schemeClr w14:val="tx1"/>
                  </w14:solidFill>
                </w14:textFill>
              </w:rPr>
              <w:t>3</w:t>
            </w:r>
          </w:p>
        </w:tc>
      </w:tr>
      <w:bookmarkEnd w:id="315"/>
    </w:tbl>
    <w:p w14:paraId="0FFA165F">
      <w:pPr>
        <w:rPr>
          <w:rFonts w:hint="eastAsia" w:asciiTheme="minorEastAsia" w:hAnsiTheme="minorEastAsia" w:eastAsiaTheme="minorEastAsia" w:cstheme="minorEastAsia"/>
          <w:sz w:val="22"/>
          <w:szCs w:val="16"/>
        </w:rPr>
      </w:pPr>
      <w:r>
        <w:rPr>
          <w:rFonts w:hint="eastAsia" w:asciiTheme="minorEastAsia" w:hAnsiTheme="minorEastAsia" w:eastAsiaTheme="minorEastAsia" w:cstheme="minorEastAsia"/>
          <w:sz w:val="22"/>
          <w:szCs w:val="16"/>
        </w:rPr>
        <w:br w:type="page"/>
      </w:r>
    </w:p>
    <w:bookmarkEnd w:id="305"/>
    <w:p w14:paraId="083904C5">
      <w:pPr>
        <w:pStyle w:val="3"/>
        <w:spacing w:line="600" w:lineRule="auto"/>
        <w:jc w:val="center"/>
        <w:rPr>
          <w:rFonts w:hint="eastAsia" w:asciiTheme="minorEastAsia" w:hAnsiTheme="minorEastAsia" w:eastAsiaTheme="minorEastAsia" w:cstheme="minorEastAsia"/>
          <w:b/>
          <w:bCs w:val="0"/>
          <w:sz w:val="36"/>
          <w:szCs w:val="22"/>
        </w:rPr>
      </w:pPr>
      <w:bookmarkStart w:id="316" w:name="_Toc32530"/>
      <w:bookmarkStart w:id="317" w:name="_Toc24604"/>
      <w:r>
        <w:rPr>
          <w:rFonts w:hint="eastAsia" w:asciiTheme="minorEastAsia" w:hAnsiTheme="minorEastAsia" w:eastAsiaTheme="minorEastAsia" w:cstheme="minorEastAsia"/>
          <w:b/>
          <w:bCs w:val="0"/>
          <w:sz w:val="36"/>
          <w:szCs w:val="22"/>
        </w:rPr>
        <w:t>第五章 采购需求</w:t>
      </w:r>
      <w:bookmarkEnd w:id="316"/>
    </w:p>
    <w:p w14:paraId="0EB08233">
      <w:pPr>
        <w:pStyle w:val="4"/>
        <w:numPr>
          <w:ilvl w:val="0"/>
          <w:numId w:val="0"/>
        </w:numPr>
        <w:spacing w:line="315" w:lineRule="auto"/>
        <w:ind w:leftChars="0"/>
        <w:jc w:val="center"/>
        <w:rPr>
          <w:rFonts w:hint="eastAsia" w:eastAsia="宋体" w:cs="Times New Roman"/>
          <w:color w:val="000000" w:themeColor="text1"/>
          <w:sz w:val="32"/>
          <w:szCs w:val="40"/>
          <w:lang w:val="en-US" w:eastAsia="zh-CN"/>
          <w14:textFill>
            <w14:solidFill>
              <w14:schemeClr w14:val="tx1"/>
            </w14:solidFill>
          </w14:textFill>
        </w:rPr>
      </w:pPr>
      <w:bookmarkStart w:id="318" w:name="_Toc31333"/>
      <w:bookmarkStart w:id="319" w:name="_Toc21887"/>
      <w:bookmarkStart w:id="320" w:name="_Toc32328"/>
      <w:bookmarkStart w:id="321" w:name="_Toc5653"/>
      <w:bookmarkStart w:id="322" w:name="_Toc16881"/>
      <w:bookmarkStart w:id="323" w:name="_Toc3202"/>
      <w:bookmarkStart w:id="324" w:name="_Toc8845"/>
      <w:r>
        <w:rPr>
          <w:rFonts w:hint="eastAsia" w:eastAsia="宋体" w:cs="Times New Roman"/>
          <w:color w:val="000000" w:themeColor="text1"/>
          <w:sz w:val="32"/>
          <w:szCs w:val="40"/>
          <w:lang w:val="en-US" w:eastAsia="zh-CN"/>
          <w14:textFill>
            <w14:solidFill>
              <w14:schemeClr w14:val="tx1"/>
            </w14:solidFill>
          </w14:textFill>
        </w:rPr>
        <w:t>第一节 采购清单一览表</w:t>
      </w:r>
      <w:bookmarkEnd w:id="318"/>
    </w:p>
    <w:tbl>
      <w:tblPr>
        <w:tblStyle w:val="91"/>
        <w:tblW w:w="97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7"/>
        <w:gridCol w:w="6568"/>
        <w:gridCol w:w="1070"/>
        <w:gridCol w:w="1070"/>
      </w:tblGrid>
      <w:tr w14:paraId="5A9B3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067" w:type="dxa"/>
            <w:vAlign w:val="center"/>
          </w:tcPr>
          <w:p w14:paraId="627DEFE7">
            <w:pPr>
              <w:snapToGrid w:val="0"/>
              <w:ind w:left="0" w:leftChars="0" w:right="0" w:rightChars="0" w:firstLine="0" w:firstLineChars="0"/>
              <w:jc w:val="center"/>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序号</w:t>
            </w:r>
          </w:p>
        </w:tc>
        <w:tc>
          <w:tcPr>
            <w:tcW w:w="6568" w:type="dxa"/>
            <w:vAlign w:val="center"/>
          </w:tcPr>
          <w:p w14:paraId="70FC9D63">
            <w:pPr>
              <w:snapToGrid w:val="0"/>
              <w:ind w:left="0" w:leftChars="0" w:right="0" w:rightChars="0" w:firstLine="0" w:firstLineChars="0"/>
              <w:jc w:val="center"/>
              <w:rPr>
                <w:rFonts w:hint="default"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标的名称</w:t>
            </w:r>
          </w:p>
        </w:tc>
        <w:tc>
          <w:tcPr>
            <w:tcW w:w="1070" w:type="dxa"/>
            <w:vAlign w:val="center"/>
          </w:tcPr>
          <w:p w14:paraId="1D209BAD">
            <w:pPr>
              <w:snapToGrid w:val="0"/>
              <w:ind w:left="0" w:leftChars="0" w:right="0" w:rightChars="0" w:firstLine="0" w:firstLineChars="0"/>
              <w:jc w:val="center"/>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数量</w:t>
            </w:r>
          </w:p>
        </w:tc>
        <w:tc>
          <w:tcPr>
            <w:tcW w:w="1070" w:type="dxa"/>
            <w:vAlign w:val="center"/>
          </w:tcPr>
          <w:p w14:paraId="15BD1A0B">
            <w:pPr>
              <w:snapToGrid w:val="0"/>
              <w:ind w:left="0" w:leftChars="0" w:right="0" w:rightChars="0" w:firstLine="0" w:firstLineChars="0"/>
              <w:jc w:val="center"/>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备注</w:t>
            </w:r>
          </w:p>
        </w:tc>
      </w:tr>
      <w:tr w14:paraId="7242A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7" w:type="dxa"/>
            <w:vAlign w:val="center"/>
          </w:tcPr>
          <w:p w14:paraId="72A8A851">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w:t>
            </w:r>
          </w:p>
        </w:tc>
        <w:tc>
          <w:tcPr>
            <w:tcW w:w="6568" w:type="dxa"/>
            <w:shd w:val="clear" w:color="auto" w:fill="auto"/>
            <w:vAlign w:val="center"/>
          </w:tcPr>
          <w:p w14:paraId="022F2A3B">
            <w:pPr>
              <w:snapToGrid w:val="0"/>
              <w:ind w:left="0" w:leftChars="0" w:right="0" w:rightChars="0" w:firstLine="0" w:firstLineChars="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医共体管理平台</w:t>
            </w:r>
          </w:p>
        </w:tc>
        <w:tc>
          <w:tcPr>
            <w:tcW w:w="1070" w:type="dxa"/>
            <w:vAlign w:val="center"/>
          </w:tcPr>
          <w:p w14:paraId="0BA92F84">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w:t>
            </w:r>
            <w:r>
              <w:rPr>
                <w:rFonts w:hint="eastAsia" w:ascii="宋体" w:hAnsi="宋体" w:cs="宋体"/>
                <w:color w:val="000000" w:themeColor="text1"/>
                <w:kern w:val="0"/>
                <w:sz w:val="24"/>
                <w:szCs w:val="24"/>
                <w:lang w:val="en-US" w:eastAsia="zh-CN" w:bidi="ar"/>
                <w14:textFill>
                  <w14:solidFill>
                    <w14:schemeClr w14:val="tx1"/>
                  </w14:solidFill>
                </w14:textFill>
              </w:rPr>
              <w:t>个</w:t>
            </w:r>
          </w:p>
        </w:tc>
        <w:tc>
          <w:tcPr>
            <w:tcW w:w="1070" w:type="dxa"/>
            <w:vAlign w:val="center"/>
          </w:tcPr>
          <w:p w14:paraId="324565E4">
            <w:pPr>
              <w:snapToGrid w:val="0"/>
              <w:ind w:left="0" w:leftChars="0" w:right="0" w:rightChars="0" w:firstLine="0" w:firstLineChars="0"/>
              <w:jc w:val="center"/>
              <w:rPr>
                <w:rFonts w:hint="default"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县域</w:t>
            </w:r>
          </w:p>
        </w:tc>
      </w:tr>
      <w:tr w14:paraId="753B2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7" w:type="dxa"/>
            <w:vAlign w:val="center"/>
          </w:tcPr>
          <w:p w14:paraId="21EA0164">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2</w:t>
            </w:r>
          </w:p>
        </w:tc>
        <w:tc>
          <w:tcPr>
            <w:tcW w:w="6568" w:type="dxa"/>
            <w:shd w:val="clear" w:color="auto" w:fill="auto"/>
            <w:vAlign w:val="center"/>
          </w:tcPr>
          <w:p w14:paraId="79016430">
            <w:pPr>
              <w:snapToGrid w:val="0"/>
              <w:ind w:left="0" w:leftChars="0" w:right="0" w:rightChars="0" w:firstLine="0" w:firstLineChars="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卫生统计与决策分析系统</w:t>
            </w:r>
          </w:p>
        </w:tc>
        <w:tc>
          <w:tcPr>
            <w:tcW w:w="1070" w:type="dxa"/>
            <w:vAlign w:val="center"/>
          </w:tcPr>
          <w:p w14:paraId="74572F23">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1套</w:t>
            </w:r>
          </w:p>
        </w:tc>
        <w:tc>
          <w:tcPr>
            <w:tcW w:w="1070" w:type="dxa"/>
            <w:vAlign w:val="center"/>
          </w:tcPr>
          <w:p w14:paraId="5574899D">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县域</w:t>
            </w:r>
          </w:p>
        </w:tc>
      </w:tr>
      <w:tr w14:paraId="14FF7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7" w:type="dxa"/>
            <w:shd w:val="clear" w:color="auto" w:fill="auto"/>
            <w:vAlign w:val="center"/>
          </w:tcPr>
          <w:p w14:paraId="1258F089">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3</w:t>
            </w:r>
          </w:p>
        </w:tc>
        <w:tc>
          <w:tcPr>
            <w:tcW w:w="6568" w:type="dxa"/>
            <w:shd w:val="clear" w:color="auto" w:fill="auto"/>
            <w:vAlign w:val="center"/>
          </w:tcPr>
          <w:p w14:paraId="42289DF9">
            <w:pPr>
              <w:snapToGrid w:val="0"/>
              <w:ind w:left="0" w:leftChars="0" w:right="0" w:rightChars="0" w:firstLine="0" w:firstLineChars="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居民电子健康档案管理系统</w:t>
            </w:r>
          </w:p>
        </w:tc>
        <w:tc>
          <w:tcPr>
            <w:tcW w:w="1070" w:type="dxa"/>
            <w:vAlign w:val="center"/>
          </w:tcPr>
          <w:p w14:paraId="3E2554E0">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1套</w:t>
            </w:r>
          </w:p>
        </w:tc>
        <w:tc>
          <w:tcPr>
            <w:tcW w:w="1070" w:type="dxa"/>
            <w:vAlign w:val="center"/>
          </w:tcPr>
          <w:p w14:paraId="3B7E41DE">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县域</w:t>
            </w:r>
          </w:p>
        </w:tc>
      </w:tr>
      <w:tr w14:paraId="11F5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7" w:type="dxa"/>
            <w:shd w:val="clear" w:color="auto" w:fill="auto"/>
            <w:vAlign w:val="center"/>
          </w:tcPr>
          <w:p w14:paraId="0D3DB7F2">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4</w:t>
            </w:r>
          </w:p>
        </w:tc>
        <w:tc>
          <w:tcPr>
            <w:tcW w:w="6568" w:type="dxa"/>
            <w:shd w:val="clear" w:color="auto" w:fill="auto"/>
            <w:vAlign w:val="center"/>
          </w:tcPr>
          <w:p w14:paraId="4DBE96CB">
            <w:pPr>
              <w:snapToGrid w:val="0"/>
              <w:ind w:left="0" w:leftChars="0" w:right="0" w:rightChars="0" w:firstLine="0" w:firstLineChars="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居民健康一卡通管理系统（含电子卡）</w:t>
            </w:r>
          </w:p>
        </w:tc>
        <w:tc>
          <w:tcPr>
            <w:tcW w:w="1070" w:type="dxa"/>
            <w:vAlign w:val="center"/>
          </w:tcPr>
          <w:p w14:paraId="056CFAE8">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1套</w:t>
            </w:r>
          </w:p>
        </w:tc>
        <w:tc>
          <w:tcPr>
            <w:tcW w:w="1070" w:type="dxa"/>
            <w:vAlign w:val="center"/>
          </w:tcPr>
          <w:p w14:paraId="3E6EAF66">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县域</w:t>
            </w:r>
          </w:p>
        </w:tc>
      </w:tr>
      <w:tr w14:paraId="59E06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7" w:type="dxa"/>
            <w:shd w:val="clear" w:color="auto" w:fill="auto"/>
            <w:vAlign w:val="center"/>
          </w:tcPr>
          <w:p w14:paraId="1CC9D89B">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5</w:t>
            </w:r>
          </w:p>
        </w:tc>
        <w:tc>
          <w:tcPr>
            <w:tcW w:w="6568" w:type="dxa"/>
            <w:shd w:val="clear" w:color="auto" w:fill="auto"/>
            <w:vAlign w:val="center"/>
          </w:tcPr>
          <w:p w14:paraId="6ABF71F2">
            <w:pPr>
              <w:snapToGrid w:val="0"/>
              <w:ind w:left="0" w:leftChars="0" w:right="0" w:rightChars="0" w:firstLine="0" w:firstLineChars="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可视化监管大屏系统</w:t>
            </w:r>
          </w:p>
        </w:tc>
        <w:tc>
          <w:tcPr>
            <w:tcW w:w="1070" w:type="dxa"/>
            <w:vAlign w:val="center"/>
          </w:tcPr>
          <w:p w14:paraId="3E452205">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1套</w:t>
            </w:r>
          </w:p>
        </w:tc>
        <w:tc>
          <w:tcPr>
            <w:tcW w:w="1070" w:type="dxa"/>
            <w:vAlign w:val="center"/>
          </w:tcPr>
          <w:p w14:paraId="2DE3353E">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县域</w:t>
            </w:r>
          </w:p>
        </w:tc>
      </w:tr>
      <w:tr w14:paraId="000D2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7" w:type="dxa"/>
            <w:shd w:val="clear" w:color="auto" w:fill="auto"/>
            <w:vAlign w:val="center"/>
          </w:tcPr>
          <w:p w14:paraId="0D350E90">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6</w:t>
            </w:r>
          </w:p>
        </w:tc>
        <w:tc>
          <w:tcPr>
            <w:tcW w:w="6568" w:type="dxa"/>
            <w:shd w:val="clear" w:color="auto" w:fill="auto"/>
            <w:vAlign w:val="center"/>
          </w:tcPr>
          <w:p w14:paraId="47CE9582">
            <w:pPr>
              <w:snapToGrid w:val="0"/>
              <w:ind w:left="0" w:leftChars="0" w:right="0" w:rightChars="0" w:firstLine="0" w:firstLineChars="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便民惠民服务平台</w:t>
            </w:r>
          </w:p>
        </w:tc>
        <w:tc>
          <w:tcPr>
            <w:tcW w:w="1070" w:type="dxa"/>
            <w:vAlign w:val="center"/>
          </w:tcPr>
          <w:p w14:paraId="3E8C39EA">
            <w:pPr>
              <w:snapToGrid w:val="0"/>
              <w:ind w:left="0" w:leftChars="0" w:right="0" w:rightChars="0" w:firstLine="0" w:firstLineChars="0"/>
              <w:jc w:val="center"/>
              <w:rPr>
                <w:rFonts w:hint="default"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w:t>
            </w:r>
            <w:r>
              <w:rPr>
                <w:rFonts w:hint="eastAsia" w:ascii="宋体" w:hAnsi="宋体" w:cs="宋体"/>
                <w:color w:val="000000" w:themeColor="text1"/>
                <w:kern w:val="0"/>
                <w:sz w:val="24"/>
                <w:szCs w:val="24"/>
                <w:lang w:val="en-US" w:eastAsia="zh-CN" w:bidi="ar"/>
                <w14:textFill>
                  <w14:solidFill>
                    <w14:schemeClr w14:val="tx1"/>
                  </w14:solidFill>
                </w14:textFill>
              </w:rPr>
              <w:t>个</w:t>
            </w:r>
          </w:p>
        </w:tc>
        <w:tc>
          <w:tcPr>
            <w:tcW w:w="1070" w:type="dxa"/>
            <w:vAlign w:val="center"/>
          </w:tcPr>
          <w:p w14:paraId="32FA5577">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县域</w:t>
            </w:r>
          </w:p>
        </w:tc>
      </w:tr>
      <w:tr w14:paraId="7D92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7" w:type="dxa"/>
            <w:shd w:val="clear" w:color="auto" w:fill="auto"/>
            <w:vAlign w:val="center"/>
          </w:tcPr>
          <w:p w14:paraId="2FF446BA">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7</w:t>
            </w:r>
          </w:p>
        </w:tc>
        <w:tc>
          <w:tcPr>
            <w:tcW w:w="6568" w:type="dxa"/>
            <w:shd w:val="clear" w:color="auto" w:fill="auto"/>
            <w:vAlign w:val="center"/>
          </w:tcPr>
          <w:p w14:paraId="1A47A95B">
            <w:pPr>
              <w:snapToGrid w:val="0"/>
              <w:ind w:left="0" w:leftChars="0" w:right="0" w:rightChars="0" w:firstLine="0" w:firstLineChars="0"/>
              <w:jc w:val="left"/>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医保结算清单系统</w:t>
            </w:r>
          </w:p>
        </w:tc>
        <w:tc>
          <w:tcPr>
            <w:tcW w:w="1070" w:type="dxa"/>
            <w:vAlign w:val="center"/>
          </w:tcPr>
          <w:p w14:paraId="10CFDB10">
            <w:pPr>
              <w:snapToGrid w:val="0"/>
              <w:ind w:left="0" w:leftChars="0" w:right="0" w:righ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1</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套</w:t>
            </w:r>
          </w:p>
        </w:tc>
        <w:tc>
          <w:tcPr>
            <w:tcW w:w="1070" w:type="dxa"/>
            <w:vAlign w:val="center"/>
          </w:tcPr>
          <w:p w14:paraId="0ACB6495">
            <w:pPr>
              <w:snapToGrid w:val="0"/>
              <w:ind w:left="0" w:leftChars="0" w:right="0" w:rightChars="0" w:firstLine="0" w:firstLineChars="0"/>
              <w:jc w:val="center"/>
              <w:rPr>
                <w:rFonts w:hint="default"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县域</w:t>
            </w:r>
          </w:p>
        </w:tc>
      </w:tr>
      <w:tr w14:paraId="7DD60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7" w:type="dxa"/>
            <w:shd w:val="clear" w:color="auto" w:fill="auto"/>
            <w:vAlign w:val="center"/>
          </w:tcPr>
          <w:p w14:paraId="17AFFA5A">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8</w:t>
            </w:r>
          </w:p>
        </w:tc>
        <w:tc>
          <w:tcPr>
            <w:tcW w:w="6568" w:type="dxa"/>
            <w:shd w:val="clear" w:color="auto" w:fill="auto"/>
            <w:vAlign w:val="center"/>
          </w:tcPr>
          <w:p w14:paraId="570A67CD">
            <w:pPr>
              <w:snapToGrid w:val="0"/>
              <w:ind w:left="0" w:leftChars="0" w:right="0" w:rightChars="0" w:firstLine="0" w:firstLineChars="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医共体检验中心系统</w:t>
            </w:r>
          </w:p>
        </w:tc>
        <w:tc>
          <w:tcPr>
            <w:tcW w:w="1070" w:type="dxa"/>
            <w:vAlign w:val="center"/>
          </w:tcPr>
          <w:p w14:paraId="120A98D2">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1套</w:t>
            </w:r>
          </w:p>
        </w:tc>
        <w:tc>
          <w:tcPr>
            <w:tcW w:w="1070" w:type="dxa"/>
            <w:vAlign w:val="center"/>
          </w:tcPr>
          <w:p w14:paraId="545D575A">
            <w:pPr>
              <w:snapToGrid w:val="0"/>
              <w:ind w:left="0" w:leftChars="0" w:right="0" w:rightChars="0" w:firstLine="0" w:firstLineChars="0"/>
              <w:jc w:val="center"/>
              <w:rPr>
                <w:rFonts w:hint="default"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县域</w:t>
            </w:r>
          </w:p>
        </w:tc>
      </w:tr>
      <w:tr w14:paraId="6C5DF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7" w:type="dxa"/>
            <w:shd w:val="clear" w:color="auto" w:fill="auto"/>
            <w:vAlign w:val="center"/>
          </w:tcPr>
          <w:p w14:paraId="7621D7A7">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9</w:t>
            </w:r>
          </w:p>
        </w:tc>
        <w:tc>
          <w:tcPr>
            <w:tcW w:w="6568" w:type="dxa"/>
            <w:shd w:val="clear" w:color="auto" w:fill="auto"/>
            <w:vAlign w:val="center"/>
          </w:tcPr>
          <w:p w14:paraId="74C5A10A">
            <w:pPr>
              <w:snapToGrid w:val="0"/>
              <w:ind w:left="0" w:leftChars="0" w:right="0" w:rightChars="0" w:firstLine="0" w:firstLineChars="0"/>
              <w:jc w:val="left"/>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医共体中心药房系统</w:t>
            </w:r>
          </w:p>
        </w:tc>
        <w:tc>
          <w:tcPr>
            <w:tcW w:w="1070" w:type="dxa"/>
            <w:vAlign w:val="center"/>
          </w:tcPr>
          <w:p w14:paraId="7115035F">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1套</w:t>
            </w:r>
          </w:p>
        </w:tc>
        <w:tc>
          <w:tcPr>
            <w:tcW w:w="1070" w:type="dxa"/>
            <w:vAlign w:val="center"/>
          </w:tcPr>
          <w:p w14:paraId="239BE718">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县域</w:t>
            </w:r>
          </w:p>
        </w:tc>
      </w:tr>
      <w:tr w14:paraId="4949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7" w:type="dxa"/>
            <w:shd w:val="clear" w:color="auto" w:fill="auto"/>
            <w:vAlign w:val="center"/>
          </w:tcPr>
          <w:p w14:paraId="349BC20F">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10</w:t>
            </w:r>
          </w:p>
        </w:tc>
        <w:tc>
          <w:tcPr>
            <w:tcW w:w="6568" w:type="dxa"/>
            <w:shd w:val="clear" w:color="auto" w:fill="auto"/>
            <w:vAlign w:val="center"/>
          </w:tcPr>
          <w:p w14:paraId="0323CF11">
            <w:pPr>
              <w:snapToGrid w:val="0"/>
              <w:ind w:left="0" w:leftChars="0" w:right="0" w:rightChars="0" w:firstLine="0" w:firstLineChars="0"/>
              <w:jc w:val="left"/>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区域审方中心系统</w:t>
            </w:r>
          </w:p>
        </w:tc>
        <w:tc>
          <w:tcPr>
            <w:tcW w:w="1070" w:type="dxa"/>
            <w:vAlign w:val="center"/>
          </w:tcPr>
          <w:p w14:paraId="1AEECF91">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1套</w:t>
            </w:r>
          </w:p>
        </w:tc>
        <w:tc>
          <w:tcPr>
            <w:tcW w:w="1070" w:type="dxa"/>
            <w:vAlign w:val="center"/>
          </w:tcPr>
          <w:p w14:paraId="3A5B0244">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县域</w:t>
            </w:r>
          </w:p>
        </w:tc>
      </w:tr>
      <w:tr w14:paraId="7113C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7" w:type="dxa"/>
            <w:shd w:val="clear" w:color="auto" w:fill="auto"/>
            <w:vAlign w:val="center"/>
          </w:tcPr>
          <w:p w14:paraId="02C6F799">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11</w:t>
            </w:r>
          </w:p>
        </w:tc>
        <w:tc>
          <w:tcPr>
            <w:tcW w:w="6568" w:type="dxa"/>
            <w:shd w:val="clear" w:color="auto" w:fill="auto"/>
            <w:vAlign w:val="center"/>
          </w:tcPr>
          <w:p w14:paraId="271CA400">
            <w:pPr>
              <w:snapToGrid w:val="0"/>
              <w:ind w:left="0" w:leftChars="0" w:right="0" w:rightChars="0" w:firstLine="0" w:firstLineChars="0"/>
              <w:jc w:val="left"/>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病案管理系统</w:t>
            </w:r>
          </w:p>
        </w:tc>
        <w:tc>
          <w:tcPr>
            <w:tcW w:w="1070" w:type="dxa"/>
            <w:vAlign w:val="center"/>
          </w:tcPr>
          <w:p w14:paraId="0D067762">
            <w:pPr>
              <w:snapToGrid w:val="0"/>
              <w:ind w:left="0" w:leftChars="0" w:right="0" w:righ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1</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套</w:t>
            </w:r>
          </w:p>
        </w:tc>
        <w:tc>
          <w:tcPr>
            <w:tcW w:w="1070" w:type="dxa"/>
            <w:vAlign w:val="center"/>
          </w:tcPr>
          <w:p w14:paraId="639C8656">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县域</w:t>
            </w:r>
          </w:p>
        </w:tc>
      </w:tr>
      <w:tr w14:paraId="4DA9D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7" w:type="dxa"/>
            <w:shd w:val="clear" w:color="auto" w:fill="auto"/>
            <w:vAlign w:val="center"/>
          </w:tcPr>
          <w:p w14:paraId="32C5254A">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12</w:t>
            </w:r>
          </w:p>
        </w:tc>
        <w:tc>
          <w:tcPr>
            <w:tcW w:w="6568" w:type="dxa"/>
            <w:shd w:val="clear" w:color="auto" w:fill="auto"/>
            <w:vAlign w:val="center"/>
          </w:tcPr>
          <w:p w14:paraId="45570D57">
            <w:pPr>
              <w:snapToGrid w:val="0"/>
              <w:ind w:left="0" w:leftChars="0" w:right="0" w:rightChars="0" w:firstLine="0" w:firstLineChars="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慢病管控平台</w:t>
            </w:r>
          </w:p>
        </w:tc>
        <w:tc>
          <w:tcPr>
            <w:tcW w:w="1070" w:type="dxa"/>
            <w:vAlign w:val="center"/>
          </w:tcPr>
          <w:p w14:paraId="3B826E37">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1套</w:t>
            </w:r>
          </w:p>
        </w:tc>
        <w:tc>
          <w:tcPr>
            <w:tcW w:w="1070" w:type="dxa"/>
            <w:vAlign w:val="center"/>
          </w:tcPr>
          <w:p w14:paraId="7C775953">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县域</w:t>
            </w:r>
          </w:p>
        </w:tc>
      </w:tr>
      <w:tr w14:paraId="245E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7" w:type="dxa"/>
            <w:shd w:val="clear" w:color="auto" w:fill="auto"/>
            <w:vAlign w:val="center"/>
          </w:tcPr>
          <w:p w14:paraId="0DB30148">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13</w:t>
            </w:r>
          </w:p>
        </w:tc>
        <w:tc>
          <w:tcPr>
            <w:tcW w:w="6568" w:type="dxa"/>
            <w:shd w:val="clear" w:color="auto" w:fill="auto"/>
            <w:vAlign w:val="center"/>
          </w:tcPr>
          <w:p w14:paraId="5D85034C">
            <w:pPr>
              <w:snapToGrid w:val="0"/>
              <w:ind w:left="0" w:leftChars="0" w:right="0" w:rightChars="0" w:firstLine="0" w:firstLineChars="0"/>
              <w:jc w:val="left"/>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药品、耗材追溯</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码管理系统</w:t>
            </w:r>
          </w:p>
        </w:tc>
        <w:tc>
          <w:tcPr>
            <w:tcW w:w="1070" w:type="dxa"/>
            <w:vAlign w:val="center"/>
          </w:tcPr>
          <w:p w14:paraId="78F89519">
            <w:pPr>
              <w:snapToGrid w:val="0"/>
              <w:ind w:left="0" w:leftChars="0" w:right="0" w:righ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1</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套</w:t>
            </w:r>
          </w:p>
        </w:tc>
        <w:tc>
          <w:tcPr>
            <w:tcW w:w="1070" w:type="dxa"/>
            <w:vAlign w:val="center"/>
          </w:tcPr>
          <w:p w14:paraId="0DD62143">
            <w:pPr>
              <w:snapToGrid w:val="0"/>
              <w:ind w:left="0" w:leftChars="0" w:right="0" w:righ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县域</w:t>
            </w:r>
          </w:p>
        </w:tc>
      </w:tr>
      <w:tr w14:paraId="355CA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7" w:type="dxa"/>
            <w:shd w:val="clear" w:color="auto" w:fill="auto"/>
            <w:vAlign w:val="center"/>
          </w:tcPr>
          <w:p w14:paraId="50620793">
            <w:pPr>
              <w:snapToGrid w:val="0"/>
              <w:ind w:left="0" w:leftChars="0" w:right="0" w:rightChars="0" w:firstLine="0" w:firstLineChars="0"/>
              <w:jc w:val="center"/>
              <w:rPr>
                <w:rFonts w:hint="default"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14</w:t>
            </w:r>
          </w:p>
        </w:tc>
        <w:tc>
          <w:tcPr>
            <w:tcW w:w="6568" w:type="dxa"/>
            <w:shd w:val="clear" w:color="auto" w:fill="auto"/>
            <w:vAlign w:val="center"/>
          </w:tcPr>
          <w:p w14:paraId="3053066A">
            <w:pPr>
              <w:snapToGrid w:val="0"/>
              <w:ind w:left="0" w:leftChars="0" w:right="0" w:rightChars="0" w:firstLine="0" w:firstLineChars="0"/>
              <w:jc w:val="left"/>
              <w:rPr>
                <w:rFonts w:hint="default" w:ascii="宋体" w:hAnsi="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基层智能辅助诊疗系统对接</w:t>
            </w:r>
          </w:p>
        </w:tc>
        <w:tc>
          <w:tcPr>
            <w:tcW w:w="1070" w:type="dxa"/>
            <w:vAlign w:val="center"/>
          </w:tcPr>
          <w:p w14:paraId="5B778EB4">
            <w:pPr>
              <w:snapToGrid w:val="0"/>
              <w:ind w:left="0" w:leftChars="0" w:right="0" w:rightChars="0" w:firstLine="0" w:firstLineChars="0"/>
              <w:jc w:val="center"/>
              <w:rPr>
                <w:rFonts w:hint="default" w:ascii="宋体" w:hAnsi="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1套</w:t>
            </w:r>
          </w:p>
        </w:tc>
        <w:tc>
          <w:tcPr>
            <w:tcW w:w="1070" w:type="dxa"/>
            <w:vAlign w:val="center"/>
          </w:tcPr>
          <w:p w14:paraId="7CB24FA4">
            <w:pPr>
              <w:snapToGrid w:val="0"/>
              <w:ind w:left="0" w:leftChars="0" w:right="0" w:rightChars="0" w:firstLine="0" w:firstLineChars="0"/>
              <w:jc w:val="center"/>
              <w:rPr>
                <w:rFonts w:hint="eastAsia" w:ascii="宋体" w:hAnsi="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县域</w:t>
            </w:r>
          </w:p>
        </w:tc>
      </w:tr>
    </w:tbl>
    <w:p w14:paraId="70E85961">
      <w:pPr>
        <w:tabs>
          <w:tab w:val="left" w:pos="0"/>
        </w:tabs>
        <w:spacing w:line="240" w:lineRule="auto"/>
        <w:ind w:right="-6" w:firstLine="241" w:firstLineChars="100"/>
        <w:rPr>
          <w:rFonts w:hint="eastAsia" w:asciiTheme="minorEastAsia" w:hAnsiTheme="minorEastAsia" w:eastAsiaTheme="minorEastAsia" w:cstheme="minorEastAsia"/>
          <w:b/>
          <w:bCs/>
          <w:color w:val="auto"/>
          <w:kern w:val="0"/>
          <w:sz w:val="28"/>
          <w:szCs w:val="28"/>
          <w:lang w:val="en-US" w:eastAsia="zh-CN"/>
        </w:rPr>
      </w:pPr>
      <w:r>
        <w:rPr>
          <w:rFonts w:hint="eastAsia" w:asciiTheme="minorEastAsia" w:hAnsiTheme="minorEastAsia" w:eastAsiaTheme="minorEastAsia" w:cstheme="minorEastAsia"/>
          <w:b/>
          <w:bCs/>
          <w:color w:val="auto"/>
          <w:sz w:val="24"/>
          <w:szCs w:val="24"/>
        </w:rPr>
        <w:t>注：</w:t>
      </w:r>
      <w:r>
        <w:rPr>
          <w:rFonts w:hint="eastAsia" w:asciiTheme="minorEastAsia" w:hAnsiTheme="minorEastAsia" w:eastAsiaTheme="minorEastAsia" w:cstheme="minorEastAsia"/>
          <w:b/>
          <w:bCs/>
          <w:color w:val="auto"/>
          <w:sz w:val="24"/>
          <w:szCs w:val="24"/>
          <w:lang w:val="en-US" w:eastAsia="zh-CN"/>
        </w:rPr>
        <w:t>投标人应按本节所列标的名称顺序逐序</w:t>
      </w:r>
      <w:r>
        <w:rPr>
          <w:rFonts w:hint="eastAsia" w:asciiTheme="minorEastAsia" w:hAnsiTheme="minorEastAsia" w:eastAsiaTheme="minorEastAsia" w:cstheme="minorEastAsia"/>
          <w:b/>
          <w:bCs/>
          <w:color w:val="auto"/>
          <w:sz w:val="24"/>
          <w:szCs w:val="24"/>
        </w:rPr>
        <w:t>进行分项报价，如有缺项漏项，</w:t>
      </w:r>
      <w:r>
        <w:rPr>
          <w:rFonts w:hint="eastAsia" w:asciiTheme="minorEastAsia" w:hAnsiTheme="minorEastAsia" w:eastAsiaTheme="minorEastAsia" w:cstheme="minorEastAsia"/>
          <w:b/>
          <w:bCs/>
          <w:color w:val="auto"/>
          <w:sz w:val="24"/>
          <w:szCs w:val="24"/>
          <w:lang w:val="en-US" w:eastAsia="zh-CN"/>
        </w:rPr>
        <w:t>其</w:t>
      </w:r>
      <w:r>
        <w:rPr>
          <w:rFonts w:hint="eastAsia" w:asciiTheme="minorEastAsia" w:hAnsiTheme="minorEastAsia" w:eastAsiaTheme="minorEastAsia" w:cstheme="minorEastAsia"/>
          <w:b/>
          <w:bCs/>
          <w:color w:val="auto"/>
          <w:sz w:val="24"/>
          <w:szCs w:val="22"/>
          <w:lang w:val="en-US" w:eastAsia="zh-CN"/>
        </w:rPr>
        <w:t>投标</w:t>
      </w:r>
      <w:r>
        <w:rPr>
          <w:rFonts w:hint="eastAsia" w:asciiTheme="minorEastAsia" w:hAnsiTheme="minorEastAsia" w:eastAsiaTheme="minorEastAsia" w:cstheme="minorEastAsia"/>
          <w:b/>
          <w:bCs/>
          <w:color w:val="auto"/>
          <w:sz w:val="24"/>
          <w:szCs w:val="22"/>
        </w:rPr>
        <w:t>无效</w:t>
      </w:r>
      <w:r>
        <w:rPr>
          <w:rFonts w:hint="eastAsia" w:asciiTheme="minorEastAsia" w:hAnsiTheme="minorEastAsia" w:eastAsiaTheme="minorEastAsia" w:cstheme="minorEastAsia"/>
          <w:b/>
          <w:bCs/>
          <w:color w:val="auto"/>
          <w:sz w:val="24"/>
          <w:szCs w:val="22"/>
          <w:lang w:eastAsia="zh-CN"/>
        </w:rPr>
        <w:t>。</w:t>
      </w:r>
    </w:p>
    <w:p w14:paraId="712F7CC2">
      <w:pPr>
        <w:keepNext w:val="0"/>
        <w:keepLines w:val="0"/>
        <w:pageBreakBefore w:val="0"/>
        <w:widowControl w:val="0"/>
        <w:kinsoku/>
        <w:wordWrap/>
        <w:overflowPunct/>
        <w:topLinePunct w:val="0"/>
        <w:autoSpaceDE/>
        <w:autoSpaceDN/>
        <w:bidi w:val="0"/>
        <w:adjustRightInd/>
        <w:snapToGrid/>
        <w:spacing w:line="308" w:lineRule="auto"/>
        <w:textAlignment w:val="auto"/>
        <w:rPr>
          <w:rFonts w:hint="eastAsia" w:asciiTheme="majorEastAsia" w:hAnsiTheme="majorEastAsia" w:eastAsiaTheme="majorEastAsia" w:cstheme="majorEastAsia"/>
          <w:sz w:val="24"/>
          <w:szCs w:val="24"/>
          <w:lang w:val="en-US" w:eastAsia="zh-CN"/>
        </w:rPr>
      </w:pPr>
    </w:p>
    <w:bookmarkEnd w:id="319"/>
    <w:p w14:paraId="3F343FE0">
      <w:pPr>
        <w:pStyle w:val="4"/>
        <w:numPr>
          <w:ilvl w:val="0"/>
          <w:numId w:val="0"/>
        </w:numPr>
        <w:spacing w:line="315" w:lineRule="auto"/>
        <w:ind w:leftChars="0"/>
        <w:jc w:val="center"/>
        <w:rPr>
          <w:rFonts w:hint="default" w:ascii="仿宋" w:hAnsi="仿宋" w:cs="仿宋"/>
          <w:color w:val="auto"/>
          <w:lang w:val="en-US" w:eastAsia="zh-CN"/>
        </w:rPr>
      </w:pPr>
      <w:bookmarkStart w:id="325" w:name="_Toc31193"/>
      <w:bookmarkStart w:id="326" w:name="_Toc6907"/>
      <w:r>
        <w:rPr>
          <w:rFonts w:hint="eastAsia" w:eastAsia="宋体" w:cs="Times New Roman"/>
          <w:color w:val="000000" w:themeColor="text1"/>
          <w:sz w:val="32"/>
          <w:szCs w:val="40"/>
          <w:lang w:val="en-US" w:eastAsia="zh-CN"/>
          <w14:textFill>
            <w14:solidFill>
              <w14:schemeClr w14:val="tx1"/>
            </w14:solidFill>
          </w14:textFill>
        </w:rPr>
        <w:t>第二节 技术、建设内容和要求</w:t>
      </w:r>
      <w:bookmarkEnd w:id="325"/>
    </w:p>
    <w:p w14:paraId="25B64312">
      <w:pPr>
        <w:widowControl/>
        <w:spacing w:line="312" w:lineRule="auto"/>
        <w:ind w:firstLine="241" w:firstLineChars="100"/>
        <w:jc w:val="left"/>
        <w:rPr>
          <w:rFonts w:hint="default"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一、技术要求</w:t>
      </w:r>
    </w:p>
    <w:p w14:paraId="3BC2E8E2">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技术总体要符合云原生架构体系设计，要求能够提供一定的负载均衡能力，能够提供统一的配置管理中心；能够建设监管平台，包括对数据库资源进行监控，监控数据库的CPU利用率、内存利用率、事务数等，可以对服务器资源进行监控，能够监控服务器相应的CPU使用率、内存信息、系统平均负载、磁盘使用率等，可以对应用程序进行监控，能够监控应用程序的访问并发量QPS、错误率、平均响应时长、内存情况、CPU情况、线程情况等；能够建设完整的服务治理平台，包括微服务的发现注册机制、服务的健康检查机制、服务的负载均衡机制。业务系统能够做到不停服系统更新，能够支持灰度发布，能够提供高可用的技术与高吞吐量的系统设计。系统对内高度耦合、对外弹性开放，要求坚持高度系统一体化、数据一体化的设计思路与思想，包容松散的患者机构人员等数据，能够拥有高度的业务建模抽象设计；</w:t>
      </w:r>
    </w:p>
    <w:p w14:paraId="5441AF7B">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业务数据一体化，构建标准统一的数据基础库应统一患者主索引、统一机构科室、统一人员、统一资源、统一核心字典、统一服务，将门诊、住院等业务整合到一个抽象的服务体系中，通过数据融合技术将分散在各处的数据进行数据集中，打造以患者为核心的数据中心，建立流程、医嘱、诊断等多条主索引，作为所有医疗数据的中心线，实现数据同源。</w:t>
      </w:r>
    </w:p>
    <w:p w14:paraId="29AA5856">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2.业务中台化，建立信息化业务底座 建立统一的业务中台，支撑核心通用业务，将所有业务基于业务中台开展，通过中台，实现上层应用的业务紧密连接，高度互通，规则统一，方便业务扩展和变更。</w:t>
      </w:r>
    </w:p>
    <w:p w14:paraId="458778F7">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3.基于云原生技术，构建高可用服务面向医疗机构的业务要求，利用云原生简单易扩展的优势，提供稳定可靠的应用服务，利用云原生特性，保障在应用快速迭代变化的同时，保持高度的可用性，支持多节点，负载均衡，弹性扩展等特性。</w:t>
      </w:r>
    </w:p>
    <w:p w14:paraId="53A3873D">
      <w:pPr>
        <w:spacing w:line="312" w:lineRule="auto"/>
        <w:ind w:firstLine="480" w:firstLineChars="200"/>
        <w:rPr>
          <w:rFonts w:hint="eastAsia" w:ascii="Times New Roman" w:hAnsi="Times New Roman" w:eastAsia="宋体" w:cs="Times New Roman"/>
          <w:sz w:val="24"/>
          <w:szCs w:val="24"/>
          <w:lang w:val="en-US" w:eastAsia="zh-CN"/>
        </w:rPr>
      </w:pPr>
      <w:r>
        <w:rPr>
          <w:rFonts w:hint="eastAsia" w:asciiTheme="minorEastAsia" w:hAnsiTheme="minorEastAsia" w:eastAsiaTheme="minorEastAsia" w:cstheme="minorEastAsia"/>
          <w:kern w:val="0"/>
          <w:sz w:val="24"/>
          <w:lang w:val="en-US" w:eastAsia="zh-CN" w:bidi="ar"/>
        </w:rPr>
        <w:t>4.方便维护升级，快速响应需求面向医疗机构业务快速变化发展的要求，系统应能够满足医疗机构信息系统能够快速方便地升级，减少因为升级给用户带来的不便。对于医疗机构信息化的扩展，能够方便调整，快速响应变化。</w:t>
      </w:r>
      <w:bookmarkStart w:id="327" w:name="_Toc22435"/>
    </w:p>
    <w:bookmarkEnd w:id="327"/>
    <w:p w14:paraId="05A59E20">
      <w:pPr>
        <w:widowControl/>
        <w:spacing w:line="312" w:lineRule="auto"/>
        <w:ind w:firstLine="241" w:firstLineChars="100"/>
        <w:jc w:val="left"/>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二、软件要求</w:t>
      </w:r>
      <w:bookmarkEnd w:id="326"/>
    </w:p>
    <w:p w14:paraId="35ABEC36">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kern w:val="0"/>
          <w:sz w:val="24"/>
          <w:lang w:val="en-US" w:eastAsia="zh-CN" w:bidi="ar"/>
        </w:rPr>
        <w:t>以下服务所需参数仅供参考，可能涉及某产品（某服务）的极个性化描述，均不作为对投标</w:t>
      </w:r>
      <w:r>
        <w:rPr>
          <w:rFonts w:hint="eastAsia" w:asciiTheme="minorEastAsia" w:hAnsiTheme="minorEastAsia" w:eastAsiaTheme="minorEastAsia" w:cstheme="minorEastAsia"/>
          <w:color w:val="auto"/>
          <w:kern w:val="0"/>
          <w:sz w:val="24"/>
          <w:lang w:val="en-US" w:eastAsia="zh-CN" w:bidi="ar"/>
        </w:rPr>
        <w:t>产品（服务）的特定要求，供应商可提供相当于或优于该产品（服务）参数的产品。</w:t>
      </w:r>
    </w:p>
    <w:p w14:paraId="2004B375">
      <w:pPr>
        <w:spacing w:line="312" w:lineRule="auto"/>
        <w:ind w:firstLine="482" w:firstLineChars="200"/>
        <w:rPr>
          <w:rFonts w:hint="eastAsia" w:asciiTheme="minorEastAsia" w:hAnsiTheme="minorEastAsia" w:eastAsiaTheme="minorEastAsia" w:cstheme="minorEastAsia"/>
          <w:b/>
          <w:bCs/>
          <w:color w:val="auto"/>
          <w:kern w:val="0"/>
          <w:sz w:val="24"/>
          <w:lang w:val="en-US" w:eastAsia="zh-CN" w:bidi="ar"/>
        </w:rPr>
      </w:pPr>
      <w:bookmarkStart w:id="328" w:name="_Toc24836"/>
      <w:r>
        <w:rPr>
          <w:rFonts w:hint="eastAsia" w:asciiTheme="minorEastAsia" w:hAnsiTheme="minorEastAsia" w:eastAsiaTheme="minorEastAsia" w:cstheme="minorEastAsia"/>
          <w:b/>
          <w:bCs/>
          <w:color w:val="auto"/>
          <w:kern w:val="0"/>
          <w:sz w:val="24"/>
          <w:lang w:val="en-US" w:eastAsia="zh-CN" w:bidi="ar"/>
        </w:rPr>
        <w:t>1.医共体管理平台</w:t>
      </w:r>
      <w:bookmarkEnd w:id="328"/>
    </w:p>
    <w:p w14:paraId="617FB0B6">
      <w:pPr>
        <w:spacing w:line="312" w:lineRule="auto"/>
        <w:ind w:firstLine="480" w:firstLineChars="200"/>
        <w:rPr>
          <w:rFonts w:hint="eastAsia" w:asciiTheme="minorEastAsia" w:hAnsiTheme="minorEastAsia" w:eastAsiaTheme="minorEastAsia" w:cstheme="minorEastAsia"/>
          <w:b w:val="0"/>
          <w:bCs w:val="0"/>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1.1首页</w:t>
      </w:r>
    </w:p>
    <w:p w14:paraId="2F943BF1">
      <w:pPr>
        <w:spacing w:line="312" w:lineRule="auto"/>
        <w:ind w:firstLine="480" w:firstLineChars="200"/>
        <w:rPr>
          <w:rFonts w:hint="eastAsia" w:asciiTheme="minorEastAsia" w:hAnsiTheme="minorEastAsia" w:eastAsiaTheme="minorEastAsia" w:cstheme="minorEastAsia"/>
          <w:b w:val="0"/>
          <w:bCs w:val="0"/>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1.1.1医共体成员单位信息</w:t>
      </w:r>
    </w:p>
    <w:p w14:paraId="558B9CA4">
      <w:pPr>
        <w:spacing w:line="312" w:lineRule="auto"/>
        <w:ind w:firstLine="480" w:firstLineChars="200"/>
        <w:rPr>
          <w:rFonts w:hint="eastAsia" w:asciiTheme="minorEastAsia" w:hAnsiTheme="minorEastAsia" w:eastAsiaTheme="minorEastAsia" w:cstheme="minorEastAsia"/>
          <w:b w:val="0"/>
          <w:bCs w:val="0"/>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1.1.1.1区域行政规划地图：应支持显示医共体内区域行政地图，并且支持标明各个分院的名称。</w:t>
      </w:r>
    </w:p>
    <w:p w14:paraId="0BD63BA5">
      <w:pPr>
        <w:spacing w:line="312" w:lineRule="auto"/>
        <w:ind w:firstLine="480" w:firstLineChars="200"/>
        <w:rPr>
          <w:rFonts w:hint="eastAsia" w:asciiTheme="minorEastAsia" w:hAnsiTheme="minorEastAsia" w:eastAsiaTheme="minorEastAsia" w:cstheme="minorEastAsia"/>
          <w:b w:val="0"/>
          <w:bCs w:val="0"/>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1.1.1.2机构总数：应支持显示县级医院总数、乡镇卫生院总数、卫生室总数等信息。</w:t>
      </w:r>
    </w:p>
    <w:p w14:paraId="1F57A16C">
      <w:pPr>
        <w:spacing w:line="312" w:lineRule="auto"/>
        <w:ind w:firstLine="480" w:firstLineChars="200"/>
        <w:rPr>
          <w:rFonts w:hint="eastAsia" w:asciiTheme="minorEastAsia" w:hAnsiTheme="minorEastAsia" w:eastAsiaTheme="minorEastAsia" w:cstheme="minorEastAsia"/>
          <w:b w:val="0"/>
          <w:bCs w:val="0"/>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1.1.1.3常住人口：应支持显示医共体的总常驻人口数。</w:t>
      </w:r>
    </w:p>
    <w:p w14:paraId="3E960D67">
      <w:pPr>
        <w:spacing w:line="312" w:lineRule="auto"/>
        <w:ind w:firstLine="480" w:firstLineChars="200"/>
        <w:rPr>
          <w:rFonts w:hint="eastAsia" w:asciiTheme="minorEastAsia" w:hAnsiTheme="minorEastAsia" w:eastAsiaTheme="minorEastAsia" w:cstheme="minorEastAsia"/>
          <w:b w:val="0"/>
          <w:bCs w:val="0"/>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1.1.1.4建档率：应支持显示医共体的建档人口数、户籍人口数、总建档率。</w:t>
      </w:r>
    </w:p>
    <w:p w14:paraId="03101013">
      <w:pPr>
        <w:spacing w:line="312" w:lineRule="auto"/>
        <w:ind w:firstLine="480" w:firstLineChars="200"/>
        <w:rPr>
          <w:rFonts w:hint="eastAsia" w:asciiTheme="minorEastAsia" w:hAnsiTheme="minorEastAsia" w:eastAsiaTheme="minorEastAsia" w:cstheme="minorEastAsia"/>
          <w:b w:val="0"/>
          <w:bCs w:val="0"/>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1.1.2医共体建设关键指标分析</w:t>
      </w:r>
    </w:p>
    <w:p w14:paraId="4F08F090">
      <w:pPr>
        <w:spacing w:line="312" w:lineRule="auto"/>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heme="minorEastAsia" w:hAnsiTheme="minorEastAsia" w:eastAsiaTheme="minorEastAsia" w:cstheme="minorEastAsia"/>
          <w:b w:val="0"/>
          <w:bCs w:val="0"/>
          <w:color w:val="auto"/>
          <w:kern w:val="0"/>
          <w:sz w:val="24"/>
          <w:lang w:val="en-US" w:eastAsia="zh-CN" w:bidi="ar"/>
        </w:rPr>
        <w:t>▲1.1.2.1就医格局：系统应支持显示医共体内住院人次占比、医共体内就诊率、医共体内基层医疗卫生机构门急诊占比、医共体内基层医疗卫生机构中医药门急诊占比、牵头医院下转患者数量占比、慢病患者基</w:t>
      </w:r>
      <w:r>
        <w:rPr>
          <w:rFonts w:hint="eastAsia" w:ascii="Times New Roman" w:hAnsi="Times New Roman" w:eastAsia="宋体" w:cs="Times New Roman"/>
          <w:b w:val="0"/>
          <w:bCs w:val="0"/>
          <w:color w:val="auto"/>
          <w:sz w:val="24"/>
          <w:szCs w:val="24"/>
          <w:lang w:val="en-US" w:eastAsia="zh-CN"/>
        </w:rPr>
        <w:t>层医疗卫生机构管理率、基层医疗卫生机构人均收入与牵头医院人均收入比值。</w:t>
      </w:r>
    </w:p>
    <w:p w14:paraId="63FD8B34">
      <w:pPr>
        <w:spacing w:line="312" w:lineRule="auto"/>
        <w:ind w:firstLine="480" w:firstLineChars="200"/>
        <w:rPr>
          <w:rFonts w:hint="eastAsia" w:asciiTheme="minorEastAsia" w:hAnsiTheme="minorEastAsia" w:eastAsiaTheme="minorEastAsia" w:cstheme="minorEastAsia"/>
          <w:b w:val="0"/>
          <w:bCs w:val="0"/>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1.1.2.2县域医疗卫生服务能力：应支持显示牵头医院是否达到县级综合医院或中医医院综合能力推荐标准、牵头医院出院患者三四级手术比例、区域内万人口全科医生数、牵头医院帮助基层开展新技术、新项目的数量、“优质服务基层行”活动达到基本标准和推荐标准的机构数量、国家基本公共卫生服务项目实施情况。</w:t>
      </w:r>
    </w:p>
    <w:p w14:paraId="717674C2">
      <w:pPr>
        <w:spacing w:line="312" w:lineRule="auto"/>
        <w:ind w:firstLine="480" w:firstLineChars="200"/>
        <w:rPr>
          <w:rFonts w:hint="eastAsia" w:asciiTheme="minorEastAsia" w:hAnsiTheme="minorEastAsia" w:eastAsiaTheme="minorEastAsia" w:cstheme="minorEastAsia"/>
          <w:b w:val="0"/>
          <w:bCs w:val="0"/>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1.1.2.3医疗卫生资源利用：应支持显示牵头医院医疗服务收入占医疗收入的比例、基层医院医疗服务收入占医疗收入的比例、基层医疗卫生机构医师日均担负诊疗人次、基层医疗卫生机构床位使用率、牵头医院人员经费占业务支出比例、基层医疗卫生机构财政补助收入占总收入的比例。</w:t>
      </w:r>
    </w:p>
    <w:p w14:paraId="690A8CF5">
      <w:pPr>
        <w:spacing w:line="312" w:lineRule="auto"/>
        <w:ind w:firstLine="480" w:firstLineChars="200"/>
        <w:rPr>
          <w:rFonts w:hint="eastAsia" w:asciiTheme="minorEastAsia" w:hAnsiTheme="minorEastAsia" w:eastAsiaTheme="minorEastAsia" w:cstheme="minorEastAsia"/>
          <w:b w:val="0"/>
          <w:bCs w:val="0"/>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1.1.2.4医保基金使用：应支持显示医保基金医共体内支出率(不含药店)、医共体内基层医疗卫生机构医保基金占比、医保考核结果、县域门诊次均费用、参保人员年住院率、住院费用实际报销比等关键指标分析。</w:t>
      </w:r>
    </w:p>
    <w:p w14:paraId="582360C6">
      <w:pPr>
        <w:spacing w:line="312" w:lineRule="auto"/>
        <w:ind w:firstLine="480" w:firstLineChars="200"/>
        <w:rPr>
          <w:rFonts w:hint="eastAsia" w:asciiTheme="minorEastAsia" w:hAnsiTheme="minorEastAsia" w:eastAsiaTheme="minorEastAsia" w:cstheme="minorEastAsia"/>
          <w:b w:val="0"/>
          <w:bCs w:val="0"/>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1.2业务数据统计：系统应支持根据申请机构、申请时间、患者姓名等条件进行查询，应支持展示患者姓名、患者性别、患者年龄、申请机构、申请医师、申请时间、报告来源、审核机构、审核医师、审核时间、审核状态等信息。</w:t>
      </w:r>
    </w:p>
    <w:p w14:paraId="26DC10B3">
      <w:pPr>
        <w:spacing w:line="312" w:lineRule="auto"/>
        <w:ind w:firstLine="480" w:firstLineChars="200"/>
        <w:rPr>
          <w:rFonts w:hint="eastAsia" w:asciiTheme="minorEastAsia" w:hAnsiTheme="minorEastAsia" w:eastAsiaTheme="minorEastAsia" w:cstheme="minorEastAsia"/>
          <w:b w:val="0"/>
          <w:bCs w:val="0"/>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1.3医共体管理：系统应支持对医共体内医共体组织进行维护，至少包括医共体名称、牵头医院以及成员机构等信息，并且应支持有多个医共体同时存在。</w:t>
      </w:r>
    </w:p>
    <w:p w14:paraId="47D7BA68">
      <w:pPr>
        <w:spacing w:line="312" w:lineRule="auto"/>
        <w:ind w:firstLine="480" w:firstLineChars="200"/>
        <w:rPr>
          <w:rFonts w:hint="eastAsia" w:asciiTheme="minorEastAsia" w:hAnsiTheme="minorEastAsia" w:eastAsiaTheme="minorEastAsia" w:cstheme="minorEastAsia"/>
          <w:b w:val="0"/>
          <w:bCs w:val="0"/>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1.4系统管理：系统应支持将医院用户同步到医共体系统，保证用户拥有登录医共体系统的权限。</w:t>
      </w:r>
    </w:p>
    <w:p w14:paraId="14D67587">
      <w:pPr>
        <w:spacing w:line="312" w:lineRule="auto"/>
        <w:ind w:firstLine="480" w:firstLineChars="200"/>
        <w:rPr>
          <w:rFonts w:hint="eastAsia" w:asciiTheme="minorEastAsia" w:hAnsiTheme="minorEastAsia" w:eastAsiaTheme="minorEastAsia" w:cstheme="minorEastAsia"/>
          <w:b w:val="0"/>
          <w:bCs w:val="0"/>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1.5业务协同管理</w:t>
      </w:r>
    </w:p>
    <w:p w14:paraId="024DDE40">
      <w:pPr>
        <w:spacing w:line="312" w:lineRule="auto"/>
        <w:ind w:firstLine="480" w:firstLineChars="200"/>
        <w:rPr>
          <w:rFonts w:hint="eastAsia" w:asciiTheme="minorEastAsia" w:hAnsiTheme="minorEastAsia" w:eastAsiaTheme="minorEastAsia" w:cstheme="minorEastAsia"/>
          <w:b w:val="0"/>
          <w:bCs w:val="0"/>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1.5.1医共体检查医嘱项目下沉：系统应支持将医共体内上级医院检查医嘱项目同步至基层医疗机构，实现检查医嘱项目的统一。</w:t>
      </w:r>
    </w:p>
    <w:p w14:paraId="45746467">
      <w:pPr>
        <w:spacing w:line="312" w:lineRule="auto"/>
        <w:ind w:firstLine="480" w:firstLineChars="200"/>
        <w:rPr>
          <w:rFonts w:hint="eastAsia" w:asciiTheme="minorEastAsia" w:hAnsiTheme="minorEastAsia" w:eastAsiaTheme="minorEastAsia" w:cstheme="minorEastAsia"/>
          <w:b w:val="0"/>
          <w:bCs w:val="0"/>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1.6.1医共体检验医嘱项目下沉：系统应支持将医共体内上级医院检验医嘱项目同步至基层医疗机构，实现检查医嘱项目的统一。</w:t>
      </w:r>
    </w:p>
    <w:p w14:paraId="003542B3">
      <w:pPr>
        <w:spacing w:line="312" w:lineRule="auto"/>
        <w:ind w:firstLine="480" w:firstLineChars="200"/>
        <w:rPr>
          <w:rFonts w:hint="eastAsia" w:asciiTheme="minorEastAsia" w:hAnsiTheme="minorEastAsia" w:eastAsiaTheme="minorEastAsia" w:cstheme="minorEastAsia"/>
          <w:b w:val="0"/>
          <w:bCs w:val="0"/>
          <w:color w:val="auto"/>
          <w:kern w:val="0"/>
          <w:sz w:val="24"/>
          <w:lang w:val="en-US" w:eastAsia="zh-CN" w:bidi="ar"/>
        </w:rPr>
      </w:pPr>
      <w:bookmarkStart w:id="329" w:name="_Toc26338"/>
      <w:r>
        <w:rPr>
          <w:rFonts w:hint="eastAsia" w:asciiTheme="minorEastAsia" w:hAnsiTheme="minorEastAsia" w:eastAsiaTheme="minorEastAsia" w:cstheme="minorEastAsia"/>
          <w:b w:val="0"/>
          <w:bCs w:val="0"/>
          <w:color w:val="auto"/>
          <w:kern w:val="0"/>
          <w:sz w:val="24"/>
          <w:lang w:val="en-US" w:eastAsia="zh-CN" w:bidi="ar"/>
        </w:rPr>
        <w:t>2.卫生统计与决策分析系统</w:t>
      </w:r>
      <w:bookmarkEnd w:id="329"/>
    </w:p>
    <w:p w14:paraId="00ABB141">
      <w:pPr>
        <w:spacing w:line="312" w:lineRule="auto"/>
        <w:ind w:firstLine="480" w:firstLineChars="200"/>
        <w:rPr>
          <w:rFonts w:hint="eastAsia" w:asciiTheme="minorEastAsia" w:hAnsiTheme="minorEastAsia" w:eastAsiaTheme="minorEastAsia" w:cstheme="minorEastAsia"/>
          <w:b w:val="0"/>
          <w:bCs w:val="0"/>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2.1医疗质量</w:t>
      </w:r>
    </w:p>
    <w:p w14:paraId="72AA73AD">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2.1.1门诊人次情况：系统应支持查看医共体内医疗机构门诊人次的统计数据，应显示总人次、总人次趋势图、各机构总人次情况、总人次排名图等相关数据。</w:t>
      </w:r>
    </w:p>
    <w:p w14:paraId="6DBBC065">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2.1.2住院人次情况：系统应支持查看医共体内医疗机构住院人次的统计数据，应显示总人次、总人次趋势图、各机构总人次情况、总人次排名图等相关数据。</w:t>
      </w:r>
    </w:p>
    <w:p w14:paraId="38D7426D">
      <w:pPr>
        <w:spacing w:line="312" w:lineRule="auto"/>
        <w:ind w:firstLine="482"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CN" w:bidi="ar"/>
        </w:rPr>
        <w:t>2.1.3平均住院日：系统应支持查看医共体内医疗机构平均住院日的统计数据，应显示平均住院日、各机构平均住院日情况、平均住院日趋势图、平均住院日排名。</w:t>
      </w:r>
    </w:p>
    <w:p w14:paraId="225C082A">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2.1.4三四级手术占比：系统应支持医共体内医疗机构显示出院三四级手术人次占比、出院三四级手术人次排名图、出院手术人次等级分布图、各机构出院手术人次情况，并支持各机构出院手术人次情况的导出及打印。</w:t>
      </w:r>
    </w:p>
    <w:p w14:paraId="2D381D61">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2.1.5床位使用率：系统应支持显示医共体内医疗机构床位使用率，显示在院人次、实际开放总床位日数、床位使用率趋势图、各机构床位使用率情况、床位使用率排名图，并支持各机构床位使用率情况的导出及打印。</w:t>
      </w:r>
    </w:p>
    <w:p w14:paraId="3DCE81A1">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2.1.6检查阳性率：系统应支持查询医共体内医疗机构检查阳性率、检查人次、检查阳性人次、检查阳性率趋势图、各机构检查阳性率情况、检查阳性率排名图，并支持各机构检查阳性率情况导出及打印。</w:t>
      </w:r>
    </w:p>
    <w:p w14:paraId="16843342">
      <w:pPr>
        <w:spacing w:line="312" w:lineRule="auto"/>
        <w:ind w:firstLine="480" w:firstLineChars="200"/>
        <w:rPr>
          <w:rFonts w:hint="eastAsia" w:ascii="Times New Roman" w:hAnsi="Times New Roman" w:eastAsia="宋体" w:cs="Times New Roman"/>
          <w:color w:val="auto"/>
          <w:sz w:val="24"/>
          <w:szCs w:val="24"/>
          <w:lang w:val="en-US" w:eastAsia="zh-CN"/>
        </w:rPr>
      </w:pPr>
      <w:r>
        <w:rPr>
          <w:rFonts w:hint="eastAsia" w:asciiTheme="minorEastAsia" w:hAnsiTheme="minorEastAsia" w:eastAsiaTheme="minorEastAsia" w:cstheme="minorEastAsia"/>
          <w:color w:val="auto"/>
          <w:kern w:val="0"/>
          <w:sz w:val="24"/>
          <w:lang w:val="en-US" w:eastAsia="zh-CN" w:bidi="ar"/>
        </w:rPr>
        <w:t>2.1.7疾病排名</w:t>
      </w:r>
      <w:r>
        <w:rPr>
          <w:rFonts w:hint="eastAsia" w:ascii="Times New Roman" w:hAnsi="Times New Roman" w:eastAsia="宋体" w:cs="Times New Roman"/>
          <w:color w:val="auto"/>
          <w:sz w:val="24"/>
          <w:szCs w:val="24"/>
          <w:lang w:val="en-US" w:eastAsia="zh-CN"/>
        </w:rPr>
        <w:t>：系统应支持按照年度、季度、月度、日查询医共体内各机构疾病排名情况。</w:t>
      </w:r>
    </w:p>
    <w:p w14:paraId="1313DE0C">
      <w:pPr>
        <w:spacing w:line="312" w:lineRule="auto"/>
        <w:ind w:firstLine="480" w:firstLineChars="200"/>
        <w:rPr>
          <w:rFonts w:hint="eastAsia" w:asciiTheme="minorEastAsia" w:hAnsiTheme="minorEastAsia" w:eastAsiaTheme="minorEastAsia" w:cstheme="minorEastAsia"/>
          <w:b w:val="0"/>
          <w:bCs w:val="0"/>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2.2运营效率</w:t>
      </w:r>
    </w:p>
    <w:p w14:paraId="6C030751">
      <w:pPr>
        <w:spacing w:line="312" w:lineRule="auto"/>
        <w:ind w:firstLine="480" w:firstLineChars="200"/>
        <w:rPr>
          <w:rFonts w:hint="eastAsia" w:asciiTheme="minorEastAsia" w:hAnsiTheme="minorEastAsia" w:eastAsiaTheme="minorEastAsia" w:cstheme="minorEastAsia"/>
          <w:b w:val="0"/>
          <w:bCs w:val="0"/>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2.2.1医疗收入情况：系统应支持查询医共体内医疗机构总收入，显示门诊收入占其总收入的收入及比例、住院收入占其总收入的收入及比例、总收入趋势图、总收入排名图，应支持导出各机构收入情况。</w:t>
      </w:r>
    </w:p>
    <w:p w14:paraId="4008268D">
      <w:pPr>
        <w:spacing w:line="312" w:lineRule="auto"/>
        <w:ind w:firstLine="480" w:firstLineChars="200"/>
        <w:rPr>
          <w:rFonts w:hint="eastAsia" w:asciiTheme="minorEastAsia" w:hAnsiTheme="minorEastAsia" w:eastAsiaTheme="minorEastAsia" w:cstheme="minorEastAsia"/>
          <w:b w:val="0"/>
          <w:bCs w:val="0"/>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2.2.2医保收入情况：系统应支持查询医共体内医疗机构基本医疗保险统筹基金支出总额、居民医保基金支付总额、职工医保基金支付总额、基本医疗保险统筹基金支出趋势图等数据。</w:t>
      </w:r>
    </w:p>
    <w:p w14:paraId="36921CD2">
      <w:pPr>
        <w:spacing w:line="312" w:lineRule="auto"/>
        <w:ind w:firstLine="480" w:firstLineChars="200"/>
        <w:rPr>
          <w:rFonts w:hint="eastAsia" w:asciiTheme="minorEastAsia" w:hAnsiTheme="minorEastAsia" w:eastAsiaTheme="minorEastAsia" w:cstheme="minorEastAsia"/>
          <w:b w:val="0"/>
          <w:bCs w:val="0"/>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2.2.3次均费用情况：系统应支持查询医共体内医疗机构的门诊次均费用、住院次均费用、处方次均费用的数据。</w:t>
      </w:r>
    </w:p>
    <w:p w14:paraId="6118C98F">
      <w:pPr>
        <w:spacing w:line="312" w:lineRule="auto"/>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heme="minorEastAsia" w:hAnsiTheme="minorEastAsia" w:eastAsiaTheme="minorEastAsia" w:cstheme="minorEastAsia"/>
          <w:b w:val="0"/>
          <w:bCs w:val="0"/>
          <w:color w:val="auto"/>
          <w:kern w:val="0"/>
          <w:sz w:val="24"/>
          <w:lang w:val="en-US" w:eastAsia="zh-CN" w:bidi="ar"/>
        </w:rPr>
        <w:t>2.2.4基本药物使用：系统应支持统计医共体内医疗机构的门诊基本药物使用率、住院基本药物使用率。</w:t>
      </w:r>
    </w:p>
    <w:p w14:paraId="0B489108">
      <w:pPr>
        <w:spacing w:line="312" w:lineRule="auto"/>
        <w:ind w:firstLine="482" w:firstLineChars="200"/>
        <w:rPr>
          <w:rFonts w:hint="eastAsia" w:asciiTheme="minorEastAsia" w:hAnsiTheme="minorEastAsia" w:eastAsiaTheme="minorEastAsia" w:cstheme="minorEastAsia"/>
          <w:b/>
          <w:bCs/>
          <w:color w:val="auto"/>
          <w:kern w:val="0"/>
          <w:sz w:val="24"/>
          <w:lang w:val="en-US" w:eastAsia="zh-CN" w:bidi="ar"/>
        </w:rPr>
      </w:pPr>
      <w:bookmarkStart w:id="330" w:name="_Toc3764"/>
      <w:r>
        <w:rPr>
          <w:rFonts w:hint="eastAsia" w:asciiTheme="minorEastAsia" w:hAnsiTheme="minorEastAsia" w:eastAsiaTheme="minorEastAsia" w:cstheme="minorEastAsia"/>
          <w:b/>
          <w:bCs/>
          <w:color w:val="auto"/>
          <w:kern w:val="0"/>
          <w:sz w:val="24"/>
          <w:lang w:val="en-US" w:eastAsia="zh-CN" w:bidi="ar"/>
        </w:rPr>
        <w:t>3.居民电子健康档案管理系统</w:t>
      </w:r>
      <w:bookmarkEnd w:id="330"/>
    </w:p>
    <w:p w14:paraId="16AB73B5">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w:t>
      </w:r>
      <w:r>
        <w:rPr>
          <w:rFonts w:hint="eastAsia" w:asciiTheme="minorEastAsia" w:hAnsiTheme="minorEastAsia" w:eastAsiaTheme="minorEastAsia" w:cstheme="minorEastAsia"/>
          <w:b/>
          <w:bCs/>
          <w:color w:val="auto"/>
          <w:kern w:val="0"/>
          <w:sz w:val="24"/>
          <w:lang w:val="en-US" w:eastAsia="zh-CN" w:bidi="ar"/>
        </w:rPr>
        <w:t>3.1健康档案调阅：</w:t>
      </w:r>
      <w:r>
        <w:rPr>
          <w:rFonts w:hint="eastAsia" w:asciiTheme="minorEastAsia" w:hAnsiTheme="minorEastAsia" w:eastAsiaTheme="minorEastAsia" w:cstheme="minorEastAsia"/>
          <w:color w:val="auto"/>
          <w:kern w:val="0"/>
          <w:sz w:val="24"/>
          <w:lang w:val="en-US" w:eastAsia="zh-CN" w:bidi="ar"/>
        </w:rPr>
        <w:t>健康档案浏览器应支持为终端用户提供基于Web的访问健康档案的应用，实现对平台整合后业务数据的访问。</w:t>
      </w:r>
    </w:p>
    <w:p w14:paraId="47C8EE47">
      <w:pPr>
        <w:spacing w:line="312" w:lineRule="auto"/>
        <w:ind w:firstLine="482" w:firstLineChars="200"/>
        <w:rPr>
          <w:rFonts w:hint="eastAsia" w:asciiTheme="minorEastAsia" w:hAnsiTheme="minorEastAsia" w:eastAsiaTheme="minorEastAsia" w:cstheme="minorEastAsia"/>
          <w:b/>
          <w:bCs/>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3.2隐私安全</w:t>
      </w:r>
    </w:p>
    <w:p w14:paraId="5195AE55">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3.2.1脱敏处理：健康信息需要被调阅时，应支持对姓名、身份证号、手机号、联系人姓名等敏感信息进行脱敏处理，防止患者信息泄露。</w:t>
      </w:r>
    </w:p>
    <w:p w14:paraId="46DB7257">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3.2.2健康档案授权：系统应提供健康档案访问授权制开启与关闭的灵活性，开启授权后，患者可选择是否许可医生访问其非本院产生的健康档案。系统应提供健康档案患者访问授权制开启与关闭的灵活性，开启授权后，患者可选择是否同意医生查看本人全健康档案。若患者同意医生查看本人全健康档案，医生在调阅患者健康档案时，患者需签字确认授权书，有效期为72小时，过期失效。</w:t>
      </w:r>
    </w:p>
    <w:p w14:paraId="7ABFACB2">
      <w:pPr>
        <w:spacing w:line="312" w:lineRule="auto"/>
        <w:ind w:firstLine="482"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3.3展示项管理：</w:t>
      </w:r>
      <w:r>
        <w:rPr>
          <w:rFonts w:hint="eastAsia" w:asciiTheme="minorEastAsia" w:hAnsiTheme="minorEastAsia" w:eastAsiaTheme="minorEastAsia" w:cstheme="minorEastAsia"/>
          <w:color w:val="auto"/>
          <w:kern w:val="0"/>
          <w:sz w:val="24"/>
          <w:lang w:val="en-US" w:eastAsia="zh-CN" w:bidi="ar"/>
        </w:rPr>
        <w:t>应支持查询居民健康档案中的检查、入院记录、出院记录、病程记录、医嘱、病历、处方、病案首页、检验等模块处于展示还是不展示状态。支持对检查、心电报告、入院记录、出院记录、病程记录、医嘱、病历、处方、病案首页、检验等模块的状态进行关闭或开启。</w:t>
      </w:r>
    </w:p>
    <w:p w14:paraId="225D60C8">
      <w:pPr>
        <w:spacing w:line="312" w:lineRule="auto"/>
        <w:ind w:firstLine="482" w:firstLineChars="200"/>
        <w:rPr>
          <w:rFonts w:hint="eastAsia" w:asciiTheme="minorEastAsia" w:hAnsiTheme="minorEastAsia" w:eastAsiaTheme="minorEastAsia" w:cstheme="minorEastAsia"/>
          <w:b/>
          <w:bCs/>
          <w:color w:val="auto"/>
          <w:kern w:val="0"/>
          <w:sz w:val="24"/>
          <w:lang w:val="en-US" w:eastAsia="zh-CN" w:bidi="ar"/>
        </w:rPr>
      </w:pPr>
      <w:bookmarkStart w:id="331" w:name="_Toc19624"/>
      <w:r>
        <w:rPr>
          <w:rFonts w:hint="eastAsia" w:asciiTheme="minorEastAsia" w:hAnsiTheme="minorEastAsia" w:eastAsiaTheme="minorEastAsia" w:cstheme="minorEastAsia"/>
          <w:b/>
          <w:bCs/>
          <w:color w:val="auto"/>
          <w:kern w:val="0"/>
          <w:sz w:val="24"/>
          <w:lang w:val="en-US" w:eastAsia="zh-CN" w:bidi="ar"/>
        </w:rPr>
        <w:t>4.居民健康一卡通管理系统（含电子卡）</w:t>
      </w:r>
      <w:bookmarkEnd w:id="331"/>
    </w:p>
    <w:p w14:paraId="4435A355">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4.1系统应支持卡申领，机构需要卡时，需要进行申领，支持在系统中录入需要申领的数量进行制卡。</w:t>
      </w:r>
    </w:p>
    <w:p w14:paraId="1A8E1882">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4.2系统应支持根据机构名称、制卡时间、制卡状态等查询条件对预制卡进行查询。查询结果显示的信息应包括机构/地区名称、制卡数量（张）、制卡时间、制卡人、状态等信息。</w:t>
      </w:r>
    </w:p>
    <w:p w14:paraId="679B4ADA">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4.3系统应支持通过平台进行导出卡号、取消制卡等功能。</w:t>
      </w:r>
    </w:p>
    <w:p w14:paraId="37A2E7BE">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4.4系统应支持对已发的卡信息进行管理。</w:t>
      </w:r>
    </w:p>
    <w:p w14:paraId="01C6C145">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4.5系统应支持通过机构名称、查询内容、发卡状态等查询条件进行卡信息的查询，并支持查询结果导出、打印。</w:t>
      </w:r>
    </w:p>
    <w:p w14:paraId="6D01EFB0">
      <w:pPr>
        <w:spacing w:line="312" w:lineRule="auto"/>
        <w:ind w:firstLine="480" w:firstLineChars="200"/>
        <w:rPr>
          <w:rFonts w:hint="eastAsia" w:ascii="仿宋" w:hAnsi="仿宋" w:eastAsia="仿宋" w:cs="仿宋"/>
          <w:color w:val="auto"/>
          <w:lang w:val="en-US" w:eastAsia="zh-CN"/>
        </w:rPr>
      </w:pPr>
      <w:r>
        <w:rPr>
          <w:rFonts w:hint="eastAsia" w:asciiTheme="minorEastAsia" w:hAnsiTheme="minorEastAsia" w:eastAsiaTheme="minorEastAsia" w:cstheme="minorEastAsia"/>
          <w:color w:val="auto"/>
          <w:kern w:val="0"/>
          <w:sz w:val="24"/>
          <w:lang w:val="en-US" w:eastAsia="zh-CN" w:bidi="ar"/>
        </w:rPr>
        <w:t>4.6系统应支持查询到正常在用、未启用、已冻结、制卡中等状态的卡信息。查询结果显示的信息应包括卡号、姓名、性</w:t>
      </w:r>
      <w:r>
        <w:rPr>
          <w:rFonts w:hint="eastAsia" w:ascii="Times New Roman" w:hAnsi="Times New Roman" w:eastAsia="宋体" w:cs="Times New Roman"/>
          <w:color w:val="auto"/>
          <w:sz w:val="24"/>
          <w:szCs w:val="24"/>
          <w:lang w:val="en-US" w:eastAsia="zh-CN"/>
        </w:rPr>
        <w:t>别、发卡机构、发卡时间、发卡人、用卡状态等信息。</w:t>
      </w:r>
    </w:p>
    <w:p w14:paraId="5F510CFE">
      <w:pPr>
        <w:spacing w:line="312" w:lineRule="auto"/>
        <w:ind w:firstLine="482" w:firstLineChars="200"/>
        <w:rPr>
          <w:rFonts w:hint="eastAsia" w:asciiTheme="minorEastAsia" w:hAnsiTheme="minorEastAsia" w:eastAsiaTheme="minorEastAsia" w:cstheme="minorEastAsia"/>
          <w:b/>
          <w:bCs/>
          <w:color w:val="auto"/>
          <w:kern w:val="0"/>
          <w:sz w:val="24"/>
          <w:lang w:val="en-US" w:eastAsia="zh-CN" w:bidi="ar"/>
        </w:rPr>
      </w:pPr>
      <w:bookmarkStart w:id="332" w:name="_Toc3454"/>
      <w:r>
        <w:rPr>
          <w:rFonts w:hint="eastAsia" w:asciiTheme="minorEastAsia" w:hAnsiTheme="minorEastAsia" w:eastAsiaTheme="minorEastAsia" w:cstheme="minorEastAsia"/>
          <w:b/>
          <w:bCs/>
          <w:color w:val="auto"/>
          <w:kern w:val="0"/>
          <w:sz w:val="24"/>
          <w:lang w:val="en-US" w:eastAsia="zh-CN" w:bidi="ar"/>
        </w:rPr>
        <w:t>5.可视化监管大屏系统</w:t>
      </w:r>
      <w:bookmarkEnd w:id="332"/>
    </w:p>
    <w:p w14:paraId="5D489B5A">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w:t>
      </w:r>
      <w:r>
        <w:rPr>
          <w:rFonts w:hint="eastAsia" w:asciiTheme="minorEastAsia" w:hAnsiTheme="minorEastAsia" w:eastAsiaTheme="minorEastAsia" w:cstheme="minorEastAsia"/>
          <w:b/>
          <w:bCs/>
          <w:color w:val="auto"/>
          <w:kern w:val="0"/>
          <w:sz w:val="24"/>
          <w:lang w:val="en-US" w:eastAsia="zh-CN" w:bidi="ar"/>
        </w:rPr>
        <w:t>5.1行政管理大屏：</w:t>
      </w:r>
      <w:r>
        <w:rPr>
          <w:rFonts w:hint="eastAsia" w:asciiTheme="minorEastAsia" w:hAnsiTheme="minorEastAsia" w:eastAsiaTheme="minorEastAsia" w:cstheme="minorEastAsia"/>
          <w:color w:val="auto"/>
          <w:kern w:val="0"/>
          <w:sz w:val="24"/>
          <w:lang w:val="en-US" w:eastAsia="zh-CN" w:bidi="ar"/>
        </w:rPr>
        <w:t>应支持展示以公共卫生服务为核心的指标，包含建档人群、慢性病服务人口、重点人群以及各医院的医疗资源情况，在数据支持的情况下应支持展示从乡镇卫生院到卫生室最后可精确到个人的公共卫生服务记录。</w:t>
      </w:r>
    </w:p>
    <w:p w14:paraId="23F53C51">
      <w:pPr>
        <w:spacing w:line="312" w:lineRule="auto"/>
        <w:ind w:firstLine="482"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bCs/>
          <w:kern w:val="0"/>
          <w:sz w:val="24"/>
          <w:lang w:val="en-US" w:eastAsia="zh-CN" w:bidi="ar"/>
        </w:rPr>
        <w:t>5.2医疗指标监管大屏：</w:t>
      </w:r>
      <w:r>
        <w:rPr>
          <w:rFonts w:hint="eastAsia" w:asciiTheme="minorEastAsia" w:hAnsiTheme="minorEastAsia" w:eastAsiaTheme="minorEastAsia" w:cstheme="minorEastAsia"/>
          <w:kern w:val="0"/>
          <w:sz w:val="24"/>
          <w:lang w:val="en-US" w:eastAsia="zh-CN" w:bidi="ar"/>
        </w:rPr>
        <w:t>应支持展示医共体内各卫生院的医疗数据情况，包括各个机构的门诊量、在院人次、出院人次、医保报销、药占比、耗占比、总收入等指标，从各指标展示数据上应支持对各医疗机构实施医疗信息化建设的监管。</w:t>
      </w:r>
    </w:p>
    <w:p w14:paraId="520EAE9B">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5.3医共体运营管控大屏</w:t>
      </w:r>
    </w:p>
    <w:p w14:paraId="6369BB6B">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5.3.1应支持展示公共卫生服务的建设情况，包含居民建档信息，建档居民年龄及性别分布，重点人群占比情况，重点人群统计情况等。应支持展示医共体内医疗服务水平的建设情况，包含门急诊量，入出院量，医疗资源统计等医疗指标数据。</w:t>
      </w:r>
    </w:p>
    <w:p w14:paraId="257F1943">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5.3.2资源共享中心大屏应支持展示医共体建设远程诊疗方面的业务展示数据，包含医学检验中心的建设。应支持下钻数据到患者级。</w:t>
      </w:r>
    </w:p>
    <w:p w14:paraId="549F873B">
      <w:pPr>
        <w:spacing w:line="312" w:lineRule="auto"/>
        <w:ind w:firstLine="482"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bCs/>
          <w:kern w:val="0"/>
          <w:sz w:val="24"/>
          <w:lang w:val="en-US" w:eastAsia="zh-CN" w:bidi="ar"/>
        </w:rPr>
        <w:t>5.4医疗质量质控大屏：</w:t>
      </w:r>
      <w:r>
        <w:rPr>
          <w:rFonts w:hint="eastAsia" w:asciiTheme="minorEastAsia" w:hAnsiTheme="minorEastAsia" w:eastAsiaTheme="minorEastAsia" w:cstheme="minorEastAsia"/>
          <w:kern w:val="0"/>
          <w:sz w:val="24"/>
          <w:lang w:val="en-US" w:eastAsia="zh-CN" w:bidi="ar"/>
        </w:rPr>
        <w:t>应支持展示医共体中二级医院的医疗数据，从质控的角度监管院内指标数据。</w:t>
      </w:r>
    </w:p>
    <w:p w14:paraId="7D8822EE">
      <w:pPr>
        <w:spacing w:line="312" w:lineRule="auto"/>
        <w:ind w:firstLine="482"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bCs/>
          <w:kern w:val="0"/>
          <w:sz w:val="24"/>
          <w:lang w:val="en-US" w:eastAsia="zh-CN" w:bidi="ar"/>
        </w:rPr>
        <w:t>5.5业务架构大屏：</w:t>
      </w:r>
      <w:r>
        <w:rPr>
          <w:rFonts w:hint="eastAsia" w:asciiTheme="minorEastAsia" w:hAnsiTheme="minorEastAsia" w:eastAsiaTheme="minorEastAsia" w:cstheme="minorEastAsia"/>
          <w:kern w:val="0"/>
          <w:sz w:val="24"/>
          <w:lang w:val="en-US" w:eastAsia="zh-CN" w:bidi="ar"/>
        </w:rPr>
        <w:t>应支持展示医共体内业务架构体系，方便管理部门闭环管理。</w:t>
      </w:r>
    </w:p>
    <w:p w14:paraId="384FDD6D">
      <w:pPr>
        <w:spacing w:line="312" w:lineRule="auto"/>
        <w:ind w:firstLine="482"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bCs/>
          <w:kern w:val="0"/>
          <w:sz w:val="24"/>
          <w:lang w:val="en-US" w:eastAsia="zh-CN" w:bidi="ar"/>
        </w:rPr>
        <w:t>5.6慢病管理中心大屏：</w:t>
      </w:r>
      <w:r>
        <w:rPr>
          <w:rFonts w:hint="eastAsia" w:asciiTheme="minorEastAsia" w:hAnsiTheme="minorEastAsia" w:eastAsiaTheme="minorEastAsia" w:cstheme="minorEastAsia"/>
          <w:kern w:val="0"/>
          <w:sz w:val="24"/>
          <w:lang w:val="en-US" w:eastAsia="zh-CN" w:bidi="ar"/>
        </w:rPr>
        <w:t>应支持展示医共体内辖区人口数、建档数、主要慢病人数以及发病率，其次还应支持展示慢病患者情况。</w:t>
      </w:r>
    </w:p>
    <w:p w14:paraId="2EC66FB3">
      <w:pPr>
        <w:spacing w:line="312" w:lineRule="auto"/>
        <w:ind w:firstLine="482"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bCs/>
          <w:kern w:val="0"/>
          <w:sz w:val="24"/>
          <w:lang w:val="en-US" w:eastAsia="zh-CN" w:bidi="ar"/>
        </w:rPr>
        <w:t>5.7医保信息统计中心大屏：</w:t>
      </w:r>
      <w:r>
        <w:rPr>
          <w:rFonts w:hint="eastAsia" w:asciiTheme="minorEastAsia" w:hAnsiTheme="minorEastAsia" w:eastAsiaTheme="minorEastAsia" w:cstheme="minorEastAsia"/>
          <w:kern w:val="0"/>
          <w:sz w:val="24"/>
          <w:lang w:val="en-US" w:eastAsia="zh-CN" w:bidi="ar"/>
        </w:rPr>
        <w:t>应支持展示医共体内医保资金支出以及流转情况，包含门诊统筹基金总支出、门诊慢特病支出、住院职工医疗保险支出、住院居民医疗保险支出，还应支持展示住院患者实时报销比、医保患者总费用分析、医保资金支出趋势、住院患者医保例均支出费用等。</w:t>
      </w:r>
    </w:p>
    <w:p w14:paraId="3189AC48">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6.便民惠民服务平台</w:t>
      </w:r>
    </w:p>
    <w:p w14:paraId="1DDFCE90">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6.1电子健康卡服务</w:t>
      </w:r>
    </w:p>
    <w:p w14:paraId="7762A603">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6.1.1出示二维码：出示二维码功能可以将卡号转化成二维码，在就医过程中出示二维码就可以，无需再携带实体就诊卡或身份证。</w:t>
      </w:r>
    </w:p>
    <w:p w14:paraId="71CCBFA0">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6.1.2在线办卡</w:t>
      </w:r>
    </w:p>
    <w:p w14:paraId="5CD6F21C">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6.1.2.1扫描身份证办卡：患者扫描身份证，可以直接识别身份证上的个人信息，帮助用户快速电子就诊卡</w:t>
      </w:r>
    </w:p>
    <w:p w14:paraId="53DB9949">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6.1.2.2手填办卡：患者手动输入个人信息办理电子就诊卡，支持进行短信验证等方式的在线建档</w:t>
      </w:r>
    </w:p>
    <w:p w14:paraId="6C6FFD47">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6.1.2.3在线绑卡：通过院内卡号获取患者信息，将患者院内卡号绑定到线上使用。</w:t>
      </w:r>
    </w:p>
    <w:p w14:paraId="6F6AB30F">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6.1.2.4新生儿办卡：主要是为刚出生没有身份证的宝宝提供通过填写监护人信息和新生儿信息相关办卡的功能</w:t>
      </w:r>
    </w:p>
    <w:p w14:paraId="46BC605C">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6.2门诊服务</w:t>
      </w:r>
    </w:p>
    <w:p w14:paraId="31429DE7">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6.2.1挂号分诊</w:t>
      </w:r>
    </w:p>
    <w:p w14:paraId="78CBB4EB">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CN" w:bidi="ar"/>
        </w:rPr>
        <w:t>6.2.1.1智能导诊：</w:t>
      </w:r>
      <w:r>
        <w:rPr>
          <w:rFonts w:hint="eastAsia" w:asciiTheme="minorEastAsia" w:hAnsiTheme="minorEastAsia" w:eastAsiaTheme="minorEastAsia" w:cstheme="minorEastAsia"/>
          <w:b w:val="0"/>
          <w:bCs w:val="0"/>
          <w:color w:val="auto"/>
          <w:kern w:val="0"/>
          <w:sz w:val="24"/>
          <w:lang w:val="en-US" w:eastAsia="zh-CN" w:bidi="ar"/>
        </w:rPr>
        <w:t>为</w:t>
      </w:r>
      <w:r>
        <w:rPr>
          <w:rFonts w:hint="eastAsia" w:asciiTheme="minorEastAsia" w:hAnsiTheme="minorEastAsia" w:eastAsiaTheme="minorEastAsia" w:cstheme="minorEastAsia"/>
          <w:color w:val="auto"/>
          <w:kern w:val="0"/>
          <w:sz w:val="24"/>
          <w:lang w:val="en-US" w:eastAsia="zh-CN" w:bidi="ar"/>
        </w:rPr>
        <w:t>患者提供精准的科室推荐服务。特别是对症状复杂的慢性病患者和老年群体，智能导诊能有效避免因挂错号导致的重复排队问题，同时支持医院自定症状对照库实现医院定制化开发。</w:t>
      </w:r>
    </w:p>
    <w:p w14:paraId="5338E61C">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6.2.1.2预问诊：挂号成功后主动提示患者进行预问诊，根据患者病情自动生成预问诊内容，通过语音聊天的形式收集患者病情，收集完成后自动总结成门诊病历，医生在接诊患者后会立即看到总结的预问诊病历，可以直接引用到门诊电子病历中，通过预问诊帮助医生提前了解患者病情，节约医生问诊和书写病历时间。</w:t>
      </w:r>
    </w:p>
    <w:p w14:paraId="7E1A6D96">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6.2.2在线缴费</w:t>
      </w:r>
    </w:p>
    <w:p w14:paraId="1B54719A">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6.2.2.1就诊卡充值：就诊卡余额不足时，直接可以在线充值；就诊完成后可在线退掉剩余的金额，方便快捷，并且能减轻医院缴费窗口的压力。</w:t>
      </w:r>
    </w:p>
    <w:p w14:paraId="2364BA6F">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6.2.2.2诊间支付：医生医嘱签名后，系统自动将生成的待缴费通过消息推送到患者手机上，用户可通过门诊缴费功能查询待缴费，用户发起支付时候会自动引导使用自费、医保不同的支付方式完成缴费。</w:t>
      </w:r>
    </w:p>
    <w:p w14:paraId="00F4CC3A">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6.2.3查询服务</w:t>
      </w:r>
    </w:p>
    <w:p w14:paraId="46AC933E">
      <w:pPr>
        <w:spacing w:line="312" w:lineRule="auto"/>
        <w:ind w:firstLine="480" w:firstLineChars="200"/>
        <w:rPr>
          <w:rFonts w:hint="eastAsia" w:asciiTheme="minorEastAsia" w:hAnsiTheme="minorEastAsia" w:eastAsiaTheme="minorEastAsia" w:cstheme="minorEastAsia"/>
          <w:color w:val="FF0000"/>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w:t>
      </w:r>
      <w:r>
        <w:rPr>
          <w:rFonts w:hint="eastAsia" w:asciiTheme="minorEastAsia" w:hAnsiTheme="minorEastAsia" w:eastAsiaTheme="minorEastAsia" w:cstheme="minorEastAsia"/>
          <w:kern w:val="0"/>
          <w:sz w:val="24"/>
          <w:lang w:val="en-US" w:eastAsia="zh-CN" w:bidi="ar"/>
        </w:rPr>
        <w:t>6.2.3.1门诊导引单：</w:t>
      </w:r>
      <w:r>
        <w:rPr>
          <w:rFonts w:hint="eastAsia" w:asciiTheme="minorEastAsia" w:hAnsiTheme="minorEastAsia" w:eastAsiaTheme="minorEastAsia" w:cstheme="minorEastAsia"/>
          <w:b w:val="0"/>
          <w:bCs w:val="0"/>
          <w:color w:val="auto"/>
          <w:kern w:val="0"/>
          <w:sz w:val="24"/>
          <w:lang w:val="en-US" w:eastAsia="zh-CN" w:bidi="ar"/>
        </w:rPr>
        <w:t>门诊</w:t>
      </w:r>
      <w:r>
        <w:rPr>
          <w:rFonts w:hint="eastAsia" w:asciiTheme="minorEastAsia" w:hAnsiTheme="minorEastAsia" w:eastAsiaTheme="minorEastAsia" w:cstheme="minorEastAsia"/>
          <w:color w:val="auto"/>
          <w:kern w:val="0"/>
          <w:sz w:val="24"/>
          <w:lang w:val="en-US" w:eastAsia="zh-CN" w:bidi="ar"/>
        </w:rPr>
        <w:t>导引功能主要解决医院就医服务流程串联和就医指导的问题。可以清晰地展示待办事项、地点，大大减少患者往返跑腿、各种咨询的时间。</w:t>
      </w:r>
    </w:p>
    <w:p w14:paraId="6C6E0FBA">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2.6.2.3.2费用查询：费用查询功能会通过用户卡号查询用户在公众号上所有医院的门诊缴费记录，点击相应记录可查看缴费明细。</w:t>
      </w:r>
    </w:p>
    <w:p w14:paraId="78A02571">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6.2.3.3报告查询：用户进行检验检查后，当报告生成时系统自动推送报告生成消息，用户可以在线查看报告详细信息，方便用户及时了解就诊信息，做到检查检验项目一目了然。</w:t>
      </w:r>
    </w:p>
    <w:p w14:paraId="2B7F2F48">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6.2.3.4电子发票：用户缴费完成后可以在线查询电子发票，电子发票可以节省发票成本，还能减少发票管理的间接成本；同时，电子发票在保管、查询、调阅时更加方便。</w:t>
      </w:r>
    </w:p>
    <w:p w14:paraId="544823D4">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6.2.2.5自选套餐：医院有较为常规的检验、检查、治疗项目等，患者可以在线完成购买，然后前往指定地点核销，大大优化了排队挂号、医生下医嘱的流程。</w:t>
      </w:r>
    </w:p>
    <w:p w14:paraId="1A2C9BCB">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6.3住院服务</w:t>
      </w:r>
    </w:p>
    <w:p w14:paraId="3CAC190D">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6.3.1入院申请：入院申请（入院登记）将住院处搬到线上为患者办理住院，门诊就诊后门诊医生提交住院申请，推送消息到用户手机上，用户在手机端就可支付住院押金办理入院，直接去护士站安床即可，不需要再去住院处办理。</w:t>
      </w:r>
    </w:p>
    <w:p w14:paraId="4785701F">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6.3.2住院押金</w:t>
      </w:r>
    </w:p>
    <w:p w14:paraId="55595957">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6.3.2.1进行线上押金缴纳，无需再去住院处缴纳。可以看到本次住院的费用总额，押金总额，押金余额，可用余额，方便患者随时查看，并及时缴纳押金。押金不足时他还会推送押金缴纳清单，进一步提示患者，以免耽误治疗。</w:t>
      </w:r>
    </w:p>
    <w:p w14:paraId="2CA37DAC">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6.3.3住院清单：患者住院后系统会自动为患者推送前一日的住院消费清单，患者也可查询本次或过往的住院消费清单，支持根据日期、项目、类别等展示给住院患者。</w:t>
      </w:r>
    </w:p>
    <w:p w14:paraId="50F7EBCC">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6.3.4住院报告查询：为患者提供住院报告查询的功能，用户可在线查询到住院期间产生的报告，也有对应的消息推送。</w:t>
      </w:r>
    </w:p>
    <w:p w14:paraId="465BBB21">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6.3.5出院带药：患者出院后可通过出院带药功能查看医生给自己下的医嘱和开的药品明细，可明确告知患者药品的用法剂量等。</w:t>
      </w:r>
    </w:p>
    <w:p w14:paraId="08BBCF7A">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6.4便民服务</w:t>
      </w:r>
    </w:p>
    <w:p w14:paraId="501945E9">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6.4.1信息查询</w:t>
      </w:r>
    </w:p>
    <w:p w14:paraId="7497605C">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6.4.2医院微官网：医院微官网功能包括医院介绍，医院导航，科室介绍，医生介绍，健康生活等，用户可以通过此功能了解医院的详细信息。</w:t>
      </w:r>
    </w:p>
    <w:p w14:paraId="2B15A555">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bookmarkStart w:id="333" w:name="_Toc2416"/>
      <w:r>
        <w:rPr>
          <w:rFonts w:hint="eastAsia" w:asciiTheme="minorEastAsia" w:hAnsiTheme="minorEastAsia" w:eastAsiaTheme="minorEastAsia" w:cstheme="minorEastAsia"/>
          <w:b/>
          <w:bCs/>
          <w:kern w:val="0"/>
          <w:sz w:val="24"/>
          <w:lang w:val="en-US" w:eastAsia="zh-CN" w:bidi="ar"/>
        </w:rPr>
        <w:t>7.医保结算清单系统</w:t>
      </w:r>
      <w:bookmarkEnd w:id="333"/>
    </w:p>
    <w:p w14:paraId="431CD207">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7.1待办事项功能</w:t>
      </w:r>
    </w:p>
    <w:p w14:paraId="19DECA07">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7.1.1待完善配置信息展示：统计展示所有待完善配置信息，如：医保经办机构代码未配置、医保经办机构经办人代码未配置、未维护科室医保编码、患者的相关医生护士编码未维护等；</w:t>
      </w:r>
    </w:p>
    <w:p w14:paraId="15A5D084">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7.1.2即将超出上传时间的清单展示：统计展示即将超出上传时间的所有清单，方便快捷及时处理超出上传时间的清单。</w:t>
      </w:r>
    </w:p>
    <w:p w14:paraId="70963FC9">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7.1.3上传失败待处理展示：统计展示上传失败待处理的问题，方便快捷及时查看处理上传失败的结算清单。</w:t>
      </w:r>
    </w:p>
    <w:p w14:paraId="37B6E412">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7.1.4数据变化清单展示：统计展示未上传且审核通过的结算清单源数据发生改变，提醒及时处理。点击处理可直接进入处理界面，快速查看调整前后的结算清单相关数据。</w:t>
      </w:r>
    </w:p>
    <w:p w14:paraId="67FA3627">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7.2重点关注指标分析</w:t>
      </w:r>
    </w:p>
    <w:p w14:paraId="2161B0E2">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7.2.1结算清单总数量统计：按照住院/门诊慢特病、科室、费别、时间条件进行统计分析，统计结算清单总数量。</w:t>
      </w:r>
    </w:p>
    <w:p w14:paraId="73E3AFEF">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7.2.2上传情况环形图分析：按照住院/门诊慢特病、科室、费别、时间条件进行统计分析，支持对上传情况相关的上传成功数、上传失败数、未上传数进行统计展示，并以环形图进行分析展示。</w:t>
      </w:r>
    </w:p>
    <w:p w14:paraId="31225D6B">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7.2.3基础数据校验情况条形图统计分析：</w:t>
      </w:r>
    </w:p>
    <w:p w14:paraId="7939ED98">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7.2.3.1按照住院/门诊慢特病、科室、费别、时间相关条件，支持统计质控统计数量，并支持点击质控统计数量，快速跳入质控具体详情界面；</w:t>
      </w:r>
    </w:p>
    <w:p w14:paraId="145CF8F3">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7.2.3.2按照条件支持错误级别数量统计，并支持点击错误级别数量，直接跳入质量异常数量详情界面，进行具体信息查看；</w:t>
      </w:r>
    </w:p>
    <w:p w14:paraId="46D2B9F4">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7.2.3.3按条件支持统计支持警告级别数量统计，并支持点击警告级别数量，直接跳入质控警告详情界面，进行具体信息查看。</w:t>
      </w:r>
    </w:p>
    <w:p w14:paraId="136515BB">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7.2.3.4支持错误级别排名前10问题排序由高到低条形图展示，比如：责任护士代码不能为空、单位名称不能为空、单位电话不能为空、新生儿入院体重不能为空时入院类型不能为空、新生儿年龄不为空时新生儿入院类型必须填写、诊断重复、单位地址不能为空、性别与身份证号不对应、出生日期与身份证号不对应、当离院方式为医嘱转院或医嘱转社区/乡镇卫生院需要填写机构对应的医保定点医疗机构代码等问题，发现容易出现的问题，便于统一管理整改。</w:t>
      </w:r>
    </w:p>
    <w:p w14:paraId="4B43987F">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7.2.3.5支持警告排名前10问题排序由高到低条形图展示，比如：单位名称不能为空、单位电话不能为空、单位地址不能为空、患者以门诊常见疾病住院疑似低标准住院、住院天数大于60天会影响DRG入组支付等问题，统计排名前10 问题，便于统一管理整改。</w:t>
      </w:r>
    </w:p>
    <w:p w14:paraId="5D49D44F">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7.2.3.6审核情况饼状图统计分析：按照住院/门诊慢特病、科室、费别、时间相关条件，对审核情况进行统计分析，统计展示待提交清单数量并支持点击数量直接跳入待提交清单详情查看，进行具体信息查看；统计展示清单审核通过数量并支持点击数量直接进行具体详情查看；清单待提交与审核通过数量支持通过饼状图进行展示分析，并展示占比分析。</w:t>
      </w:r>
    </w:p>
    <w:p w14:paraId="3DBC1266">
      <w:pPr>
        <w:spacing w:line="312" w:lineRule="auto"/>
        <w:ind w:firstLine="480" w:firstLineChars="200"/>
        <w:rPr>
          <w:rFonts w:hint="eastAsia" w:ascii="Times New Roman" w:hAnsi="Times New Roman" w:eastAsia="宋体" w:cs="Times New Roman"/>
          <w:sz w:val="24"/>
          <w:szCs w:val="24"/>
          <w:lang w:val="en-US" w:eastAsia="zh-CN"/>
        </w:rPr>
      </w:pPr>
      <w:r>
        <w:rPr>
          <w:rFonts w:hint="eastAsia" w:asciiTheme="minorEastAsia" w:hAnsiTheme="minorEastAsia" w:eastAsiaTheme="minorEastAsia" w:cstheme="minorEastAsia"/>
          <w:kern w:val="0"/>
          <w:sz w:val="24"/>
          <w:lang w:val="en-US" w:eastAsia="zh-CN" w:bidi="ar"/>
        </w:rPr>
        <w:t>7.2.3.7其他可配置指标：可</w:t>
      </w:r>
      <w:r>
        <w:rPr>
          <w:rFonts w:hint="eastAsia" w:ascii="Times New Roman" w:hAnsi="Times New Roman" w:eastAsia="宋体" w:cs="Times New Roman"/>
          <w:sz w:val="24"/>
          <w:szCs w:val="24"/>
          <w:lang w:val="en-US" w:eastAsia="zh-CN"/>
        </w:rPr>
        <w:t>根据医院疫情情况进行首页个性化指标统计分析展示。</w:t>
      </w:r>
    </w:p>
    <w:p w14:paraId="02DFC63F">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7.3清单查询</w:t>
      </w:r>
    </w:p>
    <w:p w14:paraId="1EF3E2CE">
      <w:pPr>
        <w:spacing w:line="312" w:lineRule="auto"/>
        <w:ind w:firstLine="482"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w:t>
      </w:r>
      <w:r>
        <w:rPr>
          <w:rFonts w:hint="eastAsia" w:asciiTheme="minorEastAsia" w:hAnsiTheme="minorEastAsia" w:eastAsiaTheme="minorEastAsia" w:cstheme="minorEastAsia"/>
          <w:b w:val="0"/>
          <w:bCs w:val="0"/>
          <w:color w:val="auto"/>
          <w:kern w:val="0"/>
          <w:sz w:val="24"/>
          <w:lang w:val="en-US" w:eastAsia="zh-CN" w:bidi="ar"/>
        </w:rPr>
        <w:t>7.3.1</w:t>
      </w:r>
      <w:r>
        <w:rPr>
          <w:rFonts w:hint="eastAsia" w:asciiTheme="minorEastAsia" w:hAnsiTheme="minorEastAsia" w:eastAsiaTheme="minorEastAsia" w:cstheme="minorEastAsia"/>
          <w:color w:val="auto"/>
          <w:kern w:val="0"/>
          <w:sz w:val="24"/>
          <w:lang w:val="en-US" w:eastAsia="zh-CN" w:bidi="ar"/>
        </w:rPr>
        <w:t>多条件查询结算清单：查询条件包含大于等于超结算天数、住院类型、科室、病案编码状态、查看状态、更改状态、审核状态、上传状态、姓名/病案号/医生、编码员姓名/工号、异地人员类型、结算类型、DIP付费、医保类型、参保地、病案回收状态、费别、编码开始日期至编码结束日期、时间段选择、入院日期至入院结束日期、出院开始日期至出院结束日期等条件进行查询。</w:t>
      </w:r>
    </w:p>
    <w:p w14:paraId="00B8CF2D">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7.3.2</w:t>
      </w:r>
      <w:r>
        <w:rPr>
          <w:rFonts w:hint="eastAsia" w:asciiTheme="minorEastAsia" w:hAnsiTheme="minorEastAsia" w:eastAsiaTheme="minorEastAsia" w:cstheme="minorEastAsia"/>
          <w:color w:val="auto"/>
          <w:kern w:val="0"/>
          <w:sz w:val="24"/>
          <w:lang w:val="en-US" w:eastAsia="zh-CN" w:bidi="ar"/>
        </w:rPr>
        <w:t>病例类型条件包含全部、高倍率、低倍率、住院大于60天病例、低风险死亡、质控异常数量、质控警告数量、伴严重并发症、伴一般并发症、不伴并发症、不区分并发症等条件进行查询</w:t>
      </w:r>
    </w:p>
    <w:p w14:paraId="5B134E9A">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7.3.3</w:t>
      </w:r>
      <w:r>
        <w:rPr>
          <w:rFonts w:hint="eastAsia" w:asciiTheme="minorEastAsia" w:hAnsiTheme="minorEastAsia" w:eastAsiaTheme="minorEastAsia" w:cstheme="minorEastAsia"/>
          <w:color w:val="auto"/>
          <w:kern w:val="0"/>
          <w:sz w:val="24"/>
          <w:lang w:val="en-US" w:eastAsia="zh-CN" w:bidi="ar"/>
        </w:rPr>
        <w:t>批量退回功能：支持对按条件查询后的清单进行批量退回</w:t>
      </w:r>
    </w:p>
    <w:p w14:paraId="12D577E8">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7.3.4</w:t>
      </w:r>
      <w:r>
        <w:rPr>
          <w:rFonts w:hint="eastAsia" w:asciiTheme="minorEastAsia" w:hAnsiTheme="minorEastAsia" w:eastAsiaTheme="minorEastAsia" w:cstheme="minorEastAsia"/>
          <w:color w:val="auto"/>
          <w:kern w:val="0"/>
          <w:sz w:val="24"/>
          <w:lang w:val="en-US" w:eastAsia="zh-CN" w:bidi="ar"/>
        </w:rPr>
        <w:t>重新生成功能：支持对按条件查询后的清单进行重新生成</w:t>
      </w:r>
    </w:p>
    <w:p w14:paraId="477FE207">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7.3.5</w:t>
      </w:r>
      <w:r>
        <w:rPr>
          <w:rFonts w:hint="eastAsia" w:asciiTheme="minorEastAsia" w:hAnsiTheme="minorEastAsia" w:eastAsiaTheme="minorEastAsia" w:cstheme="minorEastAsia"/>
          <w:color w:val="auto"/>
          <w:kern w:val="0"/>
          <w:sz w:val="24"/>
          <w:lang w:val="en-US" w:eastAsia="zh-CN" w:bidi="ar"/>
        </w:rPr>
        <w:t>上传：支持对按条件查询后的清单上传</w:t>
      </w:r>
    </w:p>
    <w:p w14:paraId="6EF24BB2">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7.3.6</w:t>
      </w:r>
      <w:r>
        <w:rPr>
          <w:rFonts w:hint="eastAsia" w:asciiTheme="minorEastAsia" w:hAnsiTheme="minorEastAsia" w:eastAsiaTheme="minorEastAsia" w:cstheme="minorEastAsia"/>
          <w:color w:val="auto"/>
          <w:kern w:val="0"/>
          <w:sz w:val="24"/>
          <w:lang w:val="en-US" w:eastAsia="zh-CN" w:bidi="ar"/>
        </w:rPr>
        <w:t xml:space="preserve">批量审核功能：支持对按条件查询后的清单进行批量审核 </w:t>
      </w:r>
    </w:p>
    <w:p w14:paraId="055901F1">
      <w:pPr>
        <w:spacing w:line="312" w:lineRule="auto"/>
        <w:ind w:firstLine="480" w:firstLineChars="200"/>
        <w:rPr>
          <w:rFonts w:hint="eastAsia" w:ascii="Times New Roman" w:hAnsi="Times New Roman" w:eastAsia="宋体" w:cs="Times New Roman"/>
          <w:color w:val="auto"/>
          <w:sz w:val="24"/>
          <w:szCs w:val="24"/>
          <w:lang w:val="en-US" w:eastAsia="zh-CN"/>
        </w:rPr>
      </w:pPr>
      <w:r>
        <w:rPr>
          <w:rFonts w:hint="eastAsia" w:asciiTheme="minorEastAsia" w:hAnsiTheme="minorEastAsia" w:eastAsiaTheme="minorEastAsia" w:cstheme="minorEastAsia"/>
          <w:b w:val="0"/>
          <w:bCs w:val="0"/>
          <w:color w:val="auto"/>
          <w:kern w:val="0"/>
          <w:sz w:val="24"/>
          <w:lang w:val="en-US" w:eastAsia="zh-CN" w:bidi="ar"/>
        </w:rPr>
        <w:t>7.3.7</w:t>
      </w:r>
      <w:r>
        <w:rPr>
          <w:rFonts w:hint="eastAsia" w:asciiTheme="minorEastAsia" w:hAnsiTheme="minorEastAsia" w:eastAsiaTheme="minorEastAsia" w:cstheme="minorEastAsia"/>
          <w:color w:val="auto"/>
          <w:kern w:val="0"/>
          <w:sz w:val="24"/>
          <w:lang w:val="en-US" w:eastAsia="zh-CN" w:bidi="ar"/>
        </w:rPr>
        <w:t>导出功能：</w:t>
      </w:r>
      <w:r>
        <w:rPr>
          <w:rFonts w:hint="eastAsia" w:ascii="Times New Roman" w:hAnsi="Times New Roman" w:eastAsia="宋体" w:cs="Times New Roman"/>
          <w:color w:val="auto"/>
          <w:sz w:val="24"/>
          <w:szCs w:val="24"/>
          <w:lang w:val="en-US" w:eastAsia="zh-CN"/>
        </w:rPr>
        <w:t>支持对按条件查询后的清单进行批量导出</w:t>
      </w:r>
    </w:p>
    <w:p w14:paraId="113CCE3C">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7.4清单生成</w:t>
      </w:r>
    </w:p>
    <w:p w14:paraId="31E257EC">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7.4.1支持后台定时任务自动获取已结算的病案首页数据生成结算清单，也支持手动根据结算时间或者病案号和住院次数获取病案首页数据生成结算清单。并可以实时查看数据抽取的进度。支持查看清单生成历史记录。</w:t>
      </w:r>
    </w:p>
    <w:p w14:paraId="42255892">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7.4.2支持实时查询历史遗漏清单数据并支持系统自动补充遗漏数据和手动一键获取遗漏数据。</w:t>
      </w:r>
    </w:p>
    <w:p w14:paraId="33C76286">
      <w:pPr>
        <w:spacing w:line="312" w:lineRule="auto"/>
        <w:ind w:firstLine="480" w:firstLineChars="200"/>
        <w:rPr>
          <w:rFonts w:hint="eastAsia" w:ascii="Times New Roman" w:hAnsi="Times New Roman" w:eastAsia="宋体" w:cs="Times New Roman"/>
          <w:sz w:val="24"/>
          <w:szCs w:val="24"/>
          <w:lang w:val="en-US" w:eastAsia="zh-CN"/>
        </w:rPr>
      </w:pPr>
      <w:r>
        <w:rPr>
          <w:rFonts w:hint="eastAsia" w:asciiTheme="minorEastAsia" w:hAnsiTheme="minorEastAsia" w:eastAsiaTheme="minorEastAsia" w:cstheme="minorEastAsia"/>
          <w:kern w:val="0"/>
          <w:sz w:val="24"/>
          <w:lang w:val="en-US" w:eastAsia="zh-CN" w:bidi="ar"/>
        </w:rPr>
        <w:t>7.4.3支持查看清单生成历史记录。可按照清单生成历史条件进行查询，并进行清单生成的数据展示。</w:t>
      </w:r>
    </w:p>
    <w:p w14:paraId="203C374C">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7.5结算清单质控</w:t>
      </w:r>
    </w:p>
    <w:p w14:paraId="77037F71">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7.5.1结算清单完整性质控：医保结算清单基础质控包括支持字段非空校验、字典值域校验数据格式等，确保结算清单数据的完整性，上传的及时性和合格率。</w:t>
      </w:r>
    </w:p>
    <w:p w14:paraId="63551C4C">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7.5.2结算清单医保编码质控：支持诊断手术灰码提示和替换编码推荐，编码和名称不对应、非医保码、诊断手术编码重复等进行质控，提高入组准确性和入组率，避免因为编码原因导致入组异常。</w:t>
      </w:r>
    </w:p>
    <w:p w14:paraId="30D28EC8">
      <w:pPr>
        <w:spacing w:line="312" w:lineRule="auto"/>
        <w:ind w:firstLine="480" w:firstLineChars="200"/>
        <w:rPr>
          <w:rFonts w:hint="eastAsia" w:ascii="仿宋" w:hAnsi="仿宋" w:eastAsia="仿宋" w:cs="仿宋"/>
          <w:sz w:val="24"/>
          <w:szCs w:val="24"/>
          <w:lang w:val="en-US" w:eastAsia="zh-CN"/>
          <w14:ligatures w14:val="none"/>
        </w:rPr>
      </w:pPr>
      <w:r>
        <w:rPr>
          <w:rFonts w:hint="eastAsia" w:asciiTheme="minorEastAsia" w:hAnsiTheme="minorEastAsia" w:eastAsiaTheme="minorEastAsia" w:cstheme="minorEastAsia"/>
          <w:kern w:val="0"/>
          <w:sz w:val="24"/>
          <w:lang w:val="en-US" w:eastAsia="zh-CN" w:bidi="ar"/>
        </w:rPr>
        <w:t>7.5.3结算清单费</w:t>
      </w:r>
      <w:r>
        <w:rPr>
          <w:rFonts w:hint="eastAsia" w:ascii="Times New Roman" w:hAnsi="Times New Roman" w:eastAsia="宋体" w:cs="Times New Roman"/>
          <w:sz w:val="24"/>
          <w:szCs w:val="24"/>
          <w:lang w:val="en-US" w:eastAsia="zh-CN"/>
        </w:rPr>
        <w:t>用质控：支持根据费用构成信息提示是否低标准入院，避免医保违规罚款。</w:t>
      </w:r>
    </w:p>
    <w:p w14:paraId="79D3BB12">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7.6清单审核</w:t>
      </w:r>
    </w:p>
    <w:p w14:paraId="1CB0A194">
      <w:pPr>
        <w:spacing w:line="312" w:lineRule="auto"/>
        <w:ind w:firstLine="480" w:firstLineChars="200"/>
        <w:rPr>
          <w:rFonts w:hint="eastAsia" w:asciiTheme="minorEastAsia" w:hAnsiTheme="minorEastAsia" w:eastAsiaTheme="minorEastAsia" w:cstheme="minorEastAsia"/>
          <w:b w:val="0"/>
          <w:bCs w:val="0"/>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7.6.1医保结算清单支持根据不同条件查询相应的结算清单，并支持查看清单详细数据。支持结算清单数据修改。支持院内自定义审核流程，并支持医保办人员对医保结算清单进行修改，提交系统内进行审核，确保结算清单经过多方确认，同时支持单项以及批量审核。</w:t>
      </w:r>
    </w:p>
    <w:p w14:paraId="6752F61A">
      <w:pPr>
        <w:spacing w:line="312" w:lineRule="auto"/>
        <w:ind w:firstLine="480" w:firstLineChars="200"/>
        <w:rPr>
          <w:rFonts w:hint="eastAsia" w:ascii="Times New Roman" w:hAnsi="Times New Roman" w:eastAsia="宋体" w:cs="Times New Roman"/>
          <w:sz w:val="24"/>
          <w:szCs w:val="24"/>
          <w:lang w:val="en-US" w:eastAsia="zh-CN"/>
        </w:rPr>
      </w:pPr>
      <w:r>
        <w:rPr>
          <w:rFonts w:hint="eastAsia" w:asciiTheme="minorEastAsia" w:hAnsiTheme="minorEastAsia" w:eastAsiaTheme="minorEastAsia" w:cstheme="minorEastAsia"/>
          <w:b w:val="0"/>
          <w:bCs w:val="0"/>
          <w:color w:val="auto"/>
          <w:kern w:val="0"/>
          <w:sz w:val="24"/>
          <w:lang w:val="en-US" w:eastAsia="zh-CN" w:bidi="ar"/>
        </w:rPr>
        <w:t>7.6.2</w:t>
      </w:r>
      <w:r>
        <w:rPr>
          <w:rFonts w:hint="eastAsia" w:asciiTheme="minorEastAsia" w:hAnsiTheme="minorEastAsia" w:eastAsiaTheme="minorEastAsia" w:cstheme="minorEastAsia"/>
          <w:kern w:val="0"/>
          <w:sz w:val="24"/>
          <w:lang w:val="en-US" w:eastAsia="zh-CN" w:bidi="ar"/>
        </w:rPr>
        <w:t>对于部分清单生成时出现生成失败或抽取不到的情况，系统支持通过住院号和住院次数查询清单状态，可以检测出此结算信息是否存在撤销，联网登记作废等异常情况，所有结果都以页面形式展示，数据字段异常时会以显眼的红色标记，且在右侧会提示清单可能存在的问题和解决方案，方便用户针对数据问题专项处理。同时支持查看历史住院结算信息、联网结算信息、联</w:t>
      </w:r>
      <w:r>
        <w:rPr>
          <w:rFonts w:hint="eastAsia" w:ascii="Times New Roman" w:hAnsi="Times New Roman" w:eastAsia="宋体" w:cs="Times New Roman"/>
          <w:sz w:val="24"/>
          <w:szCs w:val="24"/>
          <w:lang w:val="en-US" w:eastAsia="zh-CN"/>
        </w:rPr>
        <w:t>网结算信息。</w:t>
      </w:r>
    </w:p>
    <w:p w14:paraId="1C6BB05A">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7.7清单上传</w:t>
      </w:r>
    </w:p>
    <w:p w14:paraId="79ADB75D">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7.7.1上传管理：结算清单支持后台定时任务批量上传，也支持手动批量和单个上传。结算清单支持全国所有清单上传参数模板，并可以根据医保上传接口调整做相应的模板修改。</w:t>
      </w:r>
    </w:p>
    <w:p w14:paraId="4AFBD8C1">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7.7.2上传查询：结算清单支持对所有上传情况进行查询，支持多种查询方式，包括结算清单类型、科室、姓名/病案号/医生/结算ID、时间段、上传状态、结算类型、费别、上传失败原因、解决方案、错误类型等多种条件进行查询，所有查询内容，以列表方式展示结算清单的具体信息，应包含就医流水号、患者姓名、住院号、病案号、科室、清单来源、院内结算日期、上传状态、上传失败原因，并支持根据病案号信息进行数据下钻，查看详细信息，并支持查看上传日志。</w:t>
      </w:r>
    </w:p>
    <w:p w14:paraId="2078FA3E">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7.7.3上传日志查询：支持按照结算清单类型、科室、上传状态、异地人员类型、错误类型、姓名/病案号/医生/结算ID、上传失败原因、时间段、是否仅展示最后一次上传等多条件查询。</w:t>
      </w:r>
    </w:p>
    <w:p w14:paraId="4B4E437B">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7.7.4上传日志展示：支持以列表方式统计展示结算清单上传的详情，支持针对某条结算清单的信息，进行查看日志、查看清单、重新生成、重新上传等操作。</w:t>
      </w:r>
    </w:p>
    <w:p w14:paraId="06D553CD">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7.7.5上传日志导出：结算清单支持实时查看结算清单上传日志，及时查看上传失败的错误原因，并及时修改。</w:t>
      </w:r>
    </w:p>
    <w:p w14:paraId="5400C176">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7.7.6上传核对：支持将医保局要求上传的结算清单数据整理好，导入系统中与系统的结算清单数据进行核对，可以查看上传成功、上传失败、未上传和系统缺少清单。</w:t>
      </w:r>
    </w:p>
    <w:p w14:paraId="19AC941E">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7.7.7上传核对导出：支持将上传核对结果以EXCEL形式导出</w:t>
      </w:r>
    </w:p>
    <w:p w14:paraId="28A5AE90">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7.7.8上传核对统计：支持将上传核对结果以饼图的形式展示，可以清晰的查看上传成功、上传失败、未上传和系统缺少清单的数量。</w:t>
      </w:r>
    </w:p>
    <w:p w14:paraId="54FE196B">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7.7.9批量删除：支持按照导入的数据将系统中的结算清单数据进行批量删除。</w:t>
      </w:r>
    </w:p>
    <w:p w14:paraId="2D4F259F">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7.7.10下载模板：系统应提供导入模板，可以下载模板，按模板将需要核对的数据进行整理，导入系统中进行核对。</w:t>
      </w:r>
    </w:p>
    <w:p w14:paraId="4BBE5417">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7.7.11导入数据：支持将医保局下发的需要上传的结算清单数据进行导入到系统中</w:t>
      </w:r>
    </w:p>
    <w:p w14:paraId="2205FEE2">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7.7.12上传核对查看：支持以表格的形式展示核对结果。</w:t>
      </w:r>
    </w:p>
    <w:p w14:paraId="131C6D5A">
      <w:pPr>
        <w:spacing w:line="312" w:lineRule="auto"/>
        <w:ind w:firstLine="480" w:firstLineChars="200"/>
        <w:rPr>
          <w:rFonts w:hint="eastAsia" w:ascii="Times New Roman" w:hAnsi="Times New Roman" w:eastAsia="宋体" w:cs="Times New Roman"/>
          <w:sz w:val="24"/>
          <w:szCs w:val="24"/>
          <w:lang w:val="en-US" w:eastAsia="zh-CN"/>
        </w:rPr>
      </w:pPr>
      <w:r>
        <w:rPr>
          <w:rFonts w:hint="eastAsia" w:asciiTheme="minorEastAsia" w:hAnsiTheme="minorEastAsia" w:eastAsiaTheme="minorEastAsia" w:cstheme="minorEastAsia"/>
          <w:kern w:val="0"/>
          <w:sz w:val="24"/>
          <w:lang w:val="en-US" w:eastAsia="zh-CN" w:bidi="ar"/>
        </w:rPr>
        <w:t>7.7.13上传核对删除</w:t>
      </w:r>
      <w:r>
        <w:rPr>
          <w:rFonts w:hint="eastAsia" w:ascii="Times New Roman" w:hAnsi="Times New Roman" w:eastAsia="宋体" w:cs="Times New Roman"/>
          <w:sz w:val="24"/>
          <w:szCs w:val="24"/>
          <w:lang w:val="en-US" w:eastAsia="zh-CN"/>
        </w:rPr>
        <w:t>：支持将核对出来的多余的清单进行删除</w:t>
      </w:r>
    </w:p>
    <w:p w14:paraId="472167D2">
      <w:pPr>
        <w:spacing w:line="312" w:lineRule="auto"/>
        <w:ind w:firstLine="482"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bCs/>
          <w:kern w:val="0"/>
          <w:sz w:val="24"/>
          <w:lang w:val="en-US" w:eastAsia="zh-CN" w:bidi="ar"/>
        </w:rPr>
        <w:t>7.8清单查询与明细：</w:t>
      </w:r>
      <w:r>
        <w:rPr>
          <w:rFonts w:hint="eastAsia" w:asciiTheme="minorEastAsia" w:hAnsiTheme="minorEastAsia" w:eastAsiaTheme="minorEastAsia" w:cstheme="minorEastAsia"/>
          <w:kern w:val="0"/>
          <w:sz w:val="24"/>
          <w:lang w:val="en-US" w:eastAsia="zh-CN" w:bidi="ar"/>
        </w:rPr>
        <w:t>清单按条件查询：包含病人类型、科室、审核状态、上传状态、时间段选择、排序条件（结算时间、入院时间、出院时间、科室、主治医生）、降序、升序、设置搜索条件（姓名/病案号/医生、病案归档状态、病案编码状态、异地人员类型、结算类型、入院时间、出院时间）</w:t>
      </w:r>
    </w:p>
    <w:p w14:paraId="0D270555">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7.9数据变化提醒</w:t>
      </w:r>
      <w:r>
        <w:rPr>
          <w:rFonts w:hint="eastAsia" w:asciiTheme="minorEastAsia" w:hAnsiTheme="minorEastAsia" w:eastAsiaTheme="minorEastAsia" w:cstheme="minorEastAsia"/>
          <w:b/>
          <w:bCs/>
          <w:kern w:val="0"/>
          <w:sz w:val="24"/>
          <w:lang w:val="en-US" w:eastAsia="zh-CN" w:bidi="ar"/>
        </w:rPr>
        <w:tab/>
      </w:r>
    </w:p>
    <w:p w14:paraId="18DFB474">
      <w:pPr>
        <w:spacing w:line="312" w:lineRule="auto"/>
        <w:ind w:firstLine="480" w:firstLineChars="200"/>
        <w:rPr>
          <w:rFonts w:hint="eastAsia" w:asciiTheme="minorEastAsia" w:hAnsiTheme="minorEastAsia" w:eastAsiaTheme="minorEastAsia" w:cstheme="minorEastAsia"/>
          <w:b w:val="0"/>
          <w:bCs w:val="0"/>
          <w:kern w:val="0"/>
          <w:sz w:val="24"/>
          <w:lang w:val="en-US" w:eastAsia="zh-CN" w:bidi="ar"/>
        </w:rPr>
      </w:pPr>
      <w:r>
        <w:rPr>
          <w:rFonts w:hint="eastAsia" w:asciiTheme="minorEastAsia" w:hAnsiTheme="minorEastAsia" w:eastAsiaTheme="minorEastAsia" w:cstheme="minorEastAsia"/>
          <w:b w:val="0"/>
          <w:bCs w:val="0"/>
          <w:kern w:val="0"/>
          <w:sz w:val="24"/>
          <w:lang w:val="en-US" w:eastAsia="zh-CN" w:bidi="ar"/>
        </w:rPr>
        <w:t>7.9.1条件查询功能：查询条件包含住院号、住院次数、科室、上传状态、审核状态、异地人员类型、结算开始结束日期进行查询。</w:t>
      </w:r>
    </w:p>
    <w:p w14:paraId="7F1AF25F">
      <w:pPr>
        <w:spacing w:line="312" w:lineRule="auto"/>
        <w:ind w:firstLine="480" w:firstLineChars="200"/>
        <w:rPr>
          <w:rFonts w:hint="eastAsia" w:asciiTheme="minorEastAsia" w:hAnsiTheme="minorEastAsia" w:eastAsiaTheme="minorEastAsia" w:cstheme="minorEastAsia"/>
          <w:b w:val="0"/>
          <w:bCs w:val="0"/>
          <w:kern w:val="0"/>
          <w:sz w:val="24"/>
          <w:lang w:val="en-US" w:eastAsia="zh-CN" w:bidi="ar"/>
        </w:rPr>
      </w:pPr>
      <w:r>
        <w:rPr>
          <w:rFonts w:hint="eastAsia" w:asciiTheme="minorEastAsia" w:hAnsiTheme="minorEastAsia" w:eastAsiaTheme="minorEastAsia" w:cstheme="minorEastAsia"/>
          <w:b w:val="0"/>
          <w:bCs w:val="0"/>
          <w:kern w:val="0"/>
          <w:sz w:val="24"/>
          <w:lang w:val="en-US" w:eastAsia="zh-CN" w:bidi="ar"/>
        </w:rPr>
        <w:t>7.9.2数据变化信息展示：对所有数据产生变化的患者以列表的方式进行展示，支持对单个患者进行详细数据变化对比查看，清楚地展示调整前的结算清单数据与调整后的数据集，调整变动指出进行红色字段展示。支持对于变化的数据进行，取消、忽略同步操作。</w:t>
      </w:r>
    </w:p>
    <w:p w14:paraId="38548056">
      <w:pPr>
        <w:spacing w:line="312" w:lineRule="auto"/>
        <w:ind w:firstLine="480" w:firstLineChars="200"/>
        <w:rPr>
          <w:rFonts w:hint="eastAsia" w:asciiTheme="minorEastAsia" w:hAnsiTheme="minorEastAsia" w:eastAsiaTheme="minorEastAsia" w:cstheme="minorEastAsia"/>
          <w:b w:val="0"/>
          <w:bCs w:val="0"/>
          <w:kern w:val="0"/>
          <w:sz w:val="24"/>
          <w:lang w:val="en-US" w:eastAsia="zh-CN" w:bidi="ar"/>
        </w:rPr>
      </w:pPr>
      <w:r>
        <w:rPr>
          <w:rFonts w:hint="eastAsia" w:asciiTheme="minorEastAsia" w:hAnsiTheme="minorEastAsia" w:eastAsiaTheme="minorEastAsia" w:cstheme="minorEastAsia"/>
          <w:b w:val="0"/>
          <w:bCs w:val="0"/>
          <w:kern w:val="0"/>
          <w:sz w:val="24"/>
          <w:lang w:val="en-US" w:eastAsia="zh-CN" w:bidi="ar"/>
        </w:rPr>
        <w:t>7.9.3一键同步功能：对于结算清单数据产生变化的所有信息，支持批量操作数据同步</w:t>
      </w:r>
    </w:p>
    <w:p w14:paraId="42900C8D">
      <w:pPr>
        <w:spacing w:line="312" w:lineRule="auto"/>
        <w:ind w:firstLine="480" w:firstLineChars="200"/>
        <w:rPr>
          <w:rFonts w:hint="eastAsia" w:ascii="Times New Roman" w:hAnsi="Times New Roman" w:eastAsia="宋体" w:cs="Times New Roman"/>
          <w:sz w:val="24"/>
          <w:szCs w:val="24"/>
          <w:lang w:val="en-US" w:eastAsia="zh-CN"/>
        </w:rPr>
      </w:pPr>
      <w:r>
        <w:rPr>
          <w:rFonts w:hint="eastAsia" w:asciiTheme="minorEastAsia" w:hAnsiTheme="minorEastAsia" w:eastAsiaTheme="minorEastAsia" w:cstheme="minorEastAsia"/>
          <w:b w:val="0"/>
          <w:bCs w:val="0"/>
          <w:kern w:val="0"/>
          <w:sz w:val="24"/>
          <w:lang w:val="en-US" w:eastAsia="zh-CN" w:bidi="ar"/>
        </w:rPr>
        <w:t>7.9.4一</w:t>
      </w:r>
      <w:r>
        <w:rPr>
          <w:rFonts w:hint="eastAsia" w:asciiTheme="minorEastAsia" w:hAnsiTheme="minorEastAsia" w:eastAsiaTheme="minorEastAsia" w:cstheme="minorEastAsia"/>
          <w:kern w:val="0"/>
          <w:sz w:val="24"/>
          <w:lang w:val="en-US" w:eastAsia="zh-CN" w:bidi="ar"/>
        </w:rPr>
        <w:t>键忽</w:t>
      </w:r>
      <w:r>
        <w:rPr>
          <w:rFonts w:hint="eastAsia" w:ascii="Times New Roman" w:hAnsi="Times New Roman" w:eastAsia="宋体" w:cs="Times New Roman"/>
          <w:sz w:val="24"/>
          <w:szCs w:val="24"/>
          <w:lang w:val="en-US" w:eastAsia="zh-CN"/>
        </w:rPr>
        <w:t>略功能：对于结算清单数据产生变化的所有信息，支持批量操作忽略</w:t>
      </w:r>
    </w:p>
    <w:p w14:paraId="26BF7667">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7.10上游数据追溯</w:t>
      </w:r>
    </w:p>
    <w:p w14:paraId="51CADAD2">
      <w:pPr>
        <w:spacing w:line="312" w:lineRule="auto"/>
        <w:ind w:firstLine="480" w:firstLineChars="200"/>
        <w:rPr>
          <w:rFonts w:hint="eastAsia" w:asciiTheme="minorEastAsia" w:hAnsiTheme="minorEastAsia" w:eastAsiaTheme="minorEastAsia" w:cstheme="minorEastAsia"/>
          <w:b w:val="0"/>
          <w:bCs w:val="0"/>
          <w:kern w:val="0"/>
          <w:sz w:val="24"/>
          <w:lang w:val="en-US" w:eastAsia="zh-CN" w:bidi="ar"/>
        </w:rPr>
      </w:pPr>
      <w:r>
        <w:rPr>
          <w:rFonts w:hint="eastAsia" w:asciiTheme="minorEastAsia" w:hAnsiTheme="minorEastAsia" w:eastAsiaTheme="minorEastAsia" w:cstheme="minorEastAsia"/>
          <w:b w:val="0"/>
          <w:bCs w:val="0"/>
          <w:kern w:val="0"/>
          <w:sz w:val="24"/>
          <w:lang w:val="en-US" w:eastAsia="zh-CN" w:bidi="ar"/>
        </w:rPr>
        <w:t>7.10.1条件查询功能：对于部分清单生成时出现生成失败或抽取不到的情况，系统支持通过住院号和住院次数查询清单状态。</w:t>
      </w:r>
    </w:p>
    <w:p w14:paraId="3D05950C">
      <w:pPr>
        <w:spacing w:line="312" w:lineRule="auto"/>
        <w:ind w:firstLine="480" w:firstLineChars="200"/>
        <w:rPr>
          <w:rFonts w:hint="eastAsia" w:asciiTheme="minorEastAsia" w:hAnsiTheme="minorEastAsia" w:eastAsiaTheme="minorEastAsia" w:cstheme="minorEastAsia"/>
          <w:b w:val="0"/>
          <w:bCs w:val="0"/>
          <w:kern w:val="0"/>
          <w:sz w:val="24"/>
          <w:lang w:val="en-US" w:eastAsia="zh-CN" w:bidi="ar"/>
        </w:rPr>
      </w:pPr>
      <w:r>
        <w:rPr>
          <w:rFonts w:hint="eastAsia" w:asciiTheme="minorEastAsia" w:hAnsiTheme="minorEastAsia" w:eastAsiaTheme="minorEastAsia" w:cstheme="minorEastAsia"/>
          <w:b w:val="0"/>
          <w:bCs w:val="0"/>
          <w:kern w:val="0"/>
          <w:sz w:val="24"/>
          <w:lang w:val="en-US" w:eastAsia="zh-CN" w:bidi="ar"/>
        </w:rPr>
        <w:t>7.10.2数据信息分析展示：支持检测出此结算信息是否存在撤销，联网登记作废等异常情况，所有结果都以页面形式展示，数据字段异常时会以显眼的红色标记，且会提示清单可能存在的问题和解决方案，方便用户针对数据问题专项处理。</w:t>
      </w:r>
    </w:p>
    <w:p w14:paraId="4388E332">
      <w:pPr>
        <w:spacing w:line="312" w:lineRule="auto"/>
        <w:ind w:firstLine="480" w:firstLineChars="200"/>
        <w:rPr>
          <w:rFonts w:hint="eastAsia" w:asciiTheme="minorEastAsia" w:hAnsiTheme="minorEastAsia" w:eastAsiaTheme="minorEastAsia" w:cstheme="minorEastAsia"/>
          <w:b w:val="0"/>
          <w:bCs w:val="0"/>
          <w:kern w:val="0"/>
          <w:sz w:val="24"/>
          <w:lang w:val="en-US" w:eastAsia="zh-CN" w:bidi="ar"/>
        </w:rPr>
      </w:pPr>
      <w:r>
        <w:rPr>
          <w:rFonts w:hint="eastAsia" w:asciiTheme="minorEastAsia" w:hAnsiTheme="minorEastAsia" w:eastAsiaTheme="minorEastAsia" w:cstheme="minorEastAsia"/>
          <w:b w:val="0"/>
          <w:bCs w:val="0"/>
          <w:kern w:val="0"/>
          <w:sz w:val="24"/>
          <w:lang w:val="en-US" w:eastAsia="zh-CN" w:bidi="ar"/>
        </w:rPr>
        <w:t>7.10.3联网登记记录查询功能：支持查看患者医保联网登记的联网登记流水号、参保地、医保就诊id等信息。</w:t>
      </w:r>
    </w:p>
    <w:p w14:paraId="351C362B">
      <w:pPr>
        <w:tabs>
          <w:tab w:val="left" w:pos="417"/>
        </w:tabs>
        <w:spacing w:line="312" w:lineRule="auto"/>
        <w:ind w:firstLine="480" w:firstLineChars="200"/>
        <w:rPr>
          <w:rFonts w:hint="eastAsia" w:ascii="Times New Roman" w:hAnsi="Times New Roman" w:eastAsia="宋体" w:cs="Times New Roman"/>
          <w:b w:val="0"/>
          <w:bCs w:val="0"/>
          <w:sz w:val="24"/>
          <w:szCs w:val="24"/>
          <w:lang w:val="en-US" w:eastAsia="zh-CN"/>
        </w:rPr>
      </w:pPr>
      <w:r>
        <w:rPr>
          <w:rFonts w:hint="eastAsia" w:asciiTheme="minorEastAsia" w:hAnsiTheme="minorEastAsia" w:eastAsiaTheme="minorEastAsia" w:cstheme="minorEastAsia"/>
          <w:b w:val="0"/>
          <w:bCs w:val="0"/>
          <w:kern w:val="0"/>
          <w:sz w:val="24"/>
          <w:lang w:val="en-US" w:eastAsia="zh-CN" w:bidi="ar"/>
        </w:rPr>
        <w:t>7.10.4信息查询功能</w:t>
      </w:r>
      <w:r>
        <w:rPr>
          <w:rFonts w:hint="eastAsia" w:ascii="Times New Roman" w:hAnsi="Times New Roman" w:eastAsia="宋体" w:cs="Times New Roman"/>
          <w:b w:val="0"/>
          <w:bCs w:val="0"/>
          <w:sz w:val="24"/>
          <w:szCs w:val="24"/>
          <w:lang w:val="en-US" w:eastAsia="zh-CN"/>
        </w:rPr>
        <w:t>：支持查看历史住院结算信息。</w:t>
      </w:r>
    </w:p>
    <w:p w14:paraId="1724F7DB">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7.11统计分析：</w:t>
      </w:r>
      <w:r>
        <w:rPr>
          <w:rFonts w:hint="eastAsia" w:ascii="Times New Roman" w:hAnsi="Times New Roman" w:eastAsia="宋体" w:cs="Times New Roman"/>
          <w:sz w:val="24"/>
          <w:szCs w:val="24"/>
          <w:lang w:val="en-US" w:eastAsia="zh-CN"/>
        </w:rPr>
        <w:t>支持医保结算清单上传失败信息的统计分析、驳回统计、审核统计分析。</w:t>
      </w:r>
      <w:bookmarkStart w:id="334" w:name="_Toc21675"/>
    </w:p>
    <w:p w14:paraId="08230180">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8.医共体检验中心系统</w:t>
      </w:r>
      <w:bookmarkEnd w:id="334"/>
    </w:p>
    <w:p w14:paraId="37F52123">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8.1远程检验上下级外检机构维护</w:t>
      </w:r>
    </w:p>
    <w:p w14:paraId="08352668">
      <w:pPr>
        <w:spacing w:line="312" w:lineRule="auto"/>
        <w:ind w:firstLine="482"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bCs/>
          <w:kern w:val="0"/>
          <w:sz w:val="24"/>
          <w:lang w:val="en-US" w:eastAsia="zh-CN" w:bidi="ar"/>
        </w:rPr>
        <w:t>8.1.1系统登录：</w:t>
      </w:r>
      <w:r>
        <w:rPr>
          <w:rFonts w:hint="eastAsia" w:asciiTheme="minorEastAsia" w:hAnsiTheme="minorEastAsia" w:eastAsiaTheme="minorEastAsia" w:cstheme="minorEastAsia"/>
          <w:kern w:val="0"/>
          <w:sz w:val="24"/>
          <w:lang w:val="en-US" w:eastAsia="zh-CN" w:bidi="ar"/>
        </w:rPr>
        <w:t>系统应支持便捷的登录方式，支持填写账户密码登录后通过回车键或点击登录按钮进入系统。</w:t>
      </w:r>
    </w:p>
    <w:p w14:paraId="3E02C185">
      <w:pPr>
        <w:spacing w:line="312" w:lineRule="auto"/>
        <w:ind w:firstLine="482" w:firstLineChars="200"/>
        <w:rPr>
          <w:rFonts w:hint="eastAsia" w:asciiTheme="minorEastAsia" w:hAnsiTheme="minorEastAsia" w:eastAsiaTheme="minorEastAsia" w:cstheme="minorEastAsia"/>
          <w:color w:val="FF0000"/>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▲8.1.2外检机构维护：</w:t>
      </w:r>
      <w:r>
        <w:rPr>
          <w:rFonts w:hint="eastAsia" w:asciiTheme="minorEastAsia" w:hAnsiTheme="minorEastAsia" w:eastAsiaTheme="minorEastAsia" w:cstheme="minorEastAsia"/>
          <w:color w:val="auto"/>
          <w:kern w:val="0"/>
          <w:sz w:val="24"/>
          <w:lang w:val="en-US" w:eastAsia="zh-CN" w:bidi="ar"/>
        </w:rPr>
        <w:t>系统应支持外检机构维护、修改、删除等操作，外检机构的新增应支持编辑外送机构、填写上级的机构名称、机构ID、ORGID、条码发送地址、报告获取地址、召回地址、状态变更通知地址、基础地址（上级查询下级外送项目），应支持选择机构类型如：上级、下级、其他等。</w:t>
      </w:r>
    </w:p>
    <w:p w14:paraId="7DEC0191">
      <w:pPr>
        <w:spacing w:line="312" w:lineRule="auto"/>
        <w:ind w:firstLine="482"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bCs/>
          <w:kern w:val="0"/>
          <w:sz w:val="24"/>
          <w:lang w:val="en-US" w:eastAsia="zh-CN" w:bidi="ar"/>
        </w:rPr>
        <w:t>8.1.3项目维护：</w:t>
      </w:r>
      <w:r>
        <w:rPr>
          <w:rFonts w:hint="eastAsia" w:asciiTheme="minorEastAsia" w:hAnsiTheme="minorEastAsia" w:eastAsiaTheme="minorEastAsia" w:cstheme="minorEastAsia"/>
          <w:kern w:val="0"/>
          <w:sz w:val="24"/>
          <w:lang w:val="en-US" w:eastAsia="zh-CN" w:bidi="ar"/>
        </w:rPr>
        <w:t>系统应支持选择确定开展的外检项目，维护其外检机构、条码前缀（如：ws）。</w:t>
      </w:r>
    </w:p>
    <w:p w14:paraId="27ED49BB">
      <w:pPr>
        <w:spacing w:line="312" w:lineRule="auto"/>
        <w:ind w:firstLine="482"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bCs/>
          <w:kern w:val="0"/>
          <w:sz w:val="24"/>
          <w:lang w:val="en-US" w:eastAsia="zh-CN" w:bidi="ar"/>
        </w:rPr>
        <w:t>8.1.4外检项目对照：</w:t>
      </w:r>
      <w:r>
        <w:rPr>
          <w:rFonts w:hint="eastAsia" w:asciiTheme="minorEastAsia" w:hAnsiTheme="minorEastAsia" w:eastAsiaTheme="minorEastAsia" w:cstheme="minorEastAsia"/>
          <w:kern w:val="0"/>
          <w:sz w:val="24"/>
          <w:lang w:val="en-US" w:eastAsia="zh-CN" w:bidi="ar"/>
        </w:rPr>
        <w:t>系统应支持显示下级机构、下级送检项目、上级检验项目等。应支持维护列表内所有下级医院。应支持通过输入机构名称进行快速查找。应支持通过选择报告单类型和输入组合项目名称进行对照。</w:t>
      </w:r>
    </w:p>
    <w:p w14:paraId="229B2A35">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8.2上级医疗机构医嘱项目共享</w:t>
      </w:r>
    </w:p>
    <w:p w14:paraId="154166A7">
      <w:pPr>
        <w:spacing w:line="312" w:lineRule="auto"/>
        <w:ind w:firstLine="482"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bCs/>
          <w:kern w:val="0"/>
          <w:sz w:val="24"/>
          <w:lang w:val="en-US" w:eastAsia="zh-CN" w:bidi="ar"/>
        </w:rPr>
        <w:t>8.2.1医嘱项目共享申请：</w:t>
      </w:r>
      <w:r>
        <w:rPr>
          <w:rFonts w:hint="eastAsia" w:asciiTheme="minorEastAsia" w:hAnsiTheme="minorEastAsia" w:eastAsiaTheme="minorEastAsia" w:cstheme="minorEastAsia"/>
          <w:kern w:val="0"/>
          <w:sz w:val="24"/>
          <w:lang w:val="en-US" w:eastAsia="zh-CN" w:bidi="ar"/>
        </w:rPr>
        <w:t>系统应支持上级医疗机构选择需要共享给下级医院的医嘱，并发起申请。</w:t>
      </w:r>
    </w:p>
    <w:p w14:paraId="083C3A9E">
      <w:pPr>
        <w:spacing w:line="312" w:lineRule="auto"/>
        <w:ind w:firstLine="482"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bCs/>
          <w:kern w:val="0"/>
          <w:sz w:val="24"/>
          <w:lang w:val="en-US" w:eastAsia="zh-CN" w:bidi="ar"/>
        </w:rPr>
        <w:t>8.2.2医嘱项目共享审批：</w:t>
      </w:r>
      <w:r>
        <w:rPr>
          <w:rFonts w:hint="eastAsia" w:asciiTheme="minorEastAsia" w:hAnsiTheme="minorEastAsia" w:eastAsiaTheme="minorEastAsia" w:cstheme="minorEastAsia"/>
          <w:kern w:val="0"/>
          <w:sz w:val="24"/>
          <w:lang w:val="en-US" w:eastAsia="zh-CN" w:bidi="ar"/>
        </w:rPr>
        <w:t>系统应支持审批上级医院标记的共享给下级医院的医嘱，并选择共享给哪些下级医疗机构。</w:t>
      </w:r>
    </w:p>
    <w:p w14:paraId="7D9E1A8C">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8.3下级医疗机构检验申请</w:t>
      </w:r>
    </w:p>
    <w:p w14:paraId="27255CCA">
      <w:pPr>
        <w:spacing w:line="312" w:lineRule="auto"/>
        <w:ind w:firstLine="482"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bCs/>
          <w:kern w:val="0"/>
          <w:sz w:val="24"/>
          <w:lang w:val="en-US" w:eastAsia="zh-CN" w:bidi="ar"/>
        </w:rPr>
        <w:t>8.3.1系统登录：</w:t>
      </w:r>
      <w:r>
        <w:rPr>
          <w:rFonts w:hint="eastAsia" w:asciiTheme="minorEastAsia" w:hAnsiTheme="minorEastAsia" w:eastAsiaTheme="minorEastAsia" w:cstheme="minorEastAsia"/>
          <w:kern w:val="0"/>
          <w:sz w:val="24"/>
          <w:lang w:val="en-US" w:eastAsia="zh-CN" w:bidi="ar"/>
        </w:rPr>
        <w:t>系统应支持便捷的登录方式，应支持填写账户密码登录后通过回车键或点击登录按钮进入系统。</w:t>
      </w:r>
    </w:p>
    <w:p w14:paraId="3882ECCE">
      <w:pPr>
        <w:spacing w:line="312" w:lineRule="auto"/>
        <w:ind w:firstLine="482"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bCs/>
          <w:kern w:val="0"/>
          <w:sz w:val="24"/>
          <w:lang w:val="en-US" w:eastAsia="zh-CN" w:bidi="ar"/>
        </w:rPr>
        <w:t>8.3.2填写绿色通道申请：</w:t>
      </w:r>
      <w:r>
        <w:rPr>
          <w:rFonts w:hint="eastAsia" w:asciiTheme="minorEastAsia" w:hAnsiTheme="minorEastAsia" w:eastAsiaTheme="minorEastAsia" w:cstheme="minorEastAsia"/>
          <w:kern w:val="0"/>
          <w:sz w:val="24"/>
          <w:lang w:val="en-US" w:eastAsia="zh-CN" w:bidi="ar"/>
        </w:rPr>
        <w:t>系统应支持绿色通道登记。系统应支持通过刷卡、输入卡号等方式填入患者信息。如：姓名、性别、年龄等信息。</w:t>
      </w:r>
    </w:p>
    <w:p w14:paraId="0DA1D5A1">
      <w:pPr>
        <w:spacing w:line="312" w:lineRule="auto"/>
        <w:ind w:firstLine="482"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bCs/>
          <w:kern w:val="0"/>
          <w:sz w:val="24"/>
          <w:lang w:val="en-US" w:eastAsia="zh-CN" w:bidi="ar"/>
        </w:rPr>
        <w:t>8.3.3添加项目：</w:t>
      </w:r>
      <w:r>
        <w:rPr>
          <w:rFonts w:hint="eastAsia" w:asciiTheme="minorEastAsia" w:hAnsiTheme="minorEastAsia" w:eastAsiaTheme="minorEastAsia" w:cstheme="minorEastAsia"/>
          <w:kern w:val="0"/>
          <w:sz w:val="24"/>
          <w:lang w:val="en-US" w:eastAsia="zh-CN" w:bidi="ar"/>
        </w:rPr>
        <w:t>系统应支持添加项目，页面中应包含报告类型、项目名称、拼音代码、报告项目等。添加成功后，绿色通道登记页面支持显示该项目。</w:t>
      </w:r>
    </w:p>
    <w:p w14:paraId="7534389F">
      <w:pPr>
        <w:spacing w:line="312" w:lineRule="auto"/>
        <w:ind w:firstLine="482"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bCs/>
          <w:kern w:val="0"/>
          <w:sz w:val="24"/>
          <w:lang w:val="en-US" w:eastAsia="zh-CN" w:bidi="ar"/>
        </w:rPr>
        <w:t>8.3.4条码生成：</w:t>
      </w:r>
      <w:r>
        <w:rPr>
          <w:rFonts w:hint="eastAsia" w:asciiTheme="minorEastAsia" w:hAnsiTheme="minorEastAsia" w:eastAsiaTheme="minorEastAsia" w:cstheme="minorEastAsia"/>
          <w:kern w:val="0"/>
          <w:sz w:val="24"/>
          <w:lang w:val="en-US" w:eastAsia="zh-CN" w:bidi="ar"/>
        </w:rPr>
        <w:t>系统应支持条码生成。应支持在样本周转下样本接收，为患者采集标本并把标本运输到对应的二级医疗机构的检验科。应支持在项目外送列表将未发送成功的项目重新发送。</w:t>
      </w:r>
    </w:p>
    <w:p w14:paraId="7226C545">
      <w:pPr>
        <w:spacing w:line="312" w:lineRule="auto"/>
        <w:ind w:firstLine="482"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bCs/>
          <w:kern w:val="0"/>
          <w:sz w:val="24"/>
          <w:lang w:val="en-US" w:eastAsia="zh-CN" w:bidi="ar"/>
        </w:rPr>
        <w:t>8.3.5系统支持条码查询：</w:t>
      </w:r>
      <w:r>
        <w:rPr>
          <w:rFonts w:hint="eastAsia" w:asciiTheme="minorEastAsia" w:hAnsiTheme="minorEastAsia" w:eastAsiaTheme="minorEastAsia" w:cstheme="minorEastAsia"/>
          <w:kern w:val="0"/>
          <w:sz w:val="24"/>
          <w:lang w:val="en-US" w:eastAsia="zh-CN" w:bidi="ar"/>
        </w:rPr>
        <w:t>系统应支持实时查询远程检验的申请情况，当二级医疗机构对标本检验并有了结果，在条码查询中状态支持即时改变。</w:t>
      </w:r>
    </w:p>
    <w:p w14:paraId="33D96223">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8.4上级医疗机构接收标本及检验</w:t>
      </w:r>
    </w:p>
    <w:p w14:paraId="33365701">
      <w:pPr>
        <w:spacing w:line="312" w:lineRule="auto"/>
        <w:ind w:firstLine="482"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bCs/>
          <w:kern w:val="0"/>
          <w:sz w:val="24"/>
          <w:lang w:val="en-US" w:eastAsia="zh-CN" w:bidi="ar"/>
        </w:rPr>
        <w:t>8.4.1系统登录：</w:t>
      </w:r>
      <w:r>
        <w:rPr>
          <w:rFonts w:hint="eastAsia" w:asciiTheme="minorEastAsia" w:hAnsiTheme="minorEastAsia" w:eastAsiaTheme="minorEastAsia" w:cstheme="minorEastAsia"/>
          <w:kern w:val="0"/>
          <w:sz w:val="24"/>
          <w:lang w:val="en-US" w:eastAsia="zh-CN" w:bidi="ar"/>
        </w:rPr>
        <w:t>系统应支持便捷的登录方式，应支持填写账户密码登录后通过回车键或点击登录按钮进入系统。系统应支持绿色通道登记。</w:t>
      </w:r>
    </w:p>
    <w:p w14:paraId="32D9202B">
      <w:pPr>
        <w:spacing w:line="312" w:lineRule="auto"/>
        <w:ind w:firstLine="482"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bCs/>
          <w:kern w:val="0"/>
          <w:sz w:val="24"/>
          <w:lang w:val="en-US" w:eastAsia="zh-CN" w:bidi="ar"/>
        </w:rPr>
        <w:t>8.4.2样本接收：</w:t>
      </w:r>
      <w:r>
        <w:rPr>
          <w:rFonts w:hint="eastAsia" w:asciiTheme="minorEastAsia" w:hAnsiTheme="minorEastAsia" w:eastAsiaTheme="minorEastAsia" w:cstheme="minorEastAsia"/>
          <w:kern w:val="0"/>
          <w:sz w:val="24"/>
          <w:lang w:val="en-US" w:eastAsia="zh-CN" w:bidi="ar"/>
        </w:rPr>
        <w:t>系统应支持扫描条码接收下级医院送上来的标本，并支持自动同步条码上的患者信息及项目信息。</w:t>
      </w:r>
    </w:p>
    <w:p w14:paraId="02A53293">
      <w:pPr>
        <w:spacing w:line="312" w:lineRule="auto"/>
        <w:ind w:firstLine="482"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bCs/>
          <w:kern w:val="0"/>
          <w:sz w:val="24"/>
          <w:lang w:val="en-US" w:eastAsia="zh-CN" w:bidi="ar"/>
        </w:rPr>
        <w:t>8.4.3条码查询：</w:t>
      </w:r>
      <w:r>
        <w:rPr>
          <w:rFonts w:hint="eastAsia" w:asciiTheme="minorEastAsia" w:hAnsiTheme="minorEastAsia" w:eastAsiaTheme="minorEastAsia" w:cstheme="minorEastAsia"/>
          <w:kern w:val="0"/>
          <w:sz w:val="24"/>
          <w:lang w:val="en-US" w:eastAsia="zh-CN" w:bidi="ar"/>
        </w:rPr>
        <w:t>应支持根据条码号或者患者姓名查询标本信息。样本列表中不同的状态应支持以不同颜色显示如：条码打印、样本接收、样本上机、报告审核等状态。</w:t>
      </w:r>
    </w:p>
    <w:p w14:paraId="357351F1">
      <w:pPr>
        <w:spacing w:line="312" w:lineRule="auto"/>
        <w:ind w:firstLine="482"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bCs/>
          <w:kern w:val="0"/>
          <w:sz w:val="24"/>
          <w:lang w:val="en-US" w:eastAsia="zh-CN" w:bidi="ar"/>
        </w:rPr>
        <w:t>8.4.5样本上机：</w:t>
      </w:r>
      <w:r>
        <w:rPr>
          <w:rFonts w:hint="eastAsia" w:asciiTheme="minorEastAsia" w:hAnsiTheme="minorEastAsia" w:eastAsiaTheme="minorEastAsia" w:cstheme="minorEastAsia"/>
          <w:kern w:val="0"/>
          <w:sz w:val="24"/>
          <w:lang w:val="en-US" w:eastAsia="zh-CN" w:bidi="ar"/>
        </w:rPr>
        <w:t>系统应支持通过扫码录入条码号完成样本上机。应支持设置标本号段、条码打印个数、允许样本号重复数等。</w:t>
      </w:r>
    </w:p>
    <w:p w14:paraId="5E5C2896">
      <w:pPr>
        <w:spacing w:line="312" w:lineRule="auto"/>
        <w:ind w:firstLine="482"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bCs/>
          <w:kern w:val="0"/>
          <w:sz w:val="24"/>
          <w:lang w:val="en-US" w:eastAsia="zh-CN" w:bidi="ar"/>
        </w:rPr>
        <w:t>8.4.4报告审核：</w:t>
      </w:r>
      <w:r>
        <w:rPr>
          <w:rFonts w:hint="eastAsia" w:asciiTheme="minorEastAsia" w:hAnsiTheme="minorEastAsia" w:eastAsiaTheme="minorEastAsia" w:cstheme="minorEastAsia"/>
          <w:kern w:val="0"/>
          <w:sz w:val="24"/>
          <w:lang w:val="en-US" w:eastAsia="zh-CN" w:bidi="ar"/>
        </w:rPr>
        <w:t>应支持在样本上机界面选择要审核的数据进行审核。对要审核的样本点击后支持显示结果详情和历史结果。应支持审核前进行审核人登录。</w:t>
      </w:r>
    </w:p>
    <w:p w14:paraId="08AAA541">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8.5上级医疗机构报告回传</w:t>
      </w:r>
    </w:p>
    <w:p w14:paraId="6C4EB277">
      <w:pPr>
        <w:spacing w:line="312" w:lineRule="auto"/>
        <w:ind w:firstLine="482"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bCs/>
          <w:kern w:val="0"/>
          <w:sz w:val="24"/>
          <w:lang w:val="en-US" w:eastAsia="zh-CN" w:bidi="ar"/>
        </w:rPr>
        <w:t>8.5.1报告回传：</w:t>
      </w:r>
      <w:r>
        <w:rPr>
          <w:rFonts w:hint="eastAsia" w:asciiTheme="minorEastAsia" w:hAnsiTheme="minorEastAsia" w:eastAsiaTheme="minorEastAsia" w:cstheme="minorEastAsia"/>
          <w:kern w:val="0"/>
          <w:sz w:val="24"/>
          <w:lang w:val="en-US" w:eastAsia="zh-CN" w:bidi="ar"/>
        </w:rPr>
        <w:t>应支持在上级医疗机构审核报告后，下级医疗能够实时查看报告并进行打印。</w:t>
      </w:r>
    </w:p>
    <w:p w14:paraId="67142A57">
      <w:pPr>
        <w:spacing w:line="312" w:lineRule="auto"/>
        <w:ind w:firstLine="482"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bCs/>
          <w:kern w:val="0"/>
          <w:sz w:val="24"/>
          <w:lang w:val="en-US" w:eastAsia="zh-CN" w:bidi="ar"/>
        </w:rPr>
        <w:t>8.5.2报告查看：</w:t>
      </w:r>
      <w:r>
        <w:rPr>
          <w:rFonts w:hint="eastAsia" w:asciiTheme="minorEastAsia" w:hAnsiTheme="minorEastAsia" w:eastAsiaTheme="minorEastAsia" w:cstheme="minorEastAsia"/>
          <w:kern w:val="0"/>
          <w:sz w:val="24"/>
          <w:lang w:val="en-US" w:eastAsia="zh-CN" w:bidi="ar"/>
        </w:rPr>
        <w:t>应支持在下级医疗机构电子病历系统查看患者的报告结果。</w:t>
      </w:r>
      <w:bookmarkStart w:id="335" w:name="_Toc23824"/>
    </w:p>
    <w:p w14:paraId="1E41E7DB">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9.医共体中心药房系统</w:t>
      </w:r>
      <w:bookmarkEnd w:id="335"/>
    </w:p>
    <w:p w14:paraId="4E126E90">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9.1惠民便民</w:t>
      </w:r>
    </w:p>
    <w:p w14:paraId="4975A889">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9.1.1药品信息查询：系统应提供药品详细信息（规格、剂型、供应企业、价格等）并支持导出，医共体成员单位通过机构官网、电子触摸屏、电子显示屏、公示栏、公示牌等方式，公开药品信息。</w:t>
      </w:r>
    </w:p>
    <w:p w14:paraId="46A4DEC1">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9.1.2缺药登记服务</w:t>
      </w:r>
    </w:p>
    <w:p w14:paraId="04D89D42">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9.1.2.1成员单位可在系统内一键提交缺药登记到中心（云）药房。</w:t>
      </w:r>
    </w:p>
    <w:p w14:paraId="63C57226">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9.1.2.2中心（云）药房可查看中心审核工作台。工作台可汇总展示缺药登记待处理数量、已处理数量等总体处理情况，也可对所有缺药登记的处理全流程节点进行记录，可对处置时效进行标记。</w:t>
      </w:r>
    </w:p>
    <w:p w14:paraId="18464B83">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9.2业务管理</w:t>
      </w:r>
    </w:p>
    <w:p w14:paraId="080227DC">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9.2.1匹配用药目录品种</w:t>
      </w:r>
    </w:p>
    <w:p w14:paraId="124E038F">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9.2.1.1系统应支持医共体统一药品目录的查询与维护功能。用户可基于多维度条件对目录药品进行灵活查询，包括药理分类、药品类型、药品属性（如短缺药品、辅助用药、慢性病用药等），以及各成员单位的药品配备情况。同时，系统应提供目录维护操作，支持根据医院实际业务需求，动态新增药品至目录、停用或重新启用目录中的药品。</w:t>
      </w:r>
    </w:p>
    <w:p w14:paraId="19CE1605">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9.2.1.2系统应支持临时采购药品目录的独立管理，具备手动新增、作废药品的功能，支持临采目录的一键导出。</w:t>
      </w:r>
    </w:p>
    <w:p w14:paraId="1EB83C97">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9.2.1.3系统应具备面向各成员单位的药品目录统计功能，支持对以下关键指标进行分类汇总与分析：药品总数量、药品品种总数、品种重合率、品规总数，以及按类别细分的西药品规数、中成药品规数、中药饮片品规数、自制制剂品规数；同时涵盖基药品规数、医保药品规数、集中采购药品品规数、国家谈判药品品规数；并支持对特殊治疗领域药品的统计，包括抗菌药物、抗肿瘤药、儿童用药、慢病用药（如高血压、糖尿病、慢阻肺、高血脂、骨质疏松、胃肠炎及腹泻等）、急（抢）救药品、（易）短缺药品、传染病用药、季节性用药、地方病用药、创新药及罕见病用药等品规数量。</w:t>
      </w:r>
    </w:p>
    <w:p w14:paraId="1492E38E">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9.2.2汇总审核采购订单</w:t>
      </w:r>
    </w:p>
    <w:p w14:paraId="2652901A">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9.2.2.1系统应支持采购计划全生命周期管理，牵头医院可查看并审批所有成员单位采购计划，成员单位仅可操作本单位未提交和已提交的采购计划。</w:t>
      </w:r>
    </w:p>
    <w:p w14:paraId="19AD0932">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9.2.2.2各成员单位可自行新建采购计划，采购计划生成后可提交至牵头医院审核。</w:t>
      </w:r>
    </w:p>
    <w:p w14:paraId="600C0926">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9.2.2.3牵头医院可生成本院采购计划，同时可对医共体内各成员单位的采购计划进行审批。对于已审核通过的采购计划，系统支持一键汇总生成医共体的统一采购订单。</w:t>
      </w:r>
    </w:p>
    <w:p w14:paraId="33C6A801">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9.2.2.4系统支持将订单按照“进行中”“已完成”状态分类显示，支持根据成员机构名称、订单类型、供应商名称、完成状态等多维筛选。支持批量终止/导出订单。</w:t>
      </w:r>
    </w:p>
    <w:p w14:paraId="11DE9EA0">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9.2.2.5系统应为中心（云）药房提供医共体药品采购的全局视图，通过多维度可视化图表呈现：包括以药品、医疗机构为维度的采购TOP排名（如采购金额、采购药品数量等），并支持自定义排名范围（如TOP10、TOP50等）。</w:t>
      </w:r>
    </w:p>
    <w:p w14:paraId="7E1CD042">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9.2.3供应配送监测</w:t>
      </w:r>
    </w:p>
    <w:p w14:paraId="350873C7">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9.2.3.1系统应支持集中管理供应商信息，可集中展示供应商资质文件、药品供应清单、订单准时率等。</w:t>
      </w:r>
    </w:p>
    <w:p w14:paraId="60160916">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9.2.3.2系统应以供应商配送为核心，生成《供应商配送汇总表》《供应保障统计汇总表》，支持按年、按季度、按月度，供应商、药品名称等多维度绩效评估与趋势分析。</w:t>
      </w:r>
    </w:p>
    <w:p w14:paraId="1B0CF259">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9.2.4库存警戒监测</w:t>
      </w:r>
    </w:p>
    <w:p w14:paraId="68C26870">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9.2.4.1系统应支持将全域盘点库存总金额、品种数、批次数的可视化展示，可根据药品名称、药品属性、药品批号以及成员单位（精确到药库）等关键条件，对全域内所有药库的库存数据进行精确查找与穿透式查看。</w:t>
      </w:r>
    </w:p>
    <w:p w14:paraId="17D4DCE1">
      <w:pPr>
        <w:spacing w:line="312" w:lineRule="auto"/>
        <w:ind w:firstLine="480" w:firstLineChars="200"/>
        <w:rPr>
          <w:rFonts w:hint="eastAsia"/>
          <w:lang w:val="en-US" w:eastAsia="zh-CN"/>
        </w:rPr>
      </w:pPr>
      <w:r>
        <w:rPr>
          <w:rFonts w:hint="eastAsia" w:asciiTheme="minorEastAsia" w:hAnsiTheme="minorEastAsia" w:eastAsiaTheme="minorEastAsia" w:cstheme="minorEastAsia"/>
          <w:kern w:val="0"/>
          <w:sz w:val="24"/>
          <w:lang w:val="en-US" w:eastAsia="zh-CN" w:bidi="ar"/>
        </w:rPr>
        <w:t>9.2.4.2系统应支持按成员单位、药品、药品属性为核心三个维度进行聚合统计，可支持自定义时间范围，覆盖入库、出库、库存全周期的关键数据。</w:t>
      </w:r>
    </w:p>
    <w:p w14:paraId="03445812">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9.3业务协同</w:t>
      </w:r>
    </w:p>
    <w:p w14:paraId="00C962EE">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9.3.1供需对接：系统应提供时间、供应商、机构、药品等多维度统计分析，能按成员单位、药品快速生成药品订单汇总统计报表，支持一键导出。</w:t>
      </w:r>
    </w:p>
    <w:p w14:paraId="376E5BCD">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9.3.2储存分拨和余缺调度</w:t>
      </w:r>
    </w:p>
    <w:p w14:paraId="1E644F33">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9.3.2.1系统应能提供单一药品全维度档案，包括所选药品本月出入库量、库存状态、效期范围、周转天数、在各成员单位中的分布等情况。</w:t>
      </w:r>
    </w:p>
    <w:p w14:paraId="6C3AF999">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9.3.2.2系统应能集中展示国家/省级易短缺药品清单，可动态监控每一药品本月出入库量、当前库存，月周转天数等。系统应能支持用户下钻至任一成员机构药品查看具体的数据状态，实现精准监控。</w:t>
      </w:r>
    </w:p>
    <w:p w14:paraId="78FE546B">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9.3.2.3系统应提供标准化的短缺药品分类分级评估工作台，可自动汇集采购模块标记的短缺药品，支持人工新增调整，并支持机构用户在线填写《医疗机构短缺药品分类分级评估表》，自动记录评估结果，提供应对措施一览表，辅助快速决策。</w:t>
      </w:r>
    </w:p>
    <w:p w14:paraId="020B6451">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9.3.2.4中心（云）药房可对调拨申请进行审批确认。审批通过的调拨申请可进入调拨确认工作台，由将进行调拨操作的成员单位确认并正式发起调拨需求。</w:t>
      </w:r>
    </w:p>
    <w:p w14:paraId="7DFF834A">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9.3.2.5系统可对调拨流程进行全面记录，主要从当日调拨单、历史调拨单、调拨单统计的三大维度，通过调拨总数、已确认数、进行中数等核心指标全流程闭环展示调拨完成过程。</w:t>
      </w:r>
    </w:p>
    <w:p w14:paraId="41326704">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9.3.3近效期处置</w:t>
      </w:r>
    </w:p>
    <w:p w14:paraId="3FA57093">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9.3.3.1系统应实现对各成员单位药品效期的全景监控与分级管理，动态标识近效期药品，并可按“临期（0–30天）”“近期（30–90天）”和“近效期（90–180天）”进行标识。支持基于药品、成员单位、批号及预警级别等多维度生成近效期报表，同时提供同一药品在各成员单位库存分布的穿透式查询；针对临期药品，用户可一键发起调拨申请，将其优先调配至需求量大的成员，并能关联展示近7日内调拨申请记录。</w:t>
      </w:r>
    </w:p>
    <w:p w14:paraId="25795881">
      <w:pPr>
        <w:spacing w:line="312" w:lineRule="auto"/>
        <w:ind w:firstLine="480" w:firstLineChars="200"/>
        <w:rPr>
          <w:rFonts w:hint="eastAsia"/>
          <w:lang w:val="en-US" w:eastAsia="zh-CN"/>
        </w:rPr>
      </w:pPr>
      <w:r>
        <w:rPr>
          <w:rFonts w:hint="eastAsia" w:asciiTheme="minorEastAsia" w:hAnsiTheme="minorEastAsia" w:eastAsiaTheme="minorEastAsia" w:cstheme="minorEastAsia"/>
          <w:kern w:val="0"/>
          <w:sz w:val="24"/>
          <w:lang w:val="en-US" w:eastAsia="zh-CN" w:bidi="ar"/>
        </w:rPr>
        <w:t>9.3.3.2对于已过期药品，系统应支持对其进行信息登记，登记信息应包括药品品规、批号、最终处置方式记录等，并支持人工手动修</w:t>
      </w:r>
      <w:r>
        <w:rPr>
          <w:rFonts w:hint="eastAsia"/>
          <w:lang w:val="en-US" w:eastAsia="zh-CN"/>
        </w:rPr>
        <w:t>正状态。</w:t>
      </w:r>
    </w:p>
    <w:p w14:paraId="3FE91225">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9.4大屏展示</w:t>
      </w:r>
    </w:p>
    <w:p w14:paraId="06257970">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val="0"/>
          <w:bCs w:val="0"/>
          <w:kern w:val="0"/>
          <w:sz w:val="24"/>
          <w:lang w:val="en-US" w:eastAsia="zh-CN" w:bidi="ar"/>
        </w:rPr>
        <w:t>9.4.1</w:t>
      </w:r>
      <w:r>
        <w:rPr>
          <w:rFonts w:hint="eastAsia" w:asciiTheme="minorEastAsia" w:hAnsiTheme="minorEastAsia" w:eastAsiaTheme="minorEastAsia" w:cstheme="minorEastAsia"/>
          <w:kern w:val="0"/>
          <w:sz w:val="24"/>
          <w:lang w:val="en-US" w:eastAsia="zh-CN" w:bidi="ar"/>
        </w:rPr>
        <w:t>系统应提供智能监测大屏供中心（云）药房在其硬件上作相关展示，展示内容应包含中心（云）药房监控的重点指标，如库存数量、出入库数量、成员单位订单金额排名、缺药登记次数等。</w:t>
      </w:r>
    </w:p>
    <w:p w14:paraId="64519F8C">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val="0"/>
          <w:bCs w:val="0"/>
          <w:kern w:val="0"/>
          <w:sz w:val="24"/>
          <w:lang w:val="en-US" w:eastAsia="zh-CN" w:bidi="ar"/>
        </w:rPr>
        <w:t>9.4.2</w:t>
      </w:r>
      <w:r>
        <w:rPr>
          <w:rFonts w:hint="eastAsia" w:asciiTheme="minorEastAsia" w:hAnsiTheme="minorEastAsia" w:eastAsiaTheme="minorEastAsia" w:cstheme="minorEastAsia"/>
          <w:kern w:val="0"/>
          <w:sz w:val="24"/>
          <w:lang w:val="en-US" w:eastAsia="zh-CN" w:bidi="ar"/>
        </w:rPr>
        <w:t>系统应提供大屏指标池以及图表样式，供中心（云）药房用户自行选择组合生成自定义大屏。</w:t>
      </w:r>
      <w:bookmarkStart w:id="336" w:name="_Toc13265"/>
    </w:p>
    <w:p w14:paraId="20EAD6F5">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10.区域审方中心系统</w:t>
      </w:r>
      <w:bookmarkEnd w:id="336"/>
    </w:p>
    <w:p w14:paraId="52EFA393">
      <w:pPr>
        <w:spacing w:line="312" w:lineRule="auto"/>
        <w:ind w:firstLine="482"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b/>
          <w:bCs/>
          <w:kern w:val="0"/>
          <w:sz w:val="24"/>
          <w:lang w:val="en-US" w:eastAsia="zh-CN" w:bidi="ar"/>
        </w:rPr>
        <w:t>10.1区域共享档案功能要求：</w:t>
      </w:r>
      <w:r>
        <w:rPr>
          <w:rFonts w:hint="eastAsia" w:asciiTheme="minorEastAsia" w:hAnsiTheme="minorEastAsia" w:eastAsiaTheme="minorEastAsia" w:cstheme="minorEastAsia"/>
          <w:kern w:val="0"/>
          <w:sz w:val="24"/>
          <w:lang w:val="en-US" w:eastAsia="zh-CN" w:bidi="ar"/>
        </w:rPr>
        <w:t>系统应提供区域患者共享档案，包括患者在各医疗机构的个人信息、健康摘要、医嘱、检验、检查等信息。</w:t>
      </w:r>
    </w:p>
    <w:p w14:paraId="03FCB930">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10.2系统审查功能要求</w:t>
      </w:r>
    </w:p>
    <w:p w14:paraId="77BC117A">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10.2.1处方（医嘱）用药审查功能：系统应能对处方（医嘱）用药进行剂量审查、累积剂量审查、超多日用量审查、给药途径审查、相互作用审查、体外注射剂配伍审查、配伍浓度审查、钾离子监测、TPN处方审查、门诊输液审查、禁忌证审查、不良反应审查、特殊人群（儿童、成人、老人、妊娠、哺乳、性别）用药审查、重复用药（重复成分、重复治疗）审查、适应症审查、药物过敏审查、药物检验值审查、规范性审查、医保审查、监测指标审查、越权用药审查、围手术期用药审查，并提示医生。</w:t>
      </w:r>
    </w:p>
    <w:p w14:paraId="45ACC6B9">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10.2.2药品信息提示功能：可快捷查看药品相关重要信息；药品厂家说明书；查询相应药品的中药材专论信息。</w:t>
      </w:r>
    </w:p>
    <w:p w14:paraId="6BC9BDE8">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10.2.3质子泵抑制药专项管控</w:t>
      </w:r>
    </w:p>
    <w:p w14:paraId="011270BF">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10.2.3.1医生开具质子泵抑制剂药品时，需填写用药评估单。提供评估单专项统计分析。</w:t>
      </w:r>
    </w:p>
    <w:p w14:paraId="4079D13B">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10.2.3.2系统可评估患者病生状态，若存在应激性溃疡风险，提供质子泵抑制剂用药建议。</w:t>
      </w:r>
    </w:p>
    <w:p w14:paraId="2A4A9925">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10.2.3.3围手术期不合理使用质子泵抑制剂时，系统可警示医生。</w:t>
      </w:r>
    </w:p>
    <w:p w14:paraId="463C6F77">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10.2.4协定方专项管控：系统提供医院中药协定方证型适宜性审查。</w:t>
      </w:r>
    </w:p>
    <w:p w14:paraId="1F1A898A">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10.2.5经验性用药专项管控：系统提供抗肿瘤药物过敏反应预处理用药合理性审查。</w:t>
      </w:r>
    </w:p>
    <w:p w14:paraId="46EE09C2">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10.2.6抗菌药物专项管控</w:t>
      </w:r>
    </w:p>
    <w:p w14:paraId="684B5973">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10.2.6.1医生开具预防用抗菌药物时，需填写用药评估单，评估单区分非手术预防用药和手术预防用药。</w:t>
      </w:r>
    </w:p>
    <w:p w14:paraId="41B19547">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10.2.6.2系统提供抗菌药物用药指征审查。医生开具抗菌药物必须有用药指征，否则系统将予以警示。</w:t>
      </w:r>
    </w:p>
    <w:p w14:paraId="7B520930">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10.2.7审查提示屏蔽功能：系统应能对剂量、给药途径、药物相互作用、体外注射剂配伍、配伍浓度、禁忌证、不良反应、儿童用药、老人用药、成人用药、性别用药、妊娠期用药、哺乳期用药、药物过敏、重复用药等审查项目进行审查提示屏蔽，支持分门诊、住院、急诊屏蔽，屏蔽后不再对相同问题进行提示。</w:t>
      </w:r>
    </w:p>
    <w:p w14:paraId="1AE2176F">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10.2.8审查规则自定义功能（医院专家知识库）</w:t>
      </w:r>
    </w:p>
    <w:p w14:paraId="6B876538">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10.2.8.1系统可以提供多种自定义方式：</w:t>
      </w:r>
    </w:p>
    <w:p w14:paraId="690FEA51">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（1）基于系统审查数据自定义方式，节省药师工作量；</w:t>
      </w:r>
    </w:p>
    <w:p w14:paraId="56A5955D">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（2）可完全由用户新建审查规则包括审查要素和审查逻辑。</w:t>
      </w:r>
    </w:p>
    <w:p w14:paraId="3836A99E">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10.2.8.2用户可自定义药品警示、拦截规则，被拦截的问题处方必须返回修改，否则不可进行下一步操作。用户可设置已执行的长期医嘱是否拦截。</w:t>
      </w:r>
    </w:p>
    <w:p w14:paraId="0E1A5F2D">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10.2.8.3规则复制功能：系统支持将其他药品已有的自定义规则分模块复制到被选择的药品上。</w:t>
      </w:r>
    </w:p>
    <w:p w14:paraId="7730C250">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10.2.8.4豁免对象：可根据药品、医生、科室等条件设置特定对象不参与某些模块审查，并可按照模块查看对各种豁免情况的统计。</w:t>
      </w:r>
    </w:p>
    <w:p w14:paraId="2C3A77A9">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 xml:space="preserve">10.2.8.5自定义规则查询：可查询药品、科室以及各模块的自定义规则。 </w:t>
      </w:r>
    </w:p>
    <w:p w14:paraId="707786B6">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10.2.9统计分析功能</w:t>
      </w:r>
    </w:p>
    <w:p w14:paraId="1A4A746F">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10.2.9.1问题处方（医嘱）保存、查询，以及不合理问题统计分析。</w:t>
      </w:r>
    </w:p>
    <w:p w14:paraId="48451EFA">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10.2.9.2用药理由统计</w:t>
      </w:r>
    </w:p>
    <w:p w14:paraId="2DB6C6B0">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10.2.10区域合理用药审查</w:t>
      </w:r>
    </w:p>
    <w:p w14:paraId="16FBFE8B">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10.2.10.1支持结合多个机构的历史处方做审查，结合病人在不同机构的过敏信息进行药物过敏审查。</w:t>
      </w:r>
    </w:p>
    <w:p w14:paraId="7E26E357">
      <w:pPr>
        <w:spacing w:line="312" w:lineRule="auto"/>
        <w:ind w:firstLine="480" w:firstLineChars="200"/>
        <w:rPr>
          <w:rFonts w:hint="eastAsia" w:ascii="Times New Roman" w:hAnsi="Times New Roman" w:eastAsia="宋体" w:cs="Times New Roman"/>
          <w:sz w:val="24"/>
          <w:szCs w:val="24"/>
          <w:lang w:val="en-US" w:eastAsia="zh-CN"/>
        </w:rPr>
      </w:pPr>
      <w:r>
        <w:rPr>
          <w:rFonts w:hint="eastAsia" w:asciiTheme="minorEastAsia" w:hAnsiTheme="minorEastAsia" w:eastAsiaTheme="minorEastAsia" w:cstheme="minorEastAsia"/>
          <w:kern w:val="0"/>
          <w:sz w:val="24"/>
          <w:lang w:val="en-US" w:eastAsia="zh-CN" w:bidi="ar"/>
        </w:rPr>
        <w:t>10.2.10.2支持医共体内共</w:t>
      </w:r>
      <w:r>
        <w:rPr>
          <w:rFonts w:hint="eastAsia" w:ascii="Times New Roman" w:hAnsi="Times New Roman" w:eastAsia="宋体" w:cs="Times New Roman"/>
          <w:sz w:val="24"/>
          <w:szCs w:val="24"/>
          <w:lang w:val="en-US" w:eastAsia="zh-CN"/>
        </w:rPr>
        <w:t>用一套审查规则，无需各机构分别制定审查规则。</w:t>
      </w:r>
    </w:p>
    <w:p w14:paraId="51A0CDE0">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10.3药师审方干预功能要求</w:t>
      </w:r>
    </w:p>
    <w:p w14:paraId="62965FCD">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10.3.1审方时机和过程：系统可以为药师提供专门的审方工作平台，帮助门诊药师在患者缴费前完成门诊处方实时审查、住院药师在护士领药前完成住院医嘱审查。系统先自动审查出问题处方（医嘱），再由药师人工审查，审查过程中药师可以与医生实时互动，直到处方（医嘱）通过。必要时，药师可同时接收门诊、住院任务。</w:t>
      </w:r>
    </w:p>
    <w:p w14:paraId="306ABF19">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10.3.2审方干预功能</w:t>
      </w:r>
    </w:p>
    <w:p w14:paraId="3D7CE541">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10.3.2.1系统可主动分配任务给药师，任务来临时可用弹框提醒药师，点击弹框后即可跳转至审方页面。</w:t>
      </w:r>
    </w:p>
    <w:p w14:paraId="1F35E968">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10.3.2.2药师审查时，可在审查界面一体化查看当前处方（医嘱）历史干预记录，如医生操作、用药理由等。</w:t>
      </w:r>
    </w:p>
    <w:p w14:paraId="1ADC4C1B">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10.3.2.3药师审查时可查看当前处方（医嘱）历史修改版本信息。</w:t>
      </w:r>
    </w:p>
    <w:p w14:paraId="6365FB5F">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10.3.2.4药师可以根据不同任务情况选择医生处方（医嘱）直接双签通过还是需要药师复核。</w:t>
      </w:r>
    </w:p>
    <w:p w14:paraId="000D885A">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10.3.2.5系统支持根据医生提交至药师处的中药处方智能检索近似经典方剂供药师参考。</w:t>
      </w:r>
    </w:p>
    <w:p w14:paraId="305AF52A">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10.3.3质量评价功能</w:t>
      </w:r>
    </w:p>
    <w:p w14:paraId="693F896D">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10.3.3.1系统提供多种筛选方案设置功能，进行待评价任务筛选。评价人可对每个任务输入审核意见并打分。系统可自动生成任务评分表，并可导出到Excel。</w:t>
      </w:r>
    </w:p>
    <w:p w14:paraId="12CFB81A">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10.3.3.2评价人可评估历史审核任务并设置问题推荐处置方案，供审方药师审核同一问题时参考。</w:t>
      </w:r>
    </w:p>
    <w:p w14:paraId="50B2DE92">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10.3.4审方干预自定义功能</w:t>
      </w:r>
    </w:p>
    <w:p w14:paraId="08713A35">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10.3.4.1可将任意科室、医生、患者、疾病、药品设置为重点关注，可按科室、医生、患者、疾病、药品、问题类型、警示级别多条件组合设置重点关注，包含重点关注信息的处方由药师进行全面审查。</w:t>
      </w:r>
    </w:p>
    <w:p w14:paraId="0C3E2BDA">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10.3.4.2用户可根据使用习惯进行个性化设置，如任务提示音（支持上传），处置按钮顺序及样式，审方界面字体及颜色，发送给医生的常用语等。</w:t>
      </w:r>
    </w:p>
    <w:p w14:paraId="37ACF540">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10.3.4.3用户可设置自动干预模式，并设置医生填写用药理由的模式。药师不在岗时，系统自动干预，医生填写用药理由后方可执行，支持全院和分科室设置。</w:t>
      </w:r>
    </w:p>
    <w:p w14:paraId="6B125092">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10.3.5患者信息查看</w:t>
      </w:r>
    </w:p>
    <w:p w14:paraId="1DF6678F">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10.3.5.1药师审方界面：可查看患者基本信息、患者过敏史、手术信息、检验检查信息、会诊信息，检验结果异常项可单独显示。可链接EMR系统查看患者详细信息。</w:t>
      </w:r>
    </w:p>
    <w:p w14:paraId="1C7E29E8">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10.3.5.2可标记门诊特殊病人。</w:t>
      </w:r>
    </w:p>
    <w:p w14:paraId="1F94A7DD">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10.3.5.3可标记慢病处方。</w:t>
      </w:r>
    </w:p>
    <w:p w14:paraId="17E162A9">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10.3.5.4药师审查时可查看当前患者的其他处方。</w:t>
      </w:r>
    </w:p>
    <w:p w14:paraId="5B8B703F">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10.3.6系统审查：系统审查项目、规则等应与医生端审方系统保持一致，并能实现对接，即药师端可查看医生端审方系统的详细审查结果信息，同时药师审核问题标准可按医生端审方系统的审查项目和问题级别进行设置。</w:t>
      </w:r>
    </w:p>
    <w:p w14:paraId="141405C8">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10.3.7统计分析：可以分别统计门诊、住院任务的审核率、干预率、合格率等重要指标，并可提供统计图。可按照科室、医生、药品、药师、药物类进行干预情况分类统计。</w:t>
      </w:r>
    </w:p>
    <w:p w14:paraId="48763967">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10.3.8区域审方</w:t>
      </w:r>
    </w:p>
    <w:p w14:paraId="2AD752F5">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10.3.8.1支持审方中心的药师收到多家机构的处方/医嘱，进行集中审方。</w:t>
      </w:r>
    </w:p>
    <w:p w14:paraId="330E7021">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10.3.8.2药师审方时，可查看患者在医共体内其他机构就诊的处方，并且可查看到审方处置意见推荐。</w:t>
      </w:r>
    </w:p>
    <w:p w14:paraId="1E7E6A18">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10.3.8.3可对医共体内药师审方结果进行质量评价和一致性评价。</w:t>
      </w:r>
    </w:p>
    <w:p w14:paraId="60B91EF5">
      <w:pPr>
        <w:spacing w:line="312" w:lineRule="auto"/>
        <w:ind w:firstLine="480" w:firstLineChars="200"/>
        <w:rPr>
          <w:rFonts w:hint="eastAsia"/>
        </w:rPr>
      </w:pPr>
      <w:r>
        <w:rPr>
          <w:rFonts w:hint="eastAsia" w:asciiTheme="minorEastAsia" w:hAnsiTheme="minorEastAsia" w:eastAsiaTheme="minorEastAsia" w:cstheme="minorEastAsia"/>
          <w:kern w:val="0"/>
          <w:sz w:val="24"/>
          <w:lang w:val="en-US" w:eastAsia="zh-CN" w:bidi="ar"/>
        </w:rPr>
        <w:t>10.3.8.4支持区域审方情况数据</w:t>
      </w:r>
      <w:r>
        <w:rPr>
          <w:rFonts w:hint="eastAsia" w:ascii="Times New Roman" w:hAnsi="Times New Roman" w:eastAsia="宋体" w:cs="Times New Roman"/>
          <w:sz w:val="24"/>
          <w:szCs w:val="24"/>
          <w:lang w:val="en-US" w:eastAsia="zh-CN"/>
        </w:rPr>
        <w:t>合并统计，也支持分机构单独统计。</w:t>
      </w:r>
    </w:p>
    <w:p w14:paraId="6C192B3B">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10.4处方点评系统功能要求</w:t>
      </w:r>
    </w:p>
    <w:p w14:paraId="046D963E">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10.4.1处方点评</w:t>
      </w:r>
    </w:p>
    <w:p w14:paraId="4875C36A">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10.4.1.1系统应结合《医院处方点评管理规范（试行）》《处方管理办法》《处方点评监测网工作手册》《三级综合医院评审标准实施细则》《药事管理专业医疗质量控制指标》《抗菌药物临床指导原则》等处方点评相关政策要求，实现对医院处方（医嘱）的电子化评价功能。</w:t>
      </w:r>
    </w:p>
    <w:p w14:paraId="48926F0E">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10.4.1.2系统应能对处方（医嘱）用药进行剂量审查、累积剂量审查、超多日用量审查、给药途径审查、相互作用审查、体外注射剂配伍审查、配伍浓度审查、钾离子监测、TPN处方审查、门诊输液审查、禁忌证审查、不良反应审查、特殊人群（儿童、成人、老人、妊娠、哺乳、性别）用药审查、重复用药审查、适应症审查、药物过敏审查、药物检验值审查、规范性审查、医保审查、越权用药审查、围手术期用药审查，并提供审查规则自定义功能，使得点评结果更加符合医院实际用药情况。</w:t>
      </w:r>
    </w:p>
    <w:p w14:paraId="303B6400">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10.4.1.3系统应能实现从抽样、分配、求助、专家复核、反馈医生、医生申述、药师审结的点评闭环管理，并在点评求助、复核完毕、反馈医生、医生申诉的环节进行消息提示。</w:t>
      </w:r>
    </w:p>
    <w:p w14:paraId="5378DE27">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10.4.1.4系统应支持点评任务随机分配、按管辖科室、药品分配，点评人只能查看自己相关的任务，无权查看他人的任务信息。</w:t>
      </w:r>
    </w:p>
    <w:p w14:paraId="0CF9AB08">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10.4.1.5系统应提供双盲点评，在需要时隐藏医生、药师的姓名。</w:t>
      </w:r>
    </w:p>
    <w:p w14:paraId="31C1803B">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10.4.1.6系统应提供逾期设置，规定医生处理点评结果的时间期限。</w:t>
      </w:r>
    </w:p>
    <w:p w14:paraId="0D6D3CC7">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10.4.1.7系统应能自定义点评模板及点评点，实现个性化点评需求。</w:t>
      </w:r>
    </w:p>
    <w:p w14:paraId="2B346692">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10.4.1.8系统应能自动生成住院患者用药联用图，直观查看药品使用（联用）情况，联用图支持自定义。</w:t>
      </w:r>
    </w:p>
    <w:p w14:paraId="001DF9CA">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10.4.1.9系统应能自动生成住院患者时序图，包括患者体征（体温、脉搏、呼吸、疼痛评分、血糖、出/入量、血压）、用药、手术和检验信息，时序图支持自定义。</w:t>
      </w:r>
    </w:p>
    <w:p w14:paraId="3C2E5F1F">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10.4.1.10系统应能高亮显示被点评药品，当选择某一（类）药品时，将其成组药品一并显示。</w:t>
      </w:r>
    </w:p>
    <w:p w14:paraId="04256E46">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10.4.1.11系统应支持处方（医嘱）批量点评，应能将点评结果反馈医生或科主任，医生（工作站）可直接填写申诉理由或确认，无需登录系统查看点评结果。</w:t>
      </w:r>
    </w:p>
    <w:p w14:paraId="28AB2731">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10.4.1.12系统应支持增补处方或病人，将需要的处方或病人批量添加至点评任务中。</w:t>
      </w:r>
    </w:p>
    <w:p w14:paraId="115C7E7E">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10.4.1.13系统应能自动生成点评工作表、点评结果统计表、存在问题统计表、点评结果差异明细表、点评问题明细表。点评相关报表支持自定义显示和导出字段。</w:t>
      </w:r>
    </w:p>
    <w:p w14:paraId="033F5C72">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10.4.1.14系统应能自动生成个人任务完成情况表、点评任务完成情况表、医生反馈统计表、点评结果汇总统计表等管理报表。</w:t>
      </w:r>
    </w:p>
    <w:p w14:paraId="30463128">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10.4.1.15系统应包含以下点评模块：</w:t>
      </w:r>
    </w:p>
    <w:p w14:paraId="0D695091">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（1）全处方点评</w:t>
      </w:r>
    </w:p>
    <w:p w14:paraId="5CC74A91">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（2）全医嘱点评</w:t>
      </w:r>
    </w:p>
    <w:p w14:paraId="2269E0AD">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（3）门急诊/住院抗菌药物专项点评，含药物选择不合适、无适应症、药物选择不符合抗菌药物分级管理、联合用药不适宜、更换药物不适宜、用药效果欠佳等点评点</w:t>
      </w:r>
    </w:p>
    <w:p w14:paraId="5407EE48">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（4）围手术期抗菌药物专项点评，含选药不合理、预防药物更换不合理、术前给药时机不合理、术中用药不合理、手术预防用药疗程不合理等点评点</w:t>
      </w:r>
    </w:p>
    <w:p w14:paraId="60490239">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（5）门急诊/住院专项药品点评，可点评任意（类）药品</w:t>
      </w:r>
    </w:p>
    <w:p w14:paraId="5E1F7934">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（6）门急诊/住院抗肿瘤药物专项点评，含医师超权限使用抗肿瘤药、用药顺序错误、化疗方案不合理等点评点</w:t>
      </w:r>
    </w:p>
    <w:p w14:paraId="08FE7827">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（7）住院病人特殊级抗菌药物专项点评</w:t>
      </w:r>
    </w:p>
    <w:p w14:paraId="0FE59595">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（8）住院病人碳青霉烯类及替加环素专项点评，应能针对适应证、品种选择、用法用量及配伍、病原学及疗效评估、用药权限与会诊等评价项目进行人工评价及自动扣分</w:t>
      </w:r>
    </w:p>
    <w:p w14:paraId="557BB075">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（9）住院病人人血清白蛋白专项点评</w:t>
      </w:r>
    </w:p>
    <w:p w14:paraId="5EE1A7EF">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门（急）诊/住院中药饮片专项点评，含超过规定味数、未按照君臣佐使顺序书写、用药与辨证不符、中药配伍禁忌、联用不适宜或者不良相互作用、未按要求标注药物调剂和煎煮特殊要求、开具毒麻饮片未执行国家有关规定等点评点</w:t>
      </w:r>
    </w:p>
    <w:p w14:paraId="1C2CF68C">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（11）门（急）诊中成药处方专项点评</w:t>
      </w:r>
    </w:p>
    <w:p w14:paraId="3CD5D832">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（12）用药排名医嘱点评，应能对门急诊/住院使用金额、数量或DDDs排名前N位的科室和医生开具的处方（医嘱）进行点评</w:t>
      </w:r>
    </w:p>
    <w:p w14:paraId="625AB2A5">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（13）住院用药医嘱点评</w:t>
      </w:r>
    </w:p>
    <w:p w14:paraId="0201C9D6">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（14）出院带药医嘱点评</w:t>
      </w:r>
    </w:p>
    <w:p w14:paraId="2F1A4961">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（15）门（急）诊基本药物专项点评，含用药方案与《国家基本药物临床应用指南》不一致等点评点</w:t>
      </w:r>
    </w:p>
    <w:p w14:paraId="7F4BF685">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16）住院病人肠外营养专项点评，可自动计算热量、补液量、氮量、糖/脂肪乳/氨基酸总量、氨基酸供给量、糖脂比、热氮比、丙氨酰谷氨酰胺用量占比、钠/钾/钙/镁/磷/电解质一价及二价阳离子浓度、渗透压摩尔浓度等指标</w:t>
      </w:r>
    </w:p>
    <w:p w14:paraId="1E276E7B">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（17）住院病人自备药专项点评</w:t>
      </w:r>
    </w:p>
    <w:p w14:paraId="07141EC9">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（18）门（急）诊外延处方点评</w:t>
      </w:r>
    </w:p>
    <w:p w14:paraId="6307298E">
      <w:pPr>
        <w:spacing w:line="312" w:lineRule="auto"/>
        <w:ind w:firstLine="480" w:firstLineChars="200"/>
        <w:rPr>
          <w:rFonts w:hint="eastAsia" w:ascii="Times New Roman" w:hAnsi="Times New Roman" w:eastAsia="宋体" w:cs="Times New Roman"/>
          <w:sz w:val="24"/>
          <w:szCs w:val="24"/>
          <w:lang w:val="en-US" w:eastAsia="zh-CN"/>
        </w:rPr>
      </w:pPr>
      <w:r>
        <w:rPr>
          <w:rFonts w:hint="eastAsia" w:asciiTheme="minorEastAsia" w:hAnsiTheme="minorEastAsia" w:eastAsiaTheme="minorEastAsia" w:cstheme="minorEastAsia"/>
          <w:kern w:val="0"/>
          <w:sz w:val="24"/>
          <w:lang w:val="en-US" w:eastAsia="zh-CN" w:bidi="ar"/>
        </w:rPr>
        <w:t>10.4.2区域处方点评：系统应支持全医共体共用一套规则，系统应可抽取单个医疗机构或多个医疗机构的处方或医嘱点评，也可抽取专项药品进行专项化点评；点评过程中系统应可将点评任务分配给区域中不同医疗机构的药师，系统应支持点评人在遇到点评问题时可向上级医院的药师进行求助；点评完成后，系统应可以按照区</w:t>
      </w:r>
      <w:r>
        <w:rPr>
          <w:rFonts w:hint="eastAsia" w:ascii="Times New Roman" w:hAnsi="Times New Roman" w:eastAsia="宋体" w:cs="Times New Roman"/>
          <w:sz w:val="24"/>
          <w:szCs w:val="24"/>
          <w:lang w:val="en-US" w:eastAsia="zh-CN"/>
        </w:rPr>
        <w:t>域中的医疗机构生成点评结果的统计。</w:t>
      </w:r>
    </w:p>
    <w:p w14:paraId="7F7C3156">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10.5药品指标分析功能要求</w:t>
      </w:r>
    </w:p>
    <w:p w14:paraId="5A1174B0">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10.5.1统计分析</w:t>
      </w:r>
    </w:p>
    <w:p w14:paraId="0E05E030">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10.5.1.1系统应根据《三级综合医院评审标准实施细则》《药事管理专业医疗质量控制指标》《抗菌药物临床应用管理评价指标及要求》等相关规定的要求，提供对医院合理用药指标及药品使用情况的信息化统计分析。</w:t>
      </w:r>
    </w:p>
    <w:p w14:paraId="4D396468">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10.5.1.2系统利用图文并茂的形式，通过趋势分析、构成分析、主从分析、排名分析等分析手段，提供了大量统计分析报表。</w:t>
      </w:r>
    </w:p>
    <w:p w14:paraId="4F4EE1EB">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10.5.1.3系统应提供常用报表收藏及报表人工填写功能。</w:t>
      </w:r>
    </w:p>
    <w:p w14:paraId="04CA6F54">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10.5.1.4系统应提供报表示例模板，在生成报表前了解统计内容。</w:t>
      </w:r>
    </w:p>
    <w:p w14:paraId="6AFF8E1D">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10.5.1.5系统应提供自定义显示和导出报表功能。</w:t>
      </w:r>
    </w:p>
    <w:p w14:paraId="7547503E">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10.5.1.6系统应提供关键字检索功能，便于快速查询指标。</w:t>
      </w:r>
    </w:p>
    <w:p w14:paraId="678BF378">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10.5.1.1合理用药指标</w:t>
      </w:r>
    </w:p>
    <w:p w14:paraId="279D8F96">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(1)指标统计</w:t>
      </w:r>
    </w:p>
    <w:p w14:paraId="05A0B677">
      <w:pPr>
        <w:keepNext w:val="0"/>
        <w:keepLines w:val="0"/>
        <w:pageBreakBefore w:val="0"/>
        <w:widowControl w:val="0"/>
        <w:kinsoku/>
        <w:wordWrap/>
        <w:overflowPunct/>
        <w:topLinePunct w:val="0"/>
        <w:autoSpaceDE/>
        <w:autoSpaceDN/>
        <w:bidi w:val="0"/>
        <w:adjustRightInd/>
        <w:snapToGrid/>
        <w:spacing w:line="312" w:lineRule="auto"/>
        <w:ind w:left="105" w:leftChars="50" w:firstLine="480" w:firstLineChars="200"/>
        <w:textAlignment w:val="auto"/>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系统应提供合理用药相关指标的统计，包括：平均用药品种数、注射剂使用率、特殊级抗菌药物使用率、预防使用抗菌药物病人的百分率、治疗使用抗菌药物病人的百分率、抗菌药物患者使用前病原送检率、X类切口手术预防用抗菌药物百分率、X类切口手术术前0.5—1.0小时预防给药百分率、X类切口手术患者预防用抗菌药物时间＜24h、＞24h且≤48h、＞48h且≤72h、＞72h百分率等。</w:t>
      </w:r>
    </w:p>
    <w:p w14:paraId="663369CE">
      <w:pPr>
        <w:keepNext w:val="0"/>
        <w:keepLines w:val="0"/>
        <w:pageBreakBefore w:val="0"/>
        <w:widowControl w:val="0"/>
        <w:kinsoku/>
        <w:wordWrap/>
        <w:overflowPunct/>
        <w:topLinePunct w:val="0"/>
        <w:autoSpaceDE/>
        <w:autoSpaceDN/>
        <w:bidi w:val="0"/>
        <w:adjustRightInd/>
        <w:snapToGrid/>
        <w:spacing w:line="312" w:lineRule="auto"/>
        <w:ind w:left="105" w:leftChars="50" w:firstLine="480" w:firstLineChars="200"/>
        <w:textAlignment w:val="auto"/>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2)系统应能将上述合理用药指标重新组合并生成新的报表。</w:t>
      </w:r>
    </w:p>
    <w:p w14:paraId="492634E1">
      <w:pPr>
        <w:keepNext w:val="0"/>
        <w:keepLines w:val="0"/>
        <w:pageBreakBefore w:val="0"/>
        <w:widowControl w:val="0"/>
        <w:kinsoku/>
        <w:wordWrap/>
        <w:overflowPunct/>
        <w:topLinePunct w:val="0"/>
        <w:autoSpaceDE/>
        <w:autoSpaceDN/>
        <w:bidi w:val="0"/>
        <w:adjustRightInd/>
        <w:snapToGrid/>
        <w:spacing w:line="312" w:lineRule="auto"/>
        <w:ind w:left="105" w:leftChars="50" w:firstLine="480" w:firstLineChars="200"/>
        <w:textAlignment w:val="auto"/>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3)系统应按全院、大科室、科室、医疗组、医生分别进行统计。</w:t>
      </w:r>
    </w:p>
    <w:p w14:paraId="2615DAC8">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(2)趋势分析：系统应能实现抗菌药物使用强度、抗菌药物使用率、抗菌药物使用量、I类切口手术预防用抗菌药物百分率、国家基本药物药占比同比、环比分析。</w:t>
      </w:r>
    </w:p>
    <w:p w14:paraId="22E9BE65">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10.5.1.2自定义合理用药指标：系统应提供自定义合理用药指标功能，可自行设置指标分子、分母进行统计。自定义要素包含药品、治疗金额、药品金额、处方数、病人数、药品品种数、使用量DDDs、人天数、用药医嘱条目数。</w:t>
      </w:r>
    </w:p>
    <w:p w14:paraId="6571768E">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10.5.1.3药品使用强度统计</w:t>
      </w:r>
    </w:p>
    <w:p w14:paraId="5705F6CB">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(1)药品使用强度统计：系统应分别按出院时间（费用使用量）、收费时间（费用使用量）和出院时间（医嘱使用量）统计使用强度。可选择排除结核用药、特殊病人。</w:t>
      </w:r>
    </w:p>
    <w:p w14:paraId="726C3496">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(2)药品使用强度趋势变化分析：系统应能分别按月度（自然月或非自然月）、季度、半年和年度统计药品使用强度及浮动率。</w:t>
      </w:r>
    </w:p>
    <w:p w14:paraId="0F531356">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10.5.1.4药品金额、数量、DDDs统计</w:t>
      </w:r>
    </w:p>
    <w:p w14:paraId="18CDE808">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(1)药品金额、数量及DDDs使用量统计</w:t>
      </w:r>
    </w:p>
    <w:p w14:paraId="74D73D7D">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(2)药品金额、数量及DDDs趋势变化分析，系统应能分别按月度、季度、半年和年度统计药品金额、数量、DDDs及浮动率，应能分别提供药品金额、数量、DDDs同比环比分析</w:t>
      </w:r>
    </w:p>
    <w:p w14:paraId="673F7A2E">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(3)药品金额、数量统计并排名</w:t>
      </w:r>
    </w:p>
    <w:p w14:paraId="405C1FAB">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10.5.1.5药品使用人次统计</w:t>
      </w:r>
    </w:p>
    <w:p w14:paraId="38AEF7D3">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10.5.1.6注射剂/大容量注射液统计</w:t>
      </w:r>
    </w:p>
    <w:p w14:paraId="7AA29816">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10.5.1.7药品品种/费用构成统计</w:t>
      </w:r>
    </w:p>
    <w:p w14:paraId="221546E0">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10.5.1.8门（急）诊大处方分析：可实现超N种处方、超N元处方、超N天处方、超N次就诊患者统计</w:t>
      </w:r>
    </w:p>
    <w:p w14:paraId="38367B1F">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10.5.1.9抗菌药物使用清单及统计：可实现门（急）诊/出院病人及围术期抗菌药物使用情况、送检率（可自定义送检项目）、越权用药情况、抗菌药物使用情况分析等统计</w:t>
      </w:r>
    </w:p>
    <w:p w14:paraId="29030871">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10.5.1.10基本药物使用清单及统计：可实现基药品种数、基物品种总数所占比例等统计</w:t>
      </w:r>
    </w:p>
    <w:p w14:paraId="4BD003AF">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10.5.1.11麻精药品管理处方登记表</w:t>
      </w:r>
    </w:p>
    <w:p w14:paraId="12792378">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10.5.1.12国家三级公立医院绩效考核</w:t>
      </w:r>
    </w:p>
    <w:p w14:paraId="65BE20FE">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(1)国家三级公立医院绩效考核评价指标</w:t>
      </w:r>
    </w:p>
    <w:p w14:paraId="435C276C">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(2)国家三级公立医院绩效评价指标科室统计表</w:t>
      </w:r>
    </w:p>
    <w:p w14:paraId="39552C3C">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(3)国家三级公立中医医院绩效考核评价指标</w:t>
      </w:r>
    </w:p>
    <w:p w14:paraId="4C8A404A">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(4)剔除药品使用情况统计表</w:t>
      </w:r>
    </w:p>
    <w:p w14:paraId="384587C7">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(5)罕见病用药情况统计表</w:t>
      </w:r>
    </w:p>
    <w:p w14:paraId="063349CD">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10.5.1.13药事管理专业医疗质量控制指标</w:t>
      </w:r>
    </w:p>
    <w:p w14:paraId="1C66FA89">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10.5.1.14全国抗菌药物临床应用管理</w:t>
      </w:r>
    </w:p>
    <w:p w14:paraId="77B38E45">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(1)医疗机构碳青霉烯类抗菌药物及替加环素使用情况统计</w:t>
      </w:r>
    </w:p>
    <w:p w14:paraId="396FEAA1">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(2)医疗机构含酶抑制剂复合制剂抗菌药物使用情况统计</w:t>
      </w:r>
    </w:p>
    <w:p w14:paraId="70B5A5F9">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(3)抗菌药物临床应用管理评价指标及要求统计</w:t>
      </w:r>
    </w:p>
    <w:p w14:paraId="0442C76B">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10.5.1.15国家卫生计生委抗菌药物临床应用管理数据上报</w:t>
      </w:r>
    </w:p>
    <w:p w14:paraId="6FD01FE6">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(1)医疗机构一般情况调查</w:t>
      </w:r>
    </w:p>
    <w:p w14:paraId="50DE72B6">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(2)临床科室指标持续改进情况统计表</w:t>
      </w:r>
    </w:p>
    <w:p w14:paraId="6F07F3B8">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(3)全院使用量排名前十位抗菌药物</w:t>
      </w:r>
    </w:p>
    <w:p w14:paraId="0BEE2DD7">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(4)抗菌药物分级管理目录</w:t>
      </w:r>
    </w:p>
    <w:p w14:paraId="6FF42B1F">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(5)临床微生物标本送检率</w:t>
      </w:r>
    </w:p>
    <w:p w14:paraId="0995EE1E">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(6)医疗机构药品经费使用情况调查表</w:t>
      </w:r>
    </w:p>
    <w:p w14:paraId="26C59BC0">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(7)医疗机构抗菌药物品种、规格和使用量统计调查表</w:t>
      </w:r>
    </w:p>
    <w:p w14:paraId="756E29FD">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(8)医疗机构抗菌药物临床应用指标数据上报表</w:t>
      </w:r>
    </w:p>
    <w:p w14:paraId="4B57287E">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(9)医疗机构I类切口手术用药情况清单表</w:t>
      </w:r>
    </w:p>
    <w:p w14:paraId="7372BEAC">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(10)医疗机构I类切口手术用药情况调查表</w:t>
      </w:r>
    </w:p>
    <w:p w14:paraId="6AD901B3">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10.5.1.16全国合理用药监测系统</w:t>
      </w:r>
    </w:p>
    <w:p w14:paraId="667122AE">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(1)药物临床应用监测信息（西药、中成药）</w:t>
      </w:r>
    </w:p>
    <w:p w14:paraId="0FEB9D22">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(2)处方监测信息（门、急诊处方）</w:t>
      </w:r>
    </w:p>
    <w:p w14:paraId="75F4E78D">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(3)处方监测信息（医嘱）</w:t>
      </w:r>
    </w:p>
    <w:p w14:paraId="5FFDE18B">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10.5.1.17抗肿瘤药物临床应用情况调查表</w:t>
      </w:r>
    </w:p>
    <w:p w14:paraId="44AD07B1">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10.5.1.18住院患者静脉输液使用情况抽样</w:t>
      </w:r>
    </w:p>
    <w:p w14:paraId="28DB0A1A">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10.5.1.19湖南省临床用药监测网信息上报统计</w:t>
      </w:r>
    </w:p>
    <w:p w14:paraId="349C5E10">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10.5.2区域用药数据分析：系统应根据《三级综合医院评审标准实施细则》《药事管理专业医疗质量控制指标》《抗菌药物临床应用管理评价指标及要求》等相关规定的要求，并通过接口从HIS系统提取药品、费用等相关信息，在此基础上实现对全区域或单个医疗机构合理用药指标及药品使用情况的信息化统计和分析。</w:t>
      </w:r>
    </w:p>
    <w:p w14:paraId="5C6DFACF">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10.6用药指导功能要求</w:t>
      </w:r>
    </w:p>
    <w:p w14:paraId="03F602FC">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10.6.1用药指导</w:t>
      </w:r>
    </w:p>
    <w:p w14:paraId="7171B2F3">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10.6.1.1系统应支持自动生成通用用药指导单，包括用药清单（药品名称/规格/厂家/发药数量/用法用量/等）、药品注意事项、服药时间表、错时给药、食物宜忌事项、其他注意事项。应支持药师设置特殊周剂量、月剂量给药方案。</w:t>
      </w:r>
    </w:p>
    <w:p w14:paraId="55C9F4F3">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10.6.1.2系统应支持自动生成方剂用药指导单，包括用药清单（药品名称、用法用量等）、药品注意事项、其他注意事项。</w:t>
      </w:r>
    </w:p>
    <w:p w14:paraId="143F1296">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10.6.1.3系统应支持将用药指导单打印给患者。</w:t>
      </w:r>
    </w:p>
    <w:p w14:paraId="5AD91047">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2.10.6.2统计分析：系统应能根据药师工作内容生成以下报表：</w:t>
      </w:r>
    </w:p>
    <w:p w14:paraId="35CD9F0B">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（1）用药指导数量</w:t>
      </w:r>
    </w:p>
    <w:p w14:paraId="7B69AEC7">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（2）按指导原因统计</w:t>
      </w:r>
    </w:p>
    <w:p w14:paraId="07A2F7A6">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（3）按指导药品统计</w:t>
      </w:r>
    </w:p>
    <w:p w14:paraId="46435F28">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10.6.3功能设置：系统应支持自定义指导单内容，方便使用。</w:t>
      </w:r>
    </w:p>
    <w:p w14:paraId="7DC7BCAF">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10.6.4区域用药指导</w:t>
      </w:r>
    </w:p>
    <w:p w14:paraId="32109243">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10.6.4.1系统应支持药师为医共体内患者提供个体化用药指导服务。</w:t>
      </w:r>
    </w:p>
    <w:p w14:paraId="0941B282">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10.6.4.2系统应支持自定义设置全区或机构组范围内的医院指导单内容、指导单显示及打印项目，方便医共体内统一管理。</w:t>
      </w:r>
    </w:p>
    <w:p w14:paraId="19298B0B">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10.7用药咨询功能要求</w:t>
      </w:r>
    </w:p>
    <w:p w14:paraId="54388042">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10.7.1线下咨询</w:t>
      </w:r>
    </w:p>
    <w:p w14:paraId="2616553E">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10.7.1.1系统应支持药师记录门诊患者、住院患者、患者亲友、医生、护士发起的线下用药咨询及药师解答，应支持延答复操作，方便药师查找暂未答复的问题。</w:t>
      </w:r>
    </w:p>
    <w:p w14:paraId="71083A5E">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10.7.1.2系统应支持按姓名、问题、回复关键词等快速检索咨询记录。</w:t>
      </w:r>
    </w:p>
    <w:p w14:paraId="70533304">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10.7.1.3系统应支持自动关联患者用药记录，生成用药清单。</w:t>
      </w:r>
    </w:p>
    <w:p w14:paraId="39410A37">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10.7.1.4系统应能自动匹配历史相似的用药咨询记录，方便药师快速录入。</w:t>
      </w:r>
    </w:p>
    <w:p w14:paraId="73D84A5D">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10.7.1.5咨询记录应支持打印、导出。</w:t>
      </w:r>
    </w:p>
    <w:p w14:paraId="626D6207">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10.7.2医生咨询</w:t>
      </w:r>
    </w:p>
    <w:p w14:paraId="4A547CF6">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系统应支持医生在工作站向药师发起用药咨询。</w:t>
      </w:r>
    </w:p>
    <w:p w14:paraId="3DAA6C61">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10.7.3统计分析</w:t>
      </w:r>
    </w:p>
    <w:p w14:paraId="0453B707">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10.7.3.1系统应能根据药师工作内容生成以下报表：</w:t>
      </w:r>
    </w:p>
    <w:p w14:paraId="47E9AB1A">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10.7.3.2个人工作量统计</w:t>
      </w:r>
    </w:p>
    <w:p w14:paraId="58FD7459">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10.7.3.3问题类型统计</w:t>
      </w:r>
    </w:p>
    <w:p w14:paraId="0882C824">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10.7.3.4药理类别统计</w:t>
      </w:r>
    </w:p>
    <w:p w14:paraId="614CA17D">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10.7.4功能设置：系统应支持设置用药咨询记录的打印效果，包括：抬头设置、医院名称等。</w:t>
      </w:r>
    </w:p>
    <w:p w14:paraId="6C8777C8">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10.7.5区域用药咨询</w:t>
      </w:r>
    </w:p>
    <w:p w14:paraId="6F227AE2">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10.7.5.1系统应支持药师为医共体内患者提供用药咨询服务。</w:t>
      </w:r>
    </w:p>
    <w:p w14:paraId="7DFA1230">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10.7.5.2系统应支持自定义设置全区或机构组范围内的咨询问题类型、咨询特殊人群、打印效果等，方便医共体内统一管理。</w:t>
      </w:r>
    </w:p>
    <w:p w14:paraId="7FBBBB80">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r>
        <w:rPr>
          <w:rFonts w:hint="eastAsia" w:asciiTheme="minorEastAsia" w:hAnsiTheme="minorEastAsia" w:eastAsiaTheme="minorEastAsia" w:cstheme="minorEastAsia"/>
          <w:b/>
          <w:bCs/>
          <w:kern w:val="0"/>
          <w:sz w:val="24"/>
          <w:lang w:val="en-US" w:eastAsia="zh-CN" w:bidi="ar"/>
        </w:rPr>
        <w:t>10.8药物信息查询功能要求</w:t>
      </w:r>
    </w:p>
    <w:p w14:paraId="7A41BF80">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10.8.1医药法规：系统应收录国家药品监督管理局、国家卫生健康委员会等权威机构发布的关于药品管理、传染病防治、医疗事故管理、医疗机构管理等方面的法律法规文件。应支持关键词检索，可通过发布部门、效力级别分类浏览。</w:t>
      </w:r>
    </w:p>
    <w:p w14:paraId="6E1F0701">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10.8.2药物不良反应：系统应提供国家权威机构发布的药品不良反应信息，内容包括药物不良反应通报、药品不良反应监测年度报告，满足医生药师查询药品不良反应信息的需求。</w:t>
      </w:r>
    </w:p>
    <w:p w14:paraId="504ED16C">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10.8.3药物警戒信息：系统应提供国家权威机构发布的药物警戒快讯信息，为医生药师提供药物安全使用的信息。</w:t>
      </w:r>
    </w:p>
    <w:p w14:paraId="5D01F640">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10.8.4中医药</w:t>
      </w:r>
    </w:p>
    <w:p w14:paraId="7C4120E6">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10.8.4.1系统应提供中药材、中医方剂、中医诊疗方案、中医临床路径、中医标准术语、中医病证分类与代码等中医药信息内容。</w:t>
      </w:r>
    </w:p>
    <w:p w14:paraId="0722B69E">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10.8.4.2中药材：应包含权威专著中的品种信息，内容应侧重于中药材的基本属性和临床应用指导，应可便捷地查看毒性药材和妊娠期禁慎用药材。</w:t>
      </w:r>
    </w:p>
    <w:p w14:paraId="5CE8B8AC">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10.8.4.3中医方剂：应包括临床常用方、中医经典方等方剂，可查看方剂相关的附方及中成药信息。</w:t>
      </w:r>
    </w:p>
    <w:p w14:paraId="37770063">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10.8.4.4中医诊疗方案：应收录国家中医药管理局发布的诊疗方案。</w:t>
      </w:r>
    </w:p>
    <w:p w14:paraId="7A8A184F">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10.8.4.5中医临床路径：应收录国家中医药管理局发布的临床路径。</w:t>
      </w:r>
    </w:p>
    <w:p w14:paraId="35F0D627">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10.8.4.6中医标准术语：应收录国家中医药管理局发布的各种临床标准术语。</w:t>
      </w:r>
    </w:p>
    <w:p w14:paraId="4D4E9591">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10.8.4.7中医病症分类与代码：应收录国家中医药管理局发布中医病证分类与代码。</w:t>
      </w:r>
    </w:p>
    <w:p w14:paraId="2CAF4221">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10.8.5药物相互作用审查</w:t>
      </w:r>
    </w:p>
    <w:p w14:paraId="1C2A136A">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10.8.5.1系统应提供单一药品对其他药品的相互作用信息，收载国内外权威资料的药物相互作用信息，根据药物间的相互作用的严重程度分为禁忌合用、不推荐合用、谨慎合用、关注和可以合用。</w:t>
      </w:r>
    </w:p>
    <w:p w14:paraId="3C2183C4">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10.8.5.2内容应包括药物相互作用的结果、机制、临床处理、严重级别、案例评价及讨论等内容。</w:t>
      </w:r>
    </w:p>
    <w:p w14:paraId="3FD0CB52">
      <w:pPr>
        <w:spacing w:line="312" w:lineRule="auto"/>
        <w:ind w:firstLine="480" w:firstLineChars="200"/>
        <w:rPr>
          <w:rFonts w:hint="eastAsia" w:ascii="Times New Roman" w:hAnsi="Times New Roman" w:eastAsia="宋体" w:cs="Times New Roman"/>
          <w:sz w:val="24"/>
          <w:szCs w:val="24"/>
          <w:lang w:val="en-US" w:eastAsia="zh-CN"/>
        </w:rPr>
      </w:pPr>
      <w:r>
        <w:rPr>
          <w:rFonts w:hint="eastAsia" w:asciiTheme="minorEastAsia" w:hAnsiTheme="minorEastAsia" w:eastAsiaTheme="minorEastAsia" w:cstheme="minorEastAsia"/>
          <w:kern w:val="0"/>
          <w:sz w:val="24"/>
          <w:lang w:val="en-US" w:eastAsia="zh-CN" w:bidi="ar"/>
        </w:rPr>
        <w:t>10.8.5.3参考文献应包含国内外的期刊文献、数</w:t>
      </w:r>
      <w:r>
        <w:rPr>
          <w:rFonts w:hint="eastAsia" w:ascii="Times New Roman" w:hAnsi="Times New Roman" w:eastAsia="宋体" w:cs="Times New Roman"/>
          <w:sz w:val="24"/>
          <w:szCs w:val="24"/>
          <w:lang w:val="en-US" w:eastAsia="zh-CN"/>
        </w:rPr>
        <w:t>据库等。</w:t>
      </w:r>
    </w:p>
    <w:p w14:paraId="01D20352">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bookmarkStart w:id="337" w:name="_Toc5426"/>
      <w:r>
        <w:rPr>
          <w:rFonts w:hint="eastAsia" w:asciiTheme="minorEastAsia" w:hAnsiTheme="minorEastAsia" w:eastAsiaTheme="minorEastAsia" w:cstheme="minorEastAsia"/>
          <w:b/>
          <w:bCs/>
          <w:kern w:val="0"/>
          <w:sz w:val="24"/>
          <w:lang w:val="en-US" w:eastAsia="zh-CN" w:bidi="ar"/>
        </w:rPr>
        <w:t>11.病案管理系统</w:t>
      </w:r>
      <w:bookmarkEnd w:id="337"/>
    </w:p>
    <w:p w14:paraId="0A09A4A7">
      <w:pPr>
        <w:spacing w:line="312" w:lineRule="auto"/>
        <w:ind w:firstLine="482" w:firstLineChars="200"/>
        <w:rPr>
          <w:rFonts w:hint="eastAsia" w:asciiTheme="minorEastAsia" w:hAnsiTheme="minorEastAsia" w:eastAsiaTheme="minorEastAsia" w:cstheme="minorEastAsia"/>
          <w:b/>
          <w:bCs/>
          <w:kern w:val="0"/>
          <w:sz w:val="24"/>
          <w:lang w:val="en-US" w:eastAsia="zh-CN" w:bidi="ar"/>
        </w:rPr>
      </w:pPr>
      <w:bookmarkStart w:id="338" w:name="_Toc155344287"/>
      <w:r>
        <w:rPr>
          <w:rFonts w:hint="eastAsia" w:asciiTheme="minorEastAsia" w:hAnsiTheme="minorEastAsia" w:eastAsiaTheme="minorEastAsia" w:cstheme="minorEastAsia"/>
          <w:b/>
          <w:bCs/>
          <w:kern w:val="0"/>
          <w:sz w:val="24"/>
          <w:lang w:val="en-US" w:eastAsia="zh-CN" w:bidi="ar"/>
        </w:rPr>
        <w:t>11.1病案管理</w:t>
      </w:r>
      <w:bookmarkEnd w:id="338"/>
    </w:p>
    <w:p w14:paraId="1B7FBCB2">
      <w:pPr>
        <w:spacing w:line="312" w:lineRule="auto"/>
        <w:ind w:firstLine="480" w:firstLineChars="200"/>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11.1.1系统首页</w:t>
      </w:r>
    </w:p>
    <w:p w14:paraId="51FF41F7">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▲11.1.1.1支</w:t>
      </w:r>
      <w:r>
        <w:rPr>
          <w:rFonts w:hint="eastAsia" w:asciiTheme="minorEastAsia" w:hAnsiTheme="minorEastAsia" w:eastAsiaTheme="minorEastAsia" w:cstheme="minorEastAsia"/>
          <w:color w:val="auto"/>
          <w:kern w:val="0"/>
          <w:sz w:val="24"/>
          <w:lang w:val="en-US" w:eastAsia="zh-CN" w:bidi="ar"/>
        </w:rPr>
        <w:t>持展示当前病例病案情况，包括已回收、已归档、待编码、待回收、待归档的数量以及进行病例申请、撤档、撤销、借阅的审核情况；支持概览整个病案的工作进展和待办事项，方便病案管理者统筹把控。</w:t>
      </w:r>
    </w:p>
    <w:p w14:paraId="09757528">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11.1.1.2</w:t>
      </w:r>
      <w:r>
        <w:rPr>
          <w:rFonts w:hint="eastAsia" w:asciiTheme="minorEastAsia" w:hAnsiTheme="minorEastAsia" w:eastAsiaTheme="minorEastAsia" w:cstheme="minorEastAsia"/>
          <w:color w:val="auto"/>
          <w:kern w:val="0"/>
          <w:sz w:val="24"/>
          <w:lang w:val="en-US" w:eastAsia="zh-CN" w:bidi="ar"/>
        </w:rPr>
        <w:t>支持展示病案回收率、病案归档率。</w:t>
      </w:r>
    </w:p>
    <w:p w14:paraId="415CA6A1">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11.1.2病案首页</w:t>
      </w:r>
    </w:p>
    <w:p w14:paraId="7FEB8A90">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11.1.2.1支持自动采集患者基本信息以及由大部分的诊疗信息生成患者的病案首页，自动提取率可达百分之九十。支持手动修改，对修改的病案首页进行保存和提交。</w:t>
      </w:r>
    </w:p>
    <w:p w14:paraId="34BE4B91">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11.1.2.2支持提交时系统对首页进行质控校验，质控校验不通过时无法提交。</w:t>
      </w:r>
    </w:p>
    <w:p w14:paraId="69FA9341">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11.1.2.3支持切换中医版/西医版病案首页。</w:t>
      </w:r>
    </w:p>
    <w:p w14:paraId="0B9C4C4D">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11.1.3回收归档：支持提供回收功能。支持采用查询、导入等方式进行批量操作。</w:t>
      </w:r>
    </w:p>
    <w:p w14:paraId="7312CE2E">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11.1.4病案查询：支持按照相关条件进行查询病案信息，支持按状态、患者查询病案首页所有的信息。</w:t>
      </w:r>
    </w:p>
    <w:p w14:paraId="1DC95F02">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11.1.5综合查询：支持按照患者基本信息进行查询，支持常用查询及自定义查询条件查询，支持维护查询模板，方便下次查询。</w:t>
      </w:r>
    </w:p>
    <w:p w14:paraId="72556D6F">
      <w:pPr>
        <w:spacing w:line="312" w:lineRule="auto"/>
        <w:ind w:firstLine="482" w:firstLineChars="200"/>
        <w:rPr>
          <w:rFonts w:hint="eastAsia" w:asciiTheme="minorEastAsia" w:hAnsiTheme="minorEastAsia" w:eastAsiaTheme="minorEastAsia" w:cstheme="minorEastAsia"/>
          <w:b/>
          <w:bCs/>
          <w:color w:val="auto"/>
          <w:kern w:val="0"/>
          <w:sz w:val="24"/>
          <w:lang w:val="en-US" w:eastAsia="zh-CN" w:bidi="ar"/>
        </w:rPr>
      </w:pPr>
      <w:bookmarkStart w:id="339" w:name="_Toc155344288"/>
      <w:r>
        <w:rPr>
          <w:rFonts w:hint="eastAsia" w:asciiTheme="minorEastAsia" w:hAnsiTheme="minorEastAsia" w:eastAsiaTheme="minorEastAsia" w:cstheme="minorEastAsia"/>
          <w:b/>
          <w:bCs/>
          <w:color w:val="auto"/>
          <w:kern w:val="0"/>
          <w:sz w:val="24"/>
          <w:lang w:val="en-US" w:eastAsia="zh-CN" w:bidi="ar"/>
        </w:rPr>
        <w:t>11.2质控</w:t>
      </w:r>
      <w:bookmarkEnd w:id="339"/>
    </w:p>
    <w:p w14:paraId="2F8D8206">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11.2.1特例审批：支持对医生已申请、未审批的病案进行特例审批申请及审批操作。</w:t>
      </w:r>
    </w:p>
    <w:p w14:paraId="443BBA16">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11.2.2撤档审批：支持对医生已申请、未审批的病案进行撤档申请，以及撤档审批操作，支持控制撤档审核是否需要由医务科审核。</w:t>
      </w:r>
    </w:p>
    <w:p w14:paraId="7831CD7A">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11.2.3撤销提交审批：支持对已经编码完成的首页，医生若要修改，需要进行撤销提交申请，编码员同意后，进行撤销提交。</w:t>
      </w:r>
    </w:p>
    <w:p w14:paraId="1A2CECF3">
      <w:pPr>
        <w:spacing w:line="312" w:lineRule="auto"/>
        <w:ind w:firstLine="480" w:firstLineChars="200"/>
        <w:rPr>
          <w:rFonts w:hint="eastAsia" w:ascii="Times New Roman" w:hAnsi="Times New Roman" w:eastAsia="宋体" w:cs="Times New Roman"/>
          <w:color w:val="auto"/>
          <w:sz w:val="24"/>
          <w:szCs w:val="24"/>
          <w:lang w:val="en-US" w:eastAsia="zh-CN"/>
        </w:rPr>
      </w:pPr>
      <w:r>
        <w:rPr>
          <w:rFonts w:hint="eastAsia" w:asciiTheme="minorEastAsia" w:hAnsiTheme="minorEastAsia" w:eastAsiaTheme="minorEastAsia" w:cstheme="minorEastAsia"/>
          <w:color w:val="auto"/>
          <w:kern w:val="0"/>
          <w:sz w:val="24"/>
          <w:lang w:val="en-US" w:eastAsia="zh-CN" w:bidi="ar"/>
        </w:rPr>
        <w:t>11.2.4病历封存：支持对有纠纷的患者病历进</w:t>
      </w:r>
      <w:r>
        <w:rPr>
          <w:rFonts w:hint="eastAsia" w:ascii="Times New Roman" w:hAnsi="Times New Roman" w:eastAsia="宋体" w:cs="Times New Roman"/>
          <w:color w:val="auto"/>
          <w:sz w:val="24"/>
          <w:szCs w:val="24"/>
          <w:lang w:val="en-US" w:eastAsia="zh-CN"/>
        </w:rPr>
        <w:t>行封存操作。</w:t>
      </w:r>
    </w:p>
    <w:p w14:paraId="55FE466E">
      <w:pPr>
        <w:spacing w:line="312" w:lineRule="auto"/>
        <w:ind w:firstLine="482" w:firstLineChars="200"/>
        <w:rPr>
          <w:rFonts w:hint="eastAsia" w:asciiTheme="minorEastAsia" w:hAnsiTheme="minorEastAsia" w:eastAsiaTheme="minorEastAsia" w:cstheme="minorEastAsia"/>
          <w:b/>
          <w:bCs/>
          <w:color w:val="auto"/>
          <w:kern w:val="0"/>
          <w:sz w:val="24"/>
          <w:lang w:val="en-US" w:eastAsia="zh-CN" w:bidi="ar"/>
        </w:rPr>
      </w:pPr>
      <w:bookmarkStart w:id="340" w:name="_Toc155344289"/>
      <w:r>
        <w:rPr>
          <w:rFonts w:hint="eastAsia" w:asciiTheme="minorEastAsia" w:hAnsiTheme="minorEastAsia" w:eastAsiaTheme="minorEastAsia" w:cstheme="minorEastAsia"/>
          <w:b/>
          <w:bCs/>
          <w:color w:val="auto"/>
          <w:kern w:val="0"/>
          <w:sz w:val="24"/>
          <w:lang w:val="en-US" w:eastAsia="zh-CN" w:bidi="ar"/>
        </w:rPr>
        <w:t>11.3编码</w:t>
      </w:r>
      <w:bookmarkEnd w:id="340"/>
    </w:p>
    <w:p w14:paraId="7FEBA7D3">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11.3.1编码工作台：支持为编码员提供编码工作台，支持展示患者病历、报告和首页，方便编码员编码，对已提交的病案首页进行编码，支持连续编码。</w:t>
      </w:r>
    </w:p>
    <w:p w14:paraId="5E2229BC">
      <w:pPr>
        <w:spacing w:line="312" w:lineRule="auto"/>
        <w:ind w:firstLine="480" w:firstLineChars="200"/>
        <w:rPr>
          <w:rFonts w:hint="eastAsia" w:ascii="Times New Roman" w:hAnsi="Times New Roman" w:eastAsia="宋体" w:cs="Times New Roman"/>
          <w:color w:val="auto"/>
          <w:sz w:val="24"/>
          <w:szCs w:val="24"/>
          <w:lang w:val="en-US" w:eastAsia="zh-CN"/>
        </w:rPr>
      </w:pPr>
      <w:r>
        <w:rPr>
          <w:rFonts w:hint="eastAsia" w:asciiTheme="minorEastAsia" w:hAnsiTheme="minorEastAsia" w:eastAsiaTheme="minorEastAsia" w:cstheme="minorEastAsia"/>
          <w:color w:val="auto"/>
          <w:kern w:val="0"/>
          <w:sz w:val="24"/>
          <w:lang w:val="en-US" w:eastAsia="zh-CN" w:bidi="ar"/>
        </w:rPr>
        <w:t>11.3.2编码知识库：支持提供诊断编码、手术</w:t>
      </w:r>
      <w:r>
        <w:rPr>
          <w:rFonts w:hint="eastAsia" w:ascii="Times New Roman" w:hAnsi="Times New Roman" w:eastAsia="宋体" w:cs="Times New Roman"/>
          <w:color w:val="auto"/>
          <w:sz w:val="24"/>
          <w:szCs w:val="24"/>
          <w:lang w:val="en-US" w:eastAsia="zh-CN"/>
        </w:rPr>
        <w:t>编码、病理诊断、外部原因等知识库辅助编码。</w:t>
      </w:r>
    </w:p>
    <w:p w14:paraId="4EFB0F91">
      <w:pPr>
        <w:spacing w:line="312" w:lineRule="auto"/>
        <w:ind w:firstLine="482" w:firstLineChars="200"/>
        <w:rPr>
          <w:rFonts w:hint="eastAsia" w:asciiTheme="minorEastAsia" w:hAnsiTheme="minorEastAsia" w:eastAsiaTheme="minorEastAsia" w:cstheme="minorEastAsia"/>
          <w:b/>
          <w:bCs/>
          <w:color w:val="auto"/>
          <w:kern w:val="0"/>
          <w:sz w:val="24"/>
          <w:lang w:val="en-US" w:eastAsia="zh-CN" w:bidi="ar"/>
        </w:rPr>
      </w:pPr>
      <w:bookmarkStart w:id="341" w:name="_Toc155344290"/>
      <w:r>
        <w:rPr>
          <w:rFonts w:hint="eastAsia" w:asciiTheme="minorEastAsia" w:hAnsiTheme="minorEastAsia" w:eastAsiaTheme="minorEastAsia" w:cstheme="minorEastAsia"/>
          <w:b/>
          <w:bCs/>
          <w:color w:val="auto"/>
          <w:kern w:val="0"/>
          <w:sz w:val="24"/>
          <w:lang w:val="en-US" w:eastAsia="zh-CN" w:bidi="ar"/>
        </w:rPr>
        <w:t>11.4示踪</w:t>
      </w:r>
      <w:bookmarkEnd w:id="341"/>
    </w:p>
    <w:p w14:paraId="3A003D90">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11.4.1病案示踪</w:t>
      </w:r>
    </w:p>
    <w:p w14:paraId="7861DC5F">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▲11.4.1.1支</w:t>
      </w:r>
      <w:r>
        <w:rPr>
          <w:rFonts w:hint="eastAsia" w:asciiTheme="minorEastAsia" w:hAnsiTheme="minorEastAsia" w:eastAsiaTheme="minorEastAsia" w:cstheme="minorEastAsia"/>
          <w:color w:val="auto"/>
          <w:kern w:val="0"/>
          <w:sz w:val="24"/>
          <w:lang w:val="en-US" w:eastAsia="zh-CN" w:bidi="ar"/>
        </w:rPr>
        <w:t>持按患者病案号、姓名或者身份证进行检索，</w:t>
      </w:r>
      <w:bookmarkStart w:id="342" w:name="_Hlk155344111"/>
      <w:r>
        <w:rPr>
          <w:rFonts w:hint="eastAsia" w:asciiTheme="minorEastAsia" w:hAnsiTheme="minorEastAsia" w:eastAsiaTheme="minorEastAsia" w:cstheme="minorEastAsia"/>
          <w:color w:val="auto"/>
          <w:kern w:val="0"/>
          <w:sz w:val="24"/>
          <w:lang w:val="en-US" w:eastAsia="zh-CN" w:bidi="ar"/>
        </w:rPr>
        <w:t>支持以时间轴的形式展示患者病案的编码、归档、借阅、归还等过程</w:t>
      </w:r>
      <w:bookmarkEnd w:id="342"/>
      <w:r>
        <w:rPr>
          <w:rFonts w:hint="eastAsia" w:asciiTheme="minorEastAsia" w:hAnsiTheme="minorEastAsia" w:eastAsiaTheme="minorEastAsia" w:cstheme="minorEastAsia"/>
          <w:color w:val="auto"/>
          <w:kern w:val="0"/>
          <w:sz w:val="24"/>
          <w:lang w:val="en-US" w:eastAsia="zh-CN" w:bidi="ar"/>
        </w:rPr>
        <w:t>，支持直观体现出病案自产生到当前时间的所有状态。</w:t>
      </w:r>
    </w:p>
    <w:p w14:paraId="33BC45FB">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11.4.2病案借阅：支持对病案进行电子和纸质版借阅，并对借阅进行审批和驳回。</w:t>
      </w:r>
    </w:p>
    <w:p w14:paraId="0E7A30FF">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11.4.3病案复印：支持对病案的复印申请进行审批和驳回。</w:t>
      </w:r>
    </w:p>
    <w:p w14:paraId="1F63482E">
      <w:pPr>
        <w:spacing w:line="312" w:lineRule="auto"/>
        <w:ind w:firstLine="480" w:firstLineChars="200"/>
        <w:rPr>
          <w:rFonts w:hint="eastAsia" w:ascii="Times New Roman" w:hAnsi="Times New Roman" w:eastAsia="宋体" w:cs="Times New Roman"/>
          <w:color w:val="auto"/>
          <w:sz w:val="24"/>
          <w:szCs w:val="24"/>
          <w:lang w:val="en-US" w:eastAsia="zh-CN"/>
        </w:rPr>
      </w:pPr>
      <w:r>
        <w:rPr>
          <w:rFonts w:hint="eastAsia" w:asciiTheme="minorEastAsia" w:hAnsiTheme="minorEastAsia" w:eastAsiaTheme="minorEastAsia" w:cstheme="minorEastAsia"/>
          <w:color w:val="auto"/>
          <w:kern w:val="0"/>
          <w:sz w:val="24"/>
          <w:lang w:val="en-US" w:eastAsia="zh-CN" w:bidi="ar"/>
        </w:rPr>
        <w:t>11.4.4痕迹对比：支持对修改情况进</w:t>
      </w:r>
      <w:r>
        <w:rPr>
          <w:rFonts w:hint="eastAsia" w:ascii="Times New Roman" w:hAnsi="Times New Roman" w:eastAsia="宋体" w:cs="Times New Roman"/>
          <w:color w:val="auto"/>
          <w:sz w:val="24"/>
          <w:szCs w:val="24"/>
          <w:lang w:val="en-US" w:eastAsia="zh-CN"/>
        </w:rPr>
        <w:t>行跟踪对比分析。</w:t>
      </w:r>
    </w:p>
    <w:p w14:paraId="23483C7F">
      <w:pPr>
        <w:spacing w:line="312" w:lineRule="auto"/>
        <w:ind w:firstLine="482" w:firstLineChars="200"/>
        <w:rPr>
          <w:rFonts w:hint="eastAsia" w:asciiTheme="minorEastAsia" w:hAnsiTheme="minorEastAsia" w:eastAsiaTheme="minorEastAsia" w:cstheme="minorEastAsia"/>
          <w:b/>
          <w:bCs/>
          <w:color w:val="auto"/>
          <w:kern w:val="0"/>
          <w:sz w:val="24"/>
          <w:lang w:val="en-US" w:eastAsia="zh-CN" w:bidi="ar"/>
        </w:rPr>
      </w:pPr>
      <w:bookmarkStart w:id="343" w:name="_Toc155344291"/>
      <w:r>
        <w:rPr>
          <w:rFonts w:hint="eastAsia" w:asciiTheme="minorEastAsia" w:hAnsiTheme="minorEastAsia" w:eastAsiaTheme="minorEastAsia" w:cstheme="minorEastAsia"/>
          <w:b/>
          <w:bCs/>
          <w:color w:val="auto"/>
          <w:kern w:val="0"/>
          <w:sz w:val="24"/>
          <w:lang w:val="en-US" w:eastAsia="zh-CN" w:bidi="ar"/>
        </w:rPr>
        <w:t>11.5统计</w:t>
      </w:r>
      <w:bookmarkEnd w:id="343"/>
    </w:p>
    <w:p w14:paraId="658C9946">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11.5.1归档率统计：支持对本院病案的归档率进行按科室、按月多维度统计。</w:t>
      </w:r>
    </w:p>
    <w:p w14:paraId="6CC2AC4B">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11.5.2上报导出：支持一键导出符合二三级公立医院及省卫统上报要求的数据，帮助医院按时保质地完成数据上报工作。</w:t>
      </w:r>
    </w:p>
    <w:p w14:paraId="4898F392">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11.5.3其他统计：支持按照基础类、病种类、手术类、费用类、工作量等方面对本院患者病案信息进行统计、查询、导出。</w:t>
      </w:r>
    </w:p>
    <w:p w14:paraId="7BA9DE71">
      <w:pPr>
        <w:spacing w:line="312" w:lineRule="auto"/>
        <w:ind w:firstLine="482" w:firstLineChars="200"/>
        <w:rPr>
          <w:rFonts w:hint="eastAsia" w:asciiTheme="minorEastAsia" w:hAnsiTheme="minorEastAsia" w:eastAsiaTheme="minorEastAsia" w:cstheme="minorEastAsia"/>
          <w:b/>
          <w:bCs/>
          <w:color w:val="auto"/>
          <w:kern w:val="0"/>
          <w:sz w:val="24"/>
          <w:lang w:val="en-US" w:eastAsia="zh-CN" w:bidi="ar"/>
        </w:rPr>
      </w:pPr>
      <w:bookmarkStart w:id="344" w:name="_Toc155344292"/>
      <w:r>
        <w:rPr>
          <w:rFonts w:hint="eastAsia" w:asciiTheme="minorEastAsia" w:hAnsiTheme="minorEastAsia" w:eastAsiaTheme="minorEastAsia" w:cstheme="minorEastAsia"/>
          <w:b/>
          <w:bCs/>
          <w:color w:val="auto"/>
          <w:kern w:val="0"/>
          <w:sz w:val="24"/>
          <w:lang w:val="en-US" w:eastAsia="zh-CN" w:bidi="ar"/>
        </w:rPr>
        <w:t>11.6设置</w:t>
      </w:r>
      <w:bookmarkEnd w:id="344"/>
    </w:p>
    <w:p w14:paraId="4592FBE3">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11.6.1打印用途维护：支持对打印用途进行维护，不同的打印用途可以对应不同的文件，在打印病历时选择相应的用途即可打印相应的病历文件。</w:t>
      </w:r>
    </w:p>
    <w:p w14:paraId="307CEE94">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11.6.2上报字典对照：支持按照不同上报类型（省卫统、国家卫统），对科室、费用、字典、默认值进行对照。</w:t>
      </w:r>
    </w:p>
    <w:p w14:paraId="1C1F5503">
      <w:pPr>
        <w:spacing w:line="312" w:lineRule="auto"/>
        <w:ind w:firstLine="480" w:firstLineChars="200"/>
        <w:rPr>
          <w:rFonts w:hint="eastAsia" w:ascii="仿宋" w:hAnsi="仿宋" w:eastAsia="仿宋" w:cs="仿宋"/>
          <w:color w:val="auto"/>
          <w:sz w:val="24"/>
          <w:szCs w:val="24"/>
        </w:rPr>
      </w:pPr>
      <w:r>
        <w:rPr>
          <w:rFonts w:hint="eastAsia" w:asciiTheme="minorEastAsia" w:hAnsiTheme="minorEastAsia" w:eastAsiaTheme="minorEastAsia" w:cstheme="minorEastAsia"/>
          <w:color w:val="auto"/>
          <w:kern w:val="0"/>
          <w:sz w:val="24"/>
          <w:lang w:val="en-US" w:eastAsia="zh-CN" w:bidi="ar"/>
        </w:rPr>
        <w:t>11.6.3首页项目控制：对病案首页填写界面的</w:t>
      </w:r>
      <w:r>
        <w:rPr>
          <w:rFonts w:hint="eastAsia" w:ascii="Times New Roman" w:hAnsi="Times New Roman" w:eastAsia="宋体" w:cs="Times New Roman"/>
          <w:color w:val="auto"/>
          <w:sz w:val="24"/>
          <w:szCs w:val="24"/>
          <w:lang w:val="en-US" w:eastAsia="zh-CN"/>
        </w:rPr>
        <w:t>项目控制和校验规则等进行设置</w:t>
      </w:r>
      <w:r>
        <w:rPr>
          <w:rFonts w:hint="eastAsia" w:ascii="仿宋" w:hAnsi="仿宋" w:eastAsia="仿宋" w:cs="仿宋"/>
          <w:color w:val="auto"/>
          <w:sz w:val="24"/>
          <w:szCs w:val="24"/>
        </w:rPr>
        <w:t>。</w:t>
      </w:r>
    </w:p>
    <w:p w14:paraId="74A576EA">
      <w:pPr>
        <w:spacing w:line="312" w:lineRule="auto"/>
        <w:ind w:firstLine="482" w:firstLineChars="200"/>
        <w:rPr>
          <w:rFonts w:hint="eastAsia" w:asciiTheme="minorEastAsia" w:hAnsiTheme="minorEastAsia" w:eastAsiaTheme="minorEastAsia" w:cstheme="minorEastAsia"/>
          <w:b/>
          <w:bCs/>
          <w:color w:val="auto"/>
          <w:kern w:val="0"/>
          <w:sz w:val="24"/>
          <w:lang w:val="en-US" w:eastAsia="zh-CN" w:bidi="ar"/>
        </w:rPr>
      </w:pPr>
      <w:bookmarkStart w:id="345" w:name="_Toc24529"/>
      <w:r>
        <w:rPr>
          <w:rFonts w:hint="eastAsia" w:asciiTheme="minorEastAsia" w:hAnsiTheme="minorEastAsia" w:eastAsiaTheme="minorEastAsia" w:cstheme="minorEastAsia"/>
          <w:b/>
          <w:bCs/>
          <w:color w:val="auto"/>
          <w:kern w:val="0"/>
          <w:sz w:val="24"/>
          <w:lang w:val="en-US" w:eastAsia="zh-CN" w:bidi="ar"/>
        </w:rPr>
        <w:t>12.慢病管控平台</w:t>
      </w:r>
      <w:bookmarkEnd w:id="345"/>
    </w:p>
    <w:p w14:paraId="57C58BBB">
      <w:pPr>
        <w:spacing w:line="312" w:lineRule="auto"/>
        <w:ind w:firstLine="482" w:firstLineChars="200"/>
        <w:rPr>
          <w:rFonts w:hint="eastAsia" w:asciiTheme="minorEastAsia" w:hAnsiTheme="minorEastAsia" w:eastAsiaTheme="minorEastAsia" w:cstheme="minorEastAsia"/>
          <w:b/>
          <w:bCs/>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12.1首页</w:t>
      </w:r>
    </w:p>
    <w:p w14:paraId="5E5C4C03">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12.1.1</w:t>
      </w:r>
      <w:r>
        <w:rPr>
          <w:rFonts w:hint="eastAsia" w:asciiTheme="minorEastAsia" w:hAnsiTheme="minorEastAsia" w:eastAsiaTheme="minorEastAsia" w:cstheme="minorEastAsia"/>
          <w:color w:val="auto"/>
          <w:kern w:val="0"/>
          <w:sz w:val="24"/>
          <w:lang w:val="en-US" w:eastAsia="zh" w:bidi="ar"/>
        </w:rPr>
        <w:t>首页</w:t>
      </w:r>
    </w:p>
    <w:p w14:paraId="3F56C02C">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▲12.1.1.1支持直</w:t>
      </w:r>
      <w:r>
        <w:rPr>
          <w:rFonts w:hint="eastAsia" w:asciiTheme="minorEastAsia" w:hAnsiTheme="minorEastAsia" w:eastAsiaTheme="minorEastAsia" w:cstheme="minorEastAsia"/>
          <w:color w:val="auto"/>
          <w:kern w:val="0"/>
          <w:sz w:val="24"/>
          <w:lang w:val="en-US" w:eastAsia="zh-CN" w:bidi="ar"/>
        </w:rPr>
        <w:t>观的看到医共体内慢病的</w:t>
      </w:r>
      <w:r>
        <w:rPr>
          <w:rFonts w:hint="eastAsia" w:asciiTheme="minorEastAsia" w:hAnsiTheme="minorEastAsia" w:eastAsiaTheme="minorEastAsia" w:cstheme="minorEastAsia"/>
          <w:color w:val="auto"/>
          <w:kern w:val="0"/>
          <w:sz w:val="24"/>
          <w:lang w:val="en-US" w:eastAsia="zh" w:bidi="ar"/>
        </w:rPr>
        <w:t>已纳入管理数</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慢病人群性别分布、慢病人群年龄分布、所患病种数分布、</w:t>
      </w:r>
      <w:r>
        <w:rPr>
          <w:rFonts w:hint="eastAsia" w:asciiTheme="minorEastAsia" w:hAnsiTheme="minorEastAsia" w:eastAsiaTheme="minorEastAsia" w:cstheme="minorEastAsia"/>
          <w:color w:val="auto"/>
          <w:kern w:val="0"/>
          <w:sz w:val="24"/>
          <w:lang w:val="en-US" w:eastAsia="zh-CN" w:bidi="ar"/>
        </w:rPr>
        <w:t>慢性病</w:t>
      </w:r>
      <w:r>
        <w:rPr>
          <w:rFonts w:hint="eastAsia" w:asciiTheme="minorEastAsia" w:hAnsiTheme="minorEastAsia" w:eastAsiaTheme="minorEastAsia" w:cstheme="minorEastAsia"/>
          <w:color w:val="auto"/>
          <w:kern w:val="0"/>
          <w:sz w:val="24"/>
          <w:lang w:val="en-US" w:eastAsia="zh" w:bidi="ar"/>
        </w:rPr>
        <w:t>病种分布 、</w:t>
      </w:r>
      <w:r>
        <w:rPr>
          <w:rFonts w:hint="eastAsia" w:asciiTheme="minorEastAsia" w:hAnsiTheme="minorEastAsia" w:eastAsiaTheme="minorEastAsia" w:cstheme="minorEastAsia"/>
          <w:color w:val="auto"/>
          <w:kern w:val="0"/>
          <w:sz w:val="24"/>
          <w:lang w:val="en-US" w:eastAsia="zh-CN" w:bidi="ar"/>
        </w:rPr>
        <w:t>各病种性别分布</w:t>
      </w:r>
      <w:r>
        <w:rPr>
          <w:rFonts w:hint="eastAsia" w:asciiTheme="minorEastAsia" w:hAnsiTheme="minorEastAsia" w:eastAsiaTheme="minorEastAsia" w:cstheme="minorEastAsia"/>
          <w:color w:val="auto"/>
          <w:kern w:val="0"/>
          <w:sz w:val="24"/>
          <w:lang w:val="en-US" w:eastAsia="zh" w:bidi="ar"/>
        </w:rPr>
        <w:t>、</w:t>
      </w:r>
      <w:r>
        <w:rPr>
          <w:rFonts w:hint="eastAsia" w:asciiTheme="minorEastAsia" w:hAnsiTheme="minorEastAsia" w:eastAsiaTheme="minorEastAsia" w:cstheme="minorEastAsia"/>
          <w:color w:val="auto"/>
          <w:kern w:val="0"/>
          <w:sz w:val="24"/>
          <w:lang w:val="en-US" w:eastAsia="zh-CN" w:bidi="ar"/>
        </w:rPr>
        <w:t>各病种年龄分布</w:t>
      </w:r>
      <w:r>
        <w:rPr>
          <w:rFonts w:hint="eastAsia" w:asciiTheme="minorEastAsia" w:hAnsiTheme="minorEastAsia" w:eastAsiaTheme="minorEastAsia" w:cstheme="minorEastAsia"/>
          <w:color w:val="auto"/>
          <w:kern w:val="0"/>
          <w:sz w:val="24"/>
          <w:lang w:val="en-US" w:eastAsia="zh" w:bidi="ar"/>
        </w:rPr>
        <w:t>三色色标分布、心血管分层分布、管理方案分布、公卫建档分布</w:t>
      </w:r>
      <w:r>
        <w:rPr>
          <w:rFonts w:hint="eastAsia" w:asciiTheme="minorEastAsia" w:hAnsiTheme="minorEastAsia" w:eastAsiaTheme="minorEastAsia" w:cstheme="minorEastAsia"/>
          <w:color w:val="auto"/>
          <w:kern w:val="0"/>
          <w:sz w:val="24"/>
          <w:lang w:val="en-US" w:eastAsia="zh-CN" w:bidi="ar"/>
        </w:rPr>
        <w:t>的统计数据。</w:t>
      </w:r>
    </w:p>
    <w:p w14:paraId="14C44DFC">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12.1.1.2</w:t>
      </w:r>
      <w:r>
        <w:rPr>
          <w:rFonts w:hint="eastAsia" w:asciiTheme="minorEastAsia" w:hAnsiTheme="minorEastAsia" w:eastAsiaTheme="minorEastAsia" w:cstheme="minorEastAsia"/>
          <w:color w:val="auto"/>
          <w:kern w:val="0"/>
          <w:sz w:val="24"/>
          <w:lang w:val="en-US" w:eastAsia="zh-CN" w:bidi="ar"/>
        </w:rPr>
        <w:t>支持将高血压统计数据进行展示其中应包含：高血压</w:t>
      </w:r>
      <w:r>
        <w:rPr>
          <w:rFonts w:hint="eastAsia" w:asciiTheme="minorEastAsia" w:hAnsiTheme="minorEastAsia" w:eastAsiaTheme="minorEastAsia" w:cstheme="minorEastAsia"/>
          <w:color w:val="auto"/>
          <w:kern w:val="0"/>
          <w:sz w:val="24"/>
          <w:lang w:val="en-US" w:eastAsia="zh" w:bidi="ar"/>
        </w:rPr>
        <w:t>红标</w:t>
      </w:r>
      <w:r>
        <w:rPr>
          <w:rFonts w:hint="eastAsia" w:asciiTheme="minorEastAsia" w:hAnsiTheme="minorEastAsia" w:eastAsiaTheme="minorEastAsia" w:cstheme="minorEastAsia"/>
          <w:color w:val="auto"/>
          <w:kern w:val="0"/>
          <w:sz w:val="24"/>
          <w:lang w:val="en-US" w:eastAsia="zh-CN" w:bidi="ar"/>
        </w:rPr>
        <w:t>人数、高血压</w:t>
      </w:r>
      <w:r>
        <w:rPr>
          <w:rFonts w:hint="eastAsia" w:asciiTheme="minorEastAsia" w:hAnsiTheme="minorEastAsia" w:eastAsiaTheme="minorEastAsia" w:cstheme="minorEastAsia"/>
          <w:color w:val="auto"/>
          <w:kern w:val="0"/>
          <w:sz w:val="24"/>
          <w:lang w:val="en-US" w:eastAsia="zh" w:bidi="ar"/>
        </w:rPr>
        <w:t>黄标人数</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高血压绿标人数</w:t>
      </w:r>
      <w:r>
        <w:rPr>
          <w:rFonts w:hint="eastAsia" w:asciiTheme="minorEastAsia" w:hAnsiTheme="minorEastAsia" w:eastAsiaTheme="minorEastAsia" w:cstheme="minorEastAsia"/>
          <w:color w:val="auto"/>
          <w:kern w:val="0"/>
          <w:sz w:val="24"/>
          <w:lang w:val="en-US" w:eastAsia="zh-CN" w:bidi="ar"/>
        </w:rPr>
        <w:t>。</w:t>
      </w:r>
    </w:p>
    <w:p w14:paraId="3FE4CF1D">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12.1.1.3</w:t>
      </w:r>
      <w:r>
        <w:rPr>
          <w:rFonts w:hint="eastAsia" w:asciiTheme="minorEastAsia" w:hAnsiTheme="minorEastAsia" w:eastAsiaTheme="minorEastAsia" w:cstheme="minorEastAsia"/>
          <w:color w:val="auto"/>
          <w:kern w:val="0"/>
          <w:sz w:val="24"/>
          <w:lang w:val="en-US" w:eastAsia="zh-CN" w:bidi="ar"/>
        </w:rPr>
        <w:t>支持将糖尿病统计数据进行展示，其中应包含：糖尿病</w:t>
      </w:r>
      <w:r>
        <w:rPr>
          <w:rFonts w:hint="eastAsia" w:asciiTheme="minorEastAsia" w:hAnsiTheme="minorEastAsia" w:eastAsiaTheme="minorEastAsia" w:cstheme="minorEastAsia"/>
          <w:color w:val="auto"/>
          <w:kern w:val="0"/>
          <w:sz w:val="24"/>
          <w:lang w:val="en-US" w:eastAsia="zh" w:bidi="ar"/>
        </w:rPr>
        <w:t>红标</w:t>
      </w:r>
      <w:r>
        <w:rPr>
          <w:rFonts w:hint="eastAsia" w:asciiTheme="minorEastAsia" w:hAnsiTheme="minorEastAsia" w:eastAsiaTheme="minorEastAsia" w:cstheme="minorEastAsia"/>
          <w:color w:val="auto"/>
          <w:kern w:val="0"/>
          <w:sz w:val="24"/>
          <w:lang w:val="en-US" w:eastAsia="zh-CN" w:bidi="ar"/>
        </w:rPr>
        <w:t>人数、糖尿病患者</w:t>
      </w:r>
      <w:r>
        <w:rPr>
          <w:rFonts w:hint="eastAsia" w:asciiTheme="minorEastAsia" w:hAnsiTheme="minorEastAsia" w:eastAsiaTheme="minorEastAsia" w:cstheme="minorEastAsia"/>
          <w:color w:val="auto"/>
          <w:kern w:val="0"/>
          <w:sz w:val="24"/>
          <w:lang w:val="en-US" w:eastAsia="zh" w:bidi="ar"/>
        </w:rPr>
        <w:t>黄标人数</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糖尿病绿标人数</w:t>
      </w:r>
      <w:r>
        <w:rPr>
          <w:rFonts w:hint="eastAsia" w:asciiTheme="minorEastAsia" w:hAnsiTheme="minorEastAsia" w:eastAsiaTheme="minorEastAsia" w:cstheme="minorEastAsia"/>
          <w:color w:val="auto"/>
          <w:kern w:val="0"/>
          <w:sz w:val="24"/>
          <w:lang w:val="en-US" w:eastAsia="zh-CN" w:bidi="ar"/>
        </w:rPr>
        <w:t>。</w:t>
      </w:r>
    </w:p>
    <w:p w14:paraId="6196596A">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b w:val="0"/>
          <w:bCs w:val="0"/>
          <w:color w:val="auto"/>
          <w:kern w:val="0"/>
          <w:sz w:val="24"/>
          <w:lang w:val="en-US" w:eastAsia="zh-CN" w:bidi="ar"/>
        </w:rPr>
        <w:t>12.1.1.4</w:t>
      </w:r>
      <w:r>
        <w:rPr>
          <w:rFonts w:hint="eastAsia" w:asciiTheme="minorEastAsia" w:hAnsiTheme="minorEastAsia" w:eastAsiaTheme="minorEastAsia" w:cstheme="minorEastAsia"/>
          <w:color w:val="auto"/>
          <w:kern w:val="0"/>
          <w:sz w:val="24"/>
          <w:lang w:val="en-US" w:eastAsia="zh-CN" w:bidi="ar"/>
        </w:rPr>
        <w:t>支持将冠心病统计数据进行展示，其中应包含冠心病患者</w:t>
      </w:r>
      <w:r>
        <w:rPr>
          <w:rFonts w:hint="eastAsia" w:asciiTheme="minorEastAsia" w:hAnsiTheme="minorEastAsia" w:eastAsiaTheme="minorEastAsia" w:cstheme="minorEastAsia"/>
          <w:color w:val="auto"/>
          <w:kern w:val="0"/>
          <w:sz w:val="24"/>
          <w:lang w:val="en-US" w:eastAsia="zh" w:bidi="ar"/>
        </w:rPr>
        <w:t>红标</w:t>
      </w:r>
      <w:r>
        <w:rPr>
          <w:rFonts w:hint="eastAsia" w:asciiTheme="minorEastAsia" w:hAnsiTheme="minorEastAsia" w:eastAsiaTheme="minorEastAsia" w:cstheme="minorEastAsia"/>
          <w:color w:val="auto"/>
          <w:kern w:val="0"/>
          <w:sz w:val="24"/>
          <w:lang w:val="en-US" w:eastAsia="zh-CN" w:bidi="ar"/>
        </w:rPr>
        <w:t>人数、冠心病</w:t>
      </w:r>
      <w:r>
        <w:rPr>
          <w:rFonts w:hint="eastAsia" w:asciiTheme="minorEastAsia" w:hAnsiTheme="minorEastAsia" w:eastAsiaTheme="minorEastAsia" w:cstheme="minorEastAsia"/>
          <w:color w:val="auto"/>
          <w:kern w:val="0"/>
          <w:sz w:val="24"/>
          <w:lang w:val="en-US" w:eastAsia="zh" w:bidi="ar"/>
        </w:rPr>
        <w:t>黄标人数、糖尿病绿标人数</w:t>
      </w:r>
      <w:r>
        <w:rPr>
          <w:rFonts w:hint="eastAsia" w:asciiTheme="minorEastAsia" w:hAnsiTheme="minorEastAsia" w:eastAsiaTheme="minorEastAsia" w:cstheme="minorEastAsia"/>
          <w:color w:val="auto"/>
          <w:kern w:val="0"/>
          <w:sz w:val="24"/>
          <w:lang w:val="en-US" w:eastAsia="zh-CN" w:bidi="ar"/>
        </w:rPr>
        <w:t>。</w:t>
      </w:r>
    </w:p>
    <w:p w14:paraId="1B746733">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b w:val="0"/>
          <w:bCs w:val="0"/>
          <w:color w:val="auto"/>
          <w:kern w:val="0"/>
          <w:sz w:val="24"/>
          <w:lang w:val="en-US" w:eastAsia="zh-CN" w:bidi="ar"/>
        </w:rPr>
        <w:t>12.1.1.5</w:t>
      </w:r>
      <w:r>
        <w:rPr>
          <w:rFonts w:hint="eastAsia" w:asciiTheme="minorEastAsia" w:hAnsiTheme="minorEastAsia" w:eastAsiaTheme="minorEastAsia" w:cstheme="minorEastAsia"/>
          <w:color w:val="auto"/>
          <w:kern w:val="0"/>
          <w:sz w:val="24"/>
          <w:lang w:val="en-US" w:eastAsia="zh-CN" w:bidi="ar"/>
        </w:rPr>
        <w:t>支持将脑卒中的统计数据进行展示，其中应包含脑卒中患者</w:t>
      </w:r>
      <w:r>
        <w:rPr>
          <w:rFonts w:hint="eastAsia" w:asciiTheme="minorEastAsia" w:hAnsiTheme="minorEastAsia" w:eastAsiaTheme="minorEastAsia" w:cstheme="minorEastAsia"/>
          <w:color w:val="auto"/>
          <w:kern w:val="0"/>
          <w:sz w:val="24"/>
          <w:lang w:val="en-US" w:eastAsia="zh" w:bidi="ar"/>
        </w:rPr>
        <w:t>红标</w:t>
      </w:r>
      <w:r>
        <w:rPr>
          <w:rFonts w:hint="eastAsia" w:asciiTheme="minorEastAsia" w:hAnsiTheme="minorEastAsia" w:eastAsiaTheme="minorEastAsia" w:cstheme="minorEastAsia"/>
          <w:color w:val="auto"/>
          <w:kern w:val="0"/>
          <w:sz w:val="24"/>
          <w:lang w:val="en-US" w:eastAsia="zh-CN" w:bidi="ar"/>
        </w:rPr>
        <w:t>人数、脑卒中</w:t>
      </w:r>
      <w:r>
        <w:rPr>
          <w:rFonts w:hint="eastAsia" w:asciiTheme="minorEastAsia" w:hAnsiTheme="minorEastAsia" w:eastAsiaTheme="minorEastAsia" w:cstheme="minorEastAsia"/>
          <w:color w:val="auto"/>
          <w:kern w:val="0"/>
          <w:sz w:val="24"/>
          <w:lang w:val="en-US" w:eastAsia="zh" w:bidi="ar"/>
        </w:rPr>
        <w:t>黄标人数、脑卒中绿标人数</w:t>
      </w:r>
      <w:r>
        <w:rPr>
          <w:rFonts w:hint="eastAsia" w:asciiTheme="minorEastAsia" w:hAnsiTheme="minorEastAsia" w:eastAsiaTheme="minorEastAsia" w:cstheme="minorEastAsia"/>
          <w:color w:val="auto"/>
          <w:kern w:val="0"/>
          <w:sz w:val="24"/>
          <w:lang w:val="en-US" w:eastAsia="zh-CN" w:bidi="ar"/>
        </w:rPr>
        <w:t>。</w:t>
      </w:r>
    </w:p>
    <w:p w14:paraId="4673933F">
      <w:pPr>
        <w:spacing w:line="312" w:lineRule="auto"/>
        <w:ind w:firstLine="482" w:firstLineChars="200"/>
        <w:rPr>
          <w:rFonts w:hint="eastAsia" w:asciiTheme="minorEastAsia" w:hAnsiTheme="minorEastAsia" w:eastAsiaTheme="minorEastAsia" w:cstheme="minorEastAsia"/>
          <w:b/>
          <w:bCs/>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12.2慢病人群管理</w:t>
      </w:r>
    </w:p>
    <w:p w14:paraId="6E3EAC90">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12.2.1</w:t>
      </w:r>
      <w:r>
        <w:rPr>
          <w:rFonts w:hint="eastAsia" w:asciiTheme="minorEastAsia" w:hAnsiTheme="minorEastAsia" w:eastAsiaTheme="minorEastAsia" w:cstheme="minorEastAsia"/>
          <w:color w:val="auto"/>
          <w:kern w:val="0"/>
          <w:sz w:val="24"/>
          <w:lang w:val="en-US" w:eastAsia="zh" w:bidi="ar"/>
        </w:rPr>
        <w:t>慢病人群</w:t>
      </w:r>
    </w:p>
    <w:p w14:paraId="15564882">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12.2.1.1支持对</w:t>
      </w:r>
      <w:r>
        <w:rPr>
          <w:rFonts w:hint="eastAsia" w:asciiTheme="minorEastAsia" w:hAnsiTheme="minorEastAsia" w:eastAsiaTheme="minorEastAsia" w:cstheme="minorEastAsia"/>
          <w:color w:val="auto"/>
          <w:kern w:val="0"/>
          <w:sz w:val="24"/>
          <w:lang w:val="en-US" w:eastAsia="zh" w:bidi="ar"/>
        </w:rPr>
        <w:t>慢病人群</w:t>
      </w:r>
      <w:r>
        <w:rPr>
          <w:rFonts w:hint="eastAsia" w:asciiTheme="minorEastAsia" w:hAnsiTheme="minorEastAsia" w:eastAsiaTheme="minorEastAsia" w:cstheme="minorEastAsia"/>
          <w:color w:val="auto"/>
          <w:kern w:val="0"/>
          <w:sz w:val="24"/>
          <w:lang w:val="en-US" w:eastAsia="zh-CN" w:bidi="ar"/>
        </w:rPr>
        <w:t>信息进行查询，支持按</w:t>
      </w:r>
      <w:r>
        <w:rPr>
          <w:rFonts w:hint="eastAsia" w:asciiTheme="minorEastAsia" w:hAnsiTheme="minorEastAsia" w:eastAsiaTheme="minorEastAsia" w:cstheme="minorEastAsia"/>
          <w:color w:val="auto"/>
          <w:kern w:val="0"/>
          <w:sz w:val="24"/>
          <w:lang w:val="en-US" w:eastAsia="zh" w:bidi="ar"/>
        </w:rPr>
        <w:t>姓名、身份证号、疾病分类</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人群基础属性：性别、年龄</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纳入属性：纳入方式、纳入时间</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纳入来源机构</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纳入医生、地域属性：行政区划</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疾病属性：三色色标、疾病危险分层、心血管风险分层</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管理属性：管理方案是否制定、管理方案制定时间</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管理路径</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服务清单状态、服务清单制定时间、有无健康干预</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公卫属性：所属慢病机构、是否已建公卫档案进行</w:t>
      </w:r>
      <w:r>
        <w:rPr>
          <w:rFonts w:hint="eastAsia" w:asciiTheme="minorEastAsia" w:hAnsiTheme="minorEastAsia" w:eastAsiaTheme="minorEastAsia" w:cstheme="minorEastAsia"/>
          <w:color w:val="auto"/>
          <w:kern w:val="0"/>
          <w:sz w:val="24"/>
          <w:lang w:val="en-US" w:eastAsia="zh-CN" w:bidi="ar"/>
        </w:rPr>
        <w:t>查询。</w:t>
      </w:r>
    </w:p>
    <w:p w14:paraId="68B2262F">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12.2.1.2支持对慢病患者进行</w:t>
      </w:r>
      <w:r>
        <w:rPr>
          <w:rFonts w:hint="eastAsia" w:asciiTheme="minorEastAsia" w:hAnsiTheme="minorEastAsia" w:eastAsiaTheme="minorEastAsia" w:cstheme="minorEastAsia"/>
          <w:color w:val="auto"/>
          <w:kern w:val="0"/>
          <w:sz w:val="24"/>
          <w:lang w:val="en-US" w:eastAsia="zh" w:bidi="ar"/>
        </w:rPr>
        <w:t>慢病人群</w:t>
      </w:r>
      <w:r>
        <w:rPr>
          <w:rFonts w:hint="eastAsia" w:asciiTheme="minorEastAsia" w:hAnsiTheme="minorEastAsia" w:eastAsiaTheme="minorEastAsia" w:cstheme="minorEastAsia"/>
          <w:color w:val="auto"/>
          <w:kern w:val="0"/>
          <w:sz w:val="24"/>
          <w:lang w:val="en-US" w:eastAsia="zh-CN" w:bidi="ar"/>
        </w:rPr>
        <w:t>档案进行新建、修改、销档、导出等操作。</w:t>
      </w:r>
    </w:p>
    <w:p w14:paraId="3B07532E">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12.2.1.3查询到的信息支持以列表的方式展示，展示内容包括</w:t>
      </w:r>
      <w:r>
        <w:rPr>
          <w:rFonts w:hint="eastAsia" w:asciiTheme="minorEastAsia" w:hAnsiTheme="minorEastAsia" w:eastAsiaTheme="minorEastAsia" w:cstheme="minorEastAsia"/>
          <w:color w:val="auto"/>
          <w:kern w:val="0"/>
          <w:sz w:val="24"/>
          <w:lang w:val="en-US" w:eastAsia="zh" w:bidi="ar"/>
        </w:rPr>
        <w:t>姓名、性别、年龄、出生日期、本人手机号、现住址、疾病分类、纳入来源机构、纳入时间</w:t>
      </w:r>
      <w:r>
        <w:rPr>
          <w:rFonts w:hint="eastAsia" w:asciiTheme="minorEastAsia" w:hAnsiTheme="minorEastAsia" w:eastAsiaTheme="minorEastAsia" w:cstheme="minorEastAsia"/>
          <w:color w:val="auto"/>
          <w:kern w:val="0"/>
          <w:sz w:val="24"/>
          <w:lang w:val="en-US" w:eastAsia="zh-CN" w:bidi="ar"/>
        </w:rPr>
        <w:t>。</w:t>
      </w:r>
    </w:p>
    <w:p w14:paraId="110C17A0">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12.2.1.4支持对</w:t>
      </w:r>
      <w:r>
        <w:rPr>
          <w:rFonts w:hint="eastAsia" w:asciiTheme="minorEastAsia" w:hAnsiTheme="minorEastAsia" w:eastAsiaTheme="minorEastAsia" w:cstheme="minorEastAsia"/>
          <w:color w:val="auto"/>
          <w:kern w:val="0"/>
          <w:sz w:val="24"/>
          <w:lang w:val="en-US" w:eastAsia="zh" w:bidi="ar"/>
        </w:rPr>
        <w:t>慢病人群信息</w:t>
      </w:r>
      <w:r>
        <w:rPr>
          <w:rFonts w:hint="eastAsia" w:asciiTheme="minorEastAsia" w:hAnsiTheme="minorEastAsia" w:eastAsiaTheme="minorEastAsia" w:cstheme="minorEastAsia"/>
          <w:color w:val="auto"/>
          <w:kern w:val="0"/>
          <w:sz w:val="24"/>
          <w:lang w:val="en-US" w:eastAsia="zh-CN" w:bidi="ar"/>
        </w:rPr>
        <w:t>进行查看，可以看到个人基本情况等信息。支持对血压、血糖血脂等关键指标进行展示。支持对门诊、随访、体检的当前用药进行展示。支持对血常规、血生化、尿常规等检验报告进行展示。支持对心电、影像的检查报告进行展示。支持对签约的团队签约的日期进行展示，支持对服务项目、执行机构、待履约次数、已经履约次数、共需履约次数、服务进度进行展示。</w:t>
      </w:r>
    </w:p>
    <w:p w14:paraId="1690AF55">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12.2.2</w:t>
      </w:r>
      <w:r>
        <w:rPr>
          <w:rFonts w:hint="eastAsia" w:asciiTheme="minorEastAsia" w:hAnsiTheme="minorEastAsia" w:eastAsiaTheme="minorEastAsia" w:cstheme="minorEastAsia"/>
          <w:color w:val="auto"/>
          <w:kern w:val="0"/>
          <w:sz w:val="24"/>
          <w:lang w:val="en-US" w:eastAsia="zh" w:bidi="ar"/>
        </w:rPr>
        <w:t>慢病移除记录</w:t>
      </w:r>
    </w:p>
    <w:p w14:paraId="700A014C">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12.2.2.1支持对专病档案的移除记录进行查询，支持按照所属机构、姓名，身份证号、销档日期，销档人进行查询。</w:t>
      </w:r>
    </w:p>
    <w:p w14:paraId="370E2CCC">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12.2.2.2查询到的信息支持以列表的方式展示，展示内容包括所在机构，姓名、证件号码、性别，销档原因，销档人，销档时间。</w:t>
      </w:r>
    </w:p>
    <w:p w14:paraId="7573B017">
      <w:pPr>
        <w:spacing w:line="312" w:lineRule="auto"/>
        <w:ind w:firstLine="480" w:firstLineChars="200"/>
        <w:rPr>
          <w:rFonts w:hint="eastAsia" w:ascii="Times New Roman" w:hAnsi="Times New Roman" w:eastAsia="宋体" w:cs="Times New Roman"/>
          <w:color w:val="auto"/>
          <w:sz w:val="24"/>
          <w:szCs w:val="24"/>
          <w:lang w:val="en-US" w:eastAsia="zh-CN"/>
        </w:rPr>
      </w:pPr>
      <w:r>
        <w:rPr>
          <w:rFonts w:hint="eastAsia" w:asciiTheme="minorEastAsia" w:hAnsiTheme="minorEastAsia" w:eastAsiaTheme="minorEastAsia" w:cstheme="minorEastAsia"/>
          <w:color w:val="auto"/>
          <w:kern w:val="0"/>
          <w:sz w:val="24"/>
          <w:lang w:val="en-US" w:eastAsia="zh-CN" w:bidi="ar"/>
        </w:rPr>
        <w:t>12.2.2.3支持查看居民专病档案详情，专病档案记录档案归属机构、患者基本信息、患者管理状态、疾病信息（所患慢病病种、三色色标、疾病分级分层、管理方案、纳入方式、纳入来源机构、纳入来源科室、操作纳入医生、</w:t>
      </w:r>
      <w:r>
        <w:rPr>
          <w:rFonts w:hint="eastAsia" w:ascii="Times New Roman" w:hAnsi="Times New Roman" w:eastAsia="宋体" w:cs="Times New Roman"/>
          <w:color w:val="auto"/>
          <w:sz w:val="24"/>
          <w:szCs w:val="24"/>
          <w:lang w:val="en-US" w:eastAsia="zh-CN"/>
        </w:rPr>
        <w:t>纳入时间）、慢病管理流程图。</w:t>
      </w:r>
    </w:p>
    <w:p w14:paraId="1D2D77AD">
      <w:pPr>
        <w:spacing w:line="312" w:lineRule="auto"/>
        <w:ind w:firstLine="482" w:firstLineChars="200"/>
        <w:rPr>
          <w:rFonts w:hint="eastAsia" w:asciiTheme="minorEastAsia" w:hAnsiTheme="minorEastAsia" w:eastAsiaTheme="minorEastAsia" w:cstheme="minorEastAsia"/>
          <w:b/>
          <w:bCs/>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12.3</w:t>
      </w:r>
      <w:r>
        <w:rPr>
          <w:rFonts w:hint="eastAsia" w:asciiTheme="minorEastAsia" w:hAnsiTheme="minorEastAsia" w:eastAsiaTheme="minorEastAsia" w:cstheme="minorEastAsia"/>
          <w:b/>
          <w:bCs/>
          <w:color w:val="auto"/>
          <w:kern w:val="0"/>
          <w:sz w:val="24"/>
          <w:lang w:val="en-US" w:eastAsia="zh" w:bidi="ar"/>
        </w:rPr>
        <w:t>慢病易患管理</w:t>
      </w:r>
    </w:p>
    <w:p w14:paraId="72F4AB57">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12.3.1一般人群</w:t>
      </w:r>
    </w:p>
    <w:p w14:paraId="7F3069BF">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12.3.1.1支持自动提取公卫数据、门诊数据、体检数据等对居民按照指标法进行疾病风险分析，风险因素小于三条的居民纳入一般人群。</w:t>
      </w:r>
    </w:p>
    <w:p w14:paraId="4123A8FE">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 xml:space="preserve">12.3.1.2支持按照行政区划、姓名、身份证号查询居民信息，支持查看居民姓名、身份证号、年龄、性别、现住址、联系电话以及风险详情。 </w:t>
      </w:r>
    </w:p>
    <w:p w14:paraId="60A92AC6">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12.3.2慢病高危人群</w:t>
      </w:r>
    </w:p>
    <w:p w14:paraId="012CD5FB">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12.3.2.1支持自动提取公卫数据、门诊数据、体检数据等对居民按照指标法进行疾病风险分析，风险因素大于等于三条的居民纳入高危人群。</w:t>
      </w:r>
    </w:p>
    <w:p w14:paraId="7F01CBF2">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12.3.2.2支持按照行政区划、姓名、身份证号查询居民信息，支持查看居民姓名、身份证号、年龄、性别、现住址、联系电话以及风险详情。</w:t>
      </w:r>
    </w:p>
    <w:p w14:paraId="04D4639C">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12.3.2.3支持后续开展专病筛查，通过填写筛查问卷系统评估患者专病风险，定位专病高危人群。</w:t>
      </w:r>
    </w:p>
    <w:p w14:paraId="42A7923F">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12.3.3</w:t>
      </w:r>
      <w:r>
        <w:rPr>
          <w:rFonts w:hint="eastAsia" w:asciiTheme="minorEastAsia" w:hAnsiTheme="minorEastAsia" w:eastAsiaTheme="minorEastAsia" w:cstheme="minorEastAsia"/>
          <w:color w:val="auto"/>
          <w:kern w:val="0"/>
          <w:sz w:val="24"/>
          <w:lang w:val="en-US" w:eastAsia="zh" w:bidi="ar"/>
        </w:rPr>
        <w:t>专病高危人群</w:t>
      </w:r>
    </w:p>
    <w:p w14:paraId="01BA6185">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12.3.3.1</w:t>
      </w:r>
      <w:r>
        <w:rPr>
          <w:rFonts w:hint="eastAsia" w:asciiTheme="minorEastAsia" w:hAnsiTheme="minorEastAsia" w:eastAsiaTheme="minorEastAsia" w:cstheme="minorEastAsia"/>
          <w:color w:val="auto"/>
          <w:kern w:val="0"/>
          <w:sz w:val="24"/>
          <w:lang w:val="en-US" w:eastAsia="zh" w:bidi="ar"/>
        </w:rPr>
        <w:t>支持通过疾病分类、姓名、身份证号码、评估机构、评估医生、评估医生、评估日期进行查询已经做过专病高危筛查的人群</w:t>
      </w:r>
    </w:p>
    <w:p w14:paraId="1B0B1E4F">
      <w:pPr>
        <w:spacing w:line="312" w:lineRule="auto"/>
        <w:ind w:firstLine="480" w:firstLineChars="200"/>
        <w:rPr>
          <w:rFonts w:hint="eastAsia" w:ascii="仿宋" w:hAnsi="仿宋" w:eastAsia="仿宋" w:cs="仿宋"/>
          <w:color w:val="auto"/>
          <w:sz w:val="24"/>
          <w:szCs w:val="24"/>
          <w:lang w:eastAsia="zh"/>
        </w:rPr>
      </w:pPr>
      <w:r>
        <w:rPr>
          <w:rFonts w:hint="eastAsia" w:asciiTheme="minorEastAsia" w:hAnsiTheme="minorEastAsia" w:eastAsiaTheme="minorEastAsia" w:cstheme="minorEastAsia"/>
          <w:color w:val="auto"/>
          <w:kern w:val="0"/>
          <w:sz w:val="24"/>
          <w:lang w:val="en-US" w:eastAsia="zh-CN" w:bidi="ar"/>
        </w:rPr>
        <w:t>12.3.3.2</w:t>
      </w:r>
      <w:r>
        <w:rPr>
          <w:rFonts w:hint="eastAsia" w:asciiTheme="minorEastAsia" w:hAnsiTheme="minorEastAsia" w:eastAsiaTheme="minorEastAsia" w:cstheme="minorEastAsia"/>
          <w:color w:val="auto"/>
          <w:kern w:val="0"/>
          <w:sz w:val="24"/>
          <w:lang w:val="en-US" w:eastAsia="zh" w:bidi="ar"/>
        </w:rPr>
        <w:t>查询后支持展示姓名、疾病分类、出</w:t>
      </w:r>
      <w:r>
        <w:rPr>
          <w:rFonts w:hint="eastAsia" w:ascii="Times New Roman" w:hAnsi="Times New Roman" w:eastAsia="宋体" w:cs="Times New Roman"/>
          <w:color w:val="auto"/>
          <w:sz w:val="24"/>
          <w:szCs w:val="24"/>
          <w:lang w:val="en-US" w:eastAsia="zh"/>
        </w:rPr>
        <w:t>生日期、年龄、性别、现住址、本人电话</w:t>
      </w:r>
      <w:r>
        <w:rPr>
          <w:rFonts w:hint="eastAsia" w:ascii="Times New Roman" w:hAnsi="Times New Roman" w:eastAsia="宋体" w:cs="Times New Roman"/>
          <w:color w:val="auto"/>
          <w:sz w:val="24"/>
          <w:szCs w:val="24"/>
          <w:lang w:val="en-US" w:eastAsia="zh-CN"/>
        </w:rPr>
        <w:t>和筛查记</w:t>
      </w:r>
      <w:r>
        <w:rPr>
          <w:rFonts w:hint="eastAsia" w:ascii="仿宋" w:hAnsi="仿宋" w:eastAsia="仿宋" w:cs="仿宋"/>
          <w:color w:val="auto"/>
          <w:sz w:val="24"/>
          <w:szCs w:val="24"/>
        </w:rPr>
        <w:t>录</w:t>
      </w:r>
      <w:r>
        <w:rPr>
          <w:rFonts w:hint="eastAsia" w:ascii="仿宋" w:hAnsi="仿宋" w:eastAsia="仿宋" w:cs="仿宋"/>
          <w:color w:val="auto"/>
          <w:sz w:val="24"/>
          <w:szCs w:val="24"/>
          <w:lang w:eastAsia="zh"/>
        </w:rPr>
        <w:t>。</w:t>
      </w:r>
    </w:p>
    <w:p w14:paraId="58271673">
      <w:pPr>
        <w:spacing w:line="312" w:lineRule="auto"/>
        <w:ind w:firstLine="482" w:firstLineChars="200"/>
        <w:rPr>
          <w:rFonts w:hint="eastAsia" w:asciiTheme="minorEastAsia" w:hAnsiTheme="minorEastAsia" w:eastAsiaTheme="minorEastAsia" w:cstheme="minorEastAsia"/>
          <w:b/>
          <w:bCs/>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12.4</w:t>
      </w:r>
      <w:r>
        <w:rPr>
          <w:rFonts w:hint="eastAsia" w:asciiTheme="minorEastAsia" w:hAnsiTheme="minorEastAsia" w:eastAsiaTheme="minorEastAsia" w:cstheme="minorEastAsia"/>
          <w:b/>
          <w:bCs/>
          <w:color w:val="auto"/>
          <w:kern w:val="0"/>
          <w:sz w:val="24"/>
          <w:lang w:val="en-US" w:eastAsia="zh" w:bidi="ar"/>
        </w:rPr>
        <w:t>筛查评估</w:t>
      </w:r>
    </w:p>
    <w:p w14:paraId="3376E1EC">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12.4.1</w:t>
      </w:r>
      <w:r>
        <w:rPr>
          <w:rFonts w:hint="eastAsia" w:asciiTheme="minorEastAsia" w:hAnsiTheme="minorEastAsia" w:eastAsiaTheme="minorEastAsia" w:cstheme="minorEastAsia"/>
          <w:color w:val="auto"/>
          <w:kern w:val="0"/>
          <w:sz w:val="24"/>
          <w:lang w:val="en-US" w:eastAsia="zh" w:bidi="ar"/>
        </w:rPr>
        <w:t>专病综合筛查</w:t>
      </w:r>
    </w:p>
    <w:p w14:paraId="0F421204">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12.4.1.1</w:t>
      </w:r>
      <w:r>
        <w:rPr>
          <w:rFonts w:hint="eastAsia" w:asciiTheme="minorEastAsia" w:hAnsiTheme="minorEastAsia" w:eastAsiaTheme="minorEastAsia" w:cstheme="minorEastAsia"/>
          <w:color w:val="auto"/>
          <w:kern w:val="0"/>
          <w:sz w:val="24"/>
          <w:lang w:val="en-US" w:eastAsia="zh" w:bidi="ar"/>
        </w:rPr>
        <w:t>支持以条件为患者姓名/身份证号、筛查人员、疾病分类、筛查结果、筛查时间基础条件进行查询。</w:t>
      </w:r>
    </w:p>
    <w:p w14:paraId="16976917">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12.4.1.2</w:t>
      </w:r>
      <w:r>
        <w:rPr>
          <w:rFonts w:hint="eastAsia" w:asciiTheme="minorEastAsia" w:hAnsiTheme="minorEastAsia" w:eastAsiaTheme="minorEastAsia" w:cstheme="minorEastAsia"/>
          <w:color w:val="auto"/>
          <w:kern w:val="0"/>
          <w:sz w:val="24"/>
          <w:lang w:val="en-US" w:eastAsia="zh" w:bidi="ar"/>
        </w:rPr>
        <w:t>支持对专病综合筛查进行高级查询包括人群基础属性：性别、年龄区间、地域属性：行政区划、筛查属性：诊断性检查状态、诊断评估状态、诊断评估结果、诊断评估详情、管理属性：管理方案是否制定、管理方案制定时间、服务清单状态、服务清单制定时间、有无健康干预</w:t>
      </w:r>
    </w:p>
    <w:p w14:paraId="0E97C2EC">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12.4.1.3</w:t>
      </w:r>
      <w:r>
        <w:rPr>
          <w:rFonts w:hint="eastAsia" w:asciiTheme="minorEastAsia" w:hAnsiTheme="minorEastAsia" w:eastAsiaTheme="minorEastAsia" w:cstheme="minorEastAsia"/>
          <w:color w:val="auto"/>
          <w:kern w:val="0"/>
          <w:sz w:val="24"/>
          <w:lang w:val="en-US" w:eastAsia="zh" w:bidi="ar"/>
        </w:rPr>
        <w:t>支持新增筛查患者以及批量导入</w:t>
      </w:r>
    </w:p>
    <w:p w14:paraId="10EF2D5F">
      <w:pPr>
        <w:spacing w:line="312" w:lineRule="auto"/>
        <w:ind w:firstLine="480" w:firstLineChars="200"/>
        <w:rPr>
          <w:rFonts w:hint="eastAsia" w:ascii="Times New Roman" w:hAnsi="Times New Roman" w:eastAsia="宋体" w:cs="Times New Roman"/>
          <w:color w:val="auto"/>
          <w:sz w:val="24"/>
          <w:szCs w:val="24"/>
          <w:lang w:val="en-US" w:eastAsia="zh"/>
        </w:rPr>
      </w:pPr>
      <w:r>
        <w:rPr>
          <w:rFonts w:hint="eastAsia" w:asciiTheme="minorEastAsia" w:hAnsiTheme="minorEastAsia" w:eastAsiaTheme="minorEastAsia" w:cstheme="minorEastAsia"/>
          <w:color w:val="auto"/>
          <w:kern w:val="0"/>
          <w:sz w:val="24"/>
          <w:lang w:val="en-US" w:eastAsia="zh-CN" w:bidi="ar"/>
        </w:rPr>
        <w:t>12.4.1.4</w:t>
      </w:r>
      <w:r>
        <w:rPr>
          <w:rFonts w:hint="eastAsia" w:asciiTheme="minorEastAsia" w:hAnsiTheme="minorEastAsia" w:eastAsiaTheme="minorEastAsia" w:cstheme="minorEastAsia"/>
          <w:color w:val="auto"/>
          <w:kern w:val="0"/>
          <w:sz w:val="24"/>
          <w:lang w:val="en-US" w:eastAsia="zh" w:bidi="ar"/>
        </w:rPr>
        <w:t>查询的档案支持以列表的形式查看</w:t>
      </w:r>
      <w:r>
        <w:rPr>
          <w:rFonts w:hint="eastAsia" w:ascii="Times New Roman" w:hAnsi="Times New Roman" w:eastAsia="宋体" w:cs="Times New Roman"/>
          <w:color w:val="auto"/>
          <w:sz w:val="24"/>
          <w:szCs w:val="24"/>
          <w:lang w:val="en-US" w:eastAsia="zh"/>
        </w:rPr>
        <w:t>，列表内容包括：姓名、性别、年龄、出生日期、现住址、本人手机号、疾病分类、筛查结果、筛查时间、筛查人员。</w:t>
      </w:r>
    </w:p>
    <w:p w14:paraId="2608E01A">
      <w:pPr>
        <w:spacing w:line="312" w:lineRule="auto"/>
        <w:ind w:firstLine="482" w:firstLineChars="200"/>
        <w:rPr>
          <w:rFonts w:hint="eastAsia" w:asciiTheme="minorEastAsia" w:hAnsiTheme="minorEastAsia" w:eastAsiaTheme="minorEastAsia" w:cstheme="minorEastAsia"/>
          <w:b/>
          <w:bCs/>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12.5</w:t>
      </w:r>
      <w:r>
        <w:rPr>
          <w:rFonts w:hint="eastAsia" w:asciiTheme="minorEastAsia" w:hAnsiTheme="minorEastAsia" w:eastAsiaTheme="minorEastAsia" w:cstheme="minorEastAsia"/>
          <w:b/>
          <w:bCs/>
          <w:color w:val="auto"/>
          <w:kern w:val="0"/>
          <w:sz w:val="24"/>
          <w:lang w:val="en-US" w:eastAsia="zh" w:bidi="ar"/>
        </w:rPr>
        <w:t>慢病</w:t>
      </w:r>
      <w:r>
        <w:rPr>
          <w:rFonts w:hint="eastAsia" w:asciiTheme="minorEastAsia" w:hAnsiTheme="minorEastAsia" w:eastAsiaTheme="minorEastAsia" w:cstheme="minorEastAsia"/>
          <w:b/>
          <w:bCs/>
          <w:color w:val="auto"/>
          <w:kern w:val="0"/>
          <w:sz w:val="24"/>
          <w:lang w:val="en-US" w:eastAsia="zh-CN" w:bidi="ar"/>
        </w:rPr>
        <w:t>随访</w:t>
      </w:r>
    </w:p>
    <w:p w14:paraId="570F3D7F">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12.5.1</w:t>
      </w:r>
      <w:r>
        <w:rPr>
          <w:rFonts w:hint="eastAsia" w:asciiTheme="minorEastAsia" w:hAnsiTheme="minorEastAsia" w:eastAsiaTheme="minorEastAsia" w:cstheme="minorEastAsia"/>
          <w:color w:val="auto"/>
          <w:kern w:val="0"/>
          <w:sz w:val="24"/>
          <w:lang w:val="en-US" w:eastAsia="zh" w:bidi="ar"/>
        </w:rPr>
        <w:t>慢病精细化随访</w:t>
      </w:r>
    </w:p>
    <w:p w14:paraId="1D8C0785">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12.5.1.1</w:t>
      </w:r>
      <w:r>
        <w:rPr>
          <w:rFonts w:hint="eastAsia" w:asciiTheme="minorEastAsia" w:hAnsiTheme="minorEastAsia" w:eastAsiaTheme="minorEastAsia" w:cstheme="minorEastAsia"/>
          <w:color w:val="auto"/>
          <w:kern w:val="0"/>
          <w:sz w:val="24"/>
          <w:lang w:val="en-US" w:eastAsia="zh" w:bidi="ar"/>
        </w:rPr>
        <w:t>支持以今日、近七日、近三十日、自定义时间、三色色标、随访机构、纳入医生进行查询</w:t>
      </w:r>
    </w:p>
    <w:p w14:paraId="2F4E1DDA">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12.5.1.2</w:t>
      </w:r>
      <w:r>
        <w:rPr>
          <w:rFonts w:hint="eastAsia" w:asciiTheme="minorEastAsia" w:hAnsiTheme="minorEastAsia" w:eastAsiaTheme="minorEastAsia" w:cstheme="minorEastAsia"/>
          <w:color w:val="auto"/>
          <w:kern w:val="0"/>
          <w:sz w:val="24"/>
          <w:lang w:val="en-US" w:eastAsia="zh" w:bidi="ar"/>
        </w:rPr>
        <w:t>查询的结果为应随访、已随访、待随访、超期未随访数量</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和应随访和超期未随访的需要随访的数据列表</w:t>
      </w:r>
    </w:p>
    <w:p w14:paraId="3C40BE02">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12.5.2</w:t>
      </w:r>
      <w:r>
        <w:rPr>
          <w:rFonts w:hint="eastAsia" w:asciiTheme="minorEastAsia" w:hAnsiTheme="minorEastAsia" w:eastAsiaTheme="minorEastAsia" w:cstheme="minorEastAsia"/>
          <w:color w:val="auto"/>
          <w:kern w:val="0"/>
          <w:sz w:val="24"/>
          <w:lang w:val="en-US" w:eastAsia="zh" w:bidi="ar"/>
        </w:rPr>
        <w:t>全部随访记录</w:t>
      </w:r>
    </w:p>
    <w:p w14:paraId="277A36DD">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12.5.2.1</w:t>
      </w:r>
      <w:r>
        <w:rPr>
          <w:rFonts w:hint="eastAsia" w:asciiTheme="minorEastAsia" w:hAnsiTheme="minorEastAsia" w:eastAsiaTheme="minorEastAsia" w:cstheme="minorEastAsia"/>
          <w:color w:val="auto"/>
          <w:kern w:val="0"/>
          <w:sz w:val="24"/>
          <w:lang w:val="en-US" w:eastAsia="zh" w:bidi="ar"/>
        </w:rPr>
        <w:t>支持以姓名\身份证号、居民疾病分类、随访方式、接听状态、随访问卷填写状态、随访疾病、随访机构、随访人员、计划随访时间、实际随访时间进行查询</w:t>
      </w:r>
    </w:p>
    <w:p w14:paraId="07D1D243">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12.5.2.2</w:t>
      </w:r>
      <w:r>
        <w:rPr>
          <w:rFonts w:hint="eastAsia" w:asciiTheme="minorEastAsia" w:hAnsiTheme="minorEastAsia" w:eastAsiaTheme="minorEastAsia" w:cstheme="minorEastAsia"/>
          <w:color w:val="auto"/>
          <w:kern w:val="0"/>
          <w:sz w:val="24"/>
          <w:lang w:val="en-US" w:eastAsia="zh" w:bidi="ar"/>
        </w:rPr>
        <w:t>查询的患者档案显示支持以姓名、居民疾病分类、本期随访问卷、随访疾病、随访方式、随访机构、随访人员、电话接听状态、随访问卷填写状态</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计划随访时间</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实际随访时间</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随访详情进行展示</w:t>
      </w:r>
    </w:p>
    <w:p w14:paraId="3DBD73E0">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12.5.2.3</w:t>
      </w:r>
      <w:r>
        <w:rPr>
          <w:rFonts w:hint="eastAsia" w:asciiTheme="minorEastAsia" w:hAnsiTheme="minorEastAsia" w:eastAsiaTheme="minorEastAsia" w:cstheme="minorEastAsia"/>
          <w:color w:val="auto"/>
          <w:kern w:val="0"/>
          <w:sz w:val="24"/>
          <w:lang w:val="en-US" w:eastAsia="zh" w:bidi="ar"/>
        </w:rPr>
        <w:t>支持根据查询条件导出列表数据</w:t>
      </w:r>
    </w:p>
    <w:p w14:paraId="2ABE103F">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12.5.2.4</w:t>
      </w:r>
      <w:r>
        <w:rPr>
          <w:rFonts w:hint="eastAsia" w:asciiTheme="minorEastAsia" w:hAnsiTheme="minorEastAsia" w:eastAsiaTheme="minorEastAsia" w:cstheme="minorEastAsia"/>
          <w:color w:val="auto"/>
          <w:kern w:val="0"/>
          <w:sz w:val="24"/>
          <w:lang w:val="en-US" w:eastAsia="zh" w:bidi="ar"/>
        </w:rPr>
        <w:t>支持以姓名、身份证号、居民疾病分类、计划随访机构、随访人员、计划随访时间来查询患者的随访计划列表。</w:t>
      </w:r>
    </w:p>
    <w:p w14:paraId="2D46B4D9">
      <w:pPr>
        <w:spacing w:line="312" w:lineRule="auto"/>
        <w:ind w:firstLine="480" w:firstLineChars="200"/>
        <w:rPr>
          <w:rFonts w:hint="eastAsia" w:ascii="Times New Roman" w:hAnsi="Times New Roman" w:eastAsia="宋体" w:cs="Times New Roman"/>
          <w:color w:val="auto"/>
          <w:sz w:val="24"/>
          <w:szCs w:val="24"/>
          <w:lang w:val="en-US" w:eastAsia="zh"/>
        </w:rPr>
      </w:pPr>
      <w:r>
        <w:rPr>
          <w:rFonts w:hint="eastAsia" w:asciiTheme="minorEastAsia" w:hAnsiTheme="minorEastAsia" w:eastAsiaTheme="minorEastAsia" w:cstheme="minorEastAsia"/>
          <w:color w:val="auto"/>
          <w:kern w:val="0"/>
          <w:sz w:val="24"/>
          <w:lang w:val="en-US" w:eastAsia="zh-CN" w:bidi="ar"/>
        </w:rPr>
        <w:t>12.5.2.5</w:t>
      </w:r>
      <w:r>
        <w:rPr>
          <w:rFonts w:hint="eastAsia" w:asciiTheme="minorEastAsia" w:hAnsiTheme="minorEastAsia" w:eastAsiaTheme="minorEastAsia" w:cstheme="minorEastAsia"/>
          <w:color w:val="auto"/>
          <w:kern w:val="0"/>
          <w:sz w:val="24"/>
          <w:lang w:val="en-US" w:eastAsia="zh" w:bidi="ar"/>
        </w:rPr>
        <w:t>查询的档案支持以列表的形式查看，列表内容包括：姓名、身份证号、居民疾病分类、随访问卷、计划随访机</w:t>
      </w:r>
      <w:r>
        <w:rPr>
          <w:rFonts w:hint="eastAsia" w:ascii="Times New Roman" w:hAnsi="Times New Roman" w:eastAsia="宋体" w:cs="Times New Roman"/>
          <w:color w:val="auto"/>
          <w:sz w:val="24"/>
          <w:szCs w:val="24"/>
          <w:lang w:val="en-US" w:eastAsia="zh"/>
        </w:rPr>
        <w:t>构、计划随访人员、计划随访时间、随访记录。</w:t>
      </w:r>
    </w:p>
    <w:p w14:paraId="487C91E2">
      <w:pPr>
        <w:spacing w:line="312" w:lineRule="auto"/>
        <w:ind w:firstLine="482" w:firstLineChars="200"/>
        <w:rPr>
          <w:rFonts w:hint="eastAsia" w:asciiTheme="minorEastAsia" w:hAnsiTheme="minorEastAsia" w:eastAsiaTheme="minorEastAsia" w:cstheme="minorEastAsia"/>
          <w:b/>
          <w:bCs/>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12.6</w:t>
      </w:r>
      <w:r>
        <w:rPr>
          <w:rFonts w:hint="eastAsia" w:asciiTheme="minorEastAsia" w:hAnsiTheme="minorEastAsia" w:eastAsiaTheme="minorEastAsia" w:cstheme="minorEastAsia"/>
          <w:b/>
          <w:bCs/>
          <w:color w:val="auto"/>
          <w:kern w:val="0"/>
          <w:sz w:val="24"/>
          <w:lang w:val="en-US" w:eastAsia="zh" w:bidi="ar"/>
        </w:rPr>
        <w:t>健康宣教</w:t>
      </w:r>
    </w:p>
    <w:p w14:paraId="680A380B">
      <w:pPr>
        <w:spacing w:line="312" w:lineRule="auto"/>
        <w:ind w:firstLine="480" w:firstLineChars="200"/>
        <w:rPr>
          <w:rFonts w:hint="eastAsia" w:ascii="Times New Roman" w:hAnsi="Times New Roman" w:eastAsia="宋体" w:cs="Times New Roman"/>
          <w:color w:val="auto"/>
          <w:sz w:val="24"/>
          <w:szCs w:val="24"/>
          <w:lang w:val="en-US" w:eastAsia="zh"/>
        </w:rPr>
      </w:pPr>
      <w:r>
        <w:rPr>
          <w:rFonts w:hint="eastAsia" w:asciiTheme="minorEastAsia" w:hAnsiTheme="minorEastAsia" w:eastAsiaTheme="minorEastAsia" w:cstheme="minorEastAsia"/>
          <w:color w:val="auto"/>
          <w:kern w:val="0"/>
          <w:sz w:val="24"/>
          <w:lang w:val="en-US" w:eastAsia="zh-CN" w:bidi="ar"/>
        </w:rPr>
        <w:t>12.6.1</w:t>
      </w:r>
      <w:r>
        <w:rPr>
          <w:rFonts w:hint="eastAsia" w:asciiTheme="minorEastAsia" w:hAnsiTheme="minorEastAsia" w:eastAsiaTheme="minorEastAsia" w:cstheme="minorEastAsia"/>
          <w:color w:val="auto"/>
          <w:kern w:val="0"/>
          <w:sz w:val="24"/>
          <w:lang w:val="en-US" w:eastAsia="zh" w:bidi="ar"/>
        </w:rPr>
        <w:t>手动分组宣教</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支持对慢病个体进行健康宣教</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可以手动输入患者姓名和手机号给患者发送公众号消息，宣教的内容可以引用宣</w:t>
      </w:r>
      <w:r>
        <w:rPr>
          <w:rFonts w:hint="eastAsia" w:ascii="Times New Roman" w:hAnsi="Times New Roman" w:eastAsia="宋体" w:cs="Times New Roman"/>
          <w:color w:val="auto"/>
          <w:sz w:val="24"/>
          <w:szCs w:val="24"/>
          <w:lang w:val="en-US" w:eastAsia="zh"/>
        </w:rPr>
        <w:t>教知识库文章，患者需要有慢病人群档案。</w:t>
      </w:r>
    </w:p>
    <w:p w14:paraId="2E12F8E9">
      <w:pPr>
        <w:spacing w:line="312" w:lineRule="auto"/>
        <w:ind w:firstLine="482" w:firstLineChars="200"/>
        <w:rPr>
          <w:rFonts w:hint="eastAsia" w:asciiTheme="minorEastAsia" w:hAnsiTheme="minorEastAsia" w:eastAsiaTheme="minorEastAsia" w:cstheme="minorEastAsia"/>
          <w:b/>
          <w:bCs/>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12.7</w:t>
      </w:r>
      <w:r>
        <w:rPr>
          <w:rFonts w:hint="eastAsia" w:asciiTheme="minorEastAsia" w:hAnsiTheme="minorEastAsia" w:eastAsiaTheme="minorEastAsia" w:cstheme="minorEastAsia"/>
          <w:b/>
          <w:bCs/>
          <w:color w:val="auto"/>
          <w:kern w:val="0"/>
          <w:sz w:val="24"/>
          <w:lang w:val="en-US" w:eastAsia="zh" w:bidi="ar"/>
        </w:rPr>
        <w:t>慢病知识库</w:t>
      </w:r>
    </w:p>
    <w:p w14:paraId="439C1392">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12.7.1</w:t>
      </w:r>
      <w:r>
        <w:rPr>
          <w:rFonts w:hint="eastAsia" w:asciiTheme="minorEastAsia" w:hAnsiTheme="minorEastAsia" w:eastAsiaTheme="minorEastAsia" w:cstheme="minorEastAsia"/>
          <w:color w:val="auto"/>
          <w:kern w:val="0"/>
          <w:sz w:val="24"/>
          <w:lang w:val="en-US" w:eastAsia="zh" w:bidi="ar"/>
        </w:rPr>
        <w:t>病种管理</w:t>
      </w:r>
    </w:p>
    <w:p w14:paraId="01EA25B7">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12.7.1.1</w:t>
      </w:r>
      <w:r>
        <w:rPr>
          <w:rFonts w:hint="eastAsia" w:asciiTheme="minorEastAsia" w:hAnsiTheme="minorEastAsia" w:eastAsiaTheme="minorEastAsia" w:cstheme="minorEastAsia"/>
          <w:color w:val="auto"/>
          <w:kern w:val="0"/>
          <w:sz w:val="24"/>
          <w:lang w:val="en-US" w:eastAsia="zh" w:bidi="ar"/>
        </w:rPr>
        <w:t>支持对高血压、糖尿病、慢性肾病、高血脂、冠心病、脑卒中、慢阻肺、眼底病变、周围神经病变、周围血管病变、高脂血症、尘肺病、高尿酸、肾病综合征、肾脏病变等进行病种维护。</w:t>
      </w:r>
    </w:p>
    <w:p w14:paraId="2BBF4EE5">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12.7.1.2</w:t>
      </w:r>
      <w:r>
        <w:rPr>
          <w:rFonts w:hint="eastAsia" w:asciiTheme="minorEastAsia" w:hAnsiTheme="minorEastAsia" w:eastAsiaTheme="minorEastAsia" w:cstheme="minorEastAsia"/>
          <w:color w:val="auto"/>
          <w:kern w:val="0"/>
          <w:sz w:val="24"/>
          <w:lang w:val="en-US" w:eastAsia="zh" w:bidi="ar"/>
        </w:rPr>
        <w:t>数据列表展示内容包括疾病名称、相关icd诊断编码、诊断关键词、启用状态。</w:t>
      </w:r>
    </w:p>
    <w:p w14:paraId="65F5A2B5">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12.7.2</w:t>
      </w:r>
      <w:r>
        <w:rPr>
          <w:rFonts w:hint="eastAsia" w:asciiTheme="minorEastAsia" w:hAnsiTheme="minorEastAsia" w:eastAsiaTheme="minorEastAsia" w:cstheme="minorEastAsia"/>
          <w:color w:val="auto"/>
          <w:kern w:val="0"/>
          <w:sz w:val="24"/>
          <w:lang w:val="en-US" w:eastAsia="zh" w:bidi="ar"/>
        </w:rPr>
        <w:t>病种规则详情</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可单独对病种进行规则维护，维护的内容包括相关icd10编码、诊断关键词、疾病危险分层、心血管风险分层、三色分层法、筛查规则说明、纳入弹窗显示的分层法、默认管理路径</w:t>
      </w:r>
    </w:p>
    <w:p w14:paraId="7CEE5633">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12.7.3</w:t>
      </w:r>
      <w:r>
        <w:rPr>
          <w:rFonts w:hint="eastAsia" w:asciiTheme="minorEastAsia" w:hAnsiTheme="minorEastAsia" w:eastAsiaTheme="minorEastAsia" w:cstheme="minorEastAsia"/>
          <w:color w:val="auto"/>
          <w:kern w:val="0"/>
          <w:sz w:val="24"/>
          <w:lang w:val="en-US" w:eastAsia="zh" w:bidi="ar"/>
        </w:rPr>
        <w:t>管理路径</w:t>
      </w:r>
    </w:p>
    <w:p w14:paraId="3F461447">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12.7.3.1</w:t>
      </w:r>
      <w:r>
        <w:rPr>
          <w:rFonts w:hint="eastAsia" w:asciiTheme="minorEastAsia" w:hAnsiTheme="minorEastAsia" w:eastAsiaTheme="minorEastAsia" w:cstheme="minorEastAsia"/>
          <w:color w:val="auto"/>
          <w:kern w:val="0"/>
          <w:sz w:val="24"/>
          <w:lang w:val="en-US" w:eastAsia="zh" w:bidi="ar"/>
        </w:rPr>
        <w:t>支持新增各个病种的管理路径。</w:t>
      </w:r>
    </w:p>
    <w:p w14:paraId="6B0BE9E8">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12.7.3.2</w:t>
      </w:r>
      <w:r>
        <w:rPr>
          <w:rFonts w:hint="eastAsia" w:asciiTheme="minorEastAsia" w:hAnsiTheme="minorEastAsia" w:eastAsiaTheme="minorEastAsia" w:cstheme="minorEastAsia"/>
          <w:color w:val="auto"/>
          <w:kern w:val="0"/>
          <w:sz w:val="24"/>
          <w:lang w:val="en-US" w:eastAsia="zh" w:bidi="ar"/>
        </w:rPr>
        <w:t>支持维护管理路径的路径基础信息</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路径名称</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所属病种</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慢病管理路径分类</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已关联分组</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路径人数</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启用状态</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简要说明、服务项目、随访任务、健康宣教、绑定的服务清单。在线随访任务包括</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开始时间</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随访时间</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循环周期</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随访方式</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随访机构</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随访问卷</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随访注意事项</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健康宣教包括</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循环周期</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健康宣教名称</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宣教类型</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宣教开始时间</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宣教日期</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宣教时间</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宣教方式</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操作</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服务清单包括使用哪个服务清单模板</w:t>
      </w:r>
    </w:p>
    <w:p w14:paraId="5427B6FE">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12.7.4</w:t>
      </w:r>
      <w:r>
        <w:rPr>
          <w:rFonts w:hint="eastAsia" w:asciiTheme="minorEastAsia" w:hAnsiTheme="minorEastAsia" w:eastAsiaTheme="minorEastAsia" w:cstheme="minorEastAsia"/>
          <w:color w:val="auto"/>
          <w:kern w:val="0"/>
          <w:sz w:val="24"/>
          <w:lang w:val="en-US" w:eastAsia="zh" w:bidi="ar"/>
        </w:rPr>
        <w:t>健康宣教库</w:t>
      </w:r>
    </w:p>
    <w:p w14:paraId="2270300D">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12.7.4.1</w:t>
      </w:r>
      <w:r>
        <w:rPr>
          <w:rFonts w:hint="eastAsia" w:asciiTheme="minorEastAsia" w:hAnsiTheme="minorEastAsia" w:eastAsiaTheme="minorEastAsia" w:cstheme="minorEastAsia"/>
          <w:color w:val="auto"/>
          <w:kern w:val="0"/>
          <w:sz w:val="24"/>
          <w:lang w:val="en-US" w:eastAsia="zh" w:bidi="ar"/>
        </w:rPr>
        <w:t>支持根据标题内容、所属人群分类、病种、内容类别进行查询。</w:t>
      </w:r>
    </w:p>
    <w:p w14:paraId="6067A5F3">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12.7.4.2</w:t>
      </w:r>
      <w:r>
        <w:rPr>
          <w:rFonts w:hint="eastAsia" w:asciiTheme="minorEastAsia" w:hAnsiTheme="minorEastAsia" w:eastAsiaTheme="minorEastAsia" w:cstheme="minorEastAsia"/>
          <w:color w:val="auto"/>
          <w:kern w:val="0"/>
          <w:sz w:val="24"/>
          <w:lang w:val="en-US" w:eastAsia="zh" w:bidi="ar"/>
        </w:rPr>
        <w:t>查询到的健康宣教内容包括</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标题、人群分组、所属病种、内容类别、内容</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内容支持预览模板消息的推送效果。</w:t>
      </w:r>
    </w:p>
    <w:p w14:paraId="4188556E">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12.7.4.3</w:t>
      </w:r>
      <w:r>
        <w:rPr>
          <w:rFonts w:hint="eastAsia" w:asciiTheme="minorEastAsia" w:hAnsiTheme="minorEastAsia" w:eastAsiaTheme="minorEastAsia" w:cstheme="minorEastAsia"/>
          <w:color w:val="auto"/>
          <w:kern w:val="0"/>
          <w:sz w:val="24"/>
          <w:lang w:val="en-US" w:eastAsia="zh" w:bidi="ar"/>
        </w:rPr>
        <w:t>支持新增宣教内容、预览宣教</w:t>
      </w:r>
      <w:r>
        <w:rPr>
          <w:rFonts w:hint="eastAsia" w:asciiTheme="minorEastAsia" w:hAnsiTheme="minorEastAsia" w:eastAsiaTheme="minorEastAsia" w:cstheme="minorEastAsia"/>
          <w:color w:val="auto"/>
          <w:kern w:val="0"/>
          <w:sz w:val="24"/>
          <w:lang w:val="en-US" w:eastAsia="zh-CN" w:bidi="ar"/>
        </w:rPr>
        <w:t>模板</w:t>
      </w:r>
      <w:r>
        <w:rPr>
          <w:rFonts w:hint="eastAsia" w:asciiTheme="minorEastAsia" w:hAnsiTheme="minorEastAsia" w:eastAsiaTheme="minorEastAsia" w:cstheme="minorEastAsia"/>
          <w:color w:val="auto"/>
          <w:kern w:val="0"/>
          <w:sz w:val="24"/>
          <w:lang w:val="en-US" w:eastAsia="zh" w:bidi="ar"/>
        </w:rPr>
        <w:t>、修改、删除。</w:t>
      </w:r>
    </w:p>
    <w:p w14:paraId="0374378D">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12.7.5</w:t>
      </w:r>
      <w:r>
        <w:rPr>
          <w:rFonts w:hint="eastAsia" w:asciiTheme="minorEastAsia" w:hAnsiTheme="minorEastAsia" w:eastAsiaTheme="minorEastAsia" w:cstheme="minorEastAsia"/>
          <w:color w:val="auto"/>
          <w:kern w:val="0"/>
          <w:sz w:val="24"/>
          <w:lang w:val="en-US" w:eastAsia="zh" w:bidi="ar"/>
        </w:rPr>
        <w:t>疾病问卷库</w:t>
      </w:r>
    </w:p>
    <w:p w14:paraId="5DCB5F4F">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12.7.5.1</w:t>
      </w:r>
      <w:r>
        <w:rPr>
          <w:rFonts w:hint="eastAsia" w:asciiTheme="minorEastAsia" w:hAnsiTheme="minorEastAsia" w:eastAsiaTheme="minorEastAsia" w:cstheme="minorEastAsia"/>
          <w:color w:val="auto"/>
          <w:kern w:val="0"/>
          <w:sz w:val="24"/>
          <w:lang w:val="en-US" w:eastAsia="zh" w:bidi="ar"/>
        </w:rPr>
        <w:t>支持根据问卷名称、病种进行查询。</w:t>
      </w:r>
    </w:p>
    <w:p w14:paraId="045879AD">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12.7.5.2</w:t>
      </w:r>
      <w:r>
        <w:rPr>
          <w:rFonts w:hint="eastAsia" w:asciiTheme="minorEastAsia" w:hAnsiTheme="minorEastAsia" w:eastAsiaTheme="minorEastAsia" w:cstheme="minorEastAsia"/>
          <w:color w:val="auto"/>
          <w:kern w:val="0"/>
          <w:sz w:val="24"/>
          <w:lang w:val="en-US" w:eastAsia="zh" w:bidi="ar"/>
        </w:rPr>
        <w:t>查询到的疾病问卷内容包括</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问卷名称、所属病种、创建时间、修改人、修改时间。</w:t>
      </w:r>
    </w:p>
    <w:p w14:paraId="79D34A4A">
      <w:pPr>
        <w:spacing w:line="312" w:lineRule="auto"/>
        <w:ind w:firstLine="480" w:firstLineChars="200"/>
        <w:rPr>
          <w:rFonts w:hint="eastAsia" w:ascii="仿宋" w:hAnsi="仿宋" w:eastAsia="仿宋" w:cs="仿宋"/>
          <w:color w:val="auto"/>
          <w:sz w:val="24"/>
          <w:szCs w:val="24"/>
          <w:lang w:eastAsia="zh"/>
        </w:rPr>
      </w:pPr>
      <w:r>
        <w:rPr>
          <w:rFonts w:hint="eastAsia" w:asciiTheme="minorEastAsia" w:hAnsiTheme="minorEastAsia" w:eastAsiaTheme="minorEastAsia" w:cstheme="minorEastAsia"/>
          <w:color w:val="auto"/>
          <w:kern w:val="0"/>
          <w:sz w:val="24"/>
          <w:lang w:val="en-US" w:eastAsia="zh-CN" w:bidi="ar"/>
        </w:rPr>
        <w:t>12.7.5.3</w:t>
      </w:r>
      <w:r>
        <w:rPr>
          <w:rFonts w:hint="eastAsia" w:asciiTheme="minorEastAsia" w:hAnsiTheme="minorEastAsia" w:eastAsiaTheme="minorEastAsia" w:cstheme="minorEastAsia"/>
          <w:color w:val="auto"/>
          <w:kern w:val="0"/>
          <w:sz w:val="24"/>
          <w:lang w:val="en-US" w:eastAsia="zh" w:bidi="ar"/>
        </w:rPr>
        <w:t>支持新增疾病问卷、修改、复制、预览、问题管理</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问题管理支持自定义问题内容</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问题类型包括</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判断</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单选</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多选</w:t>
      </w:r>
      <w:r>
        <w:rPr>
          <w:rFonts w:hint="eastAsia" w:asciiTheme="minorEastAsia" w:hAnsiTheme="minorEastAsia" w:eastAsiaTheme="minorEastAsia" w:cstheme="minorEastAsia"/>
          <w:color w:val="auto"/>
          <w:kern w:val="0"/>
          <w:sz w:val="24"/>
          <w:lang w:val="en-US" w:eastAsia="zh-CN" w:bidi="ar"/>
        </w:rPr>
        <w:t>，</w:t>
      </w:r>
      <w:r>
        <w:rPr>
          <w:rFonts w:hint="eastAsia" w:ascii="Times New Roman" w:hAnsi="Times New Roman" w:eastAsia="宋体" w:cs="Times New Roman"/>
          <w:color w:val="auto"/>
          <w:sz w:val="24"/>
          <w:szCs w:val="24"/>
          <w:lang w:val="en-US" w:eastAsia="zh"/>
        </w:rPr>
        <w:t>文本填空</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
        </w:rPr>
        <w:t>血压值</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
        </w:rPr>
        <w:t>血糖值</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
        </w:rPr>
        <w:t>身高值</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
        </w:rPr>
        <w:t>体重值。</w:t>
      </w:r>
    </w:p>
    <w:p w14:paraId="2DAE89B3">
      <w:pPr>
        <w:spacing w:line="312" w:lineRule="auto"/>
        <w:ind w:firstLine="482" w:firstLineChars="200"/>
        <w:rPr>
          <w:rFonts w:hint="eastAsia" w:asciiTheme="minorEastAsia" w:hAnsiTheme="minorEastAsia" w:eastAsiaTheme="minorEastAsia" w:cstheme="minorEastAsia"/>
          <w:b/>
          <w:bCs/>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12.8统计管理</w:t>
      </w:r>
    </w:p>
    <w:p w14:paraId="6C6A0722">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12.8.1</w:t>
      </w:r>
      <w:r>
        <w:rPr>
          <w:rFonts w:hint="eastAsia" w:asciiTheme="minorEastAsia" w:hAnsiTheme="minorEastAsia" w:eastAsiaTheme="minorEastAsia" w:cstheme="minorEastAsia"/>
          <w:color w:val="auto"/>
          <w:kern w:val="0"/>
          <w:sz w:val="24"/>
          <w:lang w:val="en-US" w:eastAsia="zh" w:bidi="ar"/>
        </w:rPr>
        <w:t>中心随访业务统计</w:t>
      </w:r>
    </w:p>
    <w:p w14:paraId="7A4A5CC6">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12.8.1.1</w:t>
      </w:r>
      <w:r>
        <w:rPr>
          <w:rFonts w:hint="eastAsia" w:asciiTheme="minorEastAsia" w:hAnsiTheme="minorEastAsia" w:eastAsiaTheme="minorEastAsia" w:cstheme="minorEastAsia"/>
          <w:color w:val="auto"/>
          <w:kern w:val="0"/>
          <w:sz w:val="24"/>
          <w:lang w:val="en-US" w:eastAsia="zh" w:bidi="ar"/>
        </w:rPr>
        <w:t>支持按照不同统计维度（按医院、按病种、按随访人员、按日期）、按照医院、病种、日期、随访日期、随访人员、值班人员进行查询。</w:t>
      </w:r>
    </w:p>
    <w:p w14:paraId="55183397">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12.8.1.2</w:t>
      </w:r>
      <w:r>
        <w:rPr>
          <w:rFonts w:hint="eastAsia" w:asciiTheme="minorEastAsia" w:hAnsiTheme="minorEastAsia" w:eastAsiaTheme="minorEastAsia" w:cstheme="minorEastAsia"/>
          <w:color w:val="auto"/>
          <w:kern w:val="0"/>
          <w:sz w:val="24"/>
          <w:lang w:val="en-US" w:eastAsia="zh" w:bidi="ar"/>
        </w:rPr>
        <w:t>支持统计应随访数、有效随访数、无效随访数、当日未完成数、超期未随访数、有效随访率、随访完成度。</w:t>
      </w:r>
    </w:p>
    <w:p w14:paraId="0A1C479C">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12.8.1.3</w:t>
      </w:r>
      <w:r>
        <w:rPr>
          <w:rFonts w:hint="eastAsia" w:asciiTheme="minorEastAsia" w:hAnsiTheme="minorEastAsia" w:eastAsiaTheme="minorEastAsia" w:cstheme="minorEastAsia"/>
          <w:color w:val="auto"/>
          <w:kern w:val="0"/>
          <w:sz w:val="24"/>
          <w:lang w:val="en-US" w:eastAsia="zh" w:bidi="ar"/>
        </w:rPr>
        <w:t>查询的列表支持excel表格导出。</w:t>
      </w:r>
    </w:p>
    <w:p w14:paraId="4EC12F82">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12.8.2</w:t>
      </w:r>
      <w:r>
        <w:rPr>
          <w:rFonts w:hint="eastAsia" w:asciiTheme="minorEastAsia" w:hAnsiTheme="minorEastAsia" w:eastAsiaTheme="minorEastAsia" w:cstheme="minorEastAsia"/>
          <w:color w:val="auto"/>
          <w:kern w:val="0"/>
          <w:sz w:val="24"/>
          <w:lang w:val="en-US" w:eastAsia="zh" w:bidi="ar"/>
        </w:rPr>
        <w:t>纳入质控</w:t>
      </w:r>
      <w:r>
        <w:rPr>
          <w:rFonts w:hint="eastAsia" w:asciiTheme="minorEastAsia" w:hAnsiTheme="minorEastAsia" w:eastAsiaTheme="minorEastAsia" w:cstheme="minorEastAsia"/>
          <w:color w:val="auto"/>
          <w:kern w:val="0"/>
          <w:sz w:val="24"/>
          <w:lang w:val="en-US" w:eastAsia="zh-CN" w:bidi="ar"/>
        </w:rPr>
        <w:t>统计</w:t>
      </w:r>
    </w:p>
    <w:p w14:paraId="4D75CF5A">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12.8.2.1</w:t>
      </w:r>
      <w:r>
        <w:rPr>
          <w:rFonts w:hint="eastAsia" w:asciiTheme="minorEastAsia" w:hAnsiTheme="minorEastAsia" w:eastAsiaTheme="minorEastAsia" w:cstheme="minorEastAsia"/>
          <w:color w:val="auto"/>
          <w:kern w:val="0"/>
          <w:sz w:val="24"/>
          <w:lang w:val="en-US" w:eastAsia="zh" w:bidi="ar"/>
        </w:rPr>
        <w:t>支持按照不同统计维度（按医院、按病种、按医生、按日期）、</w:t>
      </w:r>
      <w:r>
        <w:rPr>
          <w:rFonts w:hint="eastAsia" w:asciiTheme="minorEastAsia" w:hAnsiTheme="minorEastAsia" w:eastAsiaTheme="minorEastAsia" w:cstheme="minorEastAsia"/>
          <w:color w:val="auto"/>
          <w:kern w:val="0"/>
          <w:sz w:val="24"/>
          <w:lang w:val="en-US" w:eastAsia="zh-CN" w:bidi="ar"/>
        </w:rPr>
        <w:t>按</w:t>
      </w:r>
      <w:r>
        <w:rPr>
          <w:rFonts w:hint="eastAsia" w:asciiTheme="minorEastAsia" w:hAnsiTheme="minorEastAsia" w:eastAsiaTheme="minorEastAsia" w:cstheme="minorEastAsia"/>
          <w:color w:val="auto"/>
          <w:kern w:val="0"/>
          <w:sz w:val="24"/>
          <w:lang w:val="en-US" w:eastAsia="zh" w:bidi="ar"/>
        </w:rPr>
        <w:t>医院、病种、日期、随访日期、医生进行查询。</w:t>
      </w:r>
    </w:p>
    <w:p w14:paraId="168C6E47">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12.8.2.2</w:t>
      </w:r>
      <w:r>
        <w:rPr>
          <w:rFonts w:hint="eastAsia" w:asciiTheme="minorEastAsia" w:hAnsiTheme="minorEastAsia" w:eastAsiaTheme="minorEastAsia" w:cstheme="minorEastAsia"/>
          <w:color w:val="auto"/>
          <w:kern w:val="0"/>
          <w:sz w:val="24"/>
          <w:lang w:val="en-US" w:eastAsia="zh" w:bidi="ar"/>
        </w:rPr>
        <w:t>查询到的慢病纳入内容包括</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提示纳入数、已纳入数、未纳入数、纳入完成率</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医院名称</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提示纳入</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已纳入</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漏纳入次数</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纳入完成率。</w:t>
      </w:r>
    </w:p>
    <w:p w14:paraId="1E06D22A">
      <w:pPr>
        <w:spacing w:line="312" w:lineRule="auto"/>
        <w:ind w:firstLine="480" w:firstLineChars="200"/>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12.8.2.3</w:t>
      </w:r>
      <w:r>
        <w:rPr>
          <w:rFonts w:hint="eastAsia" w:asciiTheme="minorEastAsia" w:hAnsiTheme="minorEastAsia" w:eastAsiaTheme="minorEastAsia" w:cstheme="minorEastAsia"/>
          <w:color w:val="auto"/>
          <w:kern w:val="0"/>
          <w:sz w:val="24"/>
          <w:lang w:val="en-US" w:eastAsia="zh" w:bidi="ar"/>
        </w:rPr>
        <w:t>查询的列表支持excel表格导出。</w:t>
      </w:r>
    </w:p>
    <w:p w14:paraId="2F1AE0E2">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12.8.3</w:t>
      </w:r>
      <w:r>
        <w:rPr>
          <w:rFonts w:hint="eastAsia" w:asciiTheme="minorEastAsia" w:hAnsiTheme="minorEastAsia" w:eastAsiaTheme="minorEastAsia" w:cstheme="minorEastAsia"/>
          <w:color w:val="auto"/>
          <w:kern w:val="0"/>
          <w:sz w:val="24"/>
          <w:lang w:val="en-US" w:eastAsia="zh" w:bidi="ar"/>
        </w:rPr>
        <w:t>慢病检查</w:t>
      </w:r>
      <w:r>
        <w:rPr>
          <w:rFonts w:hint="eastAsia" w:asciiTheme="minorEastAsia" w:hAnsiTheme="minorEastAsia" w:eastAsiaTheme="minorEastAsia" w:cstheme="minorEastAsia"/>
          <w:color w:val="auto"/>
          <w:kern w:val="0"/>
          <w:sz w:val="24"/>
          <w:lang w:val="en-US" w:eastAsia="zh-CN" w:bidi="ar"/>
        </w:rPr>
        <w:t>质控</w:t>
      </w:r>
    </w:p>
    <w:p w14:paraId="35D0A917">
      <w:pPr>
        <w:keepNext w:val="0"/>
        <w:keepLines w:val="0"/>
        <w:pageBreakBefore w:val="0"/>
        <w:widowControl w:val="0"/>
        <w:kinsoku/>
        <w:wordWrap/>
        <w:overflowPunct/>
        <w:topLinePunct w:val="0"/>
        <w:autoSpaceDE/>
        <w:autoSpaceDN/>
        <w:bidi w:val="0"/>
        <w:adjustRightInd/>
        <w:snapToGrid/>
        <w:spacing w:line="390" w:lineRule="exact"/>
        <w:ind w:firstLine="480" w:firstLineChars="200"/>
        <w:textAlignment w:val="auto"/>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12.8.3.1</w:t>
      </w:r>
      <w:r>
        <w:rPr>
          <w:rFonts w:hint="eastAsia" w:asciiTheme="minorEastAsia" w:hAnsiTheme="minorEastAsia" w:eastAsiaTheme="minorEastAsia" w:cstheme="minorEastAsia"/>
          <w:color w:val="auto"/>
          <w:kern w:val="0"/>
          <w:sz w:val="24"/>
          <w:lang w:val="en-US" w:eastAsia="zh" w:bidi="ar"/>
        </w:rPr>
        <w:t>支持按照不同统计维度（按医院、按病种、按医生、按日期）、按照医院、病种、检查类别、日期进行查询。</w:t>
      </w:r>
    </w:p>
    <w:p w14:paraId="306786C8">
      <w:pPr>
        <w:keepNext w:val="0"/>
        <w:keepLines w:val="0"/>
        <w:pageBreakBefore w:val="0"/>
        <w:widowControl w:val="0"/>
        <w:kinsoku/>
        <w:wordWrap/>
        <w:overflowPunct/>
        <w:topLinePunct w:val="0"/>
        <w:autoSpaceDE/>
        <w:autoSpaceDN/>
        <w:bidi w:val="0"/>
        <w:adjustRightInd/>
        <w:snapToGrid/>
        <w:spacing w:line="390" w:lineRule="exact"/>
        <w:ind w:firstLine="480" w:firstLineChars="200"/>
        <w:textAlignment w:val="auto"/>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12.8.3.2</w:t>
      </w:r>
      <w:r>
        <w:rPr>
          <w:rFonts w:hint="eastAsia" w:asciiTheme="minorEastAsia" w:hAnsiTheme="minorEastAsia" w:eastAsiaTheme="minorEastAsia" w:cstheme="minorEastAsia"/>
          <w:color w:val="auto"/>
          <w:kern w:val="0"/>
          <w:sz w:val="24"/>
          <w:lang w:val="en-US" w:eastAsia="zh" w:bidi="ar"/>
        </w:rPr>
        <w:t>查询到的慢病检查质控内容包括</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val="en-US" w:eastAsia="zh" w:bidi="ar"/>
        </w:rPr>
        <w:t>提醒开单数、已开单数、未开单数、检查完成率。</w:t>
      </w:r>
    </w:p>
    <w:p w14:paraId="463A32E8">
      <w:pPr>
        <w:keepNext w:val="0"/>
        <w:keepLines w:val="0"/>
        <w:pageBreakBefore w:val="0"/>
        <w:widowControl w:val="0"/>
        <w:kinsoku/>
        <w:wordWrap/>
        <w:overflowPunct/>
        <w:topLinePunct w:val="0"/>
        <w:autoSpaceDE/>
        <w:autoSpaceDN/>
        <w:bidi w:val="0"/>
        <w:adjustRightInd/>
        <w:snapToGrid/>
        <w:spacing w:line="390" w:lineRule="exact"/>
        <w:ind w:firstLine="480" w:firstLineChars="200"/>
        <w:textAlignment w:val="auto"/>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color w:val="auto"/>
          <w:kern w:val="0"/>
          <w:sz w:val="24"/>
          <w:lang w:val="en-US" w:eastAsia="zh-CN" w:bidi="ar"/>
        </w:rPr>
        <w:t>12.8.3.3</w:t>
      </w:r>
      <w:r>
        <w:rPr>
          <w:rFonts w:hint="eastAsia" w:asciiTheme="minorEastAsia" w:hAnsiTheme="minorEastAsia" w:eastAsiaTheme="minorEastAsia" w:cstheme="minorEastAsia"/>
          <w:color w:val="auto"/>
          <w:kern w:val="0"/>
          <w:sz w:val="24"/>
          <w:lang w:val="en-US" w:eastAsia="zh" w:bidi="ar"/>
        </w:rPr>
        <w:t>查询的列表支持excel表格导出。</w:t>
      </w:r>
    </w:p>
    <w:p w14:paraId="419483CF">
      <w:pPr>
        <w:keepNext w:val="0"/>
        <w:keepLines w:val="0"/>
        <w:pageBreakBefore w:val="0"/>
        <w:widowControl w:val="0"/>
        <w:kinsoku/>
        <w:wordWrap/>
        <w:overflowPunct/>
        <w:topLinePunct w:val="0"/>
        <w:autoSpaceDE/>
        <w:autoSpaceDN/>
        <w:bidi w:val="0"/>
        <w:adjustRightInd/>
        <w:snapToGrid/>
        <w:spacing w:line="390" w:lineRule="exact"/>
        <w:ind w:firstLine="480" w:firstLineChars="200"/>
        <w:textAlignment w:val="auto"/>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12.8.4质控统计</w:t>
      </w:r>
    </w:p>
    <w:p w14:paraId="59C1F2B2">
      <w:pPr>
        <w:keepNext w:val="0"/>
        <w:keepLines w:val="0"/>
        <w:pageBreakBefore w:val="0"/>
        <w:widowControl w:val="0"/>
        <w:kinsoku/>
        <w:wordWrap/>
        <w:overflowPunct/>
        <w:topLinePunct w:val="0"/>
        <w:autoSpaceDE/>
        <w:autoSpaceDN/>
        <w:bidi w:val="0"/>
        <w:adjustRightInd/>
        <w:snapToGrid/>
        <w:spacing w:line="390" w:lineRule="exact"/>
        <w:ind w:firstLine="480" w:firstLineChars="200"/>
        <w:textAlignment w:val="auto"/>
        <w:rPr>
          <w:rFonts w:hint="eastAsia" w:asciiTheme="minorEastAsia" w:hAnsiTheme="minorEastAsia" w:eastAsiaTheme="minorEastAsia" w:cstheme="minorEastAsia"/>
          <w:color w:val="auto"/>
          <w:kern w:val="0"/>
          <w:sz w:val="24"/>
          <w:lang w:val="en-US" w:eastAsia="zh" w:bidi="ar"/>
        </w:rPr>
      </w:pPr>
      <w:r>
        <w:rPr>
          <w:rFonts w:hint="eastAsia" w:asciiTheme="minorEastAsia" w:hAnsiTheme="minorEastAsia" w:eastAsiaTheme="minorEastAsia" w:cstheme="minorEastAsia"/>
          <w:b w:val="0"/>
          <w:bCs w:val="0"/>
          <w:color w:val="auto"/>
          <w:kern w:val="0"/>
          <w:sz w:val="24"/>
          <w:lang w:val="en-US" w:eastAsia="zh-CN" w:bidi="ar"/>
        </w:rPr>
        <w:t>12.8.4.1</w:t>
      </w:r>
      <w:r>
        <w:rPr>
          <w:rFonts w:hint="eastAsia" w:asciiTheme="minorEastAsia" w:hAnsiTheme="minorEastAsia" w:eastAsiaTheme="minorEastAsia" w:cstheme="minorEastAsia"/>
          <w:b w:val="0"/>
          <w:bCs w:val="0"/>
          <w:color w:val="auto"/>
          <w:kern w:val="0"/>
          <w:sz w:val="24"/>
          <w:lang w:val="en-US" w:eastAsia="zh" w:bidi="ar"/>
        </w:rPr>
        <w:t>支持对近一年</w:t>
      </w:r>
      <w:r>
        <w:rPr>
          <w:rFonts w:hint="eastAsia" w:asciiTheme="minorEastAsia" w:hAnsiTheme="minorEastAsia" w:eastAsiaTheme="minorEastAsia" w:cstheme="minorEastAsia"/>
          <w:b w:val="0"/>
          <w:bCs w:val="0"/>
          <w:color w:val="auto"/>
          <w:kern w:val="0"/>
          <w:sz w:val="24"/>
          <w:lang w:val="en-US" w:eastAsia="zh-CN" w:bidi="ar"/>
        </w:rPr>
        <w:t>医共体内</w:t>
      </w:r>
      <w:r>
        <w:rPr>
          <w:rFonts w:hint="eastAsia" w:asciiTheme="minorEastAsia" w:hAnsiTheme="minorEastAsia" w:eastAsiaTheme="minorEastAsia" w:cstheme="minorEastAsia"/>
          <w:b w:val="0"/>
          <w:bCs w:val="0"/>
          <w:color w:val="auto"/>
          <w:kern w:val="0"/>
          <w:sz w:val="24"/>
          <w:lang w:val="en-US" w:eastAsia="zh" w:bidi="ar"/>
        </w:rPr>
        <w:t>慢病管理数据进行质控统</w:t>
      </w:r>
      <w:r>
        <w:rPr>
          <w:rFonts w:hint="eastAsia" w:asciiTheme="minorEastAsia" w:hAnsiTheme="minorEastAsia" w:eastAsiaTheme="minorEastAsia" w:cstheme="minorEastAsia"/>
          <w:color w:val="auto"/>
          <w:kern w:val="0"/>
          <w:sz w:val="24"/>
          <w:lang w:val="en-US" w:eastAsia="zh" w:bidi="ar"/>
        </w:rPr>
        <w:t>计。</w:t>
      </w:r>
    </w:p>
    <w:p w14:paraId="7ADEC486">
      <w:pPr>
        <w:keepNext w:val="0"/>
        <w:keepLines w:val="0"/>
        <w:pageBreakBefore w:val="0"/>
        <w:widowControl w:val="0"/>
        <w:kinsoku/>
        <w:wordWrap/>
        <w:overflowPunct/>
        <w:topLinePunct w:val="0"/>
        <w:autoSpaceDE/>
        <w:autoSpaceDN/>
        <w:bidi w:val="0"/>
        <w:adjustRightInd/>
        <w:snapToGrid/>
        <w:spacing w:line="390" w:lineRule="exact"/>
        <w:ind w:firstLine="482" w:firstLineChars="200"/>
        <w:textAlignment w:val="auto"/>
        <w:rPr>
          <w:rFonts w:hint="eastAsia" w:asciiTheme="minorEastAsia" w:hAnsiTheme="minorEastAsia" w:eastAsiaTheme="minorEastAsia" w:cstheme="minorEastAsia"/>
          <w:b w:val="0"/>
          <w:bCs w:val="0"/>
          <w:color w:val="auto"/>
          <w:kern w:val="0"/>
          <w:sz w:val="24"/>
          <w:lang w:val="en-US" w:eastAsia="zh" w:bidi="ar"/>
        </w:rPr>
      </w:pPr>
      <w:r>
        <w:rPr>
          <w:rFonts w:hint="eastAsia" w:asciiTheme="minorEastAsia" w:hAnsiTheme="minorEastAsia" w:eastAsiaTheme="minorEastAsia" w:cstheme="minorEastAsia"/>
          <w:b/>
          <w:bCs/>
          <w:color w:val="auto"/>
          <w:kern w:val="0"/>
          <w:sz w:val="24"/>
          <w:lang w:val="en-US" w:eastAsia="zh-CN" w:bidi="ar"/>
        </w:rPr>
        <w:t>▲</w:t>
      </w:r>
      <w:r>
        <w:rPr>
          <w:rFonts w:hint="eastAsia" w:asciiTheme="minorEastAsia" w:hAnsiTheme="minorEastAsia" w:eastAsiaTheme="minorEastAsia" w:cstheme="minorEastAsia"/>
          <w:b w:val="0"/>
          <w:bCs w:val="0"/>
          <w:color w:val="auto"/>
          <w:kern w:val="0"/>
          <w:sz w:val="24"/>
          <w:lang w:val="en-US" w:eastAsia="zh-CN" w:bidi="ar"/>
        </w:rPr>
        <w:t>12.8.4.2</w:t>
      </w:r>
      <w:r>
        <w:rPr>
          <w:rFonts w:hint="eastAsia" w:asciiTheme="minorEastAsia" w:hAnsiTheme="minorEastAsia" w:eastAsiaTheme="minorEastAsia" w:cstheme="minorEastAsia"/>
          <w:b w:val="0"/>
          <w:bCs w:val="0"/>
          <w:color w:val="auto"/>
          <w:kern w:val="0"/>
          <w:sz w:val="24"/>
          <w:lang w:val="en-US" w:eastAsia="zh" w:bidi="ar"/>
        </w:rPr>
        <w:t>支持对</w:t>
      </w:r>
      <w:r>
        <w:rPr>
          <w:rFonts w:hint="eastAsia" w:asciiTheme="minorEastAsia" w:hAnsiTheme="minorEastAsia" w:eastAsiaTheme="minorEastAsia" w:cstheme="minorEastAsia"/>
          <w:b w:val="0"/>
          <w:bCs w:val="0"/>
          <w:color w:val="auto"/>
          <w:kern w:val="0"/>
          <w:sz w:val="24"/>
          <w:lang w:val="en-US" w:eastAsia="zh-CN" w:bidi="ar"/>
        </w:rPr>
        <w:t>医共体内</w:t>
      </w:r>
      <w:r>
        <w:rPr>
          <w:rFonts w:hint="eastAsia" w:asciiTheme="minorEastAsia" w:hAnsiTheme="minorEastAsia" w:eastAsiaTheme="minorEastAsia" w:cstheme="minorEastAsia"/>
          <w:b w:val="0"/>
          <w:bCs w:val="0"/>
          <w:color w:val="auto"/>
          <w:kern w:val="0"/>
          <w:sz w:val="24"/>
          <w:lang w:val="en-US" w:eastAsia="zh" w:bidi="ar"/>
        </w:rPr>
        <w:t>关键指标进行质控统计，并可查看可视化统计视图，可以直观</w:t>
      </w:r>
      <w:r>
        <w:rPr>
          <w:rFonts w:hint="eastAsia" w:asciiTheme="minorEastAsia" w:hAnsiTheme="minorEastAsia" w:eastAsiaTheme="minorEastAsia" w:cstheme="minorEastAsia"/>
          <w:b w:val="0"/>
          <w:bCs w:val="0"/>
          <w:color w:val="auto"/>
          <w:kern w:val="0"/>
          <w:sz w:val="24"/>
          <w:lang w:val="en-US" w:eastAsia="zh-CN" w:bidi="ar"/>
        </w:rPr>
        <w:t>地</w:t>
      </w:r>
      <w:r>
        <w:rPr>
          <w:rFonts w:hint="eastAsia" w:asciiTheme="minorEastAsia" w:hAnsiTheme="minorEastAsia" w:eastAsiaTheme="minorEastAsia" w:cstheme="minorEastAsia"/>
          <w:b w:val="0"/>
          <w:bCs w:val="0"/>
          <w:color w:val="auto"/>
          <w:kern w:val="0"/>
          <w:sz w:val="24"/>
          <w:lang w:val="en-US" w:eastAsia="zh" w:bidi="ar"/>
        </w:rPr>
        <w:t>看出慢病管理工作的成果。</w:t>
      </w:r>
    </w:p>
    <w:p w14:paraId="0027E4D1">
      <w:pPr>
        <w:keepNext w:val="0"/>
        <w:keepLines w:val="0"/>
        <w:pageBreakBefore w:val="0"/>
        <w:widowControl w:val="0"/>
        <w:kinsoku/>
        <w:wordWrap/>
        <w:overflowPunct/>
        <w:topLinePunct w:val="0"/>
        <w:autoSpaceDE/>
        <w:autoSpaceDN/>
        <w:bidi w:val="0"/>
        <w:adjustRightInd/>
        <w:snapToGrid/>
        <w:spacing w:line="390" w:lineRule="exact"/>
        <w:ind w:firstLine="482" w:firstLineChars="200"/>
        <w:textAlignment w:val="auto"/>
        <w:rPr>
          <w:rFonts w:hint="eastAsia" w:asciiTheme="minorEastAsia" w:hAnsiTheme="minorEastAsia" w:eastAsiaTheme="minorEastAsia" w:cstheme="minorEastAsia"/>
          <w:b/>
          <w:bCs/>
          <w:color w:val="auto"/>
          <w:kern w:val="0"/>
          <w:sz w:val="24"/>
          <w:lang w:val="en-US" w:eastAsia="zh-CN" w:bidi="ar"/>
        </w:rPr>
      </w:pPr>
      <w:bookmarkStart w:id="346" w:name="_Toc5274"/>
      <w:r>
        <w:rPr>
          <w:rFonts w:hint="eastAsia" w:asciiTheme="minorEastAsia" w:hAnsiTheme="minorEastAsia" w:eastAsiaTheme="minorEastAsia" w:cstheme="minorEastAsia"/>
          <w:b/>
          <w:bCs/>
          <w:color w:val="auto"/>
          <w:kern w:val="0"/>
          <w:sz w:val="24"/>
          <w:lang w:val="en-US" w:eastAsia="zh-CN" w:bidi="ar"/>
        </w:rPr>
        <w:t>13.药品、耗材追溯码管理系统</w:t>
      </w:r>
      <w:bookmarkEnd w:id="346"/>
    </w:p>
    <w:p w14:paraId="56C1B70A">
      <w:pPr>
        <w:keepNext w:val="0"/>
        <w:keepLines w:val="0"/>
        <w:pageBreakBefore w:val="0"/>
        <w:widowControl w:val="0"/>
        <w:kinsoku/>
        <w:wordWrap/>
        <w:overflowPunct/>
        <w:topLinePunct w:val="0"/>
        <w:autoSpaceDE/>
        <w:autoSpaceDN/>
        <w:bidi w:val="0"/>
        <w:adjustRightInd/>
        <w:snapToGrid/>
        <w:spacing w:line="390" w:lineRule="exact"/>
        <w:ind w:firstLine="482" w:firstLineChars="200"/>
        <w:textAlignment w:val="auto"/>
        <w:rPr>
          <w:rFonts w:hint="eastAsia" w:asciiTheme="minorEastAsia" w:hAnsiTheme="minorEastAsia" w:eastAsiaTheme="minorEastAsia" w:cstheme="minorEastAsia"/>
          <w:b/>
          <w:bCs/>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13.1销售查询</w:t>
      </w:r>
    </w:p>
    <w:p w14:paraId="6F2FB664">
      <w:pPr>
        <w:keepNext w:val="0"/>
        <w:keepLines w:val="0"/>
        <w:pageBreakBefore w:val="0"/>
        <w:widowControl w:val="0"/>
        <w:kinsoku/>
        <w:wordWrap/>
        <w:overflowPunct/>
        <w:topLinePunct w:val="0"/>
        <w:autoSpaceDE/>
        <w:autoSpaceDN/>
        <w:bidi w:val="0"/>
        <w:adjustRightInd/>
        <w:snapToGrid/>
        <w:spacing w:line="390" w:lineRule="exact"/>
        <w:ind w:firstLine="480" w:firstLineChars="200"/>
        <w:textAlignment w:val="auto"/>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13.1.1应支持根据“结算时间”“上传状态”“就诊流水号”“医保结算id”等条件查询药品销售记录；</w:t>
      </w:r>
    </w:p>
    <w:p w14:paraId="6FB3B9C5">
      <w:pPr>
        <w:keepNext w:val="0"/>
        <w:keepLines w:val="0"/>
        <w:pageBreakBefore w:val="0"/>
        <w:widowControl w:val="0"/>
        <w:kinsoku/>
        <w:wordWrap/>
        <w:overflowPunct/>
        <w:topLinePunct w:val="0"/>
        <w:autoSpaceDE/>
        <w:autoSpaceDN/>
        <w:bidi w:val="0"/>
        <w:adjustRightInd/>
        <w:snapToGrid/>
        <w:spacing w:line="390" w:lineRule="exact"/>
        <w:ind w:firstLine="480" w:firstLineChars="200"/>
        <w:textAlignment w:val="auto"/>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13.1.2应支持查看当前销售记录的追溯码信息</w:t>
      </w:r>
    </w:p>
    <w:p w14:paraId="650FE232">
      <w:pPr>
        <w:keepNext w:val="0"/>
        <w:keepLines w:val="0"/>
        <w:pageBreakBefore w:val="0"/>
        <w:widowControl w:val="0"/>
        <w:kinsoku/>
        <w:wordWrap/>
        <w:overflowPunct/>
        <w:topLinePunct w:val="0"/>
        <w:autoSpaceDE/>
        <w:autoSpaceDN/>
        <w:bidi w:val="0"/>
        <w:adjustRightInd/>
        <w:snapToGrid/>
        <w:spacing w:line="390" w:lineRule="exact"/>
        <w:ind w:firstLine="480" w:firstLineChars="200"/>
        <w:textAlignment w:val="auto"/>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13.1.3应支持查看上传日志详情</w:t>
      </w:r>
    </w:p>
    <w:p w14:paraId="669A1FA2">
      <w:pPr>
        <w:keepNext w:val="0"/>
        <w:keepLines w:val="0"/>
        <w:pageBreakBefore w:val="0"/>
        <w:widowControl w:val="0"/>
        <w:kinsoku/>
        <w:wordWrap/>
        <w:overflowPunct/>
        <w:topLinePunct w:val="0"/>
        <w:autoSpaceDE/>
        <w:autoSpaceDN/>
        <w:bidi w:val="0"/>
        <w:adjustRightInd/>
        <w:snapToGrid/>
        <w:spacing w:line="390" w:lineRule="exact"/>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heme="minorEastAsia" w:hAnsiTheme="minorEastAsia" w:eastAsiaTheme="minorEastAsia" w:cstheme="minorEastAsia"/>
          <w:color w:val="auto"/>
          <w:kern w:val="0"/>
          <w:sz w:val="24"/>
          <w:lang w:val="en-US" w:eastAsia="zh-CN" w:bidi="ar"/>
        </w:rPr>
        <w:t>13.1.4应支持对数据进行重新上传</w:t>
      </w:r>
    </w:p>
    <w:p w14:paraId="4342FAA2">
      <w:pPr>
        <w:keepNext w:val="0"/>
        <w:keepLines w:val="0"/>
        <w:pageBreakBefore w:val="0"/>
        <w:widowControl w:val="0"/>
        <w:kinsoku/>
        <w:wordWrap/>
        <w:overflowPunct/>
        <w:topLinePunct w:val="0"/>
        <w:autoSpaceDE/>
        <w:autoSpaceDN/>
        <w:bidi w:val="0"/>
        <w:adjustRightInd/>
        <w:snapToGrid/>
        <w:spacing w:line="390" w:lineRule="exact"/>
        <w:ind w:firstLine="482" w:firstLineChars="200"/>
        <w:textAlignment w:val="auto"/>
        <w:rPr>
          <w:rFonts w:hint="eastAsia" w:asciiTheme="minorEastAsia" w:hAnsiTheme="minorEastAsia" w:eastAsiaTheme="minorEastAsia" w:cstheme="minorEastAsia"/>
          <w:b/>
          <w:bCs/>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13.2盘存查询</w:t>
      </w:r>
    </w:p>
    <w:p w14:paraId="05072294">
      <w:pPr>
        <w:keepNext w:val="0"/>
        <w:keepLines w:val="0"/>
        <w:pageBreakBefore w:val="0"/>
        <w:widowControl w:val="0"/>
        <w:kinsoku/>
        <w:wordWrap/>
        <w:overflowPunct/>
        <w:topLinePunct w:val="0"/>
        <w:autoSpaceDE/>
        <w:autoSpaceDN/>
        <w:bidi w:val="0"/>
        <w:adjustRightInd/>
        <w:snapToGrid/>
        <w:spacing w:line="390" w:lineRule="exact"/>
        <w:ind w:firstLine="480" w:firstLineChars="200"/>
        <w:textAlignment w:val="auto"/>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13.2.1应支持根据“盘点时间段”“上传状态”“药品名称”“国家医保编码”等条件查询药品盘点记录；</w:t>
      </w:r>
    </w:p>
    <w:p w14:paraId="090B7643">
      <w:pPr>
        <w:keepNext w:val="0"/>
        <w:keepLines w:val="0"/>
        <w:pageBreakBefore w:val="0"/>
        <w:widowControl w:val="0"/>
        <w:kinsoku/>
        <w:wordWrap/>
        <w:overflowPunct/>
        <w:topLinePunct w:val="0"/>
        <w:autoSpaceDE/>
        <w:autoSpaceDN/>
        <w:bidi w:val="0"/>
        <w:adjustRightInd/>
        <w:snapToGrid/>
        <w:spacing w:line="390" w:lineRule="exact"/>
        <w:ind w:firstLine="480" w:firstLineChars="200"/>
        <w:textAlignment w:val="auto"/>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13.2.2应支持查看当前盘点记录的追溯码信息</w:t>
      </w:r>
    </w:p>
    <w:p w14:paraId="53D4AA57">
      <w:pPr>
        <w:keepNext w:val="0"/>
        <w:keepLines w:val="0"/>
        <w:pageBreakBefore w:val="0"/>
        <w:widowControl w:val="0"/>
        <w:kinsoku/>
        <w:wordWrap/>
        <w:overflowPunct/>
        <w:topLinePunct w:val="0"/>
        <w:autoSpaceDE/>
        <w:autoSpaceDN/>
        <w:bidi w:val="0"/>
        <w:adjustRightInd/>
        <w:snapToGrid/>
        <w:spacing w:line="390" w:lineRule="exact"/>
        <w:ind w:firstLine="480" w:firstLineChars="200"/>
        <w:textAlignment w:val="auto"/>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13.2.3应支持查看上传日志详情</w:t>
      </w:r>
    </w:p>
    <w:p w14:paraId="1EC977AD">
      <w:pPr>
        <w:keepNext w:val="0"/>
        <w:keepLines w:val="0"/>
        <w:pageBreakBefore w:val="0"/>
        <w:widowControl w:val="0"/>
        <w:kinsoku/>
        <w:wordWrap/>
        <w:overflowPunct/>
        <w:topLinePunct w:val="0"/>
        <w:autoSpaceDE/>
        <w:autoSpaceDN/>
        <w:bidi w:val="0"/>
        <w:adjustRightInd/>
        <w:snapToGrid/>
        <w:spacing w:line="390" w:lineRule="exact"/>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heme="minorEastAsia" w:hAnsiTheme="minorEastAsia" w:eastAsiaTheme="minorEastAsia" w:cstheme="minorEastAsia"/>
          <w:color w:val="auto"/>
          <w:kern w:val="0"/>
          <w:sz w:val="24"/>
          <w:lang w:val="en-US" w:eastAsia="zh-CN" w:bidi="ar"/>
        </w:rPr>
        <w:t>13.2.4应支持对数据进行</w:t>
      </w:r>
      <w:r>
        <w:rPr>
          <w:rFonts w:hint="eastAsia" w:ascii="Times New Roman" w:hAnsi="Times New Roman" w:eastAsia="宋体" w:cs="Times New Roman"/>
          <w:color w:val="auto"/>
          <w:sz w:val="24"/>
          <w:szCs w:val="24"/>
          <w:lang w:val="en-US" w:eastAsia="zh-CN"/>
        </w:rPr>
        <w:t>重新上传</w:t>
      </w:r>
    </w:p>
    <w:p w14:paraId="76478E72">
      <w:pPr>
        <w:keepNext w:val="0"/>
        <w:keepLines w:val="0"/>
        <w:pageBreakBefore w:val="0"/>
        <w:widowControl w:val="0"/>
        <w:kinsoku/>
        <w:wordWrap/>
        <w:overflowPunct/>
        <w:topLinePunct w:val="0"/>
        <w:autoSpaceDE/>
        <w:autoSpaceDN/>
        <w:bidi w:val="0"/>
        <w:adjustRightInd/>
        <w:snapToGrid/>
        <w:spacing w:line="390" w:lineRule="exact"/>
        <w:ind w:firstLine="482" w:firstLineChars="200"/>
        <w:textAlignment w:val="auto"/>
        <w:rPr>
          <w:rFonts w:hint="eastAsia" w:asciiTheme="minorEastAsia" w:hAnsiTheme="minorEastAsia" w:eastAsiaTheme="minorEastAsia" w:cstheme="minorEastAsia"/>
          <w:b/>
          <w:bCs/>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13.3采购查询</w:t>
      </w:r>
    </w:p>
    <w:p w14:paraId="34660193">
      <w:pPr>
        <w:keepNext w:val="0"/>
        <w:keepLines w:val="0"/>
        <w:pageBreakBefore w:val="0"/>
        <w:widowControl w:val="0"/>
        <w:kinsoku/>
        <w:wordWrap/>
        <w:overflowPunct/>
        <w:topLinePunct w:val="0"/>
        <w:autoSpaceDE/>
        <w:autoSpaceDN/>
        <w:bidi w:val="0"/>
        <w:adjustRightInd/>
        <w:snapToGrid/>
        <w:spacing w:line="390" w:lineRule="exact"/>
        <w:ind w:firstLine="480" w:firstLineChars="200"/>
        <w:textAlignment w:val="auto"/>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13.3.1界面应支持根据“采购入库记账时间段”“上传状态”“药品名称”“国家医保编码”等条件查询药品采购记录</w:t>
      </w:r>
    </w:p>
    <w:p w14:paraId="4FC53110">
      <w:pPr>
        <w:keepNext w:val="0"/>
        <w:keepLines w:val="0"/>
        <w:pageBreakBefore w:val="0"/>
        <w:widowControl w:val="0"/>
        <w:kinsoku/>
        <w:wordWrap/>
        <w:overflowPunct/>
        <w:topLinePunct w:val="0"/>
        <w:autoSpaceDE/>
        <w:autoSpaceDN/>
        <w:bidi w:val="0"/>
        <w:adjustRightInd/>
        <w:snapToGrid/>
        <w:spacing w:line="390" w:lineRule="exact"/>
        <w:ind w:firstLine="480" w:firstLineChars="200"/>
        <w:textAlignment w:val="auto"/>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13.3.2应支持查看上传日志详情</w:t>
      </w:r>
    </w:p>
    <w:p w14:paraId="33C9346D">
      <w:pPr>
        <w:keepNext w:val="0"/>
        <w:keepLines w:val="0"/>
        <w:pageBreakBefore w:val="0"/>
        <w:widowControl w:val="0"/>
        <w:kinsoku/>
        <w:wordWrap/>
        <w:overflowPunct/>
        <w:topLinePunct w:val="0"/>
        <w:autoSpaceDE/>
        <w:autoSpaceDN/>
        <w:bidi w:val="0"/>
        <w:adjustRightInd/>
        <w:snapToGrid/>
        <w:spacing w:line="390" w:lineRule="exact"/>
        <w:ind w:firstLine="480" w:firstLineChars="200"/>
        <w:textAlignment w:val="auto"/>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13.3.3应支持对数据进行重新上传</w:t>
      </w:r>
    </w:p>
    <w:p w14:paraId="7B93530F">
      <w:pPr>
        <w:keepNext w:val="0"/>
        <w:keepLines w:val="0"/>
        <w:pageBreakBefore w:val="0"/>
        <w:widowControl w:val="0"/>
        <w:kinsoku/>
        <w:wordWrap/>
        <w:overflowPunct/>
        <w:topLinePunct w:val="0"/>
        <w:autoSpaceDE/>
        <w:autoSpaceDN/>
        <w:bidi w:val="0"/>
        <w:adjustRightInd/>
        <w:snapToGrid/>
        <w:spacing w:line="390" w:lineRule="exact"/>
        <w:ind w:firstLine="482" w:firstLineChars="200"/>
        <w:textAlignment w:val="auto"/>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13.4追溯码上传：</w:t>
      </w:r>
      <w:r>
        <w:rPr>
          <w:rFonts w:hint="eastAsia" w:asciiTheme="minorEastAsia" w:hAnsiTheme="minorEastAsia" w:eastAsiaTheme="minorEastAsia" w:cstheme="minorEastAsia"/>
          <w:color w:val="auto"/>
          <w:kern w:val="0"/>
          <w:sz w:val="24"/>
          <w:lang w:val="en-US" w:eastAsia="zh-CN" w:bidi="ar"/>
        </w:rPr>
        <w:t>应支持按照医保要求对3501盘存信息，3503采购信息，3504退货信息，3505销售信息，3506销售退货信息进行上传</w:t>
      </w:r>
    </w:p>
    <w:p w14:paraId="7338AF3D">
      <w:pPr>
        <w:keepNext w:val="0"/>
        <w:keepLines w:val="0"/>
        <w:pageBreakBefore w:val="0"/>
        <w:widowControl w:val="0"/>
        <w:kinsoku/>
        <w:wordWrap/>
        <w:overflowPunct/>
        <w:topLinePunct w:val="0"/>
        <w:autoSpaceDE/>
        <w:autoSpaceDN/>
        <w:bidi w:val="0"/>
        <w:adjustRightInd/>
        <w:snapToGrid/>
        <w:spacing w:line="390" w:lineRule="exact"/>
        <w:ind w:firstLine="482" w:firstLineChars="200"/>
        <w:textAlignment w:val="auto"/>
        <w:rPr>
          <w:rFonts w:hint="eastAsia" w:asciiTheme="minorEastAsia" w:hAnsiTheme="minorEastAsia" w:eastAsiaTheme="minorEastAsia" w:cstheme="minorEastAsia"/>
          <w:b/>
          <w:bCs/>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13.5上传设置</w:t>
      </w:r>
    </w:p>
    <w:p w14:paraId="7F4AF726">
      <w:pPr>
        <w:keepNext w:val="0"/>
        <w:keepLines w:val="0"/>
        <w:pageBreakBefore w:val="0"/>
        <w:widowControl w:val="0"/>
        <w:kinsoku/>
        <w:wordWrap/>
        <w:overflowPunct/>
        <w:topLinePunct w:val="0"/>
        <w:autoSpaceDE/>
        <w:autoSpaceDN/>
        <w:bidi w:val="0"/>
        <w:adjustRightInd/>
        <w:snapToGrid/>
        <w:spacing w:line="390" w:lineRule="exact"/>
        <w:ind w:firstLine="480" w:firstLineChars="200"/>
        <w:textAlignment w:val="auto"/>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13.5.1应支持设置上传场景</w:t>
      </w:r>
    </w:p>
    <w:p w14:paraId="3DB5A538">
      <w:pPr>
        <w:keepNext w:val="0"/>
        <w:keepLines w:val="0"/>
        <w:pageBreakBefore w:val="0"/>
        <w:widowControl w:val="0"/>
        <w:kinsoku/>
        <w:wordWrap/>
        <w:overflowPunct/>
        <w:topLinePunct w:val="0"/>
        <w:autoSpaceDE/>
        <w:autoSpaceDN/>
        <w:bidi w:val="0"/>
        <w:adjustRightInd/>
        <w:snapToGrid/>
        <w:spacing w:line="390" w:lineRule="exact"/>
        <w:ind w:firstLine="480" w:firstLineChars="200"/>
        <w:textAlignment w:val="auto"/>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13.5.2应支持设置定时上传时间</w:t>
      </w:r>
    </w:p>
    <w:p w14:paraId="12F8C507">
      <w:pPr>
        <w:keepNext w:val="0"/>
        <w:keepLines w:val="0"/>
        <w:pageBreakBefore w:val="0"/>
        <w:widowControl w:val="0"/>
        <w:kinsoku/>
        <w:wordWrap/>
        <w:overflowPunct/>
        <w:topLinePunct w:val="0"/>
        <w:autoSpaceDE/>
        <w:autoSpaceDN/>
        <w:bidi w:val="0"/>
        <w:adjustRightInd/>
        <w:snapToGrid/>
        <w:spacing w:line="390" w:lineRule="exact"/>
        <w:ind w:firstLine="480" w:firstLineChars="200"/>
        <w:textAlignment w:val="auto"/>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13.5.3应支持立即调用接口补传数据</w:t>
      </w:r>
    </w:p>
    <w:p w14:paraId="1D1E4899">
      <w:pPr>
        <w:keepNext w:val="0"/>
        <w:keepLines w:val="0"/>
        <w:pageBreakBefore w:val="0"/>
        <w:widowControl w:val="0"/>
        <w:numPr>
          <w:ilvl w:val="0"/>
          <w:numId w:val="0"/>
        </w:numPr>
        <w:kinsoku/>
        <w:wordWrap/>
        <w:overflowPunct/>
        <w:topLinePunct w:val="0"/>
        <w:autoSpaceDE/>
        <w:autoSpaceDN/>
        <w:bidi w:val="0"/>
        <w:adjustRightInd/>
        <w:snapToGrid/>
        <w:spacing w:line="390" w:lineRule="exact"/>
        <w:ind w:firstLine="482" w:firstLineChars="200"/>
        <w:textAlignment w:val="auto"/>
        <w:rPr>
          <w:rFonts w:hint="eastAsia"/>
          <w:color w:val="auto"/>
          <w:lang w:val="en-US" w:eastAsia="zh-CN"/>
        </w:rPr>
      </w:pPr>
      <w:r>
        <w:rPr>
          <w:rFonts w:hint="eastAsia" w:asciiTheme="minorEastAsia" w:hAnsiTheme="minorEastAsia" w:eastAsiaTheme="minorEastAsia" w:cstheme="minorEastAsia"/>
          <w:b/>
          <w:bCs/>
          <w:color w:val="auto"/>
          <w:kern w:val="0"/>
          <w:sz w:val="24"/>
          <w:lang w:val="en-US" w:eastAsia="zh-CN" w:bidi="ar"/>
        </w:rPr>
        <w:t>14.对接：</w:t>
      </w:r>
      <w:r>
        <w:rPr>
          <w:rFonts w:hint="eastAsia" w:asciiTheme="minorEastAsia" w:hAnsiTheme="minorEastAsia" w:eastAsiaTheme="minorEastAsia" w:cstheme="minorEastAsia"/>
          <w:color w:val="auto"/>
          <w:kern w:val="0"/>
          <w:sz w:val="24"/>
          <w:lang w:val="en-US" w:eastAsia="zh-CN" w:bidi="ar"/>
        </w:rPr>
        <w:t>应支持与基层智能辅助诊疗系统对接；</w:t>
      </w:r>
    </w:p>
    <w:p w14:paraId="789A03A7">
      <w:pPr>
        <w:pStyle w:val="110"/>
        <w:spacing w:line="360" w:lineRule="auto"/>
        <w:rPr>
          <w:rFonts w:hint="eastAsia"/>
          <w:color w:val="auto"/>
          <w:sz w:val="28"/>
          <w:szCs w:val="32"/>
          <w:lang w:val="en-US" w:eastAsia="zh-CN"/>
        </w:rPr>
      </w:pPr>
    </w:p>
    <w:p w14:paraId="0E89BAC9">
      <w:pPr>
        <w:pStyle w:val="4"/>
        <w:spacing w:line="315" w:lineRule="auto"/>
        <w:jc w:val="center"/>
        <w:rPr>
          <w:rFonts w:hint="eastAsia" w:eastAsia="宋体" w:cs="Times New Roman"/>
          <w:color w:val="auto"/>
          <w:sz w:val="32"/>
          <w:szCs w:val="40"/>
          <w:lang w:val="en-US" w:eastAsia="zh-CN"/>
        </w:rPr>
      </w:pPr>
      <w:bookmarkStart w:id="347" w:name="_Toc3623"/>
      <w:r>
        <w:rPr>
          <w:rFonts w:hint="eastAsia" w:eastAsia="宋体" w:cs="Times New Roman"/>
          <w:color w:val="auto"/>
          <w:sz w:val="32"/>
          <w:szCs w:val="40"/>
          <w:lang w:val="en-US" w:eastAsia="zh-CN"/>
        </w:rPr>
        <w:t>第三节 商务要求</w:t>
      </w:r>
      <w:bookmarkEnd w:id="347"/>
    </w:p>
    <w:p w14:paraId="78E6A207">
      <w:pPr>
        <w:spacing w:line="312" w:lineRule="auto"/>
        <w:ind w:firstLine="241" w:firstLineChars="100"/>
        <w:jc w:val="left"/>
        <w:rPr>
          <w:rFonts w:hint="eastAsia" w:asciiTheme="minorEastAsia" w:hAnsiTheme="minorEastAsia" w:eastAsiaTheme="minorEastAsia" w:cstheme="minorEastAsia"/>
          <w:b/>
          <w:bCs/>
          <w:color w:val="auto"/>
          <w:kern w:val="0"/>
          <w:sz w:val="24"/>
          <w:lang w:bidi="ar"/>
        </w:rPr>
      </w:pPr>
      <w:r>
        <w:rPr>
          <w:rFonts w:hint="eastAsia" w:asciiTheme="minorEastAsia" w:hAnsiTheme="minorEastAsia" w:eastAsiaTheme="minorEastAsia" w:cstheme="minorEastAsia"/>
          <w:b/>
          <w:bCs/>
          <w:color w:val="auto"/>
          <w:kern w:val="0"/>
          <w:sz w:val="24"/>
          <w:lang w:val="en-US" w:eastAsia="zh-CN" w:bidi="ar"/>
        </w:rPr>
        <w:t>一、</w:t>
      </w:r>
      <w:r>
        <w:rPr>
          <w:rFonts w:hint="eastAsia" w:asciiTheme="minorEastAsia" w:hAnsiTheme="minorEastAsia" w:eastAsiaTheme="minorEastAsia" w:cstheme="minorEastAsia"/>
          <w:b/>
          <w:bCs/>
          <w:color w:val="auto"/>
          <w:kern w:val="0"/>
          <w:sz w:val="24"/>
          <w:lang w:bidi="ar"/>
        </w:rPr>
        <w:t>总体要求</w:t>
      </w:r>
    </w:p>
    <w:p w14:paraId="7F5C82EB">
      <w:pPr>
        <w:spacing w:line="312" w:lineRule="auto"/>
        <w:ind w:firstLine="480" w:firstLineChars="200"/>
        <w:rPr>
          <w:rFonts w:hint="eastAsia" w:asciiTheme="minorEastAsia" w:hAnsiTheme="minorEastAsia" w:eastAsiaTheme="minorEastAsia" w:cstheme="minorEastAsia"/>
          <w:color w:val="auto"/>
          <w:kern w:val="0"/>
          <w:sz w:val="24"/>
          <w:lang w:bidi="ar"/>
        </w:rPr>
      </w:pPr>
      <w:r>
        <w:rPr>
          <w:rFonts w:hint="eastAsia" w:asciiTheme="minorEastAsia" w:hAnsiTheme="minorEastAsia" w:eastAsiaTheme="minorEastAsia" w:cstheme="minorEastAsia"/>
          <w:color w:val="auto"/>
          <w:kern w:val="0"/>
          <w:sz w:val="24"/>
          <w:lang w:val="en-US" w:eastAsia="zh-CN" w:bidi="ar"/>
        </w:rPr>
        <w:t>1.</w:t>
      </w:r>
      <w:r>
        <w:rPr>
          <w:rFonts w:hint="eastAsia" w:asciiTheme="minorEastAsia" w:hAnsiTheme="minorEastAsia" w:eastAsiaTheme="minorEastAsia" w:cstheme="minorEastAsia"/>
          <w:color w:val="auto"/>
          <w:kern w:val="0"/>
          <w:sz w:val="24"/>
          <w:lang w:bidi="ar"/>
        </w:rPr>
        <w:t>本项目为交钥匙总承包方式，包含货物采购、软件授权、系统开发、定制改造、安装部署、调试集成、数据对接、培训、验收、质保、售后运维、配套辅材、运输装卸、二次搬运、安全文明施工、税费等全部费用，采购人无需额外支付任何费用。</w:t>
      </w:r>
    </w:p>
    <w:p w14:paraId="38804130">
      <w:pPr>
        <w:spacing w:line="312" w:lineRule="auto"/>
        <w:ind w:firstLine="480" w:firstLineChars="200"/>
        <w:rPr>
          <w:rFonts w:hint="eastAsia" w:asciiTheme="minorEastAsia" w:hAnsiTheme="minorEastAsia" w:eastAsiaTheme="minorEastAsia" w:cstheme="minorEastAsia"/>
          <w:color w:val="auto"/>
          <w:kern w:val="0"/>
          <w:sz w:val="24"/>
          <w:lang w:bidi="ar"/>
        </w:rPr>
      </w:pPr>
      <w:r>
        <w:rPr>
          <w:rFonts w:hint="eastAsia" w:asciiTheme="minorEastAsia" w:hAnsiTheme="minorEastAsia" w:eastAsiaTheme="minorEastAsia" w:cstheme="minorEastAsia"/>
          <w:color w:val="auto"/>
          <w:kern w:val="0"/>
          <w:sz w:val="24"/>
          <w:lang w:val="en-US" w:eastAsia="zh-CN" w:bidi="ar"/>
        </w:rPr>
        <w:t>2.</w:t>
      </w:r>
      <w:r>
        <w:rPr>
          <w:rFonts w:hint="eastAsia" w:asciiTheme="minorEastAsia" w:hAnsiTheme="minorEastAsia" w:eastAsiaTheme="minorEastAsia" w:cstheme="minorEastAsia"/>
          <w:color w:val="auto"/>
          <w:kern w:val="0"/>
          <w:sz w:val="24"/>
          <w:lang w:bidi="ar"/>
        </w:rPr>
        <w:t>供应商须充分踏勘现场、了解医院现有信息化现状、软硬件环境、接口标准、院内网络架构，自行评估对接改造风险，中标后不得以现场情况不明、需求理解偏差为由提出加价、延期或变更。</w:t>
      </w:r>
    </w:p>
    <w:p w14:paraId="012C8DF9">
      <w:pPr>
        <w:spacing w:line="312" w:lineRule="auto"/>
        <w:ind w:firstLine="480" w:firstLineChars="200"/>
        <w:rPr>
          <w:rFonts w:hint="eastAsia" w:ascii="宋体" w:hAnsi="宋体" w:eastAsia="宋体" w:cs="宋体"/>
          <w:b w:val="0"/>
          <w:color w:val="auto"/>
          <w:sz w:val="24"/>
          <w:szCs w:val="24"/>
        </w:rPr>
      </w:pPr>
      <w:r>
        <w:rPr>
          <w:rFonts w:hint="eastAsia" w:asciiTheme="minorEastAsia" w:hAnsiTheme="minorEastAsia" w:eastAsiaTheme="minorEastAsia" w:cstheme="minorEastAsia"/>
          <w:color w:val="auto"/>
          <w:kern w:val="0"/>
          <w:sz w:val="24"/>
          <w:lang w:val="en-US" w:eastAsia="zh-CN" w:bidi="ar"/>
        </w:rPr>
        <w:t>3.</w:t>
      </w:r>
      <w:r>
        <w:rPr>
          <w:rFonts w:hint="eastAsia" w:asciiTheme="minorEastAsia" w:hAnsiTheme="minorEastAsia" w:eastAsiaTheme="minorEastAsia" w:cstheme="minorEastAsia"/>
          <w:color w:val="auto"/>
          <w:kern w:val="0"/>
          <w:sz w:val="24"/>
          <w:lang w:bidi="ar"/>
        </w:rPr>
        <w:t>所有产品、服务须符合国家现行标准、医疗卫生行业规范、网络安全等级保护、</w:t>
      </w:r>
      <w:r>
        <w:rPr>
          <w:rFonts w:hint="eastAsia" w:asciiTheme="minorEastAsia" w:hAnsiTheme="minorEastAsia" w:eastAsiaTheme="minorEastAsia" w:cstheme="minorEastAsia"/>
          <w:color w:val="auto"/>
          <w:kern w:val="0"/>
          <w:sz w:val="24"/>
          <w:lang w:val="en-US" w:eastAsia="zh-CN" w:bidi="ar"/>
        </w:rPr>
        <w:t>商用密码应用</w:t>
      </w:r>
      <w:r>
        <w:rPr>
          <w:rFonts w:hint="eastAsia" w:asciiTheme="minorEastAsia" w:hAnsiTheme="minorEastAsia" w:eastAsiaTheme="minorEastAsia" w:cstheme="minorEastAsia"/>
          <w:color w:val="auto"/>
          <w:kern w:val="0"/>
          <w:sz w:val="24"/>
          <w:lang w:bidi="ar"/>
        </w:rPr>
        <w:t>数据安全、个人信息保护</w:t>
      </w:r>
      <w:r>
        <w:rPr>
          <w:rFonts w:hint="eastAsia" w:asciiTheme="minorEastAsia" w:hAnsiTheme="minorEastAsia" w:eastAsiaTheme="minorEastAsia" w:cstheme="minorEastAsia"/>
          <w:color w:val="auto"/>
          <w:kern w:val="0"/>
          <w:sz w:val="24"/>
          <w:lang w:val="en-US" w:eastAsia="zh-CN" w:bidi="ar"/>
        </w:rPr>
        <w:t>、</w:t>
      </w:r>
      <w:r>
        <w:rPr>
          <w:rFonts w:hint="eastAsia" w:asciiTheme="minorEastAsia" w:hAnsiTheme="minorEastAsia" w:eastAsiaTheme="minorEastAsia" w:cstheme="minorEastAsia"/>
          <w:color w:val="auto"/>
          <w:kern w:val="0"/>
          <w:sz w:val="24"/>
          <w:lang w:bidi="ar"/>
        </w:rPr>
        <w:t>医疗数据合规相关法律法规要求。</w:t>
      </w:r>
    </w:p>
    <w:p w14:paraId="73AC3806">
      <w:pPr>
        <w:spacing w:line="312" w:lineRule="auto"/>
        <w:ind w:firstLine="241" w:firstLineChars="100"/>
        <w:jc w:val="left"/>
        <w:rPr>
          <w:rFonts w:hint="eastAsia" w:asciiTheme="minorEastAsia" w:hAnsiTheme="minorEastAsia" w:eastAsiaTheme="minorEastAsia" w:cstheme="minorEastAsia"/>
          <w:b/>
          <w:bCs/>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二、供货、安装与实施要求</w:t>
      </w:r>
    </w:p>
    <w:p w14:paraId="566DE453">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供货周期：投标人需结合实际情况，拟定详细的实施计划，保证在合同规定时间内上线及上线系统的平稳运行。合同签订生效后，投标人应在具备实施条件后三个工作日内由公司项目经理带领软件技术人员上门进行前期准备，包括需求调研、数据准备等。合同签订后30日历日内完成全部设备到货、系统部署、调试上线、</w:t>
      </w:r>
      <w:r>
        <w:rPr>
          <w:rFonts w:hint="eastAsia" w:asciiTheme="minorEastAsia" w:hAnsiTheme="minorEastAsia" w:eastAsiaTheme="minorEastAsia" w:cstheme="minorEastAsia"/>
          <w:color w:val="auto"/>
          <w:kern w:val="0"/>
          <w:sz w:val="24"/>
          <w:highlight w:val="none"/>
          <w:lang w:val="en-US" w:eastAsia="zh-CN" w:bidi="ar"/>
        </w:rPr>
        <w:t>联调测试、数据迁移（医院现有系统历史就诊信息）；</w:t>
      </w:r>
      <w:r>
        <w:rPr>
          <w:rFonts w:hint="eastAsia" w:asciiTheme="minorEastAsia" w:hAnsiTheme="minorEastAsia" w:eastAsiaTheme="minorEastAsia" w:cstheme="minorEastAsia"/>
          <w:color w:val="auto"/>
          <w:kern w:val="0"/>
          <w:sz w:val="24"/>
          <w:lang w:val="en-US" w:eastAsia="zh-CN" w:bidi="ar"/>
        </w:rPr>
        <w:t>整体项目90日历日内完成全部验收交付。</w:t>
      </w:r>
    </w:p>
    <w:p w14:paraId="03528311">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sz w:val="24"/>
          <w:lang w:val="en-US" w:eastAsia="zh-CN"/>
        </w:rPr>
        <w:t>2.</w:t>
      </w:r>
      <w:r>
        <w:rPr>
          <w:rFonts w:hint="eastAsia" w:asciiTheme="minorEastAsia" w:hAnsiTheme="minorEastAsia" w:eastAsiaTheme="minorEastAsia" w:cstheme="minorEastAsia"/>
          <w:color w:val="auto"/>
          <w:kern w:val="0"/>
          <w:sz w:val="24"/>
          <w:lang w:val="en-US" w:eastAsia="zh-CN" w:bidi="ar"/>
        </w:rPr>
        <w:t>实施地点：采购人指定地点。</w:t>
      </w:r>
    </w:p>
    <w:p w14:paraId="6BF76882">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3.施工管理：</w:t>
      </w:r>
    </w:p>
    <w:p w14:paraId="348D2C11">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（1）施工须服从医院后勤、信息科、院感管理规定，避开诊疗高峰时段，不得影响医院正常诊疗秩序；</w:t>
      </w:r>
    </w:p>
    <w:p w14:paraId="721A1600">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（2）施工人员须遵守医院防疫、门禁、消防安全管理制度，持证上岗，统一着装，文明施工；</w:t>
      </w:r>
    </w:p>
    <w:p w14:paraId="38E303B3">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（3）施工全过程做好成品保护、线路规整、强弱电分离，施工垃圾当日清理离场。</w:t>
      </w:r>
    </w:p>
    <w:p w14:paraId="48C40E2D">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4.系统集成与对接：</w:t>
      </w:r>
    </w:p>
    <w:p w14:paraId="69A289C9">
      <w:pPr>
        <w:spacing w:line="312" w:lineRule="auto"/>
        <w:ind w:firstLine="480" w:firstLineChars="200"/>
        <w:rPr>
          <w:rFonts w:hint="eastAsia" w:asciiTheme="minorEastAsia" w:hAnsiTheme="minorEastAsia" w:eastAsiaTheme="minorEastAsia" w:cstheme="minorEastAsia"/>
          <w:color w:val="auto"/>
          <w:kern w:val="0"/>
          <w:sz w:val="24"/>
          <w:highlight w:val="none"/>
          <w:lang w:val="en-US" w:eastAsia="zh-CN" w:bidi="ar"/>
        </w:rPr>
      </w:pPr>
      <w:r>
        <w:rPr>
          <w:rFonts w:hint="eastAsia" w:asciiTheme="minorEastAsia" w:hAnsiTheme="minorEastAsia" w:eastAsiaTheme="minorEastAsia" w:cstheme="minorEastAsia"/>
          <w:color w:val="auto"/>
          <w:kern w:val="0"/>
          <w:sz w:val="24"/>
          <w:highlight w:val="none"/>
          <w:lang w:val="en-US" w:eastAsia="zh-CN" w:bidi="ar"/>
        </w:rPr>
        <w:t>（1）中标人须免费完成与医共体各成员单位现有HIS、LIS、PACS、医保结算系统、公卫平台、卫健委监管平台、统一登录平台等全部现有业务系统无缝对接、数据互通；</w:t>
      </w:r>
    </w:p>
    <w:p w14:paraId="27A7FC32">
      <w:pPr>
        <w:spacing w:line="312" w:lineRule="auto"/>
        <w:ind w:firstLine="480" w:firstLineChars="200"/>
        <w:rPr>
          <w:rFonts w:hint="eastAsia" w:asciiTheme="minorEastAsia" w:hAnsiTheme="minorEastAsia" w:eastAsiaTheme="minorEastAsia" w:cstheme="minorEastAsia"/>
          <w:color w:val="auto"/>
          <w:kern w:val="0"/>
          <w:sz w:val="24"/>
          <w:highlight w:val="none"/>
          <w:lang w:val="en-US" w:eastAsia="zh-CN" w:bidi="ar"/>
        </w:rPr>
      </w:pPr>
      <w:r>
        <w:rPr>
          <w:rFonts w:hint="eastAsia" w:asciiTheme="minorEastAsia" w:hAnsiTheme="minorEastAsia" w:eastAsiaTheme="minorEastAsia" w:cstheme="minorEastAsia"/>
          <w:color w:val="auto"/>
          <w:kern w:val="0"/>
          <w:sz w:val="24"/>
          <w:highlight w:val="none"/>
          <w:lang w:val="en-US" w:eastAsia="zh-CN" w:bidi="ar"/>
        </w:rPr>
        <w:t>（2）免费提供标准接口、接口开发、历史数据迁移（医院现有系统历史就诊信息）、老旧系统兼容适配，确保业务不间断运行；</w:t>
      </w:r>
    </w:p>
    <w:p w14:paraId="184CBE29">
      <w:pPr>
        <w:spacing w:line="312" w:lineRule="auto"/>
        <w:ind w:firstLine="480" w:firstLineChars="200"/>
        <w:rPr>
          <w:rFonts w:hint="eastAsia" w:asciiTheme="minorEastAsia" w:hAnsiTheme="minorEastAsia" w:eastAsiaTheme="minorEastAsia" w:cstheme="minorEastAsia"/>
          <w:color w:val="auto"/>
          <w:kern w:val="0"/>
          <w:sz w:val="24"/>
          <w:highlight w:val="none"/>
          <w:lang w:val="en-US" w:eastAsia="zh-CN" w:bidi="ar"/>
        </w:rPr>
      </w:pPr>
      <w:r>
        <w:rPr>
          <w:rFonts w:hint="eastAsia" w:asciiTheme="minorEastAsia" w:hAnsiTheme="minorEastAsia" w:eastAsiaTheme="minorEastAsia" w:cstheme="minorEastAsia"/>
          <w:color w:val="auto"/>
          <w:kern w:val="0"/>
          <w:sz w:val="24"/>
          <w:highlight w:val="none"/>
          <w:lang w:val="en-US" w:eastAsia="zh-CN" w:bidi="ar"/>
        </w:rPr>
        <w:t>（3）本次所采购的系统对接产生的所有开发费用、授权费用、改造费用全部包含在投标总价内。</w:t>
      </w:r>
    </w:p>
    <w:p w14:paraId="2F9818F9">
      <w:pPr>
        <w:spacing w:line="312" w:lineRule="auto"/>
        <w:ind w:firstLine="241" w:firstLineChars="100"/>
        <w:jc w:val="left"/>
        <w:rPr>
          <w:rFonts w:hint="eastAsia" w:asciiTheme="minorEastAsia" w:hAnsiTheme="minorEastAsia" w:eastAsiaTheme="minorEastAsia" w:cstheme="minorEastAsia"/>
          <w:b/>
          <w:bCs/>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三、质量标准与技术合规要求</w:t>
      </w:r>
    </w:p>
    <w:p w14:paraId="31F22898">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1.所有软硬件产品须符合国家《中华人民共和国网络安全法》《中华人民共和国数据安全法》《中华人民共和国个人信息保护法》《医疗机构信息化建设规范》《信息安全等级保护管理办法》等要求。</w:t>
      </w:r>
    </w:p>
    <w:p w14:paraId="22A2E742">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2.软件系统须支持权限分级管理、操作日志留存、数据备份恢复、防篡改、访问控制，满足医疗数据安全保密要求。</w:t>
      </w:r>
    </w:p>
    <w:p w14:paraId="6B45AC14">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3.项目建成后需满足医院日常诊疗、行政管理、数据上报、医保对接、上级卫健部门检查考核要求。</w:t>
      </w:r>
    </w:p>
    <w:p w14:paraId="170BE153">
      <w:pPr>
        <w:spacing w:line="312" w:lineRule="auto"/>
        <w:ind w:firstLine="241" w:firstLineChars="100"/>
        <w:jc w:val="left"/>
        <w:rPr>
          <w:rFonts w:hint="eastAsia" w:asciiTheme="minorEastAsia" w:hAnsiTheme="minorEastAsia" w:eastAsiaTheme="minorEastAsia" w:cstheme="minorEastAsia"/>
          <w:b/>
          <w:bCs/>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四、验收要求</w:t>
      </w:r>
    </w:p>
    <w:p w14:paraId="2CF1890F">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1.验收流程：项目最终验收小组由代理机构聘请3名业内相关技术专家及采购人相关工作人员共同组成，负责开展本项目的最终验收工作，本次专家验收所产生的全部费用，均由中标人全额承担。</w:t>
      </w:r>
    </w:p>
    <w:p w14:paraId="115414E8">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 xml:space="preserve">2.验收标准：以招标文件、投标文件、合同约定、国家及行业标准、医院实际使用需求为依据。 </w:t>
      </w:r>
    </w:p>
    <w:p w14:paraId="6FC7A4C5">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3.验收资料：须提供完整竣工资料，包含实施方案、操作手册、维护手册、拓扑图纸、账号清单、培训记录、运维方案等全套纸质+电子版资料。</w:t>
      </w:r>
    </w:p>
    <w:p w14:paraId="59090CCE">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4.验收不合格的，中标人须在采购人规定期限20天内无条件整改、更换、重做，直至验收合格，逾期按合同违约条款处理。</w:t>
      </w:r>
    </w:p>
    <w:p w14:paraId="1906A7B9">
      <w:pPr>
        <w:spacing w:line="312" w:lineRule="auto"/>
        <w:ind w:firstLine="241" w:firstLineChars="100"/>
        <w:jc w:val="left"/>
        <w:rPr>
          <w:rFonts w:hint="eastAsia" w:asciiTheme="minorEastAsia" w:hAnsiTheme="minorEastAsia" w:eastAsiaTheme="minorEastAsia" w:cstheme="minorEastAsia"/>
          <w:b/>
          <w:bCs/>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五、售后服务与质保要求</w:t>
      </w:r>
    </w:p>
    <w:p w14:paraId="036B6A36">
      <w:pPr>
        <w:spacing w:line="312" w:lineRule="auto"/>
        <w:ind w:firstLine="482" w:firstLineChars="200"/>
        <w:rPr>
          <w:rFonts w:hint="eastAsia" w:asciiTheme="minorEastAsia" w:hAnsiTheme="minorEastAsia" w:eastAsiaTheme="minorEastAsia" w:cstheme="minorEastAsia"/>
          <w:color w:val="auto"/>
          <w:kern w:val="0"/>
          <w:sz w:val="24"/>
          <w:highlight w:val="none"/>
          <w:lang w:val="en-US" w:eastAsia="zh-CN" w:bidi="ar"/>
        </w:rPr>
      </w:pPr>
      <w:r>
        <w:rPr>
          <w:rFonts w:hint="eastAsia" w:asciiTheme="minorEastAsia" w:hAnsiTheme="minorEastAsia" w:eastAsiaTheme="minorEastAsia" w:cstheme="minorEastAsia"/>
          <w:b/>
          <w:bCs/>
          <w:color w:val="auto"/>
          <w:kern w:val="0"/>
          <w:sz w:val="24"/>
          <w:highlight w:val="none"/>
          <w:lang w:val="en-US" w:eastAsia="zh-CN" w:bidi="ar"/>
        </w:rPr>
        <w:t>1.质保期：</w:t>
      </w:r>
      <w:r>
        <w:rPr>
          <w:rFonts w:hint="eastAsia" w:asciiTheme="minorEastAsia" w:hAnsiTheme="minorEastAsia" w:eastAsiaTheme="minorEastAsia" w:cstheme="minorEastAsia"/>
          <w:color w:val="auto"/>
          <w:kern w:val="0"/>
          <w:sz w:val="24"/>
          <w:highlight w:val="none"/>
          <w:lang w:val="en-US" w:eastAsia="zh-CN" w:bidi="ar"/>
        </w:rPr>
        <w:t>整体软件系统应提供至少3年的免费质保期。核心软件系统（医共体管理平台、卫生统计与决策分析系统）、设备质保期不得低于原厂最高标准。</w:t>
      </w:r>
    </w:p>
    <w:p w14:paraId="09AB215F">
      <w:pPr>
        <w:spacing w:line="312" w:lineRule="auto"/>
        <w:ind w:firstLine="482" w:firstLineChars="200"/>
        <w:rPr>
          <w:rFonts w:hint="eastAsia" w:asciiTheme="minorEastAsia" w:hAnsiTheme="minorEastAsia" w:eastAsiaTheme="minorEastAsia" w:cstheme="minorEastAsia"/>
          <w:b/>
          <w:bCs/>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2.售后响应</w:t>
      </w:r>
    </w:p>
    <w:p w14:paraId="551DD914">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（1）7×24小时技术热线支持，全天候受理故障报修；</w:t>
      </w:r>
    </w:p>
    <w:p w14:paraId="6BB0C3EF">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（2）院内重大系统故障（收费、住院、医保、核心业务瘫痪）：需立即响应，不能远程解决的需2小时内到场解决；一般故障30分钟内响应，不能远程解决的需4小时内到场解决；</w:t>
      </w:r>
    </w:p>
    <w:p w14:paraId="3C96CF83">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（3）质保期内免费提供系统补丁升级、漏洞修复、版本优化、病毒防护、策略调整、日常巡检。</w:t>
      </w:r>
    </w:p>
    <w:p w14:paraId="7252DE28">
      <w:pPr>
        <w:spacing w:line="312" w:lineRule="auto"/>
        <w:ind w:firstLine="482"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3.质保期内服务：</w:t>
      </w:r>
      <w:r>
        <w:rPr>
          <w:rFonts w:hint="eastAsia" w:asciiTheme="minorEastAsia" w:hAnsiTheme="minorEastAsia" w:eastAsiaTheme="minorEastAsia" w:cstheme="minorEastAsia"/>
          <w:color w:val="auto"/>
          <w:kern w:val="0"/>
          <w:sz w:val="24"/>
          <w:lang w:val="en-US" w:eastAsia="zh-CN" w:bidi="ar"/>
        </w:rPr>
        <w:t>质保期内，中标人须安排具备对应专业资质的技术人员提供上门售后服务，全程免费提供上门维修、故障配件更换、设备功能微调、基础数据维护等全部服务内容。服务期间不得向采购人收取上门费、人工费、配件费、调试费等任何相关费用，所有服务成本及费用均由中标人自行承担。</w:t>
      </w:r>
    </w:p>
    <w:p w14:paraId="102D21AD">
      <w:pPr>
        <w:spacing w:line="312" w:lineRule="auto"/>
        <w:ind w:firstLine="482" w:firstLineChars="200"/>
        <w:rPr>
          <w:rFonts w:hint="eastAsia" w:asciiTheme="minorEastAsia" w:hAnsiTheme="minorEastAsia" w:eastAsiaTheme="minorEastAsia" w:cstheme="minorEastAsia"/>
          <w:color w:val="auto"/>
          <w:kern w:val="0"/>
          <w:sz w:val="24"/>
          <w:highlight w:val="none"/>
          <w:lang w:val="en-US" w:eastAsia="zh-CN" w:bidi="ar"/>
        </w:rPr>
      </w:pPr>
      <w:r>
        <w:rPr>
          <w:rFonts w:hint="eastAsia" w:asciiTheme="minorEastAsia" w:hAnsiTheme="minorEastAsia" w:eastAsiaTheme="minorEastAsia" w:cstheme="minorEastAsia"/>
          <w:b/>
          <w:bCs/>
          <w:color w:val="auto"/>
          <w:kern w:val="0"/>
          <w:sz w:val="24"/>
          <w:highlight w:val="none"/>
          <w:lang w:val="en-US" w:eastAsia="zh-CN" w:bidi="ar"/>
        </w:rPr>
        <w:t>4.质保期过后服务：</w:t>
      </w:r>
      <w:r>
        <w:rPr>
          <w:rFonts w:hint="eastAsia" w:asciiTheme="minorEastAsia" w:hAnsiTheme="minorEastAsia" w:eastAsiaTheme="minorEastAsia" w:cstheme="minorEastAsia"/>
          <w:color w:val="auto"/>
          <w:kern w:val="0"/>
          <w:sz w:val="24"/>
          <w:highlight w:val="none"/>
          <w:lang w:val="en-US" w:eastAsia="zh-CN" w:bidi="ar"/>
        </w:rPr>
        <w:t>软件运维费不得大于成交金额的4%（具体以双方合同为准）。</w:t>
      </w:r>
    </w:p>
    <w:p w14:paraId="79F7FE2A">
      <w:pPr>
        <w:spacing w:line="312" w:lineRule="auto"/>
        <w:ind w:firstLine="241" w:firstLineChars="100"/>
        <w:jc w:val="left"/>
        <w:rPr>
          <w:rFonts w:hint="eastAsia" w:asciiTheme="minorEastAsia" w:hAnsiTheme="minorEastAsia" w:eastAsiaTheme="minorEastAsia" w:cstheme="minorEastAsia"/>
          <w:b/>
          <w:bCs/>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六、培训要求</w:t>
      </w:r>
    </w:p>
    <w:p w14:paraId="03293D50">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1.中标人须针对医院信息科管理人员、临床科室操作人员、行政管理人员，提供</w:t>
      </w:r>
      <w:r>
        <w:rPr>
          <w:rFonts w:hint="eastAsia" w:asciiTheme="minorEastAsia" w:hAnsiTheme="minorEastAsia" w:eastAsiaTheme="minorEastAsia" w:cstheme="minorEastAsia"/>
          <w:b/>
          <w:bCs/>
          <w:color w:val="auto"/>
          <w:kern w:val="0"/>
          <w:sz w:val="24"/>
          <w:lang w:val="en-US" w:eastAsia="zh-CN" w:bidi="ar"/>
        </w:rPr>
        <w:t>免费上门分层培训</w:t>
      </w:r>
      <w:r>
        <w:rPr>
          <w:rFonts w:hint="eastAsia" w:asciiTheme="minorEastAsia" w:hAnsiTheme="minorEastAsia" w:eastAsiaTheme="minorEastAsia" w:cstheme="minorEastAsia"/>
          <w:color w:val="auto"/>
          <w:kern w:val="0"/>
          <w:sz w:val="24"/>
          <w:lang w:val="en-US" w:eastAsia="zh-CN" w:bidi="ar"/>
        </w:rPr>
        <w:t>。</w:t>
      </w:r>
    </w:p>
    <w:p w14:paraId="516E891F">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2.培训内容：系统操作、权限管理、日常维护、数据备份、故障简单排查、安全管理、应急操作等。</w:t>
      </w:r>
    </w:p>
    <w:p w14:paraId="51EA01E4">
      <w:pPr>
        <w:spacing w:line="312" w:lineRule="auto"/>
        <w:ind w:firstLine="480" w:firstLineChars="200"/>
        <w:rPr>
          <w:rFonts w:hint="eastAsia" w:ascii="宋体" w:hAnsi="宋体" w:eastAsia="宋体" w:cs="宋体"/>
          <w:b w:val="0"/>
          <w:color w:val="auto"/>
          <w:sz w:val="24"/>
          <w:szCs w:val="24"/>
        </w:rPr>
      </w:pPr>
      <w:r>
        <w:rPr>
          <w:rFonts w:hint="eastAsia" w:asciiTheme="minorEastAsia" w:hAnsiTheme="minorEastAsia" w:eastAsiaTheme="minorEastAsia" w:cstheme="minorEastAsia"/>
          <w:color w:val="auto"/>
          <w:kern w:val="0"/>
          <w:sz w:val="24"/>
          <w:lang w:val="en-US" w:eastAsia="zh-CN" w:bidi="ar"/>
        </w:rPr>
        <w:t>3.提供电子版+</w:t>
      </w:r>
      <w:r>
        <w:rPr>
          <w:rFonts w:hint="eastAsia" w:ascii="宋体" w:hAnsi="宋体" w:eastAsia="宋体" w:cs="宋体"/>
          <w:color w:val="auto"/>
          <w:sz w:val="24"/>
          <w:szCs w:val="24"/>
        </w:rPr>
        <w:t>纸质操作教程、视频教学资料，确保相关人员熟练独立操作使用。</w:t>
      </w:r>
    </w:p>
    <w:p w14:paraId="562135A8">
      <w:pPr>
        <w:spacing w:line="312" w:lineRule="auto"/>
        <w:ind w:firstLine="241" w:firstLineChars="100"/>
        <w:jc w:val="left"/>
        <w:rPr>
          <w:rFonts w:hint="eastAsia" w:asciiTheme="minorEastAsia" w:hAnsiTheme="minorEastAsia" w:eastAsiaTheme="minorEastAsia" w:cstheme="minorEastAsia"/>
          <w:b/>
          <w:bCs/>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七、商务条款约束</w:t>
      </w:r>
    </w:p>
    <w:p w14:paraId="0D587037">
      <w:pPr>
        <w:spacing w:line="312" w:lineRule="auto"/>
        <w:ind w:firstLine="482"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1.付款方式：</w:t>
      </w:r>
      <w:r>
        <w:rPr>
          <w:rFonts w:hint="eastAsia" w:asciiTheme="minorEastAsia" w:hAnsiTheme="minorEastAsia" w:eastAsiaTheme="minorEastAsia" w:cstheme="minorEastAsia"/>
          <w:color w:val="auto"/>
          <w:kern w:val="0"/>
          <w:sz w:val="24"/>
          <w:lang w:val="en-US" w:eastAsia="zh-CN" w:bidi="ar"/>
        </w:rPr>
        <w:t>分期付款：</w:t>
      </w:r>
    </w:p>
    <w:p w14:paraId="65D5F230">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1.1进度款，项目合同正式签订后，乙方根据项目建设实际需要，组织项目团队、技术人员及相关设备进场实施，经甲方书面确认进场条件满足要求后，支付合同总金额的20%作为项目启动款。</w:t>
      </w:r>
    </w:p>
    <w:p w14:paraId="5E791990">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1.2验收款，系统通过最终验收。乙方需完成全部建设内容，包括系统集成与历史数据迁移工作，系统试运行期（1个月）满且稳定无重大故障，并提交完整的竣工文档。由甲方组织成立的验收小组出具《最终验收合格报告》后支付合同总金额的50%。</w:t>
      </w:r>
    </w:p>
    <w:p w14:paraId="4D15C12F">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1.3结算审计款，项目完成全部竣工结算资料的编制与提交，并通过甲方或其委托的第三方审计机构的竣工结算审计，在取得最终审计报告后30个工作日内支付合同总金额的10%。</w:t>
      </w:r>
    </w:p>
    <w:p w14:paraId="7C5A0294">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1.4</w:t>
      </w:r>
      <w:r>
        <w:rPr>
          <w:rFonts w:hint="eastAsia" w:ascii="宋体" w:hAnsi="宋体" w:eastAsia="宋体" w:cs="宋体"/>
          <w:sz w:val="24"/>
          <w:szCs w:val="32"/>
          <w:u w:val="none"/>
          <w:lang w:eastAsia="zh-CN"/>
        </w:rPr>
        <w:t>余下</w:t>
      </w:r>
      <w:r>
        <w:rPr>
          <w:rFonts w:hint="eastAsia" w:ascii="宋体" w:hAnsi="宋体" w:cs="宋体"/>
          <w:sz w:val="24"/>
          <w:szCs w:val="32"/>
          <w:u w:val="none"/>
          <w:lang w:val="en-US" w:eastAsia="zh-CN"/>
        </w:rPr>
        <w:t>20%</w:t>
      </w:r>
      <w:r>
        <w:rPr>
          <w:rFonts w:hint="eastAsia" w:ascii="宋体" w:hAnsi="宋体" w:eastAsia="宋体" w:cs="宋体"/>
          <w:sz w:val="24"/>
          <w:szCs w:val="32"/>
          <w:u w:val="none"/>
          <w:lang w:eastAsia="zh-CN"/>
        </w:rPr>
        <w:t>资金</w:t>
      </w:r>
      <w:r>
        <w:rPr>
          <w:rFonts w:hint="eastAsia" w:asciiTheme="minorEastAsia" w:hAnsiTheme="minorEastAsia" w:eastAsiaTheme="minorEastAsia" w:cstheme="minorEastAsia"/>
          <w:color w:val="auto"/>
          <w:kern w:val="0"/>
          <w:sz w:val="24"/>
          <w:lang w:val="en-US" w:eastAsia="zh-CN" w:bidi="ar"/>
        </w:rPr>
        <w:t>，项目最终验收合格之日起，满一年后30个工作日内无息支付合同总金额的10%。</w:t>
      </w:r>
    </w:p>
    <w:p w14:paraId="51ECEB67">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1.5最终支付条件：项目最终验收合格之日起，在质保期届满，乙方已履行全部质保义务，无未处理的缺陷或故障。质保期届满后30个工作日内无息支付合同总金额的10%。</w:t>
      </w:r>
    </w:p>
    <w:p w14:paraId="0D1584BB">
      <w:pPr>
        <w:spacing w:line="312" w:lineRule="auto"/>
        <w:ind w:firstLine="480" w:firstLineChars="200"/>
        <w:rPr>
          <w:rFonts w:hint="default"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1.6以上付款以采购单位申请资金拨付后以财政资金拨付到位时间为分期付款起计时间。</w:t>
      </w:r>
    </w:p>
    <w:p w14:paraId="01A279F5">
      <w:pPr>
        <w:spacing w:line="312" w:lineRule="auto"/>
        <w:ind w:firstLine="482"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2.知识产权：</w:t>
      </w:r>
      <w:r>
        <w:rPr>
          <w:rFonts w:hint="eastAsia" w:asciiTheme="minorEastAsia" w:hAnsiTheme="minorEastAsia" w:eastAsiaTheme="minorEastAsia" w:cstheme="minorEastAsia"/>
          <w:color w:val="auto"/>
          <w:kern w:val="0"/>
          <w:sz w:val="24"/>
          <w:lang w:val="en-US" w:eastAsia="zh-CN" w:bidi="ar"/>
        </w:rPr>
        <w:t>本项目定制开发软件、对接程序的使用权归采购人所有，中标人不得擅自复用、转售、泄露医院业务数据及内部信息，严格遵守医疗数据保密协议。</w:t>
      </w:r>
    </w:p>
    <w:p w14:paraId="4E1DA4CD">
      <w:pPr>
        <w:spacing w:line="312" w:lineRule="auto"/>
        <w:ind w:firstLine="482" w:firstLineChars="200"/>
        <w:rPr>
          <w:rFonts w:hint="eastAsia"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3.保密要求：</w:t>
      </w:r>
      <w:r>
        <w:rPr>
          <w:rFonts w:hint="eastAsia" w:asciiTheme="minorEastAsia" w:hAnsiTheme="minorEastAsia" w:eastAsiaTheme="minorEastAsia" w:cstheme="minorEastAsia"/>
          <w:color w:val="auto"/>
          <w:kern w:val="0"/>
          <w:sz w:val="24"/>
          <w:lang w:val="en-US" w:eastAsia="zh-CN" w:bidi="ar"/>
        </w:rPr>
        <w:t>中标人及所有实施人员签订保密承诺书，严禁泄露患者隐私、诊疗数据、医院内部运营信息，违者承担法律责任。</w:t>
      </w:r>
    </w:p>
    <w:p w14:paraId="33B40337">
      <w:pPr>
        <w:spacing w:line="312" w:lineRule="auto"/>
        <w:ind w:firstLine="482" w:firstLineChars="200"/>
        <w:rPr>
          <w:rFonts w:hint="eastAsia" w:ascii="宋体" w:hAnsi="宋体" w:eastAsia="宋体" w:cs="宋体"/>
          <w:b w:val="0"/>
          <w:color w:val="auto"/>
          <w:sz w:val="24"/>
          <w:szCs w:val="24"/>
        </w:rPr>
      </w:pPr>
      <w:r>
        <w:rPr>
          <w:rFonts w:hint="eastAsia" w:asciiTheme="minorEastAsia" w:hAnsiTheme="minorEastAsia" w:eastAsiaTheme="minorEastAsia" w:cstheme="minorEastAsia"/>
          <w:b/>
          <w:bCs/>
          <w:color w:val="auto"/>
          <w:kern w:val="0"/>
          <w:sz w:val="24"/>
          <w:lang w:val="en-US" w:eastAsia="zh-CN" w:bidi="ar"/>
        </w:rPr>
        <w:t>4.违约责任：</w:t>
      </w:r>
      <w:r>
        <w:rPr>
          <w:rFonts w:hint="eastAsia" w:asciiTheme="minorEastAsia" w:hAnsiTheme="minorEastAsia" w:eastAsiaTheme="minorEastAsia" w:cstheme="minorEastAsia"/>
          <w:color w:val="auto"/>
          <w:kern w:val="0"/>
          <w:sz w:val="24"/>
          <w:lang w:val="en-US" w:eastAsia="zh-CN" w:bidi="ar"/>
        </w:rPr>
        <w:t>逾期完工、服务不到位、质量不合格、数据泄漏等违约行为，按政府采购合同约定及相关法规承担违约</w:t>
      </w:r>
      <w:r>
        <w:rPr>
          <w:rFonts w:hint="eastAsia" w:ascii="宋体" w:hAnsi="宋体" w:eastAsia="宋体" w:cs="宋体"/>
          <w:color w:val="auto"/>
          <w:sz w:val="24"/>
          <w:szCs w:val="24"/>
        </w:rPr>
        <w:t>金及赔偿责任。</w:t>
      </w:r>
    </w:p>
    <w:p w14:paraId="68313461">
      <w:pPr>
        <w:spacing w:line="312" w:lineRule="auto"/>
        <w:ind w:firstLine="241" w:firstLineChars="100"/>
        <w:jc w:val="left"/>
        <w:rPr>
          <w:rFonts w:hint="eastAsia" w:asciiTheme="minorEastAsia" w:hAnsiTheme="minorEastAsia" w:eastAsiaTheme="minorEastAsia" w:cstheme="minorEastAsia"/>
          <w:b/>
          <w:bCs/>
          <w:color w:val="auto"/>
          <w:kern w:val="0"/>
          <w:sz w:val="24"/>
          <w:lang w:val="en-US" w:eastAsia="zh-CN" w:bidi="ar"/>
        </w:rPr>
      </w:pPr>
      <w:r>
        <w:rPr>
          <w:rFonts w:hint="eastAsia" w:asciiTheme="minorEastAsia" w:hAnsiTheme="minorEastAsia" w:eastAsiaTheme="minorEastAsia" w:cstheme="minorEastAsia"/>
          <w:b/>
          <w:bCs/>
          <w:color w:val="auto"/>
          <w:kern w:val="0"/>
          <w:sz w:val="24"/>
          <w:lang w:val="en-US" w:eastAsia="zh-CN" w:bidi="ar"/>
        </w:rPr>
        <w:t>八、其他要求</w:t>
      </w:r>
    </w:p>
    <w:bookmarkEnd w:id="320"/>
    <w:bookmarkEnd w:id="321"/>
    <w:bookmarkEnd w:id="322"/>
    <w:bookmarkEnd w:id="323"/>
    <w:bookmarkEnd w:id="324"/>
    <w:p w14:paraId="43757446">
      <w:pPr>
        <w:spacing w:line="312" w:lineRule="auto"/>
        <w:ind w:firstLine="480" w:firstLineChars="200"/>
        <w:rPr>
          <w:rFonts w:hint="eastAsia" w:asciiTheme="minorEastAsia" w:hAnsiTheme="minorEastAsia" w:eastAsiaTheme="minorEastAsia" w:cstheme="minorEastAsia"/>
          <w:color w:val="auto"/>
          <w:kern w:val="0"/>
          <w:sz w:val="24"/>
          <w:lang w:val="en-US" w:eastAsia="zh-CN" w:bidi="ar"/>
        </w:rPr>
      </w:pPr>
      <w:bookmarkStart w:id="348" w:name="_Toc9329"/>
      <w:r>
        <w:rPr>
          <w:rFonts w:hint="default" w:asciiTheme="minorEastAsia" w:hAnsiTheme="minorEastAsia" w:eastAsiaTheme="minorEastAsia" w:cstheme="minorEastAsia"/>
          <w:color w:val="auto"/>
          <w:kern w:val="0"/>
          <w:sz w:val="24"/>
          <w:lang w:val="en-US" w:eastAsia="zh-CN" w:bidi="ar"/>
        </w:rPr>
        <w:t>1.</w:t>
      </w:r>
      <w:r>
        <w:rPr>
          <w:rFonts w:hint="eastAsia" w:asciiTheme="minorEastAsia" w:hAnsiTheme="minorEastAsia" w:eastAsiaTheme="minorEastAsia" w:cstheme="minorEastAsia"/>
          <w:color w:val="auto"/>
          <w:kern w:val="0"/>
          <w:sz w:val="24"/>
          <w:lang w:val="en-US" w:eastAsia="zh-CN" w:bidi="ar"/>
        </w:rPr>
        <w:t>投标报价包含所有风险费用，包含政策调整、人工涨价、物料波动、对接改造等全部不可预见费用，中标后单价固定不变，不做任何调整。</w:t>
      </w:r>
    </w:p>
    <w:p w14:paraId="75CB0DA0">
      <w:pPr>
        <w:spacing w:line="312" w:lineRule="auto"/>
        <w:ind w:firstLine="480" w:firstLineChars="200"/>
        <w:rPr>
          <w:rFonts w:hint="eastAsia" w:asciiTheme="minorEastAsia" w:hAnsiTheme="minorEastAsia" w:eastAsiaTheme="minorEastAsia" w:cstheme="minorEastAsia"/>
          <w:color w:val="auto"/>
          <w:kern w:val="0"/>
          <w:sz w:val="24"/>
          <w:highlight w:val="none"/>
          <w:lang w:val="en-US" w:eastAsia="zh-CN" w:bidi="ar"/>
        </w:rPr>
      </w:pPr>
      <w:r>
        <w:rPr>
          <w:rFonts w:hint="default" w:asciiTheme="minorEastAsia" w:hAnsiTheme="minorEastAsia" w:eastAsiaTheme="minorEastAsia" w:cstheme="minorEastAsia"/>
          <w:color w:val="auto"/>
          <w:kern w:val="0"/>
          <w:sz w:val="24"/>
          <w:highlight w:val="none"/>
          <w:lang w:val="en-US" w:eastAsia="zh-CN" w:bidi="ar"/>
        </w:rPr>
        <w:t>2.</w:t>
      </w:r>
      <w:r>
        <w:rPr>
          <w:rFonts w:hint="eastAsia" w:asciiTheme="minorEastAsia" w:hAnsiTheme="minorEastAsia" w:eastAsiaTheme="minorEastAsia" w:cstheme="minorEastAsia"/>
          <w:color w:val="auto"/>
          <w:kern w:val="0"/>
          <w:sz w:val="24"/>
          <w:highlight w:val="none"/>
          <w:lang w:val="en-US" w:eastAsia="zh-CN" w:bidi="ar"/>
        </w:rPr>
        <w:t>质保期内，采购人提出软件接口对接需求时，中标人应及时响应，对政策类接口免费提供技术对接调试服务，确保接口正常稳定运行，实现数据互联互通。</w:t>
      </w:r>
    </w:p>
    <w:p w14:paraId="340AD109">
      <w:pPr>
        <w:spacing w:line="312" w:lineRule="auto"/>
        <w:ind w:firstLine="480" w:firstLineChars="200"/>
        <w:rPr>
          <w:rFonts w:hint="eastAsia" w:asciiTheme="minorEastAsia" w:hAnsiTheme="minorEastAsia" w:eastAsiaTheme="minorEastAsia" w:cstheme="minorEastAsia"/>
          <w:b/>
          <w:bCs w:val="0"/>
          <w:color w:val="auto"/>
          <w:sz w:val="22"/>
          <w:szCs w:val="16"/>
        </w:rPr>
      </w:pPr>
      <w:r>
        <w:rPr>
          <w:rFonts w:hint="default" w:asciiTheme="minorEastAsia" w:hAnsiTheme="minorEastAsia" w:eastAsiaTheme="minorEastAsia" w:cstheme="minorEastAsia"/>
          <w:color w:val="auto"/>
          <w:kern w:val="0"/>
          <w:sz w:val="24"/>
          <w:lang w:val="en-US" w:eastAsia="zh-CN" w:bidi="ar"/>
        </w:rPr>
        <w:t>3.</w:t>
      </w:r>
      <w:r>
        <w:rPr>
          <w:rFonts w:hint="eastAsia" w:asciiTheme="minorEastAsia" w:hAnsiTheme="minorEastAsia" w:eastAsiaTheme="minorEastAsia" w:cstheme="minorEastAsia"/>
          <w:color w:val="auto"/>
          <w:kern w:val="0"/>
          <w:sz w:val="24"/>
          <w:lang w:val="en-US" w:eastAsia="zh-CN" w:bidi="ar"/>
        </w:rPr>
        <w:t>供应商须承诺项目实施期间保障医院信息系统不间断运行，如需停机改造，须提前报备采购人并安排在非工作时段实施。</w:t>
      </w:r>
      <w:r>
        <w:rPr>
          <w:rFonts w:hint="eastAsia" w:asciiTheme="minorEastAsia" w:hAnsiTheme="minorEastAsia" w:eastAsiaTheme="minorEastAsia" w:cstheme="minorEastAsia"/>
          <w:b/>
          <w:bCs w:val="0"/>
          <w:color w:val="auto"/>
          <w:sz w:val="22"/>
          <w:szCs w:val="16"/>
        </w:rPr>
        <w:br w:type="page"/>
      </w:r>
    </w:p>
    <w:p w14:paraId="0DE3BA8F">
      <w:pPr>
        <w:pStyle w:val="3"/>
        <w:spacing w:line="600" w:lineRule="auto"/>
        <w:jc w:val="center"/>
        <w:rPr>
          <w:rFonts w:hint="eastAsia" w:asciiTheme="minorEastAsia" w:hAnsiTheme="minorEastAsia" w:eastAsiaTheme="minorEastAsia" w:cstheme="minorEastAsia"/>
          <w:b/>
          <w:bCs w:val="0"/>
          <w:sz w:val="36"/>
          <w:szCs w:val="22"/>
        </w:rPr>
      </w:pPr>
      <w:r>
        <w:rPr>
          <w:rFonts w:hint="eastAsia" w:asciiTheme="minorEastAsia" w:hAnsiTheme="minorEastAsia" w:eastAsiaTheme="minorEastAsia" w:cstheme="minorEastAsia"/>
          <w:b/>
          <w:bCs w:val="0"/>
          <w:sz w:val="36"/>
          <w:szCs w:val="22"/>
        </w:rPr>
        <w:t>第六章 政府采购合同</w:t>
      </w:r>
      <w:bookmarkEnd w:id="317"/>
      <w:bookmarkEnd w:id="348"/>
    </w:p>
    <w:p w14:paraId="7478C1A9">
      <w:pPr>
        <w:pStyle w:val="4"/>
        <w:spacing w:line="240" w:lineRule="auto"/>
        <w:jc w:val="center"/>
        <w:rPr>
          <w:rFonts w:hint="eastAsia" w:asciiTheme="minorEastAsia" w:hAnsiTheme="minorEastAsia" w:eastAsiaTheme="minorEastAsia" w:cstheme="minorEastAsia"/>
          <w:sz w:val="32"/>
          <w:szCs w:val="40"/>
        </w:rPr>
      </w:pPr>
      <w:bookmarkStart w:id="349" w:name="_Toc2988"/>
      <w:bookmarkStart w:id="350" w:name="_Toc1636"/>
      <w:r>
        <w:rPr>
          <w:rFonts w:hint="eastAsia" w:asciiTheme="minorEastAsia" w:hAnsiTheme="minorEastAsia" w:eastAsiaTheme="minorEastAsia" w:cstheme="minorEastAsia"/>
          <w:sz w:val="32"/>
          <w:szCs w:val="40"/>
        </w:rPr>
        <w:t>第一节 政府采购合同协议书</w:t>
      </w:r>
      <w:bookmarkEnd w:id="349"/>
      <w:bookmarkEnd w:id="350"/>
    </w:p>
    <w:p w14:paraId="57AA55B2">
      <w:pPr>
        <w:adjustRightInd w:val="0"/>
        <w:snapToGrid w:val="0"/>
        <w:spacing w:line="288" w:lineRule="auto"/>
        <w:ind w:right="-6" w:firstLine="6098" w:firstLineChars="2541"/>
        <w:rPr>
          <w:rFonts w:hint="eastAsia" w:asciiTheme="minorEastAsia" w:hAnsiTheme="minorEastAsia" w:eastAsiaTheme="minorEastAsia" w:cstheme="minorEastAsia"/>
          <w:color w:val="000000" w:themeColor="text1"/>
          <w:sz w:val="24"/>
          <w:u w:val="single"/>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采购合同编号：</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p>
    <w:p w14:paraId="3CA67DAF">
      <w:pPr>
        <w:adjustRightInd w:val="0"/>
        <w:snapToGrid w:val="0"/>
        <w:spacing w:line="360" w:lineRule="auto"/>
        <w:ind w:right="-6"/>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采购人（全称）：</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（甲方）</w:t>
      </w:r>
    </w:p>
    <w:p w14:paraId="5A306B41">
      <w:pPr>
        <w:adjustRightInd w:val="0"/>
        <w:snapToGrid w:val="0"/>
        <w:spacing w:line="336" w:lineRule="auto"/>
        <w:ind w:right="-6"/>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供应商（全称）：</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（乙方）</w:t>
      </w:r>
    </w:p>
    <w:p w14:paraId="0E8F7DCC">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为了保护甲、乙双方合法权益，根据《中华人民共和国</w:t>
      </w:r>
      <w:r>
        <w:rPr>
          <w:rFonts w:hint="eastAsia" w:asciiTheme="minorEastAsia" w:hAnsiTheme="minorEastAsia" w:eastAsiaTheme="minorEastAsia" w:cstheme="minorEastAsia"/>
          <w:sz w:val="24"/>
          <w:szCs w:val="32"/>
          <w:lang w:val="en-US" w:eastAsia="zh-CN"/>
        </w:rPr>
        <w:t>民法典</w:t>
      </w:r>
      <w:r>
        <w:rPr>
          <w:rFonts w:hint="eastAsia" w:asciiTheme="minorEastAsia" w:hAnsiTheme="minorEastAsia" w:eastAsiaTheme="minorEastAsia" w:cstheme="minorEastAsia"/>
          <w:sz w:val="24"/>
          <w:szCs w:val="32"/>
          <w:lang w:eastAsia="zh-CN"/>
        </w:rPr>
        <w:t>》《</w:t>
      </w:r>
      <w:r>
        <w:rPr>
          <w:rFonts w:hint="eastAsia" w:asciiTheme="minorEastAsia" w:hAnsiTheme="minorEastAsia" w:eastAsiaTheme="minorEastAsia" w:cstheme="minorEastAsia"/>
          <w:sz w:val="24"/>
          <w:szCs w:val="32"/>
        </w:rPr>
        <w:t>中华人民共和国政府采购法》及其他有关</w:t>
      </w:r>
      <w:r>
        <w:rPr>
          <w:rFonts w:hint="eastAsia" w:asciiTheme="minorEastAsia" w:hAnsiTheme="minorEastAsia" w:eastAsiaTheme="minorEastAsia" w:cstheme="minorEastAsia"/>
          <w:sz w:val="24"/>
          <w:szCs w:val="32"/>
          <w:lang w:eastAsia="zh-CN"/>
        </w:rPr>
        <w:t>法律法规</w:t>
      </w:r>
      <w:r>
        <w:rPr>
          <w:rFonts w:hint="eastAsia" w:asciiTheme="minorEastAsia" w:hAnsiTheme="minorEastAsia" w:eastAsiaTheme="minorEastAsia" w:cstheme="minorEastAsia"/>
          <w:sz w:val="24"/>
          <w:szCs w:val="32"/>
        </w:rPr>
        <w:t>、规章，双方签订本合同协议书。</w:t>
      </w:r>
    </w:p>
    <w:p w14:paraId="31D9C524">
      <w:pPr>
        <w:spacing w:line="324" w:lineRule="auto"/>
        <w:ind w:right="-6"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1.项目信息</w:t>
      </w:r>
    </w:p>
    <w:p w14:paraId="0A6CBB3E">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（1）采购项目名称：</w:t>
      </w:r>
      <w:r>
        <w:rPr>
          <w:rFonts w:hint="eastAsia" w:asciiTheme="minorEastAsia" w:hAnsiTheme="minorEastAsia" w:eastAsiaTheme="minorEastAsia" w:cstheme="minorEastAsia"/>
          <w:sz w:val="24"/>
          <w:szCs w:val="32"/>
          <w:u w:val="single"/>
        </w:rPr>
        <w:t xml:space="preserve">                             </w:t>
      </w:r>
    </w:p>
    <w:p w14:paraId="0857DFBE">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（2）政府采购计划编号：</w:t>
      </w:r>
      <w:r>
        <w:rPr>
          <w:rFonts w:hint="eastAsia" w:asciiTheme="minorEastAsia" w:hAnsiTheme="minorEastAsia" w:eastAsiaTheme="minorEastAsia" w:cstheme="minorEastAsia"/>
          <w:sz w:val="24"/>
          <w:szCs w:val="32"/>
          <w:u w:val="single"/>
        </w:rPr>
        <w:t xml:space="preserve">                         </w:t>
      </w:r>
    </w:p>
    <w:p w14:paraId="2E2F2190">
      <w:pPr>
        <w:spacing w:line="324" w:lineRule="auto"/>
        <w:ind w:right="-6" w:firstLine="480" w:firstLineChars="200"/>
        <w:rPr>
          <w:rFonts w:hint="eastAsia" w:asciiTheme="minorEastAsia" w:hAnsiTheme="minorEastAsia" w:eastAsiaTheme="minorEastAsia" w:cstheme="minorEastAsia"/>
          <w:sz w:val="24"/>
          <w:szCs w:val="32"/>
          <w:u w:val="single"/>
        </w:rPr>
      </w:pPr>
      <w:r>
        <w:rPr>
          <w:rFonts w:hint="eastAsia" w:asciiTheme="minorEastAsia" w:hAnsiTheme="minorEastAsia" w:eastAsiaTheme="minorEastAsia" w:cstheme="minorEastAsia"/>
          <w:sz w:val="24"/>
          <w:szCs w:val="32"/>
        </w:rPr>
        <w:t>（3）采购项目内容：</w:t>
      </w:r>
      <w:r>
        <w:rPr>
          <w:rFonts w:hint="eastAsia" w:asciiTheme="minorEastAsia" w:hAnsiTheme="minorEastAsia" w:eastAsiaTheme="minorEastAsia" w:cstheme="minorEastAsia"/>
          <w:sz w:val="24"/>
          <w:szCs w:val="32"/>
          <w:u w:val="single"/>
        </w:rPr>
        <w:t xml:space="preserve">                             </w:t>
      </w:r>
    </w:p>
    <w:p w14:paraId="61276B3A">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w:t>
      </w:r>
      <w:r>
        <w:rPr>
          <w:rFonts w:hint="eastAsia" w:asciiTheme="minorEastAsia" w:hAnsiTheme="minorEastAsia" w:eastAsiaTheme="minorEastAsia" w:cstheme="minorEastAsia"/>
          <w:spacing w:val="40"/>
          <w:kern w:val="0"/>
          <w:sz w:val="24"/>
          <w:szCs w:val="32"/>
          <w:fitText w:val="1200" w:id="3"/>
        </w:rPr>
        <w:t>是否分</w:t>
      </w:r>
      <w:r>
        <w:rPr>
          <w:rFonts w:hint="eastAsia" w:asciiTheme="minorEastAsia" w:hAnsiTheme="minorEastAsia" w:eastAsiaTheme="minorEastAsia" w:cstheme="minorEastAsia"/>
          <w:spacing w:val="0"/>
          <w:kern w:val="0"/>
          <w:sz w:val="24"/>
          <w:szCs w:val="32"/>
          <w:fitText w:val="1200" w:id="3"/>
        </w:rPr>
        <w:t>包</w:t>
      </w:r>
      <w:r>
        <w:rPr>
          <w:rFonts w:hint="eastAsia" w:asciiTheme="minorEastAsia" w:hAnsiTheme="minorEastAsia" w:eastAsiaTheme="minorEastAsia" w:cstheme="minorEastAsia"/>
          <w:sz w:val="24"/>
          <w:szCs w:val="32"/>
        </w:rPr>
        <w:t>：</w:t>
      </w:r>
      <w:r>
        <w:rPr>
          <w:rFonts w:hint="eastAsia" w:asciiTheme="minorEastAsia" w:hAnsiTheme="minorEastAsia" w:eastAsiaTheme="minorEastAsia" w:cstheme="minorEastAsia"/>
          <w:sz w:val="24"/>
          <w:szCs w:val="32"/>
          <w:u w:val="single"/>
        </w:rPr>
        <w:t xml:space="preserve">   </w:t>
      </w:r>
    </w:p>
    <w:p w14:paraId="404968B6">
      <w:pPr>
        <w:spacing w:line="324" w:lineRule="auto"/>
        <w:ind w:right="-6"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2.合同金额</w:t>
      </w:r>
    </w:p>
    <w:p w14:paraId="5B42E362">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（1）合同金额小写：</w:t>
      </w:r>
      <w:r>
        <w:rPr>
          <w:rFonts w:hint="eastAsia" w:asciiTheme="minorEastAsia" w:hAnsiTheme="minorEastAsia" w:eastAsiaTheme="minorEastAsia" w:cstheme="minorEastAsia"/>
          <w:sz w:val="24"/>
          <w:szCs w:val="32"/>
          <w:u w:val="single"/>
        </w:rPr>
        <w:t xml:space="preserve">                   </w:t>
      </w:r>
      <w:r>
        <w:rPr>
          <w:rFonts w:hint="eastAsia" w:asciiTheme="minorEastAsia" w:hAnsiTheme="minorEastAsia" w:eastAsiaTheme="minorEastAsia" w:cstheme="minorEastAsia"/>
          <w:sz w:val="24"/>
          <w:szCs w:val="32"/>
        </w:rPr>
        <w:t>；大写：</w:t>
      </w:r>
      <w:r>
        <w:rPr>
          <w:rFonts w:hint="eastAsia" w:asciiTheme="minorEastAsia" w:hAnsiTheme="minorEastAsia" w:eastAsiaTheme="minorEastAsia" w:cstheme="minorEastAsia"/>
          <w:sz w:val="24"/>
          <w:szCs w:val="32"/>
          <w:u w:val="single"/>
        </w:rPr>
        <w:t xml:space="preserve">                   </w:t>
      </w:r>
      <w:r>
        <w:rPr>
          <w:rFonts w:hint="eastAsia" w:asciiTheme="minorEastAsia" w:hAnsiTheme="minorEastAsia" w:eastAsiaTheme="minorEastAsia" w:cstheme="minorEastAsia"/>
          <w:sz w:val="24"/>
          <w:szCs w:val="32"/>
        </w:rPr>
        <w:t>。</w:t>
      </w:r>
    </w:p>
    <w:p w14:paraId="301A1B91">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（2）合同标的及金额具体见附件</w:t>
      </w:r>
    </w:p>
    <w:p w14:paraId="74A051E7">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（3）合同价格形式：</w:t>
      </w:r>
      <w:r>
        <w:rPr>
          <w:rFonts w:hint="eastAsia" w:asciiTheme="minorEastAsia" w:hAnsiTheme="minorEastAsia" w:eastAsiaTheme="minorEastAsia" w:cstheme="minorEastAsia"/>
          <w:sz w:val="24"/>
          <w:szCs w:val="32"/>
        </w:rPr>
        <w:sym w:font="Wingdings 2" w:char="00A3"/>
      </w:r>
      <w:r>
        <w:rPr>
          <w:rFonts w:hint="eastAsia" w:asciiTheme="minorEastAsia" w:hAnsiTheme="minorEastAsia" w:eastAsiaTheme="minorEastAsia" w:cstheme="minorEastAsia"/>
          <w:sz w:val="24"/>
          <w:szCs w:val="32"/>
        </w:rPr>
        <w:t xml:space="preserve">固定总价   </w:t>
      </w:r>
      <w:r>
        <w:rPr>
          <w:rFonts w:hint="eastAsia" w:asciiTheme="minorEastAsia" w:hAnsiTheme="minorEastAsia" w:eastAsiaTheme="minorEastAsia" w:cstheme="minorEastAsia"/>
          <w:sz w:val="24"/>
          <w:szCs w:val="32"/>
        </w:rPr>
        <w:sym w:font="Wingdings 2" w:char="00A3"/>
      </w:r>
      <w:r>
        <w:rPr>
          <w:rFonts w:hint="eastAsia" w:asciiTheme="minorEastAsia" w:hAnsiTheme="minorEastAsia" w:eastAsiaTheme="minorEastAsia" w:cstheme="minorEastAsia"/>
          <w:sz w:val="24"/>
          <w:szCs w:val="32"/>
        </w:rPr>
        <w:t xml:space="preserve">固定单价   </w:t>
      </w:r>
      <w:r>
        <w:rPr>
          <w:rFonts w:hint="eastAsia" w:asciiTheme="minorEastAsia" w:hAnsiTheme="minorEastAsia" w:eastAsiaTheme="minorEastAsia" w:cstheme="minorEastAsia"/>
          <w:sz w:val="24"/>
          <w:szCs w:val="32"/>
        </w:rPr>
        <w:sym w:font="Wingdings 2" w:char="00A3"/>
      </w:r>
      <w:r>
        <w:rPr>
          <w:rFonts w:hint="eastAsia" w:asciiTheme="minorEastAsia" w:hAnsiTheme="minorEastAsia" w:eastAsiaTheme="minorEastAsia" w:cstheme="minorEastAsia"/>
          <w:sz w:val="24"/>
          <w:szCs w:val="32"/>
        </w:rPr>
        <w:t xml:space="preserve">成本补偿   </w:t>
      </w:r>
      <w:r>
        <w:rPr>
          <w:rFonts w:hint="eastAsia" w:asciiTheme="minorEastAsia" w:hAnsiTheme="minorEastAsia" w:eastAsiaTheme="minorEastAsia" w:cstheme="minorEastAsia"/>
          <w:sz w:val="24"/>
          <w:szCs w:val="32"/>
        </w:rPr>
        <w:sym w:font="Wingdings 2" w:char="00A3"/>
      </w:r>
      <w:r>
        <w:rPr>
          <w:rFonts w:hint="eastAsia" w:asciiTheme="minorEastAsia" w:hAnsiTheme="minorEastAsia" w:eastAsiaTheme="minorEastAsia" w:cstheme="minorEastAsia"/>
          <w:sz w:val="24"/>
          <w:szCs w:val="32"/>
        </w:rPr>
        <w:t>绩效激励</w:t>
      </w:r>
    </w:p>
    <w:p w14:paraId="45730F04">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rPr>
        <w:t>（4）付款方式：</w:t>
      </w:r>
      <w:r>
        <w:rPr>
          <w:rFonts w:hint="eastAsia" w:asciiTheme="minorEastAsia" w:hAnsiTheme="minorEastAsia" w:eastAsiaTheme="minorEastAsia" w:cstheme="minorEastAsia"/>
          <w:sz w:val="24"/>
          <w:szCs w:val="32"/>
        </w:rPr>
        <w:t>（按项目实际勾选填写）：</w:t>
      </w:r>
    </w:p>
    <w:p w14:paraId="6A13EF48">
      <w:pPr>
        <w:spacing w:line="324" w:lineRule="auto"/>
        <w:ind w:right="-6" w:firstLine="720" w:firstLineChars="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sym w:font="Wingdings 2" w:char="00A3"/>
      </w:r>
      <w:r>
        <w:rPr>
          <w:rFonts w:hint="eastAsia" w:asciiTheme="minorEastAsia" w:hAnsiTheme="minorEastAsia" w:eastAsiaTheme="minorEastAsia" w:cstheme="minorEastAsia"/>
          <w:sz w:val="24"/>
          <w:szCs w:val="32"/>
        </w:rPr>
        <w:t>全额付款：</w:t>
      </w:r>
      <w:r>
        <w:rPr>
          <w:rFonts w:hint="eastAsia" w:asciiTheme="minorEastAsia" w:hAnsiTheme="minorEastAsia" w:eastAsiaTheme="minorEastAsia" w:cstheme="minorEastAsia"/>
          <w:sz w:val="24"/>
          <w:szCs w:val="32"/>
          <w:u w:val="single"/>
        </w:rPr>
        <w:t xml:space="preserve">  （应一次性支付全部合同款项）  </w:t>
      </w:r>
    </w:p>
    <w:p w14:paraId="19CF8D67">
      <w:pPr>
        <w:spacing w:line="324" w:lineRule="auto"/>
        <w:ind w:right="-6" w:firstLine="720" w:firstLineChars="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sym w:font="Wingdings 2" w:char="00A3"/>
      </w:r>
      <w:r>
        <w:rPr>
          <w:rFonts w:hint="eastAsia" w:asciiTheme="minorEastAsia" w:hAnsiTheme="minorEastAsia" w:eastAsiaTheme="minorEastAsia" w:cstheme="minorEastAsia"/>
          <w:sz w:val="24"/>
          <w:szCs w:val="32"/>
        </w:rPr>
        <w:t>预 付 款：</w:t>
      </w:r>
      <w:r>
        <w:rPr>
          <w:rFonts w:hint="eastAsia" w:asciiTheme="minorEastAsia" w:hAnsiTheme="minorEastAsia" w:eastAsiaTheme="minorEastAsia" w:cstheme="minorEastAsia"/>
          <w:sz w:val="24"/>
          <w:szCs w:val="32"/>
          <w:u w:val="single"/>
        </w:rPr>
        <w:t xml:space="preserve">  （应明确预付款的支付比例和支付条件）  </w:t>
      </w:r>
    </w:p>
    <w:p w14:paraId="4A705FA4">
      <w:pPr>
        <w:spacing w:line="324" w:lineRule="auto"/>
        <w:ind w:right="-6" w:firstLine="720" w:firstLineChars="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sym w:font="Wingdings 2" w:char="00A3"/>
      </w:r>
      <w:r>
        <w:rPr>
          <w:rFonts w:hint="eastAsia" w:asciiTheme="minorEastAsia" w:hAnsiTheme="minorEastAsia" w:eastAsiaTheme="minorEastAsia" w:cstheme="minorEastAsia"/>
          <w:sz w:val="24"/>
          <w:szCs w:val="32"/>
        </w:rPr>
        <w:t>分期付款：</w:t>
      </w:r>
      <w:r>
        <w:rPr>
          <w:rFonts w:hint="eastAsia" w:asciiTheme="minorEastAsia" w:hAnsiTheme="minorEastAsia" w:eastAsiaTheme="minorEastAsia" w:cstheme="minorEastAsia"/>
          <w:sz w:val="24"/>
          <w:szCs w:val="32"/>
          <w:u w:val="single"/>
        </w:rPr>
        <w:t xml:space="preserve">  （应按照季度分期支付合同款项）  </w:t>
      </w:r>
    </w:p>
    <w:p w14:paraId="5411EB65">
      <w:pPr>
        <w:spacing w:line="324" w:lineRule="auto"/>
        <w:ind w:right="-6" w:firstLine="720" w:firstLineChars="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sym w:font="Wingdings 2" w:char="00A3"/>
      </w:r>
      <w:r>
        <w:rPr>
          <w:rFonts w:hint="eastAsia" w:asciiTheme="minorEastAsia" w:hAnsiTheme="minorEastAsia" w:eastAsiaTheme="minorEastAsia" w:cstheme="minorEastAsia"/>
          <w:sz w:val="24"/>
          <w:szCs w:val="32"/>
        </w:rPr>
        <w:t>成本补偿：</w:t>
      </w:r>
      <w:r>
        <w:rPr>
          <w:rFonts w:hint="eastAsia" w:asciiTheme="minorEastAsia" w:hAnsiTheme="minorEastAsia" w:eastAsiaTheme="minorEastAsia" w:cstheme="minorEastAsia"/>
          <w:sz w:val="24"/>
          <w:szCs w:val="32"/>
          <w:u w:val="single"/>
        </w:rPr>
        <w:t xml:space="preserve">  （应明确按照成本补偿方式的支付方式和支付条件）  </w:t>
      </w:r>
    </w:p>
    <w:p w14:paraId="4E807335">
      <w:pPr>
        <w:spacing w:line="324" w:lineRule="auto"/>
        <w:ind w:right="-6" w:firstLine="720" w:firstLineChars="300"/>
        <w:rPr>
          <w:rFonts w:hint="eastAsia" w:asciiTheme="minorEastAsia" w:hAnsiTheme="minorEastAsia" w:eastAsiaTheme="minorEastAsia" w:cstheme="minorEastAsia"/>
          <w:sz w:val="24"/>
          <w:szCs w:val="32"/>
          <w:u w:val="single"/>
        </w:rPr>
      </w:pPr>
      <w:r>
        <w:rPr>
          <w:rFonts w:hint="eastAsia" w:asciiTheme="minorEastAsia" w:hAnsiTheme="minorEastAsia" w:eastAsiaTheme="minorEastAsia" w:cstheme="minorEastAsia"/>
          <w:sz w:val="24"/>
          <w:szCs w:val="32"/>
        </w:rPr>
        <w:sym w:font="Wingdings 2" w:char="00A3"/>
      </w:r>
      <w:r>
        <w:rPr>
          <w:rFonts w:hint="eastAsia" w:asciiTheme="minorEastAsia" w:hAnsiTheme="minorEastAsia" w:eastAsiaTheme="minorEastAsia" w:cstheme="minorEastAsia"/>
          <w:sz w:val="24"/>
          <w:szCs w:val="32"/>
        </w:rPr>
        <w:t>绩效激励：</w:t>
      </w:r>
      <w:r>
        <w:rPr>
          <w:rFonts w:hint="eastAsia" w:asciiTheme="minorEastAsia" w:hAnsiTheme="minorEastAsia" w:eastAsiaTheme="minorEastAsia" w:cstheme="minorEastAsia"/>
          <w:sz w:val="24"/>
          <w:szCs w:val="32"/>
          <w:u w:val="single"/>
        </w:rPr>
        <w:t xml:space="preserve">  （应明确按照绩效激励方式的支付方式和支付条件）  </w:t>
      </w:r>
    </w:p>
    <w:p w14:paraId="30D09936">
      <w:pPr>
        <w:spacing w:line="324" w:lineRule="auto"/>
        <w:ind w:right="-6" w:firstLine="48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szCs w:val="32"/>
        </w:rPr>
        <w:t>（5）付款单位：</w:t>
      </w:r>
      <w:r>
        <w:rPr>
          <w:rFonts w:hint="eastAsia" w:asciiTheme="minorEastAsia" w:hAnsiTheme="minorEastAsia" w:eastAsiaTheme="minorEastAsia" w:cstheme="minorEastAsia"/>
          <w:sz w:val="24"/>
          <w:szCs w:val="32"/>
          <w:u w:val="single"/>
        </w:rPr>
        <w:t xml:space="preserve">                              </w:t>
      </w:r>
    </w:p>
    <w:p w14:paraId="4D92881B">
      <w:pPr>
        <w:spacing w:line="324" w:lineRule="auto"/>
        <w:ind w:right="-6"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3.合同履行</w:t>
      </w:r>
    </w:p>
    <w:p w14:paraId="097C4556">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（1）起始日期：</w:t>
      </w:r>
      <w:r>
        <w:rPr>
          <w:rFonts w:hint="eastAsia" w:asciiTheme="minorEastAsia" w:hAnsiTheme="minorEastAsia" w:eastAsiaTheme="minorEastAsia" w:cstheme="minorEastAsia"/>
          <w:sz w:val="24"/>
          <w:szCs w:val="32"/>
          <w:u w:val="single"/>
        </w:rPr>
        <w:t xml:space="preserve">  </w:t>
      </w:r>
      <w:r>
        <w:rPr>
          <w:rFonts w:hint="eastAsia" w:asciiTheme="minorEastAsia" w:hAnsiTheme="minorEastAsia" w:eastAsiaTheme="minorEastAsia" w:cstheme="minorEastAsia"/>
          <w:sz w:val="24"/>
          <w:szCs w:val="32"/>
          <w:u w:val="single"/>
          <w:lang w:val="en-US" w:eastAsia="zh-CN"/>
        </w:rPr>
        <w:t xml:space="preserve"> </w:t>
      </w:r>
      <w:r>
        <w:rPr>
          <w:rFonts w:hint="eastAsia" w:asciiTheme="minorEastAsia" w:hAnsiTheme="minorEastAsia" w:eastAsiaTheme="minorEastAsia" w:cstheme="minorEastAsia"/>
          <w:sz w:val="24"/>
          <w:szCs w:val="32"/>
          <w:u w:val="single"/>
        </w:rPr>
        <w:t xml:space="preserve"> </w:t>
      </w:r>
      <w:r>
        <w:rPr>
          <w:rFonts w:hint="eastAsia" w:asciiTheme="minorEastAsia" w:hAnsiTheme="minorEastAsia" w:eastAsiaTheme="minorEastAsia" w:cstheme="minorEastAsia"/>
          <w:sz w:val="24"/>
          <w:szCs w:val="32"/>
        </w:rPr>
        <w:t>年</w:t>
      </w:r>
      <w:r>
        <w:rPr>
          <w:rFonts w:hint="eastAsia" w:asciiTheme="minorEastAsia" w:hAnsiTheme="minorEastAsia" w:eastAsiaTheme="minorEastAsia" w:cstheme="minorEastAsia"/>
          <w:sz w:val="24"/>
          <w:szCs w:val="32"/>
          <w:u w:val="single"/>
        </w:rPr>
        <w:t xml:space="preserve">  </w:t>
      </w:r>
      <w:r>
        <w:rPr>
          <w:rFonts w:hint="eastAsia" w:asciiTheme="minorEastAsia" w:hAnsiTheme="minorEastAsia" w:eastAsiaTheme="minorEastAsia" w:cstheme="minorEastAsia"/>
          <w:sz w:val="24"/>
          <w:szCs w:val="32"/>
        </w:rPr>
        <w:t>月</w:t>
      </w:r>
      <w:r>
        <w:rPr>
          <w:rFonts w:hint="eastAsia" w:asciiTheme="minorEastAsia" w:hAnsiTheme="minorEastAsia" w:eastAsiaTheme="minorEastAsia" w:cstheme="minorEastAsia"/>
          <w:sz w:val="24"/>
          <w:szCs w:val="32"/>
          <w:u w:val="single"/>
        </w:rPr>
        <w:t xml:space="preserve">  </w:t>
      </w:r>
      <w:r>
        <w:rPr>
          <w:rFonts w:hint="eastAsia" w:asciiTheme="minorEastAsia" w:hAnsiTheme="minorEastAsia" w:eastAsiaTheme="minorEastAsia" w:cstheme="minorEastAsia"/>
          <w:sz w:val="24"/>
          <w:szCs w:val="32"/>
        </w:rPr>
        <w:t>日，完成日期：</w:t>
      </w:r>
      <w:r>
        <w:rPr>
          <w:rFonts w:hint="eastAsia" w:asciiTheme="minorEastAsia" w:hAnsiTheme="minorEastAsia" w:eastAsiaTheme="minorEastAsia" w:cstheme="minorEastAsia"/>
          <w:sz w:val="24"/>
          <w:szCs w:val="32"/>
          <w:u w:val="single"/>
        </w:rPr>
        <w:t xml:space="preserve">    </w:t>
      </w:r>
      <w:r>
        <w:rPr>
          <w:rFonts w:hint="eastAsia" w:asciiTheme="minorEastAsia" w:hAnsiTheme="minorEastAsia" w:eastAsiaTheme="minorEastAsia" w:cstheme="minorEastAsia"/>
          <w:sz w:val="24"/>
          <w:szCs w:val="32"/>
        </w:rPr>
        <w:t>年</w:t>
      </w:r>
      <w:r>
        <w:rPr>
          <w:rFonts w:hint="eastAsia" w:asciiTheme="minorEastAsia" w:hAnsiTheme="minorEastAsia" w:eastAsiaTheme="minorEastAsia" w:cstheme="minorEastAsia"/>
          <w:sz w:val="24"/>
          <w:szCs w:val="32"/>
          <w:u w:val="single"/>
        </w:rPr>
        <w:t xml:space="preserve">  </w:t>
      </w:r>
      <w:r>
        <w:rPr>
          <w:rFonts w:hint="eastAsia" w:asciiTheme="minorEastAsia" w:hAnsiTheme="minorEastAsia" w:eastAsiaTheme="minorEastAsia" w:cstheme="minorEastAsia"/>
          <w:sz w:val="24"/>
          <w:szCs w:val="32"/>
        </w:rPr>
        <w:t>月</w:t>
      </w:r>
      <w:r>
        <w:rPr>
          <w:rFonts w:hint="eastAsia" w:asciiTheme="minorEastAsia" w:hAnsiTheme="minorEastAsia" w:eastAsiaTheme="minorEastAsia" w:cstheme="minorEastAsia"/>
          <w:sz w:val="24"/>
          <w:szCs w:val="32"/>
          <w:u w:val="single"/>
        </w:rPr>
        <w:t xml:space="preserve">  </w:t>
      </w:r>
      <w:r>
        <w:rPr>
          <w:rFonts w:hint="eastAsia" w:asciiTheme="minorEastAsia" w:hAnsiTheme="minorEastAsia" w:eastAsiaTheme="minorEastAsia" w:cstheme="minorEastAsia"/>
          <w:sz w:val="24"/>
          <w:szCs w:val="32"/>
        </w:rPr>
        <w:t>日；总日历天数：</w:t>
      </w:r>
      <w:r>
        <w:rPr>
          <w:rFonts w:hint="eastAsia" w:asciiTheme="minorEastAsia" w:hAnsiTheme="minorEastAsia" w:eastAsiaTheme="minorEastAsia" w:cstheme="minorEastAsia"/>
          <w:sz w:val="24"/>
          <w:szCs w:val="32"/>
          <w:u w:val="single"/>
        </w:rPr>
        <w:t xml:space="preserve">   </w:t>
      </w:r>
      <w:r>
        <w:rPr>
          <w:rFonts w:hint="eastAsia" w:asciiTheme="minorEastAsia" w:hAnsiTheme="minorEastAsia" w:eastAsiaTheme="minorEastAsia" w:cstheme="minorEastAsia"/>
          <w:sz w:val="24"/>
          <w:szCs w:val="32"/>
        </w:rPr>
        <w:t>天</w:t>
      </w:r>
    </w:p>
    <w:p w14:paraId="7F7C9954">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（2）地点：</w:t>
      </w:r>
      <w:r>
        <w:rPr>
          <w:rFonts w:hint="eastAsia" w:asciiTheme="minorEastAsia" w:hAnsiTheme="minorEastAsia" w:eastAsiaTheme="minorEastAsia" w:cstheme="minorEastAsia"/>
          <w:sz w:val="24"/>
          <w:szCs w:val="32"/>
          <w:u w:val="single"/>
        </w:rPr>
        <w:t xml:space="preserve">                   </w:t>
      </w:r>
    </w:p>
    <w:p w14:paraId="6A132858">
      <w:pPr>
        <w:spacing w:line="324" w:lineRule="auto"/>
        <w:ind w:right="-6" w:firstLine="480" w:firstLineChars="200"/>
        <w:rPr>
          <w:rFonts w:hint="eastAsia" w:asciiTheme="minorEastAsia" w:hAnsiTheme="minorEastAsia" w:eastAsiaTheme="minorEastAsia" w:cstheme="minorEastAsia"/>
          <w:sz w:val="24"/>
          <w:szCs w:val="32"/>
          <w:u w:val="single"/>
        </w:rPr>
      </w:pPr>
      <w:r>
        <w:rPr>
          <w:rFonts w:hint="eastAsia" w:asciiTheme="minorEastAsia" w:hAnsiTheme="minorEastAsia" w:eastAsiaTheme="minorEastAsia" w:cstheme="minorEastAsia"/>
          <w:sz w:val="24"/>
          <w:szCs w:val="32"/>
        </w:rPr>
        <w:t>（3）方式：</w:t>
      </w:r>
      <w:r>
        <w:rPr>
          <w:rFonts w:hint="eastAsia" w:asciiTheme="minorEastAsia" w:hAnsiTheme="minorEastAsia" w:eastAsiaTheme="minorEastAsia" w:cstheme="minorEastAsia"/>
          <w:sz w:val="24"/>
          <w:szCs w:val="32"/>
          <w:u w:val="single"/>
        </w:rPr>
        <w:t xml:space="preserve">                     </w:t>
      </w:r>
    </w:p>
    <w:p w14:paraId="7BFFA97B">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（4）履约担保：</w:t>
      </w:r>
      <w:r>
        <w:rPr>
          <w:rFonts w:hint="eastAsia" w:asciiTheme="minorEastAsia" w:hAnsiTheme="minorEastAsia" w:eastAsiaTheme="minorEastAsia" w:cstheme="minorEastAsia"/>
          <w:sz w:val="24"/>
          <w:szCs w:val="32"/>
          <w:u w:val="single"/>
        </w:rPr>
        <w:t>履约担保的金额、形式和期限要求</w:t>
      </w:r>
    </w:p>
    <w:p w14:paraId="1A15DB02">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（5）质量保证金：</w:t>
      </w:r>
      <w:r>
        <w:rPr>
          <w:rFonts w:hint="eastAsia" w:asciiTheme="minorEastAsia" w:hAnsiTheme="minorEastAsia" w:eastAsiaTheme="minorEastAsia" w:cstheme="minorEastAsia"/>
          <w:sz w:val="24"/>
          <w:szCs w:val="32"/>
          <w:u w:val="single"/>
        </w:rPr>
        <w:t>质量保证金的金额、形式和期限要求</w:t>
      </w:r>
    </w:p>
    <w:p w14:paraId="537F9100">
      <w:pPr>
        <w:spacing w:line="324" w:lineRule="auto"/>
        <w:ind w:right="-6"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4.验收</w:t>
      </w:r>
    </w:p>
    <w:p w14:paraId="5FEA8C75">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（1）验收主体：</w:t>
      </w:r>
      <w:r>
        <w:rPr>
          <w:rFonts w:hint="eastAsia" w:asciiTheme="minorEastAsia" w:hAnsiTheme="minorEastAsia" w:eastAsiaTheme="minorEastAsia" w:cstheme="minorEastAsia"/>
          <w:sz w:val="24"/>
          <w:szCs w:val="32"/>
          <w:u w:val="single"/>
        </w:rPr>
        <w:t xml:space="preserve">                             </w:t>
      </w:r>
    </w:p>
    <w:p w14:paraId="441B4E14">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（2）验收方式：</w:t>
      </w:r>
      <w:r>
        <w:rPr>
          <w:rFonts w:hint="eastAsia" w:asciiTheme="minorEastAsia" w:hAnsiTheme="minorEastAsia" w:eastAsiaTheme="minorEastAsia" w:cstheme="minorEastAsia"/>
          <w:sz w:val="24"/>
          <w:szCs w:val="32"/>
          <w:u w:val="single"/>
        </w:rPr>
        <w:t xml:space="preserve">                             </w:t>
      </w:r>
    </w:p>
    <w:p w14:paraId="668F2C7B">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（3）验收标准：</w:t>
      </w:r>
      <w:r>
        <w:rPr>
          <w:rFonts w:hint="eastAsia" w:asciiTheme="minorEastAsia" w:hAnsiTheme="minorEastAsia" w:eastAsiaTheme="minorEastAsia" w:cstheme="minorEastAsia"/>
          <w:sz w:val="24"/>
          <w:szCs w:val="32"/>
          <w:u w:val="single"/>
        </w:rPr>
        <w:t xml:space="preserve">                             </w:t>
      </w:r>
    </w:p>
    <w:p w14:paraId="1DAA5502">
      <w:pPr>
        <w:spacing w:line="324" w:lineRule="auto"/>
        <w:ind w:right="-6"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5.组成合同的文件</w:t>
      </w:r>
    </w:p>
    <w:p w14:paraId="2A8BFDE7">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本协议书与下列文件一起构成合同文件，如下述文件之间有任何抵触、矛盾或歧义，应按以下顺序解释：</w:t>
      </w:r>
    </w:p>
    <w:p w14:paraId="57984808">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（1）在招标或合同履行过程中乙方作出的承诺以及双方协商达成的变更或补充协议；</w:t>
      </w:r>
    </w:p>
    <w:p w14:paraId="08102ED4">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（2）中标通知书；</w:t>
      </w:r>
    </w:p>
    <w:p w14:paraId="6FE13F46">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（3）投标文件；</w:t>
      </w:r>
    </w:p>
    <w:p w14:paraId="2F454C7A">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（4）政府采购合同格式条款及其附件；</w:t>
      </w:r>
    </w:p>
    <w:p w14:paraId="1093BB77">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（5）专用合同条款；</w:t>
      </w:r>
    </w:p>
    <w:p w14:paraId="0E8B813A">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（6）通用合同条款（如果有）；</w:t>
      </w:r>
    </w:p>
    <w:p w14:paraId="18E93C01">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（7）标准、规范及有关技术文件，图纸；</w:t>
      </w:r>
    </w:p>
    <w:p w14:paraId="46AFB31A">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（8）其他合同文件。</w:t>
      </w:r>
    </w:p>
    <w:p w14:paraId="5D76C3E3">
      <w:pPr>
        <w:spacing w:line="324" w:lineRule="auto"/>
        <w:ind w:right="-6"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6.合同生效</w:t>
      </w:r>
    </w:p>
    <w:p w14:paraId="3045B455">
      <w:pPr>
        <w:spacing w:line="324" w:lineRule="auto"/>
        <w:ind w:right="-6"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本合同自</w:t>
      </w:r>
      <w:r>
        <w:rPr>
          <w:rFonts w:hint="eastAsia" w:asciiTheme="minorEastAsia" w:hAnsiTheme="minorEastAsia" w:eastAsiaTheme="minorEastAsia" w:cstheme="minorEastAsia"/>
          <w:sz w:val="24"/>
          <w:szCs w:val="32"/>
          <w:u w:val="single"/>
        </w:rPr>
        <w:t xml:space="preserve">               </w:t>
      </w:r>
      <w:r>
        <w:rPr>
          <w:rFonts w:hint="eastAsia" w:asciiTheme="minorEastAsia" w:hAnsiTheme="minorEastAsia" w:eastAsiaTheme="minorEastAsia" w:cstheme="minorEastAsia"/>
          <w:sz w:val="24"/>
          <w:szCs w:val="32"/>
        </w:rPr>
        <w:t>生效。</w:t>
      </w:r>
    </w:p>
    <w:p w14:paraId="7D23E4B0">
      <w:pPr>
        <w:spacing w:line="324" w:lineRule="auto"/>
        <w:ind w:right="-6" w:firstLine="241" w:firstLineChars="10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7.合同份数</w:t>
      </w:r>
    </w:p>
    <w:p w14:paraId="65091C89">
      <w:pPr>
        <w:spacing w:line="324" w:lineRule="auto"/>
        <w:ind w:right="-6"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本合同一式</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份，采购人执</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份，供应商执</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份，代理机构执</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份，均具有同等法律效力。</w:t>
      </w:r>
    </w:p>
    <w:p w14:paraId="2998A37D">
      <w:pPr>
        <w:adjustRightInd w:val="0"/>
        <w:snapToGrid w:val="0"/>
        <w:spacing w:line="324" w:lineRule="auto"/>
        <w:ind w:right="-6"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合同订立时间：</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年</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月</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日</w:t>
      </w:r>
    </w:p>
    <w:p w14:paraId="5FC4C594">
      <w:pPr>
        <w:adjustRightInd w:val="0"/>
        <w:snapToGrid w:val="0"/>
        <w:spacing w:line="324" w:lineRule="auto"/>
        <w:ind w:right="-6" w:firstLine="480" w:firstLineChars="200"/>
        <w:rPr>
          <w:rFonts w:hint="eastAsia" w:asciiTheme="minorEastAsia" w:hAnsiTheme="minorEastAsia" w:eastAsiaTheme="minorEastAsia" w:cstheme="minorEastAsia"/>
          <w:color w:val="000000" w:themeColor="text1"/>
          <w:sz w:val="24"/>
          <w:u w:val="single"/>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合同订立地点：</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p>
    <w:p w14:paraId="1ADCB06F">
      <w:pPr>
        <w:spacing w:line="264" w:lineRule="auto"/>
        <w:ind w:right="-6"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附件：具体标的明细、分包合同等</w:t>
      </w:r>
    </w:p>
    <w:p w14:paraId="1F695ADB">
      <w:pPr>
        <w:adjustRightInd w:val="0"/>
        <w:snapToGrid w:val="0"/>
        <w:spacing w:line="360" w:lineRule="auto"/>
        <w:rPr>
          <w:rFonts w:hint="eastAsia" w:asciiTheme="minorEastAsia" w:hAnsiTheme="minorEastAsia" w:eastAsiaTheme="minorEastAsia" w:cstheme="minorEastAsia"/>
          <w:color w:val="000000" w:themeColor="text1"/>
          <w:sz w:val="6"/>
          <w:szCs w:val="6"/>
          <w14:textFill>
            <w14:solidFill>
              <w14:schemeClr w14:val="tx1"/>
            </w14:solidFill>
          </w14:textFill>
        </w:rPr>
      </w:pPr>
    </w:p>
    <w:tbl>
      <w:tblPr>
        <w:tblStyle w:val="91"/>
        <w:tblW w:w="97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55"/>
        <w:gridCol w:w="4903"/>
      </w:tblGrid>
      <w:tr w14:paraId="12331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855" w:type="dxa"/>
            <w:tcBorders>
              <w:tl2br w:val="nil"/>
              <w:tr2bl w:val="nil"/>
            </w:tcBorders>
          </w:tcPr>
          <w:p w14:paraId="27CF56CE">
            <w:pPr>
              <w:pStyle w:val="117"/>
              <w:spacing w:line="310" w:lineRule="auto"/>
              <w:ind w:right="-6"/>
              <w:rPr>
                <w:rFonts w:hint="eastAsia" w:asciiTheme="minorEastAsia" w:hAnsiTheme="minorEastAsia" w:eastAsiaTheme="minorEastAsia" w:cstheme="minorEastAsia"/>
                <w:szCs w:val="32"/>
              </w:rPr>
            </w:pPr>
            <w:r>
              <w:rPr>
                <w:rFonts w:hint="eastAsia" w:asciiTheme="minorEastAsia" w:hAnsiTheme="minorEastAsia" w:eastAsiaTheme="minorEastAsia" w:cstheme="minorEastAsia"/>
                <w:szCs w:val="32"/>
              </w:rPr>
              <w:t>甲方（公章）：</w:t>
            </w:r>
          </w:p>
          <w:p w14:paraId="5841EF1B">
            <w:pPr>
              <w:pStyle w:val="117"/>
              <w:spacing w:line="310" w:lineRule="auto"/>
              <w:ind w:right="-6"/>
              <w:rPr>
                <w:rFonts w:hint="eastAsia" w:asciiTheme="minorEastAsia" w:hAnsiTheme="minorEastAsia" w:eastAsiaTheme="minorEastAsia" w:cstheme="minorEastAsia"/>
                <w:szCs w:val="32"/>
                <w:u w:val="single"/>
              </w:rPr>
            </w:pPr>
            <w:r>
              <w:rPr>
                <w:rFonts w:hint="eastAsia" w:asciiTheme="minorEastAsia" w:hAnsiTheme="minorEastAsia" w:eastAsiaTheme="minorEastAsia" w:cstheme="minorEastAsia"/>
                <w:szCs w:val="32"/>
              </w:rPr>
              <w:t>法定代表人：</w:t>
            </w:r>
            <w:r>
              <w:rPr>
                <w:rFonts w:hint="eastAsia" w:asciiTheme="minorEastAsia" w:hAnsiTheme="minorEastAsia" w:eastAsiaTheme="minorEastAsia" w:cstheme="minorEastAsia"/>
                <w:szCs w:val="32"/>
                <w:u w:val="single"/>
              </w:rPr>
              <w:t xml:space="preserve">                   </w:t>
            </w:r>
          </w:p>
          <w:p w14:paraId="747EC994">
            <w:pPr>
              <w:pStyle w:val="117"/>
              <w:spacing w:line="310" w:lineRule="auto"/>
              <w:ind w:right="-6"/>
              <w:rPr>
                <w:rFonts w:hint="eastAsia" w:asciiTheme="minorEastAsia" w:hAnsiTheme="minorEastAsia" w:eastAsiaTheme="minorEastAsia" w:cstheme="minorEastAsia"/>
                <w:szCs w:val="32"/>
              </w:rPr>
            </w:pPr>
            <w:r>
              <w:rPr>
                <w:rFonts w:hint="eastAsia" w:asciiTheme="minorEastAsia" w:hAnsiTheme="minorEastAsia" w:eastAsiaTheme="minorEastAsia" w:cstheme="minorEastAsia"/>
                <w:szCs w:val="32"/>
              </w:rPr>
              <w:t>委托代理人：</w:t>
            </w:r>
            <w:r>
              <w:rPr>
                <w:rFonts w:hint="eastAsia" w:asciiTheme="minorEastAsia" w:hAnsiTheme="minorEastAsia" w:eastAsiaTheme="minorEastAsia" w:cstheme="minorEastAsia"/>
                <w:szCs w:val="32"/>
                <w:u w:val="single"/>
              </w:rPr>
              <w:t xml:space="preserve">                   </w:t>
            </w:r>
          </w:p>
          <w:p w14:paraId="3F082CC0">
            <w:pPr>
              <w:pStyle w:val="117"/>
              <w:spacing w:line="310" w:lineRule="auto"/>
              <w:ind w:right="-6"/>
              <w:rPr>
                <w:rFonts w:hint="eastAsia" w:asciiTheme="minorEastAsia" w:hAnsiTheme="minorEastAsia" w:eastAsiaTheme="minorEastAsia" w:cstheme="minorEastAsia"/>
                <w:szCs w:val="32"/>
                <w:u w:val="single"/>
              </w:rPr>
            </w:pPr>
            <w:r>
              <w:rPr>
                <w:rFonts w:hint="eastAsia" w:asciiTheme="minorEastAsia" w:hAnsiTheme="minorEastAsia" w:eastAsiaTheme="minorEastAsia" w:cstheme="minorEastAsia"/>
                <w:szCs w:val="32"/>
              </w:rPr>
              <w:t>电      话：</w:t>
            </w:r>
            <w:r>
              <w:rPr>
                <w:rFonts w:hint="eastAsia" w:asciiTheme="minorEastAsia" w:hAnsiTheme="minorEastAsia" w:eastAsiaTheme="minorEastAsia" w:cstheme="minorEastAsia"/>
                <w:szCs w:val="32"/>
                <w:u w:val="single"/>
              </w:rPr>
              <w:t xml:space="preserve">                   </w:t>
            </w:r>
          </w:p>
          <w:p w14:paraId="37A99080">
            <w:pPr>
              <w:pStyle w:val="117"/>
              <w:spacing w:line="310" w:lineRule="auto"/>
              <w:ind w:right="-6"/>
              <w:rPr>
                <w:rFonts w:hint="eastAsia" w:asciiTheme="minorEastAsia" w:hAnsiTheme="minorEastAsia" w:eastAsiaTheme="minorEastAsia" w:cstheme="minorEastAsia"/>
                <w:szCs w:val="32"/>
                <w:u w:val="single"/>
              </w:rPr>
            </w:pPr>
            <w:r>
              <w:rPr>
                <w:rFonts w:hint="eastAsia" w:asciiTheme="minorEastAsia" w:hAnsiTheme="minorEastAsia" w:eastAsiaTheme="minorEastAsia" w:cstheme="minorEastAsia"/>
                <w:szCs w:val="32"/>
              </w:rPr>
              <w:t>传      真：</w:t>
            </w:r>
            <w:r>
              <w:rPr>
                <w:rFonts w:hint="eastAsia" w:asciiTheme="minorEastAsia" w:hAnsiTheme="minorEastAsia" w:eastAsiaTheme="minorEastAsia" w:cstheme="minorEastAsia"/>
                <w:szCs w:val="32"/>
                <w:u w:val="single"/>
              </w:rPr>
              <w:t xml:space="preserve">                   </w:t>
            </w:r>
          </w:p>
          <w:p w14:paraId="7F1954AA">
            <w:pPr>
              <w:pStyle w:val="117"/>
              <w:spacing w:line="310" w:lineRule="auto"/>
              <w:ind w:right="-6"/>
              <w:rPr>
                <w:rFonts w:hint="eastAsia" w:asciiTheme="minorEastAsia" w:hAnsiTheme="minorEastAsia" w:eastAsiaTheme="minorEastAsia" w:cstheme="minorEastAsia"/>
                <w:szCs w:val="32"/>
                <w:u w:val="single"/>
              </w:rPr>
            </w:pPr>
            <w:r>
              <w:rPr>
                <w:rFonts w:hint="eastAsia" w:asciiTheme="minorEastAsia" w:hAnsiTheme="minorEastAsia" w:eastAsiaTheme="minorEastAsia" w:cstheme="minorEastAsia"/>
                <w:szCs w:val="32"/>
              </w:rPr>
              <w:t>统一社会信用代码：</w:t>
            </w:r>
            <w:r>
              <w:rPr>
                <w:rFonts w:hint="eastAsia" w:asciiTheme="minorEastAsia" w:hAnsiTheme="minorEastAsia" w:eastAsiaTheme="minorEastAsia" w:cstheme="minorEastAsia"/>
                <w:szCs w:val="32"/>
                <w:u w:val="single"/>
              </w:rPr>
              <w:t xml:space="preserve">                  </w:t>
            </w:r>
          </w:p>
        </w:tc>
        <w:tc>
          <w:tcPr>
            <w:tcW w:w="4903" w:type="dxa"/>
            <w:tcBorders>
              <w:tl2br w:val="nil"/>
              <w:tr2bl w:val="nil"/>
            </w:tcBorders>
          </w:tcPr>
          <w:p w14:paraId="09D1F99E">
            <w:pPr>
              <w:pStyle w:val="117"/>
              <w:spacing w:line="310" w:lineRule="auto"/>
              <w:ind w:right="-6"/>
              <w:rPr>
                <w:rFonts w:hint="eastAsia" w:asciiTheme="minorEastAsia" w:hAnsiTheme="minorEastAsia" w:eastAsiaTheme="minorEastAsia" w:cstheme="minorEastAsia"/>
                <w:szCs w:val="32"/>
              </w:rPr>
            </w:pPr>
            <w:r>
              <w:rPr>
                <w:rFonts w:hint="eastAsia" w:asciiTheme="minorEastAsia" w:hAnsiTheme="minorEastAsia" w:eastAsiaTheme="minorEastAsia" w:cstheme="minorEastAsia"/>
                <w:szCs w:val="32"/>
              </w:rPr>
              <w:t>乙方（公章）：</w:t>
            </w:r>
          </w:p>
          <w:p w14:paraId="5761DF9D">
            <w:pPr>
              <w:pStyle w:val="117"/>
              <w:spacing w:line="310" w:lineRule="auto"/>
              <w:ind w:right="-6"/>
              <w:rPr>
                <w:rFonts w:hint="eastAsia" w:asciiTheme="minorEastAsia" w:hAnsiTheme="minorEastAsia" w:eastAsiaTheme="minorEastAsia" w:cstheme="minorEastAsia"/>
                <w:szCs w:val="32"/>
                <w:u w:val="single"/>
              </w:rPr>
            </w:pPr>
            <w:r>
              <w:rPr>
                <w:rFonts w:hint="eastAsia" w:asciiTheme="minorEastAsia" w:hAnsiTheme="minorEastAsia" w:eastAsiaTheme="minorEastAsia" w:cstheme="minorEastAsia"/>
                <w:szCs w:val="32"/>
              </w:rPr>
              <w:t>法定代表人：</w:t>
            </w:r>
            <w:r>
              <w:rPr>
                <w:rFonts w:hint="eastAsia" w:asciiTheme="minorEastAsia" w:hAnsiTheme="minorEastAsia" w:eastAsiaTheme="minorEastAsia" w:cstheme="minorEastAsia"/>
                <w:szCs w:val="32"/>
                <w:u w:val="single"/>
              </w:rPr>
              <w:t xml:space="preserve">                     </w:t>
            </w:r>
          </w:p>
          <w:p w14:paraId="60CC733C">
            <w:pPr>
              <w:pStyle w:val="117"/>
              <w:spacing w:line="310" w:lineRule="auto"/>
              <w:ind w:right="-6"/>
              <w:rPr>
                <w:rFonts w:hint="eastAsia" w:asciiTheme="minorEastAsia" w:hAnsiTheme="minorEastAsia" w:eastAsiaTheme="minorEastAsia" w:cstheme="minorEastAsia"/>
                <w:szCs w:val="32"/>
                <w:u w:val="single"/>
              </w:rPr>
            </w:pPr>
            <w:r>
              <w:rPr>
                <w:rFonts w:hint="eastAsia" w:asciiTheme="minorEastAsia" w:hAnsiTheme="minorEastAsia" w:eastAsiaTheme="minorEastAsia" w:cstheme="minorEastAsia"/>
                <w:szCs w:val="32"/>
              </w:rPr>
              <w:t>委托代理人：</w:t>
            </w:r>
            <w:r>
              <w:rPr>
                <w:rFonts w:hint="eastAsia" w:asciiTheme="minorEastAsia" w:hAnsiTheme="minorEastAsia" w:eastAsiaTheme="minorEastAsia" w:cstheme="minorEastAsia"/>
                <w:szCs w:val="32"/>
                <w:u w:val="single"/>
              </w:rPr>
              <w:t xml:space="preserve">                     </w:t>
            </w:r>
          </w:p>
          <w:p w14:paraId="1E6D9F8A">
            <w:pPr>
              <w:pStyle w:val="117"/>
              <w:spacing w:line="310" w:lineRule="auto"/>
              <w:ind w:right="-6"/>
              <w:rPr>
                <w:rFonts w:hint="eastAsia" w:asciiTheme="minorEastAsia" w:hAnsiTheme="minorEastAsia" w:eastAsiaTheme="minorEastAsia" w:cstheme="minorEastAsia"/>
                <w:szCs w:val="32"/>
              </w:rPr>
            </w:pPr>
            <w:r>
              <w:rPr>
                <w:rFonts w:hint="eastAsia" w:asciiTheme="minorEastAsia" w:hAnsiTheme="minorEastAsia" w:eastAsiaTheme="minorEastAsia" w:cstheme="minorEastAsia"/>
                <w:szCs w:val="32"/>
              </w:rPr>
              <w:t>电      话：</w:t>
            </w:r>
            <w:r>
              <w:rPr>
                <w:rFonts w:hint="eastAsia" w:asciiTheme="minorEastAsia" w:hAnsiTheme="minorEastAsia" w:eastAsiaTheme="minorEastAsia" w:cstheme="minorEastAsia"/>
                <w:szCs w:val="32"/>
                <w:u w:val="single"/>
              </w:rPr>
              <w:t xml:space="preserve">                     </w:t>
            </w:r>
          </w:p>
          <w:p w14:paraId="6E8E2355">
            <w:pPr>
              <w:pStyle w:val="117"/>
              <w:spacing w:line="310" w:lineRule="auto"/>
              <w:ind w:right="-6"/>
              <w:rPr>
                <w:rFonts w:hint="eastAsia" w:asciiTheme="minorEastAsia" w:hAnsiTheme="minorEastAsia" w:eastAsiaTheme="minorEastAsia" w:cstheme="minorEastAsia"/>
                <w:szCs w:val="32"/>
              </w:rPr>
            </w:pPr>
            <w:r>
              <w:rPr>
                <w:rFonts w:hint="eastAsia" w:asciiTheme="minorEastAsia" w:hAnsiTheme="minorEastAsia" w:eastAsiaTheme="minorEastAsia" w:cstheme="minorEastAsia"/>
                <w:szCs w:val="32"/>
              </w:rPr>
              <w:t>传      真：</w:t>
            </w:r>
            <w:r>
              <w:rPr>
                <w:rFonts w:hint="eastAsia" w:asciiTheme="minorEastAsia" w:hAnsiTheme="minorEastAsia" w:eastAsiaTheme="minorEastAsia" w:cstheme="minorEastAsia"/>
                <w:szCs w:val="32"/>
                <w:u w:val="single"/>
              </w:rPr>
              <w:t xml:space="preserve">                     </w:t>
            </w:r>
          </w:p>
          <w:p w14:paraId="5DEE688A">
            <w:pPr>
              <w:pStyle w:val="117"/>
              <w:spacing w:line="310" w:lineRule="auto"/>
              <w:ind w:right="-6"/>
              <w:rPr>
                <w:rFonts w:hint="eastAsia" w:asciiTheme="minorEastAsia" w:hAnsiTheme="minorEastAsia" w:eastAsiaTheme="minorEastAsia" w:cstheme="minorEastAsia"/>
                <w:szCs w:val="32"/>
              </w:rPr>
            </w:pPr>
            <w:r>
              <w:rPr>
                <w:rFonts w:hint="eastAsia" w:asciiTheme="minorEastAsia" w:hAnsiTheme="minorEastAsia" w:eastAsiaTheme="minorEastAsia" w:cstheme="minorEastAsia"/>
                <w:szCs w:val="32"/>
              </w:rPr>
              <w:t>统一社会信用代码：</w:t>
            </w:r>
            <w:r>
              <w:rPr>
                <w:rFonts w:hint="eastAsia" w:asciiTheme="minorEastAsia" w:hAnsiTheme="minorEastAsia" w:eastAsiaTheme="minorEastAsia" w:cstheme="minorEastAsia"/>
                <w:szCs w:val="32"/>
                <w:u w:val="single"/>
              </w:rPr>
              <w:t xml:space="preserve">                     </w:t>
            </w:r>
          </w:p>
          <w:p w14:paraId="1E2D6F4B">
            <w:pPr>
              <w:pStyle w:val="117"/>
              <w:spacing w:line="310" w:lineRule="auto"/>
              <w:ind w:right="-6"/>
              <w:rPr>
                <w:rFonts w:hint="eastAsia" w:asciiTheme="minorEastAsia" w:hAnsiTheme="minorEastAsia" w:eastAsiaTheme="minorEastAsia" w:cstheme="minorEastAsia"/>
                <w:szCs w:val="32"/>
              </w:rPr>
            </w:pPr>
            <w:r>
              <w:rPr>
                <w:rFonts w:hint="eastAsia" w:asciiTheme="minorEastAsia" w:hAnsiTheme="minorEastAsia" w:eastAsiaTheme="minorEastAsia" w:cstheme="minorEastAsia"/>
                <w:szCs w:val="32"/>
              </w:rPr>
              <w:t>开 户银 行：</w:t>
            </w:r>
            <w:r>
              <w:rPr>
                <w:rFonts w:hint="eastAsia" w:asciiTheme="minorEastAsia" w:hAnsiTheme="minorEastAsia" w:eastAsiaTheme="minorEastAsia" w:cstheme="minorEastAsia"/>
                <w:szCs w:val="32"/>
                <w:u w:val="single"/>
              </w:rPr>
              <w:t xml:space="preserve">                           </w:t>
            </w:r>
          </w:p>
          <w:p w14:paraId="50135F12">
            <w:pPr>
              <w:pStyle w:val="117"/>
              <w:spacing w:line="310" w:lineRule="auto"/>
              <w:ind w:right="-6"/>
              <w:rPr>
                <w:rFonts w:hint="eastAsia" w:asciiTheme="minorEastAsia" w:hAnsiTheme="minorEastAsia" w:eastAsiaTheme="minorEastAsia" w:cstheme="minorEastAsia"/>
                <w:szCs w:val="32"/>
                <w:u w:val="single"/>
              </w:rPr>
            </w:pPr>
            <w:r>
              <w:rPr>
                <w:rFonts w:hint="eastAsia" w:asciiTheme="minorEastAsia" w:hAnsiTheme="minorEastAsia" w:eastAsiaTheme="minorEastAsia" w:cstheme="minorEastAsia"/>
                <w:szCs w:val="32"/>
                <w:lang w:eastAsia="zh-CN"/>
              </w:rPr>
              <w:t>账</w:t>
            </w:r>
            <w:r>
              <w:rPr>
                <w:rFonts w:hint="eastAsia" w:asciiTheme="minorEastAsia" w:hAnsiTheme="minorEastAsia" w:eastAsiaTheme="minorEastAsia" w:cstheme="minorEastAsia"/>
                <w:szCs w:val="32"/>
              </w:rPr>
              <w:t xml:space="preserve">      号：</w:t>
            </w:r>
            <w:r>
              <w:rPr>
                <w:rFonts w:hint="eastAsia" w:asciiTheme="minorEastAsia" w:hAnsiTheme="minorEastAsia" w:eastAsiaTheme="minorEastAsia" w:cstheme="minorEastAsia"/>
                <w:szCs w:val="32"/>
                <w:u w:val="single"/>
              </w:rPr>
              <w:t xml:space="preserve">                           </w:t>
            </w:r>
          </w:p>
        </w:tc>
      </w:tr>
    </w:tbl>
    <w:p w14:paraId="4C604838">
      <w:pPr>
        <w:adjustRightInd w:val="0"/>
        <w:snapToGrid w:val="0"/>
        <w:spacing w:line="360" w:lineRule="auto"/>
        <w:rPr>
          <w:rFonts w:hint="eastAsia" w:asciiTheme="minorEastAsia" w:hAnsiTheme="minorEastAsia" w:eastAsiaTheme="minorEastAsia" w:cstheme="minorEastAsia"/>
          <w:color w:val="000000" w:themeColor="text1"/>
          <w:sz w:val="10"/>
          <w:szCs w:val="10"/>
          <w14:textFill>
            <w14:solidFill>
              <w14:schemeClr w14:val="tx1"/>
            </w14:solidFill>
          </w14:textFill>
        </w:rPr>
      </w:pPr>
    </w:p>
    <w:tbl>
      <w:tblPr>
        <w:tblStyle w:val="91"/>
        <w:tblW w:w="98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5"/>
      </w:tblGrid>
      <w:tr w14:paraId="5F411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15" w:type="dxa"/>
          </w:tcPr>
          <w:p w14:paraId="24BF703A">
            <w:pPr>
              <w:ind w:right="-4"/>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2"/>
                <w:szCs w:val="28"/>
              </w:rPr>
              <w:t>注释：</w:t>
            </w:r>
            <w:r>
              <w:rPr>
                <w:rFonts w:hint="eastAsia" w:asciiTheme="minorEastAsia" w:hAnsiTheme="minorEastAsia" w:eastAsiaTheme="minorEastAsia" w:cstheme="minorEastAsia"/>
                <w:sz w:val="22"/>
                <w:szCs w:val="28"/>
              </w:rPr>
              <w:t>本格式条款仅作为双方签订合同的参考，为阐明各方的权利和义务，经协商可根据项目实际具体情况进行必要的修改和调整。但不得与招标文件、投标文件的实质性内容相背离。</w:t>
            </w:r>
          </w:p>
        </w:tc>
      </w:tr>
    </w:tbl>
    <w:p w14:paraId="3C6DEDB0">
      <w:pPr>
        <w:pStyle w:val="4"/>
        <w:spacing w:line="240" w:lineRule="auto"/>
        <w:jc w:val="center"/>
        <w:rPr>
          <w:rFonts w:hint="eastAsia" w:asciiTheme="minorEastAsia" w:hAnsiTheme="minorEastAsia" w:eastAsiaTheme="minorEastAsia" w:cstheme="minorEastAsia"/>
          <w:sz w:val="32"/>
          <w:szCs w:val="40"/>
        </w:rPr>
      </w:pPr>
      <w:bookmarkStart w:id="351" w:name="_Toc25926"/>
      <w:bookmarkStart w:id="352" w:name="_Toc22216"/>
      <w:r>
        <w:rPr>
          <w:rFonts w:hint="eastAsia" w:asciiTheme="minorEastAsia" w:hAnsiTheme="minorEastAsia" w:eastAsiaTheme="minorEastAsia" w:cstheme="minorEastAsia"/>
          <w:sz w:val="32"/>
          <w:szCs w:val="40"/>
        </w:rPr>
        <w:t>第二节 政府采购合同通用条款</w:t>
      </w:r>
      <w:bookmarkEnd w:id="351"/>
      <w:bookmarkEnd w:id="352"/>
    </w:p>
    <w:p w14:paraId="60445F83">
      <w:pPr>
        <w:spacing w:line="336" w:lineRule="auto"/>
        <w:ind w:right="-6" w:firstLine="221" w:firstLineChars="1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1.定义.</w:t>
      </w:r>
    </w:p>
    <w:p w14:paraId="3A1117FB">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1.1合同当事人</w:t>
      </w:r>
    </w:p>
    <w:p w14:paraId="3CD1C788">
      <w:pPr>
        <w:autoSpaceDE w:val="0"/>
        <w:autoSpaceDN w:val="0"/>
        <w:adjustRightInd w:val="0"/>
        <w:snapToGrid w:val="0"/>
        <w:spacing w:before="50" w:line="348" w:lineRule="auto"/>
        <w:ind w:right="-6" w:firstLine="440" w:firstLineChars="200"/>
        <w:jc w:val="left"/>
        <w:rPr>
          <w:rFonts w:hint="eastAsia" w:asciiTheme="minorEastAsia" w:hAnsiTheme="minorEastAsia" w:eastAsiaTheme="minorEastAsia" w:cstheme="minorEastAsia"/>
          <w:color w:val="000000" w:themeColor="text1"/>
          <w:sz w:val="22"/>
          <w:szCs w:val="22"/>
          <w14:textFill>
            <w14:solidFill>
              <w14:schemeClr w14:val="tx1"/>
            </w14:solidFill>
          </w14:textFill>
        </w:rPr>
      </w:pPr>
      <w:r>
        <w:rPr>
          <w:rFonts w:hint="eastAsia" w:asciiTheme="minorEastAsia" w:hAnsiTheme="minorEastAsia" w:eastAsiaTheme="minorEastAsia" w:cstheme="minorEastAsia"/>
          <w:sz w:val="22"/>
          <w:szCs w:val="28"/>
        </w:rPr>
        <w:t>（1）采购人（以</w:t>
      </w:r>
      <w:r>
        <w:rPr>
          <w:rFonts w:hint="eastAsia" w:asciiTheme="minorEastAsia" w:hAnsiTheme="minorEastAsia" w:eastAsiaTheme="minorEastAsia" w:cstheme="minorEastAsia"/>
          <w:sz w:val="22"/>
          <w:szCs w:val="28"/>
          <w:lang w:eastAsia="zh-CN"/>
        </w:rPr>
        <w:t>下简</w:t>
      </w:r>
      <w:r>
        <w:rPr>
          <w:rFonts w:hint="eastAsia" w:asciiTheme="minorEastAsia" w:hAnsiTheme="minorEastAsia" w:eastAsiaTheme="minorEastAsia" w:cstheme="minorEastAsia"/>
          <w:sz w:val="22"/>
          <w:szCs w:val="28"/>
        </w:rPr>
        <w:t>称甲方）是指使用财政性资金，通过政府采购程序向供应商购买货物、服务的国家机关、事业单位、团体组织。本次采</w:t>
      </w:r>
      <w:r>
        <w:rPr>
          <w:rFonts w:hint="eastAsia" w:asciiTheme="minorEastAsia" w:hAnsiTheme="minorEastAsia" w:eastAsiaTheme="minorEastAsia" w:cstheme="minorEastAsia"/>
          <w:color w:val="000000" w:themeColor="text1"/>
          <w:sz w:val="22"/>
          <w:szCs w:val="22"/>
          <w14:textFill>
            <w14:solidFill>
              <w14:schemeClr w14:val="tx1"/>
            </w14:solidFill>
          </w14:textFill>
        </w:rPr>
        <w:t>购的甲方名称、地址见</w:t>
      </w:r>
      <w:r>
        <w:rPr>
          <w:rFonts w:hint="eastAsia" w:asciiTheme="minorEastAsia" w:hAnsiTheme="minorEastAsia" w:eastAsiaTheme="minorEastAsia" w:cstheme="minorEastAsia"/>
          <w:b/>
          <w:color w:val="000000" w:themeColor="text1"/>
          <w:sz w:val="22"/>
          <w:szCs w:val="22"/>
          <w14:textFill>
            <w14:solidFill>
              <w14:schemeClr w14:val="tx1"/>
            </w14:solidFill>
          </w14:textFill>
        </w:rPr>
        <w:t>【政府采购合同专用条款】。</w:t>
      </w:r>
    </w:p>
    <w:p w14:paraId="56E093F5">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（2）供应商（以</w:t>
      </w:r>
      <w:r>
        <w:rPr>
          <w:rFonts w:hint="eastAsia" w:asciiTheme="minorEastAsia" w:hAnsiTheme="minorEastAsia" w:eastAsiaTheme="minorEastAsia" w:cstheme="minorEastAsia"/>
          <w:sz w:val="22"/>
          <w:szCs w:val="28"/>
          <w:lang w:eastAsia="zh-CN"/>
        </w:rPr>
        <w:t>下简</w:t>
      </w:r>
      <w:r>
        <w:rPr>
          <w:rFonts w:hint="eastAsia" w:asciiTheme="minorEastAsia" w:hAnsiTheme="minorEastAsia" w:eastAsiaTheme="minorEastAsia" w:cstheme="minorEastAsia"/>
          <w:sz w:val="22"/>
          <w:szCs w:val="28"/>
        </w:rPr>
        <w:t>称乙方）是指参加政府采购活动而取得中标结果，并向采购人提供货物、服务的法人、其他组织或者自然人。</w:t>
      </w:r>
    </w:p>
    <w:p w14:paraId="0098F8E5">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1.2本合同下列术语应解释为：</w:t>
      </w:r>
    </w:p>
    <w:p w14:paraId="07912955">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（1）“合同”系指甲乙双方签署的、政府采购合同协议书中载明的甲乙双方所达成的协议，包括所有的附件、附录和上述文件所提到的构成合同的所有文件。</w:t>
      </w:r>
    </w:p>
    <w:p w14:paraId="66EB67F0">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（2）“合同价”系指根据本合同规定乙方在正确地完全履行合同义务后甲方应支付给乙方的价款。</w:t>
      </w:r>
    </w:p>
    <w:p w14:paraId="6FFF4128">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（3）“货物”系指乙方根据本合同规定须向甲方提供的各种形态和种类的物品，包括原材料、设备、产品（包括软件）及相关的</w:t>
      </w:r>
      <w:r>
        <w:rPr>
          <w:rFonts w:hint="eastAsia" w:asciiTheme="minorEastAsia" w:hAnsiTheme="minorEastAsia" w:eastAsiaTheme="minorEastAsia" w:cstheme="minorEastAsia"/>
          <w:sz w:val="22"/>
          <w:szCs w:val="28"/>
          <w:lang w:eastAsia="zh-CN"/>
        </w:rPr>
        <w:t>其他</w:t>
      </w:r>
      <w:r>
        <w:rPr>
          <w:rFonts w:hint="eastAsia" w:asciiTheme="minorEastAsia" w:hAnsiTheme="minorEastAsia" w:eastAsiaTheme="minorEastAsia" w:cstheme="minorEastAsia"/>
          <w:sz w:val="22"/>
          <w:szCs w:val="28"/>
        </w:rPr>
        <w:t>备品备件、工具、手册及其它技术资料和材料。</w:t>
      </w:r>
    </w:p>
    <w:p w14:paraId="2E739152">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（4）“服务”系指根据合同规定，乙方应提供的技术、管理和</w:t>
      </w:r>
      <w:r>
        <w:rPr>
          <w:rFonts w:hint="eastAsia" w:asciiTheme="minorEastAsia" w:hAnsiTheme="minorEastAsia" w:eastAsiaTheme="minorEastAsia" w:cstheme="minorEastAsia"/>
          <w:sz w:val="22"/>
          <w:szCs w:val="28"/>
          <w:lang w:eastAsia="zh-CN"/>
        </w:rPr>
        <w:t>其他</w:t>
      </w:r>
      <w:r>
        <w:rPr>
          <w:rFonts w:hint="eastAsia" w:asciiTheme="minorEastAsia" w:hAnsiTheme="minorEastAsia" w:eastAsiaTheme="minorEastAsia" w:cstheme="minorEastAsia"/>
          <w:sz w:val="22"/>
          <w:szCs w:val="28"/>
        </w:rPr>
        <w:t>服务，包括但不限于：管理和质量保证、运输、保险、检验、现场准备、安装、集成、调试、培训、维修、技术支持等以及合同中规定乙方应承担的其它义务。</w:t>
      </w:r>
    </w:p>
    <w:p w14:paraId="229ABEF2">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（5）“合同条款”系指本合同条款。</w:t>
      </w:r>
    </w:p>
    <w:p w14:paraId="259C20AF">
      <w:pPr>
        <w:spacing w:line="348" w:lineRule="auto"/>
        <w:ind w:right="-6" w:firstLine="440" w:firstLineChars="200"/>
        <w:rPr>
          <w:rFonts w:hint="eastAsia" w:asciiTheme="minorEastAsia" w:hAnsiTheme="minorEastAsia" w:eastAsiaTheme="minorEastAsia" w:cstheme="minorEastAsia"/>
          <w:color w:val="000000" w:themeColor="text1"/>
          <w:sz w:val="22"/>
          <w:szCs w:val="22"/>
          <w14:textFill>
            <w14:solidFill>
              <w14:schemeClr w14:val="tx1"/>
            </w14:solidFill>
          </w14:textFill>
        </w:rPr>
      </w:pPr>
      <w:r>
        <w:rPr>
          <w:rFonts w:hint="eastAsia" w:asciiTheme="minorEastAsia" w:hAnsiTheme="minorEastAsia" w:eastAsiaTheme="minorEastAsia" w:cstheme="minorEastAsia"/>
          <w:sz w:val="22"/>
          <w:szCs w:val="28"/>
        </w:rPr>
        <w:t>（6）“项目现场”系指本合同项下货物安装、运行的现场，</w:t>
      </w:r>
      <w:r>
        <w:rPr>
          <w:rFonts w:hint="eastAsia" w:asciiTheme="minorEastAsia" w:hAnsiTheme="minorEastAsia" w:eastAsiaTheme="minorEastAsia" w:cstheme="minorEastAsia"/>
          <w:color w:val="000000" w:themeColor="text1"/>
          <w:sz w:val="22"/>
          <w:szCs w:val="22"/>
          <w14:textFill>
            <w14:solidFill>
              <w14:schemeClr w14:val="tx1"/>
            </w14:solidFill>
          </w14:textFill>
        </w:rPr>
        <w:t>其名称见</w:t>
      </w:r>
      <w:r>
        <w:rPr>
          <w:rFonts w:hint="eastAsia" w:asciiTheme="minorEastAsia" w:hAnsiTheme="minorEastAsia" w:eastAsiaTheme="minorEastAsia" w:cstheme="minorEastAsia"/>
          <w:b/>
          <w:color w:val="000000" w:themeColor="text1"/>
          <w:sz w:val="22"/>
          <w:szCs w:val="22"/>
          <w14:textFill>
            <w14:solidFill>
              <w14:schemeClr w14:val="tx1"/>
            </w14:solidFill>
          </w14:textFill>
        </w:rPr>
        <w:t>【政府采购合同专用条款】</w:t>
      </w:r>
      <w:r>
        <w:rPr>
          <w:rFonts w:hint="eastAsia" w:asciiTheme="minorEastAsia" w:hAnsiTheme="minorEastAsia" w:eastAsiaTheme="minorEastAsia" w:cstheme="minorEastAsia"/>
          <w:color w:val="000000" w:themeColor="text1"/>
          <w:sz w:val="22"/>
          <w:szCs w:val="22"/>
          <w14:textFill>
            <w14:solidFill>
              <w14:schemeClr w14:val="tx1"/>
            </w14:solidFill>
          </w14:textFill>
        </w:rPr>
        <w:t>。</w:t>
      </w:r>
    </w:p>
    <w:p w14:paraId="719E9A16">
      <w:pPr>
        <w:spacing w:line="336" w:lineRule="auto"/>
        <w:ind w:right="-6" w:firstLine="221" w:firstLineChars="1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2.合同的适用范围</w:t>
      </w:r>
    </w:p>
    <w:p w14:paraId="6C8A26E4">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2.1本合同条款适用于没有被本合同其他部分的条款所取代的范围。</w:t>
      </w:r>
    </w:p>
    <w:p w14:paraId="0B02DE0F">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2.2合同内容根据招标文件、投标文件而确定。</w:t>
      </w:r>
    </w:p>
    <w:p w14:paraId="080DA837">
      <w:pPr>
        <w:spacing w:line="336" w:lineRule="auto"/>
        <w:ind w:right="-6" w:firstLine="221" w:firstLineChars="1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3.合同标的及金额</w:t>
      </w:r>
    </w:p>
    <w:p w14:paraId="0EFAF364">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3.1合同标的及金额应与中标结果一致。</w:t>
      </w:r>
    </w:p>
    <w:p w14:paraId="4C57F9A7">
      <w:pPr>
        <w:spacing w:line="336" w:lineRule="auto"/>
        <w:ind w:right="-6" w:firstLine="221" w:firstLineChars="1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4.合同价款</w:t>
      </w:r>
    </w:p>
    <w:p w14:paraId="66114997">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4.1具体合同价款见本合同第3.1条。乙方为履行本合同而发生的所有费用均应包含在合同价款中，甲方不再另行支付</w:t>
      </w:r>
      <w:r>
        <w:rPr>
          <w:rFonts w:hint="eastAsia" w:asciiTheme="minorEastAsia" w:hAnsiTheme="minorEastAsia" w:eastAsiaTheme="minorEastAsia" w:cstheme="minorEastAsia"/>
          <w:sz w:val="22"/>
          <w:szCs w:val="28"/>
          <w:lang w:eastAsia="zh-CN"/>
        </w:rPr>
        <w:t>其他</w:t>
      </w:r>
      <w:r>
        <w:rPr>
          <w:rFonts w:hint="eastAsia" w:asciiTheme="minorEastAsia" w:hAnsiTheme="minorEastAsia" w:eastAsiaTheme="minorEastAsia" w:cstheme="minorEastAsia"/>
          <w:sz w:val="22"/>
          <w:szCs w:val="28"/>
        </w:rPr>
        <w:t>任何费用。</w:t>
      </w:r>
    </w:p>
    <w:p w14:paraId="40412276">
      <w:pPr>
        <w:spacing w:line="336" w:lineRule="auto"/>
        <w:ind w:right="-6" w:firstLine="221" w:firstLineChars="1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5.履行合同的时间、地点和方式</w:t>
      </w:r>
    </w:p>
    <w:p w14:paraId="1DD3E555">
      <w:pPr>
        <w:autoSpaceDE w:val="0"/>
        <w:autoSpaceDN w:val="0"/>
        <w:adjustRightInd w:val="0"/>
        <w:snapToGrid w:val="0"/>
        <w:spacing w:before="50" w:line="348" w:lineRule="auto"/>
        <w:ind w:right="-6" w:firstLine="440" w:firstLineChars="200"/>
        <w:jc w:val="left"/>
        <w:rPr>
          <w:rFonts w:hint="eastAsia" w:asciiTheme="minorEastAsia" w:hAnsiTheme="minorEastAsia" w:eastAsiaTheme="minorEastAsia" w:cstheme="minorEastAsia"/>
          <w:color w:val="000000" w:themeColor="text1"/>
          <w:sz w:val="22"/>
          <w:szCs w:val="22"/>
          <w14:textFill>
            <w14:solidFill>
              <w14:schemeClr w14:val="tx1"/>
            </w14:solidFill>
          </w14:textFill>
        </w:rPr>
      </w:pPr>
      <w:r>
        <w:rPr>
          <w:rFonts w:hint="eastAsia" w:asciiTheme="minorEastAsia" w:hAnsiTheme="minorEastAsia" w:eastAsiaTheme="minorEastAsia" w:cstheme="minorEastAsia"/>
          <w:sz w:val="22"/>
          <w:szCs w:val="28"/>
        </w:rPr>
        <w:t>5.1乙方应当在甲方确定的时间、指定的地点履行合同，具体的交货时间、地点和方式见</w:t>
      </w:r>
      <w:r>
        <w:rPr>
          <w:rFonts w:hint="eastAsia" w:asciiTheme="minorEastAsia" w:hAnsiTheme="minorEastAsia" w:eastAsiaTheme="minorEastAsia" w:cstheme="minorEastAsia"/>
          <w:b/>
          <w:color w:val="000000" w:themeColor="text1"/>
          <w:sz w:val="22"/>
          <w:szCs w:val="22"/>
          <w14:textFill>
            <w14:solidFill>
              <w14:schemeClr w14:val="tx1"/>
            </w14:solidFill>
          </w14:textFill>
        </w:rPr>
        <w:t>【政府采购合同专用条款】</w:t>
      </w:r>
      <w:r>
        <w:rPr>
          <w:rFonts w:hint="eastAsia" w:asciiTheme="minorEastAsia" w:hAnsiTheme="minorEastAsia" w:eastAsiaTheme="minorEastAsia" w:cstheme="minorEastAsia"/>
          <w:color w:val="000000" w:themeColor="text1"/>
          <w:sz w:val="22"/>
          <w:szCs w:val="22"/>
          <w14:textFill>
            <w14:solidFill>
              <w14:schemeClr w14:val="tx1"/>
            </w14:solidFill>
          </w14:textFill>
        </w:rPr>
        <w:t>。</w:t>
      </w:r>
    </w:p>
    <w:p w14:paraId="6511A6E6">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5.2乙方提供服务的应当在甲方指定的地点完成服务项目。</w:t>
      </w:r>
    </w:p>
    <w:p w14:paraId="713CA828">
      <w:pPr>
        <w:spacing w:line="348" w:lineRule="auto"/>
        <w:ind w:right="-6" w:firstLine="221" w:firstLineChars="1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6.货物的验收</w:t>
      </w:r>
    </w:p>
    <w:p w14:paraId="3F0C083C">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6.1甲方在收到乙方交付的货物后应当及时组织验收。</w:t>
      </w:r>
    </w:p>
    <w:p w14:paraId="4BA4A975">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6.2货物的表面瑕疵，甲方应在验收时当面提出；对质量问题有异议的应在安装调试后十个工作日内提出。</w:t>
      </w:r>
    </w:p>
    <w:p w14:paraId="0705C82C">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6.3在验收过程中发现数量不足或有质量、技术等问题，乙方应负责按照甲方的要求采取补足、更换或退货等处理措施，并承担由此发生的一切费用和损失。</w:t>
      </w:r>
    </w:p>
    <w:p w14:paraId="03DCEB39">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6.4甲方在乙方按合同规定交货或安装、调试后，无正当理由而拖延接收、验收或拒绝接收、验收的，应承担因此给乙方造成的直接损失。</w:t>
      </w:r>
    </w:p>
    <w:p w14:paraId="4D3895C4">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6.5甲方对货物进行检查验收合格后，应当收取发票并在《交货验收单》上签署验收意见及加盖单位印章。</w:t>
      </w:r>
    </w:p>
    <w:p w14:paraId="0ED6528D">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6.6大型或者复杂的货物采购项目，甲方可以邀请国家认可的质量检测机构参加验收工作，并由其出具验收报告单。</w:t>
      </w:r>
    </w:p>
    <w:p w14:paraId="4F29B69A">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6.7乙方提供的进口产品，乙方应出示中华人民共和国进出口商品检验部门出具的检验证书（招标文件第五章采购需求另有约定的除外）。</w:t>
      </w:r>
    </w:p>
    <w:p w14:paraId="0E4F0173">
      <w:pPr>
        <w:spacing w:line="348" w:lineRule="auto"/>
        <w:ind w:right="-6" w:firstLine="221" w:firstLineChars="1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7.货物包装要求</w:t>
      </w:r>
    </w:p>
    <w:p w14:paraId="07F7418B">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7.1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339A1DC8">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7.2每一个包装箱内应附一份详细装箱单、质量证书和保修保养证书。</w:t>
      </w:r>
    </w:p>
    <w:p w14:paraId="3A75428B">
      <w:pPr>
        <w:spacing w:line="348" w:lineRule="auto"/>
        <w:ind w:right="-6" w:firstLine="221" w:firstLineChars="1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8.运输和保险</w:t>
      </w:r>
    </w:p>
    <w:p w14:paraId="3F86B3E0">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8.1乙方负责办理将货物运抵本合同第5.1条规定的交货地点的一切运输事项，相关费用应包括在合同总价中。</w:t>
      </w:r>
    </w:p>
    <w:p w14:paraId="2DAF6900">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8.2乙方应向保险公司投保以甲方为受益人的发运合同货物发票金额的110％运输一切险。</w:t>
      </w:r>
    </w:p>
    <w:p w14:paraId="3D5BE98F">
      <w:pPr>
        <w:spacing w:line="348" w:lineRule="auto"/>
        <w:ind w:right="-6" w:firstLine="221" w:firstLineChars="1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9.质量标准和保证</w:t>
      </w:r>
    </w:p>
    <w:p w14:paraId="0A1BF482">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9.1质量标准</w:t>
      </w:r>
    </w:p>
    <w:p w14:paraId="6D7FE5BB">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（1）本合同下交付的货物应符合招标文件第四章“技术规格、参数与要求”所述的标准。如果没有提及适用标准，则应符合中华人民共和国有关机构发布的最新版本的标准。</w:t>
      </w:r>
    </w:p>
    <w:p w14:paraId="5E9D3436">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（2）采用中华人民共和国法定计量单位。</w:t>
      </w:r>
    </w:p>
    <w:p w14:paraId="4FE8F06E">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（3）乙方所出售的货物还应符合国家有关安全、环保、卫生之规定。</w:t>
      </w:r>
    </w:p>
    <w:p w14:paraId="365C8C9F">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9.2保证</w:t>
      </w:r>
    </w:p>
    <w:p w14:paraId="178B6F61">
      <w:pPr>
        <w:autoSpaceDE w:val="0"/>
        <w:autoSpaceDN w:val="0"/>
        <w:adjustRightInd w:val="0"/>
        <w:snapToGrid w:val="0"/>
        <w:spacing w:before="50" w:line="348" w:lineRule="auto"/>
        <w:ind w:right="-6" w:firstLine="440" w:firstLineChars="200"/>
        <w:jc w:val="left"/>
        <w:rPr>
          <w:rFonts w:hint="eastAsia" w:asciiTheme="minorEastAsia" w:hAnsiTheme="minorEastAsia" w:eastAsiaTheme="minorEastAsia" w:cstheme="minorEastAsia"/>
          <w:color w:val="000000" w:themeColor="text1"/>
          <w:sz w:val="22"/>
          <w:szCs w:val="22"/>
          <w14:textFill>
            <w14:solidFill>
              <w14:schemeClr w14:val="tx1"/>
            </w14:solidFill>
          </w14:textFill>
        </w:rPr>
      </w:pPr>
      <w:r>
        <w:rPr>
          <w:rFonts w:hint="eastAsia" w:asciiTheme="minorEastAsia" w:hAnsiTheme="minorEastAsia" w:eastAsiaTheme="minorEastAsia" w:cstheme="minorEastAsia"/>
          <w:sz w:val="22"/>
          <w:szCs w:val="28"/>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w:t>
      </w:r>
      <w:r>
        <w:rPr>
          <w:rFonts w:hint="eastAsia" w:asciiTheme="minorEastAsia" w:hAnsiTheme="minorEastAsia" w:eastAsiaTheme="minorEastAsia" w:cstheme="minorEastAsia"/>
          <w:color w:val="000000" w:themeColor="text1"/>
          <w:sz w:val="22"/>
          <w:szCs w:val="22"/>
          <w14:textFill>
            <w14:solidFill>
              <w14:schemeClr w14:val="tx1"/>
            </w14:solidFill>
          </w14:textFill>
        </w:rPr>
        <w:t>于</w:t>
      </w:r>
      <w:r>
        <w:rPr>
          <w:rFonts w:hint="eastAsia" w:asciiTheme="minorEastAsia" w:hAnsiTheme="minorEastAsia" w:eastAsiaTheme="minorEastAsia" w:cstheme="minorEastAsia"/>
          <w:b/>
          <w:color w:val="000000" w:themeColor="text1"/>
          <w:sz w:val="22"/>
          <w:szCs w:val="22"/>
          <w14:textFill>
            <w14:solidFill>
              <w14:schemeClr w14:val="tx1"/>
            </w14:solidFill>
          </w14:textFill>
        </w:rPr>
        <w:t>【政府采购合同专用条款】</w:t>
      </w:r>
      <w:r>
        <w:rPr>
          <w:rFonts w:hint="eastAsia" w:asciiTheme="minorEastAsia" w:hAnsiTheme="minorEastAsia" w:eastAsiaTheme="minorEastAsia" w:cstheme="minorEastAsia"/>
          <w:color w:val="000000" w:themeColor="text1"/>
          <w:sz w:val="22"/>
          <w:szCs w:val="22"/>
          <w14:textFill>
            <w14:solidFill>
              <w14:schemeClr w14:val="tx1"/>
            </w14:solidFill>
          </w14:textFill>
        </w:rPr>
        <w:t>规定或乙方承诺（两者以较长的为准）的质量保证期内，本保证保持有效。</w:t>
      </w:r>
    </w:p>
    <w:p w14:paraId="5B3C97E1">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（2）在质量保证期内所发现的缺陷，甲方应尽快以书面形式通知乙方。</w:t>
      </w:r>
    </w:p>
    <w:p w14:paraId="3E9B830E">
      <w:pPr>
        <w:spacing w:line="348" w:lineRule="auto"/>
        <w:ind w:right="-6" w:firstLine="440" w:firstLineChars="200"/>
        <w:rPr>
          <w:rFonts w:hint="eastAsia" w:asciiTheme="minorEastAsia" w:hAnsiTheme="minorEastAsia" w:eastAsiaTheme="minorEastAsia" w:cstheme="minorEastAsia"/>
          <w:color w:val="000000" w:themeColor="text1"/>
          <w:sz w:val="22"/>
          <w:szCs w:val="22"/>
          <w14:textFill>
            <w14:solidFill>
              <w14:schemeClr w14:val="tx1"/>
            </w14:solidFill>
          </w14:textFill>
        </w:rPr>
      </w:pPr>
      <w:r>
        <w:rPr>
          <w:rFonts w:hint="eastAsia" w:asciiTheme="minorEastAsia" w:hAnsiTheme="minorEastAsia" w:eastAsiaTheme="minorEastAsia" w:cstheme="minorEastAsia"/>
          <w:sz w:val="22"/>
          <w:szCs w:val="28"/>
        </w:rPr>
        <w:t>（3）乙方收到通知后应在</w:t>
      </w:r>
      <w:r>
        <w:rPr>
          <w:rFonts w:hint="eastAsia" w:asciiTheme="minorEastAsia" w:hAnsiTheme="minorEastAsia" w:eastAsiaTheme="minorEastAsia" w:cstheme="minorEastAsia"/>
          <w:b/>
          <w:color w:val="000000" w:themeColor="text1"/>
          <w:sz w:val="22"/>
          <w:szCs w:val="22"/>
          <w14:textFill>
            <w14:solidFill>
              <w14:schemeClr w14:val="tx1"/>
            </w14:solidFill>
          </w14:textFill>
        </w:rPr>
        <w:t>【政府采购合同专用条款】</w:t>
      </w:r>
      <w:r>
        <w:rPr>
          <w:rFonts w:hint="eastAsia" w:asciiTheme="minorEastAsia" w:hAnsiTheme="minorEastAsia" w:eastAsiaTheme="minorEastAsia" w:cstheme="minorEastAsia"/>
          <w:color w:val="000000" w:themeColor="text1"/>
          <w:sz w:val="22"/>
          <w:szCs w:val="22"/>
          <w14:textFill>
            <w14:solidFill>
              <w14:schemeClr w14:val="tx1"/>
            </w14:solidFill>
          </w14:textFill>
        </w:rPr>
        <w:t>规定的响应时间内以合理的速度免费维修或更换有缺陷的货物或部件。</w:t>
      </w:r>
    </w:p>
    <w:p w14:paraId="6EFF94A3">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（4）在质量保证期内，如果货物的质量或规格与合同不符，或证实货物是有缺陷的，包括潜在的缺陷或使用不符合要求的材料等，甲方可以根据本合同第15.1条规定以书面形式向乙方提出补救措施或索赔。</w:t>
      </w:r>
    </w:p>
    <w:p w14:paraId="5DF62846">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（5）乙方在约定的时间内未能弥补缺陷，甲方可采取必要的补救措施，但其风险和费用将由乙方承担，甲方根据合同规定对乙方行使的其他权利不受影响。</w:t>
      </w:r>
    </w:p>
    <w:p w14:paraId="4773F765">
      <w:pPr>
        <w:spacing w:line="348" w:lineRule="auto"/>
        <w:ind w:right="-6" w:firstLine="221" w:firstLineChars="1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10.权利瑕疵担保</w:t>
      </w:r>
    </w:p>
    <w:p w14:paraId="46E6C218">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10.1乙方保证对其出售的货物享有合法的权利。</w:t>
      </w:r>
    </w:p>
    <w:p w14:paraId="1DB0FBD8">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10.2乙方保证在其出售的货物上不存在任何未曾向甲方透露的担保物权，如抵押权、质押权、留置权等。</w:t>
      </w:r>
    </w:p>
    <w:p w14:paraId="29BA613E">
      <w:pPr>
        <w:spacing w:line="348" w:lineRule="auto"/>
        <w:ind w:right="-6" w:firstLine="440" w:firstLineChars="200"/>
        <w:rPr>
          <w:rFonts w:hint="eastAsia" w:asciiTheme="minorEastAsia" w:hAnsiTheme="minorEastAsia" w:eastAsiaTheme="minorEastAsia" w:cstheme="minorEastAsia"/>
          <w:color w:val="000000" w:themeColor="text1"/>
          <w:sz w:val="22"/>
          <w:szCs w:val="22"/>
          <w14:textFill>
            <w14:solidFill>
              <w14:schemeClr w14:val="tx1"/>
            </w14:solidFill>
          </w14:textFill>
        </w:rPr>
      </w:pPr>
      <w:r>
        <w:rPr>
          <w:rFonts w:hint="eastAsia" w:asciiTheme="minorEastAsia" w:hAnsiTheme="minorEastAsia" w:eastAsiaTheme="minorEastAsia" w:cstheme="minorEastAsia"/>
          <w:sz w:val="22"/>
          <w:szCs w:val="28"/>
        </w:rPr>
        <w:t>10.3如甲方使用该货物构成上述侵</w:t>
      </w:r>
      <w:r>
        <w:rPr>
          <w:rFonts w:hint="eastAsia" w:asciiTheme="minorEastAsia" w:hAnsiTheme="minorEastAsia" w:eastAsiaTheme="minorEastAsia" w:cstheme="minorEastAsia"/>
          <w:color w:val="000000" w:themeColor="text1"/>
          <w:sz w:val="22"/>
          <w:szCs w:val="22"/>
          <w14:textFill>
            <w14:solidFill>
              <w14:schemeClr w14:val="tx1"/>
            </w14:solidFill>
          </w14:textFill>
        </w:rPr>
        <w:t>权的，则由乙方承担全部责任。</w:t>
      </w:r>
    </w:p>
    <w:p w14:paraId="6E313DD8">
      <w:pPr>
        <w:spacing w:line="348" w:lineRule="auto"/>
        <w:ind w:right="-6" w:firstLine="221" w:firstLineChars="1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11.知识产权保护</w:t>
      </w:r>
    </w:p>
    <w:p w14:paraId="721E7BC1">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11.1乙方对其所销售的货物应当享有知识产权或经权利人合法授权，保证没有侵犯任何第三人的知识产权和商业秘密等权利。</w:t>
      </w:r>
    </w:p>
    <w:p w14:paraId="167E97B9">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11.2甲方使用乙方提供的货物对第三人构成侵权的，应当由乙方承担全部法律责任，给甲方造成损害的，乙方应当承担赔偿责任。</w:t>
      </w:r>
    </w:p>
    <w:p w14:paraId="118F4A62">
      <w:pPr>
        <w:spacing w:line="348" w:lineRule="auto"/>
        <w:ind w:right="-6" w:firstLine="440" w:firstLineChars="200"/>
        <w:rPr>
          <w:rFonts w:hint="eastAsia" w:asciiTheme="minorEastAsia" w:hAnsiTheme="minorEastAsia" w:eastAsiaTheme="minorEastAsia" w:cstheme="minorEastAsia"/>
          <w:color w:val="000000" w:themeColor="text1"/>
          <w:sz w:val="22"/>
          <w:szCs w:val="22"/>
          <w14:textFill>
            <w14:solidFill>
              <w14:schemeClr w14:val="tx1"/>
            </w14:solidFill>
          </w14:textFill>
        </w:rPr>
      </w:pPr>
      <w:r>
        <w:rPr>
          <w:rFonts w:hint="eastAsia" w:asciiTheme="minorEastAsia" w:hAnsiTheme="minorEastAsia" w:eastAsiaTheme="minorEastAsia" w:cstheme="minorEastAsia"/>
          <w:sz w:val="22"/>
          <w:szCs w:val="28"/>
        </w:rPr>
        <w:t>11.3甲方委托乙方开发的产</w:t>
      </w:r>
      <w:r>
        <w:rPr>
          <w:rFonts w:hint="eastAsia" w:asciiTheme="minorEastAsia" w:hAnsiTheme="minorEastAsia" w:eastAsiaTheme="minorEastAsia" w:cstheme="minorEastAsia"/>
          <w:color w:val="000000" w:themeColor="text1"/>
          <w:sz w:val="22"/>
          <w:szCs w:val="22"/>
          <w14:textFill>
            <w14:solidFill>
              <w14:schemeClr w14:val="tx1"/>
            </w14:solidFill>
          </w14:textFill>
        </w:rPr>
        <w:t>品，甲方享有知识产权，未经甲方许可不得转让任何第三人。</w:t>
      </w:r>
    </w:p>
    <w:p w14:paraId="41255197">
      <w:pPr>
        <w:spacing w:line="348" w:lineRule="auto"/>
        <w:ind w:right="-6" w:firstLine="221" w:firstLineChars="1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12.保密义务</w:t>
      </w:r>
    </w:p>
    <w:p w14:paraId="4FB7EC57">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12.1甲、乙双方在采购和履行合同过程中所获悉的对方属于保密的内容，双方均有保密义务。</w:t>
      </w:r>
    </w:p>
    <w:p w14:paraId="5DF2A151">
      <w:pPr>
        <w:spacing w:line="348" w:lineRule="auto"/>
        <w:ind w:right="-6" w:firstLine="221" w:firstLineChars="1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13.合同价款支付</w:t>
      </w:r>
    </w:p>
    <w:p w14:paraId="402386DA">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13.1验收合格后，乙方出具正规发票给甲方，凭甲方开具的《政府采购合同验收报告单》办理合同价款结算手续。</w:t>
      </w:r>
    </w:p>
    <w:p w14:paraId="2DF93EA6">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13.2合同价款构成中应当由财政支付的部分，甲方应当在货物验收合格后的十五个工作日内向国库管理部门申请支付，经国库管理部门审核后直接支付给乙方。</w:t>
      </w:r>
    </w:p>
    <w:p w14:paraId="4DE53DE5">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13.3合同价款构成中应当由甲方自行支付的部分，甲方应当在货物验收合格后十五个</w:t>
      </w:r>
      <w:r>
        <w:rPr>
          <w:rFonts w:hint="eastAsia" w:asciiTheme="minorEastAsia" w:hAnsiTheme="minorEastAsia" w:eastAsiaTheme="minorEastAsia" w:cstheme="minorEastAsia"/>
          <w:sz w:val="22"/>
          <w:szCs w:val="28"/>
          <w:lang w:eastAsia="zh-CN"/>
        </w:rPr>
        <w:t>工作日内</w:t>
      </w:r>
      <w:r>
        <w:rPr>
          <w:rFonts w:hint="eastAsia" w:asciiTheme="minorEastAsia" w:hAnsiTheme="minorEastAsia" w:eastAsiaTheme="minorEastAsia" w:cstheme="minorEastAsia"/>
          <w:sz w:val="22"/>
          <w:szCs w:val="28"/>
        </w:rPr>
        <w:t>支付。</w:t>
      </w:r>
    </w:p>
    <w:p w14:paraId="6E8460FE">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13.4支付合同价款时，一律不向乙方以外的任何第三方办理付款手续。开户行和账号以签订的政府采购合同为准，如果乙方要求变更，则乙方必须提供加盖了财务专用章、法定代表人签字的证明文件，报经甲方审查同意。</w:t>
      </w:r>
    </w:p>
    <w:p w14:paraId="6789D234">
      <w:pPr>
        <w:spacing w:line="348" w:lineRule="auto"/>
        <w:ind w:right="-6" w:firstLine="440" w:firstLineChars="200"/>
        <w:rPr>
          <w:rFonts w:hint="eastAsia" w:asciiTheme="minorEastAsia" w:hAnsiTheme="minorEastAsia" w:eastAsiaTheme="minorEastAsia" w:cstheme="minorEastAsia"/>
          <w:color w:val="000000" w:themeColor="text1"/>
          <w:sz w:val="22"/>
          <w:szCs w:val="22"/>
          <w:lang w:eastAsia="zh-CN"/>
          <w14:textFill>
            <w14:solidFill>
              <w14:schemeClr w14:val="tx1"/>
            </w14:solidFill>
          </w14:textFill>
        </w:rPr>
      </w:pPr>
      <w:r>
        <w:rPr>
          <w:rFonts w:hint="eastAsia" w:asciiTheme="minorEastAsia" w:hAnsiTheme="minorEastAsia" w:eastAsiaTheme="minorEastAsia" w:cstheme="minorEastAsia"/>
          <w:sz w:val="22"/>
          <w:szCs w:val="28"/>
        </w:rPr>
        <w:t>13.5合同价款支付方式和条件在</w:t>
      </w:r>
      <w:r>
        <w:rPr>
          <w:rFonts w:hint="eastAsia" w:asciiTheme="minorEastAsia" w:hAnsiTheme="minorEastAsia" w:eastAsiaTheme="minorEastAsia" w:cstheme="minorEastAsia"/>
          <w:b/>
          <w:color w:val="000000" w:themeColor="text1"/>
          <w:sz w:val="22"/>
          <w:szCs w:val="22"/>
          <w14:textFill>
            <w14:solidFill>
              <w14:schemeClr w14:val="tx1"/>
            </w14:solidFill>
          </w14:textFill>
        </w:rPr>
        <w:t>【政府采购合同专用条款】</w:t>
      </w:r>
      <w:r>
        <w:rPr>
          <w:rFonts w:hint="eastAsia" w:asciiTheme="minorEastAsia" w:hAnsiTheme="minorEastAsia" w:eastAsiaTheme="minorEastAsia" w:cstheme="minorEastAsia"/>
          <w:color w:val="000000" w:themeColor="text1"/>
          <w:sz w:val="22"/>
          <w:szCs w:val="22"/>
          <w14:textFill>
            <w14:solidFill>
              <w14:schemeClr w14:val="tx1"/>
            </w14:solidFill>
          </w14:textFill>
        </w:rPr>
        <w:t>中另有规定</w:t>
      </w:r>
      <w:r>
        <w:rPr>
          <w:rFonts w:hint="eastAsia" w:asciiTheme="minorEastAsia" w:hAnsiTheme="minorEastAsia" w:eastAsiaTheme="minorEastAsia" w:cstheme="minorEastAsia"/>
          <w:color w:val="000000" w:themeColor="text1"/>
          <w:sz w:val="22"/>
          <w:szCs w:val="22"/>
          <w:lang w:eastAsia="zh-CN"/>
          <w14:textFill>
            <w14:solidFill>
              <w14:schemeClr w14:val="tx1"/>
            </w14:solidFill>
          </w14:textFill>
        </w:rPr>
        <w:t>。</w:t>
      </w:r>
    </w:p>
    <w:p w14:paraId="2D51FE51">
      <w:pPr>
        <w:spacing w:line="348" w:lineRule="auto"/>
        <w:ind w:right="-6" w:firstLine="221" w:firstLineChars="1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14.乙方应提供的服务</w:t>
      </w:r>
    </w:p>
    <w:p w14:paraId="3D9632B5">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14.1乙方应向甲方提交所提供货物的技术文件，包括相应的中文技术文件，如：产品目录、图纸、操作手册、使用说明、维护手册或服务指南。这些文件应包装好随同货物一起发运。</w:t>
      </w:r>
    </w:p>
    <w:p w14:paraId="462415F5">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14.2乙方还应提供下列服务：</w:t>
      </w:r>
    </w:p>
    <w:p w14:paraId="716B276D">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（1）货物的现场移动、安装、调试、启动监督及技术支持；</w:t>
      </w:r>
    </w:p>
    <w:p w14:paraId="36D46F1E">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（2）提供货物组装和维修所需的专用工具和辅助材料；</w:t>
      </w:r>
    </w:p>
    <w:p w14:paraId="0EB7A8BE">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（3）在合同各方商定的一定期限内对所有的货物实施运行监督、维修，但前提条件是该服务并不能免除乙方在质量保证期内所承担的义务；</w:t>
      </w:r>
    </w:p>
    <w:p w14:paraId="36D14882">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（4）在制造商或项目现场就货物的安装、启动、运营、维护对甲方操作人员进行培训；</w:t>
      </w:r>
    </w:p>
    <w:p w14:paraId="15D761A5">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（5）</w:t>
      </w:r>
      <w:r>
        <w:rPr>
          <w:rFonts w:hint="eastAsia" w:asciiTheme="minorEastAsia" w:hAnsiTheme="minorEastAsia" w:eastAsiaTheme="minorEastAsia" w:cstheme="minorEastAsia"/>
          <w:b/>
          <w:bCs/>
          <w:sz w:val="22"/>
          <w:szCs w:val="28"/>
        </w:rPr>
        <w:t>【政府采购合同专用条款】</w:t>
      </w:r>
      <w:r>
        <w:rPr>
          <w:rFonts w:hint="eastAsia" w:asciiTheme="minorEastAsia" w:hAnsiTheme="minorEastAsia" w:eastAsiaTheme="minorEastAsia" w:cstheme="minorEastAsia"/>
          <w:sz w:val="22"/>
          <w:szCs w:val="28"/>
        </w:rPr>
        <w:t>规定由乙方提供的其他服务。</w:t>
      </w:r>
    </w:p>
    <w:p w14:paraId="02C9B62F">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14.3乙方提供的服务的费用应包含在合同价款中，甲方不再另行支付。</w:t>
      </w:r>
    </w:p>
    <w:p w14:paraId="0F5EE83E">
      <w:pPr>
        <w:spacing w:line="348" w:lineRule="auto"/>
        <w:ind w:right="-6" w:firstLine="221" w:firstLineChars="1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15.违约责任</w:t>
      </w:r>
    </w:p>
    <w:p w14:paraId="47004AB9">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15.1质量瑕疵的补救措施和索赔</w:t>
      </w:r>
    </w:p>
    <w:p w14:paraId="713F6E86">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29800A49">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①乙方同意退货并将货款退还给甲方，由此发生的一切费用和损失由乙方承担。</w:t>
      </w:r>
    </w:p>
    <w:p w14:paraId="301752E2">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②根据货物的质量状况以及甲方所遭受的损失，经过甲乙双方商定降低货物的价格。</w:t>
      </w:r>
    </w:p>
    <w:p w14:paraId="09D38311">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1257EA49">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51C3B475">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15.2迟延交货的违约责任</w:t>
      </w:r>
    </w:p>
    <w:p w14:paraId="5BEEC059">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7155F9FC">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2）除本合同第20条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0A6428B8">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3F7ACB2C">
      <w:pPr>
        <w:spacing w:line="348" w:lineRule="auto"/>
        <w:ind w:right="-6" w:firstLine="221" w:firstLineChars="1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16.合同的变更</w:t>
      </w:r>
    </w:p>
    <w:p w14:paraId="64D136E4">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16.1在合同履行过程中，甲、乙双方可就合同履行的时间、地点和方式等协商进行变更。协商一致后，双方应签订书面的补充协议。</w:t>
      </w:r>
    </w:p>
    <w:p w14:paraId="4933B5D9">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16.2在不改变合同其他条款的前提下，甲方有权在合同价款百分之十的范围内追加与合同标的相同的货物或服务，并就此与乙方签订补充合同，乙方不得拒绝。</w:t>
      </w:r>
    </w:p>
    <w:p w14:paraId="5FD42AAF">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16.3除双方签署书面协议，并成为合同不可分割的一部分外，本合同条件不得有任何变更。</w:t>
      </w:r>
    </w:p>
    <w:p w14:paraId="69766825">
      <w:pPr>
        <w:spacing w:line="348" w:lineRule="auto"/>
        <w:ind w:right="-6" w:firstLine="221" w:firstLineChars="1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17.合同中止与终止</w:t>
      </w:r>
    </w:p>
    <w:p w14:paraId="7E8634D8">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17.1合同的中止</w:t>
      </w:r>
    </w:p>
    <w:p w14:paraId="7DA647C3">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（1）合同在履行过程中，因采购计划调整，甲方可以要求中止履行，待计划确定后继续履行；</w:t>
      </w:r>
    </w:p>
    <w:p w14:paraId="6F1C096F">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（2）合同履行过程中因供应商就采购过程或结果提起投诉的，甲方认为有必要或财政部门责令中止的，应当中止合同的履行。</w:t>
      </w:r>
    </w:p>
    <w:p w14:paraId="21A2E26F">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17.2合同的终止</w:t>
      </w:r>
    </w:p>
    <w:p w14:paraId="00D58097">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（1）合同因有效期限届满而终止；</w:t>
      </w:r>
    </w:p>
    <w:p w14:paraId="19B2C02E">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（2）乙方未能依照本合同约定条件履行合同，已构成根本性违约的，甲方有权终止本合同，并追究乙方的违约责任。</w:t>
      </w:r>
    </w:p>
    <w:p w14:paraId="79835556">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（3）如果乙方丧失履约能力或被宣告破产，甲方可在任何时候以书面形式通知乙方终止合同而不给乙方补偿。</w:t>
      </w:r>
    </w:p>
    <w:p w14:paraId="3E6DCB87">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（4）如果乙方在履行合同过程中有不正当竞争行为，甲方有权解除合同，并</w:t>
      </w:r>
      <w:r>
        <w:rPr>
          <w:rFonts w:hint="eastAsia" w:asciiTheme="minorEastAsia" w:hAnsiTheme="minorEastAsia" w:eastAsiaTheme="minorEastAsia" w:cstheme="minorEastAsia"/>
          <w:sz w:val="22"/>
          <w:szCs w:val="28"/>
          <w:lang w:eastAsia="zh-CN"/>
        </w:rPr>
        <w:t>按照《中华人民共和国</w:t>
      </w:r>
      <w:r>
        <w:rPr>
          <w:rFonts w:hint="eastAsia" w:asciiTheme="minorEastAsia" w:hAnsiTheme="minorEastAsia" w:eastAsiaTheme="minorEastAsia" w:cstheme="minorEastAsia"/>
          <w:sz w:val="22"/>
          <w:szCs w:val="28"/>
        </w:rPr>
        <w:t>反不正当竞争法》规定由有关部门追究其法律责任。</w:t>
      </w:r>
    </w:p>
    <w:p w14:paraId="1525BEE8">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（5）如果合同的履行将损害国家利益或社会公共利益，甲方有权终止合同的履行，给乙方造成损失的予以相应补偿。</w:t>
      </w:r>
    </w:p>
    <w:p w14:paraId="64197AFC">
      <w:pPr>
        <w:spacing w:line="348" w:lineRule="auto"/>
        <w:ind w:right="-6" w:firstLine="221" w:firstLineChars="1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18.合同转让和分包</w:t>
      </w:r>
    </w:p>
    <w:p w14:paraId="408FF1EF">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18.1乙方不得以任何形式将合同转包。</w:t>
      </w:r>
    </w:p>
    <w:p w14:paraId="6D41363D">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18.2乙方未在投标文件中说明，不得将合同的非主体、非关键性工作分包给他人。</w:t>
      </w:r>
    </w:p>
    <w:p w14:paraId="79CAA8E2">
      <w:pPr>
        <w:spacing w:line="348" w:lineRule="auto"/>
        <w:ind w:right="-6" w:firstLine="221" w:firstLineChars="1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19.不可抗力</w:t>
      </w:r>
    </w:p>
    <w:p w14:paraId="6EBDE780">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19.1不可抗力是指合同双方不可预见、不可避免、不可克服的自然灾害和社会事件。</w:t>
      </w:r>
    </w:p>
    <w:p w14:paraId="06670E04">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19.2任何一方对由于不可抗力造成的部分或全部不能履行合同不承担违约责任。但迟延履行后发生不可抗力的，不能免除责任。</w:t>
      </w:r>
    </w:p>
    <w:p w14:paraId="3A917450">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19.3遇有不可抗力的一方，应在三日内将事件的情况以书面形式通知另一方，并在事件发生后十日内，向另一方提交合同不能履行或部分不能履行或需要延期履行理由的报告。</w:t>
      </w:r>
    </w:p>
    <w:p w14:paraId="7927F820">
      <w:pPr>
        <w:spacing w:line="348" w:lineRule="auto"/>
        <w:ind w:right="-6" w:firstLine="221" w:firstLineChars="1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20.解决争议的方法</w:t>
      </w:r>
    </w:p>
    <w:p w14:paraId="0D66E661">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20.1合同各方应通过友好协商，解决在执行合同过程中所发生的或与合同有关的一切争端。如从协商开始后十日内仍不能解决，可以向财政部门提请调解。</w:t>
      </w:r>
    </w:p>
    <w:p w14:paraId="3FA0C95E">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20.2调解不成可以按</w:t>
      </w:r>
      <w:r>
        <w:rPr>
          <w:rFonts w:hint="eastAsia" w:asciiTheme="minorEastAsia" w:hAnsiTheme="minorEastAsia" w:eastAsiaTheme="minorEastAsia" w:cstheme="minorEastAsia"/>
          <w:b/>
          <w:bCs/>
          <w:sz w:val="22"/>
          <w:szCs w:val="28"/>
        </w:rPr>
        <w:t>【政府采购合同专用条款】</w:t>
      </w:r>
      <w:r>
        <w:rPr>
          <w:rFonts w:hint="eastAsia" w:asciiTheme="minorEastAsia" w:hAnsiTheme="minorEastAsia" w:eastAsiaTheme="minorEastAsia" w:cstheme="minorEastAsia"/>
          <w:sz w:val="22"/>
          <w:szCs w:val="28"/>
        </w:rPr>
        <w:t>中约定中规定下列方式之一提起仲裁或诉讼：</w:t>
      </w:r>
    </w:p>
    <w:p w14:paraId="1659E27C">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（1）向甲方所在地仲裁机构提起仲裁；</w:t>
      </w:r>
    </w:p>
    <w:p w14:paraId="11525F87">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（2）向甲方所在地人民法院提起诉讼。</w:t>
      </w:r>
    </w:p>
    <w:p w14:paraId="20278587">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20.3如仲裁或诉讼事项不影响合同</w:t>
      </w:r>
      <w:r>
        <w:rPr>
          <w:rFonts w:hint="eastAsia" w:asciiTheme="minorEastAsia" w:hAnsiTheme="minorEastAsia" w:eastAsiaTheme="minorEastAsia" w:cstheme="minorEastAsia"/>
          <w:sz w:val="22"/>
          <w:szCs w:val="28"/>
          <w:lang w:eastAsia="zh-CN"/>
        </w:rPr>
        <w:t>其他部分</w:t>
      </w:r>
      <w:r>
        <w:rPr>
          <w:rFonts w:hint="eastAsia" w:asciiTheme="minorEastAsia" w:hAnsiTheme="minorEastAsia" w:eastAsiaTheme="minorEastAsia" w:cstheme="minorEastAsia"/>
          <w:sz w:val="22"/>
          <w:szCs w:val="28"/>
        </w:rPr>
        <w:t>的履行，则在仲裁或诉讼期间，除正在进行仲裁或诉讼的部分外，合同</w:t>
      </w:r>
      <w:r>
        <w:rPr>
          <w:rFonts w:hint="eastAsia" w:asciiTheme="minorEastAsia" w:hAnsiTheme="minorEastAsia" w:eastAsiaTheme="minorEastAsia" w:cstheme="minorEastAsia"/>
          <w:sz w:val="22"/>
          <w:szCs w:val="28"/>
          <w:lang w:eastAsia="zh-CN"/>
        </w:rPr>
        <w:t>的其他部分</w:t>
      </w:r>
      <w:r>
        <w:rPr>
          <w:rFonts w:hint="eastAsia" w:asciiTheme="minorEastAsia" w:hAnsiTheme="minorEastAsia" w:eastAsiaTheme="minorEastAsia" w:cstheme="minorEastAsia"/>
          <w:sz w:val="22"/>
          <w:szCs w:val="28"/>
        </w:rPr>
        <w:t>应继续执行。</w:t>
      </w:r>
    </w:p>
    <w:p w14:paraId="273A4A76">
      <w:pPr>
        <w:spacing w:line="348" w:lineRule="auto"/>
        <w:ind w:right="-6" w:firstLine="221" w:firstLineChars="1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21.法律适用</w:t>
      </w:r>
    </w:p>
    <w:p w14:paraId="0247501C">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21.1本合同适用中华人民共和国现行法律、行政法规和规章，如合同条款与法律、行政法规和规章不一致的，按照法律、行政法规和规章修改本合同。</w:t>
      </w:r>
    </w:p>
    <w:p w14:paraId="04D90157">
      <w:pPr>
        <w:spacing w:line="348" w:lineRule="auto"/>
        <w:ind w:right="-6" w:firstLine="221" w:firstLineChars="1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22.通知</w:t>
      </w:r>
    </w:p>
    <w:p w14:paraId="14151ECF">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22.1本合同一方给另一方的通知均应采用书面形式，传真或快递送到本合同中规定的对方的地址和办理签收手续，</w:t>
      </w:r>
    </w:p>
    <w:p w14:paraId="094B9827">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22.2通知以送到之日或通知书中规定的生效之日起生效，两者中以较迟之日为准。</w:t>
      </w:r>
    </w:p>
    <w:p w14:paraId="3418B3CC">
      <w:pPr>
        <w:spacing w:line="348" w:lineRule="auto"/>
        <w:ind w:right="-6" w:firstLine="221" w:firstLineChars="1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23.合同未尽事项</w:t>
      </w:r>
    </w:p>
    <w:p w14:paraId="32B66DF8">
      <w:pPr>
        <w:spacing w:line="348" w:lineRule="auto"/>
        <w:ind w:right="-6" w:firstLine="440" w:firstLineChars="2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sz w:val="22"/>
          <w:szCs w:val="28"/>
        </w:rPr>
        <w:t>23.1合同未尽事项见</w:t>
      </w:r>
      <w:r>
        <w:rPr>
          <w:rFonts w:hint="eastAsia" w:asciiTheme="minorEastAsia" w:hAnsiTheme="minorEastAsia" w:eastAsiaTheme="minorEastAsia" w:cstheme="minorEastAsia"/>
          <w:b/>
          <w:bCs/>
          <w:sz w:val="22"/>
          <w:szCs w:val="28"/>
        </w:rPr>
        <w:t>【政府采购合同专用条款】。</w:t>
      </w:r>
    </w:p>
    <w:p w14:paraId="1BA57E8D">
      <w:pPr>
        <w:spacing w:line="348" w:lineRule="auto"/>
        <w:ind w:right="-6" w:firstLine="221" w:firstLineChars="100"/>
        <w:rPr>
          <w:rFonts w:hint="eastAsia" w:asciiTheme="minorEastAsia" w:hAnsiTheme="minorEastAsia" w:eastAsiaTheme="minorEastAsia" w:cstheme="minorEastAsia"/>
          <w:b/>
          <w:bCs/>
          <w:sz w:val="22"/>
          <w:szCs w:val="28"/>
        </w:rPr>
      </w:pPr>
      <w:r>
        <w:rPr>
          <w:rFonts w:hint="eastAsia" w:asciiTheme="minorEastAsia" w:hAnsiTheme="minorEastAsia" w:eastAsiaTheme="minorEastAsia" w:cstheme="minorEastAsia"/>
          <w:b/>
          <w:bCs/>
          <w:sz w:val="22"/>
          <w:szCs w:val="28"/>
        </w:rPr>
        <w:t>24.合同生效</w:t>
      </w:r>
    </w:p>
    <w:p w14:paraId="36F4B2F0">
      <w:pPr>
        <w:spacing w:line="348" w:lineRule="auto"/>
        <w:ind w:right="-6" w:firstLine="440"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2"/>
          <w:szCs w:val="28"/>
        </w:rPr>
        <w:t>24.1本合同在合同双方签字盖章后生效。</w:t>
      </w:r>
    </w:p>
    <w:p w14:paraId="64817CDC">
      <w:pPr>
        <w:rPr>
          <w:rFonts w:hint="eastAsia" w:asciiTheme="minorEastAsia" w:hAnsiTheme="minorEastAsia" w:eastAsiaTheme="minorEastAsia" w:cstheme="minorEastAsia"/>
          <w:sz w:val="32"/>
          <w:szCs w:val="40"/>
        </w:rPr>
      </w:pPr>
      <w:bookmarkStart w:id="353" w:name="_Toc30918"/>
      <w:r>
        <w:rPr>
          <w:rFonts w:hint="eastAsia" w:asciiTheme="minorEastAsia" w:hAnsiTheme="minorEastAsia" w:eastAsiaTheme="minorEastAsia" w:cstheme="minorEastAsia"/>
          <w:sz w:val="32"/>
          <w:szCs w:val="40"/>
        </w:rPr>
        <w:br w:type="page"/>
      </w:r>
    </w:p>
    <w:p w14:paraId="569FFA02">
      <w:pPr>
        <w:pStyle w:val="4"/>
        <w:jc w:val="center"/>
        <w:rPr>
          <w:rFonts w:hint="eastAsia" w:asciiTheme="minorEastAsia" w:hAnsiTheme="minorEastAsia" w:eastAsiaTheme="minorEastAsia" w:cstheme="minorEastAsia"/>
          <w:sz w:val="32"/>
          <w:szCs w:val="40"/>
        </w:rPr>
      </w:pPr>
      <w:bookmarkStart w:id="354" w:name="_Toc5336"/>
      <w:r>
        <w:rPr>
          <w:rFonts w:hint="eastAsia" w:asciiTheme="minorEastAsia" w:hAnsiTheme="minorEastAsia" w:eastAsiaTheme="minorEastAsia" w:cstheme="minorEastAsia"/>
          <w:sz w:val="32"/>
          <w:szCs w:val="40"/>
        </w:rPr>
        <w:t>第三节 政府采购合同专用条款</w:t>
      </w:r>
      <w:bookmarkEnd w:id="353"/>
      <w:bookmarkEnd w:id="354"/>
    </w:p>
    <w:tbl>
      <w:tblPr>
        <w:tblStyle w:val="202"/>
        <w:tblW w:w="9573" w:type="dxa"/>
        <w:jc w:val="center"/>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34" w:type="dxa"/>
          <w:left w:w="108" w:type="dxa"/>
          <w:bottom w:w="0" w:type="dxa"/>
          <w:right w:w="41" w:type="dxa"/>
        </w:tblCellMar>
      </w:tblPr>
      <w:tblGrid>
        <w:gridCol w:w="2617"/>
        <w:gridCol w:w="2043"/>
        <w:gridCol w:w="4913"/>
      </w:tblGrid>
      <w:tr w14:paraId="624B2DD7">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34" w:type="dxa"/>
            <w:left w:w="108" w:type="dxa"/>
            <w:bottom w:w="0" w:type="dxa"/>
            <w:right w:w="41" w:type="dxa"/>
          </w:tblCellMar>
        </w:tblPrEx>
        <w:trPr>
          <w:trHeight w:val="1377" w:hRule="atLeast"/>
          <w:jc w:val="center"/>
        </w:trPr>
        <w:tc>
          <w:tcPr>
            <w:tcW w:w="2617" w:type="dxa"/>
            <w:tcBorders>
              <w:tl2br w:val="nil"/>
              <w:tr2bl w:val="nil"/>
            </w:tcBorders>
            <w:vAlign w:val="center"/>
          </w:tcPr>
          <w:p w14:paraId="524702C1">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第六章 第二节</w:t>
            </w:r>
          </w:p>
          <w:p w14:paraId="094192C3">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第1.1款</w:t>
            </w:r>
          </w:p>
        </w:tc>
        <w:tc>
          <w:tcPr>
            <w:tcW w:w="2043" w:type="dxa"/>
            <w:tcBorders>
              <w:tl2br w:val="nil"/>
              <w:tr2bl w:val="nil"/>
            </w:tcBorders>
            <w:vAlign w:val="center"/>
          </w:tcPr>
          <w:p w14:paraId="33A804DA">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甲方名称、地址</w:t>
            </w:r>
          </w:p>
        </w:tc>
        <w:tc>
          <w:tcPr>
            <w:tcW w:w="4913" w:type="dxa"/>
            <w:tcBorders>
              <w:tl2br w:val="nil"/>
              <w:tr2bl w:val="nil"/>
            </w:tcBorders>
          </w:tcPr>
          <w:p w14:paraId="4FCEFA02">
            <w:pPr>
              <w:spacing w:line="360" w:lineRule="auto"/>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rPr>
              <w:t>名称：</w:t>
            </w:r>
            <w:r>
              <w:rPr>
                <w:rFonts w:hint="eastAsia" w:asciiTheme="minorEastAsia" w:hAnsiTheme="minorEastAsia" w:eastAsiaTheme="minorEastAsia" w:cstheme="minorEastAsia"/>
                <w:sz w:val="24"/>
                <w:lang w:eastAsia="zh-CN"/>
              </w:rPr>
              <w:t>凤凰县人民医院</w:t>
            </w:r>
          </w:p>
          <w:p w14:paraId="5259FE42">
            <w:pPr>
              <w:spacing w:line="360" w:lineRule="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rPr>
              <w:t>地址：</w:t>
            </w:r>
            <w:r>
              <w:rPr>
                <w:rFonts w:hint="eastAsia" w:asciiTheme="minorEastAsia" w:hAnsiTheme="minorEastAsia" w:eastAsiaTheme="minorEastAsia" w:cstheme="minorEastAsia"/>
                <w:sz w:val="24"/>
                <w:szCs w:val="32"/>
                <w:lang w:eastAsia="zh-CN"/>
              </w:rPr>
              <w:t>凤凰县大坳村凤大公路北侧</w:t>
            </w:r>
          </w:p>
          <w:p w14:paraId="617C1A84">
            <w:pPr>
              <w:spacing w:line="360" w:lineRule="auto"/>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rPr>
              <w:t>联系人：</w:t>
            </w:r>
            <w:r>
              <w:rPr>
                <w:rFonts w:hint="eastAsia" w:asciiTheme="minorEastAsia" w:hAnsiTheme="minorEastAsia" w:eastAsiaTheme="minorEastAsia" w:cstheme="minorEastAsia"/>
                <w:sz w:val="24"/>
                <w:lang w:eastAsia="zh-CN"/>
              </w:rPr>
              <w:t>梁芳</w:t>
            </w:r>
          </w:p>
          <w:p w14:paraId="71123369">
            <w:pPr>
              <w:spacing w:line="360" w:lineRule="auto"/>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rPr>
              <w:t>电话：</w:t>
            </w:r>
            <w:r>
              <w:rPr>
                <w:rFonts w:hint="eastAsia" w:asciiTheme="minorEastAsia" w:hAnsiTheme="minorEastAsia" w:eastAsiaTheme="minorEastAsia" w:cstheme="minorEastAsia"/>
                <w:sz w:val="24"/>
                <w:lang w:eastAsia="zh-CN"/>
              </w:rPr>
              <w:t>13789339282</w:t>
            </w:r>
          </w:p>
        </w:tc>
      </w:tr>
      <w:tr w14:paraId="33E75BE7">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34" w:type="dxa"/>
            <w:left w:w="108" w:type="dxa"/>
            <w:bottom w:w="0" w:type="dxa"/>
            <w:right w:w="41" w:type="dxa"/>
          </w:tblCellMar>
        </w:tblPrEx>
        <w:trPr>
          <w:trHeight w:val="658" w:hRule="atLeast"/>
          <w:jc w:val="center"/>
        </w:trPr>
        <w:tc>
          <w:tcPr>
            <w:tcW w:w="2617" w:type="dxa"/>
            <w:tcBorders>
              <w:tl2br w:val="nil"/>
              <w:tr2bl w:val="nil"/>
            </w:tcBorders>
            <w:vAlign w:val="center"/>
          </w:tcPr>
          <w:p w14:paraId="792A841E">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第六章 第二节</w:t>
            </w:r>
          </w:p>
          <w:p w14:paraId="6F1B6C21">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第1.2</w:t>
            </w:r>
            <w:r>
              <w:rPr>
                <w:rFonts w:hint="eastAsia" w:asciiTheme="minorEastAsia" w:hAnsiTheme="minorEastAsia" w:eastAsiaTheme="minorEastAsia" w:cstheme="minorEastAsia"/>
                <w:color w:val="000000" w:themeColor="text1"/>
                <w:sz w:val="24"/>
                <w14:textFill>
                  <w14:solidFill>
                    <w14:schemeClr w14:val="tx1"/>
                  </w14:solidFill>
                </w14:textFill>
              </w:rPr>
              <w:t>款 第</w:t>
            </w:r>
            <w:r>
              <w:rPr>
                <w:rFonts w:hint="eastAsia" w:asciiTheme="minorEastAsia" w:hAnsiTheme="minorEastAsia" w:eastAsiaTheme="minorEastAsia" w:cstheme="minorEastAsia"/>
                <w:sz w:val="24"/>
              </w:rPr>
              <w:t>（6）项</w:t>
            </w:r>
          </w:p>
        </w:tc>
        <w:tc>
          <w:tcPr>
            <w:tcW w:w="2043" w:type="dxa"/>
            <w:tcBorders>
              <w:tl2br w:val="nil"/>
              <w:tr2bl w:val="nil"/>
            </w:tcBorders>
            <w:vAlign w:val="center"/>
          </w:tcPr>
          <w:p w14:paraId="0A102A4C">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项目现场</w:t>
            </w:r>
          </w:p>
        </w:tc>
        <w:tc>
          <w:tcPr>
            <w:tcW w:w="4913" w:type="dxa"/>
            <w:tcBorders>
              <w:tl2br w:val="nil"/>
              <w:tr2bl w:val="nil"/>
            </w:tcBorders>
            <w:vAlign w:val="center"/>
          </w:tcPr>
          <w:p w14:paraId="29336646">
            <w:pPr>
              <w:spacing w:line="360" w:lineRule="auto"/>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凤凰县人民医院</w:t>
            </w:r>
          </w:p>
        </w:tc>
      </w:tr>
      <w:tr w14:paraId="1050A7E2">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34" w:type="dxa"/>
            <w:left w:w="108" w:type="dxa"/>
            <w:bottom w:w="0" w:type="dxa"/>
            <w:right w:w="41" w:type="dxa"/>
          </w:tblCellMar>
        </w:tblPrEx>
        <w:trPr>
          <w:trHeight w:val="240" w:hRule="atLeast"/>
          <w:jc w:val="center"/>
        </w:trPr>
        <w:tc>
          <w:tcPr>
            <w:tcW w:w="2617" w:type="dxa"/>
            <w:tcBorders>
              <w:tl2br w:val="nil"/>
              <w:tr2bl w:val="nil"/>
            </w:tcBorders>
            <w:vAlign w:val="center"/>
          </w:tcPr>
          <w:p w14:paraId="4DBD89E7">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第六章 第二节</w:t>
            </w:r>
          </w:p>
          <w:p w14:paraId="7B604CB7">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第5.1款</w:t>
            </w:r>
          </w:p>
        </w:tc>
        <w:tc>
          <w:tcPr>
            <w:tcW w:w="2043" w:type="dxa"/>
            <w:tcBorders>
              <w:tl2br w:val="nil"/>
              <w:tr2bl w:val="nil"/>
            </w:tcBorders>
            <w:vAlign w:val="center"/>
          </w:tcPr>
          <w:p w14:paraId="386BF49A">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交货时间、地点</w:t>
            </w:r>
          </w:p>
          <w:p w14:paraId="209395FC">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及方式</w:t>
            </w:r>
          </w:p>
        </w:tc>
        <w:tc>
          <w:tcPr>
            <w:tcW w:w="4913" w:type="dxa"/>
            <w:tcBorders>
              <w:tl2br w:val="nil"/>
              <w:tr2bl w:val="nil"/>
            </w:tcBorders>
          </w:tcPr>
          <w:p w14:paraId="58ED9673">
            <w:pPr>
              <w:spacing w:line="360" w:lineRule="auto"/>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sz w:val="24"/>
              </w:rPr>
              <w:t>交货时间：</w:t>
            </w:r>
            <w:r>
              <w:rPr>
                <w:rFonts w:hint="eastAsia" w:asciiTheme="minorEastAsia" w:hAnsiTheme="minorEastAsia" w:eastAsiaTheme="minorEastAsia" w:cstheme="minorEastAsia"/>
                <w:color w:val="000000" w:themeColor="text1"/>
                <w:kern w:val="0"/>
                <w:sz w:val="24"/>
                <w:lang w:eastAsia="zh-CN" w:bidi="ar"/>
                <w14:textFill>
                  <w14:solidFill>
                    <w14:schemeClr w14:val="tx1"/>
                  </w14:solidFill>
                </w14:textFill>
              </w:rPr>
              <w:t>合同签订后90天内交付完毕</w:t>
            </w:r>
            <w:r>
              <w:rPr>
                <w:rFonts w:hint="eastAsia" w:asciiTheme="minorEastAsia" w:hAnsiTheme="minorEastAsia" w:eastAsiaTheme="minorEastAsia" w:cstheme="minorEastAsia"/>
                <w:color w:val="000000" w:themeColor="text1"/>
                <w:kern w:val="0"/>
                <w:sz w:val="24"/>
                <w:lang w:bidi="ar"/>
                <w14:textFill>
                  <w14:solidFill>
                    <w14:schemeClr w14:val="tx1"/>
                  </w14:solidFill>
                </w14:textFill>
              </w:rPr>
              <w:t>。</w:t>
            </w:r>
          </w:p>
          <w:p w14:paraId="2DB19292">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项目地点：采购人指定地点</w:t>
            </w:r>
          </w:p>
        </w:tc>
      </w:tr>
      <w:tr w14:paraId="5048DFB7">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34" w:type="dxa"/>
            <w:left w:w="108" w:type="dxa"/>
            <w:bottom w:w="0" w:type="dxa"/>
            <w:right w:w="41" w:type="dxa"/>
          </w:tblCellMar>
        </w:tblPrEx>
        <w:trPr>
          <w:trHeight w:val="638" w:hRule="atLeast"/>
          <w:jc w:val="center"/>
        </w:trPr>
        <w:tc>
          <w:tcPr>
            <w:tcW w:w="2617" w:type="dxa"/>
            <w:tcBorders>
              <w:tl2br w:val="nil"/>
              <w:tr2bl w:val="nil"/>
            </w:tcBorders>
            <w:vAlign w:val="center"/>
          </w:tcPr>
          <w:p w14:paraId="01454F77">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第六章 第二节</w:t>
            </w:r>
          </w:p>
          <w:p w14:paraId="5B062AD9">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第9.2</w:t>
            </w:r>
            <w:r>
              <w:rPr>
                <w:rFonts w:hint="eastAsia" w:asciiTheme="minorEastAsia" w:hAnsiTheme="minorEastAsia" w:eastAsiaTheme="minorEastAsia" w:cstheme="minorEastAsia"/>
                <w:color w:val="000000" w:themeColor="text1"/>
                <w:sz w:val="24"/>
                <w14:textFill>
                  <w14:solidFill>
                    <w14:schemeClr w14:val="tx1"/>
                  </w14:solidFill>
                </w14:textFill>
              </w:rPr>
              <w:t>款 第</w:t>
            </w:r>
            <w:r>
              <w:rPr>
                <w:rFonts w:hint="eastAsia" w:asciiTheme="minorEastAsia" w:hAnsiTheme="minorEastAsia" w:eastAsiaTheme="minorEastAsia" w:cstheme="minorEastAsia"/>
                <w:sz w:val="24"/>
              </w:rPr>
              <w:t>（1）项</w:t>
            </w:r>
          </w:p>
        </w:tc>
        <w:tc>
          <w:tcPr>
            <w:tcW w:w="2043" w:type="dxa"/>
            <w:tcBorders>
              <w:tl2br w:val="nil"/>
              <w:tr2bl w:val="nil"/>
            </w:tcBorders>
            <w:vAlign w:val="center"/>
          </w:tcPr>
          <w:p w14:paraId="16A69D87">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质量保证期</w:t>
            </w:r>
          </w:p>
        </w:tc>
        <w:tc>
          <w:tcPr>
            <w:tcW w:w="4913" w:type="dxa"/>
            <w:tcBorders>
              <w:tl2br w:val="nil"/>
              <w:tr2bl w:val="nil"/>
            </w:tcBorders>
            <w:vAlign w:val="center"/>
          </w:tcPr>
          <w:p w14:paraId="49C61CBA">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软件系统应提供至少</w:t>
            </w:r>
            <w:r>
              <w:rPr>
                <w:rFonts w:hint="eastAsia" w:asciiTheme="minorEastAsia" w:hAnsiTheme="minorEastAsia" w:eastAsiaTheme="minorEastAsia" w:cstheme="minorEastAsia"/>
                <w:sz w:val="24"/>
              </w:rPr>
              <w:t>3年</w:t>
            </w:r>
            <w:r>
              <w:rPr>
                <w:rFonts w:hint="eastAsia" w:asciiTheme="minorEastAsia" w:hAnsiTheme="minorEastAsia" w:eastAsiaTheme="minorEastAsia" w:cstheme="minorEastAsia"/>
                <w:sz w:val="24"/>
                <w:lang w:eastAsia="zh-CN"/>
              </w:rPr>
              <w:t>的</w:t>
            </w:r>
            <w:r>
              <w:rPr>
                <w:rFonts w:hint="eastAsia" w:asciiTheme="minorEastAsia" w:hAnsiTheme="minorEastAsia" w:eastAsiaTheme="minorEastAsia" w:cstheme="minorEastAsia"/>
                <w:sz w:val="24"/>
                <w:lang w:val="en-US" w:eastAsia="zh-CN"/>
              </w:rPr>
              <w:t>免费质保期</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核心软件系统</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医共体管理平台、卫生统计与决策分析系统</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、设备质保期不得低于原厂最高标准。</w:t>
            </w:r>
          </w:p>
        </w:tc>
      </w:tr>
      <w:tr w14:paraId="51539652">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34" w:type="dxa"/>
            <w:left w:w="108" w:type="dxa"/>
            <w:bottom w:w="0" w:type="dxa"/>
            <w:right w:w="41" w:type="dxa"/>
          </w:tblCellMar>
        </w:tblPrEx>
        <w:trPr>
          <w:trHeight w:val="634" w:hRule="atLeast"/>
          <w:jc w:val="center"/>
        </w:trPr>
        <w:tc>
          <w:tcPr>
            <w:tcW w:w="2617" w:type="dxa"/>
            <w:tcBorders>
              <w:tl2br w:val="nil"/>
              <w:tr2bl w:val="nil"/>
            </w:tcBorders>
            <w:vAlign w:val="center"/>
          </w:tcPr>
          <w:p w14:paraId="16BB48A6">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第六章 第二节</w:t>
            </w:r>
          </w:p>
          <w:p w14:paraId="29DEC1A0">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第9.2</w:t>
            </w:r>
            <w:r>
              <w:rPr>
                <w:rFonts w:hint="eastAsia" w:asciiTheme="minorEastAsia" w:hAnsiTheme="minorEastAsia" w:eastAsiaTheme="minorEastAsia" w:cstheme="minorEastAsia"/>
                <w:color w:val="000000" w:themeColor="text1"/>
                <w:sz w:val="24"/>
                <w14:textFill>
                  <w14:solidFill>
                    <w14:schemeClr w14:val="tx1"/>
                  </w14:solidFill>
                </w14:textFill>
              </w:rPr>
              <w:t>款 第</w:t>
            </w:r>
            <w:r>
              <w:rPr>
                <w:rFonts w:hint="eastAsia" w:asciiTheme="minorEastAsia" w:hAnsiTheme="minorEastAsia" w:eastAsiaTheme="minorEastAsia" w:cstheme="minorEastAsia"/>
                <w:sz w:val="24"/>
              </w:rPr>
              <w:t>（3）项</w:t>
            </w:r>
          </w:p>
        </w:tc>
        <w:tc>
          <w:tcPr>
            <w:tcW w:w="2043" w:type="dxa"/>
            <w:tcBorders>
              <w:tl2br w:val="nil"/>
              <w:tr2bl w:val="nil"/>
            </w:tcBorders>
            <w:vAlign w:val="center"/>
          </w:tcPr>
          <w:p w14:paraId="61B6EF3D">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响应时间</w:t>
            </w:r>
          </w:p>
        </w:tc>
        <w:tc>
          <w:tcPr>
            <w:tcW w:w="4913" w:type="dxa"/>
            <w:tcBorders>
              <w:tl2br w:val="nil"/>
              <w:tr2bl w:val="nil"/>
            </w:tcBorders>
            <w:vAlign w:val="center"/>
          </w:tcPr>
          <w:p w14:paraId="06D50448">
            <w:pPr>
              <w:spacing w:line="312" w:lineRule="auto"/>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（1）7×24小时技术热线支持，全天候受理故障报修；</w:t>
            </w:r>
          </w:p>
          <w:p w14:paraId="63D75E53">
            <w:pPr>
              <w:spacing w:line="312" w:lineRule="auto"/>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（2）院内重大系统故障（收费、住院、医保、核心业务瘫痪）：需立即响应，不能远程解决的需2小时内到场解决；一般故障30分钟内响应，不能远程解决的需4小时内到场解决；</w:t>
            </w:r>
          </w:p>
          <w:p w14:paraId="77E7AA48">
            <w:pPr>
              <w:spacing w:line="312"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kern w:val="0"/>
                <w:sz w:val="24"/>
                <w:lang w:val="en-US" w:eastAsia="zh-CN" w:bidi="ar"/>
              </w:rPr>
              <w:t>（3）质保期内免费提供系统补丁升级、漏洞修复、版本优化、病毒防护、策略调整、日常巡检。</w:t>
            </w:r>
          </w:p>
        </w:tc>
      </w:tr>
      <w:tr w14:paraId="18A92357">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34" w:type="dxa"/>
            <w:left w:w="108" w:type="dxa"/>
            <w:bottom w:w="0" w:type="dxa"/>
            <w:right w:w="41" w:type="dxa"/>
          </w:tblCellMar>
        </w:tblPrEx>
        <w:trPr>
          <w:trHeight w:val="638" w:hRule="atLeast"/>
          <w:jc w:val="center"/>
        </w:trPr>
        <w:tc>
          <w:tcPr>
            <w:tcW w:w="2617" w:type="dxa"/>
            <w:tcBorders>
              <w:tl2br w:val="nil"/>
              <w:tr2bl w:val="nil"/>
            </w:tcBorders>
            <w:vAlign w:val="center"/>
          </w:tcPr>
          <w:p w14:paraId="0EBAB3C4">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第六章 第二节</w:t>
            </w:r>
          </w:p>
          <w:p w14:paraId="2B8F0FDD">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第13.5款</w:t>
            </w:r>
          </w:p>
        </w:tc>
        <w:tc>
          <w:tcPr>
            <w:tcW w:w="2043" w:type="dxa"/>
            <w:tcBorders>
              <w:tl2br w:val="nil"/>
              <w:tr2bl w:val="nil"/>
            </w:tcBorders>
            <w:vAlign w:val="center"/>
          </w:tcPr>
          <w:p w14:paraId="2A606AD3">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合同价款支付</w:t>
            </w:r>
          </w:p>
          <w:p w14:paraId="4FEEFCD0">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方式和条件</w:t>
            </w:r>
          </w:p>
        </w:tc>
        <w:tc>
          <w:tcPr>
            <w:tcW w:w="4913" w:type="dxa"/>
            <w:tcBorders>
              <w:tl2br w:val="nil"/>
              <w:tr2bl w:val="nil"/>
            </w:tcBorders>
            <w:vAlign w:val="center"/>
          </w:tcPr>
          <w:p w14:paraId="3BBE67DB">
            <w:pPr>
              <w:spacing w:line="360" w:lineRule="auto"/>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付款方式：</w:t>
            </w:r>
            <w:r>
              <w:rPr>
                <w:rFonts w:hint="eastAsia" w:asciiTheme="minorEastAsia" w:hAnsiTheme="minorEastAsia" w:eastAsiaTheme="minorEastAsia" w:cstheme="minorEastAsia"/>
                <w:sz w:val="24"/>
                <w:lang w:val="en-US" w:eastAsia="zh-CN"/>
              </w:rPr>
              <w:t>分期付款</w:t>
            </w:r>
          </w:p>
          <w:p w14:paraId="1A87CAFE">
            <w:pPr>
              <w:spacing w:line="312" w:lineRule="auto"/>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1.1进度款，项目合同正式签订后，乙方根据项目建设实际需要，组织项目团队、技术人员及相关设备进场实施，经甲方书面确认进场条件满足要求后，支付合同总金额的20%作为项目启动款。</w:t>
            </w:r>
          </w:p>
          <w:p w14:paraId="09CCD301">
            <w:pPr>
              <w:spacing w:line="312" w:lineRule="auto"/>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1.2验收款，系统通过最终验收。乙方需完成全部建设内容，包括系统集成与历史数据迁移工作，系统试运行期（1个月）满且稳定无重大故障，并提交完整的竣工文档。由甲方组织成立的验收小组出具《最终验收合格报告》后支付合同总金额的50%。</w:t>
            </w:r>
          </w:p>
          <w:p w14:paraId="0C77379D">
            <w:pPr>
              <w:spacing w:line="312" w:lineRule="auto"/>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1.3结算审计款，项目完成全部竣工结算资料的编制与提交，并通过甲方或其委托的第三方审计机构的竣工结算审计，在取得最终审计报告后30个工作日内支付合同总金额的10%。</w:t>
            </w:r>
          </w:p>
          <w:p w14:paraId="7C224ED4">
            <w:pPr>
              <w:spacing w:line="312" w:lineRule="auto"/>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1.4余下资金，项目最终验收合格之日起，满一年后30个工作日内无息支付合同总金额的10%。</w:t>
            </w:r>
          </w:p>
          <w:p w14:paraId="418111A1">
            <w:pPr>
              <w:spacing w:line="312" w:lineRule="auto"/>
              <w:rPr>
                <w:rFonts w:hint="eastAsia" w:asciiTheme="minorEastAsia" w:hAnsiTheme="minorEastAsia" w:eastAsiaTheme="minorEastAsia" w:cstheme="minorEastAsia"/>
                <w:kern w:val="0"/>
                <w:sz w:val="24"/>
                <w:lang w:val="en-US" w:eastAsia="zh-CN" w:bidi="ar"/>
              </w:rPr>
            </w:pPr>
            <w:r>
              <w:rPr>
                <w:rFonts w:hint="eastAsia" w:asciiTheme="minorEastAsia" w:hAnsiTheme="minorEastAsia" w:eastAsiaTheme="minorEastAsia" w:cstheme="minorEastAsia"/>
                <w:kern w:val="0"/>
                <w:sz w:val="24"/>
                <w:lang w:val="en-US" w:eastAsia="zh-CN" w:bidi="ar"/>
              </w:rPr>
              <w:t>1.5最终支付条件：项目最终验收合格之日起，在质保期届满，乙方已履行全部质保义务，无未处理的缺陷或故障。质保期届满后30个工作日内无息支付合同总金额的10%。</w:t>
            </w:r>
          </w:p>
          <w:p w14:paraId="004FAD8D">
            <w:pPr>
              <w:spacing w:line="312" w:lineRule="auto"/>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kern w:val="0"/>
                <w:sz w:val="24"/>
                <w:lang w:val="en-US" w:eastAsia="zh-CN" w:bidi="ar"/>
              </w:rPr>
              <w:t>1.6以上付款以财政资金拨付时间为准。</w:t>
            </w:r>
          </w:p>
          <w:p w14:paraId="61947DC0">
            <w:pPr>
              <w:spacing w:line="360" w:lineRule="auto"/>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rPr>
              <w:t>付款单位：</w:t>
            </w:r>
            <w:r>
              <w:rPr>
                <w:rFonts w:hint="eastAsia" w:asciiTheme="minorEastAsia" w:hAnsiTheme="minorEastAsia" w:eastAsiaTheme="minorEastAsia" w:cstheme="minorEastAsia"/>
                <w:sz w:val="24"/>
                <w:lang w:eastAsia="zh-CN"/>
              </w:rPr>
              <w:t>凤凰县人民医院</w:t>
            </w:r>
          </w:p>
        </w:tc>
      </w:tr>
      <w:tr w14:paraId="78651A65">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34" w:type="dxa"/>
            <w:left w:w="108" w:type="dxa"/>
            <w:bottom w:w="0" w:type="dxa"/>
            <w:right w:w="41" w:type="dxa"/>
          </w:tblCellMar>
        </w:tblPrEx>
        <w:trPr>
          <w:trHeight w:val="638" w:hRule="atLeast"/>
          <w:jc w:val="center"/>
        </w:trPr>
        <w:tc>
          <w:tcPr>
            <w:tcW w:w="2617" w:type="dxa"/>
            <w:tcBorders>
              <w:tl2br w:val="nil"/>
              <w:tr2bl w:val="nil"/>
            </w:tcBorders>
            <w:vAlign w:val="center"/>
          </w:tcPr>
          <w:p w14:paraId="2BBD8C5C">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第六章 第二节</w:t>
            </w:r>
          </w:p>
          <w:p w14:paraId="21BE7167">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第14.2</w:t>
            </w:r>
            <w:r>
              <w:rPr>
                <w:rFonts w:hint="eastAsia" w:asciiTheme="minorEastAsia" w:hAnsiTheme="minorEastAsia" w:eastAsiaTheme="minorEastAsia" w:cstheme="minorEastAsia"/>
                <w:color w:val="000000" w:themeColor="text1"/>
                <w:sz w:val="24"/>
                <w14:textFill>
                  <w14:solidFill>
                    <w14:schemeClr w14:val="tx1"/>
                  </w14:solidFill>
                </w14:textFill>
              </w:rPr>
              <w:t>款 第</w:t>
            </w:r>
            <w:r>
              <w:rPr>
                <w:rFonts w:hint="eastAsia" w:asciiTheme="minorEastAsia" w:hAnsiTheme="minorEastAsia" w:eastAsiaTheme="minorEastAsia" w:cstheme="minorEastAsia"/>
                <w:sz w:val="24"/>
              </w:rPr>
              <w:t>（5）项</w:t>
            </w:r>
          </w:p>
        </w:tc>
        <w:tc>
          <w:tcPr>
            <w:tcW w:w="2043" w:type="dxa"/>
            <w:tcBorders>
              <w:tl2br w:val="nil"/>
              <w:tr2bl w:val="nil"/>
            </w:tcBorders>
            <w:vAlign w:val="center"/>
          </w:tcPr>
          <w:p w14:paraId="221136F0">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乙方提供的其他服务</w:t>
            </w:r>
          </w:p>
        </w:tc>
        <w:tc>
          <w:tcPr>
            <w:tcW w:w="4913" w:type="dxa"/>
            <w:tcBorders>
              <w:tl2br w:val="nil"/>
              <w:tr2bl w:val="nil"/>
            </w:tcBorders>
            <w:vAlign w:val="center"/>
          </w:tcPr>
          <w:p w14:paraId="097569B6">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具体见第五章 采购需求</w:t>
            </w:r>
          </w:p>
        </w:tc>
      </w:tr>
      <w:tr w14:paraId="28FAE55F">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34" w:type="dxa"/>
            <w:left w:w="108" w:type="dxa"/>
            <w:bottom w:w="0" w:type="dxa"/>
            <w:right w:w="41" w:type="dxa"/>
          </w:tblCellMar>
        </w:tblPrEx>
        <w:trPr>
          <w:trHeight w:val="638" w:hRule="atLeast"/>
          <w:jc w:val="center"/>
        </w:trPr>
        <w:tc>
          <w:tcPr>
            <w:tcW w:w="2617" w:type="dxa"/>
            <w:tcBorders>
              <w:tl2br w:val="nil"/>
              <w:tr2bl w:val="nil"/>
            </w:tcBorders>
            <w:vAlign w:val="center"/>
          </w:tcPr>
          <w:p w14:paraId="59B28622">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第六章 第二节</w:t>
            </w:r>
          </w:p>
          <w:p w14:paraId="30D0A07E">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第23.1款</w:t>
            </w:r>
          </w:p>
        </w:tc>
        <w:tc>
          <w:tcPr>
            <w:tcW w:w="2043" w:type="dxa"/>
            <w:tcBorders>
              <w:tl2br w:val="nil"/>
              <w:tr2bl w:val="nil"/>
            </w:tcBorders>
            <w:vAlign w:val="center"/>
          </w:tcPr>
          <w:p w14:paraId="4EA9C8F4">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合同未尽事项</w:t>
            </w:r>
          </w:p>
        </w:tc>
        <w:tc>
          <w:tcPr>
            <w:tcW w:w="4913" w:type="dxa"/>
            <w:tcBorders>
              <w:tl2br w:val="nil"/>
              <w:tr2bl w:val="nil"/>
            </w:tcBorders>
            <w:vAlign w:val="center"/>
          </w:tcPr>
          <w:p w14:paraId="48475C59">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1.双方协商解决；</w:t>
            </w:r>
          </w:p>
          <w:p w14:paraId="632A5B94">
            <w:pPr>
              <w:spacing w:line="360" w:lineRule="auto"/>
              <w:rPr>
                <w:rFonts w:hint="eastAsia" w:asciiTheme="minorEastAsia" w:hAnsiTheme="minorEastAsia" w:eastAsiaTheme="minorEastAsia" w:cstheme="minorEastAsia"/>
                <w:sz w:val="24"/>
              </w:rPr>
            </w:pPr>
            <w:r>
              <w:rPr>
                <w:rFonts w:hint="eastAsia" w:ascii="宋体" w:hAnsi="宋体" w:eastAsia="宋体" w:cs="宋体"/>
                <w:sz w:val="24"/>
              </w:rPr>
              <w:t>2.特别约定：若乙方提前终止合同的，或者乙方误期赔偿达到最高限额甲方终止合同的，或者乙方不能在90天内完成交付的，乙方应向甲方支付合同金额的10%作为违约金。通用条款与该约定不一致的，优先适用该约定。</w:t>
            </w:r>
          </w:p>
        </w:tc>
      </w:tr>
    </w:tbl>
    <w:p w14:paraId="3C3E2B2E">
      <w:pPr>
        <w:autoSpaceDE w:val="0"/>
        <w:autoSpaceDN w:val="0"/>
        <w:adjustRightInd w:val="0"/>
        <w:snapToGrid w:val="0"/>
        <w:spacing w:before="50" w:line="312" w:lineRule="auto"/>
        <w:ind w:firstLine="643" w:firstLineChars="200"/>
        <w:jc w:val="left"/>
        <w:rPr>
          <w:rFonts w:hint="eastAsia" w:asciiTheme="minorEastAsia" w:hAnsiTheme="minorEastAsia" w:eastAsiaTheme="minorEastAsia" w:cstheme="minorEastAsia"/>
          <w:b/>
          <w:bCs/>
          <w:color w:val="000000" w:themeColor="text1"/>
          <w:sz w:val="32"/>
          <w14:textFill>
            <w14:solidFill>
              <w14:schemeClr w14:val="tx1"/>
            </w14:solidFill>
          </w14:textFill>
        </w:rPr>
      </w:pPr>
      <w:r>
        <w:rPr>
          <w:rFonts w:hint="eastAsia" w:asciiTheme="minorEastAsia" w:hAnsiTheme="minorEastAsia" w:eastAsiaTheme="minorEastAsia" w:cstheme="minorEastAsia"/>
          <w:b/>
          <w:bCs/>
          <w:color w:val="000000" w:themeColor="text1"/>
          <w:sz w:val="32"/>
          <w14:textFill>
            <w14:solidFill>
              <w14:schemeClr w14:val="tx1"/>
            </w14:solidFill>
          </w14:textFill>
        </w:rPr>
        <w:br w:type="page"/>
      </w:r>
    </w:p>
    <w:p w14:paraId="380B49FF">
      <w:pPr>
        <w:pStyle w:val="3"/>
        <w:spacing w:line="600" w:lineRule="auto"/>
        <w:jc w:val="center"/>
        <w:rPr>
          <w:rFonts w:hint="eastAsia" w:asciiTheme="minorEastAsia" w:hAnsiTheme="minorEastAsia" w:eastAsiaTheme="minorEastAsia" w:cstheme="minorEastAsia"/>
          <w:b/>
          <w:bCs w:val="0"/>
          <w:sz w:val="36"/>
          <w:szCs w:val="22"/>
        </w:rPr>
      </w:pPr>
      <w:bookmarkStart w:id="355" w:name="_Toc32205"/>
      <w:bookmarkStart w:id="356" w:name="_Toc22305"/>
      <w:r>
        <w:rPr>
          <w:rFonts w:hint="eastAsia" w:asciiTheme="minorEastAsia" w:hAnsiTheme="minorEastAsia" w:eastAsiaTheme="minorEastAsia" w:cstheme="minorEastAsia"/>
          <w:b/>
          <w:bCs w:val="0"/>
          <w:sz w:val="36"/>
          <w:szCs w:val="22"/>
        </w:rPr>
        <w:t>第七章 投标文件的组成</w:t>
      </w:r>
      <w:bookmarkEnd w:id="355"/>
      <w:bookmarkEnd w:id="356"/>
    </w:p>
    <w:p w14:paraId="24227DA7">
      <w:pPr>
        <w:spacing w:line="480" w:lineRule="auto"/>
        <w:ind w:left="420" w:leftChars="200" w:right="158" w:rightChars="75" w:firstLine="420" w:firstLineChars="200"/>
        <w:rPr>
          <w:rFonts w:hint="eastAsia" w:asciiTheme="minorEastAsia" w:hAnsiTheme="minorEastAsia" w:eastAsiaTheme="minorEastAsia" w:cstheme="minorEastAsia"/>
          <w:b/>
          <w:bCs/>
          <w:sz w:val="28"/>
          <w:szCs w:val="44"/>
        </w:rPr>
      </w:pPr>
      <w:r>
        <w:fldChar w:fldCharType="begin"/>
      </w:r>
      <w:r>
        <w:instrText xml:space="preserve"> HYPERLINK \l "_Toc31681" </w:instrText>
      </w:r>
      <w:r>
        <w:fldChar w:fldCharType="separate"/>
      </w:r>
      <w:r>
        <w:rPr>
          <w:rFonts w:hint="eastAsia" w:asciiTheme="minorEastAsia" w:hAnsiTheme="minorEastAsia" w:eastAsiaTheme="minorEastAsia" w:cstheme="minorEastAsia"/>
          <w:b/>
          <w:bCs/>
          <w:sz w:val="28"/>
          <w:szCs w:val="44"/>
        </w:rPr>
        <w:t>第一部分 资格证明文件</w:t>
      </w:r>
      <w:r>
        <w:rPr>
          <w:rFonts w:hint="eastAsia" w:asciiTheme="minorEastAsia" w:hAnsiTheme="minorEastAsia" w:eastAsiaTheme="minorEastAsia" w:cstheme="minorEastAsia"/>
          <w:b/>
          <w:bCs/>
          <w:sz w:val="28"/>
          <w:szCs w:val="44"/>
        </w:rPr>
        <w:fldChar w:fldCharType="end"/>
      </w:r>
    </w:p>
    <w:p w14:paraId="5A3B241E">
      <w:pPr>
        <w:spacing w:line="480" w:lineRule="auto"/>
        <w:ind w:left="420" w:leftChars="200" w:right="158" w:rightChars="75" w:firstLine="630" w:firstLineChars="300"/>
        <w:rPr>
          <w:rFonts w:hint="eastAsia" w:asciiTheme="minorEastAsia" w:hAnsiTheme="minorEastAsia" w:eastAsiaTheme="minorEastAsia" w:cstheme="minorEastAsia"/>
          <w:sz w:val="24"/>
          <w:szCs w:val="44"/>
        </w:rPr>
      </w:pPr>
      <w:r>
        <w:fldChar w:fldCharType="begin"/>
      </w:r>
      <w:r>
        <w:instrText xml:space="preserve"> HYPERLINK \l "_Toc30055" </w:instrText>
      </w:r>
      <w:r>
        <w:fldChar w:fldCharType="separate"/>
      </w:r>
      <w:r>
        <w:rPr>
          <w:rFonts w:hint="eastAsia" w:asciiTheme="minorEastAsia" w:hAnsiTheme="minorEastAsia" w:eastAsiaTheme="minorEastAsia" w:cstheme="minorEastAsia"/>
          <w:sz w:val="24"/>
          <w:szCs w:val="44"/>
        </w:rPr>
        <w:t>一、法定代表人（单位负责人）身份证明</w:t>
      </w:r>
      <w:r>
        <w:rPr>
          <w:rFonts w:hint="eastAsia" w:asciiTheme="minorEastAsia" w:hAnsiTheme="minorEastAsia" w:eastAsiaTheme="minorEastAsia" w:cstheme="minorEastAsia"/>
          <w:sz w:val="24"/>
          <w:szCs w:val="44"/>
        </w:rPr>
        <w:fldChar w:fldCharType="end"/>
      </w:r>
    </w:p>
    <w:p w14:paraId="29E5726F">
      <w:pPr>
        <w:spacing w:line="480" w:lineRule="auto"/>
        <w:ind w:left="420" w:leftChars="200" w:right="158" w:rightChars="75" w:firstLine="630" w:firstLineChars="300"/>
        <w:rPr>
          <w:rFonts w:hint="eastAsia" w:asciiTheme="minorEastAsia" w:hAnsiTheme="minorEastAsia" w:eastAsiaTheme="minorEastAsia" w:cstheme="minorEastAsia"/>
          <w:sz w:val="24"/>
          <w:szCs w:val="44"/>
        </w:rPr>
      </w:pPr>
      <w:r>
        <w:fldChar w:fldCharType="begin"/>
      </w:r>
      <w:r>
        <w:instrText xml:space="preserve"> HYPERLINK \l "_Toc3704" </w:instrText>
      </w:r>
      <w:r>
        <w:fldChar w:fldCharType="separate"/>
      </w:r>
      <w:r>
        <w:rPr>
          <w:rFonts w:hint="eastAsia" w:asciiTheme="minorEastAsia" w:hAnsiTheme="minorEastAsia" w:eastAsiaTheme="minorEastAsia" w:cstheme="minorEastAsia"/>
          <w:sz w:val="24"/>
          <w:szCs w:val="44"/>
        </w:rPr>
        <w:t>二、湖南省政府采购供应商资格承诺函</w:t>
      </w:r>
      <w:r>
        <w:rPr>
          <w:rFonts w:hint="eastAsia" w:asciiTheme="minorEastAsia" w:hAnsiTheme="minorEastAsia" w:eastAsiaTheme="minorEastAsia" w:cstheme="minorEastAsia"/>
          <w:sz w:val="24"/>
          <w:szCs w:val="44"/>
        </w:rPr>
        <w:fldChar w:fldCharType="end"/>
      </w:r>
    </w:p>
    <w:p w14:paraId="6263D680">
      <w:pPr>
        <w:spacing w:line="480" w:lineRule="auto"/>
        <w:ind w:left="420" w:leftChars="200" w:right="158" w:rightChars="75" w:firstLine="630" w:firstLineChars="300"/>
      </w:pPr>
      <w:r>
        <w:fldChar w:fldCharType="begin"/>
      </w:r>
      <w:r>
        <w:instrText xml:space="preserve"> HYPERLINK \l "_Toc10461" </w:instrText>
      </w:r>
      <w:r>
        <w:fldChar w:fldCharType="separate"/>
      </w:r>
      <w:r>
        <w:rPr>
          <w:rFonts w:hint="eastAsia" w:asciiTheme="minorEastAsia" w:hAnsiTheme="minorEastAsia" w:eastAsiaTheme="minorEastAsia" w:cstheme="minorEastAsia"/>
          <w:sz w:val="24"/>
          <w:szCs w:val="44"/>
        </w:rPr>
        <w:t>三、法人或其他组织的营业执照等主体资格证明文件，自然人的身份证明</w:t>
      </w:r>
      <w:r>
        <w:rPr>
          <w:rFonts w:hint="eastAsia" w:asciiTheme="minorEastAsia" w:hAnsiTheme="minorEastAsia" w:eastAsiaTheme="minorEastAsia" w:cstheme="minorEastAsia"/>
          <w:sz w:val="24"/>
          <w:szCs w:val="44"/>
        </w:rPr>
        <w:fldChar w:fldCharType="end"/>
      </w:r>
    </w:p>
    <w:p w14:paraId="2B28E5F6">
      <w:pPr>
        <w:spacing w:line="480" w:lineRule="auto"/>
        <w:ind w:left="420" w:leftChars="200" w:right="158" w:rightChars="75" w:firstLine="420" w:firstLineChars="200"/>
        <w:rPr>
          <w:rFonts w:hint="eastAsia" w:asciiTheme="minorEastAsia" w:hAnsiTheme="minorEastAsia" w:eastAsiaTheme="minorEastAsia" w:cstheme="minorEastAsia"/>
          <w:b/>
          <w:bCs/>
          <w:sz w:val="28"/>
          <w:szCs w:val="44"/>
        </w:rPr>
      </w:pPr>
      <w:r>
        <w:fldChar w:fldCharType="begin"/>
      </w:r>
      <w:r>
        <w:instrText xml:space="preserve"> HYPERLINK \l "_Toc17695" </w:instrText>
      </w:r>
      <w:r>
        <w:fldChar w:fldCharType="separate"/>
      </w:r>
      <w:r>
        <w:rPr>
          <w:rFonts w:hint="eastAsia" w:asciiTheme="minorEastAsia" w:hAnsiTheme="minorEastAsia" w:eastAsiaTheme="minorEastAsia" w:cstheme="minorEastAsia"/>
          <w:b/>
          <w:bCs/>
          <w:sz w:val="28"/>
          <w:szCs w:val="44"/>
        </w:rPr>
        <w:t>第二部分 商务文件</w:t>
      </w:r>
      <w:r>
        <w:rPr>
          <w:rFonts w:hint="eastAsia" w:asciiTheme="minorEastAsia" w:hAnsiTheme="minorEastAsia" w:eastAsiaTheme="minorEastAsia" w:cstheme="minorEastAsia"/>
          <w:b/>
          <w:bCs/>
          <w:sz w:val="28"/>
          <w:szCs w:val="44"/>
        </w:rPr>
        <w:fldChar w:fldCharType="end"/>
      </w:r>
    </w:p>
    <w:p w14:paraId="5B0AD2B3">
      <w:pPr>
        <w:spacing w:line="480" w:lineRule="auto"/>
        <w:ind w:left="420" w:leftChars="200" w:right="158" w:rightChars="75" w:firstLine="630" w:firstLineChars="300"/>
        <w:rPr>
          <w:rFonts w:hint="eastAsia" w:asciiTheme="minorEastAsia" w:hAnsiTheme="minorEastAsia" w:eastAsiaTheme="minorEastAsia" w:cstheme="minorEastAsia"/>
          <w:sz w:val="24"/>
          <w:szCs w:val="44"/>
        </w:rPr>
      </w:pPr>
      <w:r>
        <w:fldChar w:fldCharType="begin"/>
      </w:r>
      <w:r>
        <w:instrText xml:space="preserve"> HYPERLINK \l "_Toc1814" </w:instrText>
      </w:r>
      <w:r>
        <w:fldChar w:fldCharType="separate"/>
      </w:r>
      <w:r>
        <w:rPr>
          <w:rFonts w:hint="eastAsia" w:asciiTheme="minorEastAsia" w:hAnsiTheme="minorEastAsia" w:eastAsiaTheme="minorEastAsia" w:cstheme="minorEastAsia"/>
          <w:sz w:val="24"/>
          <w:szCs w:val="44"/>
        </w:rPr>
        <w:t>四、投标函</w:t>
      </w:r>
      <w:r>
        <w:rPr>
          <w:rFonts w:hint="eastAsia" w:asciiTheme="minorEastAsia" w:hAnsiTheme="minorEastAsia" w:eastAsiaTheme="minorEastAsia" w:cstheme="minorEastAsia"/>
          <w:sz w:val="24"/>
          <w:szCs w:val="44"/>
        </w:rPr>
        <w:fldChar w:fldCharType="end"/>
      </w:r>
    </w:p>
    <w:p w14:paraId="4942100B">
      <w:pPr>
        <w:spacing w:line="480" w:lineRule="auto"/>
        <w:ind w:left="420" w:leftChars="200" w:right="158" w:rightChars="75" w:firstLine="630" w:firstLineChars="300"/>
        <w:rPr>
          <w:rFonts w:hint="eastAsia" w:asciiTheme="minorEastAsia" w:hAnsiTheme="minorEastAsia" w:eastAsiaTheme="minorEastAsia" w:cstheme="minorEastAsia"/>
          <w:sz w:val="24"/>
          <w:szCs w:val="44"/>
        </w:rPr>
      </w:pPr>
      <w:r>
        <w:fldChar w:fldCharType="begin"/>
      </w:r>
      <w:r>
        <w:instrText xml:space="preserve"> HYPERLINK \l "_Toc31346" </w:instrText>
      </w:r>
      <w:r>
        <w:fldChar w:fldCharType="separate"/>
      </w:r>
      <w:r>
        <w:rPr>
          <w:rFonts w:hint="eastAsia" w:asciiTheme="minorEastAsia" w:hAnsiTheme="minorEastAsia" w:eastAsiaTheme="minorEastAsia" w:cstheme="minorEastAsia"/>
          <w:sz w:val="24"/>
          <w:szCs w:val="44"/>
        </w:rPr>
        <w:t>五、开标一览表</w:t>
      </w:r>
      <w:r>
        <w:rPr>
          <w:rFonts w:hint="eastAsia" w:asciiTheme="minorEastAsia" w:hAnsiTheme="minorEastAsia" w:eastAsiaTheme="minorEastAsia" w:cstheme="minorEastAsia"/>
          <w:sz w:val="24"/>
          <w:szCs w:val="44"/>
        </w:rPr>
        <w:fldChar w:fldCharType="end"/>
      </w:r>
    </w:p>
    <w:p w14:paraId="066E48DF">
      <w:pPr>
        <w:spacing w:line="480" w:lineRule="auto"/>
        <w:ind w:left="420" w:leftChars="200" w:right="158" w:rightChars="75" w:firstLine="630" w:firstLineChars="300"/>
        <w:rPr>
          <w:rFonts w:hint="eastAsia" w:asciiTheme="minorEastAsia" w:hAnsiTheme="minorEastAsia" w:eastAsiaTheme="minorEastAsia" w:cstheme="minorEastAsia"/>
          <w:sz w:val="24"/>
          <w:szCs w:val="44"/>
        </w:rPr>
      </w:pPr>
      <w:r>
        <w:fldChar w:fldCharType="begin"/>
      </w:r>
      <w:r>
        <w:instrText xml:space="preserve"> HYPERLINK \l "_Toc3787" </w:instrText>
      </w:r>
      <w:r>
        <w:fldChar w:fldCharType="separate"/>
      </w:r>
      <w:r>
        <w:rPr>
          <w:rFonts w:hint="eastAsia" w:asciiTheme="minorEastAsia" w:hAnsiTheme="minorEastAsia" w:eastAsiaTheme="minorEastAsia" w:cstheme="minorEastAsia"/>
          <w:sz w:val="24"/>
          <w:szCs w:val="44"/>
        </w:rPr>
        <w:t>六、分项报价明细表</w:t>
      </w:r>
      <w:r>
        <w:rPr>
          <w:rFonts w:hint="eastAsia" w:asciiTheme="minorEastAsia" w:hAnsiTheme="minorEastAsia" w:eastAsiaTheme="minorEastAsia" w:cstheme="minorEastAsia"/>
          <w:sz w:val="24"/>
          <w:szCs w:val="44"/>
        </w:rPr>
        <w:fldChar w:fldCharType="end"/>
      </w:r>
    </w:p>
    <w:p w14:paraId="4FEE4271">
      <w:pPr>
        <w:spacing w:line="480" w:lineRule="auto"/>
        <w:ind w:left="420" w:leftChars="200" w:right="158" w:rightChars="75" w:firstLine="630" w:firstLineChars="300"/>
        <w:rPr>
          <w:rFonts w:hint="eastAsia" w:asciiTheme="minorEastAsia" w:hAnsiTheme="minorEastAsia" w:eastAsiaTheme="minorEastAsia" w:cstheme="minorEastAsia"/>
          <w:sz w:val="24"/>
          <w:szCs w:val="44"/>
        </w:rPr>
      </w:pPr>
      <w:r>
        <w:fldChar w:fldCharType="begin"/>
      </w:r>
      <w:r>
        <w:instrText xml:space="preserve"> HYPERLINK \l "_Toc30695" </w:instrText>
      </w:r>
      <w:r>
        <w:fldChar w:fldCharType="separate"/>
      </w:r>
      <w:r>
        <w:rPr>
          <w:rFonts w:hint="eastAsia" w:asciiTheme="minorEastAsia" w:hAnsiTheme="minorEastAsia" w:eastAsiaTheme="minorEastAsia" w:cstheme="minorEastAsia"/>
          <w:sz w:val="24"/>
          <w:szCs w:val="44"/>
        </w:rPr>
        <w:t>七、合同条款偏离表</w:t>
      </w:r>
      <w:r>
        <w:rPr>
          <w:rFonts w:hint="eastAsia" w:asciiTheme="minorEastAsia" w:hAnsiTheme="minorEastAsia" w:eastAsiaTheme="minorEastAsia" w:cstheme="minorEastAsia"/>
          <w:sz w:val="24"/>
          <w:szCs w:val="44"/>
        </w:rPr>
        <w:fldChar w:fldCharType="end"/>
      </w:r>
    </w:p>
    <w:p w14:paraId="0277C212">
      <w:pPr>
        <w:spacing w:line="480" w:lineRule="auto"/>
        <w:ind w:left="420" w:leftChars="200" w:right="158" w:rightChars="75" w:firstLine="630" w:firstLineChars="300"/>
        <w:rPr>
          <w:rFonts w:hint="eastAsia" w:asciiTheme="minorEastAsia" w:hAnsiTheme="minorEastAsia" w:eastAsiaTheme="minorEastAsia" w:cstheme="minorEastAsia"/>
          <w:sz w:val="24"/>
          <w:szCs w:val="44"/>
        </w:rPr>
      </w:pPr>
      <w:r>
        <w:fldChar w:fldCharType="begin"/>
      </w:r>
      <w:r>
        <w:instrText xml:space="preserve"> HYPERLINK \l "_Toc13774" </w:instrText>
      </w:r>
      <w:r>
        <w:fldChar w:fldCharType="separate"/>
      </w:r>
      <w:r>
        <w:rPr>
          <w:rFonts w:hint="eastAsia" w:asciiTheme="minorEastAsia" w:hAnsiTheme="minorEastAsia" w:eastAsiaTheme="minorEastAsia" w:cstheme="minorEastAsia"/>
          <w:sz w:val="24"/>
          <w:szCs w:val="44"/>
        </w:rPr>
        <w:t>八、享受政府采购政策优惠的证明资料</w:t>
      </w:r>
      <w:r>
        <w:rPr>
          <w:rFonts w:hint="eastAsia" w:asciiTheme="minorEastAsia" w:hAnsiTheme="minorEastAsia" w:eastAsiaTheme="minorEastAsia" w:cstheme="minorEastAsia"/>
          <w:sz w:val="24"/>
          <w:szCs w:val="44"/>
        </w:rPr>
        <w:fldChar w:fldCharType="end"/>
      </w:r>
    </w:p>
    <w:p w14:paraId="475CD7EC">
      <w:pPr>
        <w:spacing w:line="480" w:lineRule="auto"/>
        <w:ind w:left="420" w:leftChars="200" w:right="158" w:rightChars="75" w:firstLine="420" w:firstLineChars="200"/>
        <w:rPr>
          <w:rFonts w:hint="eastAsia" w:asciiTheme="minorEastAsia" w:hAnsiTheme="minorEastAsia" w:eastAsiaTheme="minorEastAsia" w:cstheme="minorEastAsia"/>
          <w:b/>
          <w:bCs/>
          <w:sz w:val="28"/>
          <w:szCs w:val="44"/>
        </w:rPr>
      </w:pPr>
      <w:r>
        <w:fldChar w:fldCharType="begin"/>
      </w:r>
      <w:r>
        <w:instrText xml:space="preserve"> HYPERLINK \l "_Toc3047" </w:instrText>
      </w:r>
      <w:r>
        <w:fldChar w:fldCharType="separate"/>
      </w:r>
      <w:r>
        <w:rPr>
          <w:rFonts w:hint="eastAsia" w:asciiTheme="minorEastAsia" w:hAnsiTheme="minorEastAsia" w:eastAsiaTheme="minorEastAsia" w:cstheme="minorEastAsia"/>
          <w:b/>
          <w:bCs/>
          <w:sz w:val="28"/>
          <w:szCs w:val="44"/>
        </w:rPr>
        <w:t>第三部分 技术文件</w:t>
      </w:r>
      <w:r>
        <w:rPr>
          <w:rFonts w:hint="eastAsia" w:asciiTheme="minorEastAsia" w:hAnsiTheme="minorEastAsia" w:eastAsiaTheme="minorEastAsia" w:cstheme="minorEastAsia"/>
          <w:b/>
          <w:bCs/>
          <w:sz w:val="28"/>
          <w:szCs w:val="44"/>
        </w:rPr>
        <w:fldChar w:fldCharType="end"/>
      </w:r>
    </w:p>
    <w:p w14:paraId="4FD45918">
      <w:pPr>
        <w:spacing w:line="480" w:lineRule="auto"/>
        <w:ind w:left="420" w:leftChars="200" w:right="158" w:rightChars="75" w:firstLine="630" w:firstLineChars="300"/>
        <w:rPr>
          <w:rFonts w:hint="eastAsia" w:asciiTheme="minorEastAsia" w:hAnsiTheme="minorEastAsia" w:eastAsiaTheme="minorEastAsia" w:cstheme="minorEastAsia"/>
          <w:sz w:val="24"/>
          <w:szCs w:val="44"/>
        </w:rPr>
      </w:pPr>
      <w:r>
        <w:fldChar w:fldCharType="begin"/>
      </w:r>
      <w:r>
        <w:instrText xml:space="preserve"> HYPERLINK \l "_Toc30248" </w:instrText>
      </w:r>
      <w:r>
        <w:fldChar w:fldCharType="separate"/>
      </w:r>
      <w:r>
        <w:rPr>
          <w:rFonts w:hint="eastAsia" w:asciiTheme="minorEastAsia" w:hAnsiTheme="minorEastAsia" w:eastAsiaTheme="minorEastAsia" w:cstheme="minorEastAsia"/>
          <w:sz w:val="24"/>
          <w:szCs w:val="44"/>
        </w:rPr>
        <w:t>九、采购需求响应</w:t>
      </w:r>
      <w:r>
        <w:rPr>
          <w:rFonts w:hint="eastAsia" w:asciiTheme="minorEastAsia" w:hAnsiTheme="minorEastAsia" w:eastAsiaTheme="minorEastAsia" w:cstheme="minorEastAsia"/>
          <w:sz w:val="24"/>
          <w:szCs w:val="44"/>
        </w:rPr>
        <w:fldChar w:fldCharType="end"/>
      </w:r>
    </w:p>
    <w:p w14:paraId="206ACED4">
      <w:pPr>
        <w:spacing w:line="480" w:lineRule="auto"/>
        <w:ind w:left="420" w:leftChars="200" w:right="158" w:rightChars="75" w:firstLine="630" w:firstLineChars="300"/>
        <w:rPr>
          <w:rFonts w:hint="eastAsia" w:asciiTheme="minorEastAsia" w:hAnsiTheme="minorEastAsia" w:eastAsiaTheme="minorEastAsia" w:cstheme="minorEastAsia"/>
          <w:sz w:val="24"/>
          <w:szCs w:val="44"/>
        </w:rPr>
      </w:pPr>
      <w:r>
        <w:fldChar w:fldCharType="begin"/>
      </w:r>
      <w:r>
        <w:instrText xml:space="preserve"> HYPERLINK \l "_Toc12200" </w:instrText>
      </w:r>
      <w:r>
        <w:fldChar w:fldCharType="separate"/>
      </w:r>
      <w:r>
        <w:rPr>
          <w:rFonts w:hint="eastAsia" w:asciiTheme="minorEastAsia" w:hAnsiTheme="minorEastAsia" w:eastAsiaTheme="minorEastAsia" w:cstheme="minorEastAsia"/>
          <w:sz w:val="24"/>
          <w:szCs w:val="44"/>
        </w:rPr>
        <w:t>十、采购需求偏离表</w:t>
      </w:r>
      <w:r>
        <w:rPr>
          <w:rFonts w:hint="eastAsia" w:asciiTheme="minorEastAsia" w:hAnsiTheme="minorEastAsia" w:eastAsiaTheme="minorEastAsia" w:cstheme="minorEastAsia"/>
          <w:sz w:val="24"/>
          <w:szCs w:val="44"/>
        </w:rPr>
        <w:fldChar w:fldCharType="end"/>
      </w:r>
    </w:p>
    <w:p w14:paraId="3C8D5E14">
      <w:pPr>
        <w:spacing w:line="480" w:lineRule="auto"/>
        <w:ind w:left="420" w:leftChars="200" w:right="158" w:rightChars="75" w:firstLine="630" w:firstLineChars="300"/>
        <w:rPr>
          <w:rFonts w:hint="eastAsia" w:asciiTheme="minorEastAsia" w:hAnsiTheme="minorEastAsia" w:eastAsiaTheme="minorEastAsia" w:cstheme="minorEastAsia"/>
          <w:sz w:val="24"/>
          <w:szCs w:val="32"/>
        </w:rPr>
      </w:pPr>
      <w:r>
        <w:fldChar w:fldCharType="begin"/>
      </w:r>
      <w:r>
        <w:instrText xml:space="preserve"> HYPERLINK \l "_Toc1521" </w:instrText>
      </w:r>
      <w:r>
        <w:fldChar w:fldCharType="separate"/>
      </w:r>
      <w:r>
        <w:rPr>
          <w:rFonts w:hint="eastAsia" w:asciiTheme="minorEastAsia" w:hAnsiTheme="minorEastAsia" w:eastAsiaTheme="minorEastAsia" w:cstheme="minorEastAsia"/>
          <w:sz w:val="24"/>
          <w:szCs w:val="44"/>
        </w:rPr>
        <w:t>十一、投标标的符合招标文件规定的证明文件</w:t>
      </w:r>
      <w:r>
        <w:rPr>
          <w:rFonts w:hint="eastAsia" w:asciiTheme="minorEastAsia" w:hAnsiTheme="minorEastAsia" w:eastAsiaTheme="minorEastAsia" w:cstheme="minorEastAsia"/>
          <w:sz w:val="24"/>
          <w:szCs w:val="44"/>
        </w:rPr>
        <w:fldChar w:fldCharType="end"/>
      </w:r>
    </w:p>
    <w:p w14:paraId="067B56BA">
      <w:pPr>
        <w:spacing w:line="480" w:lineRule="auto"/>
        <w:ind w:left="420" w:leftChars="200" w:right="158" w:rightChars="75" w:firstLine="630" w:firstLineChars="300"/>
      </w:pPr>
      <w:r>
        <w:fldChar w:fldCharType="begin"/>
      </w:r>
      <w:r>
        <w:instrText xml:space="preserve"> HYPERLINK \l "_Toc11483" </w:instrText>
      </w:r>
      <w:r>
        <w:fldChar w:fldCharType="separate"/>
      </w:r>
      <w:r>
        <w:rPr>
          <w:rFonts w:hint="eastAsia" w:asciiTheme="minorEastAsia" w:hAnsiTheme="minorEastAsia" w:eastAsiaTheme="minorEastAsia" w:cstheme="minorEastAsia"/>
          <w:sz w:val="24"/>
          <w:szCs w:val="48"/>
        </w:rPr>
        <w:t>十二、投标人认为需提供的其他资料</w:t>
      </w:r>
      <w:r>
        <w:rPr>
          <w:rFonts w:hint="eastAsia" w:asciiTheme="minorEastAsia" w:hAnsiTheme="minorEastAsia" w:eastAsiaTheme="minorEastAsia" w:cstheme="minorEastAsia"/>
          <w:sz w:val="24"/>
          <w:szCs w:val="48"/>
        </w:rPr>
        <w:fldChar w:fldCharType="end"/>
      </w:r>
    </w:p>
    <w:p w14:paraId="165EEE8C">
      <w:pPr>
        <w:spacing w:line="480" w:lineRule="auto"/>
        <w:ind w:left="420" w:leftChars="200" w:right="158" w:rightChars="75" w:firstLine="2891" w:firstLineChars="300"/>
        <w:rPr>
          <w:rFonts w:hint="eastAsia" w:asciiTheme="minorEastAsia" w:hAnsiTheme="minorEastAsia" w:eastAsiaTheme="minorEastAsia" w:cstheme="minorEastAsia"/>
          <w:b/>
          <w:bCs/>
          <w:sz w:val="96"/>
          <w:szCs w:val="160"/>
        </w:rPr>
      </w:pPr>
      <w:r>
        <w:rPr>
          <w:rFonts w:hint="eastAsia" w:asciiTheme="minorEastAsia" w:hAnsiTheme="minorEastAsia" w:eastAsiaTheme="minorEastAsia" w:cstheme="minorEastAsia"/>
          <w:b/>
          <w:bCs/>
          <w:sz w:val="96"/>
          <w:szCs w:val="160"/>
        </w:rPr>
        <w:br w:type="page"/>
      </w:r>
    </w:p>
    <w:p w14:paraId="52F23D10">
      <w:pPr>
        <w:spacing w:line="480" w:lineRule="auto"/>
        <w:jc w:val="center"/>
        <w:rPr>
          <w:rFonts w:hint="eastAsia" w:asciiTheme="minorEastAsia" w:hAnsiTheme="minorEastAsia" w:eastAsiaTheme="minorEastAsia" w:cstheme="minorEastAsia"/>
          <w:b/>
          <w:bCs/>
          <w:sz w:val="36"/>
          <w:szCs w:val="48"/>
        </w:rPr>
      </w:pPr>
    </w:p>
    <w:p w14:paraId="321D5E3D">
      <w:pPr>
        <w:spacing w:line="720" w:lineRule="auto"/>
        <w:jc w:val="center"/>
        <w:rPr>
          <w:rFonts w:hint="eastAsia" w:asciiTheme="minorEastAsia" w:hAnsiTheme="minorEastAsia" w:eastAsiaTheme="minorEastAsia" w:cstheme="minorEastAsia"/>
          <w:b/>
          <w:bCs/>
          <w:sz w:val="120"/>
          <w:szCs w:val="120"/>
        </w:rPr>
      </w:pPr>
      <w:r>
        <w:rPr>
          <w:rFonts w:hint="eastAsia" w:asciiTheme="minorEastAsia" w:hAnsiTheme="minorEastAsia" w:eastAsiaTheme="minorEastAsia" w:cstheme="minorEastAsia"/>
          <w:b/>
          <w:bCs/>
          <w:sz w:val="120"/>
          <w:szCs w:val="120"/>
        </w:rPr>
        <w:t>政 府 采 购</w:t>
      </w:r>
    </w:p>
    <w:p w14:paraId="2BB51251">
      <w:pPr>
        <w:spacing w:line="720" w:lineRule="auto"/>
        <w:jc w:val="center"/>
        <w:rPr>
          <w:rFonts w:hint="eastAsia" w:asciiTheme="minorEastAsia" w:hAnsiTheme="minorEastAsia" w:eastAsiaTheme="minorEastAsia" w:cstheme="minorEastAsia"/>
          <w:b/>
          <w:bCs/>
          <w:sz w:val="120"/>
          <w:szCs w:val="120"/>
        </w:rPr>
      </w:pPr>
      <w:r>
        <w:rPr>
          <w:rFonts w:hint="eastAsia" w:asciiTheme="minorEastAsia" w:hAnsiTheme="minorEastAsia" w:eastAsiaTheme="minorEastAsia" w:cstheme="minorEastAsia"/>
          <w:b/>
          <w:bCs/>
          <w:sz w:val="120"/>
          <w:szCs w:val="120"/>
        </w:rPr>
        <w:t>投 标 文 件</w:t>
      </w:r>
    </w:p>
    <w:p w14:paraId="5C8C8431">
      <w:pPr>
        <w:spacing w:line="480" w:lineRule="auto"/>
        <w:rPr>
          <w:rFonts w:hint="eastAsia" w:asciiTheme="minorEastAsia" w:hAnsiTheme="minorEastAsia" w:eastAsiaTheme="minorEastAsia" w:cstheme="minorEastAsia"/>
          <w:sz w:val="48"/>
          <w:szCs w:val="60"/>
        </w:rPr>
      </w:pPr>
    </w:p>
    <w:p w14:paraId="15B832AE">
      <w:pPr>
        <w:pStyle w:val="4"/>
        <w:jc w:val="center"/>
        <w:rPr>
          <w:rFonts w:hint="eastAsia" w:asciiTheme="minorEastAsia" w:hAnsiTheme="minorEastAsia" w:eastAsiaTheme="minorEastAsia" w:cstheme="minorEastAsia"/>
          <w:sz w:val="44"/>
          <w:szCs w:val="52"/>
        </w:rPr>
      </w:pPr>
      <w:bookmarkStart w:id="357" w:name="_Toc3794"/>
      <w:bookmarkStart w:id="358" w:name="_Toc15433"/>
      <w:r>
        <w:rPr>
          <w:rFonts w:hint="eastAsia" w:asciiTheme="minorEastAsia" w:hAnsiTheme="minorEastAsia" w:eastAsiaTheme="minorEastAsia" w:cstheme="minorEastAsia"/>
          <w:sz w:val="44"/>
          <w:szCs w:val="52"/>
        </w:rPr>
        <w:t>第一部分 资格证明文件</w:t>
      </w:r>
      <w:bookmarkEnd w:id="357"/>
      <w:bookmarkEnd w:id="358"/>
    </w:p>
    <w:p w14:paraId="567CFFBF">
      <w:pPr>
        <w:spacing w:line="360" w:lineRule="auto"/>
        <w:rPr>
          <w:rFonts w:hint="eastAsia" w:asciiTheme="minorEastAsia" w:hAnsiTheme="minorEastAsia" w:eastAsiaTheme="minorEastAsia" w:cstheme="minorEastAsia"/>
          <w:sz w:val="24"/>
          <w:szCs w:val="32"/>
        </w:rPr>
      </w:pPr>
    </w:p>
    <w:p w14:paraId="146C279E">
      <w:pPr>
        <w:spacing w:line="480" w:lineRule="auto"/>
        <w:ind w:left="1879" w:leftChars="895"/>
        <w:rPr>
          <w:rFonts w:hint="eastAsia" w:asciiTheme="minorEastAsia" w:hAnsiTheme="minorEastAsia" w:eastAsiaTheme="minorEastAsia" w:cstheme="minorEastAsia"/>
          <w:b/>
          <w:sz w:val="32"/>
          <w:szCs w:val="32"/>
          <w:u w:val="thick"/>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采购项目名称：</w:t>
      </w:r>
      <w:r>
        <w:rPr>
          <w:rFonts w:hint="eastAsia" w:asciiTheme="minorEastAsia" w:hAnsiTheme="minorEastAsia" w:eastAsiaTheme="minorEastAsia" w:cstheme="minorEastAsia"/>
          <w:b/>
          <w:sz w:val="32"/>
          <w:szCs w:val="32"/>
          <w:u w:val="thick"/>
        </w:rPr>
        <w:t xml:space="preserve">                        </w:t>
      </w:r>
    </w:p>
    <w:p w14:paraId="14389B16">
      <w:pPr>
        <w:spacing w:line="480" w:lineRule="auto"/>
        <w:ind w:left="1879" w:leftChars="895"/>
        <w:rPr>
          <w:rFonts w:hint="eastAsia" w:asciiTheme="minorEastAsia" w:hAnsiTheme="minorEastAsia" w:eastAsiaTheme="minorEastAsia" w:cstheme="minorEastAsia"/>
          <w:b/>
          <w:sz w:val="32"/>
          <w:szCs w:val="32"/>
          <w:u w:val="thick"/>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采购人：</w:t>
      </w:r>
      <w:r>
        <w:rPr>
          <w:rFonts w:hint="eastAsia" w:asciiTheme="minorEastAsia" w:hAnsiTheme="minorEastAsia" w:eastAsiaTheme="minorEastAsia" w:cstheme="minorEastAsia"/>
          <w:b/>
          <w:sz w:val="32"/>
          <w:szCs w:val="32"/>
          <w:u w:val="thick"/>
        </w:rPr>
        <w:t xml:space="preserve">                            </w:t>
      </w:r>
    </w:p>
    <w:p w14:paraId="5AA267CB">
      <w:pPr>
        <w:spacing w:line="480" w:lineRule="auto"/>
        <w:ind w:left="1879" w:leftChars="895"/>
        <w:rPr>
          <w:rFonts w:hint="eastAsia" w:asciiTheme="minorEastAsia" w:hAnsiTheme="minorEastAsia" w:eastAsiaTheme="minorEastAsia" w:cstheme="minorEastAsia"/>
          <w:b/>
          <w:color w:val="000000" w:themeColor="text1"/>
          <w:sz w:val="32"/>
          <w:szCs w:val="32"/>
          <w:u w:val="thick"/>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政府采购计划编号：</w:t>
      </w:r>
      <w:r>
        <w:rPr>
          <w:rFonts w:hint="eastAsia" w:asciiTheme="minorEastAsia" w:hAnsiTheme="minorEastAsia" w:eastAsiaTheme="minorEastAsia" w:cstheme="minorEastAsia"/>
          <w:b/>
          <w:color w:val="000000" w:themeColor="text1"/>
          <w:sz w:val="32"/>
          <w:szCs w:val="32"/>
          <w:u w:val="thick"/>
          <w14:textFill>
            <w14:solidFill>
              <w14:schemeClr w14:val="tx1"/>
            </w14:solidFill>
          </w14:textFill>
        </w:rPr>
        <w:t xml:space="preserve">                    </w:t>
      </w:r>
    </w:p>
    <w:p w14:paraId="2374B78E">
      <w:pPr>
        <w:spacing w:line="480" w:lineRule="auto"/>
        <w:ind w:left="1879" w:leftChars="895"/>
        <w:rPr>
          <w:rFonts w:hint="eastAsia" w:asciiTheme="minorEastAsia" w:hAnsiTheme="minorEastAsia" w:eastAsiaTheme="minorEastAsia" w:cstheme="minorEastAsia"/>
          <w:b/>
          <w:color w:val="000000" w:themeColor="text1"/>
          <w:sz w:val="32"/>
          <w:szCs w:val="32"/>
          <w:u w:val="thick"/>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委托代理编号：</w:t>
      </w:r>
      <w:r>
        <w:rPr>
          <w:rFonts w:hint="eastAsia" w:asciiTheme="minorEastAsia" w:hAnsiTheme="minorEastAsia" w:eastAsiaTheme="minorEastAsia" w:cstheme="minorEastAsia"/>
          <w:b/>
          <w:sz w:val="32"/>
          <w:szCs w:val="32"/>
          <w:u w:val="thick"/>
        </w:rPr>
        <w:t xml:space="preserve">                        </w:t>
      </w:r>
    </w:p>
    <w:p w14:paraId="4FB29023">
      <w:pPr>
        <w:spacing w:line="480" w:lineRule="auto"/>
        <w:ind w:left="1879" w:leftChars="895"/>
        <w:rPr>
          <w:rFonts w:hint="eastAsia" w:asciiTheme="minorEastAsia" w:hAnsiTheme="minorEastAsia" w:eastAsiaTheme="minorEastAsia" w:cstheme="minorEastAsia"/>
          <w:b/>
          <w:bCs/>
          <w:sz w:val="40"/>
          <w:szCs w:val="48"/>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采购代理机构：</w:t>
      </w:r>
      <w:r>
        <w:rPr>
          <w:rFonts w:hint="eastAsia" w:asciiTheme="minorEastAsia" w:hAnsiTheme="minorEastAsia" w:eastAsiaTheme="minorEastAsia" w:cstheme="minorEastAsia"/>
          <w:b/>
          <w:color w:val="000000" w:themeColor="text1"/>
          <w:sz w:val="32"/>
          <w:szCs w:val="32"/>
          <w:u w:val="thick"/>
          <w14:textFill>
            <w14:solidFill>
              <w14:schemeClr w14:val="tx1"/>
            </w14:solidFill>
          </w14:textFill>
        </w:rPr>
        <w:t xml:space="preserve">                        </w:t>
      </w:r>
    </w:p>
    <w:p w14:paraId="1050687B">
      <w:pPr>
        <w:ind w:left="1879" w:leftChars="895"/>
        <w:rPr>
          <w:rFonts w:hint="eastAsia" w:asciiTheme="minorEastAsia" w:hAnsiTheme="minorEastAsia" w:eastAsiaTheme="minorEastAsia" w:cstheme="minorEastAsia"/>
          <w:b/>
          <w:bCs/>
          <w:sz w:val="22"/>
          <w:szCs w:val="28"/>
        </w:rPr>
      </w:pPr>
    </w:p>
    <w:p w14:paraId="77C50162">
      <w:pPr>
        <w:spacing w:line="600" w:lineRule="auto"/>
        <w:ind w:left="1879" w:leftChars="895"/>
        <w:rPr>
          <w:rFonts w:hint="eastAsia" w:asciiTheme="minorEastAsia" w:hAnsiTheme="minorEastAsia" w:eastAsiaTheme="minorEastAsia" w:cstheme="minorEastAsia"/>
          <w:b/>
          <w:bCs/>
          <w:sz w:val="40"/>
          <w:szCs w:val="48"/>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投标人：</w:t>
      </w:r>
      <w:r>
        <w:rPr>
          <w:rFonts w:hint="eastAsia" w:asciiTheme="minorEastAsia" w:hAnsiTheme="minorEastAsia" w:eastAsiaTheme="minorEastAsia" w:cstheme="minorEastAsia"/>
          <w:b/>
          <w:color w:val="000000" w:themeColor="text1"/>
          <w:sz w:val="32"/>
          <w:szCs w:val="32"/>
          <w:u w:val="thick"/>
          <w14:textFill>
            <w14:solidFill>
              <w14:schemeClr w14:val="tx1"/>
            </w14:solidFill>
          </w14:textFill>
        </w:rPr>
        <w:t xml:space="preserve">                          </w:t>
      </w:r>
    </w:p>
    <w:p w14:paraId="5BD31079">
      <w:pPr>
        <w:spacing w:line="480" w:lineRule="auto"/>
        <w:rPr>
          <w:rFonts w:hint="eastAsia" w:asciiTheme="minorEastAsia" w:hAnsiTheme="minorEastAsia" w:eastAsiaTheme="minorEastAsia" w:cstheme="minorEastAsia"/>
          <w:sz w:val="24"/>
          <w:szCs w:val="32"/>
        </w:rPr>
      </w:pPr>
    </w:p>
    <w:p w14:paraId="4B2BE62C">
      <w:pPr>
        <w:spacing w:line="600" w:lineRule="auto"/>
        <w:ind w:left="420" w:leftChars="200"/>
        <w:jc w:val="center"/>
        <w:rPr>
          <w:rFonts w:hint="eastAsia" w:asciiTheme="minorEastAsia" w:hAnsiTheme="minorEastAsia" w:eastAsiaTheme="minorEastAsia" w:cstheme="minorEastAsia"/>
          <w:sz w:val="36"/>
          <w:szCs w:val="44"/>
        </w:rPr>
      </w:pPr>
      <w:r>
        <w:rPr>
          <w:rFonts w:hint="eastAsia" w:asciiTheme="minorEastAsia" w:hAnsiTheme="minorEastAsia" w:eastAsiaTheme="minorEastAsia" w:cstheme="minorEastAsia"/>
          <w:sz w:val="36"/>
          <w:szCs w:val="44"/>
        </w:rPr>
        <w:t>年  月  日</w:t>
      </w:r>
    </w:p>
    <w:p w14:paraId="6E29F542">
      <w:pPr>
        <w:rPr>
          <w:rFonts w:hint="eastAsia" w:asciiTheme="minorEastAsia" w:hAnsiTheme="minorEastAsia" w:eastAsiaTheme="minorEastAsia" w:cstheme="minorEastAsia"/>
          <w:sz w:val="36"/>
          <w:szCs w:val="44"/>
        </w:rPr>
      </w:pPr>
      <w:r>
        <w:rPr>
          <w:rFonts w:hint="eastAsia" w:asciiTheme="minorEastAsia" w:hAnsiTheme="minorEastAsia" w:eastAsiaTheme="minorEastAsia" w:cstheme="minorEastAsia"/>
          <w:sz w:val="36"/>
          <w:szCs w:val="44"/>
        </w:rPr>
        <w:br w:type="page"/>
      </w:r>
    </w:p>
    <w:p w14:paraId="5AB2C58F">
      <w:pPr>
        <w:pStyle w:val="4"/>
        <w:spacing w:line="600" w:lineRule="auto"/>
        <w:jc w:val="center"/>
        <w:rPr>
          <w:rFonts w:hint="eastAsia" w:asciiTheme="minorEastAsia" w:hAnsiTheme="minorEastAsia" w:eastAsiaTheme="minorEastAsia" w:cstheme="minorEastAsia"/>
          <w:sz w:val="32"/>
          <w:szCs w:val="40"/>
        </w:rPr>
      </w:pPr>
      <w:bookmarkStart w:id="359" w:name="_Toc25719"/>
      <w:bookmarkStart w:id="360" w:name="_Toc1749"/>
      <w:r>
        <w:rPr>
          <w:rFonts w:hint="eastAsia" w:asciiTheme="minorEastAsia" w:hAnsiTheme="minorEastAsia" w:eastAsiaTheme="minorEastAsia" w:cstheme="minorEastAsia"/>
          <w:sz w:val="32"/>
          <w:szCs w:val="40"/>
        </w:rPr>
        <w:t>一、法定代表人（单位负责人）身份证明</w:t>
      </w:r>
      <w:bookmarkEnd w:id="359"/>
    </w:p>
    <w:p w14:paraId="1751DE09">
      <w:pPr>
        <w:autoSpaceDE w:val="0"/>
        <w:autoSpaceDN w:val="0"/>
        <w:adjustRightInd w:val="0"/>
        <w:snapToGrid w:val="0"/>
        <w:spacing w:before="156" w:beforeLines="50"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投标人名称：</w:t>
      </w:r>
      <w:r>
        <w:rPr>
          <w:rFonts w:hint="eastAsia" w:asciiTheme="minorEastAsia" w:hAnsiTheme="minorEastAsia" w:eastAsiaTheme="minorEastAsia" w:cstheme="minorEastAsia"/>
          <w:kern w:val="0"/>
          <w:sz w:val="24"/>
          <w:u w:val="single"/>
        </w:rPr>
        <w:t xml:space="preserve">                             </w:t>
      </w:r>
    </w:p>
    <w:p w14:paraId="3ABFC601">
      <w:pPr>
        <w:autoSpaceDE w:val="0"/>
        <w:autoSpaceDN w:val="0"/>
        <w:adjustRightInd w:val="0"/>
        <w:snapToGrid w:val="0"/>
        <w:spacing w:before="156" w:beforeLines="50"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统一社会信用代码：</w:t>
      </w:r>
      <w:r>
        <w:rPr>
          <w:rFonts w:hint="eastAsia" w:asciiTheme="minorEastAsia" w:hAnsiTheme="minorEastAsia" w:eastAsiaTheme="minorEastAsia" w:cstheme="minorEastAsia"/>
          <w:kern w:val="0"/>
          <w:sz w:val="24"/>
          <w:u w:val="single"/>
        </w:rPr>
        <w:t xml:space="preserve">                                 </w:t>
      </w:r>
    </w:p>
    <w:p w14:paraId="6A1BD9D2">
      <w:pPr>
        <w:autoSpaceDE w:val="0"/>
        <w:autoSpaceDN w:val="0"/>
        <w:adjustRightInd w:val="0"/>
        <w:snapToGrid w:val="0"/>
        <w:spacing w:before="156" w:beforeLines="50"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注册地址：</w:t>
      </w:r>
      <w:r>
        <w:rPr>
          <w:rFonts w:hint="eastAsia" w:asciiTheme="minorEastAsia" w:hAnsiTheme="minorEastAsia" w:eastAsiaTheme="minorEastAsia" w:cstheme="minorEastAsia"/>
          <w:kern w:val="0"/>
          <w:sz w:val="24"/>
          <w:u w:val="single"/>
        </w:rPr>
        <w:t xml:space="preserve">                               </w:t>
      </w:r>
    </w:p>
    <w:p w14:paraId="498035BD">
      <w:pPr>
        <w:autoSpaceDE w:val="0"/>
        <w:autoSpaceDN w:val="0"/>
        <w:adjustRightInd w:val="0"/>
        <w:snapToGrid w:val="0"/>
        <w:spacing w:before="156" w:beforeLines="50"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成立时间：</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rPr>
        <w:t>年</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rPr>
        <w:t>月</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rPr>
        <w:t>日</w:t>
      </w:r>
    </w:p>
    <w:p w14:paraId="569A7571">
      <w:pPr>
        <w:autoSpaceDE w:val="0"/>
        <w:autoSpaceDN w:val="0"/>
        <w:adjustRightInd w:val="0"/>
        <w:snapToGrid w:val="0"/>
        <w:spacing w:before="156" w:beforeLines="50" w:line="360" w:lineRule="auto"/>
        <w:ind w:firstLine="480" w:firstLineChars="200"/>
        <w:jc w:val="left"/>
        <w:rPr>
          <w:rFonts w:hint="eastAsia" w:asciiTheme="minorEastAsia" w:hAnsiTheme="minorEastAsia" w:eastAsiaTheme="minorEastAsia" w:cstheme="minorEastAsia"/>
          <w:kern w:val="0"/>
          <w:sz w:val="24"/>
          <w:u w:val="single"/>
        </w:rPr>
      </w:pPr>
      <w:r>
        <w:rPr>
          <w:rFonts w:hint="eastAsia" w:asciiTheme="minorEastAsia" w:hAnsiTheme="minorEastAsia" w:eastAsiaTheme="minorEastAsia" w:cstheme="minorEastAsia"/>
          <w:kern w:val="0"/>
          <w:sz w:val="24"/>
        </w:rPr>
        <w:t>经营期限：</w:t>
      </w:r>
      <w:r>
        <w:rPr>
          <w:rFonts w:hint="eastAsia" w:asciiTheme="minorEastAsia" w:hAnsiTheme="minorEastAsia" w:eastAsiaTheme="minorEastAsia" w:cstheme="minorEastAsia"/>
          <w:kern w:val="0"/>
          <w:sz w:val="24"/>
          <w:u w:val="single"/>
        </w:rPr>
        <w:t xml:space="preserve">                  </w:t>
      </w:r>
    </w:p>
    <w:p w14:paraId="7E984B76">
      <w:pPr>
        <w:autoSpaceDE w:val="0"/>
        <w:autoSpaceDN w:val="0"/>
        <w:adjustRightInd w:val="0"/>
        <w:snapToGrid w:val="0"/>
        <w:spacing w:before="156" w:beforeLines="50" w:line="360" w:lineRule="auto"/>
        <w:ind w:firstLine="480" w:firstLineChars="200"/>
        <w:jc w:val="left"/>
        <w:rPr>
          <w:rFonts w:hint="eastAsia" w:asciiTheme="minorEastAsia" w:hAnsiTheme="minorEastAsia" w:eastAsiaTheme="minorEastAsia" w:cstheme="minorEastAsia"/>
          <w:kern w:val="0"/>
          <w:sz w:val="24"/>
          <w:u w:val="single"/>
        </w:rPr>
      </w:pPr>
      <w:r>
        <w:rPr>
          <w:rFonts w:hint="eastAsia" w:asciiTheme="minorEastAsia" w:hAnsiTheme="minorEastAsia" w:eastAsiaTheme="minorEastAsia" w:cstheme="minorEastAsia"/>
          <w:kern w:val="0"/>
          <w:sz w:val="24"/>
        </w:rPr>
        <w:t>经营范围：</w:t>
      </w:r>
      <w:r>
        <w:rPr>
          <w:rFonts w:hint="eastAsia" w:asciiTheme="minorEastAsia" w:hAnsiTheme="minorEastAsia" w:eastAsiaTheme="minorEastAsia" w:cstheme="minorEastAsia"/>
          <w:kern w:val="0"/>
          <w:sz w:val="24"/>
          <w:u w:val="single"/>
        </w:rPr>
        <w:t xml:space="preserve">                                         </w:t>
      </w:r>
    </w:p>
    <w:p w14:paraId="3393DEC9">
      <w:pPr>
        <w:autoSpaceDE w:val="0"/>
        <w:autoSpaceDN w:val="0"/>
        <w:adjustRightInd w:val="0"/>
        <w:snapToGrid w:val="0"/>
        <w:spacing w:before="156" w:beforeLines="50"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姓名：</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rPr>
        <w:t xml:space="preserve"> 性别：</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rPr>
        <w:t xml:space="preserve"> 年龄：</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rPr>
        <w:t xml:space="preserve"> 职务：</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rPr>
        <w:t xml:space="preserve"> 系</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rPr>
        <w:t>（投标人名称）的法定代表人（单位负责人）。</w:t>
      </w:r>
    </w:p>
    <w:p w14:paraId="4AD694AB">
      <w:pPr>
        <w:autoSpaceDE w:val="0"/>
        <w:autoSpaceDN w:val="0"/>
        <w:adjustRightInd w:val="0"/>
        <w:snapToGrid w:val="0"/>
        <w:spacing w:before="156" w:beforeLines="50"/>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特此证明。</w:t>
      </w:r>
    </w:p>
    <w:tbl>
      <w:tblPr>
        <w:tblStyle w:val="90"/>
        <w:tblW w:w="8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2"/>
      </w:tblGrid>
      <w:tr w14:paraId="485B7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8652" w:type="dxa"/>
            <w:vAlign w:val="center"/>
          </w:tcPr>
          <w:p w14:paraId="2512412F">
            <w:pPr>
              <w:adjustRightInd w:val="0"/>
              <w:snapToGrid w:val="0"/>
              <w:spacing w:line="360" w:lineRule="auto"/>
              <w:ind w:firstLine="480" w:firstLineChars="200"/>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法定代表人（单位负责人）身份证（正面、反面）</w:t>
            </w:r>
          </w:p>
        </w:tc>
      </w:tr>
    </w:tbl>
    <w:p w14:paraId="77439A51">
      <w:pPr>
        <w:pStyle w:val="110"/>
        <w:spacing w:line="360" w:lineRule="auto"/>
        <w:rPr>
          <w:rFonts w:hint="eastAsia" w:asciiTheme="minorEastAsia" w:hAnsiTheme="minorEastAsia" w:eastAsiaTheme="minorEastAsia" w:cstheme="minorEastAsia"/>
        </w:rPr>
      </w:pPr>
    </w:p>
    <w:p w14:paraId="77841A1F">
      <w:pPr>
        <w:spacing w:line="360" w:lineRule="auto"/>
        <w:ind w:firstLine="482"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投标人名称（盖单位公章）</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u w:val="single"/>
        </w:rPr>
        <w:t xml:space="preserve">                     </w:t>
      </w:r>
    </w:p>
    <w:p w14:paraId="21EB0B7A">
      <w:pPr>
        <w:spacing w:line="360" w:lineRule="auto"/>
        <w:ind w:firstLine="482" w:firstLineChars="200"/>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bCs/>
          <w:sz w:val="24"/>
        </w:rPr>
        <w:t>日 期：</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年</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月</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日</w:t>
      </w:r>
    </w:p>
    <w:p w14:paraId="512416AB">
      <w:pP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br w:type="page"/>
      </w:r>
    </w:p>
    <w:p w14:paraId="708685AB">
      <w:pP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附件1-1 授权委托书</w:t>
      </w:r>
    </w:p>
    <w:p w14:paraId="73C2F25F">
      <w:pPr>
        <w:adjustRightInd w:val="0"/>
        <w:spacing w:line="600" w:lineRule="auto"/>
        <w:ind w:left="218" w:leftChars="104" w:right="-4"/>
        <w:jc w:val="center"/>
        <w:rPr>
          <w:rFonts w:hint="eastAsia" w:asciiTheme="minorEastAsia" w:hAnsiTheme="minorEastAsia" w:eastAsiaTheme="minorEastAsia" w:cstheme="minorEastAsia"/>
          <w:b/>
          <w:bCs/>
          <w:sz w:val="28"/>
          <w:szCs w:val="36"/>
        </w:rPr>
      </w:pPr>
      <w:r>
        <w:rPr>
          <w:rFonts w:hint="eastAsia" w:asciiTheme="minorEastAsia" w:hAnsiTheme="minorEastAsia" w:eastAsiaTheme="minorEastAsia" w:cstheme="minorEastAsia"/>
          <w:b/>
          <w:bCs/>
          <w:sz w:val="28"/>
          <w:szCs w:val="36"/>
        </w:rPr>
        <w:t>授权委托书（格式）</w:t>
      </w:r>
    </w:p>
    <w:p w14:paraId="18D90D17">
      <w:pPr>
        <w:autoSpaceDE w:val="0"/>
        <w:autoSpaceDN w:val="0"/>
        <w:adjustRightInd w:val="0"/>
        <w:snapToGrid w:val="0"/>
        <w:spacing w:line="360" w:lineRule="auto"/>
        <w:ind w:left="218" w:leftChars="104" w:right="158" w:rightChars="75"/>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color w:val="000000" w:themeColor="text1"/>
          <w:spacing w:val="6"/>
          <w:sz w:val="24"/>
          <w14:textFill>
            <w14:solidFill>
              <w14:schemeClr w14:val="tx1"/>
            </w14:solidFill>
          </w14:textFill>
        </w:rPr>
        <w:t>（自然人的无需提供）</w:t>
      </w:r>
    </w:p>
    <w:p w14:paraId="59D7F875">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本人</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（姓名、职务）系</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（投标人名称）的法定代表人，现授权</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（姓名、职务）为我方代理人。代理人根据授权，以我方名义签署、澄清、说明、补正、递交、撤回、修改</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（项目名称）（政府采购计划编号：</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，委托代理编号：</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）的投标文件、签订合同和处理有关事宜，其法律后果由我方承担。</w:t>
      </w:r>
    </w:p>
    <w:p w14:paraId="4D6376D2">
      <w:pPr>
        <w:autoSpaceDE w:val="0"/>
        <w:autoSpaceDN w:val="0"/>
        <w:adjustRightInd w:val="0"/>
        <w:snapToGrid w:val="0"/>
        <w:spacing w:before="156" w:beforeLines="50" w:line="360" w:lineRule="auto"/>
        <w:ind w:right="-61" w:rightChars="-29" w:firstLine="480" w:firstLineChars="200"/>
        <w:jc w:val="left"/>
        <w:rPr>
          <w:rFonts w:hint="eastAsia" w:asciiTheme="minorEastAsia" w:hAnsiTheme="minorEastAsia" w:eastAsiaTheme="minorEastAsia" w:cstheme="minorEastAsia"/>
          <w:kern w:val="0"/>
          <w:sz w:val="24"/>
          <w:lang w:bidi="ar"/>
        </w:rPr>
      </w:pPr>
      <w:r>
        <w:rPr>
          <w:rFonts w:hint="eastAsia" w:asciiTheme="minorEastAsia" w:hAnsiTheme="minorEastAsia" w:eastAsiaTheme="minorEastAsia" w:cstheme="minorEastAsia"/>
          <w:kern w:val="0"/>
          <w:sz w:val="24"/>
          <w:lang w:bidi="ar"/>
        </w:rPr>
        <w:t>委托期限：</w:t>
      </w:r>
      <w:r>
        <w:rPr>
          <w:rFonts w:hint="eastAsia" w:asciiTheme="minorEastAsia" w:hAnsiTheme="minorEastAsia" w:eastAsiaTheme="minorEastAsia" w:cstheme="minorEastAsia"/>
          <w:kern w:val="0"/>
          <w:sz w:val="24"/>
          <w:u w:val="single"/>
          <w:lang w:bidi="ar"/>
        </w:rPr>
        <w:t xml:space="preserve">              </w:t>
      </w:r>
    </w:p>
    <w:p w14:paraId="7BD239B7">
      <w:pPr>
        <w:adjustRightInd w:val="0"/>
        <w:snapToGrid w:val="0"/>
        <w:spacing w:line="360" w:lineRule="auto"/>
        <w:ind w:right="-4" w:firstLine="480" w:firstLineChars="200"/>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代理人无转委托权。</w:t>
      </w:r>
    </w:p>
    <w:p w14:paraId="4AFD231B">
      <w:pPr>
        <w:adjustRightInd w:val="0"/>
        <w:snapToGrid w:val="0"/>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本授权书于</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年</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月</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日签字生效，特此声明。</w:t>
      </w:r>
    </w:p>
    <w:p w14:paraId="6C38A5F0">
      <w:pPr>
        <w:adjustRightInd w:val="0"/>
        <w:snapToGrid w:val="0"/>
        <w:spacing w:before="156" w:beforeLines="50"/>
        <w:ind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sz w:val="24"/>
          <w:lang w:bidi="ar"/>
        </w:rPr>
        <w:t>附：</w:t>
      </w:r>
      <w:r>
        <w:rPr>
          <w:rFonts w:hint="eastAsia" w:asciiTheme="minorEastAsia" w:hAnsiTheme="minorEastAsia" w:eastAsiaTheme="minorEastAsia" w:cstheme="minorEastAsia"/>
          <w:color w:val="000000"/>
          <w:sz w:val="24"/>
        </w:rPr>
        <w:t>委托代理人身份证复印件及法定代表人（单位负责人）身份证明复印件</w:t>
      </w:r>
    </w:p>
    <w:tbl>
      <w:tblPr>
        <w:tblStyle w:val="90"/>
        <w:tblW w:w="9353"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3"/>
      </w:tblGrid>
      <w:tr w14:paraId="21E36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78" w:hRule="atLeast"/>
          <w:jc w:val="right"/>
        </w:trPr>
        <w:tc>
          <w:tcPr>
            <w:tcW w:w="9353" w:type="dxa"/>
            <w:vAlign w:val="center"/>
          </w:tcPr>
          <w:p w14:paraId="5442CDF0">
            <w:pPr>
              <w:adjustRightInd w:val="0"/>
              <w:snapToGrid w:val="0"/>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szCs w:val="21"/>
              </w:rPr>
              <w:t>委托代理人身份证（正反面）</w:t>
            </w:r>
            <w:r>
              <w:rPr>
                <w:rFonts w:hint="eastAsia" w:asciiTheme="minorEastAsia" w:hAnsiTheme="minorEastAsia" w:eastAsiaTheme="minorEastAsia" w:cstheme="minorEastAsia"/>
                <w:spacing w:val="-2"/>
                <w:kern w:val="0"/>
                <w:szCs w:val="21"/>
              </w:rPr>
              <w:t>复</w:t>
            </w:r>
            <w:r>
              <w:rPr>
                <w:rFonts w:hint="eastAsia" w:asciiTheme="minorEastAsia" w:hAnsiTheme="minorEastAsia" w:eastAsiaTheme="minorEastAsia" w:cstheme="minorEastAsia"/>
                <w:kern w:val="0"/>
                <w:szCs w:val="21"/>
              </w:rPr>
              <w:t>印</w:t>
            </w:r>
            <w:r>
              <w:rPr>
                <w:rFonts w:hint="eastAsia" w:asciiTheme="minorEastAsia" w:hAnsiTheme="minorEastAsia" w:eastAsiaTheme="minorEastAsia" w:cstheme="minorEastAsia"/>
                <w:spacing w:val="-2"/>
                <w:kern w:val="0"/>
                <w:szCs w:val="21"/>
              </w:rPr>
              <w:t>件</w:t>
            </w:r>
          </w:p>
        </w:tc>
      </w:tr>
      <w:tr w14:paraId="4BC8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jc w:val="right"/>
        </w:trPr>
        <w:tc>
          <w:tcPr>
            <w:tcW w:w="9353" w:type="dxa"/>
            <w:vAlign w:val="center"/>
          </w:tcPr>
          <w:p w14:paraId="2B7893BA">
            <w:pPr>
              <w:adjustRightInd w:val="0"/>
              <w:snapToGrid w:val="0"/>
              <w:spacing w:line="360" w:lineRule="auto"/>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szCs w:val="21"/>
              </w:rPr>
              <w:t>法定代表人身份证（正反面）</w:t>
            </w:r>
            <w:r>
              <w:rPr>
                <w:rFonts w:hint="eastAsia" w:asciiTheme="minorEastAsia" w:hAnsiTheme="minorEastAsia" w:eastAsiaTheme="minorEastAsia" w:cstheme="minorEastAsia"/>
                <w:spacing w:val="-2"/>
                <w:kern w:val="0"/>
                <w:szCs w:val="21"/>
              </w:rPr>
              <w:t>复</w:t>
            </w:r>
            <w:r>
              <w:rPr>
                <w:rFonts w:hint="eastAsia" w:asciiTheme="minorEastAsia" w:hAnsiTheme="minorEastAsia" w:eastAsiaTheme="minorEastAsia" w:cstheme="minorEastAsia"/>
                <w:kern w:val="0"/>
                <w:szCs w:val="21"/>
              </w:rPr>
              <w:t>印</w:t>
            </w:r>
            <w:r>
              <w:rPr>
                <w:rFonts w:hint="eastAsia" w:asciiTheme="minorEastAsia" w:hAnsiTheme="minorEastAsia" w:eastAsiaTheme="minorEastAsia" w:cstheme="minorEastAsia"/>
                <w:spacing w:val="-2"/>
                <w:kern w:val="0"/>
                <w:szCs w:val="21"/>
              </w:rPr>
              <w:t>件</w:t>
            </w:r>
          </w:p>
        </w:tc>
      </w:tr>
    </w:tbl>
    <w:p w14:paraId="57C3EB7D">
      <w:pPr>
        <w:adjustRightInd w:val="0"/>
        <w:snapToGrid w:val="0"/>
        <w:spacing w:line="360" w:lineRule="auto"/>
        <w:ind w:right="-61" w:rightChars="-29" w:firstLine="442" w:firstLineChars="200"/>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b/>
          <w:bCs/>
          <w:color w:val="000000" w:themeColor="text1"/>
          <w:sz w:val="22"/>
          <w:szCs w:val="22"/>
          <w14:textFill>
            <w14:solidFill>
              <w14:schemeClr w14:val="tx1"/>
            </w14:solidFill>
          </w14:textFill>
        </w:rPr>
        <w:t>注：</w:t>
      </w:r>
      <w:r>
        <w:rPr>
          <w:rFonts w:hint="eastAsia" w:asciiTheme="minorEastAsia" w:hAnsiTheme="minorEastAsia" w:eastAsiaTheme="minorEastAsia" w:cstheme="minorEastAsia"/>
          <w:color w:val="000000" w:themeColor="text1"/>
          <w:sz w:val="22"/>
          <w:szCs w:val="22"/>
          <w14:textFill>
            <w14:solidFill>
              <w14:schemeClr w14:val="tx1"/>
            </w14:solidFill>
          </w14:textFill>
        </w:rPr>
        <w:t>投标人是代理人的填写提供</w:t>
      </w:r>
      <w:r>
        <w:rPr>
          <w:rFonts w:hint="eastAsia" w:asciiTheme="minorEastAsia" w:hAnsiTheme="minorEastAsia" w:eastAsiaTheme="minorEastAsia" w:cstheme="minorEastAsia"/>
          <w:b/>
          <w:bCs/>
          <w:color w:val="000000" w:themeColor="text1"/>
          <w:sz w:val="22"/>
          <w:szCs w:val="22"/>
          <w14:textFill>
            <w14:solidFill>
              <w14:schemeClr w14:val="tx1"/>
            </w14:solidFill>
          </w14:textFill>
        </w:rPr>
        <w:t>并</w:t>
      </w:r>
      <w:r>
        <w:rPr>
          <w:rFonts w:hint="eastAsia" w:asciiTheme="minorEastAsia" w:hAnsiTheme="minorEastAsia" w:eastAsiaTheme="minorEastAsia" w:cstheme="minorEastAsia"/>
          <w:color w:val="000000" w:themeColor="text1"/>
          <w:sz w:val="22"/>
          <w:szCs w:val="22"/>
          <w14:textFill>
            <w14:solidFill>
              <w14:schemeClr w14:val="tx1"/>
            </w14:solidFill>
          </w14:textFill>
        </w:rPr>
        <w:t>填写提供上页法定代表人（单位负责人）身份证明。</w:t>
      </w:r>
    </w:p>
    <w:p w14:paraId="122DF65A">
      <w:pPr>
        <w:pStyle w:val="79"/>
        <w:spacing w:line="360" w:lineRule="auto"/>
        <w:rPr>
          <w:rFonts w:hint="eastAsia" w:asciiTheme="minorEastAsia" w:hAnsiTheme="minorEastAsia" w:eastAsiaTheme="minorEastAsia" w:cstheme="minorEastAsia"/>
        </w:rPr>
      </w:pPr>
    </w:p>
    <w:p w14:paraId="0850894E">
      <w:pPr>
        <w:adjustRightInd w:val="0"/>
        <w:snapToGrid w:val="0"/>
        <w:spacing w:line="360" w:lineRule="auto"/>
        <w:ind w:left="420" w:leftChars="200" w:right="158" w:rightChars="75" w:firstLine="241" w:firstLineChars="100"/>
        <w:rPr>
          <w:rFonts w:hint="eastAsia" w:asciiTheme="minorEastAsia" w:hAnsiTheme="minorEastAsia" w:eastAsiaTheme="minorEastAsia" w:cstheme="minorEastAsia"/>
          <w:b/>
          <w:bCs/>
          <w:color w:val="000000" w:themeColor="text1"/>
          <w:sz w:val="24"/>
          <w:u w:val="single"/>
          <w14:textFill>
            <w14:solidFill>
              <w14:schemeClr w14:val="tx1"/>
            </w14:solidFill>
          </w14:textFill>
        </w:rPr>
      </w:pPr>
      <w:r>
        <w:rPr>
          <w:rFonts w:hint="eastAsia" w:asciiTheme="minorEastAsia" w:hAnsiTheme="minorEastAsia" w:eastAsiaTheme="minorEastAsia" w:cstheme="minorEastAsia"/>
          <w:b/>
          <w:bCs/>
          <w:sz w:val="24"/>
        </w:rPr>
        <w:t>投标人名称</w:t>
      </w:r>
      <w:r>
        <w:rPr>
          <w:rFonts w:hint="eastAsia" w:asciiTheme="minorEastAsia" w:hAnsiTheme="minorEastAsia" w:eastAsiaTheme="minorEastAsia" w:cstheme="minorEastAsia"/>
          <w:b/>
          <w:bCs/>
          <w:color w:val="000000" w:themeColor="text1"/>
          <w:sz w:val="24"/>
          <w14:textFill>
            <w14:solidFill>
              <w14:schemeClr w14:val="tx1"/>
            </w14:solidFill>
          </w14:textFill>
        </w:rPr>
        <w:t>（盖单位公章）：</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p>
    <w:p w14:paraId="14B02811">
      <w:pPr>
        <w:adjustRightInd w:val="0"/>
        <w:snapToGrid w:val="0"/>
        <w:spacing w:line="360" w:lineRule="auto"/>
        <w:ind w:left="420" w:leftChars="200" w:right="158" w:rightChars="75" w:firstLine="241" w:firstLineChars="100"/>
        <w:rPr>
          <w:rFonts w:hint="eastAsia" w:asciiTheme="minorEastAsia" w:hAnsiTheme="minorEastAsia" w:eastAsiaTheme="minorEastAsia" w:cstheme="minorEastAsia"/>
          <w:b/>
          <w:bCs/>
          <w:color w:val="000000" w:themeColor="text1"/>
          <w:sz w:val="24"/>
          <w:u w:val="single"/>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法定代表人（签字或印章）：</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p>
    <w:p w14:paraId="44FDC687">
      <w:pPr>
        <w:adjustRightInd w:val="0"/>
        <w:snapToGrid w:val="0"/>
        <w:spacing w:line="360" w:lineRule="auto"/>
        <w:ind w:left="420" w:leftChars="200" w:right="158" w:rightChars="75" w:firstLine="241" w:firstLineChars="100"/>
        <w:rPr>
          <w:rFonts w:hint="eastAsia" w:asciiTheme="minorEastAsia" w:hAnsiTheme="minorEastAsia" w:eastAsiaTheme="minorEastAsia" w:cstheme="minorEastAsia"/>
          <w:b/>
          <w:bCs/>
          <w:color w:val="000000" w:themeColor="text1"/>
          <w:sz w:val="24"/>
          <w:u w:val="single"/>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委托代理人（签字或印章）：</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p>
    <w:p w14:paraId="56B60547">
      <w:pPr>
        <w:adjustRightInd w:val="0"/>
        <w:snapToGrid w:val="0"/>
        <w:spacing w:line="360" w:lineRule="auto"/>
        <w:ind w:left="420" w:leftChars="200" w:right="158" w:rightChars="75" w:firstLine="241" w:firstLineChars="100"/>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themeColor="text1"/>
          <w:sz w:val="24"/>
          <w14:textFill>
            <w14:solidFill>
              <w14:schemeClr w14:val="tx1"/>
            </w14:solidFill>
          </w14:textFill>
        </w:rPr>
        <w:t>日  期：</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年</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月</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日</w:t>
      </w:r>
    </w:p>
    <w:p w14:paraId="1FF565A3">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br w:type="page"/>
      </w:r>
    </w:p>
    <w:p w14:paraId="2448E6D3">
      <w:pPr>
        <w:pStyle w:val="4"/>
        <w:spacing w:line="600" w:lineRule="auto"/>
        <w:jc w:val="center"/>
        <w:rPr>
          <w:rFonts w:hint="eastAsia" w:asciiTheme="minorEastAsia" w:hAnsiTheme="minorEastAsia" w:eastAsiaTheme="minorEastAsia" w:cstheme="minorEastAsia"/>
          <w:sz w:val="32"/>
          <w:szCs w:val="40"/>
        </w:rPr>
      </w:pPr>
      <w:bookmarkStart w:id="361" w:name="_Toc19349"/>
      <w:bookmarkStart w:id="362" w:name="_Toc4587"/>
      <w:r>
        <w:rPr>
          <w:rFonts w:hint="eastAsia" w:asciiTheme="minorEastAsia" w:hAnsiTheme="minorEastAsia" w:eastAsiaTheme="minorEastAsia" w:cstheme="minorEastAsia"/>
          <w:sz w:val="32"/>
          <w:szCs w:val="40"/>
        </w:rPr>
        <w:t>二、湖南省政府采购</w:t>
      </w:r>
      <w:bookmarkEnd w:id="361"/>
      <w:r>
        <w:rPr>
          <w:rFonts w:hint="eastAsia" w:asciiTheme="minorEastAsia" w:hAnsiTheme="minorEastAsia" w:eastAsiaTheme="minorEastAsia" w:cstheme="minorEastAsia"/>
          <w:sz w:val="32"/>
          <w:szCs w:val="40"/>
        </w:rPr>
        <w:t>供应商资格承诺函</w:t>
      </w:r>
      <w:bookmarkEnd w:id="362"/>
    </w:p>
    <w:p w14:paraId="1BCBE081">
      <w:pPr>
        <w:widowControl/>
        <w:adjustRightInd w:val="0"/>
        <w:snapToGrid w:val="0"/>
        <w:spacing w:before="156" w:beforeLines="50" w:line="360" w:lineRule="auto"/>
        <w:ind w:left="271" w:leftChars="129" w:right="158" w:rightChars="75"/>
        <w:jc w:val="center"/>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b/>
          <w:color w:val="000000" w:themeColor="text1"/>
          <w:sz w:val="28"/>
          <w:szCs w:val="28"/>
          <w14:textFill>
            <w14:solidFill>
              <w14:schemeClr w14:val="tx1"/>
            </w14:solidFill>
          </w14:textFill>
        </w:rPr>
        <w:t>湖南省政府采购供应商资格承诺函（格式）</w:t>
      </w:r>
    </w:p>
    <w:p w14:paraId="77708303">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325EF53D">
      <w:pPr>
        <w:adjustRightInd w:val="0"/>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按照《政府采购促进中小企业发展管理办法》（财库〔2020〕46号），本公司企业规模为：</w:t>
      </w:r>
      <w:r>
        <w:rPr>
          <w:rFonts w:hint="eastAsia" w:asciiTheme="minorEastAsia" w:hAnsiTheme="minorEastAsia" w:eastAsiaTheme="minorEastAsia" w:cstheme="minorEastAsia"/>
          <w:color w:val="000000" w:themeColor="text1"/>
          <w:sz w:val="24"/>
          <w14:textFill>
            <w14:solidFill>
              <w14:schemeClr w14:val="tx1"/>
            </w14:solidFill>
          </w14:textFill>
        </w:rPr>
        <w:sym w:font="Wingdings 2" w:char="00A3"/>
      </w:r>
      <w:r>
        <w:rPr>
          <w:rFonts w:hint="eastAsia" w:asciiTheme="minorEastAsia" w:hAnsiTheme="minorEastAsia" w:eastAsiaTheme="minorEastAsia" w:cstheme="minorEastAsia"/>
          <w:color w:val="000000" w:themeColor="text1"/>
          <w:sz w:val="24"/>
          <w14:textFill>
            <w14:solidFill>
              <w14:schemeClr w14:val="tx1"/>
            </w14:solidFill>
          </w14:textFill>
        </w:rPr>
        <w:t xml:space="preserve">大型    </w:t>
      </w:r>
      <w:r>
        <w:rPr>
          <w:rFonts w:hint="eastAsia" w:asciiTheme="minorEastAsia" w:hAnsiTheme="minorEastAsia" w:eastAsiaTheme="minorEastAsia" w:cstheme="minorEastAsia"/>
          <w:color w:val="000000" w:themeColor="text1"/>
          <w:sz w:val="24"/>
          <w14:textFill>
            <w14:solidFill>
              <w14:schemeClr w14:val="tx1"/>
            </w14:solidFill>
          </w14:textFill>
        </w:rPr>
        <w:sym w:font="Wingdings 2" w:char="00A3"/>
      </w:r>
      <w:r>
        <w:rPr>
          <w:rFonts w:hint="eastAsia" w:asciiTheme="minorEastAsia" w:hAnsiTheme="minorEastAsia" w:eastAsiaTheme="minorEastAsia" w:cstheme="minorEastAsia"/>
          <w:color w:val="000000" w:themeColor="text1"/>
          <w:sz w:val="24"/>
          <w14:textFill>
            <w14:solidFill>
              <w14:schemeClr w14:val="tx1"/>
            </w14:solidFill>
          </w14:textFill>
        </w:rPr>
        <w:t xml:space="preserve">中型    </w:t>
      </w:r>
      <w:r>
        <w:rPr>
          <w:rFonts w:hint="eastAsia" w:asciiTheme="minorEastAsia" w:hAnsiTheme="minorEastAsia" w:eastAsiaTheme="minorEastAsia" w:cstheme="minorEastAsia"/>
          <w:color w:val="000000" w:themeColor="text1"/>
          <w:sz w:val="24"/>
          <w14:textFill>
            <w14:solidFill>
              <w14:schemeClr w14:val="tx1"/>
            </w14:solidFill>
          </w14:textFill>
        </w:rPr>
        <w:sym w:font="Wingdings 2" w:char="00A3"/>
      </w:r>
      <w:r>
        <w:rPr>
          <w:rFonts w:hint="eastAsia" w:asciiTheme="minorEastAsia" w:hAnsiTheme="minorEastAsia" w:eastAsiaTheme="minorEastAsia" w:cstheme="minorEastAsia"/>
          <w:color w:val="000000" w:themeColor="text1"/>
          <w:sz w:val="24"/>
          <w14:textFill>
            <w14:solidFill>
              <w14:schemeClr w14:val="tx1"/>
            </w14:solidFill>
          </w14:textFill>
        </w:rPr>
        <w:t xml:space="preserve">小型    </w:t>
      </w:r>
      <w:r>
        <w:rPr>
          <w:rFonts w:hint="eastAsia" w:asciiTheme="minorEastAsia" w:hAnsiTheme="minorEastAsia" w:eastAsiaTheme="minorEastAsia" w:cstheme="minorEastAsia"/>
          <w:color w:val="000000" w:themeColor="text1"/>
          <w:sz w:val="24"/>
          <w14:textFill>
            <w14:solidFill>
              <w14:schemeClr w14:val="tx1"/>
            </w14:solidFill>
          </w14:textFill>
        </w:rPr>
        <w:sym w:font="Wingdings 2" w:char="00A3"/>
      </w:r>
      <w:r>
        <w:rPr>
          <w:rFonts w:hint="eastAsia" w:asciiTheme="minorEastAsia" w:hAnsiTheme="minorEastAsia" w:eastAsiaTheme="minorEastAsia" w:cstheme="minorEastAsia"/>
          <w:color w:val="000000" w:themeColor="text1"/>
          <w:sz w:val="24"/>
          <w14:textFill>
            <w14:solidFill>
              <w14:schemeClr w14:val="tx1"/>
            </w14:solidFill>
          </w14:textFill>
        </w:rPr>
        <w:t>微型。</w:t>
      </w:r>
    </w:p>
    <w:p w14:paraId="7FF2F568">
      <w:pPr>
        <w:autoSpaceDE w:val="0"/>
        <w:autoSpaceDN w:val="0"/>
        <w:adjustRightInd w:val="0"/>
        <w:snapToGrid w:val="0"/>
        <w:spacing w:before="156" w:beforeLines="50"/>
        <w:ind w:right="82" w:rightChars="39" w:firstLine="478" w:firstLineChars="266"/>
        <w:jc w:val="left"/>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p w14:paraId="26BD853A">
      <w:pPr>
        <w:autoSpaceDE w:val="0"/>
        <w:autoSpaceDN w:val="0"/>
        <w:adjustRightInd w:val="0"/>
        <w:snapToGrid w:val="0"/>
        <w:spacing w:before="156" w:beforeLines="50" w:line="288" w:lineRule="auto"/>
        <w:ind w:right="82" w:rightChars="39" w:firstLine="638" w:firstLineChars="266"/>
        <w:jc w:val="left"/>
        <w:rPr>
          <w:rFonts w:hint="eastAsia" w:asciiTheme="minorEastAsia" w:hAnsiTheme="minorEastAsia" w:eastAsiaTheme="minorEastAsia" w:cstheme="minorEastAsia"/>
          <w:color w:val="000000" w:themeColor="text1"/>
          <w:kern w:val="0"/>
          <w:sz w:val="24"/>
          <w:u w:val="single"/>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机构代码：</w:t>
      </w:r>
      <w:r>
        <w:rPr>
          <w:rFonts w:hint="eastAsia" w:asciiTheme="minorEastAsia" w:hAnsiTheme="minorEastAsia" w:eastAsiaTheme="minorEastAsia" w:cstheme="minorEastAsia"/>
          <w:color w:val="000000" w:themeColor="text1"/>
          <w:kern w:val="0"/>
          <w:sz w:val="24"/>
          <w:u w:val="single"/>
          <w14:textFill>
            <w14:solidFill>
              <w14:schemeClr w14:val="tx1"/>
            </w14:solidFill>
          </w14:textFill>
        </w:rPr>
        <w:t xml:space="preserve">                   </w:t>
      </w:r>
    </w:p>
    <w:p w14:paraId="4FACD205">
      <w:pPr>
        <w:autoSpaceDE w:val="0"/>
        <w:autoSpaceDN w:val="0"/>
        <w:adjustRightInd w:val="0"/>
        <w:snapToGrid w:val="0"/>
        <w:spacing w:before="156" w:beforeLines="50" w:line="288" w:lineRule="auto"/>
        <w:ind w:right="82" w:rightChars="39" w:firstLine="638" w:firstLineChars="266"/>
        <w:jc w:val="left"/>
        <w:rPr>
          <w:rFonts w:hint="eastAsia" w:asciiTheme="minorEastAsia" w:hAnsiTheme="minorEastAsia" w:eastAsiaTheme="minorEastAsia" w:cstheme="minorEastAsia"/>
          <w:color w:val="000000" w:themeColor="text1"/>
          <w:kern w:val="0"/>
          <w:sz w:val="24"/>
          <w:u w:val="single"/>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注册登记机构：</w:t>
      </w:r>
      <w:r>
        <w:rPr>
          <w:rFonts w:hint="eastAsia" w:asciiTheme="minorEastAsia" w:hAnsiTheme="minorEastAsia" w:eastAsiaTheme="minorEastAsia" w:cstheme="minorEastAsia"/>
          <w:color w:val="000000" w:themeColor="text1"/>
          <w:kern w:val="0"/>
          <w:sz w:val="24"/>
          <w:u w:val="single"/>
          <w14:textFill>
            <w14:solidFill>
              <w14:schemeClr w14:val="tx1"/>
            </w14:solidFill>
          </w14:textFill>
        </w:rPr>
        <w:t xml:space="preserve">               </w:t>
      </w:r>
    </w:p>
    <w:p w14:paraId="3401DC63">
      <w:pPr>
        <w:autoSpaceDE w:val="0"/>
        <w:autoSpaceDN w:val="0"/>
        <w:adjustRightInd w:val="0"/>
        <w:snapToGrid w:val="0"/>
        <w:spacing w:before="156" w:beforeLines="50" w:line="288" w:lineRule="auto"/>
        <w:ind w:right="82" w:rightChars="39" w:firstLine="638" w:firstLineChars="266"/>
        <w:jc w:val="left"/>
        <w:rPr>
          <w:rFonts w:hint="eastAsia" w:asciiTheme="minorEastAsia" w:hAnsiTheme="minorEastAsia" w:eastAsiaTheme="minorEastAsia" w:cstheme="minorEastAsia"/>
          <w:color w:val="000000" w:themeColor="text1"/>
          <w:kern w:val="0"/>
          <w:sz w:val="24"/>
          <w:u w:val="single"/>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注册日期：</w:t>
      </w:r>
      <w:r>
        <w:rPr>
          <w:rFonts w:hint="eastAsia" w:asciiTheme="minorEastAsia" w:hAnsiTheme="minorEastAsia" w:eastAsiaTheme="minorEastAsia" w:cstheme="minorEastAsia"/>
          <w:color w:val="000000" w:themeColor="text1"/>
          <w:kern w:val="0"/>
          <w:sz w:val="24"/>
          <w:u w:val="single"/>
          <w14:textFill>
            <w14:solidFill>
              <w14:schemeClr w14:val="tx1"/>
            </w14:solidFill>
          </w14:textFill>
        </w:rPr>
        <w:t xml:space="preserve">                   </w:t>
      </w:r>
    </w:p>
    <w:p w14:paraId="4670A23F">
      <w:pPr>
        <w:autoSpaceDE w:val="0"/>
        <w:autoSpaceDN w:val="0"/>
        <w:adjustRightInd w:val="0"/>
        <w:snapToGrid w:val="0"/>
        <w:spacing w:before="156" w:beforeLines="50" w:line="288" w:lineRule="auto"/>
        <w:ind w:right="82" w:rightChars="39" w:firstLine="638" w:firstLineChars="266"/>
        <w:jc w:val="left"/>
        <w:rPr>
          <w:rFonts w:hint="eastAsia" w:asciiTheme="minorEastAsia" w:hAnsiTheme="minorEastAsia" w:eastAsiaTheme="minorEastAsia" w:cstheme="minorEastAsia"/>
          <w:color w:val="000000" w:themeColor="text1"/>
          <w:kern w:val="0"/>
          <w:sz w:val="24"/>
          <w:u w:val="single"/>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有 效 期：</w:t>
      </w:r>
      <w:r>
        <w:rPr>
          <w:rFonts w:hint="eastAsia" w:asciiTheme="minorEastAsia" w:hAnsiTheme="minorEastAsia" w:eastAsiaTheme="minorEastAsia" w:cstheme="minorEastAsia"/>
          <w:color w:val="000000" w:themeColor="text1"/>
          <w:kern w:val="0"/>
          <w:sz w:val="24"/>
          <w:u w:val="single"/>
          <w14:textFill>
            <w14:solidFill>
              <w14:schemeClr w14:val="tx1"/>
            </w14:solidFill>
          </w14:textFill>
        </w:rPr>
        <w:t xml:space="preserve">                   </w:t>
      </w:r>
    </w:p>
    <w:p w14:paraId="6A0D3462">
      <w:pPr>
        <w:autoSpaceDE w:val="0"/>
        <w:autoSpaceDN w:val="0"/>
        <w:adjustRightInd w:val="0"/>
        <w:snapToGrid w:val="0"/>
        <w:spacing w:before="156" w:beforeLines="50" w:line="288" w:lineRule="auto"/>
        <w:ind w:right="82" w:rightChars="39" w:firstLine="638" w:firstLineChars="266"/>
        <w:jc w:val="left"/>
        <w:rPr>
          <w:rFonts w:hint="eastAsia" w:asciiTheme="minorEastAsia" w:hAnsiTheme="minorEastAsia" w:eastAsiaTheme="minorEastAsia" w:cstheme="minorEastAsia"/>
          <w:color w:val="000000" w:themeColor="text1"/>
          <w:kern w:val="0"/>
          <w:sz w:val="24"/>
          <w:u w:val="single"/>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注册资本：</w:t>
      </w:r>
      <w:r>
        <w:rPr>
          <w:rFonts w:hint="eastAsia" w:asciiTheme="minorEastAsia" w:hAnsiTheme="minorEastAsia" w:eastAsiaTheme="minorEastAsia" w:cstheme="minorEastAsia"/>
          <w:color w:val="000000" w:themeColor="text1"/>
          <w:kern w:val="0"/>
          <w:sz w:val="24"/>
          <w:u w:val="single"/>
          <w14:textFill>
            <w14:solidFill>
              <w14:schemeClr w14:val="tx1"/>
            </w14:solidFill>
          </w14:textFill>
        </w:rPr>
        <w:t xml:space="preserve">                   </w:t>
      </w:r>
    </w:p>
    <w:p w14:paraId="179F8A37">
      <w:pPr>
        <w:autoSpaceDE w:val="0"/>
        <w:autoSpaceDN w:val="0"/>
        <w:adjustRightInd w:val="0"/>
        <w:snapToGrid w:val="0"/>
        <w:spacing w:before="156" w:beforeLines="50" w:line="288" w:lineRule="auto"/>
        <w:ind w:right="82" w:rightChars="39" w:firstLine="638" w:firstLineChars="266"/>
        <w:jc w:val="left"/>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地    址：</w:t>
      </w:r>
      <w:r>
        <w:rPr>
          <w:rFonts w:hint="eastAsia" w:asciiTheme="minorEastAsia" w:hAnsiTheme="minorEastAsia" w:eastAsiaTheme="minorEastAsia" w:cstheme="minorEastAsia"/>
          <w:color w:val="000000" w:themeColor="text1"/>
          <w:kern w:val="0"/>
          <w:sz w:val="24"/>
          <w:u w:val="single"/>
          <w14:textFill>
            <w14:solidFill>
              <w14:schemeClr w14:val="tx1"/>
            </w14:solidFill>
          </w14:textFill>
        </w:rPr>
        <w:t xml:space="preserve">                   </w:t>
      </w:r>
    </w:p>
    <w:p w14:paraId="5E86280F">
      <w:pPr>
        <w:autoSpaceDE w:val="0"/>
        <w:autoSpaceDN w:val="0"/>
        <w:adjustRightInd w:val="0"/>
        <w:snapToGrid w:val="0"/>
        <w:spacing w:before="156" w:beforeLines="50" w:line="288" w:lineRule="auto"/>
        <w:ind w:right="82" w:rightChars="39" w:firstLine="638" w:firstLineChars="266"/>
        <w:jc w:val="left"/>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经济行业：</w:t>
      </w:r>
      <w:r>
        <w:rPr>
          <w:rFonts w:hint="eastAsia" w:asciiTheme="minorEastAsia" w:hAnsiTheme="minorEastAsia" w:eastAsiaTheme="minorEastAsia" w:cstheme="minorEastAsia"/>
          <w:color w:val="000000" w:themeColor="text1"/>
          <w:kern w:val="0"/>
          <w:sz w:val="24"/>
          <w:u w:val="single"/>
          <w14:textFill>
            <w14:solidFill>
              <w14:schemeClr w14:val="tx1"/>
            </w14:solidFill>
          </w14:textFill>
        </w:rPr>
        <w:t xml:space="preserve">                   </w:t>
      </w:r>
    </w:p>
    <w:p w14:paraId="5BBBBD9C">
      <w:pPr>
        <w:autoSpaceDE w:val="0"/>
        <w:autoSpaceDN w:val="0"/>
        <w:adjustRightInd w:val="0"/>
        <w:snapToGrid w:val="0"/>
        <w:spacing w:before="156" w:beforeLines="50" w:line="288" w:lineRule="auto"/>
        <w:ind w:right="82" w:rightChars="39" w:firstLine="638" w:firstLineChars="266"/>
        <w:jc w:val="left"/>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经济性质：</w:t>
      </w:r>
      <w:r>
        <w:rPr>
          <w:rFonts w:hint="eastAsia" w:asciiTheme="minorEastAsia" w:hAnsiTheme="minorEastAsia" w:eastAsiaTheme="minorEastAsia" w:cstheme="minorEastAsia"/>
          <w:color w:val="000000" w:themeColor="text1"/>
          <w:kern w:val="0"/>
          <w:sz w:val="24"/>
          <w:u w:val="single"/>
          <w14:textFill>
            <w14:solidFill>
              <w14:schemeClr w14:val="tx1"/>
            </w14:solidFill>
          </w14:textFill>
        </w:rPr>
        <w:t xml:space="preserve">                   </w:t>
      </w:r>
    </w:p>
    <w:p w14:paraId="4C65F4AB">
      <w:pPr>
        <w:autoSpaceDE w:val="0"/>
        <w:autoSpaceDN w:val="0"/>
        <w:adjustRightInd w:val="0"/>
        <w:snapToGrid w:val="0"/>
        <w:spacing w:before="156" w:beforeLines="50" w:line="288" w:lineRule="auto"/>
        <w:ind w:right="82" w:rightChars="39" w:firstLine="638" w:firstLineChars="266"/>
        <w:jc w:val="left"/>
        <w:rPr>
          <w:rFonts w:hint="eastAsia" w:asciiTheme="minorEastAsia" w:hAnsiTheme="minorEastAsia" w:eastAsiaTheme="minorEastAsia" w:cstheme="minorEastAsia"/>
          <w:color w:val="000000" w:themeColor="text1"/>
          <w:kern w:val="0"/>
          <w:sz w:val="24"/>
          <w:u w:val="single"/>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公司（单位）名称（盖章）：</w:t>
      </w:r>
      <w:r>
        <w:rPr>
          <w:rFonts w:hint="eastAsia" w:asciiTheme="minorEastAsia" w:hAnsiTheme="minorEastAsia" w:eastAsiaTheme="minorEastAsia" w:cstheme="minorEastAsia"/>
          <w:color w:val="000000" w:themeColor="text1"/>
          <w:kern w:val="0"/>
          <w:sz w:val="24"/>
          <w:u w:val="single"/>
          <w14:textFill>
            <w14:solidFill>
              <w14:schemeClr w14:val="tx1"/>
            </w14:solidFill>
          </w14:textFill>
        </w:rPr>
        <w:t xml:space="preserve">                        </w:t>
      </w:r>
    </w:p>
    <w:p w14:paraId="7E682CA4">
      <w:pPr>
        <w:autoSpaceDE w:val="0"/>
        <w:autoSpaceDN w:val="0"/>
        <w:adjustRightInd w:val="0"/>
        <w:snapToGrid w:val="0"/>
        <w:spacing w:before="156" w:beforeLines="50" w:line="288" w:lineRule="auto"/>
        <w:ind w:right="82" w:rightChars="39" w:firstLine="638" w:firstLineChars="266"/>
        <w:jc w:val="left"/>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法定代表人（单位负责人）姓名（签字或盖章）：</w:t>
      </w:r>
      <w:r>
        <w:rPr>
          <w:rFonts w:hint="eastAsia" w:asciiTheme="minorEastAsia" w:hAnsiTheme="minorEastAsia" w:eastAsiaTheme="minorEastAsia" w:cstheme="minorEastAsia"/>
          <w:color w:val="000000" w:themeColor="text1"/>
          <w:kern w:val="0"/>
          <w:sz w:val="24"/>
          <w:u w:val="single"/>
          <w14:textFill>
            <w14:solidFill>
              <w14:schemeClr w14:val="tx1"/>
            </w14:solidFill>
          </w14:textFill>
        </w:rPr>
        <w:t xml:space="preserve">                  </w:t>
      </w:r>
    </w:p>
    <w:p w14:paraId="7D859EB0">
      <w:pPr>
        <w:autoSpaceDE w:val="0"/>
        <w:autoSpaceDN w:val="0"/>
        <w:adjustRightInd w:val="0"/>
        <w:snapToGrid w:val="0"/>
        <w:spacing w:before="156" w:beforeLines="50" w:line="288" w:lineRule="auto"/>
        <w:ind w:right="82" w:rightChars="39" w:firstLine="638" w:firstLineChars="266"/>
        <w:jc w:val="left"/>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身份证号：</w:t>
      </w:r>
      <w:r>
        <w:rPr>
          <w:rFonts w:hint="eastAsia" w:asciiTheme="minorEastAsia" w:hAnsiTheme="minorEastAsia" w:eastAsiaTheme="minorEastAsia" w:cstheme="minorEastAsia"/>
          <w:color w:val="000000" w:themeColor="text1"/>
          <w:kern w:val="0"/>
          <w:sz w:val="24"/>
          <w:u w:val="single"/>
          <w14:textFill>
            <w14:solidFill>
              <w14:schemeClr w14:val="tx1"/>
            </w14:solidFill>
          </w14:textFill>
        </w:rPr>
        <w:t xml:space="preserve">                   </w:t>
      </w:r>
    </w:p>
    <w:p w14:paraId="0A25C3BF">
      <w:pPr>
        <w:autoSpaceDE w:val="0"/>
        <w:autoSpaceDN w:val="0"/>
        <w:adjustRightInd w:val="0"/>
        <w:snapToGrid w:val="0"/>
        <w:spacing w:before="156" w:beforeLines="50" w:line="288" w:lineRule="auto"/>
        <w:ind w:right="82" w:rightChars="39" w:firstLine="638" w:firstLineChars="266"/>
        <w:jc w:val="left"/>
        <w:rPr>
          <w:rFonts w:hint="eastAsia" w:asciiTheme="minorEastAsia" w:hAnsiTheme="minorEastAsia" w:eastAsiaTheme="minorEastAsia" w:cstheme="minorEastAsia"/>
          <w:color w:val="000000" w:themeColor="text1"/>
          <w:kern w:val="0"/>
          <w:sz w:val="24"/>
          <w:u w:val="single"/>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手 机 号：</w:t>
      </w:r>
      <w:r>
        <w:rPr>
          <w:rFonts w:hint="eastAsia" w:asciiTheme="minorEastAsia" w:hAnsiTheme="minorEastAsia" w:eastAsiaTheme="minorEastAsia" w:cstheme="minorEastAsia"/>
          <w:color w:val="000000" w:themeColor="text1"/>
          <w:kern w:val="0"/>
          <w:sz w:val="24"/>
          <w:u w:val="single"/>
          <w14:textFill>
            <w14:solidFill>
              <w14:schemeClr w14:val="tx1"/>
            </w14:solidFill>
          </w14:textFill>
        </w:rPr>
        <w:t xml:space="preserve">                   </w:t>
      </w:r>
    </w:p>
    <w:p w14:paraId="65D328F6">
      <w:pPr>
        <w:autoSpaceDE w:val="0"/>
        <w:autoSpaceDN w:val="0"/>
        <w:adjustRightInd w:val="0"/>
        <w:snapToGrid w:val="0"/>
        <w:spacing w:before="156" w:beforeLines="50" w:line="288" w:lineRule="auto"/>
        <w:ind w:right="82" w:rightChars="39" w:firstLine="670" w:firstLineChars="266"/>
        <w:jc w:val="left"/>
        <w:rPr>
          <w:rFonts w:hint="eastAsia" w:asciiTheme="minorEastAsia" w:hAnsiTheme="minorEastAsia" w:eastAsiaTheme="minorEastAsia" w:cstheme="minorEastAsia"/>
          <w:color w:val="000000" w:themeColor="text1"/>
          <w:spacing w:val="6"/>
          <w:sz w:val="24"/>
          <w14:textFill>
            <w14:solidFill>
              <w14:schemeClr w14:val="tx1"/>
            </w14:solidFill>
          </w14:textFill>
        </w:rPr>
      </w:pPr>
      <w:r>
        <w:rPr>
          <w:rFonts w:hint="eastAsia" w:asciiTheme="minorEastAsia" w:hAnsiTheme="minorEastAsia" w:eastAsiaTheme="minorEastAsia" w:cstheme="minorEastAsia"/>
          <w:color w:val="000000" w:themeColor="text1"/>
          <w:spacing w:val="6"/>
          <w:sz w:val="24"/>
          <w14:textFill>
            <w14:solidFill>
              <w14:schemeClr w14:val="tx1"/>
            </w14:solidFill>
          </w14:textFill>
        </w:rPr>
        <w:t>日   期：</w:t>
      </w:r>
      <w:r>
        <w:rPr>
          <w:rFonts w:hint="eastAsia" w:asciiTheme="minorEastAsia" w:hAnsiTheme="minorEastAsia" w:eastAsiaTheme="minorEastAsia" w:cstheme="minorEastAsia"/>
          <w:color w:val="000000" w:themeColor="text1"/>
          <w:spacing w:val="6"/>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6"/>
          <w:sz w:val="24"/>
          <w14:textFill>
            <w14:solidFill>
              <w14:schemeClr w14:val="tx1"/>
            </w14:solidFill>
          </w14:textFill>
        </w:rPr>
        <w:t>年</w:t>
      </w:r>
      <w:r>
        <w:rPr>
          <w:rFonts w:hint="eastAsia" w:asciiTheme="minorEastAsia" w:hAnsiTheme="minorEastAsia" w:eastAsiaTheme="minorEastAsia" w:cstheme="minorEastAsia"/>
          <w:color w:val="000000" w:themeColor="text1"/>
          <w:spacing w:val="6"/>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6"/>
          <w:sz w:val="24"/>
          <w14:textFill>
            <w14:solidFill>
              <w14:schemeClr w14:val="tx1"/>
            </w14:solidFill>
          </w14:textFill>
        </w:rPr>
        <w:t>月</w:t>
      </w:r>
      <w:r>
        <w:rPr>
          <w:rFonts w:hint="eastAsia" w:asciiTheme="minorEastAsia" w:hAnsiTheme="minorEastAsia" w:eastAsiaTheme="minorEastAsia" w:cstheme="minorEastAsia"/>
          <w:color w:val="000000" w:themeColor="text1"/>
          <w:spacing w:val="6"/>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6"/>
          <w:sz w:val="24"/>
          <w14:textFill>
            <w14:solidFill>
              <w14:schemeClr w14:val="tx1"/>
            </w14:solidFill>
          </w14:textFill>
        </w:rPr>
        <w:t>日</w:t>
      </w:r>
    </w:p>
    <w:p w14:paraId="0D0059DC">
      <w:pPr>
        <w:autoSpaceDE w:val="0"/>
        <w:autoSpaceDN w:val="0"/>
        <w:adjustRightInd w:val="0"/>
        <w:snapToGrid w:val="0"/>
        <w:spacing w:before="156" w:beforeLines="50" w:line="288" w:lineRule="auto"/>
        <w:ind w:right="82" w:rightChars="39" w:firstLine="670" w:firstLineChars="266"/>
        <w:jc w:val="left"/>
        <w:rPr>
          <w:rFonts w:hint="eastAsia" w:asciiTheme="minorEastAsia" w:hAnsiTheme="minorEastAsia" w:eastAsiaTheme="minorEastAsia" w:cstheme="minorEastAsia"/>
          <w:color w:val="000000" w:themeColor="text1"/>
          <w:spacing w:val="6"/>
          <w:sz w:val="24"/>
          <w14:textFill>
            <w14:solidFill>
              <w14:schemeClr w14:val="tx1"/>
            </w14:solidFill>
          </w14:textFill>
        </w:rPr>
      </w:pPr>
    </w:p>
    <w:p w14:paraId="4B97A506">
      <w:pPr>
        <w:autoSpaceDE w:val="0"/>
        <w:autoSpaceDN w:val="0"/>
        <w:adjustRightInd w:val="0"/>
        <w:snapToGrid w:val="0"/>
        <w:spacing w:before="156" w:beforeLines="50" w:line="288" w:lineRule="auto"/>
        <w:ind w:right="82" w:rightChars="39"/>
        <w:jc w:val="left"/>
        <w:rPr>
          <w:rFonts w:hint="eastAsia" w:asciiTheme="minorEastAsia" w:hAnsiTheme="minorEastAsia" w:eastAsiaTheme="minorEastAsia" w:cstheme="minorEastAsia"/>
          <w:sz w:val="22"/>
          <w:szCs w:val="22"/>
        </w:rPr>
      </w:pPr>
    </w:p>
    <w:p w14:paraId="3C55D6CC">
      <w:pPr>
        <w:rPr>
          <w:rFonts w:hint="eastAsia" w:asciiTheme="minorEastAsia" w:hAnsiTheme="minorEastAsia" w:eastAsiaTheme="minorEastAsia" w:cstheme="minorEastAsia"/>
          <w:sz w:val="28"/>
          <w:szCs w:val="36"/>
        </w:rPr>
      </w:pPr>
      <w:bookmarkStart w:id="363" w:name="_Toc10736"/>
      <w:r>
        <w:rPr>
          <w:rFonts w:hint="eastAsia" w:asciiTheme="minorEastAsia" w:hAnsiTheme="minorEastAsia" w:eastAsiaTheme="minorEastAsia" w:cstheme="minorEastAsia"/>
          <w:sz w:val="28"/>
          <w:szCs w:val="36"/>
        </w:rPr>
        <w:br w:type="page"/>
      </w:r>
    </w:p>
    <w:p w14:paraId="101E9DB5">
      <w:pPr>
        <w:pStyle w:val="4"/>
        <w:spacing w:line="720" w:lineRule="auto"/>
        <w:jc w:val="center"/>
        <w:rPr>
          <w:rFonts w:hint="eastAsia" w:asciiTheme="minorEastAsia" w:hAnsiTheme="minorEastAsia" w:eastAsiaTheme="minorEastAsia" w:cstheme="minorEastAsia"/>
          <w:sz w:val="28"/>
          <w:szCs w:val="36"/>
        </w:rPr>
      </w:pPr>
      <w:bookmarkStart w:id="364" w:name="_Toc20680"/>
      <w:r>
        <w:rPr>
          <w:rFonts w:hint="eastAsia" w:asciiTheme="minorEastAsia" w:hAnsiTheme="minorEastAsia" w:eastAsiaTheme="minorEastAsia" w:cstheme="minorEastAsia"/>
          <w:sz w:val="28"/>
          <w:szCs w:val="36"/>
        </w:rPr>
        <w:t>三、法人或其他组织的营业执照等主体资格证明文件，自然人的身份证明</w:t>
      </w:r>
      <w:bookmarkEnd w:id="363"/>
      <w:bookmarkEnd w:id="364"/>
    </w:p>
    <w:p w14:paraId="0194F290">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注：按第二章第14.1（1）项要求提供。</w:t>
      </w:r>
    </w:p>
    <w:p w14:paraId="4A2A2E91">
      <w:pPr>
        <w:spacing w:line="360" w:lineRule="auto"/>
        <w:ind w:firstLine="960" w:firstLineChars="4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投标人为法人的，应提交营业执照或法人登记证书的复印件；</w:t>
      </w:r>
    </w:p>
    <w:p w14:paraId="4F49499E">
      <w:pPr>
        <w:spacing w:line="360" w:lineRule="auto"/>
        <w:ind w:firstLine="960" w:firstLineChars="4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投标人为非法人组织的，应提交依法登记证书复印件；</w:t>
      </w:r>
    </w:p>
    <w:p w14:paraId="499A08A4">
      <w:pPr>
        <w:spacing w:line="360" w:lineRule="auto"/>
        <w:ind w:firstLine="960" w:firstLineChars="4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投标人为个体工商户的，应提交个体工商户营业执照复印件；</w:t>
      </w:r>
    </w:p>
    <w:p w14:paraId="64EABB5D">
      <w:pPr>
        <w:spacing w:line="360" w:lineRule="auto"/>
        <w:ind w:firstLine="960" w:firstLineChars="4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sz w:val="24"/>
          <w:szCs w:val="32"/>
        </w:rPr>
        <w:t>投标人为自然人的，应提交自然人的身份证明复印件。</w:t>
      </w:r>
    </w:p>
    <w:p w14:paraId="73B7170E">
      <w:pP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br w:type="page"/>
      </w:r>
    </w:p>
    <w:p w14:paraId="5D3F986E">
      <w:pPr>
        <w:spacing w:line="720" w:lineRule="auto"/>
        <w:jc w:val="center"/>
        <w:rPr>
          <w:rFonts w:hint="eastAsia" w:asciiTheme="minorEastAsia" w:hAnsiTheme="minorEastAsia" w:eastAsiaTheme="minorEastAsia" w:cstheme="minorEastAsia"/>
          <w:b/>
          <w:bCs/>
          <w:sz w:val="36"/>
          <w:szCs w:val="44"/>
        </w:rPr>
      </w:pPr>
    </w:p>
    <w:p w14:paraId="6BC789D4">
      <w:pPr>
        <w:jc w:val="center"/>
        <w:rPr>
          <w:rFonts w:hint="eastAsia" w:asciiTheme="minorEastAsia" w:hAnsiTheme="minorEastAsia" w:eastAsiaTheme="minorEastAsia" w:cstheme="minorEastAsia"/>
          <w:b/>
          <w:bCs/>
          <w:sz w:val="120"/>
          <w:szCs w:val="120"/>
        </w:rPr>
      </w:pPr>
      <w:r>
        <w:rPr>
          <w:rFonts w:hint="eastAsia" w:asciiTheme="minorEastAsia" w:hAnsiTheme="minorEastAsia" w:eastAsiaTheme="minorEastAsia" w:cstheme="minorEastAsia"/>
          <w:b/>
          <w:bCs/>
          <w:sz w:val="120"/>
          <w:szCs w:val="120"/>
        </w:rPr>
        <w:t>政 府 采 购</w:t>
      </w:r>
    </w:p>
    <w:p w14:paraId="60FF69FF">
      <w:pPr>
        <w:jc w:val="center"/>
        <w:rPr>
          <w:rFonts w:hint="eastAsia" w:asciiTheme="minorEastAsia" w:hAnsiTheme="minorEastAsia" w:eastAsiaTheme="minorEastAsia" w:cstheme="minorEastAsia"/>
          <w:b/>
          <w:bCs/>
          <w:sz w:val="120"/>
          <w:szCs w:val="120"/>
        </w:rPr>
      </w:pPr>
      <w:r>
        <w:rPr>
          <w:rFonts w:hint="eastAsia" w:asciiTheme="minorEastAsia" w:hAnsiTheme="minorEastAsia" w:eastAsiaTheme="minorEastAsia" w:cstheme="minorEastAsia"/>
          <w:b/>
          <w:bCs/>
          <w:sz w:val="120"/>
          <w:szCs w:val="120"/>
        </w:rPr>
        <w:t>投 标 文 件</w:t>
      </w:r>
    </w:p>
    <w:p w14:paraId="41924FB3">
      <w:pPr>
        <w:spacing w:line="480" w:lineRule="auto"/>
        <w:rPr>
          <w:rFonts w:hint="eastAsia" w:asciiTheme="minorEastAsia" w:hAnsiTheme="minorEastAsia" w:eastAsiaTheme="minorEastAsia" w:cstheme="minorEastAsia"/>
          <w:sz w:val="24"/>
        </w:rPr>
      </w:pPr>
    </w:p>
    <w:p w14:paraId="25086DBB">
      <w:pPr>
        <w:pStyle w:val="4"/>
        <w:jc w:val="center"/>
        <w:rPr>
          <w:rFonts w:hint="eastAsia" w:asciiTheme="minorEastAsia" w:hAnsiTheme="minorEastAsia" w:eastAsiaTheme="minorEastAsia" w:cstheme="minorEastAsia"/>
          <w:sz w:val="44"/>
          <w:szCs w:val="52"/>
        </w:rPr>
      </w:pPr>
      <w:bookmarkStart w:id="365" w:name="_Toc18306"/>
      <w:bookmarkStart w:id="366" w:name="_Toc21234"/>
      <w:bookmarkStart w:id="367" w:name="_Toc18966"/>
      <w:r>
        <w:rPr>
          <w:rFonts w:hint="eastAsia" w:asciiTheme="minorEastAsia" w:hAnsiTheme="minorEastAsia" w:eastAsiaTheme="minorEastAsia" w:cstheme="minorEastAsia"/>
          <w:sz w:val="44"/>
          <w:szCs w:val="52"/>
        </w:rPr>
        <w:t>第二部分 商务文件</w:t>
      </w:r>
      <w:bookmarkEnd w:id="365"/>
      <w:bookmarkEnd w:id="366"/>
      <w:bookmarkEnd w:id="367"/>
    </w:p>
    <w:p w14:paraId="4F666165">
      <w:pPr>
        <w:spacing w:line="360" w:lineRule="auto"/>
        <w:rPr>
          <w:rFonts w:hint="eastAsia" w:asciiTheme="minorEastAsia" w:hAnsiTheme="minorEastAsia" w:eastAsiaTheme="minorEastAsia" w:cstheme="minorEastAsia"/>
          <w:sz w:val="24"/>
          <w:szCs w:val="32"/>
        </w:rPr>
      </w:pPr>
      <w:bookmarkStart w:id="368" w:name="_Toc145"/>
    </w:p>
    <w:p w14:paraId="25B33DF4">
      <w:pPr>
        <w:spacing w:line="480" w:lineRule="auto"/>
        <w:ind w:left="1879" w:leftChars="895"/>
        <w:rPr>
          <w:rFonts w:hint="eastAsia" w:asciiTheme="minorEastAsia" w:hAnsiTheme="minorEastAsia" w:eastAsiaTheme="minorEastAsia" w:cstheme="minorEastAsia"/>
          <w:b/>
          <w:sz w:val="32"/>
          <w:szCs w:val="32"/>
          <w:u w:val="thick"/>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采购项目名称：</w:t>
      </w:r>
      <w:r>
        <w:rPr>
          <w:rFonts w:hint="eastAsia" w:asciiTheme="minorEastAsia" w:hAnsiTheme="minorEastAsia" w:eastAsiaTheme="minorEastAsia" w:cstheme="minorEastAsia"/>
          <w:b/>
          <w:sz w:val="32"/>
          <w:szCs w:val="32"/>
          <w:u w:val="thick"/>
        </w:rPr>
        <w:t xml:space="preserve">                        </w:t>
      </w:r>
    </w:p>
    <w:p w14:paraId="685C8072">
      <w:pPr>
        <w:spacing w:line="480" w:lineRule="auto"/>
        <w:ind w:left="1879" w:leftChars="895"/>
        <w:rPr>
          <w:rFonts w:hint="eastAsia" w:asciiTheme="minorEastAsia" w:hAnsiTheme="minorEastAsia" w:eastAsiaTheme="minorEastAsia" w:cstheme="minorEastAsia"/>
          <w:b/>
          <w:sz w:val="32"/>
          <w:szCs w:val="32"/>
          <w:u w:val="thick"/>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采购人：</w:t>
      </w:r>
      <w:r>
        <w:rPr>
          <w:rFonts w:hint="eastAsia" w:asciiTheme="minorEastAsia" w:hAnsiTheme="minorEastAsia" w:eastAsiaTheme="minorEastAsia" w:cstheme="minorEastAsia"/>
          <w:b/>
          <w:sz w:val="32"/>
          <w:szCs w:val="32"/>
          <w:u w:val="thick"/>
        </w:rPr>
        <w:t xml:space="preserve">                            </w:t>
      </w:r>
    </w:p>
    <w:p w14:paraId="3FB88834">
      <w:pPr>
        <w:spacing w:line="480" w:lineRule="auto"/>
        <w:ind w:left="1879" w:leftChars="895"/>
        <w:rPr>
          <w:rFonts w:hint="eastAsia" w:asciiTheme="minorEastAsia" w:hAnsiTheme="minorEastAsia" w:eastAsiaTheme="minorEastAsia" w:cstheme="minorEastAsia"/>
          <w:b/>
          <w:color w:val="000000" w:themeColor="text1"/>
          <w:sz w:val="32"/>
          <w:szCs w:val="32"/>
          <w:u w:val="thick"/>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政府采购计划编号：</w:t>
      </w:r>
      <w:r>
        <w:rPr>
          <w:rFonts w:hint="eastAsia" w:asciiTheme="minorEastAsia" w:hAnsiTheme="minorEastAsia" w:eastAsiaTheme="minorEastAsia" w:cstheme="minorEastAsia"/>
          <w:b/>
          <w:color w:val="000000" w:themeColor="text1"/>
          <w:sz w:val="32"/>
          <w:szCs w:val="32"/>
          <w:u w:val="thick"/>
          <w14:textFill>
            <w14:solidFill>
              <w14:schemeClr w14:val="tx1"/>
            </w14:solidFill>
          </w14:textFill>
        </w:rPr>
        <w:t xml:space="preserve">                    </w:t>
      </w:r>
    </w:p>
    <w:p w14:paraId="254E1739">
      <w:pPr>
        <w:spacing w:line="480" w:lineRule="auto"/>
        <w:ind w:left="1879" w:leftChars="895"/>
        <w:rPr>
          <w:rFonts w:hint="eastAsia" w:asciiTheme="minorEastAsia" w:hAnsiTheme="minorEastAsia" w:eastAsiaTheme="minorEastAsia" w:cstheme="minorEastAsia"/>
          <w:b/>
          <w:color w:val="000000" w:themeColor="text1"/>
          <w:sz w:val="32"/>
          <w:szCs w:val="32"/>
          <w:u w:val="thick"/>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委托代理编号：</w:t>
      </w:r>
      <w:r>
        <w:rPr>
          <w:rFonts w:hint="eastAsia" w:asciiTheme="minorEastAsia" w:hAnsiTheme="minorEastAsia" w:eastAsiaTheme="minorEastAsia" w:cstheme="minorEastAsia"/>
          <w:b/>
          <w:sz w:val="32"/>
          <w:szCs w:val="32"/>
          <w:u w:val="thick"/>
        </w:rPr>
        <w:t xml:space="preserve">                        </w:t>
      </w:r>
    </w:p>
    <w:p w14:paraId="3FDDA180">
      <w:pPr>
        <w:spacing w:line="480" w:lineRule="auto"/>
        <w:ind w:left="1879" w:leftChars="895"/>
        <w:rPr>
          <w:rFonts w:hint="eastAsia" w:asciiTheme="minorEastAsia" w:hAnsiTheme="minorEastAsia" w:eastAsiaTheme="minorEastAsia" w:cstheme="minorEastAsia"/>
          <w:b/>
          <w:bCs/>
          <w:sz w:val="40"/>
          <w:szCs w:val="48"/>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采购代理机构：</w:t>
      </w:r>
      <w:r>
        <w:rPr>
          <w:rFonts w:hint="eastAsia" w:asciiTheme="minorEastAsia" w:hAnsiTheme="minorEastAsia" w:eastAsiaTheme="minorEastAsia" w:cstheme="minorEastAsia"/>
          <w:b/>
          <w:color w:val="000000" w:themeColor="text1"/>
          <w:sz w:val="32"/>
          <w:szCs w:val="32"/>
          <w:u w:val="thick"/>
          <w14:textFill>
            <w14:solidFill>
              <w14:schemeClr w14:val="tx1"/>
            </w14:solidFill>
          </w14:textFill>
        </w:rPr>
        <w:t xml:space="preserve">                        </w:t>
      </w:r>
    </w:p>
    <w:p w14:paraId="34898364">
      <w:pPr>
        <w:ind w:left="1879" w:leftChars="895"/>
        <w:rPr>
          <w:rFonts w:hint="eastAsia" w:asciiTheme="minorEastAsia" w:hAnsiTheme="minorEastAsia" w:eastAsiaTheme="minorEastAsia" w:cstheme="minorEastAsia"/>
          <w:b/>
          <w:bCs/>
          <w:sz w:val="22"/>
          <w:szCs w:val="28"/>
        </w:rPr>
      </w:pPr>
    </w:p>
    <w:p w14:paraId="1A826FA4">
      <w:pPr>
        <w:spacing w:line="600" w:lineRule="auto"/>
        <w:ind w:left="1879" w:leftChars="895"/>
        <w:rPr>
          <w:rFonts w:hint="eastAsia" w:asciiTheme="minorEastAsia" w:hAnsiTheme="minorEastAsia" w:eastAsiaTheme="minorEastAsia" w:cstheme="minorEastAsia"/>
          <w:b/>
          <w:bCs/>
          <w:sz w:val="40"/>
          <w:szCs w:val="48"/>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投标人名称：</w:t>
      </w:r>
      <w:r>
        <w:rPr>
          <w:rFonts w:hint="eastAsia" w:asciiTheme="minorEastAsia" w:hAnsiTheme="minorEastAsia" w:eastAsiaTheme="minorEastAsia" w:cstheme="minorEastAsia"/>
          <w:b/>
          <w:color w:val="000000" w:themeColor="text1"/>
          <w:sz w:val="32"/>
          <w:szCs w:val="32"/>
          <w:u w:val="thick"/>
          <w14:textFill>
            <w14:solidFill>
              <w14:schemeClr w14:val="tx1"/>
            </w14:solidFill>
          </w14:textFill>
        </w:rPr>
        <w:t xml:space="preserve">                          </w:t>
      </w:r>
    </w:p>
    <w:p w14:paraId="1901B807">
      <w:pPr>
        <w:spacing w:line="480" w:lineRule="auto"/>
        <w:rPr>
          <w:rFonts w:hint="eastAsia" w:asciiTheme="minorEastAsia" w:hAnsiTheme="minorEastAsia" w:eastAsiaTheme="minorEastAsia" w:cstheme="minorEastAsia"/>
          <w:sz w:val="24"/>
          <w:szCs w:val="32"/>
        </w:rPr>
      </w:pPr>
    </w:p>
    <w:p w14:paraId="71FDA906">
      <w:pPr>
        <w:spacing w:line="600" w:lineRule="auto"/>
        <w:ind w:left="420" w:leftChars="200"/>
        <w:jc w:val="center"/>
        <w:rPr>
          <w:rFonts w:hint="eastAsia" w:asciiTheme="minorEastAsia" w:hAnsiTheme="minorEastAsia" w:eastAsiaTheme="minorEastAsia" w:cstheme="minorEastAsia"/>
          <w:sz w:val="36"/>
          <w:szCs w:val="44"/>
        </w:rPr>
      </w:pPr>
      <w:r>
        <w:rPr>
          <w:rFonts w:hint="eastAsia" w:asciiTheme="minorEastAsia" w:hAnsiTheme="minorEastAsia" w:eastAsiaTheme="minorEastAsia" w:cstheme="minorEastAsia"/>
          <w:sz w:val="36"/>
          <w:szCs w:val="44"/>
        </w:rPr>
        <w:t>年  月  日</w:t>
      </w:r>
    </w:p>
    <w:p w14:paraId="2B4A4C22">
      <w:pPr>
        <w:rPr>
          <w:rFonts w:hint="eastAsia" w:asciiTheme="minorEastAsia" w:hAnsiTheme="minorEastAsia" w:eastAsiaTheme="minorEastAsia" w:cstheme="minorEastAsia"/>
        </w:rPr>
      </w:pPr>
      <w:r>
        <w:rPr>
          <w:rFonts w:hint="eastAsia" w:asciiTheme="minorEastAsia" w:hAnsiTheme="minorEastAsia" w:eastAsiaTheme="minorEastAsia" w:cstheme="minorEastAsia"/>
        </w:rPr>
        <w:br w:type="page"/>
      </w:r>
    </w:p>
    <w:p w14:paraId="5C577F0E">
      <w:pPr>
        <w:pStyle w:val="4"/>
        <w:spacing w:line="480" w:lineRule="auto"/>
        <w:jc w:val="center"/>
        <w:rPr>
          <w:rFonts w:hint="eastAsia" w:asciiTheme="minorEastAsia" w:hAnsiTheme="minorEastAsia" w:eastAsiaTheme="minorEastAsia" w:cstheme="minorEastAsia"/>
          <w:sz w:val="32"/>
          <w:szCs w:val="40"/>
        </w:rPr>
      </w:pPr>
      <w:bookmarkStart w:id="369" w:name="_Toc31190"/>
      <w:bookmarkStart w:id="370" w:name="_Toc4834"/>
      <w:r>
        <w:rPr>
          <w:rFonts w:hint="eastAsia" w:asciiTheme="minorEastAsia" w:hAnsiTheme="minorEastAsia" w:eastAsiaTheme="minorEastAsia" w:cstheme="minorEastAsia"/>
          <w:sz w:val="32"/>
          <w:szCs w:val="40"/>
        </w:rPr>
        <w:t>四、投标函</w:t>
      </w:r>
      <w:bookmarkEnd w:id="368"/>
      <w:bookmarkEnd w:id="369"/>
      <w:bookmarkEnd w:id="370"/>
    </w:p>
    <w:p w14:paraId="23B21999">
      <w:pPr>
        <w:widowControl/>
        <w:adjustRightInd w:val="0"/>
        <w:snapToGrid w:val="0"/>
        <w:spacing w:before="156" w:beforeLines="50" w:line="360" w:lineRule="auto"/>
        <w:ind w:left="218" w:leftChars="104" w:right="139" w:rightChars="66"/>
        <w:jc w:val="center"/>
        <w:rPr>
          <w:rFonts w:hint="eastAsia" w:asciiTheme="minorEastAsia" w:hAnsiTheme="minorEastAsia" w:eastAsiaTheme="minorEastAsia" w:cstheme="minorEastAsia"/>
          <w:b/>
          <w:color w:val="000000" w:themeColor="text1"/>
          <w:sz w:val="28"/>
          <w:szCs w:val="28"/>
          <w14:textFill>
            <w14:solidFill>
              <w14:schemeClr w14:val="tx1"/>
            </w14:solidFill>
          </w14:textFill>
        </w:rPr>
      </w:pPr>
      <w:r>
        <w:rPr>
          <w:rFonts w:hint="eastAsia" w:asciiTheme="minorEastAsia" w:hAnsiTheme="minorEastAsia" w:eastAsiaTheme="minorEastAsia" w:cstheme="minorEastAsia"/>
          <w:b/>
          <w:color w:val="000000" w:themeColor="text1"/>
          <w:sz w:val="28"/>
          <w:szCs w:val="28"/>
          <w14:textFill>
            <w14:solidFill>
              <w14:schemeClr w14:val="tx1"/>
            </w14:solidFill>
          </w14:textFill>
        </w:rPr>
        <w:t>投标函（格式）</w:t>
      </w:r>
    </w:p>
    <w:p w14:paraId="028CD070">
      <w:pPr>
        <w:spacing w:line="360" w:lineRule="auto"/>
        <w:ind w:right="-4"/>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致</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（采购人或代理机构）：</w:t>
      </w:r>
    </w:p>
    <w:p w14:paraId="6F250199">
      <w:pPr>
        <w:spacing w:line="360" w:lineRule="auto"/>
        <w:ind w:right="-4"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根据贵方为</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（项目名称）（政府采购计划编号</w:t>
      </w:r>
      <w:r>
        <w:rPr>
          <w:rFonts w:hint="eastAsia" w:asciiTheme="minorEastAsia" w:hAnsiTheme="minorEastAsia" w:eastAsiaTheme="minorEastAsia" w:cstheme="minorEastAsia"/>
          <w:iCs/>
          <w:color w:val="000000" w:themeColor="text1"/>
          <w:sz w:val="24"/>
          <w14:textFill>
            <w14:solidFill>
              <w14:schemeClr w14:val="tx1"/>
            </w14:solidFill>
          </w14:textFill>
        </w:rPr>
        <w:t>：</w:t>
      </w:r>
      <w:r>
        <w:rPr>
          <w:rFonts w:hint="eastAsia" w:asciiTheme="minorEastAsia" w:hAnsiTheme="minorEastAsia" w:eastAsiaTheme="minorEastAsia" w:cstheme="minorEastAsia"/>
          <w:iCs/>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iCs/>
          <w:color w:val="000000" w:themeColor="text1"/>
          <w:sz w:val="24"/>
          <w14:textFill>
            <w14:solidFill>
              <w14:schemeClr w14:val="tx1"/>
            </w14:solidFill>
          </w14:textFill>
        </w:rPr>
        <w:t>，</w:t>
      </w:r>
      <w:r>
        <w:rPr>
          <w:rFonts w:hint="eastAsia" w:asciiTheme="minorEastAsia" w:hAnsiTheme="minorEastAsia" w:eastAsiaTheme="minorEastAsia" w:cstheme="minorEastAsia"/>
          <w:color w:val="000000" w:themeColor="text1"/>
          <w:sz w:val="24"/>
          <w14:textFill>
            <w14:solidFill>
              <w14:schemeClr w14:val="tx1"/>
            </w14:solidFill>
          </w14:textFill>
        </w:rPr>
        <w:t>委托代理编号：</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）的投标邀请，签字代表</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（姓名、职务）经正式授权并代表投标人</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（投标人名称）提交包含下述内容的电子投标文件一份至</w:t>
      </w:r>
      <w:r>
        <w:rPr>
          <w:rFonts w:hint="eastAsia" w:asciiTheme="minorEastAsia" w:hAnsiTheme="minorEastAsia" w:eastAsiaTheme="minorEastAsia" w:cstheme="minorEastAsia"/>
          <w:bCs/>
          <w:spacing w:val="6"/>
          <w:kern w:val="0"/>
          <w:sz w:val="24"/>
        </w:rPr>
        <w:t>交易平台</w:t>
      </w:r>
      <w:r>
        <w:rPr>
          <w:rFonts w:hint="eastAsia" w:asciiTheme="minorEastAsia" w:hAnsiTheme="minorEastAsia" w:eastAsiaTheme="minorEastAsia" w:cstheme="minorEastAsia"/>
          <w:bCs/>
          <w:spacing w:val="6"/>
          <w:kern w:val="0"/>
          <w:sz w:val="24"/>
          <w:lang w:eastAsia="zh-CN"/>
        </w:rPr>
        <w:t>－</w:t>
      </w:r>
      <w:r>
        <w:rPr>
          <w:rFonts w:hint="eastAsia" w:asciiTheme="minorEastAsia" w:hAnsiTheme="minorEastAsia" w:eastAsiaTheme="minorEastAsia" w:cstheme="minorEastAsia"/>
          <w:bCs/>
          <w:spacing w:val="6"/>
          <w:kern w:val="0"/>
          <w:sz w:val="24"/>
        </w:rPr>
        <w:t>湘西公共资源交易中心</w:t>
      </w:r>
      <w:r>
        <w:rPr>
          <w:rFonts w:hint="eastAsia" w:asciiTheme="minorEastAsia" w:hAnsiTheme="minorEastAsia" w:eastAsiaTheme="minorEastAsia" w:cstheme="minorEastAsia"/>
          <w:color w:val="000000" w:themeColor="text1"/>
          <w:sz w:val="24"/>
          <w14:textFill>
            <w14:solidFill>
              <w14:schemeClr w14:val="tx1"/>
            </w14:solidFill>
          </w14:textFill>
        </w:rPr>
        <w:t>，参加本</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项目</w:t>
      </w:r>
      <w:r>
        <w:rPr>
          <w:rFonts w:hint="eastAsia" w:asciiTheme="minorEastAsia" w:hAnsiTheme="minorEastAsia" w:eastAsiaTheme="minorEastAsia" w:cstheme="minorEastAsia"/>
          <w:color w:val="000000" w:themeColor="text1"/>
          <w:sz w:val="24"/>
          <w14:textFill>
            <w14:solidFill>
              <w14:schemeClr w14:val="tx1"/>
            </w14:solidFill>
          </w14:textFill>
        </w:rPr>
        <w:t>的投标，并在此声明，所上传的电子投标文件内容完整、真实。</w:t>
      </w:r>
    </w:p>
    <w:p w14:paraId="79BB2B2A">
      <w:pPr>
        <w:spacing w:line="360" w:lineRule="auto"/>
        <w:ind w:right="-4" w:firstLine="420" w:firstLineChars="200"/>
        <w:rPr>
          <w:rFonts w:hint="eastAsia" w:asciiTheme="minorEastAsia" w:hAnsiTheme="minorEastAsia" w:eastAsiaTheme="minorEastAsia" w:cstheme="minorEastAsia"/>
          <w:b/>
          <w:bCs/>
          <w:color w:val="000000" w:themeColor="text1"/>
          <w:sz w:val="24"/>
          <w14:textFill>
            <w14:solidFill>
              <w14:schemeClr w14:val="tx1"/>
            </w14:solidFill>
          </w14:textFill>
        </w:rPr>
      </w:pPr>
      <w:r>
        <w:fldChar w:fldCharType="begin"/>
      </w:r>
      <w:r>
        <w:instrText xml:space="preserve"> HYPERLINK \l "_Toc9321" </w:instrText>
      </w:r>
      <w:r>
        <w:fldChar w:fldCharType="separate"/>
      </w:r>
      <w:r>
        <w:rPr>
          <w:rFonts w:hint="eastAsia" w:asciiTheme="minorEastAsia" w:hAnsiTheme="minorEastAsia" w:eastAsiaTheme="minorEastAsia" w:cstheme="minorEastAsia"/>
          <w:b/>
          <w:bCs/>
          <w:color w:val="000000" w:themeColor="text1"/>
          <w:sz w:val="24"/>
          <w14:textFill>
            <w14:solidFill>
              <w14:schemeClr w14:val="tx1"/>
            </w14:solidFill>
          </w14:textFill>
        </w:rPr>
        <w:t>第一部分 资格证明文件</w:t>
      </w:r>
      <w:r>
        <w:rPr>
          <w:rFonts w:hint="eastAsia" w:asciiTheme="minorEastAsia" w:hAnsiTheme="minorEastAsia" w:eastAsiaTheme="minorEastAsia" w:cstheme="minorEastAsia"/>
          <w:b/>
          <w:bCs/>
          <w:color w:val="000000" w:themeColor="text1"/>
          <w:sz w:val="24"/>
          <w14:textFill>
            <w14:solidFill>
              <w14:schemeClr w14:val="tx1"/>
            </w14:solidFill>
          </w14:textFill>
        </w:rPr>
        <w:fldChar w:fldCharType="end"/>
      </w:r>
    </w:p>
    <w:p w14:paraId="1C73E046">
      <w:pPr>
        <w:spacing w:line="360" w:lineRule="auto"/>
        <w:ind w:right="-4" w:firstLine="630" w:firstLineChars="300"/>
        <w:rPr>
          <w:rFonts w:hint="eastAsia" w:asciiTheme="minorEastAsia" w:hAnsiTheme="minorEastAsia" w:eastAsiaTheme="minorEastAsia" w:cstheme="minorEastAsia"/>
          <w:color w:val="000000" w:themeColor="text1"/>
          <w:sz w:val="24"/>
          <w14:textFill>
            <w14:solidFill>
              <w14:schemeClr w14:val="tx1"/>
            </w14:solidFill>
          </w14:textFill>
        </w:rPr>
      </w:pPr>
      <w:r>
        <w:fldChar w:fldCharType="begin"/>
      </w:r>
      <w:r>
        <w:instrText xml:space="preserve"> HYPERLINK \l "_Toc30055" </w:instrText>
      </w:r>
      <w:r>
        <w:fldChar w:fldCharType="separate"/>
      </w:r>
      <w:r>
        <w:rPr>
          <w:rFonts w:hint="eastAsia" w:asciiTheme="minorEastAsia" w:hAnsiTheme="minorEastAsia" w:eastAsiaTheme="minorEastAsia" w:cstheme="minorEastAsia"/>
          <w:color w:val="000000" w:themeColor="text1"/>
          <w:sz w:val="24"/>
          <w14:textFill>
            <w14:solidFill>
              <w14:schemeClr w14:val="tx1"/>
            </w14:solidFill>
          </w14:textFill>
        </w:rPr>
        <w:t>一、法定代表人（单位负责人）身份证明</w:t>
      </w:r>
      <w:r>
        <w:rPr>
          <w:rFonts w:hint="eastAsia" w:asciiTheme="minorEastAsia" w:hAnsiTheme="minorEastAsia" w:eastAsiaTheme="minorEastAsia" w:cstheme="minorEastAsia"/>
          <w:color w:val="000000" w:themeColor="text1"/>
          <w:sz w:val="24"/>
          <w14:textFill>
            <w14:solidFill>
              <w14:schemeClr w14:val="tx1"/>
            </w14:solidFill>
          </w14:textFill>
        </w:rPr>
        <w:fldChar w:fldCharType="end"/>
      </w:r>
    </w:p>
    <w:p w14:paraId="246F9434">
      <w:pPr>
        <w:spacing w:line="360" w:lineRule="auto"/>
        <w:ind w:right="-4" w:firstLine="630" w:firstLineChars="300"/>
        <w:rPr>
          <w:rFonts w:hint="eastAsia" w:asciiTheme="minorEastAsia" w:hAnsiTheme="minorEastAsia" w:eastAsiaTheme="minorEastAsia" w:cstheme="minorEastAsia"/>
          <w:color w:val="000000" w:themeColor="text1"/>
          <w:sz w:val="24"/>
          <w14:textFill>
            <w14:solidFill>
              <w14:schemeClr w14:val="tx1"/>
            </w14:solidFill>
          </w14:textFill>
        </w:rPr>
      </w:pPr>
      <w:r>
        <w:fldChar w:fldCharType="begin"/>
      </w:r>
      <w:r>
        <w:instrText xml:space="preserve"> HYPERLINK \l "_Toc3704" </w:instrText>
      </w:r>
      <w:r>
        <w:fldChar w:fldCharType="separate"/>
      </w:r>
      <w:r>
        <w:rPr>
          <w:rFonts w:hint="eastAsia" w:asciiTheme="minorEastAsia" w:hAnsiTheme="minorEastAsia" w:eastAsiaTheme="minorEastAsia" w:cstheme="minorEastAsia"/>
          <w:color w:val="000000" w:themeColor="text1"/>
          <w:sz w:val="24"/>
          <w14:textFill>
            <w14:solidFill>
              <w14:schemeClr w14:val="tx1"/>
            </w14:solidFill>
          </w14:textFill>
        </w:rPr>
        <w:t>二、湖南省政府采购</w:t>
      </w:r>
      <w:r>
        <w:rPr>
          <w:rFonts w:hint="eastAsia" w:asciiTheme="minorEastAsia" w:hAnsiTheme="minorEastAsia" w:eastAsiaTheme="minorEastAsia" w:cstheme="minorEastAsia"/>
          <w:sz w:val="24"/>
          <w:szCs w:val="44"/>
        </w:rPr>
        <w:t>供应商资格承诺函</w:t>
      </w:r>
      <w:r>
        <w:rPr>
          <w:rFonts w:hint="eastAsia" w:asciiTheme="minorEastAsia" w:hAnsiTheme="minorEastAsia" w:eastAsiaTheme="minorEastAsia" w:cstheme="minorEastAsia"/>
          <w:sz w:val="24"/>
          <w:szCs w:val="44"/>
        </w:rPr>
        <w:fldChar w:fldCharType="end"/>
      </w:r>
    </w:p>
    <w:p w14:paraId="67956043">
      <w:pPr>
        <w:spacing w:line="360" w:lineRule="auto"/>
        <w:ind w:right="-4" w:firstLine="630" w:firstLineChars="300"/>
        <w:rPr>
          <w:rFonts w:hint="eastAsia" w:asciiTheme="minorEastAsia" w:hAnsiTheme="minorEastAsia" w:eastAsiaTheme="minorEastAsia" w:cstheme="minorEastAsia"/>
          <w:color w:val="000000" w:themeColor="text1"/>
          <w:sz w:val="24"/>
          <w14:textFill>
            <w14:solidFill>
              <w14:schemeClr w14:val="tx1"/>
            </w14:solidFill>
          </w14:textFill>
        </w:rPr>
      </w:pPr>
      <w:r>
        <w:fldChar w:fldCharType="begin"/>
      </w:r>
      <w:r>
        <w:instrText xml:space="preserve"> HYPERLINK \l "_Toc10461" </w:instrText>
      </w:r>
      <w:r>
        <w:fldChar w:fldCharType="separate"/>
      </w:r>
      <w:r>
        <w:rPr>
          <w:rFonts w:hint="eastAsia" w:asciiTheme="minorEastAsia" w:hAnsiTheme="minorEastAsia" w:eastAsiaTheme="minorEastAsia" w:cstheme="minorEastAsia"/>
          <w:color w:val="000000" w:themeColor="text1"/>
          <w:sz w:val="24"/>
          <w14:textFill>
            <w14:solidFill>
              <w14:schemeClr w14:val="tx1"/>
            </w14:solidFill>
          </w14:textFill>
        </w:rPr>
        <w:t>三、法人或其他组织的营业执照等主体资格证明文件，自然人的身份证明</w:t>
      </w:r>
      <w:r>
        <w:rPr>
          <w:rFonts w:hint="eastAsia" w:asciiTheme="minorEastAsia" w:hAnsiTheme="minorEastAsia" w:eastAsiaTheme="minorEastAsia" w:cstheme="minorEastAsia"/>
          <w:color w:val="000000" w:themeColor="text1"/>
          <w:sz w:val="24"/>
          <w14:textFill>
            <w14:solidFill>
              <w14:schemeClr w14:val="tx1"/>
            </w14:solidFill>
          </w14:textFill>
        </w:rPr>
        <w:fldChar w:fldCharType="end"/>
      </w:r>
    </w:p>
    <w:p w14:paraId="689ACE38">
      <w:pPr>
        <w:spacing w:line="360" w:lineRule="auto"/>
        <w:ind w:right="-4" w:firstLine="420" w:firstLineChars="200"/>
        <w:rPr>
          <w:rFonts w:hint="eastAsia" w:asciiTheme="minorEastAsia" w:hAnsiTheme="minorEastAsia" w:eastAsiaTheme="minorEastAsia" w:cstheme="minorEastAsia"/>
          <w:b/>
          <w:bCs/>
          <w:color w:val="000000" w:themeColor="text1"/>
          <w:sz w:val="24"/>
          <w14:textFill>
            <w14:solidFill>
              <w14:schemeClr w14:val="tx1"/>
            </w14:solidFill>
          </w14:textFill>
        </w:rPr>
      </w:pPr>
      <w:r>
        <w:fldChar w:fldCharType="begin"/>
      </w:r>
      <w:r>
        <w:instrText xml:space="preserve"> HYPERLINK \l "_Toc17695" </w:instrText>
      </w:r>
      <w:r>
        <w:fldChar w:fldCharType="separate"/>
      </w:r>
      <w:r>
        <w:rPr>
          <w:rFonts w:hint="eastAsia" w:asciiTheme="minorEastAsia" w:hAnsiTheme="minorEastAsia" w:eastAsiaTheme="minorEastAsia" w:cstheme="minorEastAsia"/>
          <w:b/>
          <w:bCs/>
          <w:color w:val="000000" w:themeColor="text1"/>
          <w:sz w:val="24"/>
          <w14:textFill>
            <w14:solidFill>
              <w14:schemeClr w14:val="tx1"/>
            </w14:solidFill>
          </w14:textFill>
        </w:rPr>
        <w:t>第二部分 商务文件</w:t>
      </w:r>
      <w:r>
        <w:rPr>
          <w:rFonts w:hint="eastAsia" w:asciiTheme="minorEastAsia" w:hAnsiTheme="minorEastAsia" w:eastAsiaTheme="minorEastAsia" w:cstheme="minorEastAsia"/>
          <w:b/>
          <w:bCs/>
          <w:color w:val="000000" w:themeColor="text1"/>
          <w:sz w:val="24"/>
          <w14:textFill>
            <w14:solidFill>
              <w14:schemeClr w14:val="tx1"/>
            </w14:solidFill>
          </w14:textFill>
        </w:rPr>
        <w:fldChar w:fldCharType="end"/>
      </w:r>
    </w:p>
    <w:p w14:paraId="15E6190E">
      <w:pPr>
        <w:spacing w:line="360" w:lineRule="auto"/>
        <w:ind w:right="-4" w:firstLine="630" w:firstLineChars="300"/>
        <w:rPr>
          <w:rFonts w:hint="eastAsia" w:asciiTheme="minorEastAsia" w:hAnsiTheme="minorEastAsia" w:eastAsiaTheme="minorEastAsia" w:cstheme="minorEastAsia"/>
          <w:color w:val="000000" w:themeColor="text1"/>
          <w:sz w:val="24"/>
          <w14:textFill>
            <w14:solidFill>
              <w14:schemeClr w14:val="tx1"/>
            </w14:solidFill>
          </w14:textFill>
        </w:rPr>
      </w:pPr>
      <w:r>
        <w:fldChar w:fldCharType="begin"/>
      </w:r>
      <w:r>
        <w:instrText xml:space="preserve"> HYPERLINK \l "_Toc1814" </w:instrText>
      </w:r>
      <w:r>
        <w:fldChar w:fldCharType="separate"/>
      </w:r>
      <w:r>
        <w:rPr>
          <w:rFonts w:hint="eastAsia" w:asciiTheme="minorEastAsia" w:hAnsiTheme="minorEastAsia" w:eastAsiaTheme="minorEastAsia" w:cstheme="minorEastAsia"/>
          <w:color w:val="000000" w:themeColor="text1"/>
          <w:sz w:val="24"/>
          <w14:textFill>
            <w14:solidFill>
              <w14:schemeClr w14:val="tx1"/>
            </w14:solidFill>
          </w14:textFill>
        </w:rPr>
        <w:t>四、投标函</w:t>
      </w:r>
      <w:r>
        <w:rPr>
          <w:rFonts w:hint="eastAsia" w:asciiTheme="minorEastAsia" w:hAnsiTheme="minorEastAsia" w:eastAsiaTheme="minorEastAsia" w:cstheme="minorEastAsia"/>
          <w:color w:val="000000" w:themeColor="text1"/>
          <w:sz w:val="24"/>
          <w14:textFill>
            <w14:solidFill>
              <w14:schemeClr w14:val="tx1"/>
            </w14:solidFill>
          </w14:textFill>
        </w:rPr>
        <w:fldChar w:fldCharType="end"/>
      </w:r>
    </w:p>
    <w:p w14:paraId="375BF857">
      <w:pPr>
        <w:spacing w:line="360" w:lineRule="auto"/>
        <w:ind w:right="-4" w:firstLine="630" w:firstLineChars="300"/>
        <w:rPr>
          <w:rFonts w:hint="eastAsia" w:asciiTheme="minorEastAsia" w:hAnsiTheme="minorEastAsia" w:eastAsiaTheme="minorEastAsia" w:cstheme="minorEastAsia"/>
          <w:color w:val="000000" w:themeColor="text1"/>
          <w:sz w:val="24"/>
          <w14:textFill>
            <w14:solidFill>
              <w14:schemeClr w14:val="tx1"/>
            </w14:solidFill>
          </w14:textFill>
        </w:rPr>
      </w:pPr>
      <w:r>
        <w:fldChar w:fldCharType="begin"/>
      </w:r>
      <w:r>
        <w:instrText xml:space="preserve"> HYPERLINK \l "_Toc31346" </w:instrText>
      </w:r>
      <w:r>
        <w:fldChar w:fldCharType="separate"/>
      </w:r>
      <w:r>
        <w:rPr>
          <w:rFonts w:hint="eastAsia" w:asciiTheme="minorEastAsia" w:hAnsiTheme="minorEastAsia" w:eastAsiaTheme="minorEastAsia" w:cstheme="minorEastAsia"/>
          <w:color w:val="000000" w:themeColor="text1"/>
          <w:sz w:val="24"/>
          <w14:textFill>
            <w14:solidFill>
              <w14:schemeClr w14:val="tx1"/>
            </w14:solidFill>
          </w14:textFill>
        </w:rPr>
        <w:t>五、开标一览表</w:t>
      </w:r>
      <w:r>
        <w:rPr>
          <w:rFonts w:hint="eastAsia" w:asciiTheme="minorEastAsia" w:hAnsiTheme="minorEastAsia" w:eastAsiaTheme="minorEastAsia" w:cstheme="minorEastAsia"/>
          <w:color w:val="000000" w:themeColor="text1"/>
          <w:sz w:val="24"/>
          <w14:textFill>
            <w14:solidFill>
              <w14:schemeClr w14:val="tx1"/>
            </w14:solidFill>
          </w14:textFill>
        </w:rPr>
        <w:fldChar w:fldCharType="end"/>
      </w:r>
    </w:p>
    <w:p w14:paraId="5E52FBAB">
      <w:pPr>
        <w:spacing w:line="360" w:lineRule="auto"/>
        <w:ind w:right="-4" w:firstLine="630" w:firstLineChars="300"/>
        <w:rPr>
          <w:rFonts w:hint="eastAsia" w:asciiTheme="minorEastAsia" w:hAnsiTheme="minorEastAsia" w:eastAsiaTheme="minorEastAsia" w:cstheme="minorEastAsia"/>
          <w:color w:val="000000" w:themeColor="text1"/>
          <w:sz w:val="24"/>
          <w14:textFill>
            <w14:solidFill>
              <w14:schemeClr w14:val="tx1"/>
            </w14:solidFill>
          </w14:textFill>
        </w:rPr>
      </w:pPr>
      <w:r>
        <w:fldChar w:fldCharType="begin"/>
      </w:r>
      <w:r>
        <w:instrText xml:space="preserve"> HYPERLINK \l "_Toc3787" </w:instrText>
      </w:r>
      <w:r>
        <w:fldChar w:fldCharType="separate"/>
      </w:r>
      <w:r>
        <w:rPr>
          <w:rFonts w:hint="eastAsia" w:asciiTheme="minorEastAsia" w:hAnsiTheme="minorEastAsia" w:eastAsiaTheme="minorEastAsia" w:cstheme="minorEastAsia"/>
          <w:color w:val="000000" w:themeColor="text1"/>
          <w:sz w:val="24"/>
          <w14:textFill>
            <w14:solidFill>
              <w14:schemeClr w14:val="tx1"/>
            </w14:solidFill>
          </w14:textFill>
        </w:rPr>
        <w:t>六、分项报价</w:t>
      </w:r>
      <w:r>
        <w:rPr>
          <w:rFonts w:hint="eastAsia" w:asciiTheme="minorEastAsia" w:hAnsiTheme="minorEastAsia" w:eastAsiaTheme="minorEastAsia" w:cstheme="minorEastAsia"/>
          <w:color w:val="000000" w:themeColor="text1"/>
          <w:sz w:val="24"/>
          <w14:textFill>
            <w14:solidFill>
              <w14:schemeClr w14:val="tx1"/>
            </w14:solidFill>
          </w14:textFill>
        </w:rPr>
        <w:fldChar w:fldCharType="end"/>
      </w:r>
    </w:p>
    <w:p w14:paraId="308DB5B3">
      <w:pPr>
        <w:spacing w:line="360" w:lineRule="auto"/>
        <w:ind w:right="-4" w:firstLine="630" w:firstLineChars="300"/>
        <w:rPr>
          <w:rFonts w:hint="eastAsia" w:asciiTheme="minorEastAsia" w:hAnsiTheme="minorEastAsia" w:eastAsiaTheme="minorEastAsia" w:cstheme="minorEastAsia"/>
          <w:color w:val="000000" w:themeColor="text1"/>
          <w:sz w:val="24"/>
          <w14:textFill>
            <w14:solidFill>
              <w14:schemeClr w14:val="tx1"/>
            </w14:solidFill>
          </w14:textFill>
        </w:rPr>
      </w:pPr>
      <w:r>
        <w:fldChar w:fldCharType="begin"/>
      </w:r>
      <w:r>
        <w:instrText xml:space="preserve"> HYPERLINK \l "_Toc30695" </w:instrText>
      </w:r>
      <w:r>
        <w:fldChar w:fldCharType="separate"/>
      </w:r>
      <w:r>
        <w:rPr>
          <w:rFonts w:hint="eastAsia" w:asciiTheme="minorEastAsia" w:hAnsiTheme="minorEastAsia" w:eastAsiaTheme="minorEastAsia" w:cstheme="minorEastAsia"/>
          <w:color w:val="000000" w:themeColor="text1"/>
          <w:sz w:val="24"/>
          <w14:textFill>
            <w14:solidFill>
              <w14:schemeClr w14:val="tx1"/>
            </w14:solidFill>
          </w14:textFill>
        </w:rPr>
        <w:t>七、合同条款偏离表</w:t>
      </w:r>
      <w:r>
        <w:rPr>
          <w:rFonts w:hint="eastAsia" w:asciiTheme="minorEastAsia" w:hAnsiTheme="minorEastAsia" w:eastAsiaTheme="minorEastAsia" w:cstheme="minorEastAsia"/>
          <w:color w:val="000000" w:themeColor="text1"/>
          <w:sz w:val="24"/>
          <w14:textFill>
            <w14:solidFill>
              <w14:schemeClr w14:val="tx1"/>
            </w14:solidFill>
          </w14:textFill>
        </w:rPr>
        <w:fldChar w:fldCharType="end"/>
      </w:r>
    </w:p>
    <w:p w14:paraId="4780610E">
      <w:pPr>
        <w:spacing w:line="360" w:lineRule="auto"/>
        <w:ind w:right="-4" w:firstLine="630" w:firstLineChars="300"/>
        <w:rPr>
          <w:rFonts w:hint="eastAsia" w:asciiTheme="minorEastAsia" w:hAnsiTheme="minorEastAsia" w:eastAsiaTheme="minorEastAsia" w:cstheme="minorEastAsia"/>
          <w:color w:val="000000" w:themeColor="text1"/>
          <w:sz w:val="24"/>
          <w14:textFill>
            <w14:solidFill>
              <w14:schemeClr w14:val="tx1"/>
            </w14:solidFill>
          </w14:textFill>
        </w:rPr>
      </w:pPr>
      <w:r>
        <w:fldChar w:fldCharType="begin"/>
      </w:r>
      <w:r>
        <w:instrText xml:space="preserve"> HYPERLINK \l "_Toc13774" </w:instrText>
      </w:r>
      <w:r>
        <w:fldChar w:fldCharType="separate"/>
      </w:r>
      <w:r>
        <w:rPr>
          <w:rFonts w:hint="eastAsia" w:asciiTheme="minorEastAsia" w:hAnsiTheme="minorEastAsia" w:eastAsiaTheme="minorEastAsia" w:cstheme="minorEastAsia"/>
          <w:color w:val="000000" w:themeColor="text1"/>
          <w:sz w:val="24"/>
          <w14:textFill>
            <w14:solidFill>
              <w14:schemeClr w14:val="tx1"/>
            </w14:solidFill>
          </w14:textFill>
        </w:rPr>
        <w:t>八、享受政府采购政策优惠的证明资料</w:t>
      </w:r>
      <w:r>
        <w:rPr>
          <w:rFonts w:hint="eastAsia" w:asciiTheme="minorEastAsia" w:hAnsiTheme="minorEastAsia" w:eastAsiaTheme="minorEastAsia" w:cstheme="minorEastAsia"/>
          <w:color w:val="000000" w:themeColor="text1"/>
          <w:sz w:val="24"/>
          <w14:textFill>
            <w14:solidFill>
              <w14:schemeClr w14:val="tx1"/>
            </w14:solidFill>
          </w14:textFill>
        </w:rPr>
        <w:fldChar w:fldCharType="end"/>
      </w:r>
    </w:p>
    <w:p w14:paraId="23182570">
      <w:pPr>
        <w:spacing w:line="360" w:lineRule="auto"/>
        <w:ind w:right="-4" w:firstLine="420" w:firstLineChars="200"/>
        <w:rPr>
          <w:rFonts w:hint="eastAsia" w:asciiTheme="minorEastAsia" w:hAnsiTheme="minorEastAsia" w:eastAsiaTheme="minorEastAsia" w:cstheme="minorEastAsia"/>
          <w:b/>
          <w:bCs/>
          <w:color w:val="000000" w:themeColor="text1"/>
          <w:sz w:val="24"/>
          <w14:textFill>
            <w14:solidFill>
              <w14:schemeClr w14:val="tx1"/>
            </w14:solidFill>
          </w14:textFill>
        </w:rPr>
      </w:pPr>
      <w:r>
        <w:fldChar w:fldCharType="begin"/>
      </w:r>
      <w:r>
        <w:instrText xml:space="preserve"> HYPERLINK \l "_Toc3047" </w:instrText>
      </w:r>
      <w:r>
        <w:fldChar w:fldCharType="separate"/>
      </w:r>
      <w:r>
        <w:rPr>
          <w:rFonts w:hint="eastAsia" w:asciiTheme="minorEastAsia" w:hAnsiTheme="minorEastAsia" w:eastAsiaTheme="minorEastAsia" w:cstheme="minorEastAsia"/>
          <w:b/>
          <w:bCs/>
          <w:color w:val="000000" w:themeColor="text1"/>
          <w:sz w:val="24"/>
          <w14:textFill>
            <w14:solidFill>
              <w14:schemeClr w14:val="tx1"/>
            </w14:solidFill>
          </w14:textFill>
        </w:rPr>
        <w:t>第三部分 技术文件</w:t>
      </w:r>
      <w:r>
        <w:rPr>
          <w:rFonts w:hint="eastAsia" w:asciiTheme="minorEastAsia" w:hAnsiTheme="minorEastAsia" w:eastAsiaTheme="minorEastAsia" w:cstheme="minorEastAsia"/>
          <w:b/>
          <w:bCs/>
          <w:color w:val="000000" w:themeColor="text1"/>
          <w:sz w:val="24"/>
          <w14:textFill>
            <w14:solidFill>
              <w14:schemeClr w14:val="tx1"/>
            </w14:solidFill>
          </w14:textFill>
        </w:rPr>
        <w:fldChar w:fldCharType="end"/>
      </w:r>
    </w:p>
    <w:p w14:paraId="7060FADF">
      <w:pPr>
        <w:spacing w:line="360" w:lineRule="auto"/>
        <w:ind w:right="-4" w:firstLine="630" w:firstLineChars="300"/>
        <w:rPr>
          <w:rFonts w:hint="eastAsia" w:asciiTheme="minorEastAsia" w:hAnsiTheme="minorEastAsia" w:eastAsiaTheme="minorEastAsia" w:cstheme="minorEastAsia"/>
          <w:color w:val="000000" w:themeColor="text1"/>
          <w:sz w:val="24"/>
          <w14:textFill>
            <w14:solidFill>
              <w14:schemeClr w14:val="tx1"/>
            </w14:solidFill>
          </w14:textFill>
        </w:rPr>
      </w:pPr>
      <w:r>
        <w:fldChar w:fldCharType="begin"/>
      </w:r>
      <w:r>
        <w:instrText xml:space="preserve"> HYPERLINK \l "_Toc30248" </w:instrText>
      </w:r>
      <w:r>
        <w:fldChar w:fldCharType="separate"/>
      </w:r>
      <w:r>
        <w:rPr>
          <w:rFonts w:hint="eastAsia" w:asciiTheme="minorEastAsia" w:hAnsiTheme="minorEastAsia" w:eastAsiaTheme="minorEastAsia" w:cstheme="minorEastAsia"/>
          <w:color w:val="000000" w:themeColor="text1"/>
          <w:sz w:val="24"/>
          <w14:textFill>
            <w14:solidFill>
              <w14:schemeClr w14:val="tx1"/>
            </w14:solidFill>
          </w14:textFill>
        </w:rPr>
        <w:t>九、采购需求响应</w:t>
      </w:r>
      <w:r>
        <w:rPr>
          <w:rFonts w:hint="eastAsia" w:asciiTheme="minorEastAsia" w:hAnsiTheme="minorEastAsia" w:eastAsiaTheme="minorEastAsia" w:cstheme="minorEastAsia"/>
          <w:color w:val="000000" w:themeColor="text1"/>
          <w:sz w:val="24"/>
          <w14:textFill>
            <w14:solidFill>
              <w14:schemeClr w14:val="tx1"/>
            </w14:solidFill>
          </w14:textFill>
        </w:rPr>
        <w:fldChar w:fldCharType="end"/>
      </w:r>
    </w:p>
    <w:p w14:paraId="53853E43">
      <w:pPr>
        <w:spacing w:line="360" w:lineRule="auto"/>
        <w:ind w:right="-4" w:firstLine="630" w:firstLineChars="300"/>
        <w:rPr>
          <w:rFonts w:hint="eastAsia" w:asciiTheme="minorEastAsia" w:hAnsiTheme="minorEastAsia" w:eastAsiaTheme="minorEastAsia" w:cstheme="minorEastAsia"/>
          <w:color w:val="000000" w:themeColor="text1"/>
          <w:sz w:val="24"/>
          <w14:textFill>
            <w14:solidFill>
              <w14:schemeClr w14:val="tx1"/>
            </w14:solidFill>
          </w14:textFill>
        </w:rPr>
      </w:pPr>
      <w:r>
        <w:fldChar w:fldCharType="begin"/>
      </w:r>
      <w:r>
        <w:instrText xml:space="preserve"> HYPERLINK \l "_Toc12200" </w:instrText>
      </w:r>
      <w:r>
        <w:fldChar w:fldCharType="separate"/>
      </w:r>
      <w:r>
        <w:rPr>
          <w:rFonts w:hint="eastAsia" w:asciiTheme="minorEastAsia" w:hAnsiTheme="minorEastAsia" w:eastAsiaTheme="minorEastAsia" w:cstheme="minorEastAsia"/>
          <w:color w:val="000000" w:themeColor="text1"/>
          <w:sz w:val="24"/>
          <w14:textFill>
            <w14:solidFill>
              <w14:schemeClr w14:val="tx1"/>
            </w14:solidFill>
          </w14:textFill>
        </w:rPr>
        <w:t>十、采购需求偏离表</w:t>
      </w:r>
      <w:r>
        <w:rPr>
          <w:rFonts w:hint="eastAsia" w:asciiTheme="minorEastAsia" w:hAnsiTheme="minorEastAsia" w:eastAsiaTheme="minorEastAsia" w:cstheme="minorEastAsia"/>
          <w:color w:val="000000" w:themeColor="text1"/>
          <w:sz w:val="24"/>
          <w14:textFill>
            <w14:solidFill>
              <w14:schemeClr w14:val="tx1"/>
            </w14:solidFill>
          </w14:textFill>
        </w:rPr>
        <w:fldChar w:fldCharType="end"/>
      </w:r>
    </w:p>
    <w:p w14:paraId="39B276EB">
      <w:pPr>
        <w:spacing w:line="360" w:lineRule="auto"/>
        <w:ind w:right="-4" w:firstLine="630" w:firstLineChars="300"/>
        <w:rPr>
          <w:rFonts w:hint="eastAsia" w:asciiTheme="minorEastAsia" w:hAnsiTheme="minorEastAsia" w:eastAsiaTheme="minorEastAsia" w:cstheme="minorEastAsia"/>
          <w:color w:val="000000" w:themeColor="text1"/>
          <w:sz w:val="24"/>
          <w14:textFill>
            <w14:solidFill>
              <w14:schemeClr w14:val="tx1"/>
            </w14:solidFill>
          </w14:textFill>
        </w:rPr>
      </w:pPr>
      <w:r>
        <w:fldChar w:fldCharType="begin"/>
      </w:r>
      <w:r>
        <w:instrText xml:space="preserve"> HYPERLINK \l "_Toc1521" </w:instrText>
      </w:r>
      <w:r>
        <w:fldChar w:fldCharType="separate"/>
      </w:r>
      <w:r>
        <w:rPr>
          <w:rFonts w:hint="eastAsia" w:asciiTheme="minorEastAsia" w:hAnsiTheme="minorEastAsia" w:eastAsiaTheme="minorEastAsia" w:cstheme="minorEastAsia"/>
          <w:color w:val="000000" w:themeColor="text1"/>
          <w:sz w:val="24"/>
          <w14:textFill>
            <w14:solidFill>
              <w14:schemeClr w14:val="tx1"/>
            </w14:solidFill>
          </w14:textFill>
        </w:rPr>
        <w:t>十一、投标标的符合招标文件规定的证明文件</w:t>
      </w:r>
      <w:r>
        <w:rPr>
          <w:rFonts w:hint="eastAsia" w:asciiTheme="minorEastAsia" w:hAnsiTheme="minorEastAsia" w:eastAsiaTheme="minorEastAsia" w:cstheme="minorEastAsia"/>
          <w:color w:val="000000" w:themeColor="text1"/>
          <w:sz w:val="24"/>
          <w14:textFill>
            <w14:solidFill>
              <w14:schemeClr w14:val="tx1"/>
            </w14:solidFill>
          </w14:textFill>
        </w:rPr>
        <w:fldChar w:fldCharType="end"/>
      </w:r>
    </w:p>
    <w:p w14:paraId="0E88E267">
      <w:pPr>
        <w:spacing w:line="360" w:lineRule="auto"/>
        <w:ind w:right="-4" w:firstLine="630" w:firstLineChars="300"/>
        <w:rPr>
          <w:rFonts w:hint="eastAsia" w:asciiTheme="minorEastAsia" w:hAnsiTheme="minorEastAsia" w:eastAsiaTheme="minorEastAsia" w:cstheme="minorEastAsia"/>
          <w:color w:val="000000" w:themeColor="text1"/>
          <w:sz w:val="24"/>
          <w14:textFill>
            <w14:solidFill>
              <w14:schemeClr w14:val="tx1"/>
            </w14:solidFill>
          </w14:textFill>
        </w:rPr>
      </w:pPr>
      <w:r>
        <w:fldChar w:fldCharType="begin"/>
      </w:r>
      <w:r>
        <w:instrText xml:space="preserve"> HYPERLINK \l "_Toc11483" </w:instrText>
      </w:r>
      <w:r>
        <w:fldChar w:fldCharType="separate"/>
      </w:r>
      <w:r>
        <w:rPr>
          <w:rFonts w:hint="eastAsia" w:asciiTheme="minorEastAsia" w:hAnsiTheme="minorEastAsia" w:eastAsiaTheme="minorEastAsia" w:cstheme="minorEastAsia"/>
          <w:color w:val="000000" w:themeColor="text1"/>
          <w:sz w:val="24"/>
          <w14:textFill>
            <w14:solidFill>
              <w14:schemeClr w14:val="tx1"/>
            </w14:solidFill>
          </w14:textFill>
        </w:rPr>
        <w:t>十二、投标人认为需提供的其他资料</w:t>
      </w:r>
      <w:r>
        <w:rPr>
          <w:rFonts w:hint="eastAsia" w:asciiTheme="minorEastAsia" w:hAnsiTheme="minorEastAsia" w:eastAsiaTheme="minorEastAsia" w:cstheme="minorEastAsia"/>
          <w:color w:val="000000" w:themeColor="text1"/>
          <w:sz w:val="24"/>
          <w14:textFill>
            <w14:solidFill>
              <w14:schemeClr w14:val="tx1"/>
            </w14:solidFill>
          </w14:textFill>
        </w:rPr>
        <w:fldChar w:fldCharType="end"/>
      </w:r>
    </w:p>
    <w:p w14:paraId="34623268">
      <w:pPr>
        <w:spacing w:line="360" w:lineRule="auto"/>
        <w:ind w:right="-4" w:firstLine="480" w:firstLineChars="200"/>
        <w:rPr>
          <w:rFonts w:hint="eastAsia" w:asciiTheme="minorEastAsia" w:hAnsiTheme="minorEastAsia" w:eastAsiaTheme="minorEastAsia" w:cstheme="minorEastAsia"/>
          <w:sz w:val="24"/>
          <w:szCs w:val="40"/>
        </w:rPr>
      </w:pPr>
      <w:r>
        <w:rPr>
          <w:rFonts w:hint="eastAsia" w:asciiTheme="minorEastAsia" w:hAnsiTheme="minorEastAsia" w:eastAsiaTheme="minorEastAsia" w:cstheme="minorEastAsia"/>
          <w:sz w:val="24"/>
          <w:szCs w:val="40"/>
        </w:rPr>
        <w:t>在此，签字代表宣布同意如下：</w:t>
      </w:r>
    </w:p>
    <w:p w14:paraId="363480F8">
      <w:pPr>
        <w:spacing w:line="360" w:lineRule="auto"/>
        <w:ind w:right="-4" w:firstLine="480" w:firstLineChars="200"/>
        <w:rPr>
          <w:rFonts w:hint="eastAsia" w:asciiTheme="minorEastAsia" w:hAnsiTheme="minorEastAsia" w:eastAsiaTheme="minorEastAsia" w:cstheme="minorEastAsia"/>
          <w:sz w:val="24"/>
          <w:szCs w:val="40"/>
        </w:rPr>
      </w:pPr>
      <w:r>
        <w:rPr>
          <w:rFonts w:hint="eastAsia" w:asciiTheme="minorEastAsia" w:hAnsiTheme="minorEastAsia" w:eastAsiaTheme="minorEastAsia" w:cstheme="minorEastAsia"/>
          <w:sz w:val="24"/>
          <w:szCs w:val="40"/>
        </w:rPr>
        <w:t>1.投标人严格按照招标文件的规定报价，见《开标一览表》。</w:t>
      </w:r>
    </w:p>
    <w:p w14:paraId="174484FC">
      <w:pPr>
        <w:spacing w:line="360" w:lineRule="auto"/>
        <w:ind w:right="-4" w:firstLine="480" w:firstLineChars="200"/>
        <w:rPr>
          <w:rFonts w:hint="eastAsia" w:asciiTheme="minorEastAsia" w:hAnsiTheme="minorEastAsia" w:eastAsiaTheme="minorEastAsia" w:cstheme="minorEastAsia"/>
          <w:sz w:val="24"/>
          <w:szCs w:val="40"/>
        </w:rPr>
      </w:pPr>
      <w:r>
        <w:rPr>
          <w:rFonts w:hint="eastAsia" w:asciiTheme="minorEastAsia" w:hAnsiTheme="minorEastAsia" w:eastAsiaTheme="minorEastAsia" w:cstheme="minorEastAsia"/>
          <w:sz w:val="24"/>
          <w:szCs w:val="40"/>
        </w:rPr>
        <w:t>2.投标人将按招标文件的规定履行合同责任和义务。</w:t>
      </w:r>
    </w:p>
    <w:p w14:paraId="3AAE77B0">
      <w:pPr>
        <w:spacing w:line="360" w:lineRule="auto"/>
        <w:ind w:right="-4" w:firstLine="480" w:firstLineChars="200"/>
        <w:rPr>
          <w:rFonts w:hint="eastAsia" w:asciiTheme="minorEastAsia" w:hAnsiTheme="minorEastAsia" w:eastAsiaTheme="minorEastAsia" w:cstheme="minorEastAsia"/>
          <w:sz w:val="24"/>
          <w:szCs w:val="40"/>
        </w:rPr>
      </w:pPr>
      <w:r>
        <w:rPr>
          <w:rFonts w:hint="eastAsia" w:asciiTheme="minorEastAsia" w:hAnsiTheme="minorEastAsia" w:eastAsiaTheme="minorEastAsia" w:cstheme="minorEastAsia"/>
          <w:sz w:val="24"/>
          <w:szCs w:val="40"/>
        </w:rPr>
        <w:t>3.投标人已详细审查招标文件，我们完全理解并同意放弃对这方面有不明及误解的权力。</w:t>
      </w:r>
    </w:p>
    <w:p w14:paraId="523260FF">
      <w:pPr>
        <w:spacing w:line="360" w:lineRule="auto"/>
        <w:ind w:right="-4" w:firstLine="480" w:firstLineChars="200"/>
        <w:rPr>
          <w:rFonts w:hint="eastAsia" w:asciiTheme="minorEastAsia" w:hAnsiTheme="minorEastAsia" w:eastAsiaTheme="minorEastAsia" w:cstheme="minorEastAsia"/>
          <w:sz w:val="24"/>
          <w:szCs w:val="40"/>
        </w:rPr>
      </w:pPr>
      <w:r>
        <w:rPr>
          <w:rFonts w:hint="eastAsia" w:asciiTheme="minorEastAsia" w:hAnsiTheme="minorEastAsia" w:eastAsiaTheme="minorEastAsia" w:cstheme="minorEastAsia"/>
          <w:sz w:val="24"/>
          <w:szCs w:val="40"/>
        </w:rPr>
        <w:t>4.本投标有效期为自招标文件规定的提交投标文件截止之日起</w:t>
      </w:r>
      <w:r>
        <w:rPr>
          <w:rFonts w:hint="eastAsia" w:asciiTheme="minorEastAsia" w:hAnsiTheme="minorEastAsia" w:eastAsiaTheme="minorEastAsia" w:cstheme="minorEastAsia"/>
          <w:sz w:val="24"/>
          <w:szCs w:val="40"/>
          <w:u w:val="single"/>
        </w:rPr>
        <w:t xml:space="preserve"> 90 </w:t>
      </w:r>
      <w:r>
        <w:rPr>
          <w:rFonts w:hint="eastAsia" w:asciiTheme="minorEastAsia" w:hAnsiTheme="minorEastAsia" w:eastAsiaTheme="minorEastAsia" w:cstheme="minorEastAsia"/>
          <w:sz w:val="24"/>
          <w:szCs w:val="40"/>
        </w:rPr>
        <w:t>个日历日。在投标有效期内，投标人同意遵守本投标文件中的承诺且在此期限期满之前投标文件对我方具有法律约束力。</w:t>
      </w:r>
    </w:p>
    <w:p w14:paraId="71BFEA1B">
      <w:pPr>
        <w:spacing w:line="360" w:lineRule="auto"/>
        <w:ind w:right="-4" w:firstLine="480" w:firstLineChars="200"/>
        <w:rPr>
          <w:rFonts w:hint="eastAsia" w:asciiTheme="minorEastAsia" w:hAnsiTheme="minorEastAsia" w:eastAsiaTheme="minorEastAsia" w:cstheme="minorEastAsia"/>
          <w:sz w:val="24"/>
          <w:szCs w:val="40"/>
        </w:rPr>
      </w:pPr>
      <w:r>
        <w:rPr>
          <w:rFonts w:hint="eastAsia" w:asciiTheme="minorEastAsia" w:hAnsiTheme="minorEastAsia" w:eastAsiaTheme="minorEastAsia" w:cstheme="minorEastAsia"/>
          <w:sz w:val="24"/>
          <w:szCs w:val="40"/>
        </w:rPr>
        <w:t>5.同意提供贵方可能要求的与其投标有关的一切数据或资料。</w:t>
      </w:r>
    </w:p>
    <w:p w14:paraId="6A84F4FC">
      <w:pPr>
        <w:spacing w:line="360" w:lineRule="auto"/>
        <w:ind w:right="-4" w:firstLine="480" w:firstLineChars="200"/>
        <w:rPr>
          <w:rFonts w:hint="eastAsia" w:asciiTheme="minorEastAsia" w:hAnsiTheme="minorEastAsia" w:eastAsiaTheme="minorEastAsia" w:cstheme="minorEastAsia"/>
          <w:color w:val="000000" w:themeColor="text1"/>
          <w:sz w:val="22"/>
          <w:szCs w:val="22"/>
          <w14:textFill>
            <w14:solidFill>
              <w14:schemeClr w14:val="tx1"/>
            </w14:solidFill>
          </w14:textFill>
        </w:rPr>
      </w:pPr>
      <w:r>
        <w:rPr>
          <w:rFonts w:hint="eastAsia" w:asciiTheme="minorEastAsia" w:hAnsiTheme="minorEastAsia" w:eastAsiaTheme="minorEastAsia" w:cstheme="minorEastAsia"/>
          <w:sz w:val="24"/>
          <w:szCs w:val="40"/>
        </w:rPr>
        <w:t>6.与本投标有关的一切正式往来信函请寄：</w:t>
      </w:r>
    </w:p>
    <w:p w14:paraId="09B74609">
      <w:pPr>
        <w:adjustRightInd w:val="0"/>
        <w:snapToGrid w:val="0"/>
        <w:spacing w:before="156" w:beforeLines="50" w:line="324" w:lineRule="auto"/>
        <w:ind w:right="158" w:rightChars="75" w:firstLine="840" w:firstLineChars="35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地址：</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p>
    <w:p w14:paraId="57067C9E">
      <w:pPr>
        <w:adjustRightInd w:val="0"/>
        <w:snapToGrid w:val="0"/>
        <w:spacing w:before="156" w:beforeLines="50" w:line="324" w:lineRule="auto"/>
        <w:ind w:right="158" w:rightChars="75" w:firstLine="840" w:firstLineChars="35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邮编：</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p>
    <w:p w14:paraId="2EE79FD4">
      <w:pPr>
        <w:adjustRightInd w:val="0"/>
        <w:snapToGrid w:val="0"/>
        <w:spacing w:before="156" w:beforeLines="50" w:line="324" w:lineRule="auto"/>
        <w:ind w:right="158" w:rightChars="75" w:firstLine="840" w:firstLineChars="35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电话：</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p>
    <w:p w14:paraId="06EB471C">
      <w:pPr>
        <w:adjustRightInd w:val="0"/>
        <w:snapToGrid w:val="0"/>
        <w:spacing w:before="156" w:beforeLines="50" w:line="324" w:lineRule="auto"/>
        <w:ind w:right="158" w:rightChars="75" w:firstLine="840" w:firstLineChars="35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电子邮箱：</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p>
    <w:p w14:paraId="0B13AE67">
      <w:pPr>
        <w:pStyle w:val="48"/>
        <w:adjustRightInd w:val="0"/>
        <w:snapToGrid w:val="0"/>
        <w:spacing w:before="156" w:beforeLines="50"/>
        <w:ind w:left="420" w:leftChars="200" w:right="158" w:rightChars="75"/>
        <w:rPr>
          <w:rFonts w:hint="eastAsia" w:asciiTheme="minorEastAsia" w:hAnsiTheme="minorEastAsia" w:eastAsiaTheme="minorEastAsia" w:cstheme="minorEastAsia"/>
          <w:color w:val="000000" w:themeColor="text1"/>
          <w:sz w:val="20"/>
          <w:szCs w:val="20"/>
          <w14:textFill>
            <w14:solidFill>
              <w14:schemeClr w14:val="tx1"/>
            </w14:solidFill>
          </w14:textFill>
        </w:rPr>
      </w:pPr>
    </w:p>
    <w:p w14:paraId="0D1665DC">
      <w:pPr>
        <w:pStyle w:val="48"/>
        <w:adjustRightInd w:val="0"/>
        <w:snapToGrid w:val="0"/>
        <w:spacing w:before="156" w:beforeLines="50" w:line="360" w:lineRule="auto"/>
        <w:ind w:left="420" w:leftChars="200" w:right="158" w:rightChars="75"/>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投标人名称（盖单位公章）：</w:t>
      </w:r>
      <w:r>
        <w:rPr>
          <w:rFonts w:hint="eastAsia" w:asciiTheme="minorEastAsia" w:hAnsiTheme="minorEastAsia" w:eastAsiaTheme="minorEastAsia" w:cstheme="minorEastAsia"/>
          <w:b/>
          <w:bCs/>
          <w:color w:val="000000" w:themeColor="text1"/>
          <w:sz w:val="24"/>
          <w:szCs w:val="24"/>
          <w:u w:val="single"/>
          <w14:textFill>
            <w14:solidFill>
              <w14:schemeClr w14:val="tx1"/>
            </w14:solidFill>
          </w14:textFill>
        </w:rPr>
        <w:t xml:space="preserve">                        </w:t>
      </w:r>
    </w:p>
    <w:p w14:paraId="2F4E647E">
      <w:pPr>
        <w:adjustRightInd w:val="0"/>
        <w:snapToGrid w:val="0"/>
        <w:spacing w:before="156" w:beforeLines="50" w:line="360" w:lineRule="auto"/>
        <w:ind w:left="420" w:leftChars="200" w:right="158" w:rightChars="75"/>
        <w:rPr>
          <w:rFonts w:hint="eastAsia" w:asciiTheme="minorEastAsia" w:hAnsiTheme="minorEastAsia" w:eastAsiaTheme="minorEastAsia" w:cstheme="minorEastAsia"/>
          <w:b/>
          <w:bCs/>
          <w:color w:val="000000" w:themeColor="text1"/>
          <w:sz w:val="24"/>
          <w:u w:val="single"/>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法定代表人（单位负责人）或其授权的代理人（签字或印章）：</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p>
    <w:p w14:paraId="6D71F8C2">
      <w:pPr>
        <w:pStyle w:val="117"/>
        <w:ind w:left="420" w:leftChars="200" w:right="158" w:rightChars="75"/>
        <w:rPr>
          <w:rFonts w:hint="eastAsia"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日期：</w:t>
      </w:r>
      <w:r>
        <w:rPr>
          <w:rFonts w:hint="eastAsia" w:asciiTheme="minorEastAsia" w:hAnsiTheme="minorEastAsia" w:eastAsiaTheme="minorEastAsia" w:cstheme="minorEastAsia"/>
          <w:b/>
          <w:bCs/>
          <w:color w:val="000000" w:themeColor="text1"/>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14:textFill>
            <w14:solidFill>
              <w14:schemeClr w14:val="tx1"/>
            </w14:solidFill>
          </w14:textFill>
        </w:rPr>
        <w:t>年</w:t>
      </w:r>
      <w:r>
        <w:rPr>
          <w:rFonts w:hint="eastAsia" w:asciiTheme="minorEastAsia" w:hAnsiTheme="minorEastAsia" w:eastAsiaTheme="minorEastAsia" w:cstheme="minorEastAsia"/>
          <w:b/>
          <w:bCs/>
          <w:color w:val="000000" w:themeColor="text1"/>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14:textFill>
            <w14:solidFill>
              <w14:schemeClr w14:val="tx1"/>
            </w14:solidFill>
          </w14:textFill>
        </w:rPr>
        <w:t>月</w:t>
      </w:r>
      <w:r>
        <w:rPr>
          <w:rFonts w:hint="eastAsia" w:asciiTheme="minorEastAsia" w:hAnsiTheme="minorEastAsia" w:eastAsiaTheme="minorEastAsia" w:cstheme="minorEastAsia"/>
          <w:b/>
          <w:bCs/>
          <w:color w:val="000000" w:themeColor="text1"/>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14:textFill>
            <w14:solidFill>
              <w14:schemeClr w14:val="tx1"/>
            </w14:solidFill>
          </w14:textFill>
        </w:rPr>
        <w:t>日</w:t>
      </w:r>
    </w:p>
    <w:p w14:paraId="48611327">
      <w:pPr>
        <w:rPr>
          <w:rFonts w:hint="eastAsia" w:asciiTheme="minorEastAsia" w:hAnsiTheme="minorEastAsia" w:eastAsiaTheme="minorEastAsia" w:cstheme="minorEastAsia"/>
          <w:sz w:val="28"/>
          <w:szCs w:val="28"/>
        </w:rPr>
      </w:pPr>
      <w:bookmarkStart w:id="371" w:name="_Toc28575"/>
      <w:bookmarkStart w:id="372" w:name="_Toc29976"/>
      <w:bookmarkStart w:id="373" w:name="_Toc24559"/>
      <w:bookmarkStart w:id="374" w:name="_Toc104"/>
      <w:bookmarkStart w:id="375" w:name="_Toc26720"/>
      <w:bookmarkStart w:id="376" w:name="_Toc24612"/>
      <w:bookmarkStart w:id="377" w:name="_Toc16122"/>
      <w:r>
        <w:rPr>
          <w:rFonts w:hint="eastAsia" w:asciiTheme="minorEastAsia" w:hAnsiTheme="minorEastAsia" w:eastAsiaTheme="minorEastAsia" w:cstheme="minorEastAsia"/>
          <w:sz w:val="28"/>
          <w:szCs w:val="28"/>
        </w:rPr>
        <w:br w:type="page"/>
      </w:r>
    </w:p>
    <w:p w14:paraId="4F288F91">
      <w:pPr>
        <w:pStyle w:val="4"/>
        <w:spacing w:line="600" w:lineRule="auto"/>
        <w:jc w:val="center"/>
        <w:rPr>
          <w:rFonts w:hint="eastAsia" w:asciiTheme="minorEastAsia" w:hAnsiTheme="minorEastAsia" w:eastAsiaTheme="minorEastAsia" w:cstheme="minorEastAsia"/>
          <w:sz w:val="32"/>
          <w:szCs w:val="40"/>
        </w:rPr>
      </w:pPr>
      <w:bookmarkStart w:id="378" w:name="_Toc10273"/>
      <w:bookmarkStart w:id="379" w:name="_Toc14267"/>
      <w:r>
        <w:rPr>
          <w:rFonts w:hint="eastAsia" w:asciiTheme="minorEastAsia" w:hAnsiTheme="minorEastAsia" w:eastAsiaTheme="minorEastAsia" w:cstheme="minorEastAsia"/>
          <w:sz w:val="32"/>
          <w:szCs w:val="40"/>
        </w:rPr>
        <w:t>五、开标一览表</w:t>
      </w:r>
      <w:bookmarkEnd w:id="371"/>
      <w:bookmarkEnd w:id="372"/>
      <w:bookmarkEnd w:id="373"/>
      <w:bookmarkEnd w:id="374"/>
      <w:bookmarkEnd w:id="375"/>
      <w:bookmarkEnd w:id="376"/>
      <w:bookmarkEnd w:id="377"/>
      <w:bookmarkEnd w:id="378"/>
      <w:bookmarkEnd w:id="379"/>
    </w:p>
    <w:tbl>
      <w:tblPr>
        <w:tblStyle w:val="202"/>
        <w:tblW w:w="8633" w:type="dxa"/>
        <w:jc w:val="center"/>
        <w:tblLayout w:type="fixed"/>
        <w:tblCellMar>
          <w:top w:w="0" w:type="dxa"/>
          <w:left w:w="115" w:type="dxa"/>
          <w:bottom w:w="0" w:type="dxa"/>
          <w:right w:w="115" w:type="dxa"/>
        </w:tblCellMar>
      </w:tblPr>
      <w:tblGrid>
        <w:gridCol w:w="2934"/>
        <w:gridCol w:w="5699"/>
      </w:tblGrid>
      <w:tr w14:paraId="2E984F18">
        <w:tblPrEx>
          <w:tblCellMar>
            <w:top w:w="0" w:type="dxa"/>
            <w:left w:w="115" w:type="dxa"/>
            <w:bottom w:w="0" w:type="dxa"/>
            <w:right w:w="115" w:type="dxa"/>
          </w:tblCellMar>
        </w:tblPrEx>
        <w:trPr>
          <w:trHeight w:val="677" w:hRule="atLeast"/>
          <w:jc w:val="center"/>
        </w:trPr>
        <w:tc>
          <w:tcPr>
            <w:tcW w:w="2934" w:type="dxa"/>
            <w:tcBorders>
              <w:top w:val="single" w:color="000000" w:sz="4" w:space="0"/>
              <w:left w:val="single" w:color="000000" w:sz="4" w:space="0"/>
              <w:bottom w:val="single" w:color="000000" w:sz="4" w:space="0"/>
              <w:right w:val="single" w:color="000000" w:sz="4" w:space="0"/>
            </w:tcBorders>
            <w:vAlign w:val="center"/>
          </w:tcPr>
          <w:p w14:paraId="621883B1">
            <w:pPr>
              <w:spacing w:line="259" w:lineRule="auto"/>
              <w:ind w:right="6"/>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28"/>
              </w:rPr>
              <w:t>标题</w:t>
            </w:r>
          </w:p>
        </w:tc>
        <w:tc>
          <w:tcPr>
            <w:tcW w:w="5699" w:type="dxa"/>
            <w:tcBorders>
              <w:top w:val="single" w:color="000000" w:sz="4" w:space="0"/>
              <w:left w:val="single" w:color="000000" w:sz="4" w:space="0"/>
              <w:bottom w:val="single" w:color="000000" w:sz="4" w:space="0"/>
              <w:right w:val="single" w:color="000000" w:sz="4" w:space="0"/>
            </w:tcBorders>
            <w:vAlign w:val="center"/>
          </w:tcPr>
          <w:p w14:paraId="61810B38">
            <w:pPr>
              <w:spacing w:line="259" w:lineRule="auto"/>
              <w:ind w:right="5"/>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28"/>
              </w:rPr>
              <w:t>内容</w:t>
            </w:r>
          </w:p>
        </w:tc>
      </w:tr>
      <w:tr w14:paraId="103196C1">
        <w:tblPrEx>
          <w:tblCellMar>
            <w:top w:w="0" w:type="dxa"/>
            <w:left w:w="115" w:type="dxa"/>
            <w:bottom w:w="0" w:type="dxa"/>
            <w:right w:w="115" w:type="dxa"/>
          </w:tblCellMar>
        </w:tblPrEx>
        <w:trPr>
          <w:trHeight w:val="682" w:hRule="atLeast"/>
          <w:jc w:val="center"/>
        </w:trPr>
        <w:tc>
          <w:tcPr>
            <w:tcW w:w="2934" w:type="dxa"/>
            <w:tcBorders>
              <w:top w:val="single" w:color="000000" w:sz="4" w:space="0"/>
              <w:left w:val="single" w:color="000000" w:sz="4" w:space="0"/>
              <w:bottom w:val="single" w:color="000000" w:sz="4" w:space="0"/>
              <w:right w:val="single" w:color="000000" w:sz="4" w:space="0"/>
            </w:tcBorders>
            <w:vAlign w:val="center"/>
          </w:tcPr>
          <w:p w14:paraId="40C53C42">
            <w:pPr>
              <w:spacing w:line="259" w:lineRule="auto"/>
              <w:ind w:right="5"/>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28"/>
              </w:rPr>
              <w:t>总报价/折扣/单价</w:t>
            </w:r>
          </w:p>
        </w:tc>
        <w:tc>
          <w:tcPr>
            <w:tcW w:w="5699" w:type="dxa"/>
            <w:tcBorders>
              <w:top w:val="single" w:color="000000" w:sz="4" w:space="0"/>
              <w:left w:val="single" w:color="000000" w:sz="4" w:space="0"/>
              <w:bottom w:val="single" w:color="000000" w:sz="4" w:space="0"/>
              <w:right w:val="single" w:color="000000" w:sz="4" w:space="0"/>
            </w:tcBorders>
            <w:vAlign w:val="center"/>
          </w:tcPr>
          <w:p w14:paraId="69A59427">
            <w:pPr>
              <w:spacing w:line="259" w:lineRule="auto"/>
              <w:ind w:left="144"/>
              <w:jc w:val="center"/>
              <w:rPr>
                <w:rFonts w:hint="eastAsia" w:asciiTheme="minorEastAsia" w:hAnsiTheme="minorEastAsia" w:eastAsiaTheme="minorEastAsia" w:cstheme="minorEastAsia"/>
              </w:rPr>
            </w:pPr>
          </w:p>
        </w:tc>
      </w:tr>
      <w:tr w14:paraId="4841023F">
        <w:tblPrEx>
          <w:tblCellMar>
            <w:top w:w="0" w:type="dxa"/>
            <w:left w:w="115" w:type="dxa"/>
            <w:bottom w:w="0" w:type="dxa"/>
            <w:right w:w="115" w:type="dxa"/>
          </w:tblCellMar>
        </w:tblPrEx>
        <w:trPr>
          <w:trHeight w:val="682" w:hRule="atLeast"/>
          <w:jc w:val="center"/>
        </w:trPr>
        <w:tc>
          <w:tcPr>
            <w:tcW w:w="2934" w:type="dxa"/>
            <w:tcBorders>
              <w:top w:val="single" w:color="000000" w:sz="4" w:space="0"/>
              <w:left w:val="single" w:color="000000" w:sz="4" w:space="0"/>
              <w:bottom w:val="single" w:color="000000" w:sz="4" w:space="0"/>
              <w:right w:val="single" w:color="000000" w:sz="4" w:space="0"/>
            </w:tcBorders>
            <w:vAlign w:val="center"/>
          </w:tcPr>
          <w:p w14:paraId="597123E2">
            <w:pPr>
              <w:spacing w:line="259" w:lineRule="auto"/>
              <w:ind w:right="6"/>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lang w:val="en-US" w:eastAsia="zh-CN"/>
              </w:rPr>
              <w:t>合同周期</w:t>
            </w:r>
          </w:p>
        </w:tc>
        <w:tc>
          <w:tcPr>
            <w:tcW w:w="5699" w:type="dxa"/>
            <w:tcBorders>
              <w:top w:val="single" w:color="000000" w:sz="4" w:space="0"/>
              <w:left w:val="single" w:color="000000" w:sz="4" w:space="0"/>
              <w:bottom w:val="single" w:color="000000" w:sz="4" w:space="0"/>
              <w:right w:val="single" w:color="000000" w:sz="4" w:space="0"/>
            </w:tcBorders>
            <w:vAlign w:val="center"/>
          </w:tcPr>
          <w:p w14:paraId="647A70A9">
            <w:pPr>
              <w:spacing w:line="259" w:lineRule="auto"/>
              <w:ind w:left="144"/>
              <w:jc w:val="center"/>
              <w:rPr>
                <w:rFonts w:hint="eastAsia" w:asciiTheme="minorEastAsia" w:hAnsiTheme="minorEastAsia" w:eastAsiaTheme="minorEastAsia" w:cstheme="minorEastAsia"/>
              </w:rPr>
            </w:pPr>
          </w:p>
        </w:tc>
      </w:tr>
      <w:tr w14:paraId="71FF31F0">
        <w:tblPrEx>
          <w:tblCellMar>
            <w:top w:w="0" w:type="dxa"/>
            <w:left w:w="115" w:type="dxa"/>
            <w:bottom w:w="0" w:type="dxa"/>
            <w:right w:w="115" w:type="dxa"/>
          </w:tblCellMar>
        </w:tblPrEx>
        <w:trPr>
          <w:trHeight w:val="682" w:hRule="atLeast"/>
          <w:jc w:val="center"/>
        </w:trPr>
        <w:tc>
          <w:tcPr>
            <w:tcW w:w="2934" w:type="dxa"/>
            <w:tcBorders>
              <w:top w:val="single" w:color="000000" w:sz="4" w:space="0"/>
              <w:left w:val="single" w:color="000000" w:sz="4" w:space="0"/>
              <w:bottom w:val="single" w:color="000000" w:sz="4" w:space="0"/>
              <w:right w:val="single" w:color="000000" w:sz="4" w:space="0"/>
            </w:tcBorders>
            <w:vAlign w:val="center"/>
          </w:tcPr>
          <w:p w14:paraId="01001896">
            <w:pPr>
              <w:spacing w:line="259" w:lineRule="auto"/>
              <w:ind w:right="6"/>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28"/>
                <w:lang w:val="en-US" w:eastAsia="zh-CN"/>
              </w:rPr>
              <w:t>服务</w:t>
            </w:r>
            <w:r>
              <w:rPr>
                <w:rFonts w:hint="eastAsia" w:asciiTheme="minorEastAsia" w:hAnsiTheme="minorEastAsia" w:eastAsiaTheme="minorEastAsia" w:cstheme="minorEastAsia"/>
                <w:sz w:val="28"/>
              </w:rPr>
              <w:t>要求</w:t>
            </w:r>
          </w:p>
        </w:tc>
        <w:tc>
          <w:tcPr>
            <w:tcW w:w="5699" w:type="dxa"/>
            <w:tcBorders>
              <w:top w:val="single" w:color="000000" w:sz="4" w:space="0"/>
              <w:left w:val="single" w:color="000000" w:sz="4" w:space="0"/>
              <w:bottom w:val="single" w:color="000000" w:sz="4" w:space="0"/>
              <w:right w:val="single" w:color="000000" w:sz="4" w:space="0"/>
            </w:tcBorders>
            <w:vAlign w:val="center"/>
          </w:tcPr>
          <w:p w14:paraId="7BBBE2F8">
            <w:pPr>
              <w:spacing w:line="259" w:lineRule="auto"/>
              <w:ind w:left="144"/>
              <w:jc w:val="center"/>
              <w:rPr>
                <w:rFonts w:hint="eastAsia" w:asciiTheme="minorEastAsia" w:hAnsiTheme="minorEastAsia" w:eastAsiaTheme="minorEastAsia" w:cstheme="minorEastAsia"/>
              </w:rPr>
            </w:pPr>
          </w:p>
        </w:tc>
      </w:tr>
      <w:tr w14:paraId="067EC272">
        <w:tblPrEx>
          <w:tblCellMar>
            <w:top w:w="0" w:type="dxa"/>
            <w:left w:w="115" w:type="dxa"/>
            <w:bottom w:w="0" w:type="dxa"/>
            <w:right w:w="115" w:type="dxa"/>
          </w:tblCellMar>
        </w:tblPrEx>
        <w:trPr>
          <w:trHeight w:val="682" w:hRule="atLeast"/>
          <w:jc w:val="center"/>
        </w:trPr>
        <w:tc>
          <w:tcPr>
            <w:tcW w:w="2934" w:type="dxa"/>
            <w:tcBorders>
              <w:top w:val="single" w:color="000000" w:sz="4" w:space="0"/>
              <w:left w:val="single" w:color="000000" w:sz="4" w:space="0"/>
              <w:bottom w:val="single" w:color="000000" w:sz="4" w:space="0"/>
              <w:right w:val="single" w:color="000000" w:sz="4" w:space="0"/>
            </w:tcBorders>
            <w:vAlign w:val="center"/>
          </w:tcPr>
          <w:p w14:paraId="662BB481">
            <w:pPr>
              <w:spacing w:line="259" w:lineRule="auto"/>
              <w:ind w:right="6"/>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28"/>
              </w:rPr>
              <w:t>保证金</w:t>
            </w:r>
          </w:p>
        </w:tc>
        <w:tc>
          <w:tcPr>
            <w:tcW w:w="5699" w:type="dxa"/>
            <w:tcBorders>
              <w:top w:val="single" w:color="000000" w:sz="4" w:space="0"/>
              <w:left w:val="single" w:color="000000" w:sz="4" w:space="0"/>
              <w:bottom w:val="single" w:color="000000" w:sz="4" w:space="0"/>
              <w:right w:val="single" w:color="000000" w:sz="4" w:space="0"/>
            </w:tcBorders>
            <w:vAlign w:val="center"/>
          </w:tcPr>
          <w:p w14:paraId="35B89D7E">
            <w:pPr>
              <w:spacing w:line="259" w:lineRule="auto"/>
              <w:ind w:left="144"/>
              <w:jc w:val="center"/>
              <w:rPr>
                <w:rFonts w:hint="eastAsia" w:asciiTheme="minorEastAsia" w:hAnsiTheme="minorEastAsia" w:eastAsiaTheme="minorEastAsia" w:cstheme="minorEastAsia"/>
              </w:rPr>
            </w:pPr>
          </w:p>
        </w:tc>
      </w:tr>
      <w:tr w14:paraId="0A03A4CA">
        <w:tblPrEx>
          <w:tblCellMar>
            <w:top w:w="0" w:type="dxa"/>
            <w:left w:w="115" w:type="dxa"/>
            <w:bottom w:w="0" w:type="dxa"/>
            <w:right w:w="115" w:type="dxa"/>
          </w:tblCellMar>
        </w:tblPrEx>
        <w:trPr>
          <w:trHeight w:val="701" w:hRule="atLeast"/>
          <w:jc w:val="center"/>
        </w:trPr>
        <w:tc>
          <w:tcPr>
            <w:tcW w:w="2934" w:type="dxa"/>
            <w:tcBorders>
              <w:top w:val="single" w:color="000000" w:sz="4" w:space="0"/>
              <w:left w:val="single" w:color="000000" w:sz="4" w:space="0"/>
              <w:bottom w:val="single" w:color="000000" w:sz="4" w:space="0"/>
              <w:right w:val="single" w:color="000000" w:sz="4" w:space="0"/>
            </w:tcBorders>
            <w:vAlign w:val="center"/>
          </w:tcPr>
          <w:p w14:paraId="47F63075">
            <w:pPr>
              <w:spacing w:line="259" w:lineRule="auto"/>
              <w:ind w:right="6"/>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28"/>
              </w:rPr>
              <w:t>备注</w:t>
            </w:r>
          </w:p>
        </w:tc>
        <w:tc>
          <w:tcPr>
            <w:tcW w:w="5699" w:type="dxa"/>
            <w:tcBorders>
              <w:top w:val="single" w:color="000000" w:sz="4" w:space="0"/>
              <w:left w:val="single" w:color="000000" w:sz="4" w:space="0"/>
              <w:bottom w:val="single" w:color="000000" w:sz="4" w:space="0"/>
              <w:right w:val="single" w:color="000000" w:sz="4" w:space="0"/>
            </w:tcBorders>
            <w:vAlign w:val="center"/>
          </w:tcPr>
          <w:p w14:paraId="4AADD650">
            <w:pPr>
              <w:spacing w:line="259" w:lineRule="auto"/>
              <w:ind w:left="144"/>
              <w:jc w:val="center"/>
              <w:rPr>
                <w:rFonts w:hint="eastAsia" w:asciiTheme="minorEastAsia" w:hAnsiTheme="minorEastAsia" w:eastAsiaTheme="minorEastAsia" w:cstheme="minorEastAsia"/>
              </w:rPr>
            </w:pPr>
          </w:p>
        </w:tc>
      </w:tr>
    </w:tbl>
    <w:p w14:paraId="48D5982C">
      <w:pPr>
        <w:adjustRightInd w:val="0"/>
        <w:snapToGrid w:val="0"/>
        <w:spacing w:line="360" w:lineRule="auto"/>
        <w:ind w:right="195" w:rightChars="93" w:firstLine="585" w:firstLineChars="265"/>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bCs/>
          <w:sz w:val="22"/>
          <w:szCs w:val="22"/>
        </w:rPr>
        <w:t>注：</w:t>
      </w:r>
      <w:r>
        <w:rPr>
          <w:rFonts w:hint="eastAsia" w:asciiTheme="minorEastAsia" w:hAnsiTheme="minorEastAsia" w:eastAsiaTheme="minorEastAsia" w:cstheme="minorEastAsia"/>
          <w:sz w:val="22"/>
          <w:szCs w:val="22"/>
        </w:rPr>
        <w:t>1.本表对应电子投标文件系统中的“开标一览表”，内容以系统中的为准</w:t>
      </w:r>
      <w:r>
        <w:rPr>
          <w:rFonts w:hint="eastAsia" w:asciiTheme="minorEastAsia" w:hAnsiTheme="minorEastAsia" w:eastAsiaTheme="minorEastAsia" w:cstheme="minorEastAsia"/>
          <w:sz w:val="22"/>
          <w:szCs w:val="22"/>
          <w:lang w:eastAsia="zh-CN"/>
        </w:rPr>
        <w:t>。</w:t>
      </w:r>
    </w:p>
    <w:p w14:paraId="453BB211">
      <w:pPr>
        <w:adjustRightInd w:val="0"/>
        <w:snapToGrid w:val="0"/>
        <w:spacing w:line="360" w:lineRule="auto"/>
        <w:ind w:right="195" w:rightChars="93" w:firstLine="583" w:firstLineChars="265"/>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2.投标人对采购项目内容只允许有一个投标报价，否则其</w:t>
      </w:r>
      <w:r>
        <w:rPr>
          <w:rFonts w:hint="eastAsia" w:asciiTheme="minorEastAsia" w:hAnsiTheme="minorEastAsia" w:eastAsiaTheme="minorEastAsia" w:cstheme="minorEastAsia"/>
          <w:b/>
          <w:sz w:val="22"/>
          <w:szCs w:val="22"/>
        </w:rPr>
        <w:t>投标无效</w:t>
      </w:r>
      <w:r>
        <w:rPr>
          <w:rFonts w:hint="eastAsia" w:asciiTheme="minorEastAsia" w:hAnsiTheme="minorEastAsia" w:eastAsiaTheme="minorEastAsia" w:cstheme="minorEastAsia"/>
          <w:sz w:val="22"/>
          <w:szCs w:val="22"/>
        </w:rPr>
        <w:t>。</w:t>
      </w:r>
    </w:p>
    <w:p w14:paraId="1E2B071A">
      <w:pPr>
        <w:tabs>
          <w:tab w:val="left" w:pos="840"/>
        </w:tabs>
        <w:adjustRightInd w:val="0"/>
        <w:snapToGrid w:val="0"/>
        <w:spacing w:line="360" w:lineRule="auto"/>
        <w:ind w:right="195" w:rightChars="93" w:firstLine="583" w:firstLineChars="265"/>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3.投标人在投标截止时间前修改“开标一览表”中的投标报价的，应同时修改投标文件“分项报价表”“享受政府采购政策优惠的证明资料”（如有影响）等相关内容。</w:t>
      </w:r>
    </w:p>
    <w:p w14:paraId="73BC2A83">
      <w:pPr>
        <w:tabs>
          <w:tab w:val="left" w:pos="840"/>
        </w:tabs>
        <w:adjustRightInd w:val="0"/>
        <w:snapToGrid w:val="0"/>
        <w:spacing w:line="360" w:lineRule="auto"/>
        <w:ind w:right="195" w:rightChars="93" w:firstLine="583" w:firstLineChars="265"/>
        <w:rPr>
          <w:rFonts w:hint="eastAsia" w:asciiTheme="minorEastAsia" w:hAnsiTheme="minorEastAsia" w:eastAsiaTheme="minorEastAsia" w:cstheme="minorEastAsia"/>
          <w:sz w:val="22"/>
          <w:szCs w:val="22"/>
        </w:rPr>
      </w:pPr>
    </w:p>
    <w:p w14:paraId="14B7DB07">
      <w:pPr>
        <w:pStyle w:val="37"/>
        <w:rPr>
          <w:rFonts w:hint="eastAsia" w:asciiTheme="minorEastAsia" w:hAnsiTheme="minorEastAsia" w:eastAsiaTheme="minorEastAsia" w:cstheme="minorEastAsia"/>
        </w:rPr>
      </w:pPr>
    </w:p>
    <w:p w14:paraId="6C5A63B2">
      <w:pPr>
        <w:adjustRightInd w:val="0"/>
        <w:snapToGrid w:val="0"/>
        <w:spacing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p>
    <w:p w14:paraId="62AFA0CB">
      <w:pPr>
        <w:adjustRightInd w:val="0"/>
        <w:snapToGrid w:val="0"/>
        <w:spacing w:line="360" w:lineRule="auto"/>
        <w:ind w:firstLine="422" w:firstLineChars="175"/>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投标人名称（盖单位公章）：</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p>
    <w:p w14:paraId="06B872C7">
      <w:pPr>
        <w:adjustRightInd w:val="0"/>
        <w:snapToGrid w:val="0"/>
        <w:spacing w:line="360" w:lineRule="auto"/>
        <w:ind w:firstLine="422" w:firstLineChars="175"/>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法定代表人（单位负责人）或其授权的代理人（签字或印章）：</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p>
    <w:p w14:paraId="6D17E666">
      <w:pPr>
        <w:adjustRightInd w:val="0"/>
        <w:snapToGrid w:val="0"/>
        <w:spacing w:line="360" w:lineRule="auto"/>
        <w:ind w:firstLine="422" w:firstLineChars="175"/>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日 期：</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年</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月</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日</w:t>
      </w:r>
    </w:p>
    <w:p w14:paraId="48EEDA67">
      <w:pPr>
        <w:rPr>
          <w:rFonts w:hint="eastAsia" w:asciiTheme="minorEastAsia" w:hAnsiTheme="minorEastAsia" w:eastAsiaTheme="minorEastAsia" w:cstheme="minorEastAsia"/>
          <w:sz w:val="32"/>
          <w:szCs w:val="40"/>
        </w:rPr>
      </w:pPr>
      <w:r>
        <w:rPr>
          <w:rFonts w:hint="eastAsia" w:asciiTheme="minorEastAsia" w:hAnsiTheme="minorEastAsia" w:eastAsiaTheme="minorEastAsia" w:cstheme="minorEastAsia"/>
          <w:sz w:val="32"/>
          <w:szCs w:val="40"/>
        </w:rPr>
        <w:br w:type="page"/>
      </w:r>
    </w:p>
    <w:p w14:paraId="0E3D8B4C">
      <w:pPr>
        <w:pStyle w:val="4"/>
        <w:spacing w:line="600" w:lineRule="auto"/>
        <w:jc w:val="center"/>
        <w:rPr>
          <w:rFonts w:hint="eastAsia" w:asciiTheme="minorEastAsia" w:hAnsiTheme="minorEastAsia" w:eastAsiaTheme="minorEastAsia" w:cstheme="minorEastAsia"/>
          <w:color w:val="auto"/>
          <w:sz w:val="32"/>
          <w:szCs w:val="40"/>
        </w:rPr>
      </w:pPr>
      <w:bookmarkStart w:id="380" w:name="_Toc13158"/>
      <w:r>
        <w:rPr>
          <w:rFonts w:hint="eastAsia" w:asciiTheme="minorEastAsia" w:hAnsiTheme="minorEastAsia" w:eastAsiaTheme="minorEastAsia" w:cstheme="minorEastAsia"/>
          <w:color w:val="auto"/>
          <w:sz w:val="32"/>
          <w:szCs w:val="40"/>
        </w:rPr>
        <w:t>六、分项报价</w:t>
      </w:r>
      <w:bookmarkEnd w:id="380"/>
    </w:p>
    <w:p w14:paraId="6A1588F8">
      <w:pPr>
        <w:rPr>
          <w:rFonts w:hint="eastAsia" w:asciiTheme="minorEastAsia" w:hAnsiTheme="minorEastAsia" w:eastAsiaTheme="minorEastAsia" w:cstheme="minorEastAsia"/>
          <w:b/>
          <w:bCs/>
          <w:color w:val="auto"/>
        </w:rPr>
      </w:pPr>
      <w:bookmarkStart w:id="381" w:name="_Toc4027"/>
      <w:r>
        <w:rPr>
          <w:rFonts w:hint="eastAsia" w:asciiTheme="minorEastAsia" w:hAnsiTheme="minorEastAsia" w:eastAsiaTheme="minorEastAsia" w:cstheme="minorEastAsia"/>
          <w:b/>
          <w:bCs/>
          <w:color w:val="auto"/>
        </w:rPr>
        <w:t>附件6-1 分项报价说明</w:t>
      </w:r>
      <w:bookmarkEnd w:id="381"/>
    </w:p>
    <w:p w14:paraId="5734924C">
      <w:pPr>
        <w:adjustRightInd w:val="0"/>
        <w:snapToGrid w:val="0"/>
        <w:spacing w:line="324" w:lineRule="auto"/>
        <w:jc w:val="center"/>
        <w:rPr>
          <w:rFonts w:hint="eastAsia" w:asciiTheme="minorEastAsia" w:hAnsiTheme="minorEastAsia" w:eastAsiaTheme="minorEastAsia" w:cstheme="minorEastAsia"/>
          <w:b/>
          <w:bCs/>
          <w:color w:val="auto"/>
          <w:sz w:val="28"/>
          <w:szCs w:val="36"/>
        </w:rPr>
      </w:pPr>
      <w:r>
        <w:rPr>
          <w:rFonts w:hint="eastAsia" w:asciiTheme="minorEastAsia" w:hAnsiTheme="minorEastAsia" w:eastAsiaTheme="minorEastAsia" w:cstheme="minorEastAsia"/>
          <w:b/>
          <w:bCs/>
          <w:color w:val="auto"/>
          <w:sz w:val="28"/>
          <w:szCs w:val="36"/>
        </w:rPr>
        <w:t>分项报价说明</w:t>
      </w:r>
    </w:p>
    <w:p w14:paraId="612099B4">
      <w:pPr>
        <w:autoSpaceDE w:val="0"/>
        <w:autoSpaceDN w:val="0"/>
        <w:adjustRightInd w:val="0"/>
        <w:snapToGrid w:val="0"/>
        <w:spacing w:line="360" w:lineRule="auto"/>
        <w:ind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备注：投标人应按招标文件第二章第13条相关要求，对本节</w:t>
      </w:r>
      <w:r>
        <w:rPr>
          <w:rFonts w:hint="eastAsia" w:asciiTheme="minorEastAsia" w:hAnsiTheme="minorEastAsia" w:eastAsiaTheme="minorEastAsia" w:cstheme="minorEastAsia"/>
          <w:bCs/>
          <w:color w:val="auto"/>
          <w:sz w:val="24"/>
        </w:rPr>
        <w:t>“</w:t>
      </w:r>
      <w:r>
        <w:rPr>
          <w:rFonts w:hint="eastAsia" w:asciiTheme="minorEastAsia" w:hAnsiTheme="minorEastAsia" w:eastAsiaTheme="minorEastAsia" w:cstheme="minorEastAsia"/>
          <w:color w:val="auto"/>
          <w:kern w:val="0"/>
          <w:sz w:val="24"/>
        </w:rPr>
        <w:t>分项报价明细表</w:t>
      </w:r>
      <w:r>
        <w:rPr>
          <w:rFonts w:hint="eastAsia" w:asciiTheme="minorEastAsia" w:hAnsiTheme="minorEastAsia" w:eastAsiaTheme="minorEastAsia" w:cstheme="minorEastAsia"/>
          <w:bCs/>
          <w:color w:val="auto"/>
          <w:sz w:val="24"/>
        </w:rPr>
        <w:t>”进行</w:t>
      </w:r>
      <w:r>
        <w:rPr>
          <w:rFonts w:hint="eastAsia" w:asciiTheme="minorEastAsia" w:hAnsiTheme="minorEastAsia" w:eastAsiaTheme="minorEastAsia" w:cstheme="minorEastAsia"/>
          <w:color w:val="auto"/>
          <w:kern w:val="0"/>
          <w:sz w:val="24"/>
        </w:rPr>
        <w:t>编制，并说明。</w:t>
      </w:r>
      <w:bookmarkStart w:id="382" w:name="_Toc2189"/>
    </w:p>
    <w:p w14:paraId="1746C58F">
      <w:pP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br w:type="page"/>
      </w:r>
    </w:p>
    <w:p w14:paraId="41237716">
      <w:pPr>
        <w:autoSpaceDE w:val="0"/>
        <w:autoSpaceDN w:val="0"/>
        <w:adjustRightInd w:val="0"/>
        <w:snapToGrid w:val="0"/>
        <w:spacing w:line="360" w:lineRule="auto"/>
        <w:jc w:val="left"/>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附件6-2 分项报价明细表</w:t>
      </w:r>
      <w:bookmarkEnd w:id="382"/>
    </w:p>
    <w:p w14:paraId="089C52C0">
      <w:pPr>
        <w:adjustRightInd w:val="0"/>
        <w:snapToGrid w:val="0"/>
        <w:spacing w:line="312" w:lineRule="auto"/>
        <w:jc w:val="center"/>
        <w:rPr>
          <w:rFonts w:hint="eastAsia" w:asciiTheme="minorEastAsia" w:hAnsiTheme="minorEastAsia" w:eastAsiaTheme="minorEastAsia" w:cstheme="minorEastAsia"/>
          <w:b/>
          <w:color w:val="auto"/>
          <w:sz w:val="28"/>
          <w:szCs w:val="28"/>
        </w:rPr>
      </w:pPr>
      <w:r>
        <w:rPr>
          <w:rFonts w:hint="eastAsia" w:asciiTheme="minorEastAsia" w:hAnsiTheme="minorEastAsia" w:eastAsiaTheme="minorEastAsia" w:cstheme="minorEastAsia"/>
          <w:b/>
          <w:color w:val="auto"/>
          <w:sz w:val="28"/>
          <w:szCs w:val="28"/>
        </w:rPr>
        <w:t>分项报价明细表（格式）</w:t>
      </w:r>
    </w:p>
    <w:p w14:paraId="701F355D">
      <w:pPr>
        <w:rPr>
          <w:rFonts w:asciiTheme="minorEastAsia" w:hAnsiTheme="minorEastAsia" w:eastAsiaTheme="minorEastAsia" w:cstheme="minorEastAsia"/>
          <w:color w:val="auto"/>
          <w:sz w:val="24"/>
          <w:u w:val="single"/>
        </w:rPr>
      </w:pPr>
      <w:r>
        <w:rPr>
          <w:rFonts w:hint="eastAsia" w:asciiTheme="minorEastAsia" w:hAnsiTheme="minorEastAsia" w:eastAsiaTheme="minorEastAsia" w:cstheme="minorEastAsia"/>
          <w:color w:val="auto"/>
          <w:sz w:val="24"/>
        </w:rPr>
        <w:t>项目名称</w:t>
      </w: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u w:val="single"/>
        </w:rPr>
        <w:t xml:space="preserve">                               </w:t>
      </w:r>
      <w:r>
        <w:rPr>
          <w:rFonts w:hint="eastAsia" w:asciiTheme="minorEastAsia" w:hAnsiTheme="minorEastAsia" w:eastAsiaTheme="minorEastAsia" w:cstheme="minorEastAsia"/>
          <w:color w:val="auto"/>
          <w:sz w:val="24"/>
        </w:rPr>
        <w:t xml:space="preserve">        政府采购计划编号：</w:t>
      </w:r>
      <w:r>
        <w:rPr>
          <w:rFonts w:hint="eastAsia" w:asciiTheme="minorEastAsia" w:hAnsiTheme="minorEastAsia" w:eastAsiaTheme="minorEastAsia" w:cstheme="minorEastAsia"/>
          <w:color w:val="auto"/>
          <w:sz w:val="24"/>
          <w:u w:val="single"/>
        </w:rPr>
        <w:t xml:space="preserve">              </w:t>
      </w:r>
    </w:p>
    <w:tbl>
      <w:tblPr>
        <w:tblStyle w:val="90"/>
        <w:tblW w:w="50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9"/>
        <w:gridCol w:w="3083"/>
        <w:gridCol w:w="1504"/>
        <w:gridCol w:w="995"/>
        <w:gridCol w:w="687"/>
        <w:gridCol w:w="1308"/>
        <w:gridCol w:w="1259"/>
        <w:gridCol w:w="525"/>
      </w:tblGrid>
      <w:tr w14:paraId="5DE6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 w:hRule="exact"/>
          <w:jc w:val="center"/>
        </w:trPr>
        <w:tc>
          <w:tcPr>
            <w:tcW w:w="1790" w:type="pct"/>
            <w:gridSpan w:val="2"/>
            <w:vMerge w:val="restart"/>
            <w:tcBorders>
              <w:tl2br w:val="nil"/>
              <w:tr2bl w:val="nil"/>
            </w:tcBorders>
            <w:noWrap w:val="0"/>
            <w:vAlign w:val="center"/>
          </w:tcPr>
          <w:p w14:paraId="3842DEEE">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kern w:val="0"/>
                <w:position w:val="-1"/>
                <w:sz w:val="24"/>
                <w:szCs w:val="24"/>
              </w:rPr>
            </w:pPr>
            <w:r>
              <w:rPr>
                <w:rFonts w:hint="eastAsia" w:asciiTheme="minorEastAsia" w:hAnsiTheme="minorEastAsia" w:eastAsiaTheme="minorEastAsia" w:cstheme="minorEastAsia"/>
                <w:color w:val="auto"/>
                <w:kern w:val="0"/>
                <w:position w:val="-1"/>
                <w:sz w:val="24"/>
                <w:szCs w:val="24"/>
              </w:rPr>
              <w:t>标的名称</w:t>
            </w:r>
          </w:p>
        </w:tc>
        <w:tc>
          <w:tcPr>
            <w:tcW w:w="769" w:type="pct"/>
            <w:vMerge w:val="restart"/>
            <w:tcBorders>
              <w:tl2br w:val="nil"/>
              <w:tr2bl w:val="nil"/>
            </w:tcBorders>
            <w:noWrap w:val="0"/>
            <w:vAlign w:val="center"/>
          </w:tcPr>
          <w:p w14:paraId="0749DACE">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规格型号或项目特征</w:t>
            </w:r>
            <w:r>
              <w:rPr>
                <w:rFonts w:hint="eastAsia" w:asciiTheme="minorEastAsia" w:hAnsiTheme="minorEastAsia" w:eastAsiaTheme="minorEastAsia" w:cstheme="minorEastAsia"/>
                <w:color w:val="auto"/>
                <w:sz w:val="24"/>
                <w:szCs w:val="24"/>
                <w:lang w:eastAsia="zh-CN"/>
              </w:rPr>
              <w:t>描述</w:t>
            </w:r>
          </w:p>
        </w:tc>
        <w:tc>
          <w:tcPr>
            <w:tcW w:w="508" w:type="pct"/>
            <w:vMerge w:val="restart"/>
            <w:tcBorders>
              <w:tl2br w:val="nil"/>
              <w:tr2bl w:val="nil"/>
            </w:tcBorders>
            <w:noWrap w:val="0"/>
            <w:vAlign w:val="center"/>
          </w:tcPr>
          <w:p w14:paraId="2F3AD912">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制造商</w:t>
            </w:r>
          </w:p>
        </w:tc>
        <w:tc>
          <w:tcPr>
            <w:tcW w:w="351" w:type="pct"/>
            <w:vMerge w:val="restart"/>
            <w:tcBorders>
              <w:tl2br w:val="nil"/>
              <w:tr2bl w:val="nil"/>
            </w:tcBorders>
            <w:noWrap w:val="0"/>
            <w:vAlign w:val="center"/>
          </w:tcPr>
          <w:p w14:paraId="675E00EF">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数量</w:t>
            </w:r>
          </w:p>
        </w:tc>
        <w:tc>
          <w:tcPr>
            <w:tcW w:w="1312" w:type="pct"/>
            <w:gridSpan w:val="2"/>
            <w:tcBorders>
              <w:tl2br w:val="nil"/>
              <w:tr2bl w:val="nil"/>
            </w:tcBorders>
            <w:noWrap w:val="0"/>
            <w:vAlign w:val="center"/>
          </w:tcPr>
          <w:p w14:paraId="7C469404">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kern w:val="0"/>
                <w:position w:val="-1"/>
                <w:sz w:val="24"/>
                <w:szCs w:val="24"/>
              </w:rPr>
            </w:pPr>
            <w:r>
              <w:rPr>
                <w:rFonts w:hint="eastAsia" w:asciiTheme="minorEastAsia" w:hAnsiTheme="minorEastAsia" w:eastAsiaTheme="minorEastAsia" w:cstheme="minorEastAsia"/>
                <w:color w:val="auto"/>
                <w:kern w:val="0"/>
                <w:position w:val="-1"/>
                <w:sz w:val="24"/>
                <w:szCs w:val="24"/>
              </w:rPr>
              <w:t>金额（元）</w:t>
            </w:r>
          </w:p>
        </w:tc>
        <w:tc>
          <w:tcPr>
            <w:tcW w:w="268" w:type="pct"/>
            <w:vMerge w:val="restart"/>
            <w:tcBorders>
              <w:tl2br w:val="nil"/>
              <w:tr2bl w:val="nil"/>
            </w:tcBorders>
            <w:noWrap w:val="0"/>
            <w:vAlign w:val="center"/>
          </w:tcPr>
          <w:p w14:paraId="25C9E9B4">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kern w:val="0"/>
                <w:position w:val="-1"/>
                <w:sz w:val="24"/>
                <w:szCs w:val="24"/>
              </w:rPr>
            </w:pPr>
            <w:r>
              <w:rPr>
                <w:rFonts w:hint="eastAsia" w:asciiTheme="minorEastAsia" w:hAnsiTheme="minorEastAsia" w:eastAsiaTheme="minorEastAsia" w:cstheme="minorEastAsia"/>
                <w:color w:val="auto"/>
                <w:kern w:val="0"/>
                <w:position w:val="-1"/>
                <w:sz w:val="24"/>
                <w:szCs w:val="24"/>
              </w:rPr>
              <w:t>备注</w:t>
            </w:r>
          </w:p>
        </w:tc>
      </w:tr>
      <w:tr w14:paraId="0D1E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exact"/>
          <w:jc w:val="center"/>
        </w:trPr>
        <w:tc>
          <w:tcPr>
            <w:tcW w:w="1790" w:type="pct"/>
            <w:gridSpan w:val="2"/>
            <w:vMerge w:val="continue"/>
            <w:tcBorders>
              <w:tl2br w:val="nil"/>
              <w:tr2bl w:val="nil"/>
            </w:tcBorders>
            <w:noWrap w:val="0"/>
            <w:vAlign w:val="center"/>
          </w:tcPr>
          <w:p w14:paraId="226950D9">
            <w:pPr>
              <w:autoSpaceDE w:val="0"/>
              <w:autoSpaceDN w:val="0"/>
              <w:adjustRightInd w:val="0"/>
              <w:snapToGrid w:val="0"/>
              <w:spacing w:line="240" w:lineRule="auto"/>
              <w:ind w:left="352" w:right="-20"/>
              <w:jc w:val="center"/>
              <w:rPr>
                <w:rFonts w:hint="eastAsia" w:asciiTheme="minorEastAsia" w:hAnsiTheme="minorEastAsia" w:eastAsiaTheme="minorEastAsia" w:cstheme="minorEastAsia"/>
                <w:color w:val="auto"/>
                <w:kern w:val="0"/>
                <w:sz w:val="24"/>
                <w:szCs w:val="24"/>
              </w:rPr>
            </w:pPr>
          </w:p>
        </w:tc>
        <w:tc>
          <w:tcPr>
            <w:tcW w:w="769" w:type="pct"/>
            <w:vMerge w:val="continue"/>
            <w:tcBorders>
              <w:tl2br w:val="nil"/>
              <w:tr2bl w:val="nil"/>
            </w:tcBorders>
            <w:noWrap w:val="0"/>
            <w:vAlign w:val="center"/>
          </w:tcPr>
          <w:p w14:paraId="25FD625F">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kern w:val="0"/>
                <w:sz w:val="24"/>
                <w:szCs w:val="24"/>
              </w:rPr>
            </w:pPr>
          </w:p>
        </w:tc>
        <w:tc>
          <w:tcPr>
            <w:tcW w:w="508" w:type="pct"/>
            <w:vMerge w:val="continue"/>
            <w:tcBorders>
              <w:tl2br w:val="nil"/>
              <w:tr2bl w:val="nil"/>
            </w:tcBorders>
            <w:noWrap w:val="0"/>
            <w:vAlign w:val="center"/>
          </w:tcPr>
          <w:p w14:paraId="1B489DC7">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kern w:val="0"/>
                <w:sz w:val="24"/>
                <w:szCs w:val="24"/>
              </w:rPr>
            </w:pPr>
          </w:p>
        </w:tc>
        <w:tc>
          <w:tcPr>
            <w:tcW w:w="351" w:type="pct"/>
            <w:vMerge w:val="continue"/>
            <w:tcBorders>
              <w:tl2br w:val="nil"/>
              <w:tr2bl w:val="nil"/>
            </w:tcBorders>
            <w:noWrap w:val="0"/>
            <w:vAlign w:val="center"/>
          </w:tcPr>
          <w:p w14:paraId="015C59C5">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sz w:val="24"/>
                <w:szCs w:val="24"/>
                <w:lang w:val="en-US" w:eastAsia="zh-CN"/>
              </w:rPr>
            </w:pPr>
          </w:p>
        </w:tc>
        <w:tc>
          <w:tcPr>
            <w:tcW w:w="668" w:type="pct"/>
            <w:tcBorders>
              <w:tl2br w:val="nil"/>
              <w:tr2bl w:val="nil"/>
            </w:tcBorders>
            <w:noWrap w:val="0"/>
            <w:vAlign w:val="center"/>
          </w:tcPr>
          <w:p w14:paraId="6D32DF0B">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position w:val="-1"/>
                <w:sz w:val="24"/>
                <w:szCs w:val="24"/>
              </w:rPr>
              <w:t>单价</w:t>
            </w:r>
          </w:p>
        </w:tc>
        <w:tc>
          <w:tcPr>
            <w:tcW w:w="643" w:type="pct"/>
            <w:tcBorders>
              <w:tl2br w:val="nil"/>
              <w:tr2bl w:val="nil"/>
            </w:tcBorders>
            <w:noWrap w:val="0"/>
            <w:vAlign w:val="center"/>
          </w:tcPr>
          <w:p w14:paraId="057B488A">
            <w:pPr>
              <w:autoSpaceDE w:val="0"/>
              <w:autoSpaceDN w:val="0"/>
              <w:adjustRightInd w:val="0"/>
              <w:snapToGrid w:val="0"/>
              <w:spacing w:line="240" w:lineRule="auto"/>
              <w:ind w:left="70" w:right="-2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小计</w:t>
            </w:r>
          </w:p>
        </w:tc>
        <w:tc>
          <w:tcPr>
            <w:tcW w:w="268" w:type="pct"/>
            <w:vMerge w:val="continue"/>
            <w:tcBorders>
              <w:tl2br w:val="nil"/>
              <w:tr2bl w:val="nil"/>
            </w:tcBorders>
            <w:noWrap w:val="0"/>
            <w:vAlign w:val="center"/>
          </w:tcPr>
          <w:p w14:paraId="289363FC">
            <w:pPr>
              <w:autoSpaceDE w:val="0"/>
              <w:autoSpaceDN w:val="0"/>
              <w:adjustRightInd w:val="0"/>
              <w:snapToGrid w:val="0"/>
              <w:spacing w:line="240" w:lineRule="auto"/>
              <w:ind w:left="422" w:right="-20"/>
              <w:jc w:val="center"/>
              <w:rPr>
                <w:rFonts w:hint="eastAsia" w:asciiTheme="minorEastAsia" w:hAnsiTheme="minorEastAsia" w:eastAsiaTheme="minorEastAsia" w:cstheme="minorEastAsia"/>
                <w:color w:val="auto"/>
                <w:kern w:val="0"/>
                <w:sz w:val="24"/>
                <w:szCs w:val="24"/>
              </w:rPr>
            </w:pPr>
          </w:p>
        </w:tc>
      </w:tr>
      <w:tr w14:paraId="5CB2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3" w:hRule="exact"/>
          <w:jc w:val="center"/>
        </w:trPr>
        <w:tc>
          <w:tcPr>
            <w:tcW w:w="213" w:type="pct"/>
            <w:tcBorders>
              <w:tl2br w:val="nil"/>
              <w:tr2bl w:val="nil"/>
            </w:tcBorders>
            <w:noWrap w:val="0"/>
            <w:vAlign w:val="center"/>
          </w:tcPr>
          <w:p w14:paraId="5B798737">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3083" w:type="dxa"/>
            <w:tcBorders>
              <w:tl2br w:val="nil"/>
              <w:tr2bl w:val="nil"/>
            </w:tcBorders>
            <w:shd w:val="clear" w:color="auto" w:fill="auto"/>
            <w:noWrap w:val="0"/>
            <w:vAlign w:val="center"/>
          </w:tcPr>
          <w:p w14:paraId="3A581690">
            <w:pPr>
              <w:snapToGrid w:val="0"/>
              <w:ind w:left="0" w:leftChars="0" w:right="0" w:rightChars="0" w:firstLine="0" w:firstLineChars="0"/>
              <w:jc w:val="center"/>
              <w:rPr>
                <w:rFonts w:hint="eastAsia" w:asciiTheme="minorEastAsia" w:hAnsiTheme="minorEastAsia" w:eastAsiaTheme="minorEastAsia" w:cstheme="minorEastAsia"/>
                <w:color w:val="auto"/>
                <w:kern w:val="0"/>
                <w:position w:val="-1"/>
                <w:sz w:val="24"/>
                <w:szCs w:val="24"/>
                <w:lang w:val="en-US" w:eastAsia="zh-CN"/>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医共体管理平台</w:t>
            </w:r>
          </w:p>
        </w:tc>
        <w:tc>
          <w:tcPr>
            <w:tcW w:w="769" w:type="pct"/>
            <w:tcBorders>
              <w:tl2br w:val="nil"/>
              <w:tr2bl w:val="nil"/>
            </w:tcBorders>
            <w:noWrap w:val="0"/>
            <w:vAlign w:val="center"/>
          </w:tcPr>
          <w:p w14:paraId="0204C2AA">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kern w:val="0"/>
                <w:position w:val="-1"/>
                <w:sz w:val="24"/>
                <w:szCs w:val="24"/>
              </w:rPr>
            </w:pPr>
          </w:p>
        </w:tc>
        <w:tc>
          <w:tcPr>
            <w:tcW w:w="508" w:type="pct"/>
            <w:tcBorders>
              <w:tl2br w:val="nil"/>
              <w:tr2bl w:val="nil"/>
            </w:tcBorders>
            <w:noWrap w:val="0"/>
            <w:vAlign w:val="center"/>
          </w:tcPr>
          <w:p w14:paraId="64F90F8E">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351" w:type="pct"/>
            <w:tcBorders>
              <w:tl2br w:val="nil"/>
              <w:tr2bl w:val="nil"/>
            </w:tcBorders>
            <w:noWrap w:val="0"/>
            <w:vAlign w:val="center"/>
          </w:tcPr>
          <w:p w14:paraId="2A3FADFE">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1个</w:t>
            </w:r>
          </w:p>
        </w:tc>
        <w:tc>
          <w:tcPr>
            <w:tcW w:w="668" w:type="pct"/>
            <w:tcBorders>
              <w:tl2br w:val="nil"/>
              <w:tr2bl w:val="nil"/>
            </w:tcBorders>
            <w:noWrap w:val="0"/>
            <w:vAlign w:val="center"/>
          </w:tcPr>
          <w:p w14:paraId="27156E64">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643" w:type="pct"/>
            <w:tcBorders>
              <w:tl2br w:val="nil"/>
              <w:tr2bl w:val="nil"/>
            </w:tcBorders>
            <w:noWrap w:val="0"/>
            <w:vAlign w:val="center"/>
          </w:tcPr>
          <w:p w14:paraId="4380A3A1">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268" w:type="pct"/>
            <w:tcBorders>
              <w:tl2br w:val="nil"/>
              <w:tr2bl w:val="nil"/>
            </w:tcBorders>
            <w:noWrap w:val="0"/>
            <w:vAlign w:val="center"/>
          </w:tcPr>
          <w:p w14:paraId="468E7F4D">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r>
      <w:tr w14:paraId="6246C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exact"/>
          <w:jc w:val="center"/>
        </w:trPr>
        <w:tc>
          <w:tcPr>
            <w:tcW w:w="213" w:type="pct"/>
            <w:tcBorders>
              <w:tl2br w:val="nil"/>
              <w:tr2bl w:val="nil"/>
            </w:tcBorders>
            <w:noWrap w:val="0"/>
            <w:vAlign w:val="center"/>
          </w:tcPr>
          <w:p w14:paraId="3ED9DEC8">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p>
        </w:tc>
        <w:tc>
          <w:tcPr>
            <w:tcW w:w="3083" w:type="dxa"/>
            <w:tcBorders>
              <w:tl2br w:val="nil"/>
              <w:tr2bl w:val="nil"/>
            </w:tcBorders>
            <w:shd w:val="clear" w:color="auto" w:fill="auto"/>
            <w:noWrap w:val="0"/>
            <w:vAlign w:val="center"/>
          </w:tcPr>
          <w:p w14:paraId="2010129F">
            <w:pPr>
              <w:snapToGrid w:val="0"/>
              <w:ind w:left="0" w:leftChars="0" w:right="0" w:rightChars="0" w:firstLine="0" w:firstLineChars="0"/>
              <w:jc w:val="center"/>
              <w:rPr>
                <w:rFonts w:hint="eastAsia" w:asciiTheme="minorEastAsia" w:hAnsiTheme="minorEastAsia" w:eastAsiaTheme="minorEastAsia" w:cstheme="minorEastAsia"/>
                <w:color w:val="auto"/>
                <w:kern w:val="0"/>
                <w:position w:val="-1"/>
                <w:sz w:val="24"/>
                <w:szCs w:val="24"/>
                <w:lang w:val="en-US" w:eastAsia="zh-CN"/>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卫生统计与决策分析系统</w:t>
            </w:r>
          </w:p>
        </w:tc>
        <w:tc>
          <w:tcPr>
            <w:tcW w:w="769" w:type="pct"/>
            <w:tcBorders>
              <w:tl2br w:val="nil"/>
              <w:tr2bl w:val="nil"/>
            </w:tcBorders>
            <w:noWrap w:val="0"/>
            <w:vAlign w:val="center"/>
          </w:tcPr>
          <w:p w14:paraId="57A63B10">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kern w:val="0"/>
                <w:position w:val="-1"/>
                <w:sz w:val="24"/>
                <w:szCs w:val="24"/>
              </w:rPr>
            </w:pPr>
          </w:p>
        </w:tc>
        <w:tc>
          <w:tcPr>
            <w:tcW w:w="508" w:type="pct"/>
            <w:tcBorders>
              <w:tl2br w:val="nil"/>
              <w:tr2bl w:val="nil"/>
            </w:tcBorders>
            <w:noWrap w:val="0"/>
            <w:vAlign w:val="center"/>
          </w:tcPr>
          <w:p w14:paraId="160AB534">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351" w:type="pct"/>
            <w:tcBorders>
              <w:tl2br w:val="nil"/>
              <w:tr2bl w:val="nil"/>
            </w:tcBorders>
            <w:noWrap w:val="0"/>
            <w:vAlign w:val="center"/>
          </w:tcPr>
          <w:p w14:paraId="48B7087C">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1套</w:t>
            </w:r>
          </w:p>
        </w:tc>
        <w:tc>
          <w:tcPr>
            <w:tcW w:w="668" w:type="pct"/>
            <w:tcBorders>
              <w:tl2br w:val="nil"/>
              <w:tr2bl w:val="nil"/>
            </w:tcBorders>
            <w:noWrap w:val="0"/>
            <w:vAlign w:val="center"/>
          </w:tcPr>
          <w:p w14:paraId="2A76D939">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643" w:type="pct"/>
            <w:tcBorders>
              <w:tl2br w:val="nil"/>
              <w:tr2bl w:val="nil"/>
            </w:tcBorders>
            <w:noWrap w:val="0"/>
            <w:vAlign w:val="center"/>
          </w:tcPr>
          <w:p w14:paraId="2D94B4D4">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268" w:type="pct"/>
            <w:tcBorders>
              <w:tl2br w:val="nil"/>
              <w:tr2bl w:val="nil"/>
            </w:tcBorders>
            <w:noWrap w:val="0"/>
            <w:vAlign w:val="center"/>
          </w:tcPr>
          <w:p w14:paraId="47D70145">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r>
      <w:tr w14:paraId="30578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exact"/>
          <w:jc w:val="center"/>
        </w:trPr>
        <w:tc>
          <w:tcPr>
            <w:tcW w:w="213" w:type="pct"/>
            <w:tcBorders>
              <w:tl2br w:val="nil"/>
              <w:tr2bl w:val="nil"/>
            </w:tcBorders>
            <w:noWrap w:val="0"/>
            <w:vAlign w:val="center"/>
          </w:tcPr>
          <w:p w14:paraId="6D97B78E">
            <w:pPr>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w:t>
            </w:r>
          </w:p>
        </w:tc>
        <w:tc>
          <w:tcPr>
            <w:tcW w:w="3083" w:type="dxa"/>
            <w:tcBorders>
              <w:tl2br w:val="nil"/>
              <w:tr2bl w:val="nil"/>
            </w:tcBorders>
            <w:shd w:val="clear" w:color="auto" w:fill="auto"/>
            <w:noWrap w:val="0"/>
            <w:vAlign w:val="center"/>
          </w:tcPr>
          <w:p w14:paraId="4C06AE65">
            <w:pPr>
              <w:snapToGrid w:val="0"/>
              <w:ind w:left="0" w:leftChars="0" w:right="0" w:rightChars="0" w:firstLine="0" w:firstLineChars="0"/>
              <w:jc w:val="center"/>
              <w:rPr>
                <w:rFonts w:hint="eastAsia" w:asciiTheme="minorEastAsia" w:hAnsiTheme="minorEastAsia" w:eastAsiaTheme="minorEastAsia" w:cstheme="minorEastAsia"/>
                <w:color w:val="auto"/>
                <w:kern w:val="0"/>
                <w:position w:val="-1"/>
                <w:sz w:val="24"/>
                <w:szCs w:val="24"/>
                <w:lang w:val="en-US" w:eastAsia="zh-CN"/>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居民电子健康档案管理系统</w:t>
            </w:r>
          </w:p>
        </w:tc>
        <w:tc>
          <w:tcPr>
            <w:tcW w:w="769" w:type="pct"/>
            <w:tcBorders>
              <w:tl2br w:val="nil"/>
              <w:tr2bl w:val="nil"/>
            </w:tcBorders>
            <w:noWrap w:val="0"/>
            <w:vAlign w:val="center"/>
          </w:tcPr>
          <w:p w14:paraId="6B42F54A">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kern w:val="0"/>
                <w:position w:val="-1"/>
                <w:sz w:val="24"/>
                <w:szCs w:val="24"/>
              </w:rPr>
            </w:pPr>
          </w:p>
        </w:tc>
        <w:tc>
          <w:tcPr>
            <w:tcW w:w="508" w:type="pct"/>
            <w:tcBorders>
              <w:tl2br w:val="nil"/>
              <w:tr2bl w:val="nil"/>
            </w:tcBorders>
            <w:noWrap w:val="0"/>
            <w:vAlign w:val="center"/>
          </w:tcPr>
          <w:p w14:paraId="1EB5BBF6">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351" w:type="pct"/>
            <w:tcBorders>
              <w:tl2br w:val="nil"/>
              <w:tr2bl w:val="nil"/>
            </w:tcBorders>
            <w:noWrap w:val="0"/>
            <w:vAlign w:val="center"/>
          </w:tcPr>
          <w:p w14:paraId="583401C9">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1套</w:t>
            </w:r>
          </w:p>
        </w:tc>
        <w:tc>
          <w:tcPr>
            <w:tcW w:w="668" w:type="pct"/>
            <w:tcBorders>
              <w:tl2br w:val="nil"/>
              <w:tr2bl w:val="nil"/>
            </w:tcBorders>
            <w:noWrap w:val="0"/>
            <w:vAlign w:val="center"/>
          </w:tcPr>
          <w:p w14:paraId="07479344">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643" w:type="pct"/>
            <w:tcBorders>
              <w:tl2br w:val="nil"/>
              <w:tr2bl w:val="nil"/>
            </w:tcBorders>
            <w:noWrap w:val="0"/>
            <w:vAlign w:val="center"/>
          </w:tcPr>
          <w:p w14:paraId="0B55D610">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268" w:type="pct"/>
            <w:tcBorders>
              <w:tl2br w:val="nil"/>
              <w:tr2bl w:val="nil"/>
            </w:tcBorders>
            <w:noWrap w:val="0"/>
            <w:vAlign w:val="center"/>
          </w:tcPr>
          <w:p w14:paraId="7426BB2F">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r>
      <w:tr w14:paraId="069E1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exact"/>
          <w:jc w:val="center"/>
        </w:trPr>
        <w:tc>
          <w:tcPr>
            <w:tcW w:w="213" w:type="pct"/>
            <w:tcBorders>
              <w:tl2br w:val="nil"/>
              <w:tr2bl w:val="nil"/>
            </w:tcBorders>
            <w:noWrap w:val="0"/>
            <w:vAlign w:val="center"/>
          </w:tcPr>
          <w:p w14:paraId="57555F15">
            <w:pPr>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w:t>
            </w:r>
          </w:p>
        </w:tc>
        <w:tc>
          <w:tcPr>
            <w:tcW w:w="3083" w:type="dxa"/>
            <w:tcBorders>
              <w:tl2br w:val="nil"/>
              <w:tr2bl w:val="nil"/>
            </w:tcBorders>
            <w:shd w:val="clear" w:color="auto" w:fill="auto"/>
            <w:noWrap w:val="0"/>
            <w:vAlign w:val="center"/>
          </w:tcPr>
          <w:p w14:paraId="15DD8B7F">
            <w:pPr>
              <w:snapToGrid w:val="0"/>
              <w:ind w:left="0" w:leftChars="0" w:right="0" w:rightChars="0" w:firstLine="0" w:firstLineChars="0"/>
              <w:jc w:val="center"/>
              <w:rPr>
                <w:rFonts w:hint="eastAsia" w:asciiTheme="minorEastAsia" w:hAnsiTheme="minorEastAsia" w:eastAsiaTheme="minorEastAsia" w:cstheme="minorEastAsia"/>
                <w:color w:val="auto"/>
                <w:kern w:val="0"/>
                <w:position w:val="-1"/>
                <w:sz w:val="24"/>
                <w:szCs w:val="24"/>
                <w:lang w:val="en-US" w:eastAsia="zh-CN"/>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居民健康一卡通管理系统（含电子卡）</w:t>
            </w:r>
          </w:p>
        </w:tc>
        <w:tc>
          <w:tcPr>
            <w:tcW w:w="769" w:type="pct"/>
            <w:tcBorders>
              <w:tl2br w:val="nil"/>
              <w:tr2bl w:val="nil"/>
            </w:tcBorders>
            <w:noWrap w:val="0"/>
            <w:vAlign w:val="center"/>
          </w:tcPr>
          <w:p w14:paraId="259F1205">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kern w:val="0"/>
                <w:position w:val="-1"/>
                <w:sz w:val="24"/>
                <w:szCs w:val="24"/>
              </w:rPr>
            </w:pPr>
          </w:p>
        </w:tc>
        <w:tc>
          <w:tcPr>
            <w:tcW w:w="508" w:type="pct"/>
            <w:tcBorders>
              <w:tl2br w:val="nil"/>
              <w:tr2bl w:val="nil"/>
            </w:tcBorders>
            <w:noWrap w:val="0"/>
            <w:vAlign w:val="center"/>
          </w:tcPr>
          <w:p w14:paraId="4CFA6A66">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351" w:type="pct"/>
            <w:tcBorders>
              <w:tl2br w:val="nil"/>
              <w:tr2bl w:val="nil"/>
            </w:tcBorders>
            <w:noWrap w:val="0"/>
            <w:vAlign w:val="center"/>
          </w:tcPr>
          <w:p w14:paraId="6533AC62">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1套</w:t>
            </w:r>
          </w:p>
        </w:tc>
        <w:tc>
          <w:tcPr>
            <w:tcW w:w="668" w:type="pct"/>
            <w:tcBorders>
              <w:tl2br w:val="nil"/>
              <w:tr2bl w:val="nil"/>
            </w:tcBorders>
            <w:noWrap w:val="0"/>
            <w:vAlign w:val="center"/>
          </w:tcPr>
          <w:p w14:paraId="68B15E35">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643" w:type="pct"/>
            <w:tcBorders>
              <w:tl2br w:val="nil"/>
              <w:tr2bl w:val="nil"/>
            </w:tcBorders>
            <w:noWrap w:val="0"/>
            <w:vAlign w:val="center"/>
          </w:tcPr>
          <w:p w14:paraId="50E4ABEB">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268" w:type="pct"/>
            <w:tcBorders>
              <w:tl2br w:val="nil"/>
              <w:tr2bl w:val="nil"/>
            </w:tcBorders>
            <w:noWrap w:val="0"/>
            <w:vAlign w:val="center"/>
          </w:tcPr>
          <w:p w14:paraId="32A90A0E">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r>
      <w:tr w14:paraId="12749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exact"/>
          <w:jc w:val="center"/>
        </w:trPr>
        <w:tc>
          <w:tcPr>
            <w:tcW w:w="213" w:type="pct"/>
            <w:tcBorders>
              <w:tl2br w:val="nil"/>
              <w:tr2bl w:val="nil"/>
            </w:tcBorders>
            <w:noWrap w:val="0"/>
            <w:vAlign w:val="center"/>
          </w:tcPr>
          <w:p w14:paraId="138C49BC">
            <w:pPr>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w:t>
            </w:r>
          </w:p>
        </w:tc>
        <w:tc>
          <w:tcPr>
            <w:tcW w:w="3083" w:type="dxa"/>
            <w:tcBorders>
              <w:tl2br w:val="nil"/>
              <w:tr2bl w:val="nil"/>
            </w:tcBorders>
            <w:shd w:val="clear" w:color="auto" w:fill="auto"/>
            <w:noWrap w:val="0"/>
            <w:vAlign w:val="center"/>
          </w:tcPr>
          <w:p w14:paraId="0E80E118">
            <w:pPr>
              <w:snapToGrid w:val="0"/>
              <w:ind w:left="0" w:leftChars="0" w:right="0" w:rightChars="0" w:firstLine="0" w:firstLineChars="0"/>
              <w:jc w:val="center"/>
              <w:rPr>
                <w:rFonts w:hint="eastAsia" w:asciiTheme="minorEastAsia" w:hAnsiTheme="minorEastAsia" w:eastAsiaTheme="minorEastAsia" w:cstheme="minorEastAsia"/>
                <w:color w:val="auto"/>
                <w:kern w:val="0"/>
                <w:position w:val="-1"/>
                <w:sz w:val="24"/>
                <w:szCs w:val="24"/>
                <w:lang w:val="en-US" w:eastAsia="zh-CN"/>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可视化监管大屏系统</w:t>
            </w:r>
          </w:p>
        </w:tc>
        <w:tc>
          <w:tcPr>
            <w:tcW w:w="769" w:type="pct"/>
            <w:tcBorders>
              <w:tl2br w:val="nil"/>
              <w:tr2bl w:val="nil"/>
            </w:tcBorders>
            <w:noWrap w:val="0"/>
            <w:vAlign w:val="center"/>
          </w:tcPr>
          <w:p w14:paraId="611D99FF">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kern w:val="0"/>
                <w:position w:val="-1"/>
                <w:sz w:val="24"/>
                <w:szCs w:val="24"/>
              </w:rPr>
            </w:pPr>
          </w:p>
        </w:tc>
        <w:tc>
          <w:tcPr>
            <w:tcW w:w="508" w:type="pct"/>
            <w:tcBorders>
              <w:tl2br w:val="nil"/>
              <w:tr2bl w:val="nil"/>
            </w:tcBorders>
            <w:noWrap w:val="0"/>
            <w:vAlign w:val="center"/>
          </w:tcPr>
          <w:p w14:paraId="6E834CCA">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351" w:type="pct"/>
            <w:tcBorders>
              <w:tl2br w:val="nil"/>
              <w:tr2bl w:val="nil"/>
            </w:tcBorders>
            <w:noWrap w:val="0"/>
            <w:vAlign w:val="center"/>
          </w:tcPr>
          <w:p w14:paraId="6B2A25C4">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1套</w:t>
            </w:r>
          </w:p>
        </w:tc>
        <w:tc>
          <w:tcPr>
            <w:tcW w:w="668" w:type="pct"/>
            <w:tcBorders>
              <w:tl2br w:val="nil"/>
              <w:tr2bl w:val="nil"/>
            </w:tcBorders>
            <w:noWrap w:val="0"/>
            <w:vAlign w:val="center"/>
          </w:tcPr>
          <w:p w14:paraId="19798237">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643" w:type="pct"/>
            <w:tcBorders>
              <w:tl2br w:val="nil"/>
              <w:tr2bl w:val="nil"/>
            </w:tcBorders>
            <w:noWrap w:val="0"/>
            <w:vAlign w:val="center"/>
          </w:tcPr>
          <w:p w14:paraId="633C7299">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268" w:type="pct"/>
            <w:tcBorders>
              <w:tl2br w:val="nil"/>
              <w:tr2bl w:val="nil"/>
            </w:tcBorders>
            <w:noWrap w:val="0"/>
            <w:vAlign w:val="center"/>
          </w:tcPr>
          <w:p w14:paraId="7D827DEE">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r>
      <w:tr w14:paraId="0C463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exact"/>
          <w:jc w:val="center"/>
        </w:trPr>
        <w:tc>
          <w:tcPr>
            <w:tcW w:w="213" w:type="pct"/>
            <w:tcBorders>
              <w:tl2br w:val="nil"/>
              <w:tr2bl w:val="nil"/>
            </w:tcBorders>
            <w:noWrap w:val="0"/>
            <w:vAlign w:val="center"/>
          </w:tcPr>
          <w:p w14:paraId="63560494">
            <w:pPr>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w:t>
            </w:r>
          </w:p>
        </w:tc>
        <w:tc>
          <w:tcPr>
            <w:tcW w:w="3083" w:type="dxa"/>
            <w:tcBorders>
              <w:tl2br w:val="nil"/>
              <w:tr2bl w:val="nil"/>
            </w:tcBorders>
            <w:shd w:val="clear" w:color="auto" w:fill="auto"/>
            <w:noWrap w:val="0"/>
            <w:vAlign w:val="center"/>
          </w:tcPr>
          <w:p w14:paraId="0D52A6EB">
            <w:pPr>
              <w:snapToGrid w:val="0"/>
              <w:ind w:left="0" w:leftChars="0" w:right="0" w:rightChars="0" w:firstLine="0" w:firstLineChars="0"/>
              <w:jc w:val="center"/>
              <w:rPr>
                <w:rFonts w:hint="eastAsia" w:asciiTheme="minorEastAsia" w:hAnsiTheme="minorEastAsia" w:eastAsiaTheme="minorEastAsia" w:cstheme="minorEastAsia"/>
                <w:color w:val="auto"/>
                <w:kern w:val="0"/>
                <w:position w:val="-1"/>
                <w:sz w:val="24"/>
                <w:szCs w:val="24"/>
                <w:lang w:val="en-US" w:eastAsia="zh-CN"/>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便民惠民服务平台</w:t>
            </w:r>
          </w:p>
        </w:tc>
        <w:tc>
          <w:tcPr>
            <w:tcW w:w="769" w:type="pct"/>
            <w:tcBorders>
              <w:tl2br w:val="nil"/>
              <w:tr2bl w:val="nil"/>
            </w:tcBorders>
            <w:noWrap w:val="0"/>
            <w:vAlign w:val="center"/>
          </w:tcPr>
          <w:p w14:paraId="2D8E9E8F">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kern w:val="0"/>
                <w:position w:val="-1"/>
                <w:sz w:val="24"/>
                <w:szCs w:val="24"/>
              </w:rPr>
            </w:pPr>
          </w:p>
        </w:tc>
        <w:tc>
          <w:tcPr>
            <w:tcW w:w="508" w:type="pct"/>
            <w:tcBorders>
              <w:tl2br w:val="nil"/>
              <w:tr2bl w:val="nil"/>
            </w:tcBorders>
            <w:noWrap w:val="0"/>
            <w:vAlign w:val="center"/>
          </w:tcPr>
          <w:p w14:paraId="2A56C422">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351" w:type="pct"/>
            <w:tcBorders>
              <w:tl2br w:val="nil"/>
              <w:tr2bl w:val="nil"/>
            </w:tcBorders>
            <w:noWrap w:val="0"/>
            <w:vAlign w:val="center"/>
          </w:tcPr>
          <w:p w14:paraId="35F40AF3">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1个</w:t>
            </w:r>
          </w:p>
        </w:tc>
        <w:tc>
          <w:tcPr>
            <w:tcW w:w="668" w:type="pct"/>
            <w:tcBorders>
              <w:tl2br w:val="nil"/>
              <w:tr2bl w:val="nil"/>
            </w:tcBorders>
            <w:noWrap w:val="0"/>
            <w:vAlign w:val="center"/>
          </w:tcPr>
          <w:p w14:paraId="3312E31F">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643" w:type="pct"/>
            <w:tcBorders>
              <w:tl2br w:val="nil"/>
              <w:tr2bl w:val="nil"/>
            </w:tcBorders>
            <w:noWrap w:val="0"/>
            <w:vAlign w:val="center"/>
          </w:tcPr>
          <w:p w14:paraId="33C233F2">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268" w:type="pct"/>
            <w:tcBorders>
              <w:tl2br w:val="nil"/>
              <w:tr2bl w:val="nil"/>
            </w:tcBorders>
            <w:noWrap w:val="0"/>
            <w:vAlign w:val="center"/>
          </w:tcPr>
          <w:p w14:paraId="68A8F6EE">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r>
      <w:tr w14:paraId="39A9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exact"/>
          <w:jc w:val="center"/>
        </w:trPr>
        <w:tc>
          <w:tcPr>
            <w:tcW w:w="213" w:type="pct"/>
            <w:tcBorders>
              <w:tl2br w:val="nil"/>
              <w:tr2bl w:val="nil"/>
            </w:tcBorders>
            <w:noWrap w:val="0"/>
            <w:vAlign w:val="center"/>
          </w:tcPr>
          <w:p w14:paraId="020BCC51">
            <w:pPr>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7</w:t>
            </w:r>
          </w:p>
        </w:tc>
        <w:tc>
          <w:tcPr>
            <w:tcW w:w="3083" w:type="dxa"/>
            <w:tcBorders>
              <w:tl2br w:val="nil"/>
              <w:tr2bl w:val="nil"/>
            </w:tcBorders>
            <w:shd w:val="clear" w:color="auto" w:fill="auto"/>
            <w:noWrap w:val="0"/>
            <w:vAlign w:val="center"/>
          </w:tcPr>
          <w:p w14:paraId="3853DF78">
            <w:pPr>
              <w:snapToGrid w:val="0"/>
              <w:ind w:left="0" w:leftChars="0" w:right="0" w:rightChars="0" w:firstLine="0" w:firstLineChars="0"/>
              <w:jc w:val="center"/>
              <w:rPr>
                <w:rFonts w:hint="eastAsia" w:asciiTheme="minorEastAsia" w:hAnsiTheme="minorEastAsia" w:eastAsiaTheme="minorEastAsia" w:cstheme="minorEastAsia"/>
                <w:color w:val="auto"/>
                <w:kern w:val="0"/>
                <w:position w:val="-1"/>
                <w:sz w:val="24"/>
                <w:szCs w:val="24"/>
                <w:lang w:val="en-US" w:eastAsia="zh-CN"/>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医保结算清单系统</w:t>
            </w:r>
          </w:p>
        </w:tc>
        <w:tc>
          <w:tcPr>
            <w:tcW w:w="769" w:type="pct"/>
            <w:tcBorders>
              <w:tl2br w:val="nil"/>
              <w:tr2bl w:val="nil"/>
            </w:tcBorders>
            <w:noWrap w:val="0"/>
            <w:vAlign w:val="center"/>
          </w:tcPr>
          <w:p w14:paraId="1BE20174">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kern w:val="0"/>
                <w:position w:val="-1"/>
                <w:sz w:val="24"/>
                <w:szCs w:val="24"/>
              </w:rPr>
            </w:pPr>
          </w:p>
        </w:tc>
        <w:tc>
          <w:tcPr>
            <w:tcW w:w="508" w:type="pct"/>
            <w:tcBorders>
              <w:tl2br w:val="nil"/>
              <w:tr2bl w:val="nil"/>
            </w:tcBorders>
            <w:noWrap w:val="0"/>
            <w:vAlign w:val="center"/>
          </w:tcPr>
          <w:p w14:paraId="1D0C6BB2">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351" w:type="pct"/>
            <w:tcBorders>
              <w:tl2br w:val="nil"/>
              <w:tr2bl w:val="nil"/>
            </w:tcBorders>
            <w:noWrap w:val="0"/>
            <w:vAlign w:val="center"/>
          </w:tcPr>
          <w:p w14:paraId="413AA45E">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1套</w:t>
            </w:r>
          </w:p>
        </w:tc>
        <w:tc>
          <w:tcPr>
            <w:tcW w:w="668" w:type="pct"/>
            <w:tcBorders>
              <w:tl2br w:val="nil"/>
              <w:tr2bl w:val="nil"/>
            </w:tcBorders>
            <w:noWrap w:val="0"/>
            <w:vAlign w:val="center"/>
          </w:tcPr>
          <w:p w14:paraId="6EF544EB">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643" w:type="pct"/>
            <w:tcBorders>
              <w:tl2br w:val="nil"/>
              <w:tr2bl w:val="nil"/>
            </w:tcBorders>
            <w:noWrap w:val="0"/>
            <w:vAlign w:val="center"/>
          </w:tcPr>
          <w:p w14:paraId="4FBF7BC6">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268" w:type="pct"/>
            <w:tcBorders>
              <w:tl2br w:val="nil"/>
              <w:tr2bl w:val="nil"/>
            </w:tcBorders>
            <w:noWrap w:val="0"/>
            <w:vAlign w:val="center"/>
          </w:tcPr>
          <w:p w14:paraId="0A0A6E06">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r>
      <w:tr w14:paraId="0FD6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exact"/>
          <w:jc w:val="center"/>
        </w:trPr>
        <w:tc>
          <w:tcPr>
            <w:tcW w:w="213" w:type="pct"/>
            <w:tcBorders>
              <w:tl2br w:val="nil"/>
              <w:tr2bl w:val="nil"/>
            </w:tcBorders>
            <w:noWrap w:val="0"/>
            <w:vAlign w:val="center"/>
          </w:tcPr>
          <w:p w14:paraId="07136C6F">
            <w:pPr>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8</w:t>
            </w:r>
          </w:p>
        </w:tc>
        <w:tc>
          <w:tcPr>
            <w:tcW w:w="3083" w:type="dxa"/>
            <w:tcBorders>
              <w:tl2br w:val="nil"/>
              <w:tr2bl w:val="nil"/>
            </w:tcBorders>
            <w:shd w:val="clear" w:color="auto" w:fill="auto"/>
            <w:noWrap w:val="0"/>
            <w:vAlign w:val="center"/>
          </w:tcPr>
          <w:p w14:paraId="3294966E">
            <w:pPr>
              <w:snapToGrid w:val="0"/>
              <w:ind w:left="0" w:leftChars="0" w:right="0" w:rightChars="0" w:firstLine="0" w:firstLineChars="0"/>
              <w:jc w:val="center"/>
              <w:rPr>
                <w:rFonts w:hint="eastAsia" w:asciiTheme="minorEastAsia" w:hAnsiTheme="minorEastAsia" w:eastAsiaTheme="minorEastAsia" w:cstheme="minorEastAsia"/>
                <w:color w:val="auto"/>
                <w:kern w:val="0"/>
                <w:position w:val="-1"/>
                <w:sz w:val="24"/>
                <w:szCs w:val="24"/>
                <w:lang w:val="en-US" w:eastAsia="zh-CN"/>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医共体检验中心系统</w:t>
            </w:r>
          </w:p>
        </w:tc>
        <w:tc>
          <w:tcPr>
            <w:tcW w:w="769" w:type="pct"/>
            <w:tcBorders>
              <w:tl2br w:val="nil"/>
              <w:tr2bl w:val="nil"/>
            </w:tcBorders>
            <w:noWrap w:val="0"/>
            <w:vAlign w:val="center"/>
          </w:tcPr>
          <w:p w14:paraId="2F11DD5F">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kern w:val="0"/>
                <w:position w:val="-1"/>
                <w:sz w:val="24"/>
                <w:szCs w:val="24"/>
              </w:rPr>
            </w:pPr>
          </w:p>
        </w:tc>
        <w:tc>
          <w:tcPr>
            <w:tcW w:w="508" w:type="pct"/>
            <w:tcBorders>
              <w:tl2br w:val="nil"/>
              <w:tr2bl w:val="nil"/>
            </w:tcBorders>
            <w:noWrap w:val="0"/>
            <w:vAlign w:val="center"/>
          </w:tcPr>
          <w:p w14:paraId="73CB0534">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351" w:type="pct"/>
            <w:tcBorders>
              <w:tl2br w:val="nil"/>
              <w:tr2bl w:val="nil"/>
            </w:tcBorders>
            <w:noWrap w:val="0"/>
            <w:vAlign w:val="center"/>
          </w:tcPr>
          <w:p w14:paraId="334DC651">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1套</w:t>
            </w:r>
          </w:p>
        </w:tc>
        <w:tc>
          <w:tcPr>
            <w:tcW w:w="668" w:type="pct"/>
            <w:tcBorders>
              <w:tl2br w:val="nil"/>
              <w:tr2bl w:val="nil"/>
            </w:tcBorders>
            <w:noWrap w:val="0"/>
            <w:vAlign w:val="center"/>
          </w:tcPr>
          <w:p w14:paraId="65B04C0D">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643" w:type="pct"/>
            <w:tcBorders>
              <w:tl2br w:val="nil"/>
              <w:tr2bl w:val="nil"/>
            </w:tcBorders>
            <w:noWrap w:val="0"/>
            <w:vAlign w:val="center"/>
          </w:tcPr>
          <w:p w14:paraId="66696B92">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268" w:type="pct"/>
            <w:tcBorders>
              <w:tl2br w:val="nil"/>
              <w:tr2bl w:val="nil"/>
            </w:tcBorders>
            <w:noWrap w:val="0"/>
            <w:vAlign w:val="center"/>
          </w:tcPr>
          <w:p w14:paraId="6C76A905">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r>
      <w:tr w14:paraId="2AD0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exact"/>
          <w:jc w:val="center"/>
        </w:trPr>
        <w:tc>
          <w:tcPr>
            <w:tcW w:w="213" w:type="pct"/>
            <w:tcBorders>
              <w:tl2br w:val="nil"/>
              <w:tr2bl w:val="nil"/>
            </w:tcBorders>
            <w:noWrap w:val="0"/>
            <w:vAlign w:val="center"/>
          </w:tcPr>
          <w:p w14:paraId="52095D55">
            <w:pPr>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w:t>
            </w:r>
          </w:p>
        </w:tc>
        <w:tc>
          <w:tcPr>
            <w:tcW w:w="3083" w:type="dxa"/>
            <w:tcBorders>
              <w:tl2br w:val="nil"/>
              <w:tr2bl w:val="nil"/>
            </w:tcBorders>
            <w:shd w:val="clear" w:color="auto" w:fill="auto"/>
            <w:noWrap w:val="0"/>
            <w:vAlign w:val="center"/>
          </w:tcPr>
          <w:p w14:paraId="58FA9098">
            <w:pPr>
              <w:snapToGrid w:val="0"/>
              <w:ind w:left="0" w:leftChars="0" w:right="0" w:rightChars="0" w:firstLine="0" w:firstLineChars="0"/>
              <w:jc w:val="center"/>
              <w:rPr>
                <w:rFonts w:hint="eastAsia" w:asciiTheme="minorEastAsia" w:hAnsiTheme="minorEastAsia" w:eastAsiaTheme="minorEastAsia" w:cstheme="minorEastAsia"/>
                <w:color w:val="auto"/>
                <w:kern w:val="0"/>
                <w:position w:val="-1"/>
                <w:sz w:val="24"/>
                <w:szCs w:val="24"/>
                <w:lang w:val="en-US" w:eastAsia="zh-CN"/>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医共体中心药房系统</w:t>
            </w:r>
          </w:p>
        </w:tc>
        <w:tc>
          <w:tcPr>
            <w:tcW w:w="769" w:type="pct"/>
            <w:tcBorders>
              <w:tl2br w:val="nil"/>
              <w:tr2bl w:val="nil"/>
            </w:tcBorders>
            <w:noWrap w:val="0"/>
            <w:vAlign w:val="center"/>
          </w:tcPr>
          <w:p w14:paraId="423881A0">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kern w:val="0"/>
                <w:position w:val="-1"/>
                <w:sz w:val="24"/>
                <w:szCs w:val="24"/>
              </w:rPr>
            </w:pPr>
          </w:p>
        </w:tc>
        <w:tc>
          <w:tcPr>
            <w:tcW w:w="508" w:type="pct"/>
            <w:tcBorders>
              <w:tl2br w:val="nil"/>
              <w:tr2bl w:val="nil"/>
            </w:tcBorders>
            <w:noWrap w:val="0"/>
            <w:vAlign w:val="center"/>
          </w:tcPr>
          <w:p w14:paraId="07AD55D2">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351" w:type="pct"/>
            <w:tcBorders>
              <w:tl2br w:val="nil"/>
              <w:tr2bl w:val="nil"/>
            </w:tcBorders>
            <w:noWrap w:val="0"/>
            <w:vAlign w:val="center"/>
          </w:tcPr>
          <w:p w14:paraId="661AD515">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1套</w:t>
            </w:r>
          </w:p>
        </w:tc>
        <w:tc>
          <w:tcPr>
            <w:tcW w:w="668" w:type="pct"/>
            <w:tcBorders>
              <w:tl2br w:val="nil"/>
              <w:tr2bl w:val="nil"/>
            </w:tcBorders>
            <w:noWrap w:val="0"/>
            <w:vAlign w:val="center"/>
          </w:tcPr>
          <w:p w14:paraId="4D9DDAE1">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643" w:type="pct"/>
            <w:tcBorders>
              <w:tl2br w:val="nil"/>
              <w:tr2bl w:val="nil"/>
            </w:tcBorders>
            <w:noWrap w:val="0"/>
            <w:vAlign w:val="center"/>
          </w:tcPr>
          <w:p w14:paraId="329917F0">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268" w:type="pct"/>
            <w:tcBorders>
              <w:tl2br w:val="nil"/>
              <w:tr2bl w:val="nil"/>
            </w:tcBorders>
            <w:noWrap w:val="0"/>
            <w:vAlign w:val="center"/>
          </w:tcPr>
          <w:p w14:paraId="3E506E80">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r>
      <w:tr w14:paraId="7D95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exact"/>
          <w:jc w:val="center"/>
        </w:trPr>
        <w:tc>
          <w:tcPr>
            <w:tcW w:w="213" w:type="pct"/>
            <w:tcBorders>
              <w:tl2br w:val="nil"/>
              <w:tr2bl w:val="nil"/>
            </w:tcBorders>
            <w:noWrap w:val="0"/>
            <w:vAlign w:val="center"/>
          </w:tcPr>
          <w:p w14:paraId="70DB9E1C">
            <w:pPr>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10</w:t>
            </w:r>
          </w:p>
        </w:tc>
        <w:tc>
          <w:tcPr>
            <w:tcW w:w="3083" w:type="dxa"/>
            <w:tcBorders>
              <w:tl2br w:val="nil"/>
              <w:tr2bl w:val="nil"/>
            </w:tcBorders>
            <w:shd w:val="clear" w:color="auto" w:fill="auto"/>
            <w:noWrap w:val="0"/>
            <w:vAlign w:val="center"/>
          </w:tcPr>
          <w:p w14:paraId="49DAD140">
            <w:pPr>
              <w:snapToGrid w:val="0"/>
              <w:ind w:left="0" w:leftChars="0" w:right="0" w:rightChars="0" w:firstLine="0" w:firstLineChars="0"/>
              <w:jc w:val="center"/>
              <w:rPr>
                <w:rFonts w:hint="eastAsia" w:asciiTheme="minorEastAsia" w:hAnsiTheme="minorEastAsia" w:eastAsiaTheme="minorEastAsia" w:cstheme="minorEastAsia"/>
                <w:color w:val="auto"/>
                <w:kern w:val="0"/>
                <w:position w:val="-1"/>
                <w:sz w:val="24"/>
                <w:szCs w:val="24"/>
                <w:lang w:val="en-US" w:eastAsia="zh-CN"/>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区域审方中心系统</w:t>
            </w:r>
          </w:p>
        </w:tc>
        <w:tc>
          <w:tcPr>
            <w:tcW w:w="769" w:type="pct"/>
            <w:tcBorders>
              <w:tl2br w:val="nil"/>
              <w:tr2bl w:val="nil"/>
            </w:tcBorders>
            <w:noWrap w:val="0"/>
            <w:vAlign w:val="center"/>
          </w:tcPr>
          <w:p w14:paraId="4C1AA343">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kern w:val="0"/>
                <w:position w:val="-1"/>
                <w:sz w:val="24"/>
                <w:szCs w:val="24"/>
              </w:rPr>
            </w:pPr>
          </w:p>
        </w:tc>
        <w:tc>
          <w:tcPr>
            <w:tcW w:w="508" w:type="pct"/>
            <w:tcBorders>
              <w:tl2br w:val="nil"/>
              <w:tr2bl w:val="nil"/>
            </w:tcBorders>
            <w:noWrap w:val="0"/>
            <w:vAlign w:val="center"/>
          </w:tcPr>
          <w:p w14:paraId="7B0DDD39">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351" w:type="pct"/>
            <w:tcBorders>
              <w:tl2br w:val="nil"/>
              <w:tr2bl w:val="nil"/>
            </w:tcBorders>
            <w:noWrap w:val="0"/>
            <w:vAlign w:val="center"/>
          </w:tcPr>
          <w:p w14:paraId="4FA1BEAE">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1套</w:t>
            </w:r>
          </w:p>
        </w:tc>
        <w:tc>
          <w:tcPr>
            <w:tcW w:w="668" w:type="pct"/>
            <w:tcBorders>
              <w:tl2br w:val="nil"/>
              <w:tr2bl w:val="nil"/>
            </w:tcBorders>
            <w:noWrap w:val="0"/>
            <w:vAlign w:val="center"/>
          </w:tcPr>
          <w:p w14:paraId="62C494D0">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643" w:type="pct"/>
            <w:tcBorders>
              <w:tl2br w:val="nil"/>
              <w:tr2bl w:val="nil"/>
            </w:tcBorders>
            <w:noWrap w:val="0"/>
            <w:vAlign w:val="center"/>
          </w:tcPr>
          <w:p w14:paraId="4EC23A1B">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268" w:type="pct"/>
            <w:tcBorders>
              <w:tl2br w:val="nil"/>
              <w:tr2bl w:val="nil"/>
            </w:tcBorders>
            <w:noWrap w:val="0"/>
            <w:vAlign w:val="center"/>
          </w:tcPr>
          <w:p w14:paraId="4708F84A">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r>
      <w:tr w14:paraId="1D62E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exact"/>
          <w:jc w:val="center"/>
        </w:trPr>
        <w:tc>
          <w:tcPr>
            <w:tcW w:w="213" w:type="pct"/>
            <w:tcBorders>
              <w:tl2br w:val="nil"/>
              <w:tr2bl w:val="nil"/>
            </w:tcBorders>
            <w:noWrap w:val="0"/>
            <w:vAlign w:val="center"/>
          </w:tcPr>
          <w:p w14:paraId="71C0BF8D">
            <w:pPr>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11</w:t>
            </w:r>
          </w:p>
        </w:tc>
        <w:tc>
          <w:tcPr>
            <w:tcW w:w="3083" w:type="dxa"/>
            <w:tcBorders>
              <w:tl2br w:val="nil"/>
              <w:tr2bl w:val="nil"/>
            </w:tcBorders>
            <w:shd w:val="clear" w:color="auto" w:fill="auto"/>
            <w:noWrap w:val="0"/>
            <w:vAlign w:val="center"/>
          </w:tcPr>
          <w:p w14:paraId="204C3886">
            <w:pPr>
              <w:snapToGrid w:val="0"/>
              <w:ind w:left="0" w:leftChars="0" w:right="0" w:rightChars="0" w:firstLine="0" w:firstLineChars="0"/>
              <w:jc w:val="center"/>
              <w:rPr>
                <w:rFonts w:hint="eastAsia" w:asciiTheme="minorEastAsia" w:hAnsiTheme="minorEastAsia" w:eastAsiaTheme="minorEastAsia" w:cstheme="minorEastAsia"/>
                <w:color w:val="auto"/>
                <w:kern w:val="0"/>
                <w:position w:val="-1"/>
                <w:sz w:val="24"/>
                <w:szCs w:val="24"/>
                <w:lang w:val="en-US" w:eastAsia="zh-CN"/>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病案管理系统</w:t>
            </w:r>
          </w:p>
        </w:tc>
        <w:tc>
          <w:tcPr>
            <w:tcW w:w="769" w:type="pct"/>
            <w:tcBorders>
              <w:tl2br w:val="nil"/>
              <w:tr2bl w:val="nil"/>
            </w:tcBorders>
            <w:noWrap w:val="0"/>
            <w:vAlign w:val="center"/>
          </w:tcPr>
          <w:p w14:paraId="245325EF">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kern w:val="0"/>
                <w:position w:val="-1"/>
                <w:sz w:val="24"/>
                <w:szCs w:val="24"/>
              </w:rPr>
            </w:pPr>
          </w:p>
        </w:tc>
        <w:tc>
          <w:tcPr>
            <w:tcW w:w="508" w:type="pct"/>
            <w:tcBorders>
              <w:tl2br w:val="nil"/>
              <w:tr2bl w:val="nil"/>
            </w:tcBorders>
            <w:noWrap w:val="0"/>
            <w:vAlign w:val="center"/>
          </w:tcPr>
          <w:p w14:paraId="42DC9196">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351" w:type="pct"/>
            <w:tcBorders>
              <w:tl2br w:val="nil"/>
              <w:tr2bl w:val="nil"/>
            </w:tcBorders>
            <w:noWrap w:val="0"/>
            <w:vAlign w:val="center"/>
          </w:tcPr>
          <w:p w14:paraId="06C73256">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1套</w:t>
            </w:r>
          </w:p>
        </w:tc>
        <w:tc>
          <w:tcPr>
            <w:tcW w:w="668" w:type="pct"/>
            <w:tcBorders>
              <w:tl2br w:val="nil"/>
              <w:tr2bl w:val="nil"/>
            </w:tcBorders>
            <w:noWrap w:val="0"/>
            <w:vAlign w:val="center"/>
          </w:tcPr>
          <w:p w14:paraId="7DE151F1">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643" w:type="pct"/>
            <w:tcBorders>
              <w:tl2br w:val="nil"/>
              <w:tr2bl w:val="nil"/>
            </w:tcBorders>
            <w:noWrap w:val="0"/>
            <w:vAlign w:val="center"/>
          </w:tcPr>
          <w:p w14:paraId="40FBECDA">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268" w:type="pct"/>
            <w:tcBorders>
              <w:tl2br w:val="nil"/>
              <w:tr2bl w:val="nil"/>
            </w:tcBorders>
            <w:noWrap w:val="0"/>
            <w:vAlign w:val="center"/>
          </w:tcPr>
          <w:p w14:paraId="30A78571">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r>
      <w:tr w14:paraId="74F89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exact"/>
          <w:jc w:val="center"/>
        </w:trPr>
        <w:tc>
          <w:tcPr>
            <w:tcW w:w="213" w:type="pct"/>
            <w:tcBorders>
              <w:tl2br w:val="nil"/>
              <w:tr2bl w:val="nil"/>
            </w:tcBorders>
            <w:noWrap w:val="0"/>
            <w:vAlign w:val="center"/>
          </w:tcPr>
          <w:p w14:paraId="533FFC7D">
            <w:pPr>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12</w:t>
            </w:r>
          </w:p>
        </w:tc>
        <w:tc>
          <w:tcPr>
            <w:tcW w:w="3083" w:type="dxa"/>
            <w:tcBorders>
              <w:tl2br w:val="nil"/>
              <w:tr2bl w:val="nil"/>
            </w:tcBorders>
            <w:shd w:val="clear" w:color="auto" w:fill="auto"/>
            <w:noWrap w:val="0"/>
            <w:vAlign w:val="center"/>
          </w:tcPr>
          <w:p w14:paraId="12F9F9AA">
            <w:pPr>
              <w:snapToGrid w:val="0"/>
              <w:ind w:left="0" w:leftChars="0" w:right="0" w:rightChars="0" w:firstLine="0" w:firstLineChars="0"/>
              <w:jc w:val="center"/>
              <w:rPr>
                <w:rFonts w:hint="eastAsia" w:asciiTheme="minorEastAsia" w:hAnsiTheme="minorEastAsia" w:eastAsiaTheme="minorEastAsia" w:cstheme="minorEastAsia"/>
                <w:color w:val="auto"/>
                <w:kern w:val="0"/>
                <w:position w:val="-1"/>
                <w:sz w:val="24"/>
                <w:szCs w:val="24"/>
                <w:lang w:val="en-US" w:eastAsia="zh-CN"/>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慢病管控平台</w:t>
            </w:r>
          </w:p>
        </w:tc>
        <w:tc>
          <w:tcPr>
            <w:tcW w:w="769" w:type="pct"/>
            <w:tcBorders>
              <w:tl2br w:val="nil"/>
              <w:tr2bl w:val="nil"/>
            </w:tcBorders>
            <w:noWrap w:val="0"/>
            <w:vAlign w:val="center"/>
          </w:tcPr>
          <w:p w14:paraId="49A7402F">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kern w:val="0"/>
                <w:position w:val="-1"/>
                <w:sz w:val="24"/>
                <w:szCs w:val="24"/>
              </w:rPr>
            </w:pPr>
          </w:p>
        </w:tc>
        <w:tc>
          <w:tcPr>
            <w:tcW w:w="508" w:type="pct"/>
            <w:tcBorders>
              <w:tl2br w:val="nil"/>
              <w:tr2bl w:val="nil"/>
            </w:tcBorders>
            <w:noWrap w:val="0"/>
            <w:vAlign w:val="center"/>
          </w:tcPr>
          <w:p w14:paraId="07D739A9">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351" w:type="pct"/>
            <w:tcBorders>
              <w:tl2br w:val="nil"/>
              <w:tr2bl w:val="nil"/>
            </w:tcBorders>
            <w:noWrap w:val="0"/>
            <w:vAlign w:val="center"/>
          </w:tcPr>
          <w:p w14:paraId="33D7C9F9">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1套</w:t>
            </w:r>
          </w:p>
        </w:tc>
        <w:tc>
          <w:tcPr>
            <w:tcW w:w="668" w:type="pct"/>
            <w:tcBorders>
              <w:tl2br w:val="nil"/>
              <w:tr2bl w:val="nil"/>
            </w:tcBorders>
            <w:noWrap w:val="0"/>
            <w:vAlign w:val="center"/>
          </w:tcPr>
          <w:p w14:paraId="2D69F019">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643" w:type="pct"/>
            <w:tcBorders>
              <w:tl2br w:val="nil"/>
              <w:tr2bl w:val="nil"/>
            </w:tcBorders>
            <w:noWrap w:val="0"/>
            <w:vAlign w:val="center"/>
          </w:tcPr>
          <w:p w14:paraId="3E34359B">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268" w:type="pct"/>
            <w:tcBorders>
              <w:tl2br w:val="nil"/>
              <w:tr2bl w:val="nil"/>
            </w:tcBorders>
            <w:noWrap w:val="0"/>
            <w:vAlign w:val="center"/>
          </w:tcPr>
          <w:p w14:paraId="182E2941">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r>
      <w:tr w14:paraId="3753D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exact"/>
          <w:jc w:val="center"/>
        </w:trPr>
        <w:tc>
          <w:tcPr>
            <w:tcW w:w="213" w:type="pct"/>
            <w:tcBorders>
              <w:tl2br w:val="nil"/>
              <w:tr2bl w:val="nil"/>
            </w:tcBorders>
            <w:noWrap w:val="0"/>
            <w:vAlign w:val="center"/>
          </w:tcPr>
          <w:p w14:paraId="6E619EF9">
            <w:pPr>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13</w:t>
            </w:r>
          </w:p>
        </w:tc>
        <w:tc>
          <w:tcPr>
            <w:tcW w:w="3083" w:type="dxa"/>
            <w:tcBorders>
              <w:tl2br w:val="nil"/>
              <w:tr2bl w:val="nil"/>
            </w:tcBorders>
            <w:shd w:val="clear" w:color="auto" w:fill="auto"/>
            <w:noWrap w:val="0"/>
            <w:vAlign w:val="center"/>
          </w:tcPr>
          <w:p w14:paraId="2F2EE368">
            <w:pPr>
              <w:snapToGrid w:val="0"/>
              <w:ind w:left="0" w:leftChars="0" w:right="0" w:rightChars="0" w:firstLine="0" w:firstLineChars="0"/>
              <w:jc w:val="center"/>
              <w:rPr>
                <w:rFonts w:hint="eastAsia" w:asciiTheme="minorEastAsia" w:hAnsiTheme="minorEastAsia" w:eastAsiaTheme="minorEastAsia" w:cstheme="minorEastAsia"/>
                <w:color w:val="auto"/>
                <w:kern w:val="0"/>
                <w:position w:val="-1"/>
                <w:sz w:val="24"/>
                <w:szCs w:val="24"/>
                <w:lang w:val="en-US" w:eastAsia="zh-CN"/>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药品、耗材追溯</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码管理系统</w:t>
            </w:r>
          </w:p>
        </w:tc>
        <w:tc>
          <w:tcPr>
            <w:tcW w:w="769" w:type="pct"/>
            <w:tcBorders>
              <w:tl2br w:val="nil"/>
              <w:tr2bl w:val="nil"/>
            </w:tcBorders>
            <w:noWrap w:val="0"/>
            <w:vAlign w:val="center"/>
          </w:tcPr>
          <w:p w14:paraId="76FE2CB2">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kern w:val="0"/>
                <w:position w:val="-1"/>
                <w:sz w:val="24"/>
                <w:szCs w:val="24"/>
              </w:rPr>
            </w:pPr>
          </w:p>
        </w:tc>
        <w:tc>
          <w:tcPr>
            <w:tcW w:w="508" w:type="pct"/>
            <w:tcBorders>
              <w:tl2br w:val="nil"/>
              <w:tr2bl w:val="nil"/>
            </w:tcBorders>
            <w:noWrap w:val="0"/>
            <w:vAlign w:val="center"/>
          </w:tcPr>
          <w:p w14:paraId="1657AFFB">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351" w:type="pct"/>
            <w:tcBorders>
              <w:tl2br w:val="nil"/>
              <w:tr2bl w:val="nil"/>
            </w:tcBorders>
            <w:noWrap w:val="0"/>
            <w:vAlign w:val="center"/>
          </w:tcPr>
          <w:p w14:paraId="048341AB">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1套</w:t>
            </w:r>
          </w:p>
        </w:tc>
        <w:tc>
          <w:tcPr>
            <w:tcW w:w="668" w:type="pct"/>
            <w:tcBorders>
              <w:tl2br w:val="nil"/>
              <w:tr2bl w:val="nil"/>
            </w:tcBorders>
            <w:noWrap w:val="0"/>
            <w:vAlign w:val="center"/>
          </w:tcPr>
          <w:p w14:paraId="2607015C">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643" w:type="pct"/>
            <w:tcBorders>
              <w:tl2br w:val="nil"/>
              <w:tr2bl w:val="nil"/>
            </w:tcBorders>
            <w:noWrap w:val="0"/>
            <w:vAlign w:val="center"/>
          </w:tcPr>
          <w:p w14:paraId="6A1E7C76">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268" w:type="pct"/>
            <w:tcBorders>
              <w:tl2br w:val="nil"/>
              <w:tr2bl w:val="nil"/>
            </w:tcBorders>
            <w:noWrap w:val="0"/>
            <w:vAlign w:val="center"/>
          </w:tcPr>
          <w:p w14:paraId="17074EB5">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r>
      <w:tr w14:paraId="0BA37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exact"/>
          <w:jc w:val="center"/>
        </w:trPr>
        <w:tc>
          <w:tcPr>
            <w:tcW w:w="213" w:type="pct"/>
            <w:tcBorders>
              <w:tl2br w:val="nil"/>
              <w:tr2bl w:val="nil"/>
            </w:tcBorders>
            <w:noWrap w:val="0"/>
            <w:vAlign w:val="center"/>
          </w:tcPr>
          <w:p w14:paraId="02315098">
            <w:pPr>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14</w:t>
            </w:r>
          </w:p>
        </w:tc>
        <w:tc>
          <w:tcPr>
            <w:tcW w:w="3083" w:type="dxa"/>
            <w:tcBorders>
              <w:tl2br w:val="nil"/>
              <w:tr2bl w:val="nil"/>
            </w:tcBorders>
            <w:shd w:val="clear" w:color="auto" w:fill="auto"/>
            <w:noWrap w:val="0"/>
            <w:vAlign w:val="center"/>
          </w:tcPr>
          <w:p w14:paraId="084F460C">
            <w:pPr>
              <w:snapToGrid w:val="0"/>
              <w:ind w:left="0" w:leftChars="0" w:right="0" w:rightChars="0" w:firstLine="0" w:firstLineChars="0"/>
              <w:jc w:val="center"/>
              <w:rPr>
                <w:rFonts w:hint="eastAsia" w:asciiTheme="minorEastAsia" w:hAnsiTheme="minorEastAsia" w:eastAsiaTheme="minorEastAsia" w:cstheme="minorEastAsia"/>
                <w:color w:val="auto"/>
                <w:kern w:val="0"/>
                <w:position w:val="-1"/>
                <w:sz w:val="24"/>
                <w:szCs w:val="24"/>
                <w:lang w:val="en-US" w:eastAsia="zh-CN"/>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基层智能辅助诊疗系统对接</w:t>
            </w:r>
          </w:p>
        </w:tc>
        <w:tc>
          <w:tcPr>
            <w:tcW w:w="769" w:type="pct"/>
            <w:tcBorders>
              <w:tl2br w:val="nil"/>
              <w:tr2bl w:val="nil"/>
            </w:tcBorders>
            <w:noWrap w:val="0"/>
            <w:vAlign w:val="center"/>
          </w:tcPr>
          <w:p w14:paraId="15D3D91D">
            <w:pPr>
              <w:autoSpaceDE w:val="0"/>
              <w:autoSpaceDN w:val="0"/>
              <w:adjustRightInd w:val="0"/>
              <w:snapToGrid w:val="0"/>
              <w:spacing w:line="240" w:lineRule="auto"/>
              <w:ind w:right="-20"/>
              <w:jc w:val="center"/>
              <w:rPr>
                <w:rFonts w:hint="eastAsia" w:asciiTheme="minorEastAsia" w:hAnsiTheme="minorEastAsia" w:eastAsiaTheme="minorEastAsia" w:cstheme="minorEastAsia"/>
                <w:color w:val="auto"/>
                <w:kern w:val="0"/>
                <w:position w:val="-1"/>
                <w:sz w:val="24"/>
                <w:szCs w:val="24"/>
              </w:rPr>
            </w:pPr>
          </w:p>
        </w:tc>
        <w:tc>
          <w:tcPr>
            <w:tcW w:w="508" w:type="pct"/>
            <w:tcBorders>
              <w:tl2br w:val="nil"/>
              <w:tr2bl w:val="nil"/>
            </w:tcBorders>
            <w:noWrap w:val="0"/>
            <w:vAlign w:val="center"/>
          </w:tcPr>
          <w:p w14:paraId="41D54666">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351" w:type="pct"/>
            <w:tcBorders>
              <w:tl2br w:val="nil"/>
              <w:tr2bl w:val="nil"/>
            </w:tcBorders>
            <w:noWrap w:val="0"/>
            <w:vAlign w:val="center"/>
          </w:tcPr>
          <w:p w14:paraId="70865F7C">
            <w:pPr>
              <w:autoSpaceDE w:val="0"/>
              <w:autoSpaceDN w:val="0"/>
              <w:adjustRightInd w:val="0"/>
              <w:snapToGrid w:val="0"/>
              <w:spacing w:line="240" w:lineRule="auto"/>
              <w:ind w:right="-2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1套</w:t>
            </w:r>
          </w:p>
        </w:tc>
        <w:tc>
          <w:tcPr>
            <w:tcW w:w="668" w:type="pct"/>
            <w:tcBorders>
              <w:tl2br w:val="nil"/>
              <w:tr2bl w:val="nil"/>
            </w:tcBorders>
            <w:noWrap w:val="0"/>
            <w:vAlign w:val="center"/>
          </w:tcPr>
          <w:p w14:paraId="0896C914">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643" w:type="pct"/>
            <w:tcBorders>
              <w:tl2br w:val="nil"/>
              <w:tr2bl w:val="nil"/>
            </w:tcBorders>
            <w:noWrap w:val="0"/>
            <w:vAlign w:val="center"/>
          </w:tcPr>
          <w:p w14:paraId="54F3EF9D">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c>
          <w:tcPr>
            <w:tcW w:w="268" w:type="pct"/>
            <w:tcBorders>
              <w:tl2br w:val="nil"/>
              <w:tr2bl w:val="nil"/>
            </w:tcBorders>
            <w:noWrap w:val="0"/>
            <w:vAlign w:val="center"/>
          </w:tcPr>
          <w:p w14:paraId="700D0693">
            <w:pPr>
              <w:autoSpaceDE w:val="0"/>
              <w:autoSpaceDN w:val="0"/>
              <w:adjustRightInd w:val="0"/>
              <w:snapToGrid w:val="0"/>
              <w:spacing w:line="240" w:lineRule="auto"/>
              <w:jc w:val="center"/>
              <w:rPr>
                <w:rFonts w:hint="eastAsia" w:asciiTheme="minorEastAsia" w:hAnsiTheme="minorEastAsia" w:eastAsiaTheme="minorEastAsia" w:cstheme="minorEastAsia"/>
                <w:color w:val="auto"/>
                <w:kern w:val="0"/>
                <w:sz w:val="24"/>
                <w:szCs w:val="24"/>
              </w:rPr>
            </w:pPr>
          </w:p>
        </w:tc>
      </w:tr>
      <w:tr w14:paraId="79AEC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exact"/>
          <w:jc w:val="center"/>
        </w:trPr>
        <w:tc>
          <w:tcPr>
            <w:tcW w:w="5000" w:type="pct"/>
            <w:gridSpan w:val="8"/>
            <w:tcBorders>
              <w:tl2br w:val="nil"/>
              <w:tr2bl w:val="nil"/>
            </w:tcBorders>
            <w:noWrap w:val="0"/>
            <w:vAlign w:val="center"/>
          </w:tcPr>
          <w:p w14:paraId="46696E18">
            <w:pPr>
              <w:autoSpaceDE w:val="0"/>
              <w:autoSpaceDN w:val="0"/>
              <w:adjustRightInd w:val="0"/>
              <w:snapToGrid w:val="0"/>
              <w:spacing w:line="240" w:lineRule="auto"/>
              <w:ind w:firstLine="2811" w:firstLineChars="1000"/>
              <w:jc w:val="both"/>
              <w:rPr>
                <w:rFonts w:hint="eastAsia" w:asciiTheme="minorEastAsia" w:hAnsiTheme="minorEastAsia" w:eastAsiaTheme="minorEastAsia" w:cstheme="minorEastAsia"/>
                <w:color w:val="auto"/>
                <w:kern w:val="0"/>
                <w:sz w:val="24"/>
                <w:szCs w:val="24"/>
                <w:lang w:val="en-US" w:eastAsia="zh-CN"/>
              </w:rPr>
            </w:pPr>
            <w:r>
              <w:rPr>
                <w:rFonts w:hint="eastAsia" w:asciiTheme="minorEastAsia" w:hAnsiTheme="minorEastAsia" w:eastAsiaTheme="minorEastAsia" w:cstheme="minorEastAsia"/>
                <w:b/>
                <w:bCs/>
                <w:color w:val="auto"/>
                <w:kern w:val="0"/>
                <w:sz w:val="28"/>
                <w:szCs w:val="28"/>
                <w:lang w:val="en-US" w:eastAsia="zh-CN"/>
              </w:rPr>
              <w:t>总报价：</w:t>
            </w:r>
          </w:p>
        </w:tc>
      </w:tr>
    </w:tbl>
    <w:p w14:paraId="0D1F8F54">
      <w:pPr>
        <w:adjustRightInd w:val="0"/>
        <w:snapToGrid w:val="0"/>
        <w:spacing w:before="50" w:line="288" w:lineRule="auto"/>
        <w:ind w:right="-6"/>
        <w:rPr>
          <w:rFonts w:hint="eastAsia" w:asciiTheme="minorEastAsia" w:hAnsiTheme="minorEastAsia" w:eastAsiaTheme="minorEastAsia" w:cstheme="minorEastAsia"/>
          <w:bCs/>
          <w:color w:val="000000" w:themeColor="text1"/>
          <w:sz w:val="22"/>
          <w:szCs w:val="22"/>
          <w14:textFill>
            <w14:solidFill>
              <w14:schemeClr w14:val="tx1"/>
            </w14:solidFill>
          </w14:textFill>
        </w:rPr>
      </w:pPr>
      <w:r>
        <w:rPr>
          <w:rFonts w:hint="eastAsia" w:asciiTheme="minorEastAsia" w:hAnsiTheme="minorEastAsia" w:eastAsiaTheme="minorEastAsia" w:cstheme="minorEastAsia"/>
          <w:bCs/>
          <w:color w:val="000000" w:themeColor="text1"/>
          <w:sz w:val="22"/>
          <w:szCs w:val="22"/>
          <w14:textFill>
            <w14:solidFill>
              <w14:schemeClr w14:val="tx1"/>
            </w14:solidFill>
          </w14:textFill>
        </w:rPr>
        <w:t>备注：1.</w:t>
      </w:r>
      <w:r>
        <w:rPr>
          <w:rFonts w:hint="eastAsia" w:asciiTheme="minorEastAsia" w:hAnsiTheme="minorEastAsia" w:eastAsiaTheme="minorEastAsia" w:cstheme="minorEastAsia"/>
          <w:b/>
          <w:color w:val="000000" w:themeColor="text1"/>
          <w:sz w:val="22"/>
          <w:szCs w:val="22"/>
          <w14:textFill>
            <w14:solidFill>
              <w14:schemeClr w14:val="tx1"/>
            </w14:solidFill>
          </w14:textFill>
        </w:rPr>
        <w:t>本表应对应“开标一览表”</w:t>
      </w:r>
      <w:r>
        <w:rPr>
          <w:rFonts w:hint="eastAsia" w:asciiTheme="minorEastAsia" w:hAnsiTheme="minorEastAsia" w:eastAsiaTheme="minorEastAsia" w:cstheme="minorEastAsia"/>
          <w:bCs/>
          <w:color w:val="000000" w:themeColor="text1"/>
          <w:sz w:val="22"/>
          <w:szCs w:val="22"/>
          <w14:textFill>
            <w14:solidFill>
              <w14:schemeClr w14:val="tx1"/>
            </w14:solidFill>
          </w14:textFill>
        </w:rPr>
        <w:t>。投标人如果不提供分项报价明细表，其投标无效。</w:t>
      </w:r>
    </w:p>
    <w:p w14:paraId="0ECA40AB">
      <w:pPr>
        <w:adjustRightInd w:val="0"/>
        <w:snapToGrid w:val="0"/>
        <w:spacing w:before="50" w:line="288" w:lineRule="auto"/>
        <w:ind w:right="-6" w:firstLine="442" w:firstLineChars="201"/>
        <w:rPr>
          <w:rFonts w:hint="eastAsia" w:asciiTheme="minorEastAsia" w:hAnsiTheme="minorEastAsia" w:eastAsiaTheme="minorEastAsia" w:cstheme="minorEastAsia"/>
          <w:bCs/>
          <w:color w:val="000000" w:themeColor="text1"/>
          <w:sz w:val="22"/>
          <w:szCs w:val="22"/>
          <w14:textFill>
            <w14:solidFill>
              <w14:schemeClr w14:val="tx1"/>
            </w14:solidFill>
          </w14:textFill>
        </w:rPr>
      </w:pPr>
      <w:r>
        <w:rPr>
          <w:rFonts w:hint="eastAsia" w:asciiTheme="minorEastAsia" w:hAnsiTheme="minorEastAsia" w:eastAsiaTheme="minorEastAsia" w:cstheme="minorEastAsia"/>
          <w:bCs/>
          <w:color w:val="000000" w:themeColor="text1"/>
          <w:sz w:val="22"/>
          <w:szCs w:val="22"/>
          <w14:textFill>
            <w14:solidFill>
              <w14:schemeClr w14:val="tx1"/>
            </w14:solidFill>
          </w14:textFill>
        </w:rPr>
        <w:t>2.不得填写“免费”或“</w:t>
      </w:r>
      <w:r>
        <w:rPr>
          <w:rFonts w:hint="eastAsia" w:asciiTheme="minorEastAsia" w:hAnsiTheme="minorEastAsia" w:eastAsiaTheme="minorEastAsia" w:cstheme="minorEastAsia"/>
          <w:bCs/>
          <w:color w:val="000000" w:themeColor="text1"/>
          <w:sz w:val="22"/>
          <w:szCs w:val="22"/>
          <w:lang w:eastAsia="zh-CN"/>
          <w14:textFill>
            <w14:solidFill>
              <w14:schemeClr w14:val="tx1"/>
            </w14:solidFill>
          </w14:textFill>
        </w:rPr>
        <w:t>赠予</w:t>
      </w:r>
      <w:r>
        <w:rPr>
          <w:rFonts w:hint="eastAsia" w:asciiTheme="minorEastAsia" w:hAnsiTheme="minorEastAsia" w:eastAsiaTheme="minorEastAsia" w:cstheme="minorEastAsia"/>
          <w:bCs/>
          <w:color w:val="000000" w:themeColor="text1"/>
          <w:sz w:val="22"/>
          <w:szCs w:val="22"/>
          <w14:textFill>
            <w14:solidFill>
              <w14:schemeClr w14:val="tx1"/>
            </w14:solidFill>
          </w14:textFill>
        </w:rPr>
        <w:t>”，也不得进行“零”报价，否则投标无效。</w:t>
      </w:r>
    </w:p>
    <w:p w14:paraId="17159CBB">
      <w:pPr>
        <w:adjustRightInd w:val="0"/>
        <w:snapToGrid w:val="0"/>
        <w:spacing w:before="50" w:line="288" w:lineRule="auto"/>
        <w:ind w:right="-6" w:firstLine="440" w:firstLineChars="200"/>
        <w:rPr>
          <w:rFonts w:hint="eastAsia" w:asciiTheme="minorEastAsia" w:hAnsiTheme="minorEastAsia" w:eastAsiaTheme="minorEastAsia" w:cstheme="minorEastAsia"/>
          <w:bCs/>
          <w:color w:val="000000" w:themeColor="text1"/>
          <w:sz w:val="22"/>
          <w:szCs w:val="22"/>
          <w14:textFill>
            <w14:solidFill>
              <w14:schemeClr w14:val="tx1"/>
            </w14:solidFill>
          </w14:textFill>
        </w:rPr>
      </w:pPr>
      <w:r>
        <w:rPr>
          <w:rFonts w:hint="eastAsia" w:asciiTheme="minorEastAsia" w:hAnsiTheme="minorEastAsia" w:eastAsiaTheme="minorEastAsia" w:cstheme="minorEastAsia"/>
          <w:bCs/>
          <w:color w:val="000000" w:themeColor="text1"/>
          <w:sz w:val="22"/>
          <w:szCs w:val="22"/>
          <w14:textFill>
            <w14:solidFill>
              <w14:schemeClr w14:val="tx1"/>
            </w14:solidFill>
          </w14:textFill>
        </w:rPr>
        <w:t>3.如果开标一览表内容与本表内容不一致的，以开标一览表内容为准。</w:t>
      </w:r>
    </w:p>
    <w:p w14:paraId="4586A7FF">
      <w:pPr>
        <w:adjustRightInd w:val="0"/>
        <w:snapToGrid w:val="0"/>
        <w:spacing w:before="50" w:line="360" w:lineRule="auto"/>
        <w:ind w:right="-6" w:firstLine="440" w:firstLineChars="200"/>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2"/>
          <w:szCs w:val="22"/>
          <w14:textFill>
            <w14:solidFill>
              <w14:schemeClr w14:val="tx1"/>
            </w14:solidFill>
          </w14:textFill>
        </w:rPr>
        <w:t>4.投标人在投标截止时间前修改“开标一览表”中的投标报价的，应按第二章第13.7款规定修改本表相应内容。否则，本表相应内容按投标报价修改的相同比例进行调整。</w:t>
      </w:r>
    </w:p>
    <w:p w14:paraId="2E8DCE42">
      <w:pPr>
        <w:adjustRightInd w:val="0"/>
        <w:snapToGrid w:val="0"/>
        <w:spacing w:line="360" w:lineRule="auto"/>
        <w:ind w:firstLine="482" w:firstLineChars="200"/>
        <w:rPr>
          <w:rFonts w:hint="eastAsia" w:asciiTheme="minorEastAsia" w:hAnsiTheme="minorEastAsia" w:eastAsiaTheme="minorEastAsia" w:cstheme="minorEastAsia"/>
          <w:b/>
          <w:bCs/>
          <w:color w:val="000000" w:themeColor="text1"/>
          <w:sz w:val="24"/>
          <w14:textFill>
            <w14:solidFill>
              <w14:schemeClr w14:val="tx1"/>
            </w14:solidFill>
          </w14:textFill>
        </w:rPr>
      </w:pPr>
    </w:p>
    <w:p w14:paraId="45839388">
      <w:pPr>
        <w:adjustRightInd w:val="0"/>
        <w:snapToGrid w:val="0"/>
        <w:spacing w:line="360" w:lineRule="auto"/>
        <w:ind w:firstLine="482" w:firstLineChars="200"/>
        <w:rPr>
          <w:rFonts w:hint="eastAsia" w:asciiTheme="minorEastAsia" w:hAnsiTheme="minorEastAsia" w:eastAsiaTheme="minorEastAsia" w:cstheme="minorEastAsia"/>
          <w:b/>
          <w:bCs/>
          <w:color w:val="000000" w:themeColor="text1"/>
          <w:sz w:val="24"/>
          <w:u w:val="single"/>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投标人名称（盖单位公章）：</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p>
    <w:p w14:paraId="63BFA9BC">
      <w:pPr>
        <w:adjustRightInd w:val="0"/>
        <w:snapToGrid w:val="0"/>
        <w:spacing w:line="360" w:lineRule="auto"/>
        <w:ind w:firstLine="482" w:firstLineChars="200"/>
        <w:rPr>
          <w:rFonts w:hint="eastAsia" w:asciiTheme="minorEastAsia" w:hAnsiTheme="minorEastAsia" w:eastAsiaTheme="minorEastAsia" w:cstheme="minorEastAsia"/>
          <w:b/>
          <w:bCs/>
          <w:color w:val="000000" w:themeColor="text1"/>
          <w:sz w:val="24"/>
          <w:u w:val="single"/>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法定代表人（单位负责人）或其授权的代理人（签字或印章）：</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p>
    <w:p w14:paraId="4ADF8FA0">
      <w:pPr>
        <w:adjustRightInd w:val="0"/>
        <w:snapToGrid w:val="0"/>
        <w:spacing w:line="360" w:lineRule="auto"/>
        <w:ind w:firstLine="482" w:firstLineChars="200"/>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日 期：</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年</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月</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日</w:t>
      </w:r>
    </w:p>
    <w:p w14:paraId="58CF57BD">
      <w:pPr>
        <w:rPr>
          <w:rFonts w:hint="eastAsia" w:asciiTheme="minorEastAsia" w:hAnsiTheme="minorEastAsia" w:eastAsiaTheme="minorEastAsia" w:cstheme="minorEastAsia"/>
          <w:sz w:val="32"/>
          <w:szCs w:val="40"/>
        </w:rPr>
        <w:sectPr>
          <w:headerReference r:id="rId8" w:type="default"/>
          <w:footerReference r:id="rId9" w:type="default"/>
          <w:pgSz w:w="11906" w:h="16838"/>
          <w:pgMar w:top="1417" w:right="1037" w:bottom="1417" w:left="1270" w:header="1020" w:footer="964" w:gutter="0"/>
          <w:pgBorders>
            <w:top w:val="none" w:sz="0" w:space="0"/>
            <w:left w:val="none" w:sz="0" w:space="0"/>
            <w:bottom w:val="none" w:sz="0" w:space="0"/>
            <w:right w:val="none" w:sz="0" w:space="0"/>
          </w:pgBorders>
          <w:pgNumType w:fmt="decimal"/>
          <w:cols w:space="0" w:num="1"/>
          <w:docGrid w:type="lines" w:linePitch="312" w:charSpace="0"/>
        </w:sectPr>
      </w:pPr>
      <w:bookmarkStart w:id="383" w:name="_Toc28359"/>
      <w:r>
        <w:rPr>
          <w:rFonts w:hint="eastAsia" w:asciiTheme="minorEastAsia" w:hAnsiTheme="minorEastAsia" w:eastAsiaTheme="minorEastAsia" w:cstheme="minorEastAsia"/>
          <w:sz w:val="32"/>
          <w:szCs w:val="40"/>
        </w:rPr>
        <w:br w:type="page"/>
      </w:r>
    </w:p>
    <w:p w14:paraId="7768F31B">
      <w:pPr>
        <w:pStyle w:val="4"/>
        <w:spacing w:line="600" w:lineRule="auto"/>
        <w:jc w:val="center"/>
        <w:rPr>
          <w:rFonts w:hint="eastAsia" w:asciiTheme="minorEastAsia" w:hAnsiTheme="minorEastAsia" w:eastAsiaTheme="minorEastAsia" w:cstheme="minorEastAsia"/>
          <w:sz w:val="32"/>
          <w:szCs w:val="40"/>
        </w:rPr>
      </w:pPr>
      <w:bookmarkStart w:id="384" w:name="_Toc31025"/>
      <w:r>
        <w:rPr>
          <w:rFonts w:hint="eastAsia" w:asciiTheme="minorEastAsia" w:hAnsiTheme="minorEastAsia" w:eastAsiaTheme="minorEastAsia" w:cstheme="minorEastAsia"/>
          <w:sz w:val="32"/>
          <w:szCs w:val="40"/>
        </w:rPr>
        <w:t>七、合同条款偏离表</w:t>
      </w:r>
      <w:bookmarkEnd w:id="383"/>
      <w:bookmarkEnd w:id="384"/>
    </w:p>
    <w:p w14:paraId="10433E09">
      <w:pP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sz w:val="24"/>
        </w:rPr>
        <w:t>项目名称</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 xml:space="preserve">        政府采购计划编号：</w:t>
      </w:r>
      <w:r>
        <w:rPr>
          <w:rFonts w:hint="eastAsia" w:asciiTheme="minorEastAsia" w:hAnsiTheme="minorEastAsia" w:eastAsiaTheme="minorEastAsia" w:cstheme="minorEastAsia"/>
          <w:sz w:val="24"/>
          <w:u w:val="single"/>
        </w:rPr>
        <w:t xml:space="preserve">              </w:t>
      </w:r>
    </w:p>
    <w:tbl>
      <w:tblPr>
        <w:tblStyle w:val="90"/>
        <w:tblW w:w="9694"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40"/>
        <w:gridCol w:w="2592"/>
        <w:gridCol w:w="2134"/>
        <w:gridCol w:w="2239"/>
        <w:gridCol w:w="2089"/>
      </w:tblGrid>
      <w:tr w14:paraId="2AB44B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trPr>
        <w:tc>
          <w:tcPr>
            <w:tcW w:w="640" w:type="dxa"/>
            <w:vAlign w:val="center"/>
          </w:tcPr>
          <w:p w14:paraId="7EAF900B">
            <w:pPr>
              <w:jc w:val="center"/>
              <w:rPr>
                <w:rFonts w:hint="eastAsia" w:asciiTheme="minorEastAsia" w:hAnsiTheme="minorEastAsia" w:eastAsiaTheme="minorEastAsia" w:cstheme="minorEastAsia"/>
                <w:sz w:val="22"/>
                <w:szCs w:val="28"/>
              </w:rPr>
            </w:pPr>
            <w:r>
              <w:rPr>
                <w:rFonts w:hint="eastAsia" w:asciiTheme="minorEastAsia" w:hAnsiTheme="minorEastAsia" w:eastAsiaTheme="minorEastAsia" w:cstheme="minorEastAsia"/>
                <w:sz w:val="24"/>
                <w:szCs w:val="32"/>
              </w:rPr>
              <w:t>序号</w:t>
            </w:r>
          </w:p>
        </w:tc>
        <w:tc>
          <w:tcPr>
            <w:tcW w:w="2592" w:type="dxa"/>
            <w:vAlign w:val="center"/>
          </w:tcPr>
          <w:p w14:paraId="3035FFB7">
            <w:pPr>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招标文件章节条款号</w:t>
            </w:r>
          </w:p>
        </w:tc>
        <w:tc>
          <w:tcPr>
            <w:tcW w:w="2134" w:type="dxa"/>
            <w:vAlign w:val="center"/>
          </w:tcPr>
          <w:p w14:paraId="229FE3ED">
            <w:pPr>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招标文件要求</w:t>
            </w:r>
          </w:p>
        </w:tc>
        <w:tc>
          <w:tcPr>
            <w:tcW w:w="2239" w:type="dxa"/>
            <w:tcBorders>
              <w:right w:val="single" w:color="auto" w:sz="4" w:space="0"/>
            </w:tcBorders>
            <w:vAlign w:val="center"/>
          </w:tcPr>
          <w:p w14:paraId="6AF7C9C5">
            <w:pPr>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投标文件的应答</w:t>
            </w:r>
          </w:p>
        </w:tc>
        <w:tc>
          <w:tcPr>
            <w:tcW w:w="2089" w:type="dxa"/>
            <w:tcBorders>
              <w:left w:val="single" w:color="auto" w:sz="4" w:space="0"/>
            </w:tcBorders>
            <w:vAlign w:val="center"/>
          </w:tcPr>
          <w:p w14:paraId="3F048021">
            <w:pPr>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偏离说明</w:t>
            </w:r>
          </w:p>
        </w:tc>
      </w:tr>
      <w:tr w14:paraId="34080F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640" w:type="dxa"/>
            <w:vAlign w:val="center"/>
          </w:tcPr>
          <w:p w14:paraId="61C815F2">
            <w:pPr>
              <w:jc w:val="center"/>
              <w:rPr>
                <w:rFonts w:hint="eastAsia" w:asciiTheme="minorEastAsia" w:hAnsiTheme="minorEastAsia" w:eastAsiaTheme="minorEastAsia" w:cstheme="minorEastAsia"/>
              </w:rPr>
            </w:pPr>
          </w:p>
        </w:tc>
        <w:tc>
          <w:tcPr>
            <w:tcW w:w="2592" w:type="dxa"/>
            <w:vAlign w:val="center"/>
          </w:tcPr>
          <w:p w14:paraId="53FEC68B">
            <w:pPr>
              <w:jc w:val="center"/>
              <w:rPr>
                <w:rFonts w:hint="eastAsia" w:asciiTheme="minorEastAsia" w:hAnsiTheme="minorEastAsia" w:eastAsiaTheme="minorEastAsia" w:cstheme="minorEastAsia"/>
              </w:rPr>
            </w:pPr>
          </w:p>
        </w:tc>
        <w:tc>
          <w:tcPr>
            <w:tcW w:w="2134" w:type="dxa"/>
            <w:vAlign w:val="center"/>
          </w:tcPr>
          <w:p w14:paraId="7013B655">
            <w:pPr>
              <w:jc w:val="center"/>
              <w:rPr>
                <w:rFonts w:hint="eastAsia" w:asciiTheme="minorEastAsia" w:hAnsiTheme="minorEastAsia" w:eastAsiaTheme="minorEastAsia" w:cstheme="minorEastAsia"/>
              </w:rPr>
            </w:pPr>
          </w:p>
        </w:tc>
        <w:tc>
          <w:tcPr>
            <w:tcW w:w="2239" w:type="dxa"/>
            <w:tcBorders>
              <w:right w:val="single" w:color="auto" w:sz="4" w:space="0"/>
            </w:tcBorders>
            <w:vAlign w:val="center"/>
          </w:tcPr>
          <w:p w14:paraId="3F46D40A">
            <w:pPr>
              <w:jc w:val="center"/>
              <w:rPr>
                <w:rFonts w:hint="eastAsia" w:asciiTheme="minorEastAsia" w:hAnsiTheme="minorEastAsia" w:eastAsiaTheme="minorEastAsia" w:cstheme="minorEastAsia"/>
              </w:rPr>
            </w:pPr>
          </w:p>
        </w:tc>
        <w:tc>
          <w:tcPr>
            <w:tcW w:w="2089" w:type="dxa"/>
            <w:tcBorders>
              <w:left w:val="single" w:color="auto" w:sz="4" w:space="0"/>
            </w:tcBorders>
            <w:vAlign w:val="center"/>
          </w:tcPr>
          <w:p w14:paraId="1B415289">
            <w:pPr>
              <w:jc w:val="center"/>
              <w:rPr>
                <w:rFonts w:hint="eastAsia" w:asciiTheme="minorEastAsia" w:hAnsiTheme="minorEastAsia" w:eastAsiaTheme="minorEastAsia" w:cstheme="minorEastAsia"/>
              </w:rPr>
            </w:pPr>
          </w:p>
        </w:tc>
      </w:tr>
      <w:tr w14:paraId="10B490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1" w:hRule="atLeast"/>
        </w:trPr>
        <w:tc>
          <w:tcPr>
            <w:tcW w:w="640" w:type="dxa"/>
            <w:vAlign w:val="center"/>
          </w:tcPr>
          <w:p w14:paraId="3447E1D8">
            <w:pPr>
              <w:jc w:val="center"/>
              <w:rPr>
                <w:rFonts w:hint="eastAsia" w:asciiTheme="minorEastAsia" w:hAnsiTheme="minorEastAsia" w:eastAsiaTheme="minorEastAsia" w:cstheme="minorEastAsia"/>
              </w:rPr>
            </w:pPr>
          </w:p>
        </w:tc>
        <w:tc>
          <w:tcPr>
            <w:tcW w:w="2592" w:type="dxa"/>
            <w:vAlign w:val="center"/>
          </w:tcPr>
          <w:p w14:paraId="44AFD95C">
            <w:pPr>
              <w:jc w:val="center"/>
              <w:rPr>
                <w:rFonts w:hint="eastAsia" w:asciiTheme="minorEastAsia" w:hAnsiTheme="minorEastAsia" w:eastAsiaTheme="minorEastAsia" w:cstheme="minorEastAsia"/>
              </w:rPr>
            </w:pPr>
          </w:p>
        </w:tc>
        <w:tc>
          <w:tcPr>
            <w:tcW w:w="2134" w:type="dxa"/>
            <w:vAlign w:val="center"/>
          </w:tcPr>
          <w:p w14:paraId="2932799C">
            <w:pPr>
              <w:jc w:val="center"/>
              <w:rPr>
                <w:rFonts w:hint="eastAsia" w:asciiTheme="minorEastAsia" w:hAnsiTheme="minorEastAsia" w:eastAsiaTheme="minorEastAsia" w:cstheme="minorEastAsia"/>
              </w:rPr>
            </w:pPr>
          </w:p>
        </w:tc>
        <w:tc>
          <w:tcPr>
            <w:tcW w:w="2239" w:type="dxa"/>
            <w:tcBorders>
              <w:right w:val="single" w:color="auto" w:sz="4" w:space="0"/>
            </w:tcBorders>
            <w:vAlign w:val="center"/>
          </w:tcPr>
          <w:p w14:paraId="107031B0">
            <w:pPr>
              <w:jc w:val="center"/>
              <w:rPr>
                <w:rFonts w:hint="eastAsia" w:asciiTheme="minorEastAsia" w:hAnsiTheme="minorEastAsia" w:eastAsiaTheme="minorEastAsia" w:cstheme="minorEastAsia"/>
              </w:rPr>
            </w:pPr>
          </w:p>
        </w:tc>
        <w:tc>
          <w:tcPr>
            <w:tcW w:w="2089" w:type="dxa"/>
            <w:tcBorders>
              <w:left w:val="single" w:color="auto" w:sz="4" w:space="0"/>
            </w:tcBorders>
            <w:vAlign w:val="center"/>
          </w:tcPr>
          <w:p w14:paraId="3B2EE283">
            <w:pPr>
              <w:jc w:val="center"/>
              <w:rPr>
                <w:rFonts w:hint="eastAsia" w:asciiTheme="minorEastAsia" w:hAnsiTheme="minorEastAsia" w:eastAsiaTheme="minorEastAsia" w:cstheme="minorEastAsia"/>
              </w:rPr>
            </w:pPr>
          </w:p>
        </w:tc>
      </w:tr>
      <w:tr w14:paraId="10C036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640" w:type="dxa"/>
            <w:vAlign w:val="center"/>
          </w:tcPr>
          <w:p w14:paraId="7A1A9709">
            <w:pPr>
              <w:jc w:val="center"/>
              <w:rPr>
                <w:rFonts w:hint="eastAsia" w:asciiTheme="minorEastAsia" w:hAnsiTheme="minorEastAsia" w:eastAsiaTheme="minorEastAsia" w:cstheme="minorEastAsia"/>
              </w:rPr>
            </w:pPr>
          </w:p>
        </w:tc>
        <w:tc>
          <w:tcPr>
            <w:tcW w:w="2592" w:type="dxa"/>
            <w:vAlign w:val="center"/>
          </w:tcPr>
          <w:p w14:paraId="69213359">
            <w:pPr>
              <w:jc w:val="center"/>
              <w:rPr>
                <w:rFonts w:hint="eastAsia" w:asciiTheme="minorEastAsia" w:hAnsiTheme="minorEastAsia" w:eastAsiaTheme="minorEastAsia" w:cstheme="minorEastAsia"/>
              </w:rPr>
            </w:pPr>
          </w:p>
        </w:tc>
        <w:tc>
          <w:tcPr>
            <w:tcW w:w="2134" w:type="dxa"/>
            <w:vAlign w:val="center"/>
          </w:tcPr>
          <w:p w14:paraId="39BBB992">
            <w:pPr>
              <w:jc w:val="center"/>
              <w:rPr>
                <w:rFonts w:hint="eastAsia" w:asciiTheme="minorEastAsia" w:hAnsiTheme="minorEastAsia" w:eastAsiaTheme="minorEastAsia" w:cstheme="minorEastAsia"/>
              </w:rPr>
            </w:pPr>
          </w:p>
        </w:tc>
        <w:tc>
          <w:tcPr>
            <w:tcW w:w="2239" w:type="dxa"/>
            <w:tcBorders>
              <w:right w:val="single" w:color="auto" w:sz="4" w:space="0"/>
            </w:tcBorders>
            <w:vAlign w:val="center"/>
          </w:tcPr>
          <w:p w14:paraId="71CAE084">
            <w:pPr>
              <w:jc w:val="center"/>
              <w:rPr>
                <w:rFonts w:hint="eastAsia" w:asciiTheme="minorEastAsia" w:hAnsiTheme="minorEastAsia" w:eastAsiaTheme="minorEastAsia" w:cstheme="minorEastAsia"/>
              </w:rPr>
            </w:pPr>
          </w:p>
        </w:tc>
        <w:tc>
          <w:tcPr>
            <w:tcW w:w="2089" w:type="dxa"/>
            <w:tcBorders>
              <w:left w:val="single" w:color="auto" w:sz="4" w:space="0"/>
            </w:tcBorders>
            <w:vAlign w:val="center"/>
          </w:tcPr>
          <w:p w14:paraId="0F1416ED">
            <w:pPr>
              <w:jc w:val="center"/>
              <w:rPr>
                <w:rFonts w:hint="eastAsia" w:asciiTheme="minorEastAsia" w:hAnsiTheme="minorEastAsia" w:eastAsiaTheme="minorEastAsia" w:cstheme="minorEastAsia"/>
              </w:rPr>
            </w:pPr>
          </w:p>
        </w:tc>
      </w:tr>
      <w:tr w14:paraId="55FE14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640" w:type="dxa"/>
            <w:vAlign w:val="center"/>
          </w:tcPr>
          <w:p w14:paraId="38E5594D">
            <w:pPr>
              <w:jc w:val="center"/>
              <w:rPr>
                <w:rFonts w:hint="eastAsia" w:asciiTheme="minorEastAsia" w:hAnsiTheme="minorEastAsia" w:eastAsiaTheme="minorEastAsia" w:cstheme="minorEastAsia"/>
              </w:rPr>
            </w:pPr>
          </w:p>
        </w:tc>
        <w:tc>
          <w:tcPr>
            <w:tcW w:w="2592" w:type="dxa"/>
            <w:vAlign w:val="center"/>
          </w:tcPr>
          <w:p w14:paraId="519F9FA3">
            <w:pPr>
              <w:jc w:val="center"/>
              <w:rPr>
                <w:rFonts w:hint="eastAsia" w:asciiTheme="minorEastAsia" w:hAnsiTheme="minorEastAsia" w:eastAsiaTheme="minorEastAsia" w:cstheme="minorEastAsia"/>
              </w:rPr>
            </w:pPr>
          </w:p>
        </w:tc>
        <w:tc>
          <w:tcPr>
            <w:tcW w:w="2134" w:type="dxa"/>
            <w:vAlign w:val="center"/>
          </w:tcPr>
          <w:p w14:paraId="73BC00AF">
            <w:pPr>
              <w:jc w:val="center"/>
              <w:rPr>
                <w:rFonts w:hint="eastAsia" w:asciiTheme="minorEastAsia" w:hAnsiTheme="minorEastAsia" w:eastAsiaTheme="minorEastAsia" w:cstheme="minorEastAsia"/>
              </w:rPr>
            </w:pPr>
          </w:p>
        </w:tc>
        <w:tc>
          <w:tcPr>
            <w:tcW w:w="2239" w:type="dxa"/>
            <w:tcBorders>
              <w:right w:val="single" w:color="auto" w:sz="4" w:space="0"/>
            </w:tcBorders>
            <w:vAlign w:val="center"/>
          </w:tcPr>
          <w:p w14:paraId="0E733CED">
            <w:pPr>
              <w:jc w:val="center"/>
              <w:rPr>
                <w:rFonts w:hint="eastAsia" w:asciiTheme="minorEastAsia" w:hAnsiTheme="minorEastAsia" w:eastAsiaTheme="minorEastAsia" w:cstheme="minorEastAsia"/>
              </w:rPr>
            </w:pPr>
          </w:p>
        </w:tc>
        <w:tc>
          <w:tcPr>
            <w:tcW w:w="2089" w:type="dxa"/>
            <w:tcBorders>
              <w:left w:val="single" w:color="auto" w:sz="4" w:space="0"/>
            </w:tcBorders>
            <w:vAlign w:val="center"/>
          </w:tcPr>
          <w:p w14:paraId="75F5139B">
            <w:pPr>
              <w:jc w:val="center"/>
              <w:rPr>
                <w:rFonts w:hint="eastAsia" w:asciiTheme="minorEastAsia" w:hAnsiTheme="minorEastAsia" w:eastAsiaTheme="minorEastAsia" w:cstheme="minorEastAsia"/>
              </w:rPr>
            </w:pPr>
          </w:p>
        </w:tc>
      </w:tr>
      <w:tr w14:paraId="36BE63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640" w:type="dxa"/>
            <w:vAlign w:val="center"/>
          </w:tcPr>
          <w:p w14:paraId="0F6166E6">
            <w:pPr>
              <w:jc w:val="center"/>
              <w:rPr>
                <w:rFonts w:hint="eastAsia" w:asciiTheme="minorEastAsia" w:hAnsiTheme="minorEastAsia" w:eastAsiaTheme="minorEastAsia" w:cstheme="minorEastAsia"/>
              </w:rPr>
            </w:pPr>
          </w:p>
        </w:tc>
        <w:tc>
          <w:tcPr>
            <w:tcW w:w="2592" w:type="dxa"/>
            <w:vAlign w:val="center"/>
          </w:tcPr>
          <w:p w14:paraId="26B530DD">
            <w:pPr>
              <w:jc w:val="center"/>
              <w:rPr>
                <w:rFonts w:hint="eastAsia" w:asciiTheme="minorEastAsia" w:hAnsiTheme="minorEastAsia" w:eastAsiaTheme="minorEastAsia" w:cstheme="minorEastAsia"/>
              </w:rPr>
            </w:pPr>
          </w:p>
        </w:tc>
        <w:tc>
          <w:tcPr>
            <w:tcW w:w="2134" w:type="dxa"/>
            <w:vAlign w:val="center"/>
          </w:tcPr>
          <w:p w14:paraId="102067AE">
            <w:pPr>
              <w:jc w:val="center"/>
              <w:rPr>
                <w:rFonts w:hint="eastAsia" w:asciiTheme="minorEastAsia" w:hAnsiTheme="minorEastAsia" w:eastAsiaTheme="minorEastAsia" w:cstheme="minorEastAsia"/>
              </w:rPr>
            </w:pPr>
          </w:p>
        </w:tc>
        <w:tc>
          <w:tcPr>
            <w:tcW w:w="2239" w:type="dxa"/>
            <w:tcBorders>
              <w:right w:val="single" w:color="auto" w:sz="4" w:space="0"/>
            </w:tcBorders>
            <w:vAlign w:val="center"/>
          </w:tcPr>
          <w:p w14:paraId="46362613">
            <w:pPr>
              <w:jc w:val="center"/>
              <w:rPr>
                <w:rFonts w:hint="eastAsia" w:asciiTheme="minorEastAsia" w:hAnsiTheme="minorEastAsia" w:eastAsiaTheme="minorEastAsia" w:cstheme="minorEastAsia"/>
              </w:rPr>
            </w:pPr>
          </w:p>
        </w:tc>
        <w:tc>
          <w:tcPr>
            <w:tcW w:w="2089" w:type="dxa"/>
            <w:tcBorders>
              <w:left w:val="single" w:color="auto" w:sz="4" w:space="0"/>
            </w:tcBorders>
            <w:vAlign w:val="center"/>
          </w:tcPr>
          <w:p w14:paraId="265F72A8">
            <w:pPr>
              <w:jc w:val="center"/>
              <w:rPr>
                <w:rFonts w:hint="eastAsia" w:asciiTheme="minorEastAsia" w:hAnsiTheme="minorEastAsia" w:eastAsiaTheme="minorEastAsia" w:cstheme="minorEastAsia"/>
              </w:rPr>
            </w:pPr>
          </w:p>
        </w:tc>
      </w:tr>
      <w:tr w14:paraId="4B2E49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9694" w:type="dxa"/>
            <w:gridSpan w:val="5"/>
            <w:vAlign w:val="bottom"/>
          </w:tcPr>
          <w:p w14:paraId="40E9249C">
            <w:pPr>
              <w:spacing w:line="360" w:lineRule="auto"/>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投标人保证：除本合同条款偏离表列出的偏离外，我单位对招标文件的其他商务、合同条款完全响应，无偏离。</w:t>
            </w:r>
          </w:p>
        </w:tc>
      </w:tr>
    </w:tbl>
    <w:p w14:paraId="49BAB272">
      <w:pPr>
        <w:adjustRightInd w:val="0"/>
        <w:snapToGrid w:val="0"/>
        <w:spacing w:before="50"/>
        <w:ind w:right="-4" w:firstLine="444" w:firstLineChars="201"/>
        <w:rPr>
          <w:rFonts w:hint="eastAsia" w:asciiTheme="minorEastAsia" w:hAnsiTheme="minorEastAsia" w:eastAsiaTheme="minorEastAsia" w:cstheme="minorEastAsia"/>
          <w:color w:val="000000" w:themeColor="text1"/>
          <w:sz w:val="22"/>
          <w:szCs w:val="22"/>
          <w14:textFill>
            <w14:solidFill>
              <w14:schemeClr w14:val="tx1"/>
            </w14:solidFill>
          </w14:textFill>
        </w:rPr>
      </w:pPr>
      <w:r>
        <w:rPr>
          <w:rFonts w:hint="eastAsia" w:asciiTheme="minorEastAsia" w:hAnsiTheme="minorEastAsia" w:eastAsiaTheme="minorEastAsia" w:cstheme="minorEastAsia"/>
          <w:b/>
          <w:color w:val="000000" w:themeColor="text1"/>
          <w:sz w:val="22"/>
          <w:szCs w:val="22"/>
          <w14:textFill>
            <w14:solidFill>
              <w14:schemeClr w14:val="tx1"/>
            </w14:solidFill>
          </w14:textFill>
        </w:rPr>
        <w:t>备注</w:t>
      </w:r>
      <w:r>
        <w:rPr>
          <w:rFonts w:hint="eastAsia" w:asciiTheme="minorEastAsia" w:hAnsiTheme="minorEastAsia" w:eastAsiaTheme="minorEastAsia" w:cstheme="minorEastAsia"/>
          <w:color w:val="000000" w:themeColor="text1"/>
          <w:sz w:val="22"/>
          <w:szCs w:val="22"/>
          <w14:textFill>
            <w14:solidFill>
              <w14:schemeClr w14:val="tx1"/>
            </w14:solidFill>
          </w14:textFill>
        </w:rPr>
        <w:t>：</w:t>
      </w:r>
    </w:p>
    <w:p w14:paraId="1A5C8A7F">
      <w:pPr>
        <w:adjustRightInd w:val="0"/>
        <w:snapToGrid w:val="0"/>
        <w:spacing w:before="50" w:line="360" w:lineRule="auto"/>
        <w:ind w:right="-4" w:firstLine="442" w:firstLineChars="201"/>
        <w:rPr>
          <w:rFonts w:hint="eastAsia" w:asciiTheme="minorEastAsia" w:hAnsiTheme="minorEastAsia" w:eastAsiaTheme="minorEastAsia" w:cstheme="minorEastAsia"/>
          <w:b/>
          <w:sz w:val="22"/>
          <w:szCs w:val="22"/>
        </w:rPr>
      </w:pPr>
      <w:r>
        <w:rPr>
          <w:rFonts w:hint="eastAsia" w:asciiTheme="minorEastAsia" w:hAnsiTheme="minorEastAsia" w:eastAsiaTheme="minorEastAsia" w:cstheme="minorEastAsia"/>
          <w:color w:val="000000" w:themeColor="text1"/>
          <w:sz w:val="22"/>
          <w:szCs w:val="22"/>
          <w14:textFill>
            <w14:solidFill>
              <w14:schemeClr w14:val="tx1"/>
            </w14:solidFill>
          </w14:textFill>
        </w:rPr>
        <w:t>1.投标人应根据招标文件</w:t>
      </w:r>
      <w:r>
        <w:rPr>
          <w:rFonts w:hint="eastAsia" w:asciiTheme="minorEastAsia" w:hAnsiTheme="minorEastAsia" w:eastAsiaTheme="minorEastAsia" w:cstheme="minorEastAsia"/>
          <w:sz w:val="22"/>
          <w:szCs w:val="22"/>
        </w:rPr>
        <w:t>第六章“政府采购合同”填写本表；</w:t>
      </w:r>
    </w:p>
    <w:p w14:paraId="6B39DDC3">
      <w:pPr>
        <w:adjustRightInd w:val="0"/>
        <w:snapToGrid w:val="0"/>
        <w:spacing w:before="50" w:line="360" w:lineRule="auto"/>
        <w:ind w:right="-4" w:firstLine="442" w:firstLineChars="201"/>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Cs/>
          <w:sz w:val="22"/>
          <w:szCs w:val="22"/>
        </w:rPr>
        <w:t>2.投标人如果对招标文件第六章“政府采购合同”的响应有偏离，应将偏离条款逐条如实应答，并作出说明；</w:t>
      </w:r>
    </w:p>
    <w:p w14:paraId="25FD6173">
      <w:pPr>
        <w:adjustRightInd w:val="0"/>
        <w:snapToGrid w:val="0"/>
        <w:spacing w:before="50" w:line="360" w:lineRule="auto"/>
        <w:ind w:right="-4" w:firstLine="442" w:firstLineChars="201"/>
        <w:rPr>
          <w:rFonts w:hint="eastAsia" w:asciiTheme="minorEastAsia" w:hAnsiTheme="minorEastAsia" w:eastAsiaTheme="minorEastAsia" w:cstheme="minorEastAsia"/>
          <w:color w:val="000000" w:themeColor="text1"/>
          <w:sz w:val="22"/>
          <w:szCs w:val="22"/>
          <w14:textFill>
            <w14:solidFill>
              <w14:schemeClr w14:val="tx1"/>
            </w14:solidFill>
          </w14:textFill>
        </w:rPr>
      </w:pPr>
      <w:r>
        <w:rPr>
          <w:rFonts w:hint="eastAsia" w:asciiTheme="minorEastAsia" w:hAnsiTheme="minorEastAsia" w:eastAsiaTheme="minorEastAsia" w:cstheme="minorEastAsia"/>
          <w:sz w:val="22"/>
          <w:szCs w:val="22"/>
        </w:rPr>
        <w:t>3.如不提供此表，则视为投标人不满足招标文件</w:t>
      </w:r>
      <w:r>
        <w:rPr>
          <w:rFonts w:hint="eastAsia" w:asciiTheme="minorEastAsia" w:hAnsiTheme="minorEastAsia" w:eastAsiaTheme="minorEastAsia" w:cstheme="minorEastAsia"/>
          <w:color w:val="000000" w:themeColor="text1"/>
          <w:sz w:val="22"/>
          <w:szCs w:val="22"/>
          <w14:textFill>
            <w14:solidFill>
              <w14:schemeClr w14:val="tx1"/>
            </w14:solidFill>
          </w14:textFill>
        </w:rPr>
        <w:t>第六章的所有条款要求，其投标无效。</w:t>
      </w:r>
    </w:p>
    <w:p w14:paraId="049049EE">
      <w:pPr>
        <w:adjustRightInd w:val="0"/>
        <w:snapToGrid w:val="0"/>
        <w:spacing w:before="50" w:line="360" w:lineRule="auto"/>
        <w:ind w:right="-4" w:firstLine="442" w:firstLineChars="201"/>
        <w:rPr>
          <w:rFonts w:hint="eastAsia" w:asciiTheme="minorEastAsia" w:hAnsiTheme="minorEastAsia" w:eastAsiaTheme="minorEastAsia" w:cstheme="minorEastAsia"/>
          <w:color w:val="000000" w:themeColor="text1"/>
          <w:sz w:val="22"/>
          <w:szCs w:val="22"/>
          <w14:textFill>
            <w14:solidFill>
              <w14:schemeClr w14:val="tx1"/>
            </w14:solidFill>
          </w14:textFill>
        </w:rPr>
      </w:pPr>
      <w:r>
        <w:rPr>
          <w:rFonts w:hint="eastAsia" w:asciiTheme="minorEastAsia" w:hAnsiTheme="minorEastAsia" w:eastAsiaTheme="minorEastAsia" w:cstheme="minorEastAsia"/>
          <w:color w:val="000000" w:themeColor="text1"/>
          <w:sz w:val="22"/>
          <w:szCs w:val="22"/>
          <w14:textFill>
            <w14:solidFill>
              <w14:schemeClr w14:val="tx1"/>
            </w14:solidFill>
          </w14:textFill>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2E70D813">
      <w:pPr>
        <w:adjustRightInd w:val="0"/>
        <w:snapToGrid w:val="0"/>
        <w:spacing w:before="50" w:line="360" w:lineRule="auto"/>
        <w:rPr>
          <w:rFonts w:hint="eastAsia" w:asciiTheme="minorEastAsia" w:hAnsiTheme="minorEastAsia" w:eastAsiaTheme="minorEastAsia" w:cstheme="minorEastAsia"/>
          <w:color w:val="000000" w:themeColor="text1"/>
          <w:sz w:val="24"/>
          <w14:textFill>
            <w14:solidFill>
              <w14:schemeClr w14:val="tx1"/>
            </w14:solidFill>
          </w14:textFill>
        </w:rPr>
      </w:pPr>
    </w:p>
    <w:p w14:paraId="3A1E159D">
      <w:pPr>
        <w:adjustRightInd w:val="0"/>
        <w:snapToGrid w:val="0"/>
        <w:spacing w:before="50" w:line="360" w:lineRule="auto"/>
        <w:ind w:firstLine="422" w:firstLineChars="175"/>
        <w:rPr>
          <w:rFonts w:hint="eastAsia" w:asciiTheme="minorEastAsia" w:hAnsiTheme="minorEastAsia" w:eastAsiaTheme="minorEastAsia" w:cstheme="minorEastAsia"/>
          <w:b/>
          <w:bCs/>
          <w:color w:val="000000" w:themeColor="text1"/>
          <w:sz w:val="24"/>
          <w:u w:val="single"/>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投标人名称（盖单位公章）：</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p>
    <w:p w14:paraId="2F2FF12B">
      <w:pPr>
        <w:adjustRightInd w:val="0"/>
        <w:snapToGrid w:val="0"/>
        <w:spacing w:before="50" w:line="360" w:lineRule="auto"/>
        <w:ind w:firstLine="422" w:firstLineChars="175"/>
        <w:rPr>
          <w:rFonts w:hint="eastAsia" w:asciiTheme="minorEastAsia" w:hAnsiTheme="minorEastAsia" w:eastAsiaTheme="minorEastAsia" w:cstheme="minorEastAsia"/>
          <w:b/>
          <w:bCs/>
          <w:color w:val="000000" w:themeColor="text1"/>
          <w:sz w:val="24"/>
          <w:u w:val="single"/>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法定代表人（单位负责人）或其授权的代理人（签字或印章）：</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p>
    <w:p w14:paraId="5D43BCE3">
      <w:pPr>
        <w:adjustRightInd w:val="0"/>
        <w:snapToGrid w:val="0"/>
        <w:spacing w:before="50" w:line="360" w:lineRule="auto"/>
        <w:ind w:firstLine="422" w:firstLineChars="175"/>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日 期：</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年</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月</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日</w:t>
      </w:r>
    </w:p>
    <w:p w14:paraId="0AB22822">
      <w:pP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br w:type="page"/>
      </w:r>
    </w:p>
    <w:p w14:paraId="6FBA67C1">
      <w:pPr>
        <w:pStyle w:val="4"/>
        <w:spacing w:line="600" w:lineRule="auto"/>
        <w:jc w:val="center"/>
        <w:rPr>
          <w:rFonts w:hint="eastAsia" w:asciiTheme="minorEastAsia" w:hAnsiTheme="minorEastAsia" w:eastAsiaTheme="minorEastAsia" w:cstheme="minorEastAsia"/>
          <w:sz w:val="32"/>
          <w:szCs w:val="40"/>
        </w:rPr>
      </w:pPr>
      <w:bookmarkStart w:id="385" w:name="_Toc22303"/>
      <w:bookmarkStart w:id="386" w:name="_Toc14231"/>
      <w:bookmarkStart w:id="387" w:name="_Toc600"/>
      <w:r>
        <w:rPr>
          <w:rFonts w:hint="eastAsia" w:asciiTheme="minorEastAsia" w:hAnsiTheme="minorEastAsia" w:eastAsiaTheme="minorEastAsia" w:cstheme="minorEastAsia"/>
          <w:sz w:val="32"/>
          <w:szCs w:val="40"/>
        </w:rPr>
        <w:t>八、享受政府采购政策优惠的证明资料</w:t>
      </w:r>
      <w:bookmarkEnd w:id="385"/>
      <w:bookmarkEnd w:id="386"/>
    </w:p>
    <w:p w14:paraId="5D2B5B49">
      <w:pPr>
        <w:adjustRightInd w:val="0"/>
        <w:snapToGrid w:val="0"/>
        <w:spacing w:line="360" w:lineRule="auto"/>
        <w:ind w:right="-4" w:firstLine="504" w:firstLineChars="200"/>
        <w:rPr>
          <w:rFonts w:hint="eastAsia" w:asciiTheme="minorEastAsia" w:hAnsiTheme="minorEastAsia" w:eastAsiaTheme="minorEastAsia" w:cstheme="minorEastAsia"/>
          <w:color w:val="000000" w:themeColor="text1"/>
          <w:spacing w:val="6"/>
          <w:sz w:val="24"/>
          <w14:textFill>
            <w14:solidFill>
              <w14:schemeClr w14:val="tx1"/>
            </w14:solidFill>
          </w14:textFill>
        </w:rPr>
      </w:pPr>
      <w:r>
        <w:rPr>
          <w:rFonts w:hint="eastAsia" w:asciiTheme="minorEastAsia" w:hAnsiTheme="minorEastAsia" w:eastAsiaTheme="minorEastAsia" w:cstheme="minorEastAsia"/>
          <w:color w:val="000000" w:themeColor="text1"/>
          <w:spacing w:val="6"/>
          <w:sz w:val="24"/>
          <w14:textFill>
            <w14:solidFill>
              <w14:schemeClr w14:val="tx1"/>
            </w14:solidFill>
          </w14:textFill>
        </w:rPr>
        <w:t>投标人符合第二章第</w:t>
      </w:r>
      <w:r>
        <w:rPr>
          <w:rFonts w:hint="eastAsia" w:asciiTheme="minorEastAsia" w:hAnsiTheme="minorEastAsia" w:eastAsiaTheme="minorEastAsia" w:cstheme="minorEastAsia"/>
          <w:sz w:val="24"/>
          <w:szCs w:val="32"/>
        </w:rPr>
        <w:t>36.1款相关</w:t>
      </w:r>
      <w:r>
        <w:rPr>
          <w:rFonts w:hint="eastAsia" w:asciiTheme="minorEastAsia" w:hAnsiTheme="minorEastAsia" w:eastAsiaTheme="minorEastAsia" w:cstheme="minorEastAsia"/>
          <w:color w:val="000000" w:themeColor="text1"/>
          <w:spacing w:val="6"/>
          <w:sz w:val="24"/>
          <w14:textFill>
            <w14:solidFill>
              <w14:schemeClr w14:val="tx1"/>
            </w14:solidFill>
          </w14:textFill>
        </w:rPr>
        <w:t>要求的，应提供相应证明资料并填写相关数据，否则评审时不</w:t>
      </w:r>
      <w:r>
        <w:rPr>
          <w:rFonts w:hint="eastAsia" w:asciiTheme="minorEastAsia" w:hAnsiTheme="minorEastAsia" w:eastAsiaTheme="minorEastAsia" w:cstheme="minorEastAsia"/>
          <w:color w:val="000000" w:themeColor="text1"/>
          <w:spacing w:val="6"/>
          <w:sz w:val="24"/>
          <w:lang w:eastAsia="zh-CN"/>
          <w14:textFill>
            <w14:solidFill>
              <w14:schemeClr w14:val="tx1"/>
            </w14:solidFill>
          </w14:textFill>
        </w:rPr>
        <w:t>予考虑</w:t>
      </w:r>
      <w:r>
        <w:rPr>
          <w:rFonts w:hint="eastAsia" w:asciiTheme="minorEastAsia" w:hAnsiTheme="minorEastAsia" w:eastAsiaTheme="minorEastAsia" w:cstheme="minorEastAsia"/>
          <w:color w:val="000000" w:themeColor="text1"/>
          <w:spacing w:val="6"/>
          <w:sz w:val="24"/>
          <w14:textFill>
            <w14:solidFill>
              <w14:schemeClr w14:val="tx1"/>
            </w14:solidFill>
          </w14:textFill>
        </w:rPr>
        <w:t>。不符合相关条款的无需提供，评审时不作无效投标处理。</w:t>
      </w:r>
      <w:bookmarkStart w:id="388" w:name="_Toc3416"/>
      <w:bookmarkStart w:id="389" w:name="_Toc23565"/>
      <w:bookmarkStart w:id="390" w:name="_Toc31292"/>
    </w:p>
    <w:p w14:paraId="6359E93E">
      <w:pPr>
        <w:adjustRightInd w:val="0"/>
        <w:snapToGrid w:val="0"/>
        <w:ind w:right="-4" w:firstLine="384" w:firstLineChars="200"/>
        <w:rPr>
          <w:rFonts w:hint="eastAsia" w:asciiTheme="minorEastAsia" w:hAnsiTheme="minorEastAsia" w:eastAsiaTheme="minorEastAsia" w:cstheme="minorEastAsia"/>
          <w:color w:val="000000" w:themeColor="text1"/>
          <w:spacing w:val="6"/>
          <w:sz w:val="18"/>
          <w:szCs w:val="18"/>
          <w14:textFill>
            <w14:solidFill>
              <w14:schemeClr w14:val="tx1"/>
            </w14:solidFill>
          </w14:textFill>
        </w:rPr>
      </w:pPr>
    </w:p>
    <w:p w14:paraId="0B55D4AE">
      <w:pPr>
        <w:adjustRightInd w:val="0"/>
        <w:snapToGrid w:val="0"/>
        <w:ind w:right="-4"/>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附件8-1中小企业声明函</w:t>
      </w:r>
      <w:bookmarkEnd w:id="388"/>
      <w:bookmarkEnd w:id="389"/>
      <w:bookmarkEnd w:id="390"/>
    </w:p>
    <w:p w14:paraId="76CCD2ED">
      <w:pPr>
        <w:adjustRightInd w:val="0"/>
        <w:snapToGrid w:val="0"/>
        <w:spacing w:line="348" w:lineRule="auto"/>
        <w:ind w:right="-6" w:firstLine="586" w:firstLineChars="200"/>
        <w:jc w:val="center"/>
        <w:rPr>
          <w:rFonts w:hint="eastAsia" w:asciiTheme="minorEastAsia" w:hAnsiTheme="minorEastAsia" w:eastAsiaTheme="minorEastAsia" w:cstheme="minorEastAsia"/>
          <w:b/>
          <w:bCs/>
          <w:color w:val="000000" w:themeColor="text1"/>
          <w:spacing w:val="6"/>
          <w:sz w:val="28"/>
          <w:szCs w:val="28"/>
          <w14:textFill>
            <w14:solidFill>
              <w14:schemeClr w14:val="tx1"/>
            </w14:solidFill>
          </w14:textFill>
        </w:rPr>
      </w:pPr>
      <w:r>
        <w:rPr>
          <w:rFonts w:hint="eastAsia" w:asciiTheme="minorEastAsia" w:hAnsiTheme="minorEastAsia" w:eastAsiaTheme="minorEastAsia" w:cstheme="minorEastAsia"/>
          <w:b/>
          <w:bCs/>
          <w:color w:val="000000" w:themeColor="text1"/>
          <w:spacing w:val="6"/>
          <w:sz w:val="28"/>
          <w:szCs w:val="28"/>
          <w14:textFill>
            <w14:solidFill>
              <w14:schemeClr w14:val="tx1"/>
            </w14:solidFill>
          </w14:textFill>
        </w:rPr>
        <w:t>中小企业声明函（格式）</w:t>
      </w:r>
    </w:p>
    <w:p w14:paraId="2AC4C563">
      <w:pPr>
        <w:adjustRightInd w:val="0"/>
        <w:snapToGrid w:val="0"/>
        <w:spacing w:line="360" w:lineRule="auto"/>
        <w:ind w:right="-4" w:firstLine="504" w:firstLineChars="200"/>
        <w:rPr>
          <w:rFonts w:hint="eastAsia" w:asciiTheme="minorEastAsia" w:hAnsiTheme="minorEastAsia" w:eastAsiaTheme="minorEastAsia" w:cstheme="minorEastAsia"/>
          <w:color w:val="000000" w:themeColor="text1"/>
          <w:spacing w:val="6"/>
          <w:sz w:val="24"/>
          <w14:textFill>
            <w14:solidFill>
              <w14:schemeClr w14:val="tx1"/>
            </w14:solidFill>
          </w14:textFill>
        </w:rPr>
      </w:pPr>
      <w:r>
        <w:rPr>
          <w:rFonts w:hint="eastAsia" w:asciiTheme="minorEastAsia" w:hAnsiTheme="minorEastAsia" w:eastAsiaTheme="minorEastAsia" w:cstheme="minorEastAsia"/>
          <w:color w:val="000000" w:themeColor="text1"/>
          <w:spacing w:val="6"/>
          <w:sz w:val="24"/>
          <w14:textFill>
            <w14:solidFill>
              <w14:schemeClr w14:val="tx1"/>
            </w14:solidFill>
          </w14:textFill>
        </w:rPr>
        <w:t>本公司郑重声明，根据《政府采购促进中小企业发展管理办法》（财库〔2020〕46号）的规定，本公司参加</w:t>
      </w:r>
      <w:r>
        <w:rPr>
          <w:rFonts w:hint="eastAsia" w:asciiTheme="minorEastAsia" w:hAnsiTheme="minorEastAsia" w:eastAsiaTheme="minorEastAsia" w:cstheme="minorEastAsia"/>
          <w:color w:val="000000" w:themeColor="text1"/>
          <w:spacing w:val="6"/>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6"/>
          <w:sz w:val="24"/>
          <w14:textFill>
            <w14:solidFill>
              <w14:schemeClr w14:val="tx1"/>
            </w14:solidFill>
          </w14:textFill>
        </w:rPr>
        <w:t>（单位名称）的</w:t>
      </w:r>
      <w:r>
        <w:rPr>
          <w:rFonts w:hint="eastAsia" w:asciiTheme="minorEastAsia" w:hAnsiTheme="minorEastAsia" w:eastAsiaTheme="minorEastAsia" w:cstheme="minorEastAsia"/>
          <w:color w:val="000000" w:themeColor="text1"/>
          <w:spacing w:val="6"/>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6"/>
          <w:sz w:val="24"/>
          <w14:textFill>
            <w14:solidFill>
              <w14:schemeClr w14:val="tx1"/>
            </w14:solidFill>
          </w14:textFill>
        </w:rPr>
        <w:t>（项目名称）招标活动，本项目的货物采集供应配送</w:t>
      </w:r>
      <w:r>
        <w:rPr>
          <w:rFonts w:hint="eastAsia" w:asciiTheme="minorEastAsia" w:hAnsiTheme="minorEastAsia" w:eastAsiaTheme="minorEastAsia" w:cstheme="minorEastAsia"/>
          <w:sz w:val="24"/>
        </w:rPr>
        <w:t>全部由符合政策要求的中小企业承接</w:t>
      </w:r>
      <w:r>
        <w:rPr>
          <w:rFonts w:hint="eastAsia" w:asciiTheme="minorEastAsia" w:hAnsiTheme="minorEastAsia" w:eastAsiaTheme="minorEastAsia" w:cstheme="minorEastAsia"/>
          <w:color w:val="000000" w:themeColor="text1"/>
          <w:spacing w:val="6"/>
          <w:sz w:val="24"/>
          <w14:textFill>
            <w14:solidFill>
              <w14:schemeClr w14:val="tx1"/>
            </w14:solidFill>
          </w14:textFill>
        </w:rPr>
        <w:t>。相关企业</w:t>
      </w:r>
      <w:r>
        <w:rPr>
          <w:rFonts w:hint="eastAsia" w:asciiTheme="minorEastAsia" w:hAnsiTheme="minorEastAsia" w:eastAsiaTheme="minorEastAsia" w:cstheme="minorEastAsia"/>
          <w:kern w:val="0"/>
          <w:sz w:val="24"/>
          <w:lang w:bidi="ar"/>
        </w:rPr>
        <w:t>（含联合体中的中小企业、签订分包意向协议的中小企业）</w:t>
      </w:r>
      <w:r>
        <w:rPr>
          <w:rFonts w:hint="eastAsia" w:asciiTheme="minorEastAsia" w:hAnsiTheme="minorEastAsia" w:eastAsiaTheme="minorEastAsia" w:cstheme="minorEastAsia"/>
          <w:color w:val="000000" w:themeColor="text1"/>
          <w:spacing w:val="6"/>
          <w:sz w:val="24"/>
          <w14:textFill>
            <w14:solidFill>
              <w14:schemeClr w14:val="tx1"/>
            </w14:solidFill>
          </w14:textFill>
        </w:rPr>
        <w:t>的具体情况如下：</w:t>
      </w:r>
    </w:p>
    <w:p w14:paraId="59D52108">
      <w:pPr>
        <w:adjustRightInd w:val="0"/>
        <w:snapToGrid w:val="0"/>
        <w:spacing w:line="360" w:lineRule="auto"/>
        <w:ind w:right="-6" w:firstLine="504" w:firstLineChars="200"/>
        <w:rPr>
          <w:rFonts w:hint="eastAsia" w:asciiTheme="minorEastAsia" w:hAnsiTheme="minorEastAsia" w:eastAsiaTheme="minorEastAsia" w:cstheme="minorEastAsia"/>
          <w:color w:val="000000" w:themeColor="text1"/>
          <w:spacing w:val="6"/>
          <w:sz w:val="24"/>
          <w14:textFill>
            <w14:solidFill>
              <w14:schemeClr w14:val="tx1"/>
            </w14:solidFill>
          </w14:textFill>
        </w:rPr>
      </w:pPr>
      <w:r>
        <w:rPr>
          <w:rFonts w:hint="eastAsia" w:asciiTheme="minorEastAsia" w:hAnsiTheme="minorEastAsia" w:eastAsiaTheme="minorEastAsia" w:cstheme="minorEastAsia"/>
          <w:color w:val="000000" w:themeColor="text1"/>
          <w:spacing w:val="6"/>
          <w:sz w:val="24"/>
          <w14:textFill>
            <w14:solidFill>
              <w14:schemeClr w14:val="tx1"/>
            </w14:solidFill>
          </w14:textFill>
        </w:rPr>
        <w:t>1.</w:t>
      </w:r>
      <w:r>
        <w:rPr>
          <w:rFonts w:hint="eastAsia" w:asciiTheme="minorEastAsia" w:hAnsiTheme="minorEastAsia" w:eastAsiaTheme="minorEastAsia" w:cstheme="minorEastAsia"/>
          <w:color w:val="000000" w:themeColor="text1"/>
          <w:spacing w:val="6"/>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6"/>
          <w:sz w:val="24"/>
          <w14:textFill>
            <w14:solidFill>
              <w14:schemeClr w14:val="tx1"/>
            </w14:solidFill>
          </w14:textFill>
        </w:rPr>
        <w:t>（标的名称），属于</w:t>
      </w:r>
      <w:r>
        <w:rPr>
          <w:rFonts w:hint="eastAsia" w:asciiTheme="minorEastAsia" w:hAnsiTheme="minorEastAsia" w:eastAsiaTheme="minorEastAsia" w:cstheme="minorEastAsia"/>
          <w:color w:val="000000" w:themeColor="text1"/>
          <w:spacing w:val="6"/>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6"/>
          <w:sz w:val="24"/>
          <w14:textFill>
            <w14:solidFill>
              <w14:schemeClr w14:val="tx1"/>
            </w14:solidFill>
          </w14:textFill>
        </w:rPr>
        <w:t>（招标文件中明确的所属行业），承接企业为</w:t>
      </w:r>
      <w:r>
        <w:rPr>
          <w:rFonts w:hint="eastAsia" w:asciiTheme="minorEastAsia" w:hAnsiTheme="minorEastAsia" w:eastAsiaTheme="minorEastAsia" w:cstheme="minorEastAsia"/>
          <w:color w:val="000000" w:themeColor="text1"/>
          <w:spacing w:val="6"/>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6"/>
          <w:sz w:val="24"/>
          <w14:textFill>
            <w14:solidFill>
              <w14:schemeClr w14:val="tx1"/>
            </w14:solidFill>
          </w14:textFill>
        </w:rPr>
        <w:t>（企业名称），从业人员</w:t>
      </w:r>
      <w:r>
        <w:rPr>
          <w:rFonts w:hint="eastAsia" w:asciiTheme="minorEastAsia" w:hAnsiTheme="minorEastAsia" w:eastAsiaTheme="minorEastAsia" w:cstheme="minorEastAsia"/>
          <w:color w:val="000000" w:themeColor="text1"/>
          <w:spacing w:val="6"/>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6"/>
          <w:sz w:val="24"/>
          <w14:textFill>
            <w14:solidFill>
              <w14:schemeClr w14:val="tx1"/>
            </w14:solidFill>
          </w14:textFill>
        </w:rPr>
        <w:t>人，营业收入为</w:t>
      </w:r>
      <w:r>
        <w:rPr>
          <w:rFonts w:hint="eastAsia" w:asciiTheme="minorEastAsia" w:hAnsiTheme="minorEastAsia" w:eastAsiaTheme="minorEastAsia" w:cstheme="minorEastAsia"/>
          <w:color w:val="000000" w:themeColor="text1"/>
          <w:spacing w:val="6"/>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6"/>
          <w:sz w:val="24"/>
          <w14:textFill>
            <w14:solidFill>
              <w14:schemeClr w14:val="tx1"/>
            </w14:solidFill>
          </w14:textFill>
        </w:rPr>
        <w:t>万元，资产总额为</w:t>
      </w:r>
      <w:r>
        <w:rPr>
          <w:rFonts w:hint="eastAsia" w:asciiTheme="minorEastAsia" w:hAnsiTheme="minorEastAsia" w:eastAsiaTheme="minorEastAsia" w:cstheme="minorEastAsia"/>
          <w:color w:val="000000" w:themeColor="text1"/>
          <w:spacing w:val="6"/>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6"/>
          <w:sz w:val="24"/>
          <w14:textFill>
            <w14:solidFill>
              <w14:schemeClr w14:val="tx1"/>
            </w14:solidFill>
          </w14:textFill>
        </w:rPr>
        <w:t>万元，属于</w:t>
      </w:r>
      <w:r>
        <w:rPr>
          <w:rFonts w:hint="eastAsia" w:asciiTheme="minorEastAsia" w:hAnsiTheme="minorEastAsia" w:eastAsiaTheme="minorEastAsia" w:cstheme="minorEastAsia"/>
          <w:color w:val="000000" w:themeColor="text1"/>
          <w:spacing w:val="6"/>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6"/>
          <w:sz w:val="24"/>
          <w14:textFill>
            <w14:solidFill>
              <w14:schemeClr w14:val="tx1"/>
            </w14:solidFill>
          </w14:textFill>
        </w:rPr>
        <w:t>（中型企业、小型企业、微型企业）。</w:t>
      </w:r>
    </w:p>
    <w:p w14:paraId="60612757">
      <w:pPr>
        <w:adjustRightInd w:val="0"/>
        <w:snapToGrid w:val="0"/>
        <w:spacing w:line="360" w:lineRule="auto"/>
        <w:ind w:right="-4" w:firstLine="504" w:firstLineChars="200"/>
        <w:rPr>
          <w:rFonts w:hint="eastAsia" w:asciiTheme="minorEastAsia" w:hAnsiTheme="minorEastAsia" w:eastAsiaTheme="minorEastAsia" w:cstheme="minorEastAsia"/>
          <w:color w:val="000000" w:themeColor="text1"/>
          <w:spacing w:val="6"/>
          <w:sz w:val="24"/>
          <w14:textFill>
            <w14:solidFill>
              <w14:schemeClr w14:val="tx1"/>
            </w14:solidFill>
          </w14:textFill>
        </w:rPr>
      </w:pPr>
      <w:r>
        <w:rPr>
          <w:rFonts w:hint="eastAsia" w:asciiTheme="minorEastAsia" w:hAnsiTheme="minorEastAsia" w:eastAsiaTheme="minorEastAsia" w:cstheme="minorEastAsia"/>
          <w:color w:val="000000" w:themeColor="text1"/>
          <w:spacing w:val="6"/>
          <w:sz w:val="24"/>
          <w14:textFill>
            <w14:solidFill>
              <w14:schemeClr w14:val="tx1"/>
            </w14:solidFill>
          </w14:textFill>
        </w:rPr>
        <w:t>2.</w:t>
      </w:r>
      <w:r>
        <w:rPr>
          <w:rFonts w:hint="eastAsia" w:asciiTheme="minorEastAsia" w:hAnsiTheme="minorEastAsia" w:eastAsiaTheme="minorEastAsia" w:cstheme="minorEastAsia"/>
          <w:color w:val="000000" w:themeColor="text1"/>
          <w:spacing w:val="6"/>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6"/>
          <w:sz w:val="24"/>
          <w14:textFill>
            <w14:solidFill>
              <w14:schemeClr w14:val="tx1"/>
            </w14:solidFill>
          </w14:textFill>
        </w:rPr>
        <w:t>（标的名称），属于</w:t>
      </w:r>
      <w:r>
        <w:rPr>
          <w:rFonts w:hint="eastAsia" w:asciiTheme="minorEastAsia" w:hAnsiTheme="minorEastAsia" w:eastAsiaTheme="minorEastAsia" w:cstheme="minorEastAsia"/>
          <w:color w:val="000000" w:themeColor="text1"/>
          <w:spacing w:val="6"/>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6"/>
          <w:sz w:val="24"/>
          <w14:textFill>
            <w14:solidFill>
              <w14:schemeClr w14:val="tx1"/>
            </w14:solidFill>
          </w14:textFill>
        </w:rPr>
        <w:t>（招标文件中明确的所属行业），承接企业为</w:t>
      </w:r>
      <w:r>
        <w:rPr>
          <w:rFonts w:hint="eastAsia" w:asciiTheme="minorEastAsia" w:hAnsiTheme="minorEastAsia" w:eastAsiaTheme="minorEastAsia" w:cstheme="minorEastAsia"/>
          <w:color w:val="000000" w:themeColor="text1"/>
          <w:spacing w:val="6"/>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6"/>
          <w:sz w:val="24"/>
          <w14:textFill>
            <w14:solidFill>
              <w14:schemeClr w14:val="tx1"/>
            </w14:solidFill>
          </w14:textFill>
        </w:rPr>
        <w:t>（企业名称），从业人员</w:t>
      </w:r>
      <w:r>
        <w:rPr>
          <w:rFonts w:hint="eastAsia" w:asciiTheme="minorEastAsia" w:hAnsiTheme="minorEastAsia" w:eastAsiaTheme="minorEastAsia" w:cstheme="minorEastAsia"/>
          <w:color w:val="000000" w:themeColor="text1"/>
          <w:spacing w:val="6"/>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6"/>
          <w:sz w:val="24"/>
          <w14:textFill>
            <w14:solidFill>
              <w14:schemeClr w14:val="tx1"/>
            </w14:solidFill>
          </w14:textFill>
        </w:rPr>
        <w:t>人，营业收入为</w:t>
      </w:r>
      <w:r>
        <w:rPr>
          <w:rFonts w:hint="eastAsia" w:asciiTheme="minorEastAsia" w:hAnsiTheme="minorEastAsia" w:eastAsiaTheme="minorEastAsia" w:cstheme="minorEastAsia"/>
          <w:color w:val="000000" w:themeColor="text1"/>
          <w:spacing w:val="6"/>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6"/>
          <w:sz w:val="24"/>
          <w14:textFill>
            <w14:solidFill>
              <w14:schemeClr w14:val="tx1"/>
            </w14:solidFill>
          </w14:textFill>
        </w:rPr>
        <w:t>万元，资产总额为</w:t>
      </w:r>
      <w:r>
        <w:rPr>
          <w:rFonts w:hint="eastAsia" w:asciiTheme="minorEastAsia" w:hAnsiTheme="minorEastAsia" w:eastAsiaTheme="minorEastAsia" w:cstheme="minorEastAsia"/>
          <w:color w:val="000000" w:themeColor="text1"/>
          <w:spacing w:val="6"/>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6"/>
          <w:sz w:val="24"/>
          <w14:textFill>
            <w14:solidFill>
              <w14:schemeClr w14:val="tx1"/>
            </w14:solidFill>
          </w14:textFill>
        </w:rPr>
        <w:t>万元，属于</w:t>
      </w:r>
      <w:r>
        <w:rPr>
          <w:rFonts w:hint="eastAsia" w:asciiTheme="minorEastAsia" w:hAnsiTheme="minorEastAsia" w:eastAsiaTheme="minorEastAsia" w:cstheme="minorEastAsia"/>
          <w:color w:val="000000" w:themeColor="text1"/>
          <w:spacing w:val="6"/>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6"/>
          <w:sz w:val="24"/>
          <w14:textFill>
            <w14:solidFill>
              <w14:schemeClr w14:val="tx1"/>
            </w14:solidFill>
          </w14:textFill>
        </w:rPr>
        <w:t>（中型企业、小型企业、微型企业）。</w:t>
      </w:r>
    </w:p>
    <w:p w14:paraId="0A2F22FA">
      <w:pPr>
        <w:pStyle w:val="79"/>
        <w:spacing w:line="240" w:lineRule="auto"/>
        <w:ind w:firstLine="630" w:firstLineChars="300"/>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p w14:paraId="4D5D99A6">
      <w:pPr>
        <w:adjustRightInd w:val="0"/>
        <w:snapToGrid w:val="0"/>
        <w:spacing w:line="360" w:lineRule="auto"/>
        <w:ind w:right="-4" w:firstLine="504" w:firstLineChars="200"/>
        <w:rPr>
          <w:rFonts w:hint="eastAsia" w:asciiTheme="minorEastAsia" w:hAnsiTheme="minorEastAsia" w:eastAsiaTheme="minorEastAsia" w:cstheme="minorEastAsia"/>
          <w:color w:val="000000" w:themeColor="text1"/>
          <w:spacing w:val="6"/>
          <w:sz w:val="24"/>
          <w14:textFill>
            <w14:solidFill>
              <w14:schemeClr w14:val="tx1"/>
            </w14:solidFill>
          </w14:textFill>
        </w:rPr>
      </w:pPr>
      <w:r>
        <w:rPr>
          <w:rFonts w:hint="eastAsia" w:asciiTheme="minorEastAsia" w:hAnsiTheme="minorEastAsia" w:eastAsiaTheme="minorEastAsia" w:cstheme="minorEastAsia"/>
          <w:color w:val="000000" w:themeColor="text1"/>
          <w:spacing w:val="6"/>
          <w:sz w:val="24"/>
          <w14:textFill>
            <w14:solidFill>
              <w14:schemeClr w14:val="tx1"/>
            </w14:solidFill>
          </w14:textFill>
        </w:rPr>
        <w:t>以上企业，不属于大企业的分支机构，不存在控股股东为大企业的情形，也不存在与大企业的负责人为同一人的情形。</w:t>
      </w:r>
    </w:p>
    <w:p w14:paraId="1ADC646D">
      <w:pPr>
        <w:adjustRightInd w:val="0"/>
        <w:snapToGrid w:val="0"/>
        <w:spacing w:line="360" w:lineRule="auto"/>
        <w:ind w:right="-4" w:firstLine="504" w:firstLineChars="200"/>
        <w:rPr>
          <w:rFonts w:hint="eastAsia" w:asciiTheme="minorEastAsia" w:hAnsiTheme="minorEastAsia" w:eastAsiaTheme="minorEastAsia" w:cstheme="minorEastAsia"/>
          <w:color w:val="000000" w:themeColor="text1"/>
          <w:spacing w:val="6"/>
          <w:sz w:val="24"/>
          <w14:textFill>
            <w14:solidFill>
              <w14:schemeClr w14:val="tx1"/>
            </w14:solidFill>
          </w14:textFill>
        </w:rPr>
      </w:pPr>
      <w:r>
        <w:rPr>
          <w:rFonts w:hint="eastAsia" w:asciiTheme="minorEastAsia" w:hAnsiTheme="minorEastAsia" w:eastAsiaTheme="minorEastAsia" w:cstheme="minorEastAsia"/>
          <w:color w:val="000000" w:themeColor="text1"/>
          <w:spacing w:val="6"/>
          <w:sz w:val="24"/>
          <w14:textFill>
            <w14:solidFill>
              <w14:schemeClr w14:val="tx1"/>
            </w14:solidFill>
          </w14:textFill>
        </w:rPr>
        <w:t>本企业对上述声明内容的真实性负责。如有虚假，将依法承担相应责任。</w:t>
      </w:r>
    </w:p>
    <w:p w14:paraId="14056B63">
      <w:pPr>
        <w:widowControl/>
        <w:adjustRightInd w:val="0"/>
        <w:snapToGrid w:val="0"/>
        <w:spacing w:line="264" w:lineRule="auto"/>
        <w:ind w:right="-6" w:firstLine="320" w:firstLineChars="200"/>
        <w:rPr>
          <w:rFonts w:hint="eastAsia" w:asciiTheme="minorEastAsia" w:hAnsiTheme="minorEastAsia" w:eastAsiaTheme="minorEastAsia" w:cstheme="minorEastAsia"/>
          <w:bCs/>
          <w:color w:val="000000" w:themeColor="text1"/>
          <w:kern w:val="0"/>
          <w:sz w:val="16"/>
          <w:szCs w:val="16"/>
          <w14:textFill>
            <w14:solidFill>
              <w14:schemeClr w14:val="tx1"/>
            </w14:solidFill>
          </w14:textFill>
        </w:rPr>
      </w:pPr>
    </w:p>
    <w:p w14:paraId="2EF57AE0">
      <w:pPr>
        <w:widowControl/>
        <w:adjustRightInd w:val="0"/>
        <w:snapToGrid w:val="0"/>
        <w:spacing w:line="360" w:lineRule="auto"/>
        <w:ind w:right="-4" w:firstLine="506" w:firstLineChars="200"/>
        <w:jc w:val="center"/>
        <w:rPr>
          <w:rFonts w:hint="eastAsia" w:asciiTheme="minorEastAsia" w:hAnsiTheme="minorEastAsia" w:eastAsiaTheme="minorEastAsia" w:cstheme="minorEastAsia"/>
          <w:b/>
          <w:bCs/>
          <w:color w:val="000000" w:themeColor="text1"/>
          <w:spacing w:val="6"/>
          <w:kern w:val="0"/>
          <w:sz w:val="24"/>
          <w:u w:val="single"/>
          <w14:textFill>
            <w14:solidFill>
              <w14:schemeClr w14:val="tx1"/>
            </w14:solidFill>
          </w14:textFill>
        </w:rPr>
      </w:pPr>
      <w:r>
        <w:rPr>
          <w:rFonts w:hint="eastAsia" w:asciiTheme="minorEastAsia" w:hAnsiTheme="minorEastAsia" w:eastAsiaTheme="minorEastAsia" w:cstheme="minorEastAsia"/>
          <w:b/>
          <w:bCs/>
          <w:color w:val="000000" w:themeColor="text1"/>
          <w:spacing w:val="6"/>
          <w:kern w:val="0"/>
          <w:sz w:val="24"/>
          <w14:textFill>
            <w14:solidFill>
              <w14:schemeClr w14:val="tx1"/>
            </w14:solidFill>
          </w14:textFill>
        </w:rPr>
        <w:t xml:space="preserve">                企业</w:t>
      </w:r>
      <w:r>
        <w:rPr>
          <w:rFonts w:hint="eastAsia" w:asciiTheme="minorEastAsia" w:hAnsiTheme="minorEastAsia" w:eastAsiaTheme="minorEastAsia" w:cstheme="minorEastAsia"/>
          <w:b/>
          <w:bCs/>
          <w:color w:val="000000" w:themeColor="text1"/>
          <w:spacing w:val="6"/>
          <w:kern w:val="0"/>
          <w:sz w:val="24"/>
          <w:lang w:val="en-US" w:eastAsia="zh-CN"/>
          <w14:textFill>
            <w14:solidFill>
              <w14:schemeClr w14:val="tx1"/>
            </w14:solidFill>
          </w14:textFill>
        </w:rPr>
        <w:t>名称</w:t>
      </w:r>
      <w:r>
        <w:rPr>
          <w:rFonts w:hint="eastAsia" w:asciiTheme="minorEastAsia" w:hAnsiTheme="minorEastAsia" w:eastAsiaTheme="minorEastAsia" w:cstheme="minorEastAsia"/>
          <w:b/>
          <w:bCs/>
          <w:color w:val="000000" w:themeColor="text1"/>
          <w:spacing w:val="6"/>
          <w:kern w:val="0"/>
          <w:sz w:val="24"/>
          <w14:textFill>
            <w14:solidFill>
              <w14:schemeClr w14:val="tx1"/>
            </w14:solidFill>
          </w14:textFill>
        </w:rPr>
        <w:t>（盖章）：</w:t>
      </w:r>
      <w:r>
        <w:rPr>
          <w:rFonts w:hint="eastAsia" w:asciiTheme="minorEastAsia" w:hAnsiTheme="minorEastAsia" w:eastAsiaTheme="minorEastAsia" w:cstheme="minorEastAsia"/>
          <w:b/>
          <w:bCs/>
          <w:color w:val="000000" w:themeColor="text1"/>
          <w:spacing w:val="6"/>
          <w:kern w:val="0"/>
          <w:sz w:val="24"/>
          <w:u w:val="single"/>
          <w14:textFill>
            <w14:solidFill>
              <w14:schemeClr w14:val="tx1"/>
            </w14:solidFill>
          </w14:textFill>
        </w:rPr>
        <w:t xml:space="preserve">                  </w:t>
      </w:r>
    </w:p>
    <w:p w14:paraId="1A77A8E9">
      <w:pPr>
        <w:widowControl/>
        <w:adjustRightInd w:val="0"/>
        <w:snapToGrid w:val="0"/>
        <w:spacing w:line="360" w:lineRule="auto"/>
        <w:ind w:right="-4" w:firstLine="506" w:firstLineChars="200"/>
        <w:jc w:val="right"/>
        <w:rPr>
          <w:rFonts w:hint="eastAsia" w:asciiTheme="minorEastAsia" w:hAnsiTheme="minorEastAsia" w:eastAsiaTheme="minorEastAsia" w:cstheme="minorEastAsia"/>
          <w:b/>
          <w:bCs/>
          <w:color w:val="000000" w:themeColor="text1"/>
          <w:spacing w:val="6"/>
          <w:kern w:val="0"/>
          <w:sz w:val="24"/>
          <w14:textFill>
            <w14:solidFill>
              <w14:schemeClr w14:val="tx1"/>
            </w14:solidFill>
          </w14:textFill>
        </w:rPr>
      </w:pPr>
      <w:r>
        <w:rPr>
          <w:rFonts w:hint="eastAsia" w:asciiTheme="minorEastAsia" w:hAnsiTheme="minorEastAsia" w:eastAsiaTheme="minorEastAsia" w:cstheme="minorEastAsia"/>
          <w:b/>
          <w:bCs/>
          <w:color w:val="000000" w:themeColor="text1"/>
          <w:spacing w:val="6"/>
          <w:kern w:val="0"/>
          <w:sz w:val="24"/>
          <w14:textFill>
            <w14:solidFill>
              <w14:schemeClr w14:val="tx1"/>
            </w14:solidFill>
          </w14:textFill>
        </w:rPr>
        <w:t>日 期：</w:t>
      </w:r>
      <w:r>
        <w:rPr>
          <w:rFonts w:hint="eastAsia" w:asciiTheme="minorEastAsia" w:hAnsiTheme="minorEastAsia" w:eastAsiaTheme="minorEastAsia" w:cstheme="minorEastAsia"/>
          <w:b/>
          <w:bCs/>
          <w:color w:val="000000" w:themeColor="text1"/>
          <w:spacing w:val="6"/>
          <w:kern w:val="0"/>
          <w:sz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kern w:val="0"/>
          <w:sz w:val="24"/>
          <w14:textFill>
            <w14:solidFill>
              <w14:schemeClr w14:val="tx1"/>
            </w14:solidFill>
          </w14:textFill>
        </w:rPr>
        <w:t>年</w:t>
      </w:r>
      <w:r>
        <w:rPr>
          <w:rFonts w:hint="eastAsia" w:asciiTheme="minorEastAsia" w:hAnsiTheme="minorEastAsia" w:eastAsiaTheme="minorEastAsia" w:cstheme="minorEastAsia"/>
          <w:b/>
          <w:bCs/>
          <w:color w:val="000000" w:themeColor="text1"/>
          <w:spacing w:val="6"/>
          <w:kern w:val="0"/>
          <w:sz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kern w:val="0"/>
          <w:sz w:val="24"/>
          <w14:textFill>
            <w14:solidFill>
              <w14:schemeClr w14:val="tx1"/>
            </w14:solidFill>
          </w14:textFill>
        </w:rPr>
        <w:t>月</w:t>
      </w:r>
      <w:r>
        <w:rPr>
          <w:rFonts w:hint="eastAsia" w:asciiTheme="minorEastAsia" w:hAnsiTheme="minorEastAsia" w:eastAsiaTheme="minorEastAsia" w:cstheme="minorEastAsia"/>
          <w:b/>
          <w:bCs/>
          <w:color w:val="000000" w:themeColor="text1"/>
          <w:spacing w:val="6"/>
          <w:kern w:val="0"/>
          <w:sz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kern w:val="0"/>
          <w:sz w:val="24"/>
          <w14:textFill>
            <w14:solidFill>
              <w14:schemeClr w14:val="tx1"/>
            </w14:solidFill>
          </w14:textFill>
        </w:rPr>
        <w:t>日</w:t>
      </w:r>
    </w:p>
    <w:p w14:paraId="7B97BBB2">
      <w:pPr>
        <w:widowControl/>
        <w:adjustRightInd w:val="0"/>
        <w:snapToGrid w:val="0"/>
        <w:ind w:right="-6" w:firstLine="260" w:firstLineChars="200"/>
        <w:rPr>
          <w:rFonts w:hint="eastAsia" w:asciiTheme="minorEastAsia" w:hAnsiTheme="minorEastAsia" w:eastAsiaTheme="minorEastAsia" w:cstheme="minorEastAsia"/>
          <w:bCs/>
          <w:color w:val="000000" w:themeColor="text1"/>
          <w:kern w:val="0"/>
          <w:sz w:val="13"/>
          <w:szCs w:val="13"/>
          <w14:textFill>
            <w14:solidFill>
              <w14:schemeClr w14:val="tx1"/>
            </w14:solidFill>
          </w14:textFill>
        </w:rPr>
      </w:pPr>
    </w:p>
    <w:p w14:paraId="07089FB1">
      <w:pPr>
        <w:widowControl/>
        <w:spacing w:line="360" w:lineRule="auto"/>
        <w:ind w:right="-6" w:firstLine="466" w:firstLineChars="200"/>
        <w:jc w:val="left"/>
        <w:rPr>
          <w:rFonts w:hint="eastAsia" w:asciiTheme="minorEastAsia" w:hAnsiTheme="minorEastAsia" w:eastAsiaTheme="minorEastAsia" w:cstheme="minorEastAsia"/>
          <w:kern w:val="0"/>
          <w:sz w:val="22"/>
          <w:szCs w:val="22"/>
          <w:lang w:bidi="ar"/>
        </w:rPr>
      </w:pPr>
      <w:r>
        <w:rPr>
          <w:rFonts w:hint="eastAsia" w:asciiTheme="minorEastAsia" w:hAnsiTheme="minorEastAsia" w:eastAsiaTheme="minorEastAsia" w:cstheme="minorEastAsia"/>
          <w:b/>
          <w:color w:val="000000" w:themeColor="text1"/>
          <w:spacing w:val="6"/>
          <w:kern w:val="0"/>
          <w:sz w:val="22"/>
          <w:szCs w:val="22"/>
          <w14:textFill>
            <w14:solidFill>
              <w14:schemeClr w14:val="tx1"/>
            </w14:solidFill>
          </w14:textFill>
        </w:rPr>
        <w:t>注：</w:t>
      </w:r>
      <w:bookmarkStart w:id="391" w:name="_Toc16254"/>
      <w:r>
        <w:rPr>
          <w:rFonts w:hint="eastAsia" w:asciiTheme="minorEastAsia" w:hAnsiTheme="minorEastAsia" w:eastAsiaTheme="minorEastAsia" w:cstheme="minorEastAsia"/>
          <w:kern w:val="0"/>
          <w:sz w:val="22"/>
          <w:szCs w:val="22"/>
          <w:lang w:bidi="ar"/>
        </w:rPr>
        <w:t>1.</w:t>
      </w:r>
      <w:r>
        <w:rPr>
          <w:rFonts w:hint="eastAsia" w:asciiTheme="minorEastAsia" w:hAnsiTheme="minorEastAsia" w:eastAsiaTheme="minorEastAsia" w:cstheme="minorEastAsia"/>
          <w:bCs/>
          <w:color w:val="000000" w:themeColor="text1"/>
          <w:kern w:val="0"/>
          <w:sz w:val="22"/>
          <w:szCs w:val="22"/>
          <w14:textFill>
            <w14:solidFill>
              <w14:schemeClr w14:val="tx1"/>
            </w14:solidFill>
          </w14:textFill>
        </w:rPr>
        <w:t>供应商属于小微企业的，填写此声明函。</w:t>
      </w:r>
      <w:r>
        <w:rPr>
          <w:rFonts w:hint="eastAsia" w:asciiTheme="minorEastAsia" w:hAnsiTheme="minorEastAsia" w:eastAsiaTheme="minorEastAsia" w:cstheme="minorEastAsia"/>
          <w:b/>
          <w:color w:val="000000" w:themeColor="text1"/>
          <w:kern w:val="0"/>
          <w:sz w:val="22"/>
          <w:szCs w:val="22"/>
          <w14:textFill>
            <w14:solidFill>
              <w14:schemeClr w14:val="tx1"/>
            </w14:solidFill>
          </w14:textFill>
        </w:rPr>
        <w:t>不按要求填写提供导致不</w:t>
      </w:r>
      <w:r>
        <w:rPr>
          <w:rFonts w:hint="eastAsia" w:asciiTheme="minorEastAsia" w:hAnsiTheme="minorEastAsia" w:eastAsiaTheme="minorEastAsia" w:cstheme="minorEastAsia"/>
          <w:b/>
          <w:color w:val="000000" w:themeColor="text1"/>
          <w:kern w:val="0"/>
          <w:sz w:val="22"/>
          <w:szCs w:val="22"/>
          <w:lang w:eastAsia="zh-CN"/>
          <w14:textFill>
            <w14:solidFill>
              <w14:schemeClr w14:val="tx1"/>
            </w14:solidFill>
          </w14:textFill>
        </w:rPr>
        <w:t>给予</w:t>
      </w:r>
      <w:r>
        <w:rPr>
          <w:rFonts w:hint="eastAsia" w:asciiTheme="minorEastAsia" w:hAnsiTheme="minorEastAsia" w:eastAsiaTheme="minorEastAsia" w:cstheme="minorEastAsia"/>
          <w:b/>
          <w:color w:val="000000" w:themeColor="text1"/>
          <w:kern w:val="0"/>
          <w:sz w:val="22"/>
          <w:szCs w:val="22"/>
          <w14:textFill>
            <w14:solidFill>
              <w14:schemeClr w14:val="tx1"/>
            </w14:solidFill>
          </w14:textFill>
        </w:rPr>
        <w:t>优惠</w:t>
      </w:r>
      <w:r>
        <w:rPr>
          <w:rFonts w:hint="eastAsia" w:asciiTheme="minorEastAsia" w:hAnsiTheme="minorEastAsia" w:eastAsiaTheme="minorEastAsia" w:cstheme="minorEastAsia"/>
          <w:bCs/>
          <w:color w:val="000000" w:themeColor="text1"/>
          <w:kern w:val="0"/>
          <w:sz w:val="22"/>
          <w:szCs w:val="22"/>
          <w14:textFill>
            <w14:solidFill>
              <w14:schemeClr w14:val="tx1"/>
            </w14:solidFill>
          </w14:textFill>
        </w:rPr>
        <w:t>的，投标人自行负责。</w:t>
      </w:r>
    </w:p>
    <w:p w14:paraId="70E2FEDF">
      <w:pPr>
        <w:widowControl/>
        <w:spacing w:line="360" w:lineRule="auto"/>
        <w:ind w:right="-6" w:firstLine="440" w:firstLineChars="200"/>
        <w:jc w:val="left"/>
        <w:rPr>
          <w:rFonts w:hint="eastAsia" w:asciiTheme="minorEastAsia" w:hAnsiTheme="minorEastAsia" w:eastAsiaTheme="minorEastAsia" w:cstheme="minorEastAsia"/>
          <w:kern w:val="0"/>
          <w:sz w:val="22"/>
          <w:szCs w:val="22"/>
          <w:lang w:bidi="ar"/>
        </w:rPr>
      </w:pPr>
      <w:r>
        <w:rPr>
          <w:rFonts w:hint="eastAsia" w:asciiTheme="minorEastAsia" w:hAnsiTheme="minorEastAsia" w:eastAsiaTheme="minorEastAsia" w:cstheme="minorEastAsia"/>
          <w:bCs/>
          <w:color w:val="000000" w:themeColor="text1"/>
          <w:kern w:val="0"/>
          <w:sz w:val="22"/>
          <w:szCs w:val="22"/>
          <w14:textFill>
            <w14:solidFill>
              <w14:schemeClr w14:val="tx1"/>
            </w14:solidFill>
          </w14:textFill>
        </w:rPr>
        <w:t>2.</w:t>
      </w:r>
      <w:r>
        <w:rPr>
          <w:rFonts w:hint="eastAsia" w:asciiTheme="minorEastAsia" w:hAnsiTheme="minorEastAsia" w:eastAsiaTheme="minorEastAsia" w:cstheme="minorEastAsia"/>
          <w:kern w:val="0"/>
          <w:sz w:val="22"/>
          <w:szCs w:val="22"/>
          <w:lang w:bidi="ar"/>
        </w:rPr>
        <w:t>从业人员、营业收入、资产总额填报上一年度数据，无上一年度数据的新成立企业可不填报。</w:t>
      </w:r>
    </w:p>
    <w:p w14:paraId="4F58AC58">
      <w:pPr>
        <w:widowControl/>
        <w:spacing w:line="360" w:lineRule="auto"/>
        <w:ind w:right="-6"/>
        <w:jc w:val="left"/>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br w:type="page"/>
      </w:r>
    </w:p>
    <w:p w14:paraId="17D88536">
      <w:pPr>
        <w:spacing w:line="480" w:lineRule="auto"/>
        <w:rPr>
          <w:rFonts w:hint="eastAsia" w:asciiTheme="minorEastAsia" w:hAnsiTheme="minorEastAsia" w:eastAsiaTheme="minorEastAsia" w:cstheme="minorEastAsia"/>
          <w:b/>
          <w:bCs/>
          <w:sz w:val="20"/>
          <w:szCs w:val="22"/>
        </w:rPr>
      </w:pPr>
      <w:bookmarkStart w:id="392" w:name="_Toc3651"/>
      <w:bookmarkStart w:id="393" w:name="_Toc7207"/>
      <w:r>
        <w:rPr>
          <w:rFonts w:hint="eastAsia" w:asciiTheme="minorEastAsia" w:hAnsiTheme="minorEastAsia" w:eastAsiaTheme="minorEastAsia" w:cstheme="minorEastAsia"/>
          <w:b/>
          <w:bCs/>
          <w:sz w:val="20"/>
          <w:szCs w:val="22"/>
        </w:rPr>
        <w:t>附件8-2残疾人福利性单位声明函</w:t>
      </w:r>
      <w:bookmarkEnd w:id="391"/>
      <w:bookmarkEnd w:id="392"/>
      <w:bookmarkEnd w:id="393"/>
    </w:p>
    <w:p w14:paraId="687B28E7">
      <w:pPr>
        <w:adjustRightInd w:val="0"/>
        <w:snapToGrid w:val="0"/>
        <w:spacing w:line="336" w:lineRule="auto"/>
        <w:ind w:right="-6" w:firstLine="199" w:firstLineChars="68"/>
        <w:jc w:val="center"/>
        <w:rPr>
          <w:rFonts w:hint="eastAsia" w:asciiTheme="minorEastAsia" w:hAnsiTheme="minorEastAsia" w:eastAsiaTheme="minorEastAsia" w:cstheme="minorEastAsia"/>
          <w:b/>
          <w:bCs/>
          <w:color w:val="000000" w:themeColor="text1"/>
          <w:spacing w:val="6"/>
          <w:sz w:val="28"/>
          <w:szCs w:val="28"/>
          <w14:textFill>
            <w14:solidFill>
              <w14:schemeClr w14:val="tx1"/>
            </w14:solidFill>
          </w14:textFill>
        </w:rPr>
      </w:pPr>
      <w:r>
        <w:rPr>
          <w:rFonts w:hint="eastAsia" w:asciiTheme="minorEastAsia" w:hAnsiTheme="minorEastAsia" w:eastAsiaTheme="minorEastAsia" w:cstheme="minorEastAsia"/>
          <w:b/>
          <w:bCs/>
          <w:color w:val="000000" w:themeColor="text1"/>
          <w:spacing w:val="6"/>
          <w:sz w:val="28"/>
          <w:szCs w:val="28"/>
          <w14:textFill>
            <w14:solidFill>
              <w14:schemeClr w14:val="tx1"/>
            </w14:solidFill>
          </w14:textFill>
        </w:rPr>
        <w:t>残疾人福利性单位声明函（格式）</w:t>
      </w:r>
    </w:p>
    <w:p w14:paraId="57DD2046">
      <w:pPr>
        <w:adjustRightInd w:val="0"/>
        <w:snapToGrid w:val="0"/>
        <w:spacing w:line="360" w:lineRule="auto"/>
        <w:ind w:right="-4" w:firstLine="504" w:firstLineChars="200"/>
        <w:rPr>
          <w:rFonts w:hint="eastAsia" w:asciiTheme="minorEastAsia" w:hAnsiTheme="minorEastAsia" w:eastAsiaTheme="minorEastAsia" w:cstheme="minorEastAsia"/>
          <w:color w:val="000000" w:themeColor="text1"/>
          <w:spacing w:val="6"/>
          <w:sz w:val="24"/>
          <w14:textFill>
            <w14:solidFill>
              <w14:schemeClr w14:val="tx1"/>
            </w14:solidFill>
          </w14:textFill>
        </w:rPr>
      </w:pPr>
      <w:r>
        <w:rPr>
          <w:rFonts w:hint="eastAsia" w:asciiTheme="minorEastAsia" w:hAnsiTheme="minorEastAsia" w:eastAsiaTheme="minorEastAsia" w:cstheme="minorEastAsia"/>
          <w:color w:val="000000" w:themeColor="text1"/>
          <w:spacing w:val="6"/>
          <w:sz w:val="24"/>
          <w14:textFill>
            <w14:solidFill>
              <w14:schemeClr w14:val="tx1"/>
            </w14:solidFill>
          </w14:textFill>
        </w:rPr>
        <w:t>本单位郑重声明，根据《财政部民政部中国残疾人联合会关于促进残疾人就业政府采购政策的通知》（财库</w:t>
      </w:r>
      <w:r>
        <w:rPr>
          <w:rFonts w:hint="eastAsia" w:asciiTheme="minorEastAsia" w:hAnsiTheme="minorEastAsia" w:eastAsiaTheme="minorEastAsia" w:cstheme="minorEastAsia"/>
          <w:color w:val="000000" w:themeColor="text1"/>
          <w:sz w:val="24"/>
          <w14:textFill>
            <w14:solidFill>
              <w14:schemeClr w14:val="tx1"/>
            </w14:solidFill>
          </w14:textFill>
        </w:rPr>
        <w:t>〔2017〕141</w:t>
      </w:r>
      <w:r>
        <w:rPr>
          <w:rFonts w:hint="eastAsia" w:asciiTheme="minorEastAsia" w:hAnsiTheme="minorEastAsia" w:eastAsiaTheme="minorEastAsia" w:cstheme="minorEastAsia"/>
          <w:color w:val="000000" w:themeColor="text1"/>
          <w:spacing w:val="6"/>
          <w:sz w:val="24"/>
          <w14:textFill>
            <w14:solidFill>
              <w14:schemeClr w14:val="tx1"/>
            </w14:solidFill>
          </w14:textFill>
        </w:rPr>
        <w:t>号）的规定，本单位为符合条件的残疾人福利性单位，且本单位参加</w:t>
      </w:r>
      <w:r>
        <w:rPr>
          <w:rFonts w:hint="eastAsia" w:asciiTheme="minorEastAsia" w:hAnsiTheme="minorEastAsia" w:eastAsiaTheme="minorEastAsia" w:cstheme="minorEastAsia"/>
          <w:color w:val="000000" w:themeColor="text1"/>
          <w:spacing w:val="6"/>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6"/>
          <w:sz w:val="24"/>
          <w14:textFill>
            <w14:solidFill>
              <w14:schemeClr w14:val="tx1"/>
            </w14:solidFill>
          </w14:textFill>
        </w:rPr>
        <w:t>单位的</w:t>
      </w:r>
      <w:r>
        <w:rPr>
          <w:rFonts w:hint="eastAsia" w:asciiTheme="minorEastAsia" w:hAnsiTheme="minorEastAsia" w:eastAsiaTheme="minorEastAsia" w:cstheme="minorEastAsia"/>
          <w:color w:val="000000" w:themeColor="text1"/>
          <w:spacing w:val="6"/>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6"/>
          <w:sz w:val="24"/>
          <w14:textFill>
            <w14:solidFill>
              <w14:schemeClr w14:val="tx1"/>
            </w14:solidFill>
          </w14:textFill>
        </w:rPr>
        <w:t>项目的招标活动由本单位提供服务。</w:t>
      </w:r>
    </w:p>
    <w:p w14:paraId="592C0F05">
      <w:pPr>
        <w:adjustRightInd w:val="0"/>
        <w:snapToGrid w:val="0"/>
        <w:spacing w:line="360" w:lineRule="auto"/>
        <w:ind w:right="-4" w:firstLine="504" w:firstLineChars="200"/>
        <w:rPr>
          <w:rFonts w:hint="eastAsia" w:asciiTheme="minorEastAsia" w:hAnsiTheme="minorEastAsia" w:eastAsiaTheme="minorEastAsia" w:cstheme="minorEastAsia"/>
          <w:color w:val="000000" w:themeColor="text1"/>
          <w:spacing w:val="6"/>
          <w:sz w:val="24"/>
          <w14:textFill>
            <w14:solidFill>
              <w14:schemeClr w14:val="tx1"/>
            </w14:solidFill>
          </w14:textFill>
        </w:rPr>
      </w:pPr>
      <w:r>
        <w:rPr>
          <w:rFonts w:hint="eastAsia" w:asciiTheme="minorEastAsia" w:hAnsiTheme="minorEastAsia" w:eastAsiaTheme="minorEastAsia" w:cstheme="minorEastAsia"/>
          <w:color w:val="000000" w:themeColor="text1"/>
          <w:spacing w:val="6"/>
          <w:sz w:val="24"/>
          <w14:textFill>
            <w14:solidFill>
              <w14:schemeClr w14:val="tx1"/>
            </w14:solidFill>
          </w14:textFill>
        </w:rPr>
        <w:t>本单位对上述声明的真实性负责。如有虚假，将依法承担相应责任。</w:t>
      </w:r>
    </w:p>
    <w:p w14:paraId="0A491ABF">
      <w:pPr>
        <w:widowControl/>
        <w:adjustRightInd w:val="0"/>
        <w:snapToGrid w:val="0"/>
        <w:ind w:right="-6" w:firstLine="260" w:firstLineChars="200"/>
        <w:rPr>
          <w:rFonts w:hint="eastAsia" w:asciiTheme="minorEastAsia" w:hAnsiTheme="minorEastAsia" w:eastAsiaTheme="minorEastAsia" w:cstheme="minorEastAsia"/>
          <w:bCs/>
          <w:color w:val="000000" w:themeColor="text1"/>
          <w:kern w:val="0"/>
          <w:sz w:val="13"/>
          <w:szCs w:val="13"/>
          <w14:textFill>
            <w14:solidFill>
              <w14:schemeClr w14:val="tx1"/>
            </w14:solidFill>
          </w14:textFill>
        </w:rPr>
      </w:pPr>
    </w:p>
    <w:p w14:paraId="3193C264">
      <w:pPr>
        <w:tabs>
          <w:tab w:val="left" w:pos="4860"/>
        </w:tabs>
        <w:adjustRightInd w:val="0"/>
        <w:snapToGrid w:val="0"/>
        <w:spacing w:line="360" w:lineRule="auto"/>
        <w:ind w:right="-4" w:firstLine="504" w:firstLineChars="200"/>
        <w:jc w:val="center"/>
        <w:rPr>
          <w:rFonts w:hint="eastAsia" w:asciiTheme="minorEastAsia" w:hAnsiTheme="minorEastAsia" w:eastAsiaTheme="minorEastAsia" w:cstheme="minorEastAsia"/>
          <w:b/>
          <w:bCs/>
          <w:color w:val="000000" w:themeColor="text1"/>
          <w:spacing w:val="6"/>
          <w:sz w:val="24"/>
          <w:u w:val="single"/>
          <w14:textFill>
            <w14:solidFill>
              <w14:schemeClr w14:val="tx1"/>
            </w14:solidFill>
          </w14:textFill>
        </w:rPr>
      </w:pPr>
      <w:r>
        <w:rPr>
          <w:rFonts w:hint="eastAsia" w:asciiTheme="minorEastAsia" w:hAnsiTheme="minorEastAsia" w:eastAsiaTheme="minorEastAsia" w:cstheme="minorEastAsia"/>
          <w:color w:val="000000" w:themeColor="text1"/>
          <w:spacing w:val="6"/>
          <w:sz w:val="24"/>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sz w:val="24"/>
          <w14:textFill>
            <w14:solidFill>
              <w14:schemeClr w14:val="tx1"/>
            </w14:solidFill>
          </w14:textFill>
        </w:rPr>
        <w:t>单位</w:t>
      </w:r>
      <w:r>
        <w:rPr>
          <w:rFonts w:hint="eastAsia" w:asciiTheme="minorEastAsia" w:hAnsiTheme="minorEastAsia" w:eastAsiaTheme="minorEastAsia" w:cstheme="minorEastAsia"/>
          <w:b/>
          <w:bCs/>
          <w:color w:val="000000" w:themeColor="text1"/>
          <w:spacing w:val="6"/>
          <w:sz w:val="24"/>
          <w:lang w:val="en-US" w:eastAsia="zh-CN"/>
          <w14:textFill>
            <w14:solidFill>
              <w14:schemeClr w14:val="tx1"/>
            </w14:solidFill>
          </w14:textFill>
        </w:rPr>
        <w:t>名称</w:t>
      </w:r>
      <w:r>
        <w:rPr>
          <w:rFonts w:hint="eastAsia" w:asciiTheme="minorEastAsia" w:hAnsiTheme="minorEastAsia" w:eastAsiaTheme="minorEastAsia" w:cstheme="minorEastAsia"/>
          <w:b/>
          <w:bCs/>
          <w:color w:val="000000" w:themeColor="text1"/>
          <w:spacing w:val="6"/>
          <w:sz w:val="24"/>
          <w14:textFill>
            <w14:solidFill>
              <w14:schemeClr w14:val="tx1"/>
            </w14:solidFill>
          </w14:textFill>
        </w:rPr>
        <w:t>（盖章）：</w:t>
      </w:r>
      <w:r>
        <w:rPr>
          <w:rFonts w:hint="eastAsia" w:asciiTheme="minorEastAsia" w:hAnsiTheme="minorEastAsia" w:eastAsiaTheme="minorEastAsia" w:cstheme="minorEastAsia"/>
          <w:b/>
          <w:bCs/>
          <w:color w:val="000000" w:themeColor="text1"/>
          <w:spacing w:val="6"/>
          <w:sz w:val="24"/>
          <w:u w:val="single"/>
          <w14:textFill>
            <w14:solidFill>
              <w14:schemeClr w14:val="tx1"/>
            </w14:solidFill>
          </w14:textFill>
        </w:rPr>
        <w:t xml:space="preserve">                 </w:t>
      </w:r>
    </w:p>
    <w:p w14:paraId="0C95483A">
      <w:pPr>
        <w:tabs>
          <w:tab w:val="left" w:pos="4860"/>
        </w:tabs>
        <w:adjustRightInd w:val="0"/>
        <w:snapToGrid w:val="0"/>
        <w:spacing w:line="360" w:lineRule="auto"/>
        <w:ind w:right="-4" w:firstLine="506" w:firstLineChars="200"/>
        <w:jc w:val="right"/>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b/>
          <w:bCs/>
          <w:color w:val="000000" w:themeColor="text1"/>
          <w:spacing w:val="6"/>
          <w:sz w:val="24"/>
          <w14:textFill>
            <w14:solidFill>
              <w14:schemeClr w14:val="tx1"/>
            </w14:solidFill>
          </w14:textFill>
        </w:rPr>
        <w:t>日 期：</w:t>
      </w:r>
      <w:r>
        <w:rPr>
          <w:rFonts w:hint="eastAsia" w:asciiTheme="minorEastAsia" w:hAnsiTheme="minorEastAsia" w:eastAsiaTheme="minorEastAsia" w:cstheme="minorEastAsia"/>
          <w:b/>
          <w:bCs/>
          <w:color w:val="000000" w:themeColor="text1"/>
          <w:spacing w:val="6"/>
          <w:sz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sz w:val="24"/>
          <w14:textFill>
            <w14:solidFill>
              <w14:schemeClr w14:val="tx1"/>
            </w14:solidFill>
          </w14:textFill>
        </w:rPr>
        <w:t>年</w:t>
      </w:r>
      <w:r>
        <w:rPr>
          <w:rFonts w:hint="eastAsia" w:asciiTheme="minorEastAsia" w:hAnsiTheme="minorEastAsia" w:eastAsiaTheme="minorEastAsia" w:cstheme="minorEastAsia"/>
          <w:b/>
          <w:bCs/>
          <w:color w:val="000000" w:themeColor="text1"/>
          <w:spacing w:val="6"/>
          <w:sz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sz w:val="24"/>
          <w14:textFill>
            <w14:solidFill>
              <w14:schemeClr w14:val="tx1"/>
            </w14:solidFill>
          </w14:textFill>
        </w:rPr>
        <w:t>月</w:t>
      </w:r>
      <w:r>
        <w:rPr>
          <w:rFonts w:hint="eastAsia" w:asciiTheme="minorEastAsia" w:hAnsiTheme="minorEastAsia" w:eastAsiaTheme="minorEastAsia" w:cstheme="minorEastAsia"/>
          <w:b/>
          <w:bCs/>
          <w:color w:val="000000" w:themeColor="text1"/>
          <w:spacing w:val="6"/>
          <w:sz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6"/>
          <w:sz w:val="24"/>
          <w14:textFill>
            <w14:solidFill>
              <w14:schemeClr w14:val="tx1"/>
            </w14:solidFill>
          </w14:textFill>
        </w:rPr>
        <w:t>日</w:t>
      </w:r>
    </w:p>
    <w:p w14:paraId="5600A100">
      <w:pPr>
        <w:widowControl/>
        <w:adjustRightInd w:val="0"/>
        <w:snapToGrid w:val="0"/>
        <w:ind w:right="-6" w:firstLine="160" w:firstLineChars="200"/>
        <w:rPr>
          <w:rFonts w:hint="eastAsia" w:asciiTheme="minorEastAsia" w:hAnsiTheme="minorEastAsia" w:eastAsiaTheme="minorEastAsia" w:cstheme="minorEastAsia"/>
          <w:bCs/>
          <w:color w:val="000000" w:themeColor="text1"/>
          <w:kern w:val="0"/>
          <w:sz w:val="8"/>
          <w:szCs w:val="8"/>
          <w14:textFill>
            <w14:solidFill>
              <w14:schemeClr w14:val="tx1"/>
            </w14:solidFill>
          </w14:textFill>
        </w:rPr>
      </w:pPr>
    </w:p>
    <w:p w14:paraId="712D6539">
      <w:pPr>
        <w:adjustRightInd w:val="0"/>
        <w:snapToGrid w:val="0"/>
        <w:spacing w:line="360" w:lineRule="auto"/>
        <w:ind w:right="-6" w:firstLine="466" w:firstLineChars="200"/>
        <w:rPr>
          <w:rFonts w:hint="eastAsia" w:asciiTheme="minorEastAsia" w:hAnsiTheme="minorEastAsia" w:eastAsiaTheme="minorEastAsia" w:cstheme="minorEastAsia"/>
          <w:color w:val="000000" w:themeColor="text1"/>
          <w:spacing w:val="6"/>
          <w:sz w:val="22"/>
          <w:szCs w:val="22"/>
          <w14:textFill>
            <w14:solidFill>
              <w14:schemeClr w14:val="tx1"/>
            </w14:solidFill>
          </w14:textFill>
        </w:rPr>
      </w:pPr>
      <w:r>
        <w:rPr>
          <w:rFonts w:hint="eastAsia" w:asciiTheme="minorEastAsia" w:hAnsiTheme="minorEastAsia" w:eastAsiaTheme="minorEastAsia" w:cstheme="minorEastAsia"/>
          <w:b/>
          <w:bCs/>
          <w:color w:val="000000" w:themeColor="text1"/>
          <w:spacing w:val="6"/>
          <w:sz w:val="22"/>
          <w:szCs w:val="22"/>
          <w14:textFill>
            <w14:solidFill>
              <w14:schemeClr w14:val="tx1"/>
            </w14:solidFill>
          </w14:textFill>
        </w:rPr>
        <w:t>注：</w:t>
      </w:r>
      <w:r>
        <w:rPr>
          <w:rFonts w:hint="eastAsia" w:asciiTheme="minorEastAsia" w:hAnsiTheme="minorEastAsia" w:eastAsiaTheme="minorEastAsia" w:cstheme="minorEastAsia"/>
          <w:color w:val="000000" w:themeColor="text1"/>
          <w:spacing w:val="6"/>
          <w:sz w:val="22"/>
          <w:szCs w:val="22"/>
          <w14:textFill>
            <w14:solidFill>
              <w14:schemeClr w14:val="tx1"/>
            </w14:solidFill>
          </w14:textFill>
        </w:rPr>
        <w:t>供应商属残疾人福利性单位的，填写</w:t>
      </w:r>
      <w:r>
        <w:rPr>
          <w:rFonts w:hint="eastAsia" w:asciiTheme="minorEastAsia" w:hAnsiTheme="minorEastAsia" w:eastAsiaTheme="minorEastAsia" w:cstheme="minorEastAsia"/>
          <w:bCs/>
          <w:color w:val="000000" w:themeColor="text1"/>
          <w:kern w:val="0"/>
          <w:sz w:val="22"/>
          <w:szCs w:val="22"/>
          <w14:textFill>
            <w14:solidFill>
              <w14:schemeClr w14:val="tx1"/>
            </w14:solidFill>
          </w14:textFill>
        </w:rPr>
        <w:t>此声明函。</w:t>
      </w:r>
      <w:r>
        <w:rPr>
          <w:rFonts w:hint="eastAsia" w:asciiTheme="minorEastAsia" w:hAnsiTheme="minorEastAsia" w:eastAsiaTheme="minorEastAsia" w:cstheme="minorEastAsia"/>
          <w:b/>
          <w:bCs/>
          <w:color w:val="000000" w:themeColor="text1"/>
          <w:spacing w:val="6"/>
          <w:sz w:val="22"/>
          <w:szCs w:val="22"/>
          <w14:textFill>
            <w14:solidFill>
              <w14:schemeClr w14:val="tx1"/>
            </w14:solidFill>
          </w14:textFill>
        </w:rPr>
        <w:t>不按要求填写提供导致</w:t>
      </w:r>
      <w:r>
        <w:rPr>
          <w:rFonts w:hint="eastAsia" w:asciiTheme="minorEastAsia" w:hAnsiTheme="minorEastAsia" w:eastAsiaTheme="minorEastAsia" w:cstheme="minorEastAsia"/>
          <w:b/>
          <w:color w:val="000000" w:themeColor="text1"/>
          <w:kern w:val="0"/>
          <w:sz w:val="22"/>
          <w:szCs w:val="22"/>
          <w14:textFill>
            <w14:solidFill>
              <w14:schemeClr w14:val="tx1"/>
            </w14:solidFill>
          </w14:textFill>
        </w:rPr>
        <w:t>不</w:t>
      </w:r>
      <w:r>
        <w:rPr>
          <w:rFonts w:hint="eastAsia" w:asciiTheme="minorEastAsia" w:hAnsiTheme="minorEastAsia" w:eastAsiaTheme="minorEastAsia" w:cstheme="minorEastAsia"/>
          <w:b/>
          <w:color w:val="000000" w:themeColor="text1"/>
          <w:kern w:val="0"/>
          <w:sz w:val="22"/>
          <w:szCs w:val="22"/>
          <w:lang w:eastAsia="zh-CN"/>
          <w14:textFill>
            <w14:solidFill>
              <w14:schemeClr w14:val="tx1"/>
            </w14:solidFill>
          </w14:textFill>
        </w:rPr>
        <w:t>给予</w:t>
      </w:r>
      <w:r>
        <w:rPr>
          <w:rFonts w:hint="eastAsia" w:asciiTheme="minorEastAsia" w:hAnsiTheme="minorEastAsia" w:eastAsiaTheme="minorEastAsia" w:cstheme="minorEastAsia"/>
          <w:b/>
          <w:color w:val="000000" w:themeColor="text1"/>
          <w:kern w:val="0"/>
          <w:sz w:val="22"/>
          <w:szCs w:val="22"/>
          <w14:textFill>
            <w14:solidFill>
              <w14:schemeClr w14:val="tx1"/>
            </w14:solidFill>
          </w14:textFill>
        </w:rPr>
        <w:t>优惠</w:t>
      </w:r>
      <w:r>
        <w:rPr>
          <w:rFonts w:hint="eastAsia" w:asciiTheme="minorEastAsia" w:hAnsiTheme="minorEastAsia" w:eastAsiaTheme="minorEastAsia" w:cstheme="minorEastAsia"/>
          <w:color w:val="000000" w:themeColor="text1"/>
          <w:spacing w:val="6"/>
          <w:sz w:val="22"/>
          <w:szCs w:val="22"/>
          <w14:textFill>
            <w14:solidFill>
              <w14:schemeClr w14:val="tx1"/>
            </w14:solidFill>
          </w14:textFill>
        </w:rPr>
        <w:t>的，投标人自行负责。</w:t>
      </w:r>
    </w:p>
    <w:p w14:paraId="75912EF2">
      <w:pPr>
        <w:pStyle w:val="110"/>
        <w:spacing w:line="720" w:lineRule="auto"/>
        <w:ind w:right="-4" w:firstLine="0" w:firstLineChars="0"/>
        <w:rPr>
          <w:rFonts w:hint="eastAsia" w:asciiTheme="minorEastAsia" w:hAnsiTheme="minorEastAsia" w:eastAsiaTheme="minorEastAsia" w:cstheme="minorEastAsia"/>
          <w:sz w:val="24"/>
          <w:szCs w:val="28"/>
        </w:rPr>
      </w:pPr>
    </w:p>
    <w:p w14:paraId="5DC2E1D7">
      <w:pPr>
        <w:spacing w:line="360" w:lineRule="auto"/>
        <w:rPr>
          <w:rFonts w:hint="eastAsia" w:asciiTheme="minorEastAsia" w:hAnsiTheme="minorEastAsia" w:eastAsiaTheme="minorEastAsia" w:cstheme="minorEastAsia"/>
          <w:b/>
          <w:bCs/>
        </w:rPr>
      </w:pPr>
      <w:bookmarkStart w:id="394" w:name="_Toc5087"/>
      <w:bookmarkStart w:id="395" w:name="_Toc24014"/>
      <w:bookmarkStart w:id="396" w:name="_Toc25787"/>
      <w:r>
        <w:rPr>
          <w:rFonts w:hint="eastAsia" w:asciiTheme="minorEastAsia" w:hAnsiTheme="minorEastAsia" w:eastAsiaTheme="minorEastAsia" w:cstheme="minorEastAsia"/>
          <w:b/>
          <w:bCs/>
        </w:rPr>
        <w:t>附件8-3监狱企业证明资料</w:t>
      </w:r>
      <w:bookmarkEnd w:id="394"/>
      <w:bookmarkEnd w:id="395"/>
      <w:bookmarkEnd w:id="396"/>
    </w:p>
    <w:p w14:paraId="185ECC8D">
      <w:pPr>
        <w:adjustRightInd w:val="0"/>
        <w:snapToGrid w:val="0"/>
        <w:spacing w:line="336" w:lineRule="auto"/>
        <w:ind w:right="-6" w:firstLine="199" w:firstLineChars="68"/>
        <w:jc w:val="center"/>
        <w:rPr>
          <w:rFonts w:hint="eastAsia" w:asciiTheme="minorEastAsia" w:hAnsiTheme="minorEastAsia" w:eastAsiaTheme="minorEastAsia" w:cstheme="minorEastAsia"/>
          <w:b/>
          <w:bCs/>
          <w:color w:val="000000" w:themeColor="text1"/>
          <w:spacing w:val="6"/>
          <w:sz w:val="28"/>
          <w:szCs w:val="28"/>
          <w14:textFill>
            <w14:solidFill>
              <w14:schemeClr w14:val="tx1"/>
            </w14:solidFill>
          </w14:textFill>
        </w:rPr>
      </w:pPr>
      <w:r>
        <w:rPr>
          <w:rFonts w:hint="eastAsia" w:asciiTheme="minorEastAsia" w:hAnsiTheme="minorEastAsia" w:eastAsiaTheme="minorEastAsia" w:cstheme="minorEastAsia"/>
          <w:b/>
          <w:bCs/>
          <w:color w:val="000000" w:themeColor="text1"/>
          <w:spacing w:val="6"/>
          <w:sz w:val="28"/>
          <w:szCs w:val="28"/>
          <w14:textFill>
            <w14:solidFill>
              <w14:schemeClr w14:val="tx1"/>
            </w14:solidFill>
          </w14:textFill>
        </w:rPr>
        <w:t>监狱企业证明资料</w:t>
      </w:r>
    </w:p>
    <w:p w14:paraId="07D9EFBA">
      <w:pPr>
        <w:adjustRightInd w:val="0"/>
        <w:snapToGrid w:val="0"/>
        <w:spacing w:line="360" w:lineRule="auto"/>
        <w:ind w:right="-4" w:firstLine="480" w:firstLineChars="200"/>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按</w:t>
      </w:r>
      <w:r>
        <w:rPr>
          <w:rFonts w:hint="eastAsia" w:asciiTheme="minorEastAsia" w:hAnsiTheme="minorEastAsia" w:eastAsiaTheme="minorEastAsia" w:cstheme="minorEastAsia"/>
          <w:color w:val="000000" w:themeColor="text1"/>
          <w:spacing w:val="6"/>
          <w:sz w:val="24"/>
          <w14:textFill>
            <w14:solidFill>
              <w14:schemeClr w14:val="tx1"/>
            </w14:solidFill>
          </w14:textFill>
        </w:rPr>
        <w:t>《</w:t>
      </w:r>
      <w:r>
        <w:rPr>
          <w:rFonts w:hint="eastAsia" w:asciiTheme="minorEastAsia" w:hAnsiTheme="minorEastAsia" w:eastAsiaTheme="minorEastAsia" w:cstheme="minorEastAsia"/>
          <w:color w:val="000000" w:themeColor="text1"/>
          <w:sz w:val="24"/>
          <w14:textFill>
            <w14:solidFill>
              <w14:schemeClr w14:val="tx1"/>
            </w14:solidFill>
          </w14:textFill>
        </w:rPr>
        <w:t>财政部司法部关于政府采购支持监狱企业发展有关问题的通知</w:t>
      </w:r>
      <w:r>
        <w:rPr>
          <w:rFonts w:hint="eastAsia" w:asciiTheme="minorEastAsia" w:hAnsiTheme="minorEastAsia" w:eastAsiaTheme="minorEastAsia" w:cstheme="minorEastAsia"/>
          <w:color w:val="000000" w:themeColor="text1"/>
          <w:spacing w:val="6"/>
          <w:sz w:val="24"/>
          <w14:textFill>
            <w14:solidFill>
              <w14:schemeClr w14:val="tx1"/>
            </w14:solidFill>
          </w14:textFill>
        </w:rPr>
        <w:t>》（</w:t>
      </w:r>
      <w:r>
        <w:rPr>
          <w:rFonts w:hint="eastAsia" w:asciiTheme="minorEastAsia" w:hAnsiTheme="minorEastAsia" w:eastAsiaTheme="minorEastAsia" w:cstheme="minorEastAsia"/>
          <w:color w:val="000000" w:themeColor="text1"/>
          <w:sz w:val="24"/>
          <w14:textFill>
            <w14:solidFill>
              <w14:schemeClr w14:val="tx1"/>
            </w14:solidFill>
          </w14:textFill>
        </w:rPr>
        <w:t>财库〔2014〕68号）文件规定提供证明文件（复印件）；</w:t>
      </w:r>
      <w:r>
        <w:rPr>
          <w:rFonts w:hint="eastAsia" w:asciiTheme="minorEastAsia" w:hAnsiTheme="minorEastAsia" w:eastAsiaTheme="minorEastAsia" w:cstheme="minorEastAsia"/>
          <w:bCs/>
          <w:color w:val="000000" w:themeColor="text1"/>
          <w:kern w:val="0"/>
          <w:sz w:val="24"/>
          <w14:textFill>
            <w14:solidFill>
              <w14:schemeClr w14:val="tx1"/>
            </w14:solidFill>
          </w14:textFill>
        </w:rPr>
        <w:t>不按要求提供或提供的证明文件不全或模糊不清无法辨别</w:t>
      </w:r>
      <w:r>
        <w:rPr>
          <w:rFonts w:hint="eastAsia" w:asciiTheme="minorEastAsia" w:hAnsiTheme="minorEastAsia" w:eastAsiaTheme="minorEastAsia" w:cstheme="minorEastAsia"/>
          <w:b/>
          <w:color w:val="000000" w:themeColor="text1"/>
          <w:kern w:val="0"/>
          <w:sz w:val="24"/>
          <w14:textFill>
            <w14:solidFill>
              <w14:schemeClr w14:val="tx1"/>
            </w14:solidFill>
          </w14:textFill>
        </w:rPr>
        <w:t>导致不</w:t>
      </w:r>
      <w:r>
        <w:rPr>
          <w:rFonts w:hint="eastAsia" w:asciiTheme="minorEastAsia" w:hAnsiTheme="minorEastAsia" w:eastAsiaTheme="minorEastAsia" w:cstheme="minorEastAsia"/>
          <w:b/>
          <w:color w:val="000000" w:themeColor="text1"/>
          <w:kern w:val="0"/>
          <w:sz w:val="24"/>
          <w:lang w:eastAsia="zh-CN"/>
          <w14:textFill>
            <w14:solidFill>
              <w14:schemeClr w14:val="tx1"/>
            </w14:solidFill>
          </w14:textFill>
        </w:rPr>
        <w:t>给予</w:t>
      </w:r>
      <w:r>
        <w:rPr>
          <w:rFonts w:hint="eastAsia" w:asciiTheme="minorEastAsia" w:hAnsiTheme="minorEastAsia" w:eastAsiaTheme="minorEastAsia" w:cstheme="minorEastAsia"/>
          <w:b/>
          <w:color w:val="000000" w:themeColor="text1"/>
          <w:kern w:val="0"/>
          <w:sz w:val="24"/>
          <w14:textFill>
            <w14:solidFill>
              <w14:schemeClr w14:val="tx1"/>
            </w14:solidFill>
          </w14:textFill>
        </w:rPr>
        <w:t>优惠</w:t>
      </w:r>
      <w:r>
        <w:rPr>
          <w:rFonts w:hint="eastAsia" w:asciiTheme="minorEastAsia" w:hAnsiTheme="minorEastAsia" w:eastAsiaTheme="minorEastAsia" w:cstheme="minorEastAsia"/>
          <w:bCs/>
          <w:color w:val="000000" w:themeColor="text1"/>
          <w:kern w:val="0"/>
          <w:sz w:val="24"/>
          <w14:textFill>
            <w14:solidFill>
              <w14:schemeClr w14:val="tx1"/>
            </w14:solidFill>
          </w14:textFill>
        </w:rPr>
        <w:t>的，投标人对此自行负责。</w:t>
      </w:r>
    </w:p>
    <w:p w14:paraId="4ECE7661">
      <w:pPr>
        <w:widowControl/>
        <w:adjustRightInd w:val="0"/>
        <w:snapToGrid w:val="0"/>
        <w:spacing w:line="360" w:lineRule="auto"/>
        <w:ind w:right="-6" w:firstLine="480" w:firstLineChars="200"/>
        <w:rPr>
          <w:rFonts w:hint="eastAsia" w:asciiTheme="minorEastAsia" w:hAnsiTheme="minorEastAsia" w:eastAsiaTheme="minorEastAsia" w:cstheme="minorEastAsia"/>
          <w:bCs/>
          <w:color w:val="000000" w:themeColor="text1"/>
          <w:kern w:val="0"/>
          <w:sz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14:textFill>
            <w14:solidFill>
              <w14:schemeClr w14:val="tx1"/>
            </w14:solidFill>
          </w14:textFill>
        </w:rPr>
        <w:t>投标人对提供的证明文件的真实内容负责，如有虚假，将依法承担相应责任。</w:t>
      </w:r>
    </w:p>
    <w:p w14:paraId="61A04FD6">
      <w:pPr>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br w:type="page"/>
      </w:r>
    </w:p>
    <w:bookmarkEnd w:id="360"/>
    <w:bookmarkEnd w:id="387"/>
    <w:p w14:paraId="5E23B475">
      <w:pPr>
        <w:jc w:val="center"/>
        <w:rPr>
          <w:rFonts w:hint="eastAsia" w:asciiTheme="minorEastAsia" w:hAnsiTheme="minorEastAsia" w:eastAsiaTheme="minorEastAsia" w:cstheme="minorEastAsia"/>
          <w:b/>
          <w:bCs/>
          <w:sz w:val="44"/>
          <w:szCs w:val="56"/>
        </w:rPr>
      </w:pPr>
    </w:p>
    <w:p w14:paraId="1ACEE60A">
      <w:pPr>
        <w:jc w:val="center"/>
        <w:rPr>
          <w:rFonts w:hint="eastAsia" w:asciiTheme="minorEastAsia" w:hAnsiTheme="minorEastAsia" w:eastAsiaTheme="minorEastAsia" w:cstheme="minorEastAsia"/>
          <w:b/>
          <w:bCs/>
          <w:sz w:val="120"/>
          <w:szCs w:val="120"/>
        </w:rPr>
      </w:pPr>
      <w:r>
        <w:rPr>
          <w:rFonts w:hint="eastAsia" w:asciiTheme="minorEastAsia" w:hAnsiTheme="minorEastAsia" w:eastAsiaTheme="minorEastAsia" w:cstheme="minorEastAsia"/>
          <w:b/>
          <w:bCs/>
          <w:sz w:val="120"/>
          <w:szCs w:val="120"/>
        </w:rPr>
        <w:t>政 府 采 购</w:t>
      </w:r>
    </w:p>
    <w:p w14:paraId="0E5BD8F0">
      <w:pPr>
        <w:spacing w:line="720" w:lineRule="auto"/>
        <w:jc w:val="center"/>
        <w:rPr>
          <w:rFonts w:hint="eastAsia" w:asciiTheme="minorEastAsia" w:hAnsiTheme="minorEastAsia" w:eastAsiaTheme="minorEastAsia" w:cstheme="minorEastAsia"/>
          <w:b/>
          <w:bCs/>
          <w:sz w:val="120"/>
          <w:szCs w:val="120"/>
        </w:rPr>
      </w:pPr>
      <w:r>
        <w:rPr>
          <w:rFonts w:hint="eastAsia" w:asciiTheme="minorEastAsia" w:hAnsiTheme="minorEastAsia" w:eastAsiaTheme="minorEastAsia" w:cstheme="minorEastAsia"/>
          <w:b/>
          <w:bCs/>
          <w:sz w:val="120"/>
          <w:szCs w:val="120"/>
        </w:rPr>
        <w:t>投 标 文 件</w:t>
      </w:r>
    </w:p>
    <w:p w14:paraId="749E37B7">
      <w:pPr>
        <w:spacing w:line="480" w:lineRule="auto"/>
        <w:rPr>
          <w:rFonts w:hint="eastAsia" w:asciiTheme="minorEastAsia" w:hAnsiTheme="minorEastAsia" w:eastAsiaTheme="minorEastAsia" w:cstheme="minorEastAsia"/>
          <w:sz w:val="24"/>
          <w:szCs w:val="36"/>
        </w:rPr>
      </w:pPr>
    </w:p>
    <w:p w14:paraId="74CC6116">
      <w:pPr>
        <w:pStyle w:val="4"/>
        <w:jc w:val="center"/>
        <w:rPr>
          <w:rFonts w:hint="eastAsia" w:asciiTheme="minorEastAsia" w:hAnsiTheme="minorEastAsia" w:eastAsiaTheme="minorEastAsia" w:cstheme="minorEastAsia"/>
          <w:sz w:val="44"/>
          <w:szCs w:val="52"/>
        </w:rPr>
      </w:pPr>
      <w:bookmarkStart w:id="397" w:name="_Toc25172"/>
      <w:r>
        <w:rPr>
          <w:rFonts w:hint="eastAsia" w:asciiTheme="minorEastAsia" w:hAnsiTheme="minorEastAsia" w:eastAsiaTheme="minorEastAsia" w:cstheme="minorEastAsia"/>
          <w:sz w:val="44"/>
          <w:szCs w:val="52"/>
        </w:rPr>
        <w:t>第三部分 技术文件</w:t>
      </w:r>
      <w:bookmarkEnd w:id="397"/>
    </w:p>
    <w:p w14:paraId="5FB581B3">
      <w:pPr>
        <w:spacing w:line="360" w:lineRule="auto"/>
        <w:rPr>
          <w:rFonts w:hint="eastAsia" w:asciiTheme="minorEastAsia" w:hAnsiTheme="minorEastAsia" w:eastAsiaTheme="minorEastAsia" w:cstheme="minorEastAsia"/>
          <w:sz w:val="24"/>
          <w:szCs w:val="32"/>
        </w:rPr>
      </w:pPr>
      <w:bookmarkStart w:id="398" w:name="_Toc13628"/>
    </w:p>
    <w:p w14:paraId="513DA1D8">
      <w:pPr>
        <w:spacing w:line="480" w:lineRule="auto"/>
        <w:ind w:left="1879" w:leftChars="895"/>
        <w:rPr>
          <w:rFonts w:hint="eastAsia" w:asciiTheme="minorEastAsia" w:hAnsiTheme="minorEastAsia" w:eastAsiaTheme="minorEastAsia" w:cstheme="minorEastAsia"/>
          <w:b/>
          <w:sz w:val="32"/>
          <w:szCs w:val="32"/>
          <w:u w:val="thick"/>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采购项目名称：</w:t>
      </w:r>
      <w:r>
        <w:rPr>
          <w:rFonts w:hint="eastAsia" w:asciiTheme="minorEastAsia" w:hAnsiTheme="minorEastAsia" w:eastAsiaTheme="minorEastAsia" w:cstheme="minorEastAsia"/>
          <w:b/>
          <w:sz w:val="32"/>
          <w:szCs w:val="32"/>
          <w:u w:val="thick"/>
        </w:rPr>
        <w:t xml:space="preserve">                        </w:t>
      </w:r>
    </w:p>
    <w:p w14:paraId="4476B1F0">
      <w:pPr>
        <w:spacing w:line="480" w:lineRule="auto"/>
        <w:ind w:left="1879" w:leftChars="895"/>
        <w:rPr>
          <w:rFonts w:hint="eastAsia" w:asciiTheme="minorEastAsia" w:hAnsiTheme="minorEastAsia" w:eastAsiaTheme="minorEastAsia" w:cstheme="minorEastAsia"/>
          <w:b/>
          <w:sz w:val="32"/>
          <w:szCs w:val="32"/>
          <w:u w:val="thick"/>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采购人：</w:t>
      </w:r>
      <w:r>
        <w:rPr>
          <w:rFonts w:hint="eastAsia" w:asciiTheme="minorEastAsia" w:hAnsiTheme="minorEastAsia" w:eastAsiaTheme="minorEastAsia" w:cstheme="minorEastAsia"/>
          <w:b/>
          <w:sz w:val="32"/>
          <w:szCs w:val="32"/>
          <w:u w:val="thick"/>
        </w:rPr>
        <w:t xml:space="preserve">                            </w:t>
      </w:r>
    </w:p>
    <w:p w14:paraId="18950F32">
      <w:pPr>
        <w:spacing w:line="480" w:lineRule="auto"/>
        <w:ind w:left="1879" w:leftChars="895"/>
        <w:rPr>
          <w:rFonts w:hint="eastAsia" w:asciiTheme="minorEastAsia" w:hAnsiTheme="minorEastAsia" w:eastAsiaTheme="minorEastAsia" w:cstheme="minorEastAsia"/>
          <w:b/>
          <w:color w:val="000000" w:themeColor="text1"/>
          <w:sz w:val="32"/>
          <w:szCs w:val="32"/>
          <w:u w:val="thick"/>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政府采购计划编号：</w:t>
      </w:r>
      <w:r>
        <w:rPr>
          <w:rFonts w:hint="eastAsia" w:asciiTheme="minorEastAsia" w:hAnsiTheme="minorEastAsia" w:eastAsiaTheme="minorEastAsia" w:cstheme="minorEastAsia"/>
          <w:b/>
          <w:color w:val="000000" w:themeColor="text1"/>
          <w:sz w:val="32"/>
          <w:szCs w:val="32"/>
          <w:u w:val="thick"/>
          <w14:textFill>
            <w14:solidFill>
              <w14:schemeClr w14:val="tx1"/>
            </w14:solidFill>
          </w14:textFill>
        </w:rPr>
        <w:t xml:space="preserve">                    </w:t>
      </w:r>
    </w:p>
    <w:p w14:paraId="29749DD3">
      <w:pPr>
        <w:spacing w:line="480" w:lineRule="auto"/>
        <w:ind w:left="1879" w:leftChars="895"/>
        <w:rPr>
          <w:rFonts w:hint="eastAsia" w:asciiTheme="minorEastAsia" w:hAnsiTheme="minorEastAsia" w:eastAsiaTheme="minorEastAsia" w:cstheme="minorEastAsia"/>
          <w:b/>
          <w:color w:val="000000" w:themeColor="text1"/>
          <w:sz w:val="32"/>
          <w:szCs w:val="32"/>
          <w:u w:val="thick"/>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委托代理编号：</w:t>
      </w:r>
      <w:r>
        <w:rPr>
          <w:rFonts w:hint="eastAsia" w:asciiTheme="minorEastAsia" w:hAnsiTheme="minorEastAsia" w:eastAsiaTheme="minorEastAsia" w:cstheme="minorEastAsia"/>
          <w:b/>
          <w:sz w:val="32"/>
          <w:szCs w:val="32"/>
          <w:u w:val="thick"/>
        </w:rPr>
        <w:t xml:space="preserve">                        </w:t>
      </w:r>
    </w:p>
    <w:p w14:paraId="79D76504">
      <w:pPr>
        <w:spacing w:line="480" w:lineRule="auto"/>
        <w:ind w:left="1879" w:leftChars="895"/>
        <w:rPr>
          <w:rFonts w:hint="eastAsia" w:asciiTheme="minorEastAsia" w:hAnsiTheme="minorEastAsia" w:eastAsiaTheme="minorEastAsia" w:cstheme="minorEastAsia"/>
          <w:b/>
          <w:bCs/>
          <w:sz w:val="40"/>
          <w:szCs w:val="48"/>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采购代理机构：</w:t>
      </w:r>
      <w:r>
        <w:rPr>
          <w:rFonts w:hint="eastAsia" w:asciiTheme="minorEastAsia" w:hAnsiTheme="minorEastAsia" w:eastAsiaTheme="minorEastAsia" w:cstheme="minorEastAsia"/>
          <w:b/>
          <w:color w:val="000000" w:themeColor="text1"/>
          <w:sz w:val="32"/>
          <w:szCs w:val="32"/>
          <w:u w:val="thick"/>
          <w14:textFill>
            <w14:solidFill>
              <w14:schemeClr w14:val="tx1"/>
            </w14:solidFill>
          </w14:textFill>
        </w:rPr>
        <w:t xml:space="preserve">                        </w:t>
      </w:r>
    </w:p>
    <w:p w14:paraId="574B4197">
      <w:pPr>
        <w:ind w:left="1879" w:leftChars="895"/>
        <w:rPr>
          <w:rFonts w:hint="eastAsia" w:asciiTheme="minorEastAsia" w:hAnsiTheme="minorEastAsia" w:eastAsiaTheme="minorEastAsia" w:cstheme="minorEastAsia"/>
          <w:b/>
          <w:bCs/>
          <w:sz w:val="22"/>
          <w:szCs w:val="28"/>
        </w:rPr>
      </w:pPr>
    </w:p>
    <w:p w14:paraId="7D20107F">
      <w:pPr>
        <w:spacing w:line="600" w:lineRule="auto"/>
        <w:ind w:left="1879" w:leftChars="895"/>
        <w:rPr>
          <w:rFonts w:hint="eastAsia" w:asciiTheme="minorEastAsia" w:hAnsiTheme="minorEastAsia" w:eastAsiaTheme="minorEastAsia" w:cstheme="minorEastAsia"/>
          <w:b/>
          <w:bCs/>
          <w:sz w:val="40"/>
          <w:szCs w:val="48"/>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投标人名称</w:t>
      </w:r>
      <w:r>
        <w:rPr>
          <w:rFonts w:hint="eastAsia" w:asciiTheme="minorEastAsia" w:hAnsiTheme="minorEastAsia" w:eastAsiaTheme="minorEastAsia" w:cstheme="minorEastAsia"/>
          <w:b/>
          <w:bCs/>
          <w:sz w:val="40"/>
          <w:szCs w:val="48"/>
        </w:rPr>
        <w:t>：</w:t>
      </w:r>
      <w:r>
        <w:rPr>
          <w:rFonts w:hint="eastAsia" w:asciiTheme="minorEastAsia" w:hAnsiTheme="minorEastAsia" w:eastAsiaTheme="minorEastAsia" w:cstheme="minorEastAsia"/>
          <w:b/>
          <w:color w:val="000000" w:themeColor="text1"/>
          <w:sz w:val="32"/>
          <w:szCs w:val="32"/>
          <w:u w:val="thick"/>
          <w14:textFill>
            <w14:solidFill>
              <w14:schemeClr w14:val="tx1"/>
            </w14:solidFill>
          </w14:textFill>
        </w:rPr>
        <w:t xml:space="preserve">                          </w:t>
      </w:r>
    </w:p>
    <w:p w14:paraId="5225E5C0">
      <w:pPr>
        <w:spacing w:line="480" w:lineRule="auto"/>
        <w:rPr>
          <w:rFonts w:hint="eastAsia" w:asciiTheme="minorEastAsia" w:hAnsiTheme="minorEastAsia" w:eastAsiaTheme="minorEastAsia" w:cstheme="minorEastAsia"/>
          <w:sz w:val="24"/>
          <w:szCs w:val="32"/>
        </w:rPr>
      </w:pPr>
    </w:p>
    <w:p w14:paraId="12EBDC48">
      <w:pPr>
        <w:spacing w:line="600" w:lineRule="auto"/>
        <w:ind w:left="420" w:leftChars="200"/>
        <w:jc w:val="center"/>
        <w:rPr>
          <w:rFonts w:hint="eastAsia" w:asciiTheme="minorEastAsia" w:hAnsiTheme="minorEastAsia" w:eastAsiaTheme="minorEastAsia" w:cstheme="minorEastAsia"/>
          <w:sz w:val="36"/>
          <w:szCs w:val="44"/>
        </w:rPr>
      </w:pPr>
      <w:r>
        <w:rPr>
          <w:rFonts w:hint="eastAsia" w:asciiTheme="minorEastAsia" w:hAnsiTheme="minorEastAsia" w:eastAsiaTheme="minorEastAsia" w:cstheme="minorEastAsia"/>
          <w:sz w:val="36"/>
          <w:szCs w:val="44"/>
        </w:rPr>
        <w:t>年  月  日</w:t>
      </w:r>
    </w:p>
    <w:p w14:paraId="7D6E6E59">
      <w:pPr>
        <w:rPr>
          <w:rFonts w:hint="eastAsia" w:asciiTheme="minorEastAsia" w:hAnsiTheme="minorEastAsia" w:eastAsiaTheme="minorEastAsia" w:cstheme="minorEastAsia"/>
          <w:sz w:val="36"/>
          <w:szCs w:val="44"/>
        </w:rPr>
      </w:pPr>
      <w:r>
        <w:rPr>
          <w:rFonts w:hint="eastAsia" w:asciiTheme="minorEastAsia" w:hAnsiTheme="minorEastAsia" w:eastAsiaTheme="minorEastAsia" w:cstheme="minorEastAsia"/>
          <w:sz w:val="36"/>
          <w:szCs w:val="44"/>
        </w:rPr>
        <w:br w:type="page"/>
      </w:r>
    </w:p>
    <w:p w14:paraId="108C5561">
      <w:pPr>
        <w:pStyle w:val="4"/>
        <w:spacing w:line="600" w:lineRule="auto"/>
        <w:jc w:val="center"/>
        <w:rPr>
          <w:rFonts w:hint="eastAsia" w:asciiTheme="minorEastAsia" w:hAnsiTheme="minorEastAsia" w:eastAsiaTheme="minorEastAsia" w:cstheme="minorEastAsia"/>
          <w:sz w:val="32"/>
          <w:szCs w:val="40"/>
        </w:rPr>
      </w:pPr>
      <w:bookmarkStart w:id="399" w:name="_Toc30949"/>
      <w:r>
        <w:rPr>
          <w:rFonts w:hint="eastAsia" w:asciiTheme="minorEastAsia" w:hAnsiTheme="minorEastAsia" w:eastAsiaTheme="minorEastAsia" w:cstheme="minorEastAsia"/>
          <w:sz w:val="32"/>
          <w:szCs w:val="40"/>
        </w:rPr>
        <w:t>九、</w:t>
      </w:r>
      <w:bookmarkEnd w:id="398"/>
      <w:r>
        <w:rPr>
          <w:rFonts w:hint="eastAsia" w:asciiTheme="minorEastAsia" w:hAnsiTheme="minorEastAsia" w:eastAsiaTheme="minorEastAsia" w:cstheme="minorEastAsia"/>
          <w:sz w:val="32"/>
          <w:szCs w:val="40"/>
        </w:rPr>
        <w:t>采购需求响应</w:t>
      </w:r>
      <w:bookmarkEnd w:id="399"/>
    </w:p>
    <w:p w14:paraId="72B42641">
      <w:pPr>
        <w:adjustRightInd w:val="0"/>
        <w:snapToGrid w:val="0"/>
        <w:spacing w:before="50" w:line="312" w:lineRule="auto"/>
        <w:ind w:firstLine="482"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编制说明：</w:t>
      </w:r>
      <w:r>
        <w:rPr>
          <w:rFonts w:hint="eastAsia" w:asciiTheme="minorEastAsia" w:hAnsiTheme="minorEastAsia" w:eastAsiaTheme="minorEastAsia" w:cstheme="minorEastAsia"/>
          <w:color w:val="000000" w:themeColor="text1"/>
          <w:sz w:val="24"/>
          <w14:textFill>
            <w14:solidFill>
              <w14:schemeClr w14:val="tx1"/>
            </w14:solidFill>
          </w14:textFill>
        </w:rPr>
        <w:t>投标人应按招标文件第五章采购需求自行编写采购需求响应文件（其内容可包括，且不限于详细的技术指标和性能、售后服务和技术服务的组织及保证措施等，格式自拟）。</w:t>
      </w:r>
    </w:p>
    <w:p w14:paraId="042C786A">
      <w:pPr>
        <w:adjustRightInd w:val="0"/>
        <w:snapToGrid w:val="0"/>
        <w:spacing w:before="50" w:line="360" w:lineRule="auto"/>
        <w:ind w:firstLine="482" w:firstLineChars="200"/>
        <w:rPr>
          <w:rFonts w:hint="eastAsia" w:asciiTheme="minorEastAsia" w:hAnsiTheme="minorEastAsia" w:eastAsiaTheme="minorEastAsia" w:cstheme="minorEastAsia"/>
          <w:b/>
          <w:bCs/>
          <w:color w:val="000000" w:themeColor="text1"/>
          <w:sz w:val="24"/>
          <w14:textFill>
            <w14:solidFill>
              <w14:schemeClr w14:val="tx1"/>
            </w14:solidFill>
          </w14:textFill>
        </w:rPr>
      </w:pPr>
    </w:p>
    <w:p w14:paraId="39142418">
      <w:pPr>
        <w:adjustRightInd w:val="0"/>
        <w:snapToGrid w:val="0"/>
        <w:spacing w:before="50" w:line="360" w:lineRule="auto"/>
        <w:ind w:firstLine="506" w:firstLineChars="200"/>
        <w:rPr>
          <w:rFonts w:hint="eastAsia" w:asciiTheme="minorEastAsia" w:hAnsiTheme="minorEastAsia" w:eastAsiaTheme="minorEastAsia" w:cstheme="minorEastAsia"/>
          <w:b/>
          <w:bCs/>
          <w:color w:val="000000" w:themeColor="text1"/>
          <w:sz w:val="24"/>
          <w:u w:val="single"/>
          <w14:textFill>
            <w14:solidFill>
              <w14:schemeClr w14:val="tx1"/>
            </w14:solidFill>
          </w14:textFill>
        </w:rPr>
      </w:pPr>
      <w:r>
        <w:rPr>
          <w:rFonts w:hint="eastAsia" w:asciiTheme="minorEastAsia" w:hAnsiTheme="minorEastAsia" w:eastAsiaTheme="minorEastAsia" w:cstheme="minorEastAsia"/>
          <w:b/>
          <w:bCs/>
          <w:color w:val="000000" w:themeColor="text1"/>
          <w:spacing w:val="6"/>
          <w:sz w:val="24"/>
          <w14:textFill>
            <w14:solidFill>
              <w14:schemeClr w14:val="tx1"/>
            </w14:solidFill>
          </w14:textFill>
        </w:rPr>
        <w:t>投标人名称</w:t>
      </w:r>
      <w:r>
        <w:rPr>
          <w:rFonts w:hint="eastAsia" w:asciiTheme="minorEastAsia" w:hAnsiTheme="minorEastAsia" w:eastAsiaTheme="minorEastAsia" w:cstheme="minorEastAsia"/>
          <w:b/>
          <w:bCs/>
          <w:color w:val="000000" w:themeColor="text1"/>
          <w:sz w:val="24"/>
          <w14:textFill>
            <w14:solidFill>
              <w14:schemeClr w14:val="tx1"/>
            </w14:solidFill>
          </w14:textFill>
        </w:rPr>
        <w:t>（盖单位公章）：</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p>
    <w:p w14:paraId="54B97F4A">
      <w:pPr>
        <w:adjustRightInd w:val="0"/>
        <w:snapToGrid w:val="0"/>
        <w:spacing w:before="50" w:line="360" w:lineRule="auto"/>
        <w:ind w:firstLine="482" w:firstLineChars="200"/>
        <w:rPr>
          <w:rFonts w:hint="eastAsia" w:asciiTheme="minorEastAsia" w:hAnsiTheme="minorEastAsia" w:eastAsiaTheme="minorEastAsia" w:cstheme="minorEastAsia"/>
          <w:b/>
          <w:bCs/>
          <w:color w:val="000000" w:themeColor="text1"/>
          <w:sz w:val="24"/>
          <w:u w:val="single"/>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代表人（单位负责人）或其授权的代理人（签字或印章）：</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p>
    <w:p w14:paraId="6B551A2A">
      <w:pPr>
        <w:adjustRightInd w:val="0"/>
        <w:snapToGrid w:val="0"/>
        <w:spacing w:before="50" w:line="360" w:lineRule="auto"/>
        <w:ind w:firstLine="482" w:firstLineChars="200"/>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日 期：</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年</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月</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日</w:t>
      </w:r>
    </w:p>
    <w:p w14:paraId="3AD9A6C2">
      <w:pPr>
        <w:spacing w:line="360" w:lineRule="auto"/>
        <w:rPr>
          <w:rFonts w:hint="eastAsia" w:asciiTheme="minorEastAsia" w:hAnsiTheme="minorEastAsia" w:eastAsiaTheme="minorEastAsia" w:cstheme="minorEastAsia"/>
          <w:sz w:val="24"/>
          <w:szCs w:val="32"/>
        </w:rPr>
      </w:pPr>
    </w:p>
    <w:p w14:paraId="4ADF30B9">
      <w:pPr>
        <w:pStyle w:val="110"/>
        <w:spacing w:line="360" w:lineRule="auto"/>
        <w:ind w:firstLine="480"/>
        <w:rPr>
          <w:rFonts w:hint="eastAsia" w:asciiTheme="minorEastAsia" w:hAnsiTheme="minorEastAsia" w:eastAsiaTheme="minorEastAsia" w:cstheme="minorEastAsia"/>
          <w:sz w:val="24"/>
          <w:szCs w:val="28"/>
        </w:rPr>
      </w:pPr>
    </w:p>
    <w:p w14:paraId="6F5D17A6">
      <w:pPr>
        <w:rPr>
          <w:rFonts w:hint="eastAsia" w:asciiTheme="minorEastAsia" w:hAnsiTheme="minorEastAsia" w:eastAsiaTheme="minorEastAsia" w:cstheme="minorEastAsia"/>
          <w:b/>
          <w:bCs/>
          <w:color w:val="000000" w:themeColor="text1"/>
          <w14:textFill>
            <w14:solidFill>
              <w14:schemeClr w14:val="tx1"/>
            </w14:solidFill>
          </w14:textFill>
        </w:rPr>
      </w:pPr>
      <w:bookmarkStart w:id="400" w:name="_Toc30922"/>
      <w:bookmarkStart w:id="401" w:name="_Toc24644"/>
      <w:r>
        <w:rPr>
          <w:rFonts w:hint="eastAsia" w:asciiTheme="minorEastAsia" w:hAnsiTheme="minorEastAsia" w:eastAsiaTheme="minorEastAsia" w:cstheme="minorEastAsia"/>
          <w:b/>
          <w:bCs/>
          <w:color w:val="000000" w:themeColor="text1"/>
          <w14:textFill>
            <w14:solidFill>
              <w14:schemeClr w14:val="tx1"/>
            </w14:solidFill>
          </w14:textFill>
        </w:rPr>
        <w:t>附件9-1 响应一览表</w:t>
      </w:r>
      <w:bookmarkEnd w:id="400"/>
      <w:bookmarkEnd w:id="401"/>
    </w:p>
    <w:p w14:paraId="61613177">
      <w:pPr>
        <w:adjustRightInd w:val="0"/>
        <w:snapToGrid w:val="0"/>
        <w:spacing w:line="288" w:lineRule="auto"/>
        <w:jc w:val="center"/>
        <w:rPr>
          <w:rFonts w:hint="eastAsia" w:asciiTheme="minorEastAsia" w:hAnsiTheme="minorEastAsia" w:eastAsiaTheme="minorEastAsia" w:cstheme="minorEastAsia"/>
          <w:b/>
          <w:bCs/>
          <w:color w:val="000000" w:themeColor="text1"/>
          <w:sz w:val="28"/>
          <w:szCs w:val="36"/>
          <w14:textFill>
            <w14:solidFill>
              <w14:schemeClr w14:val="tx1"/>
            </w14:solidFill>
          </w14:textFill>
        </w:rPr>
      </w:pPr>
      <w:r>
        <w:rPr>
          <w:rFonts w:hint="eastAsia" w:asciiTheme="minorEastAsia" w:hAnsiTheme="minorEastAsia" w:eastAsiaTheme="minorEastAsia" w:cstheme="minorEastAsia"/>
          <w:b/>
          <w:bCs/>
          <w:color w:val="000000" w:themeColor="text1"/>
          <w:sz w:val="28"/>
          <w:szCs w:val="36"/>
          <w14:textFill>
            <w14:solidFill>
              <w14:schemeClr w14:val="tx1"/>
            </w14:solidFill>
          </w14:textFill>
        </w:rPr>
        <w:t>响应一览</w:t>
      </w:r>
      <w:r>
        <w:rPr>
          <w:rFonts w:hint="eastAsia" w:asciiTheme="minorEastAsia" w:hAnsiTheme="minorEastAsia" w:eastAsiaTheme="minorEastAsia" w:cstheme="minorEastAsia"/>
          <w:b/>
          <w:bCs/>
          <w:color w:val="000000" w:themeColor="text1"/>
          <w:spacing w:val="6"/>
          <w:sz w:val="28"/>
          <w:szCs w:val="28"/>
          <w14:textFill>
            <w14:solidFill>
              <w14:schemeClr w14:val="tx1"/>
            </w14:solidFill>
          </w14:textFill>
        </w:rPr>
        <w:t>表（格式）</w:t>
      </w:r>
    </w:p>
    <w:p w14:paraId="68B38D4D">
      <w:pP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项目名称</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14:textFill>
            <w14:solidFill>
              <w14:schemeClr w14:val="tx1"/>
            </w14:solidFill>
          </w14:textFill>
        </w:rPr>
        <w:t xml:space="preserve">        政府采购计划编号：</w:t>
      </w:r>
      <w:r>
        <w:rPr>
          <w:rFonts w:hint="eastAsia" w:asciiTheme="minorEastAsia" w:hAnsiTheme="minorEastAsia" w:eastAsiaTheme="minorEastAsia" w:cstheme="minorEastAsia"/>
          <w:color w:val="000000" w:themeColor="text1"/>
          <w:sz w:val="24"/>
          <w:u w:val="single"/>
          <w14:textFill>
            <w14:solidFill>
              <w14:schemeClr w14:val="tx1"/>
            </w14:solidFill>
          </w14:textFill>
        </w:rPr>
        <w:t xml:space="preserve">              </w:t>
      </w:r>
    </w:p>
    <w:tbl>
      <w:tblPr>
        <w:tblStyle w:val="90"/>
        <w:tblW w:w="4995"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2"/>
        <w:gridCol w:w="2312"/>
        <w:gridCol w:w="4322"/>
        <w:gridCol w:w="1224"/>
        <w:gridCol w:w="949"/>
      </w:tblGrid>
      <w:tr w14:paraId="1C27698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jc w:val="center"/>
        </w:trPr>
        <w:tc>
          <w:tcPr>
            <w:tcW w:w="393" w:type="pct"/>
            <w:tcBorders>
              <w:tl2br w:val="nil"/>
              <w:tr2bl w:val="nil"/>
            </w:tcBorders>
            <w:vAlign w:val="center"/>
          </w:tcPr>
          <w:p w14:paraId="4B40B277">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序号</w:t>
            </w:r>
          </w:p>
        </w:tc>
        <w:tc>
          <w:tcPr>
            <w:tcW w:w="1209" w:type="pct"/>
            <w:tcBorders>
              <w:tl2br w:val="nil"/>
              <w:tr2bl w:val="nil"/>
            </w:tcBorders>
            <w:vAlign w:val="center"/>
          </w:tcPr>
          <w:p w14:paraId="0C0B63DD">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产品名称</w:t>
            </w:r>
          </w:p>
        </w:tc>
        <w:tc>
          <w:tcPr>
            <w:tcW w:w="2260" w:type="pct"/>
            <w:tcBorders>
              <w:tl2br w:val="nil"/>
              <w:tr2bl w:val="nil"/>
            </w:tcBorders>
            <w:vAlign w:val="center"/>
          </w:tcPr>
          <w:p w14:paraId="2C02C697">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主要技术参数或规格</w:t>
            </w:r>
          </w:p>
        </w:tc>
        <w:tc>
          <w:tcPr>
            <w:tcW w:w="640" w:type="pct"/>
            <w:tcBorders>
              <w:tl2br w:val="nil"/>
              <w:tr2bl w:val="nil"/>
            </w:tcBorders>
            <w:vAlign w:val="center"/>
          </w:tcPr>
          <w:p w14:paraId="01895644">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数量</w:t>
            </w:r>
          </w:p>
        </w:tc>
        <w:tc>
          <w:tcPr>
            <w:tcW w:w="496" w:type="pct"/>
            <w:tcBorders>
              <w:tl2br w:val="nil"/>
              <w:tr2bl w:val="nil"/>
            </w:tcBorders>
            <w:vAlign w:val="center"/>
          </w:tcPr>
          <w:p w14:paraId="0CBF2627">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备注</w:t>
            </w:r>
          </w:p>
        </w:tc>
      </w:tr>
      <w:tr w14:paraId="00DD4D3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jc w:val="center"/>
        </w:trPr>
        <w:tc>
          <w:tcPr>
            <w:tcW w:w="393" w:type="pct"/>
            <w:tcBorders>
              <w:tl2br w:val="nil"/>
              <w:tr2bl w:val="nil"/>
            </w:tcBorders>
            <w:vAlign w:val="center"/>
          </w:tcPr>
          <w:p w14:paraId="2F0850B3">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w:t>
            </w:r>
          </w:p>
        </w:tc>
        <w:tc>
          <w:tcPr>
            <w:tcW w:w="1209" w:type="pct"/>
            <w:tcBorders>
              <w:tl2br w:val="nil"/>
              <w:tr2bl w:val="nil"/>
            </w:tcBorders>
            <w:vAlign w:val="center"/>
          </w:tcPr>
          <w:p w14:paraId="6D0CAD64">
            <w:pPr>
              <w:jc w:val="center"/>
              <w:rPr>
                <w:rFonts w:hint="eastAsia" w:asciiTheme="minorEastAsia" w:hAnsiTheme="minorEastAsia" w:eastAsiaTheme="minorEastAsia" w:cstheme="minorEastAsia"/>
                <w:color w:val="000000" w:themeColor="text1"/>
                <w:sz w:val="24"/>
                <w14:textFill>
                  <w14:solidFill>
                    <w14:schemeClr w14:val="tx1"/>
                  </w14:solidFill>
                </w14:textFill>
              </w:rPr>
            </w:pPr>
          </w:p>
        </w:tc>
        <w:tc>
          <w:tcPr>
            <w:tcW w:w="2260" w:type="pct"/>
            <w:tcBorders>
              <w:tl2br w:val="nil"/>
              <w:tr2bl w:val="nil"/>
            </w:tcBorders>
            <w:vAlign w:val="center"/>
          </w:tcPr>
          <w:p w14:paraId="1A64CD07">
            <w:pPr>
              <w:jc w:val="left"/>
              <w:rPr>
                <w:rFonts w:hint="eastAsia" w:asciiTheme="minorEastAsia" w:hAnsiTheme="minorEastAsia" w:eastAsiaTheme="minorEastAsia" w:cstheme="minorEastAsia"/>
                <w:color w:val="000000" w:themeColor="text1"/>
                <w:sz w:val="24"/>
                <w14:textFill>
                  <w14:solidFill>
                    <w14:schemeClr w14:val="tx1"/>
                  </w14:solidFill>
                </w14:textFill>
              </w:rPr>
            </w:pPr>
          </w:p>
        </w:tc>
        <w:tc>
          <w:tcPr>
            <w:tcW w:w="640" w:type="pct"/>
            <w:tcBorders>
              <w:tl2br w:val="nil"/>
              <w:tr2bl w:val="nil"/>
            </w:tcBorders>
            <w:vAlign w:val="center"/>
          </w:tcPr>
          <w:p w14:paraId="281A52CC">
            <w:pPr>
              <w:jc w:val="center"/>
              <w:rPr>
                <w:rFonts w:hint="eastAsia" w:asciiTheme="minorEastAsia" w:hAnsiTheme="minorEastAsia" w:eastAsiaTheme="minorEastAsia" w:cstheme="minorEastAsia"/>
                <w:color w:val="000000" w:themeColor="text1"/>
                <w:sz w:val="24"/>
                <w14:textFill>
                  <w14:solidFill>
                    <w14:schemeClr w14:val="tx1"/>
                  </w14:solidFill>
                </w14:textFill>
              </w:rPr>
            </w:pPr>
          </w:p>
        </w:tc>
        <w:tc>
          <w:tcPr>
            <w:tcW w:w="496" w:type="pct"/>
            <w:tcBorders>
              <w:tl2br w:val="nil"/>
              <w:tr2bl w:val="nil"/>
            </w:tcBorders>
            <w:vAlign w:val="center"/>
          </w:tcPr>
          <w:p w14:paraId="14E71A01">
            <w:pPr>
              <w:jc w:val="center"/>
              <w:rPr>
                <w:rFonts w:hint="eastAsia" w:asciiTheme="minorEastAsia" w:hAnsiTheme="minorEastAsia" w:eastAsiaTheme="minorEastAsia" w:cstheme="minorEastAsia"/>
                <w:color w:val="000000" w:themeColor="text1"/>
                <w:sz w:val="24"/>
                <w14:textFill>
                  <w14:solidFill>
                    <w14:schemeClr w14:val="tx1"/>
                  </w14:solidFill>
                </w14:textFill>
              </w:rPr>
            </w:pPr>
          </w:p>
        </w:tc>
      </w:tr>
      <w:tr w14:paraId="5818FBE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jc w:val="center"/>
        </w:trPr>
        <w:tc>
          <w:tcPr>
            <w:tcW w:w="393" w:type="pct"/>
            <w:tcBorders>
              <w:tl2br w:val="nil"/>
              <w:tr2bl w:val="nil"/>
            </w:tcBorders>
            <w:vAlign w:val="center"/>
          </w:tcPr>
          <w:p w14:paraId="44E70673">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w:t>
            </w:r>
          </w:p>
        </w:tc>
        <w:tc>
          <w:tcPr>
            <w:tcW w:w="1209" w:type="pct"/>
            <w:tcBorders>
              <w:tl2br w:val="nil"/>
              <w:tr2bl w:val="nil"/>
            </w:tcBorders>
            <w:vAlign w:val="center"/>
          </w:tcPr>
          <w:p w14:paraId="6DEF45B7">
            <w:pPr>
              <w:jc w:val="center"/>
              <w:rPr>
                <w:rFonts w:hint="eastAsia" w:asciiTheme="minorEastAsia" w:hAnsiTheme="minorEastAsia" w:eastAsiaTheme="minorEastAsia" w:cstheme="minorEastAsia"/>
                <w:color w:val="000000" w:themeColor="text1"/>
                <w:sz w:val="24"/>
                <w14:textFill>
                  <w14:solidFill>
                    <w14:schemeClr w14:val="tx1"/>
                  </w14:solidFill>
                </w14:textFill>
              </w:rPr>
            </w:pPr>
          </w:p>
        </w:tc>
        <w:tc>
          <w:tcPr>
            <w:tcW w:w="2260" w:type="pct"/>
            <w:tcBorders>
              <w:tl2br w:val="nil"/>
              <w:tr2bl w:val="nil"/>
            </w:tcBorders>
            <w:vAlign w:val="center"/>
          </w:tcPr>
          <w:p w14:paraId="0F525DEB">
            <w:pPr>
              <w:jc w:val="left"/>
              <w:rPr>
                <w:rFonts w:hint="eastAsia" w:asciiTheme="minorEastAsia" w:hAnsiTheme="minorEastAsia" w:eastAsiaTheme="minorEastAsia" w:cstheme="minorEastAsia"/>
                <w:color w:val="000000" w:themeColor="text1"/>
                <w:sz w:val="24"/>
                <w14:textFill>
                  <w14:solidFill>
                    <w14:schemeClr w14:val="tx1"/>
                  </w14:solidFill>
                </w14:textFill>
              </w:rPr>
            </w:pPr>
          </w:p>
        </w:tc>
        <w:tc>
          <w:tcPr>
            <w:tcW w:w="640" w:type="pct"/>
            <w:tcBorders>
              <w:tl2br w:val="nil"/>
              <w:tr2bl w:val="nil"/>
            </w:tcBorders>
            <w:vAlign w:val="center"/>
          </w:tcPr>
          <w:p w14:paraId="65E9AB27">
            <w:pPr>
              <w:jc w:val="center"/>
              <w:rPr>
                <w:rFonts w:hint="eastAsia" w:asciiTheme="minorEastAsia" w:hAnsiTheme="minorEastAsia" w:eastAsiaTheme="minorEastAsia" w:cstheme="minorEastAsia"/>
                <w:color w:val="000000" w:themeColor="text1"/>
                <w:sz w:val="24"/>
                <w14:textFill>
                  <w14:solidFill>
                    <w14:schemeClr w14:val="tx1"/>
                  </w14:solidFill>
                </w14:textFill>
              </w:rPr>
            </w:pPr>
          </w:p>
        </w:tc>
        <w:tc>
          <w:tcPr>
            <w:tcW w:w="496" w:type="pct"/>
            <w:tcBorders>
              <w:tl2br w:val="nil"/>
              <w:tr2bl w:val="nil"/>
            </w:tcBorders>
            <w:vAlign w:val="center"/>
          </w:tcPr>
          <w:p w14:paraId="5057EC81">
            <w:pPr>
              <w:jc w:val="center"/>
              <w:rPr>
                <w:rFonts w:hint="eastAsia" w:asciiTheme="minorEastAsia" w:hAnsiTheme="minorEastAsia" w:eastAsiaTheme="minorEastAsia" w:cstheme="minorEastAsia"/>
                <w:color w:val="000000" w:themeColor="text1"/>
                <w:sz w:val="24"/>
                <w14:textFill>
                  <w14:solidFill>
                    <w14:schemeClr w14:val="tx1"/>
                  </w14:solidFill>
                </w14:textFill>
              </w:rPr>
            </w:pPr>
          </w:p>
        </w:tc>
      </w:tr>
      <w:tr w14:paraId="791CD7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393" w:type="pct"/>
            <w:tcBorders>
              <w:tl2br w:val="nil"/>
              <w:tr2bl w:val="nil"/>
            </w:tcBorders>
            <w:vAlign w:val="center"/>
          </w:tcPr>
          <w:p w14:paraId="5185EF51">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3</w:t>
            </w:r>
          </w:p>
        </w:tc>
        <w:tc>
          <w:tcPr>
            <w:tcW w:w="1209" w:type="pct"/>
            <w:tcBorders>
              <w:tl2br w:val="nil"/>
              <w:tr2bl w:val="nil"/>
            </w:tcBorders>
            <w:vAlign w:val="center"/>
          </w:tcPr>
          <w:p w14:paraId="1A3ADB0F">
            <w:pPr>
              <w:jc w:val="center"/>
              <w:rPr>
                <w:rFonts w:hint="eastAsia" w:asciiTheme="minorEastAsia" w:hAnsiTheme="minorEastAsia" w:eastAsiaTheme="minorEastAsia" w:cstheme="minorEastAsia"/>
                <w:color w:val="000000" w:themeColor="text1"/>
                <w:sz w:val="24"/>
                <w14:textFill>
                  <w14:solidFill>
                    <w14:schemeClr w14:val="tx1"/>
                  </w14:solidFill>
                </w14:textFill>
              </w:rPr>
            </w:pPr>
          </w:p>
        </w:tc>
        <w:tc>
          <w:tcPr>
            <w:tcW w:w="2260" w:type="pct"/>
            <w:tcBorders>
              <w:tl2br w:val="nil"/>
              <w:tr2bl w:val="nil"/>
            </w:tcBorders>
            <w:vAlign w:val="center"/>
          </w:tcPr>
          <w:p w14:paraId="5EF27FC0">
            <w:pPr>
              <w:jc w:val="left"/>
              <w:rPr>
                <w:rFonts w:hint="eastAsia" w:asciiTheme="minorEastAsia" w:hAnsiTheme="minorEastAsia" w:eastAsiaTheme="minorEastAsia" w:cstheme="minorEastAsia"/>
                <w:color w:val="000000" w:themeColor="text1"/>
                <w:sz w:val="24"/>
                <w14:textFill>
                  <w14:solidFill>
                    <w14:schemeClr w14:val="tx1"/>
                  </w14:solidFill>
                </w14:textFill>
              </w:rPr>
            </w:pPr>
          </w:p>
        </w:tc>
        <w:tc>
          <w:tcPr>
            <w:tcW w:w="640" w:type="pct"/>
            <w:tcBorders>
              <w:tl2br w:val="nil"/>
              <w:tr2bl w:val="nil"/>
            </w:tcBorders>
            <w:vAlign w:val="center"/>
          </w:tcPr>
          <w:p w14:paraId="181BD686">
            <w:pPr>
              <w:jc w:val="center"/>
              <w:rPr>
                <w:rFonts w:hint="eastAsia" w:asciiTheme="minorEastAsia" w:hAnsiTheme="minorEastAsia" w:eastAsiaTheme="minorEastAsia" w:cstheme="minorEastAsia"/>
                <w:color w:val="000000" w:themeColor="text1"/>
                <w:sz w:val="24"/>
                <w14:textFill>
                  <w14:solidFill>
                    <w14:schemeClr w14:val="tx1"/>
                  </w14:solidFill>
                </w14:textFill>
              </w:rPr>
            </w:pPr>
          </w:p>
        </w:tc>
        <w:tc>
          <w:tcPr>
            <w:tcW w:w="496" w:type="pct"/>
            <w:tcBorders>
              <w:tl2br w:val="nil"/>
              <w:tr2bl w:val="nil"/>
            </w:tcBorders>
            <w:vAlign w:val="center"/>
          </w:tcPr>
          <w:p w14:paraId="7F018A20">
            <w:pPr>
              <w:jc w:val="center"/>
              <w:rPr>
                <w:rFonts w:hint="eastAsia" w:asciiTheme="minorEastAsia" w:hAnsiTheme="minorEastAsia" w:eastAsiaTheme="minorEastAsia" w:cstheme="minorEastAsia"/>
                <w:color w:val="000000" w:themeColor="text1"/>
                <w:sz w:val="24"/>
                <w14:textFill>
                  <w14:solidFill>
                    <w14:schemeClr w14:val="tx1"/>
                  </w14:solidFill>
                </w14:textFill>
              </w:rPr>
            </w:pPr>
          </w:p>
        </w:tc>
      </w:tr>
      <w:tr w14:paraId="12BC6DE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393" w:type="pct"/>
            <w:tcBorders>
              <w:tl2br w:val="nil"/>
              <w:tr2bl w:val="nil"/>
            </w:tcBorders>
            <w:vAlign w:val="center"/>
          </w:tcPr>
          <w:p w14:paraId="627E568F">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4</w:t>
            </w:r>
          </w:p>
        </w:tc>
        <w:tc>
          <w:tcPr>
            <w:tcW w:w="1209" w:type="pct"/>
            <w:tcBorders>
              <w:tl2br w:val="nil"/>
              <w:tr2bl w:val="nil"/>
            </w:tcBorders>
            <w:vAlign w:val="center"/>
          </w:tcPr>
          <w:p w14:paraId="23CB9513">
            <w:pPr>
              <w:jc w:val="center"/>
              <w:rPr>
                <w:rFonts w:hint="eastAsia" w:asciiTheme="minorEastAsia" w:hAnsiTheme="minorEastAsia" w:eastAsiaTheme="minorEastAsia" w:cstheme="minorEastAsia"/>
                <w:color w:val="000000" w:themeColor="text1"/>
                <w:sz w:val="24"/>
                <w14:textFill>
                  <w14:solidFill>
                    <w14:schemeClr w14:val="tx1"/>
                  </w14:solidFill>
                </w14:textFill>
              </w:rPr>
            </w:pPr>
          </w:p>
        </w:tc>
        <w:tc>
          <w:tcPr>
            <w:tcW w:w="2260" w:type="pct"/>
            <w:tcBorders>
              <w:tl2br w:val="nil"/>
              <w:tr2bl w:val="nil"/>
            </w:tcBorders>
            <w:vAlign w:val="center"/>
          </w:tcPr>
          <w:p w14:paraId="5422CDAC">
            <w:pPr>
              <w:jc w:val="left"/>
              <w:rPr>
                <w:rFonts w:hint="eastAsia" w:asciiTheme="minorEastAsia" w:hAnsiTheme="minorEastAsia" w:eastAsiaTheme="minorEastAsia" w:cstheme="minorEastAsia"/>
                <w:color w:val="000000" w:themeColor="text1"/>
                <w:sz w:val="24"/>
                <w14:textFill>
                  <w14:solidFill>
                    <w14:schemeClr w14:val="tx1"/>
                  </w14:solidFill>
                </w14:textFill>
              </w:rPr>
            </w:pPr>
          </w:p>
        </w:tc>
        <w:tc>
          <w:tcPr>
            <w:tcW w:w="640" w:type="pct"/>
            <w:tcBorders>
              <w:tl2br w:val="nil"/>
              <w:tr2bl w:val="nil"/>
            </w:tcBorders>
            <w:vAlign w:val="center"/>
          </w:tcPr>
          <w:p w14:paraId="56391C2B">
            <w:pPr>
              <w:jc w:val="center"/>
              <w:rPr>
                <w:rFonts w:hint="eastAsia" w:asciiTheme="minorEastAsia" w:hAnsiTheme="minorEastAsia" w:eastAsiaTheme="minorEastAsia" w:cstheme="minorEastAsia"/>
                <w:color w:val="000000" w:themeColor="text1"/>
                <w:sz w:val="24"/>
                <w14:textFill>
                  <w14:solidFill>
                    <w14:schemeClr w14:val="tx1"/>
                  </w14:solidFill>
                </w14:textFill>
              </w:rPr>
            </w:pPr>
          </w:p>
        </w:tc>
        <w:tc>
          <w:tcPr>
            <w:tcW w:w="496" w:type="pct"/>
            <w:tcBorders>
              <w:tl2br w:val="nil"/>
              <w:tr2bl w:val="nil"/>
            </w:tcBorders>
            <w:vAlign w:val="center"/>
          </w:tcPr>
          <w:p w14:paraId="67FA91E8">
            <w:pPr>
              <w:jc w:val="center"/>
              <w:rPr>
                <w:rFonts w:hint="eastAsia" w:asciiTheme="minorEastAsia" w:hAnsiTheme="minorEastAsia" w:eastAsiaTheme="minorEastAsia" w:cstheme="minorEastAsia"/>
                <w:color w:val="000000" w:themeColor="text1"/>
                <w:sz w:val="24"/>
                <w14:textFill>
                  <w14:solidFill>
                    <w14:schemeClr w14:val="tx1"/>
                  </w14:solidFill>
                </w14:textFill>
              </w:rPr>
            </w:pPr>
          </w:p>
        </w:tc>
      </w:tr>
      <w:tr w14:paraId="4DF6D5F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jc w:val="center"/>
        </w:trPr>
        <w:tc>
          <w:tcPr>
            <w:tcW w:w="393" w:type="pct"/>
            <w:tcBorders>
              <w:tl2br w:val="nil"/>
              <w:tr2bl w:val="nil"/>
            </w:tcBorders>
            <w:vAlign w:val="center"/>
          </w:tcPr>
          <w:p w14:paraId="61D079ED">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5</w:t>
            </w:r>
          </w:p>
        </w:tc>
        <w:tc>
          <w:tcPr>
            <w:tcW w:w="1209" w:type="pct"/>
            <w:tcBorders>
              <w:tl2br w:val="nil"/>
              <w:tr2bl w:val="nil"/>
            </w:tcBorders>
            <w:vAlign w:val="center"/>
          </w:tcPr>
          <w:p w14:paraId="15E2587C">
            <w:pPr>
              <w:jc w:val="center"/>
              <w:rPr>
                <w:rFonts w:hint="eastAsia" w:asciiTheme="minorEastAsia" w:hAnsiTheme="minorEastAsia" w:eastAsiaTheme="minorEastAsia" w:cstheme="minorEastAsia"/>
                <w:color w:val="000000" w:themeColor="text1"/>
                <w:sz w:val="24"/>
                <w14:textFill>
                  <w14:solidFill>
                    <w14:schemeClr w14:val="tx1"/>
                  </w14:solidFill>
                </w14:textFill>
              </w:rPr>
            </w:pPr>
          </w:p>
        </w:tc>
        <w:tc>
          <w:tcPr>
            <w:tcW w:w="2260" w:type="pct"/>
            <w:tcBorders>
              <w:tl2br w:val="nil"/>
              <w:tr2bl w:val="nil"/>
            </w:tcBorders>
            <w:vAlign w:val="center"/>
          </w:tcPr>
          <w:p w14:paraId="2769494B">
            <w:pPr>
              <w:jc w:val="left"/>
              <w:rPr>
                <w:rFonts w:hint="eastAsia" w:asciiTheme="minorEastAsia" w:hAnsiTheme="minorEastAsia" w:eastAsiaTheme="minorEastAsia" w:cstheme="minorEastAsia"/>
                <w:color w:val="000000" w:themeColor="text1"/>
                <w:sz w:val="24"/>
                <w14:textFill>
                  <w14:solidFill>
                    <w14:schemeClr w14:val="tx1"/>
                  </w14:solidFill>
                </w14:textFill>
              </w:rPr>
            </w:pPr>
          </w:p>
        </w:tc>
        <w:tc>
          <w:tcPr>
            <w:tcW w:w="640" w:type="pct"/>
            <w:tcBorders>
              <w:tl2br w:val="nil"/>
              <w:tr2bl w:val="nil"/>
            </w:tcBorders>
            <w:vAlign w:val="center"/>
          </w:tcPr>
          <w:p w14:paraId="0D2D7739">
            <w:pPr>
              <w:jc w:val="center"/>
              <w:rPr>
                <w:rFonts w:hint="eastAsia" w:asciiTheme="minorEastAsia" w:hAnsiTheme="minorEastAsia" w:eastAsiaTheme="minorEastAsia" w:cstheme="minorEastAsia"/>
                <w:color w:val="000000" w:themeColor="text1"/>
                <w:sz w:val="24"/>
                <w14:textFill>
                  <w14:solidFill>
                    <w14:schemeClr w14:val="tx1"/>
                  </w14:solidFill>
                </w14:textFill>
              </w:rPr>
            </w:pPr>
          </w:p>
        </w:tc>
        <w:tc>
          <w:tcPr>
            <w:tcW w:w="496" w:type="pct"/>
            <w:tcBorders>
              <w:tl2br w:val="nil"/>
              <w:tr2bl w:val="nil"/>
            </w:tcBorders>
            <w:vAlign w:val="center"/>
          </w:tcPr>
          <w:p w14:paraId="2443894B">
            <w:pPr>
              <w:jc w:val="center"/>
              <w:rPr>
                <w:rFonts w:hint="eastAsia" w:asciiTheme="minorEastAsia" w:hAnsiTheme="minorEastAsia" w:eastAsiaTheme="minorEastAsia" w:cstheme="minorEastAsia"/>
                <w:color w:val="000000" w:themeColor="text1"/>
                <w:sz w:val="24"/>
                <w14:textFill>
                  <w14:solidFill>
                    <w14:schemeClr w14:val="tx1"/>
                  </w14:solidFill>
                </w14:textFill>
              </w:rPr>
            </w:pPr>
          </w:p>
        </w:tc>
      </w:tr>
      <w:tr w14:paraId="4E88D9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393" w:type="pct"/>
            <w:tcBorders>
              <w:tl2br w:val="nil"/>
              <w:tr2bl w:val="nil"/>
            </w:tcBorders>
            <w:vAlign w:val="center"/>
          </w:tcPr>
          <w:p w14:paraId="117A5446">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w:t>
            </w:r>
          </w:p>
        </w:tc>
        <w:tc>
          <w:tcPr>
            <w:tcW w:w="1209" w:type="pct"/>
            <w:tcBorders>
              <w:tl2br w:val="nil"/>
              <w:tr2bl w:val="nil"/>
            </w:tcBorders>
            <w:vAlign w:val="center"/>
          </w:tcPr>
          <w:p w14:paraId="1CFFAD1E">
            <w:pPr>
              <w:jc w:val="center"/>
              <w:rPr>
                <w:rFonts w:hint="eastAsia" w:asciiTheme="minorEastAsia" w:hAnsiTheme="minorEastAsia" w:eastAsiaTheme="minorEastAsia" w:cstheme="minorEastAsia"/>
                <w:color w:val="000000" w:themeColor="text1"/>
                <w:sz w:val="24"/>
                <w14:textFill>
                  <w14:solidFill>
                    <w14:schemeClr w14:val="tx1"/>
                  </w14:solidFill>
                </w14:textFill>
              </w:rPr>
            </w:pPr>
          </w:p>
        </w:tc>
        <w:tc>
          <w:tcPr>
            <w:tcW w:w="2260" w:type="pct"/>
            <w:tcBorders>
              <w:tl2br w:val="nil"/>
              <w:tr2bl w:val="nil"/>
            </w:tcBorders>
            <w:vAlign w:val="center"/>
          </w:tcPr>
          <w:p w14:paraId="17A10768">
            <w:pPr>
              <w:jc w:val="left"/>
              <w:rPr>
                <w:rFonts w:hint="eastAsia" w:asciiTheme="minorEastAsia" w:hAnsiTheme="minorEastAsia" w:eastAsiaTheme="minorEastAsia" w:cstheme="minorEastAsia"/>
                <w:color w:val="000000" w:themeColor="text1"/>
                <w:sz w:val="24"/>
                <w14:textFill>
                  <w14:solidFill>
                    <w14:schemeClr w14:val="tx1"/>
                  </w14:solidFill>
                </w14:textFill>
              </w:rPr>
            </w:pPr>
          </w:p>
        </w:tc>
        <w:tc>
          <w:tcPr>
            <w:tcW w:w="640" w:type="pct"/>
            <w:tcBorders>
              <w:tl2br w:val="nil"/>
              <w:tr2bl w:val="nil"/>
            </w:tcBorders>
            <w:vAlign w:val="center"/>
          </w:tcPr>
          <w:p w14:paraId="17A5DA67">
            <w:pPr>
              <w:jc w:val="center"/>
              <w:rPr>
                <w:rFonts w:hint="eastAsia" w:asciiTheme="minorEastAsia" w:hAnsiTheme="minorEastAsia" w:eastAsiaTheme="minorEastAsia" w:cstheme="minorEastAsia"/>
                <w:color w:val="000000" w:themeColor="text1"/>
                <w:sz w:val="24"/>
                <w14:textFill>
                  <w14:solidFill>
                    <w14:schemeClr w14:val="tx1"/>
                  </w14:solidFill>
                </w14:textFill>
              </w:rPr>
            </w:pPr>
          </w:p>
        </w:tc>
        <w:tc>
          <w:tcPr>
            <w:tcW w:w="496" w:type="pct"/>
            <w:tcBorders>
              <w:tl2br w:val="nil"/>
              <w:tr2bl w:val="nil"/>
            </w:tcBorders>
            <w:vAlign w:val="center"/>
          </w:tcPr>
          <w:p w14:paraId="50B86F0B">
            <w:pPr>
              <w:jc w:val="center"/>
              <w:rPr>
                <w:rFonts w:hint="eastAsia" w:asciiTheme="minorEastAsia" w:hAnsiTheme="minorEastAsia" w:eastAsiaTheme="minorEastAsia" w:cstheme="minorEastAsia"/>
                <w:color w:val="000000" w:themeColor="text1"/>
                <w:sz w:val="24"/>
                <w14:textFill>
                  <w14:solidFill>
                    <w14:schemeClr w14:val="tx1"/>
                  </w14:solidFill>
                </w14:textFill>
              </w:rPr>
            </w:pPr>
          </w:p>
        </w:tc>
      </w:tr>
    </w:tbl>
    <w:p w14:paraId="7315A183">
      <w:pP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br w:type="page"/>
      </w:r>
    </w:p>
    <w:p w14:paraId="1FE222D7">
      <w:pPr>
        <w:pStyle w:val="4"/>
        <w:spacing w:line="600" w:lineRule="auto"/>
        <w:jc w:val="center"/>
        <w:rPr>
          <w:rFonts w:hint="eastAsia" w:asciiTheme="minorEastAsia" w:hAnsiTheme="minorEastAsia" w:eastAsiaTheme="minorEastAsia" w:cstheme="minorEastAsia"/>
          <w:sz w:val="32"/>
          <w:szCs w:val="40"/>
        </w:rPr>
      </w:pPr>
      <w:bookmarkStart w:id="402" w:name="_Toc22292"/>
      <w:r>
        <w:rPr>
          <w:rFonts w:hint="eastAsia" w:asciiTheme="minorEastAsia" w:hAnsiTheme="minorEastAsia" w:eastAsiaTheme="minorEastAsia" w:cstheme="minorEastAsia"/>
          <w:sz w:val="32"/>
          <w:szCs w:val="40"/>
        </w:rPr>
        <w:t>十、采购需求偏离表</w:t>
      </w:r>
      <w:bookmarkEnd w:id="402"/>
    </w:p>
    <w:p w14:paraId="415F5C82">
      <w:pP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sz w:val="24"/>
        </w:rPr>
        <w:t>项目名称</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 xml:space="preserve">        政府采购计划编号：</w:t>
      </w:r>
      <w:r>
        <w:rPr>
          <w:rFonts w:hint="eastAsia" w:asciiTheme="minorEastAsia" w:hAnsiTheme="minorEastAsia" w:eastAsiaTheme="minorEastAsia" w:cstheme="minorEastAsia"/>
          <w:sz w:val="24"/>
          <w:u w:val="single"/>
        </w:rPr>
        <w:t xml:space="preserve">              </w:t>
      </w:r>
    </w:p>
    <w:tbl>
      <w:tblPr>
        <w:tblStyle w:val="90"/>
        <w:tblW w:w="969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35"/>
        <w:gridCol w:w="2659"/>
        <w:gridCol w:w="2188"/>
        <w:gridCol w:w="2096"/>
        <w:gridCol w:w="1917"/>
      </w:tblGrid>
      <w:tr w14:paraId="36518F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644" w:hRule="atLeast"/>
          <w:jc w:val="center"/>
        </w:trPr>
        <w:tc>
          <w:tcPr>
            <w:tcW w:w="835" w:type="dxa"/>
            <w:tcBorders>
              <w:tl2br w:val="nil"/>
              <w:tr2bl w:val="nil"/>
            </w:tcBorders>
            <w:vAlign w:val="center"/>
          </w:tcPr>
          <w:p w14:paraId="026CCF3B">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szCs w:val="32"/>
              </w:rPr>
              <w:t>序号</w:t>
            </w:r>
          </w:p>
        </w:tc>
        <w:tc>
          <w:tcPr>
            <w:tcW w:w="2659" w:type="dxa"/>
            <w:tcBorders>
              <w:tl2br w:val="nil"/>
              <w:tr2bl w:val="nil"/>
            </w:tcBorders>
            <w:vAlign w:val="center"/>
          </w:tcPr>
          <w:p w14:paraId="2356C268">
            <w:pPr>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招标文件章节条款号</w:t>
            </w:r>
          </w:p>
        </w:tc>
        <w:tc>
          <w:tcPr>
            <w:tcW w:w="2188" w:type="dxa"/>
            <w:tcBorders>
              <w:tl2br w:val="nil"/>
              <w:tr2bl w:val="nil"/>
            </w:tcBorders>
            <w:vAlign w:val="center"/>
          </w:tcPr>
          <w:p w14:paraId="526CDD8F">
            <w:pPr>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招标文件要求</w:t>
            </w:r>
          </w:p>
        </w:tc>
        <w:tc>
          <w:tcPr>
            <w:tcW w:w="2096" w:type="dxa"/>
            <w:tcBorders>
              <w:tl2br w:val="nil"/>
              <w:tr2bl w:val="nil"/>
            </w:tcBorders>
            <w:vAlign w:val="center"/>
          </w:tcPr>
          <w:p w14:paraId="357C9642">
            <w:pPr>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投标文件应答</w:t>
            </w:r>
          </w:p>
        </w:tc>
        <w:tc>
          <w:tcPr>
            <w:tcW w:w="1917" w:type="dxa"/>
            <w:tcBorders>
              <w:tl2br w:val="nil"/>
              <w:tr2bl w:val="nil"/>
            </w:tcBorders>
            <w:vAlign w:val="center"/>
          </w:tcPr>
          <w:p w14:paraId="079D3D9E">
            <w:pPr>
              <w:jc w:val="cente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偏离说明</w:t>
            </w:r>
          </w:p>
        </w:tc>
      </w:tr>
      <w:tr w14:paraId="6A43CA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835" w:type="dxa"/>
            <w:tcBorders>
              <w:tl2br w:val="nil"/>
              <w:tr2bl w:val="nil"/>
            </w:tcBorders>
            <w:vAlign w:val="center"/>
          </w:tcPr>
          <w:p w14:paraId="71FABE58">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p>
        </w:tc>
        <w:tc>
          <w:tcPr>
            <w:tcW w:w="2659" w:type="dxa"/>
            <w:tcBorders>
              <w:tl2br w:val="nil"/>
              <w:tr2bl w:val="nil"/>
            </w:tcBorders>
            <w:vAlign w:val="center"/>
          </w:tcPr>
          <w:p w14:paraId="3B65338D">
            <w:pPr>
              <w:jc w:val="center"/>
              <w:rPr>
                <w:rFonts w:hint="eastAsia" w:asciiTheme="minorEastAsia" w:hAnsiTheme="minorEastAsia" w:eastAsiaTheme="minorEastAsia" w:cstheme="minorEastAsia"/>
              </w:rPr>
            </w:pPr>
          </w:p>
        </w:tc>
        <w:tc>
          <w:tcPr>
            <w:tcW w:w="2188" w:type="dxa"/>
            <w:tcBorders>
              <w:tl2br w:val="nil"/>
              <w:tr2bl w:val="nil"/>
            </w:tcBorders>
            <w:vAlign w:val="center"/>
          </w:tcPr>
          <w:p w14:paraId="34776C2F">
            <w:pPr>
              <w:jc w:val="center"/>
              <w:rPr>
                <w:rFonts w:hint="eastAsia" w:asciiTheme="minorEastAsia" w:hAnsiTheme="minorEastAsia" w:eastAsiaTheme="minorEastAsia" w:cstheme="minorEastAsia"/>
              </w:rPr>
            </w:pPr>
          </w:p>
        </w:tc>
        <w:tc>
          <w:tcPr>
            <w:tcW w:w="2096" w:type="dxa"/>
            <w:tcBorders>
              <w:tl2br w:val="nil"/>
              <w:tr2bl w:val="nil"/>
            </w:tcBorders>
            <w:vAlign w:val="center"/>
          </w:tcPr>
          <w:p w14:paraId="647E173F">
            <w:pPr>
              <w:jc w:val="center"/>
              <w:rPr>
                <w:rFonts w:hint="eastAsia" w:asciiTheme="minorEastAsia" w:hAnsiTheme="minorEastAsia" w:eastAsiaTheme="minorEastAsia" w:cstheme="minorEastAsia"/>
              </w:rPr>
            </w:pPr>
          </w:p>
        </w:tc>
        <w:tc>
          <w:tcPr>
            <w:tcW w:w="1917" w:type="dxa"/>
            <w:tcBorders>
              <w:tl2br w:val="nil"/>
              <w:tr2bl w:val="nil"/>
            </w:tcBorders>
            <w:vAlign w:val="center"/>
          </w:tcPr>
          <w:p w14:paraId="544EB35D">
            <w:pPr>
              <w:jc w:val="center"/>
              <w:rPr>
                <w:rFonts w:hint="eastAsia" w:asciiTheme="minorEastAsia" w:hAnsiTheme="minorEastAsia" w:eastAsiaTheme="minorEastAsia" w:cstheme="minorEastAsia"/>
              </w:rPr>
            </w:pPr>
          </w:p>
        </w:tc>
      </w:tr>
      <w:tr w14:paraId="0DAD1BA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835" w:type="dxa"/>
            <w:tcBorders>
              <w:tl2br w:val="nil"/>
              <w:tr2bl w:val="nil"/>
            </w:tcBorders>
            <w:vAlign w:val="center"/>
          </w:tcPr>
          <w:p w14:paraId="45C44603">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p>
        </w:tc>
        <w:tc>
          <w:tcPr>
            <w:tcW w:w="2659" w:type="dxa"/>
            <w:tcBorders>
              <w:tl2br w:val="nil"/>
              <w:tr2bl w:val="nil"/>
            </w:tcBorders>
            <w:vAlign w:val="center"/>
          </w:tcPr>
          <w:p w14:paraId="15BECD24">
            <w:pPr>
              <w:jc w:val="center"/>
              <w:rPr>
                <w:rFonts w:hint="eastAsia" w:asciiTheme="minorEastAsia" w:hAnsiTheme="minorEastAsia" w:eastAsiaTheme="minorEastAsia" w:cstheme="minorEastAsia"/>
              </w:rPr>
            </w:pPr>
          </w:p>
        </w:tc>
        <w:tc>
          <w:tcPr>
            <w:tcW w:w="2188" w:type="dxa"/>
            <w:tcBorders>
              <w:tl2br w:val="nil"/>
              <w:tr2bl w:val="nil"/>
            </w:tcBorders>
            <w:vAlign w:val="center"/>
          </w:tcPr>
          <w:p w14:paraId="53D08EB5">
            <w:pPr>
              <w:jc w:val="center"/>
              <w:rPr>
                <w:rFonts w:hint="eastAsia" w:asciiTheme="minorEastAsia" w:hAnsiTheme="minorEastAsia" w:eastAsiaTheme="minorEastAsia" w:cstheme="minorEastAsia"/>
              </w:rPr>
            </w:pPr>
          </w:p>
        </w:tc>
        <w:tc>
          <w:tcPr>
            <w:tcW w:w="2096" w:type="dxa"/>
            <w:tcBorders>
              <w:tl2br w:val="nil"/>
              <w:tr2bl w:val="nil"/>
            </w:tcBorders>
            <w:vAlign w:val="center"/>
          </w:tcPr>
          <w:p w14:paraId="02FF8B2D">
            <w:pPr>
              <w:jc w:val="center"/>
              <w:rPr>
                <w:rFonts w:hint="eastAsia" w:asciiTheme="minorEastAsia" w:hAnsiTheme="minorEastAsia" w:eastAsiaTheme="minorEastAsia" w:cstheme="minorEastAsia"/>
              </w:rPr>
            </w:pPr>
          </w:p>
        </w:tc>
        <w:tc>
          <w:tcPr>
            <w:tcW w:w="1917" w:type="dxa"/>
            <w:tcBorders>
              <w:tl2br w:val="nil"/>
              <w:tr2bl w:val="nil"/>
            </w:tcBorders>
            <w:vAlign w:val="center"/>
          </w:tcPr>
          <w:p w14:paraId="208AF386">
            <w:pPr>
              <w:jc w:val="center"/>
              <w:rPr>
                <w:rFonts w:hint="eastAsia" w:asciiTheme="minorEastAsia" w:hAnsiTheme="minorEastAsia" w:eastAsiaTheme="minorEastAsia" w:cstheme="minorEastAsia"/>
              </w:rPr>
            </w:pPr>
          </w:p>
        </w:tc>
      </w:tr>
      <w:tr w14:paraId="7AFD993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835" w:type="dxa"/>
            <w:tcBorders>
              <w:tl2br w:val="nil"/>
              <w:tr2bl w:val="nil"/>
            </w:tcBorders>
            <w:vAlign w:val="center"/>
          </w:tcPr>
          <w:p w14:paraId="450B649C">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p>
        </w:tc>
        <w:tc>
          <w:tcPr>
            <w:tcW w:w="2659" w:type="dxa"/>
            <w:tcBorders>
              <w:tl2br w:val="nil"/>
              <w:tr2bl w:val="nil"/>
            </w:tcBorders>
            <w:vAlign w:val="center"/>
          </w:tcPr>
          <w:p w14:paraId="611F8751">
            <w:pPr>
              <w:jc w:val="center"/>
              <w:rPr>
                <w:rFonts w:hint="eastAsia" w:asciiTheme="minorEastAsia" w:hAnsiTheme="minorEastAsia" w:eastAsiaTheme="minorEastAsia" w:cstheme="minorEastAsia"/>
              </w:rPr>
            </w:pPr>
          </w:p>
        </w:tc>
        <w:tc>
          <w:tcPr>
            <w:tcW w:w="2188" w:type="dxa"/>
            <w:tcBorders>
              <w:tl2br w:val="nil"/>
              <w:tr2bl w:val="nil"/>
            </w:tcBorders>
            <w:vAlign w:val="center"/>
          </w:tcPr>
          <w:p w14:paraId="119715AE">
            <w:pPr>
              <w:jc w:val="center"/>
              <w:rPr>
                <w:rFonts w:hint="eastAsia" w:asciiTheme="minorEastAsia" w:hAnsiTheme="minorEastAsia" w:eastAsiaTheme="minorEastAsia" w:cstheme="minorEastAsia"/>
              </w:rPr>
            </w:pPr>
          </w:p>
        </w:tc>
        <w:tc>
          <w:tcPr>
            <w:tcW w:w="2096" w:type="dxa"/>
            <w:tcBorders>
              <w:tl2br w:val="nil"/>
              <w:tr2bl w:val="nil"/>
            </w:tcBorders>
            <w:vAlign w:val="center"/>
          </w:tcPr>
          <w:p w14:paraId="6C277339">
            <w:pPr>
              <w:jc w:val="center"/>
              <w:rPr>
                <w:rFonts w:hint="eastAsia" w:asciiTheme="minorEastAsia" w:hAnsiTheme="minorEastAsia" w:eastAsiaTheme="minorEastAsia" w:cstheme="minorEastAsia"/>
              </w:rPr>
            </w:pPr>
          </w:p>
        </w:tc>
        <w:tc>
          <w:tcPr>
            <w:tcW w:w="1917" w:type="dxa"/>
            <w:tcBorders>
              <w:tl2br w:val="nil"/>
              <w:tr2bl w:val="nil"/>
            </w:tcBorders>
            <w:vAlign w:val="center"/>
          </w:tcPr>
          <w:p w14:paraId="407C48B2">
            <w:pPr>
              <w:jc w:val="center"/>
              <w:rPr>
                <w:rFonts w:hint="eastAsia" w:asciiTheme="minorEastAsia" w:hAnsiTheme="minorEastAsia" w:eastAsiaTheme="minorEastAsia" w:cstheme="minorEastAsia"/>
              </w:rPr>
            </w:pPr>
          </w:p>
        </w:tc>
      </w:tr>
      <w:tr w14:paraId="46EFB5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835" w:type="dxa"/>
            <w:tcBorders>
              <w:tl2br w:val="nil"/>
              <w:tr2bl w:val="nil"/>
            </w:tcBorders>
            <w:vAlign w:val="center"/>
          </w:tcPr>
          <w:p w14:paraId="6DEC0143">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p>
        </w:tc>
        <w:tc>
          <w:tcPr>
            <w:tcW w:w="2659" w:type="dxa"/>
            <w:tcBorders>
              <w:tl2br w:val="nil"/>
              <w:tr2bl w:val="nil"/>
            </w:tcBorders>
            <w:vAlign w:val="center"/>
          </w:tcPr>
          <w:p w14:paraId="11F9545D">
            <w:pPr>
              <w:jc w:val="center"/>
              <w:rPr>
                <w:rFonts w:hint="eastAsia" w:asciiTheme="minorEastAsia" w:hAnsiTheme="minorEastAsia" w:eastAsiaTheme="minorEastAsia" w:cstheme="minorEastAsia"/>
              </w:rPr>
            </w:pPr>
          </w:p>
        </w:tc>
        <w:tc>
          <w:tcPr>
            <w:tcW w:w="2188" w:type="dxa"/>
            <w:tcBorders>
              <w:tl2br w:val="nil"/>
              <w:tr2bl w:val="nil"/>
            </w:tcBorders>
            <w:vAlign w:val="center"/>
          </w:tcPr>
          <w:p w14:paraId="2526325A">
            <w:pPr>
              <w:jc w:val="center"/>
              <w:rPr>
                <w:rFonts w:hint="eastAsia" w:asciiTheme="minorEastAsia" w:hAnsiTheme="minorEastAsia" w:eastAsiaTheme="minorEastAsia" w:cstheme="minorEastAsia"/>
              </w:rPr>
            </w:pPr>
          </w:p>
        </w:tc>
        <w:tc>
          <w:tcPr>
            <w:tcW w:w="2096" w:type="dxa"/>
            <w:tcBorders>
              <w:tl2br w:val="nil"/>
              <w:tr2bl w:val="nil"/>
            </w:tcBorders>
            <w:vAlign w:val="center"/>
          </w:tcPr>
          <w:p w14:paraId="456673DF">
            <w:pPr>
              <w:jc w:val="center"/>
              <w:rPr>
                <w:rFonts w:hint="eastAsia" w:asciiTheme="minorEastAsia" w:hAnsiTheme="minorEastAsia" w:eastAsiaTheme="minorEastAsia" w:cstheme="minorEastAsia"/>
              </w:rPr>
            </w:pPr>
          </w:p>
        </w:tc>
        <w:tc>
          <w:tcPr>
            <w:tcW w:w="1917" w:type="dxa"/>
            <w:tcBorders>
              <w:tl2br w:val="nil"/>
              <w:tr2bl w:val="nil"/>
            </w:tcBorders>
            <w:vAlign w:val="center"/>
          </w:tcPr>
          <w:p w14:paraId="06780F4D">
            <w:pPr>
              <w:jc w:val="center"/>
              <w:rPr>
                <w:rFonts w:hint="eastAsia" w:asciiTheme="minorEastAsia" w:hAnsiTheme="minorEastAsia" w:eastAsiaTheme="minorEastAsia" w:cstheme="minorEastAsia"/>
              </w:rPr>
            </w:pPr>
          </w:p>
        </w:tc>
      </w:tr>
      <w:tr w14:paraId="47DB1F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835" w:type="dxa"/>
            <w:tcBorders>
              <w:tl2br w:val="nil"/>
              <w:tr2bl w:val="nil"/>
            </w:tcBorders>
            <w:vAlign w:val="center"/>
          </w:tcPr>
          <w:p w14:paraId="7522D401">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tc>
        <w:tc>
          <w:tcPr>
            <w:tcW w:w="2659" w:type="dxa"/>
            <w:tcBorders>
              <w:tl2br w:val="nil"/>
              <w:tr2bl w:val="nil"/>
            </w:tcBorders>
            <w:vAlign w:val="center"/>
          </w:tcPr>
          <w:p w14:paraId="542C302F">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tc>
        <w:tc>
          <w:tcPr>
            <w:tcW w:w="2188" w:type="dxa"/>
            <w:tcBorders>
              <w:tl2br w:val="nil"/>
              <w:tr2bl w:val="nil"/>
            </w:tcBorders>
            <w:vAlign w:val="center"/>
          </w:tcPr>
          <w:p w14:paraId="3E4164CC">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tc>
        <w:tc>
          <w:tcPr>
            <w:tcW w:w="2096" w:type="dxa"/>
            <w:tcBorders>
              <w:tl2br w:val="nil"/>
              <w:tr2bl w:val="nil"/>
            </w:tcBorders>
            <w:vAlign w:val="center"/>
          </w:tcPr>
          <w:p w14:paraId="6DC4CB43">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tc>
        <w:tc>
          <w:tcPr>
            <w:tcW w:w="1917" w:type="dxa"/>
            <w:tcBorders>
              <w:tl2br w:val="nil"/>
              <w:tr2bl w:val="nil"/>
            </w:tcBorders>
            <w:vAlign w:val="center"/>
          </w:tcPr>
          <w:p w14:paraId="31B6AB6C">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tc>
      </w:tr>
      <w:tr w14:paraId="7E353BB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9695" w:type="dxa"/>
            <w:gridSpan w:val="5"/>
            <w:tcBorders>
              <w:tl2br w:val="nil"/>
              <w:tr2bl w:val="nil"/>
            </w:tcBorders>
            <w:vAlign w:val="center"/>
          </w:tcPr>
          <w:p w14:paraId="3C4A01D6">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bCs/>
                <w:sz w:val="24"/>
                <w:szCs w:val="32"/>
              </w:rPr>
              <w:t>投标人保证：除本采购需求偏离表列出的偏离外，我单位对招标文件的其他采购需求完全响应，无偏离。</w:t>
            </w:r>
          </w:p>
        </w:tc>
      </w:tr>
    </w:tbl>
    <w:p w14:paraId="5B3FE40B">
      <w:pPr>
        <w:adjustRightInd w:val="0"/>
        <w:snapToGrid w:val="0"/>
        <w:ind w:right="-6" w:firstLine="232" w:firstLineChars="100"/>
        <w:rPr>
          <w:rFonts w:hint="eastAsia" w:asciiTheme="minorEastAsia" w:hAnsiTheme="minorEastAsia" w:eastAsiaTheme="minorEastAsia" w:cstheme="minorEastAsia"/>
          <w:color w:val="000000" w:themeColor="text1"/>
          <w:spacing w:val="6"/>
          <w:sz w:val="22"/>
          <w:szCs w:val="22"/>
          <w14:textFill>
            <w14:solidFill>
              <w14:schemeClr w14:val="tx1"/>
            </w14:solidFill>
          </w14:textFill>
        </w:rPr>
      </w:pPr>
      <w:r>
        <w:rPr>
          <w:rFonts w:hint="eastAsia" w:asciiTheme="minorEastAsia" w:hAnsiTheme="minorEastAsia" w:eastAsiaTheme="minorEastAsia" w:cstheme="minorEastAsia"/>
          <w:color w:val="000000" w:themeColor="text1"/>
          <w:spacing w:val="6"/>
          <w:sz w:val="22"/>
          <w:szCs w:val="22"/>
          <w14:textFill>
            <w14:solidFill>
              <w14:schemeClr w14:val="tx1"/>
            </w14:solidFill>
          </w14:textFill>
        </w:rPr>
        <w:t>备注：</w:t>
      </w:r>
    </w:p>
    <w:p w14:paraId="3D1C65D2">
      <w:pPr>
        <w:adjustRightInd w:val="0"/>
        <w:snapToGrid w:val="0"/>
        <w:spacing w:line="360" w:lineRule="auto"/>
        <w:ind w:left="197" w:leftChars="94" w:right="-6" w:firstLine="464" w:firstLineChars="200"/>
        <w:rPr>
          <w:rFonts w:hint="eastAsia" w:asciiTheme="minorEastAsia" w:hAnsiTheme="minorEastAsia" w:eastAsiaTheme="minorEastAsia" w:cstheme="minorEastAsia"/>
          <w:spacing w:val="6"/>
          <w:sz w:val="22"/>
          <w:szCs w:val="22"/>
        </w:rPr>
      </w:pPr>
      <w:r>
        <w:rPr>
          <w:rFonts w:hint="eastAsia" w:asciiTheme="minorEastAsia" w:hAnsiTheme="minorEastAsia" w:eastAsiaTheme="minorEastAsia" w:cstheme="minorEastAsia"/>
          <w:color w:val="000000" w:themeColor="text1"/>
          <w:spacing w:val="6"/>
          <w:sz w:val="22"/>
          <w:szCs w:val="22"/>
          <w14:textFill>
            <w14:solidFill>
              <w14:schemeClr w14:val="tx1"/>
            </w14:solidFill>
          </w14:textFill>
        </w:rPr>
        <w:t>1.投标人应根据招标文件第五章采购需求</w:t>
      </w:r>
      <w:r>
        <w:rPr>
          <w:rFonts w:hint="eastAsia" w:asciiTheme="minorEastAsia" w:hAnsiTheme="minorEastAsia" w:eastAsiaTheme="minorEastAsia" w:cstheme="minorEastAsia"/>
          <w:spacing w:val="6"/>
          <w:sz w:val="22"/>
          <w:szCs w:val="22"/>
        </w:rPr>
        <w:t>填写本表；</w:t>
      </w:r>
    </w:p>
    <w:p w14:paraId="057AEB61">
      <w:pPr>
        <w:adjustRightInd w:val="0"/>
        <w:snapToGrid w:val="0"/>
        <w:spacing w:line="360" w:lineRule="auto"/>
        <w:ind w:left="197" w:leftChars="94" w:right="-6" w:firstLine="464" w:firstLineChars="200"/>
        <w:rPr>
          <w:rFonts w:hint="eastAsia" w:asciiTheme="minorEastAsia" w:hAnsiTheme="minorEastAsia" w:eastAsiaTheme="minorEastAsia" w:cstheme="minorEastAsia"/>
          <w:spacing w:val="6"/>
          <w:sz w:val="22"/>
          <w:szCs w:val="22"/>
        </w:rPr>
      </w:pPr>
      <w:r>
        <w:rPr>
          <w:rFonts w:hint="eastAsia" w:asciiTheme="minorEastAsia" w:hAnsiTheme="minorEastAsia" w:eastAsiaTheme="minorEastAsia" w:cstheme="minorEastAsia"/>
          <w:spacing w:val="6"/>
          <w:sz w:val="22"/>
          <w:szCs w:val="22"/>
        </w:rPr>
        <w:t>2.投标人如果对招标文件第五章采购需求的响应有偏离，应将偏离条款逐条如实应答，并作出说明；</w:t>
      </w:r>
    </w:p>
    <w:p w14:paraId="57A4A3A8">
      <w:pPr>
        <w:adjustRightInd w:val="0"/>
        <w:snapToGrid w:val="0"/>
        <w:spacing w:line="360" w:lineRule="auto"/>
        <w:ind w:left="197" w:leftChars="94" w:right="-6" w:firstLine="464" w:firstLineChars="200"/>
        <w:rPr>
          <w:rFonts w:hint="eastAsia" w:asciiTheme="minorEastAsia" w:hAnsiTheme="minorEastAsia" w:eastAsiaTheme="minorEastAsia" w:cstheme="minorEastAsia"/>
          <w:color w:val="000000" w:themeColor="text1"/>
          <w:spacing w:val="6"/>
          <w:sz w:val="22"/>
          <w:szCs w:val="22"/>
          <w14:textFill>
            <w14:solidFill>
              <w14:schemeClr w14:val="tx1"/>
            </w14:solidFill>
          </w14:textFill>
        </w:rPr>
      </w:pPr>
      <w:r>
        <w:rPr>
          <w:rFonts w:hint="eastAsia" w:asciiTheme="minorEastAsia" w:hAnsiTheme="minorEastAsia" w:eastAsiaTheme="minorEastAsia" w:cstheme="minorEastAsia"/>
          <w:spacing w:val="6"/>
          <w:sz w:val="22"/>
          <w:szCs w:val="22"/>
        </w:rPr>
        <w:t>3.如不提供此表，则视为投标人不满足招标文件第五章采购需求</w:t>
      </w:r>
      <w:r>
        <w:rPr>
          <w:rFonts w:hint="eastAsia" w:asciiTheme="minorEastAsia" w:hAnsiTheme="minorEastAsia" w:eastAsiaTheme="minorEastAsia" w:cstheme="minorEastAsia"/>
          <w:color w:val="000000" w:themeColor="text1"/>
          <w:spacing w:val="6"/>
          <w:sz w:val="22"/>
          <w:szCs w:val="22"/>
          <w14:textFill>
            <w14:solidFill>
              <w14:schemeClr w14:val="tx1"/>
            </w14:solidFill>
          </w14:textFill>
        </w:rPr>
        <w:t>的所有条款要求，其投标无效。</w:t>
      </w:r>
    </w:p>
    <w:p w14:paraId="62273F71">
      <w:pPr>
        <w:adjustRightInd w:val="0"/>
        <w:snapToGrid w:val="0"/>
        <w:spacing w:line="360" w:lineRule="auto"/>
        <w:ind w:left="197" w:leftChars="94" w:right="-6" w:firstLine="464" w:firstLineChars="200"/>
        <w:rPr>
          <w:rFonts w:hint="eastAsia" w:asciiTheme="minorEastAsia" w:hAnsiTheme="minorEastAsia" w:eastAsiaTheme="minorEastAsia" w:cstheme="minorEastAsia"/>
          <w:color w:val="000000" w:themeColor="text1"/>
          <w:spacing w:val="6"/>
          <w:sz w:val="22"/>
          <w:szCs w:val="22"/>
          <w14:textFill>
            <w14:solidFill>
              <w14:schemeClr w14:val="tx1"/>
            </w14:solidFill>
          </w14:textFill>
        </w:rPr>
      </w:pPr>
      <w:r>
        <w:rPr>
          <w:rFonts w:hint="eastAsia" w:asciiTheme="minorEastAsia" w:hAnsiTheme="minorEastAsia" w:eastAsiaTheme="minorEastAsia" w:cstheme="minorEastAsia"/>
          <w:color w:val="000000" w:themeColor="text1"/>
          <w:spacing w:val="6"/>
          <w:sz w:val="22"/>
          <w:szCs w:val="22"/>
          <w14:textFill>
            <w14:solidFill>
              <w14:schemeClr w14:val="tx1"/>
            </w14:solidFill>
          </w14:textFill>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16B9C2F8">
      <w:pPr>
        <w:pStyle w:val="89"/>
        <w:ind w:left="0" w:leftChars="0" w:firstLineChars="0"/>
        <w:rPr>
          <w:rFonts w:hint="eastAsia" w:asciiTheme="minorEastAsia" w:hAnsiTheme="minorEastAsia" w:eastAsiaTheme="minorEastAsia" w:cstheme="minorEastAsia"/>
          <w:color w:val="000000" w:themeColor="text1"/>
          <w14:textFill>
            <w14:solidFill>
              <w14:schemeClr w14:val="tx1"/>
            </w14:solidFill>
          </w14:textFill>
        </w:rPr>
      </w:pPr>
    </w:p>
    <w:p w14:paraId="6F7973AA">
      <w:pPr>
        <w:adjustRightInd w:val="0"/>
        <w:snapToGrid w:val="0"/>
        <w:spacing w:before="50" w:line="360" w:lineRule="auto"/>
        <w:ind w:firstLine="482" w:firstLineChars="200"/>
        <w:rPr>
          <w:rFonts w:hint="eastAsia" w:asciiTheme="minorEastAsia" w:hAnsiTheme="minorEastAsia" w:eastAsiaTheme="minorEastAsia" w:cstheme="minorEastAsia"/>
          <w:b/>
          <w:bCs/>
          <w:color w:val="000000" w:themeColor="text1"/>
          <w:sz w:val="24"/>
          <w:u w:val="single"/>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投标人名称（盖单位公章）：</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p>
    <w:p w14:paraId="21573D37">
      <w:pPr>
        <w:adjustRightInd w:val="0"/>
        <w:snapToGrid w:val="0"/>
        <w:spacing w:before="50" w:line="360" w:lineRule="auto"/>
        <w:ind w:firstLine="482" w:firstLineChars="200"/>
        <w:rPr>
          <w:rFonts w:hint="eastAsia" w:asciiTheme="minorEastAsia" w:hAnsiTheme="minorEastAsia" w:eastAsiaTheme="minorEastAsia" w:cstheme="minorEastAsia"/>
          <w:b/>
          <w:bCs/>
          <w:color w:val="000000" w:themeColor="text1"/>
          <w:sz w:val="24"/>
          <w:u w:val="single"/>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法定代表人（单位负责人）或其授权的代理人（签字或印章）：</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p>
    <w:p w14:paraId="2AD43595">
      <w:pPr>
        <w:adjustRightInd w:val="0"/>
        <w:snapToGrid w:val="0"/>
        <w:spacing w:before="50" w:line="360" w:lineRule="auto"/>
        <w:ind w:firstLine="482" w:firstLineChars="200"/>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日  期：</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年</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月</w:t>
      </w:r>
      <w:r>
        <w:rPr>
          <w:rFonts w:hint="eastAsia" w:asciiTheme="minorEastAsia" w:hAnsiTheme="minorEastAsia" w:eastAsiaTheme="minorEastAsia" w:cstheme="minorEastAsia"/>
          <w:b/>
          <w:bCs/>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日</w:t>
      </w:r>
    </w:p>
    <w:p w14:paraId="2A185D5D">
      <w:pPr>
        <w:rPr>
          <w:rFonts w:hint="eastAsia" w:asciiTheme="minorEastAsia" w:hAnsiTheme="minorEastAsia" w:eastAsiaTheme="minorEastAsia" w:cstheme="minorEastAsia"/>
        </w:rPr>
      </w:pPr>
      <w:r>
        <w:rPr>
          <w:rFonts w:hint="eastAsia" w:asciiTheme="minorEastAsia" w:hAnsiTheme="minorEastAsia" w:eastAsiaTheme="minorEastAsia" w:cstheme="minorEastAsia"/>
        </w:rPr>
        <w:br w:type="page"/>
      </w:r>
    </w:p>
    <w:p w14:paraId="03C27029">
      <w:pPr>
        <w:pStyle w:val="4"/>
        <w:spacing w:line="720" w:lineRule="auto"/>
        <w:jc w:val="center"/>
        <w:rPr>
          <w:rFonts w:hint="eastAsia" w:asciiTheme="minorEastAsia" w:hAnsiTheme="minorEastAsia" w:eastAsiaTheme="minorEastAsia" w:cstheme="minorEastAsia"/>
          <w:sz w:val="32"/>
          <w:szCs w:val="40"/>
        </w:rPr>
      </w:pPr>
      <w:bookmarkStart w:id="403" w:name="_Toc14228"/>
      <w:r>
        <w:rPr>
          <w:rFonts w:hint="eastAsia" w:asciiTheme="minorEastAsia" w:hAnsiTheme="minorEastAsia" w:eastAsiaTheme="minorEastAsia" w:cstheme="minorEastAsia"/>
          <w:sz w:val="32"/>
          <w:szCs w:val="40"/>
        </w:rPr>
        <w:t>十一、投标标的符合招标文件规定的证明文件</w:t>
      </w:r>
      <w:bookmarkEnd w:id="403"/>
    </w:p>
    <w:p w14:paraId="55559149">
      <w:pPr>
        <w:adjustRightInd w:val="0"/>
        <w:snapToGrid w:val="0"/>
        <w:spacing w:line="720" w:lineRule="auto"/>
        <w:ind w:right="-4"/>
        <w:jc w:val="center"/>
        <w:rPr>
          <w:rFonts w:hint="eastAsia" w:asciiTheme="minorEastAsia" w:hAnsiTheme="minorEastAsia" w:eastAsiaTheme="minorEastAsia" w:cstheme="minorEastAsia"/>
          <w:color w:val="000000" w:themeColor="text1"/>
          <w:spacing w:val="6"/>
          <w:sz w:val="24"/>
          <w14:textFill>
            <w14:solidFill>
              <w14:schemeClr w14:val="tx1"/>
            </w14:solidFill>
          </w14:textFill>
        </w:rPr>
      </w:pPr>
      <w:r>
        <w:rPr>
          <w:rFonts w:hint="eastAsia" w:asciiTheme="minorEastAsia" w:hAnsiTheme="minorEastAsia" w:eastAsiaTheme="minorEastAsia" w:cstheme="minorEastAsia"/>
          <w:color w:val="000000" w:themeColor="text1"/>
          <w:spacing w:val="6"/>
          <w:sz w:val="24"/>
          <w14:textFill>
            <w14:solidFill>
              <w14:schemeClr w14:val="tx1"/>
            </w14:solidFill>
          </w14:textFill>
        </w:rPr>
        <w:t>备注：提供第五章规定的证明材料复印件。</w:t>
      </w:r>
    </w:p>
    <w:p w14:paraId="4EB386CB">
      <w:pPr>
        <w:rPr>
          <w:rFonts w:hint="eastAsia" w:asciiTheme="minorEastAsia" w:hAnsiTheme="minorEastAsia" w:eastAsiaTheme="minorEastAsia" w:cstheme="minorEastAsia"/>
          <w:sz w:val="32"/>
          <w:szCs w:val="40"/>
        </w:rPr>
      </w:pPr>
      <w:bookmarkStart w:id="404" w:name="_Toc6148"/>
    </w:p>
    <w:p w14:paraId="5846FB74">
      <w:pPr>
        <w:rPr>
          <w:rFonts w:hint="eastAsia" w:asciiTheme="minorEastAsia" w:hAnsiTheme="minorEastAsia" w:eastAsiaTheme="minorEastAsia" w:cstheme="minorEastAsia"/>
          <w:sz w:val="32"/>
          <w:szCs w:val="40"/>
        </w:rPr>
      </w:pPr>
    </w:p>
    <w:p w14:paraId="36296596">
      <w:pPr>
        <w:pStyle w:val="4"/>
        <w:numPr>
          <w:ilvl w:val="0"/>
          <w:numId w:val="30"/>
        </w:numPr>
        <w:spacing w:line="720" w:lineRule="auto"/>
        <w:jc w:val="center"/>
        <w:rPr>
          <w:rFonts w:hint="eastAsia" w:asciiTheme="minorEastAsia" w:hAnsiTheme="minorEastAsia" w:eastAsiaTheme="minorEastAsia" w:cstheme="minorEastAsia"/>
          <w:sz w:val="32"/>
          <w:szCs w:val="40"/>
        </w:rPr>
      </w:pPr>
      <w:bookmarkStart w:id="405" w:name="_Toc17112"/>
      <w:r>
        <w:rPr>
          <w:rFonts w:hint="eastAsia" w:asciiTheme="minorEastAsia" w:hAnsiTheme="minorEastAsia" w:eastAsiaTheme="minorEastAsia" w:cstheme="minorEastAsia"/>
          <w:sz w:val="32"/>
          <w:szCs w:val="40"/>
        </w:rPr>
        <w:t>投标人认为需提供的其他资料</w:t>
      </w:r>
      <w:bookmarkEnd w:id="404"/>
      <w:bookmarkEnd w:id="405"/>
    </w:p>
    <w:p w14:paraId="6D2AFA2A"/>
    <w:p w14:paraId="24CC12D3"/>
    <w:sectPr>
      <w:pgSz w:w="11906" w:h="16838"/>
      <w:pgMar w:top="1417" w:right="1037" w:bottom="1417" w:left="1270" w:header="1020" w:footer="964"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TimesNewRomanPSMT">
    <w:altName w:val="Times New Roman"/>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幼圆">
    <w:altName w:val="宋体"/>
    <w:panose1 w:val="0201050906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Book Antiqua">
    <w:altName w:val="Segoe Print"/>
    <w:panose1 w:val="02040602050305030304"/>
    <w:charset w:val="00"/>
    <w:family w:val="roman"/>
    <w:pitch w:val="default"/>
    <w:sig w:usb0="00000000" w:usb1="00000000" w:usb2="00000000" w:usb3="00000000" w:csb0="2000009F" w:csb1="DFD70000"/>
  </w:font>
  <w:font w:name="等线 Light">
    <w:panose1 w:val="02010600030101010101"/>
    <w:charset w:val="86"/>
    <w:family w:val="auto"/>
    <w:pitch w:val="default"/>
    <w:sig w:usb0="A00002BF" w:usb1="38CF7CFA" w:usb2="00000016" w:usb3="00000000" w:csb0="0004000F" w:csb1="00000000"/>
  </w:font>
  <w:font w:name="ˎ̥">
    <w:altName w:val="Times New Roman"/>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Ari">
    <w:altName w:val="Arial"/>
    <w:panose1 w:val="00000000000000000000"/>
    <w:charset w:val="00"/>
    <w:family w:val="auto"/>
    <w:pitch w:val="default"/>
    <w:sig w:usb0="00000000" w:usb1="00000000" w:usb2="00000000" w:usb3="00000000" w:csb0="00000001" w:csb1="00000000"/>
  </w:font>
  <w:font w:name="长城仿宋">
    <w:altName w:val="仿宋"/>
    <w:panose1 w:val="00000000000000000000"/>
    <w:charset w:val="86"/>
    <w:family w:val="auto"/>
    <w:pitch w:val="default"/>
    <w:sig w:usb0="00000000" w:usb1="00000000" w:usb2="00000010" w:usb3="00000000" w:csb0="00040000" w:csb1="00000000"/>
  </w:font>
  <w:font w:name="Abadi MT Condensed Light">
    <w:altName w:val="Segoe Print"/>
    <w:panose1 w:val="00000000000000000000"/>
    <w:charset w:val="00"/>
    <w:family w:val="auto"/>
    <w:pitch w:val="default"/>
    <w:sig w:usb0="00000000" w:usb1="00000000" w:usb2="00000000" w:usb3="00000000" w:csb0="00000001" w:csb1="00000000"/>
  </w:font>
  <w:font w:name="Corbel">
    <w:panose1 w:val="020B0503020204020204"/>
    <w:charset w:val="00"/>
    <w:family w:val="swiss"/>
    <w:pitch w:val="default"/>
    <w:sig w:usb0="A00002EF" w:usb1="4000A44B" w:usb2="00000000" w:usb3="00000000" w:csb0="2000019F" w:csb1="00000000"/>
  </w:font>
  <w:font w:name="Ђˎ̥">
    <w:altName w:val="Times New Roman"/>
    <w:panose1 w:val="00000000000000000000"/>
    <w:charset w:val="00"/>
    <w:family w:val="auto"/>
    <w:pitch w:val="default"/>
    <w:sig w:usb0="00000000" w:usb1="00000000" w:usb2="00000000" w:usb3="00000000" w:csb0="00040001" w:csb1="00000000"/>
  </w:font>
  <w:font w:name="文星仿宋">
    <w:altName w:val="仿宋"/>
    <w:panose1 w:val="00000000000000000000"/>
    <w:charset w:val="86"/>
    <w:family w:val="auto"/>
    <w:pitch w:val="default"/>
    <w:sig w:usb0="00000000" w:usb1="00000000" w:usb2="00000010"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方正隶书简体">
    <w:altName w:val="微软雅黑"/>
    <w:panose1 w:val="00000000000000000000"/>
    <w:charset w:val="86"/>
    <w:family w:val="auto"/>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北魏楷书简体">
    <w:altName w:val="微软雅黑"/>
    <w:panose1 w:val="00000000000000000000"/>
    <w:charset w:val="86"/>
    <w:family w:val="auto"/>
    <w:pitch w:val="default"/>
    <w:sig w:usb0="00000000" w:usb1="00000000" w:usb2="0000001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Footlight MT Light">
    <w:altName w:val="Segoe Print"/>
    <w:panose1 w:val="0204060206030A020304"/>
    <w:charset w:val="00"/>
    <w:family w:val="roman"/>
    <w:pitch w:val="default"/>
    <w:sig w:usb0="00000000" w:usb1="00000000" w:usb2="00000000" w:usb3="00000000" w:csb0="20000001" w:csb1="00000000"/>
  </w:font>
  <w:font w:name="宋体-简">
    <w:altName w:val="宋体"/>
    <w:panose1 w:val="00000000000000000000"/>
    <w:charset w:val="86"/>
    <w:family w:val="auto"/>
    <w:pitch w:val="default"/>
    <w:sig w:usb0="00000000" w:usb1="00000000" w:usb2="00000000" w:usb3="00000000" w:csb0="00160000"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5F8EF">
    <w:pPr>
      <w:pStyle w:val="58"/>
      <w:ind w:left="180" w:right="360" w:hanging="180" w:hangingChars="100"/>
      <w:rPr>
        <w:rFonts w:eastAsia="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915CE">
    <w:pPr>
      <w:jc w:val="left"/>
      <w:rPr>
        <w:sz w:val="18"/>
        <w:szCs w:val="18"/>
        <w:u w:val="thick" w:color="7E7E7E" w:themeColor="background1" w:themeShade="7F"/>
      </w:rPr>
    </w:pPr>
    <w:r>
      <w:rPr>
        <w:rFonts w:hint="eastAsia"/>
        <w:sz w:val="18"/>
        <w:szCs w:val="18"/>
        <w:u w:val="thick" w:color="7E7E7E" w:themeColor="background1" w:themeShade="7F"/>
      </w:rPr>
      <w:t xml:space="preserve">                                                                                                   </w:t>
    </w:r>
  </w:p>
  <w:p w14:paraId="7006752C">
    <w:pPr>
      <w:jc w:val="center"/>
    </w:pPr>
    <w:r>
      <w:rPr>
        <w:rFonts w:hint="eastAsia"/>
        <w:sz w:val="18"/>
        <w:szCs w:val="18"/>
      </w:rPr>
      <w:t>湖南省湘西高新区武陵大道18号金融中心B座六楼608室                           电话：0743-8566 116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03C65">
    <w:pPr>
      <w:pStyle w:val="58"/>
      <w:ind w:left="180" w:right="360" w:hanging="180" w:hangingChars="100"/>
      <w:rPr>
        <w:rFonts w:eastAsia="楷体_GB23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C3002">
    <w:pPr>
      <w:rPr>
        <w:sz w:val="18"/>
        <w:szCs w:val="18"/>
        <w:u w:val="single" w:color="7E7E7E" w:themeColor="background1" w:themeShade="7F"/>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9EB25F">
                          <w:pPr>
                            <w:pStyle w:val="58"/>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59EB25F">
                    <w:pPr>
                      <w:pStyle w:val="58"/>
                    </w:pPr>
                    <w:r>
                      <w:fldChar w:fldCharType="begin"/>
                    </w:r>
                    <w:r>
                      <w:instrText xml:space="preserve"> PAGE  \* MERGEFORMAT </w:instrText>
                    </w:r>
                    <w:r>
                      <w:fldChar w:fldCharType="separate"/>
                    </w:r>
                    <w:r>
                      <w:t>37</w:t>
                    </w:r>
                    <w:r>
                      <w:fldChar w:fldCharType="end"/>
                    </w:r>
                  </w:p>
                </w:txbxContent>
              </v:textbox>
            </v:shape>
          </w:pict>
        </mc:Fallback>
      </mc:AlternateContent>
    </w:r>
    <w:r>
      <w:rPr>
        <w:rFonts w:hint="eastAsia"/>
        <w:sz w:val="18"/>
        <w:szCs w:val="18"/>
        <w:u w:val="single" w:color="7E7E7E" w:themeColor="background1" w:themeShade="7F"/>
      </w:rPr>
      <w:t xml:space="preserve">                                                    </w:t>
    </w:r>
    <w:r>
      <w:rPr>
        <w:rFonts w:hint="eastAsia" w:asciiTheme="minorEastAsia" w:hAnsiTheme="minorEastAsia" w:eastAsiaTheme="minorEastAsia" w:cstheme="minorEastAsia"/>
        <w:sz w:val="18"/>
        <w:szCs w:val="18"/>
        <w:u w:val="single" w:color="7E7E7E" w:themeColor="background1" w:themeShade="7F"/>
      </w:rPr>
      <w:t xml:space="preserve">   </w:t>
    </w:r>
    <w:r>
      <w:rPr>
        <w:rFonts w:hint="eastAsia"/>
        <w:sz w:val="18"/>
        <w:szCs w:val="18"/>
        <w:u w:val="single" w:color="7E7E7E" w:themeColor="background1" w:themeShade="7F"/>
      </w:rPr>
      <w:t xml:space="preserve">                                                     </w:t>
    </w:r>
  </w:p>
  <w:p w14:paraId="65AA95AA">
    <w:pPr>
      <w:jc w:val="center"/>
    </w:pPr>
    <w:r>
      <w:rPr>
        <w:rFonts w:hint="eastAsia"/>
        <w:sz w:val="18"/>
        <w:szCs w:val="18"/>
      </w:rPr>
      <w:t>地址：湖南省吉首市乾州办事处狮子社区黄家垴42号（乾城三智幼儿园旁）                     电话：0743-8566 116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B1DDD">
    <w:pPr>
      <w:pStyle w:val="6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6B1B7">
    <w:pPr>
      <w:pStyle w:val="6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BEAA7">
    <w:pPr>
      <w:pStyle w:val="60"/>
      <w:pBdr>
        <w:bottom w:val="single" w:color="808080" w:sz="4" w:space="1"/>
      </w:pBdr>
    </w:pPr>
    <w:r>
      <w:rPr>
        <w:rFonts w:hint="eastAsia"/>
      </w:rPr>
      <w:t>公开招标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9D818E"/>
    <w:multiLevelType w:val="singleLevel"/>
    <w:tmpl w:val="D09D818E"/>
    <w:lvl w:ilvl="0" w:tentative="0">
      <w:start w:val="2"/>
      <w:numFmt w:val="chineseCounting"/>
      <w:suff w:val="space"/>
      <w:lvlText w:val="第%1节"/>
      <w:lvlJc w:val="left"/>
      <w:rPr>
        <w:rFonts w:hint="eastAsia"/>
      </w:rPr>
    </w:lvl>
  </w:abstractNum>
  <w:abstractNum w:abstractNumId="1">
    <w:nsid w:val="E8C52725"/>
    <w:multiLevelType w:val="singleLevel"/>
    <w:tmpl w:val="E8C52725"/>
    <w:lvl w:ilvl="0" w:tentative="0">
      <w:start w:val="1"/>
      <w:numFmt w:val="decimal"/>
      <w:suff w:val="nothing"/>
      <w:lvlText w:val="（%1）"/>
      <w:lvlJc w:val="left"/>
    </w:lvl>
  </w:abstractNum>
  <w:abstractNum w:abstractNumId="2">
    <w:nsid w:val="050B1BAA"/>
    <w:multiLevelType w:val="multilevel"/>
    <w:tmpl w:val="050B1BAA"/>
    <w:lvl w:ilvl="0" w:tentative="0">
      <w:start w:val="1"/>
      <w:numFmt w:val="decimal"/>
      <w:pStyle w:val="49"/>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6DD73DB"/>
    <w:multiLevelType w:val="multilevel"/>
    <w:tmpl w:val="06DD73DB"/>
    <w:lvl w:ilvl="0" w:tentative="0">
      <w:start w:val="1"/>
      <w:numFmt w:val="decimal"/>
      <w:pStyle w:val="768"/>
      <w:lvlText w:val="%1)"/>
      <w:lvlJc w:val="left"/>
      <w:pPr>
        <w:ind w:left="900" w:hanging="420"/>
      </w:pPr>
    </w:lvl>
    <w:lvl w:ilvl="1" w:tentative="0">
      <w:start w:val="6"/>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0B9E7044"/>
    <w:multiLevelType w:val="multilevel"/>
    <w:tmpl w:val="0B9E7044"/>
    <w:lvl w:ilvl="0" w:tentative="0">
      <w:start w:val="1"/>
      <w:numFmt w:val="decimal"/>
      <w:pStyle w:val="36"/>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0BA03C59"/>
    <w:multiLevelType w:val="singleLevel"/>
    <w:tmpl w:val="0BA03C59"/>
    <w:lvl w:ilvl="0" w:tentative="0">
      <w:start w:val="12"/>
      <w:numFmt w:val="chineseCounting"/>
      <w:suff w:val="nothing"/>
      <w:lvlText w:val="%1、"/>
      <w:lvlJc w:val="left"/>
      <w:rPr>
        <w:rFonts w:hint="eastAsia"/>
      </w:rPr>
    </w:lvl>
  </w:abstractNum>
  <w:abstractNum w:abstractNumId="6">
    <w:nsid w:val="0D314C55"/>
    <w:multiLevelType w:val="multilevel"/>
    <w:tmpl w:val="0D314C55"/>
    <w:lvl w:ilvl="0" w:tentative="0">
      <w:start w:val="1"/>
      <w:numFmt w:val="japaneseCounting"/>
      <w:pStyle w:val="698"/>
      <w:lvlText w:val="（%1）"/>
      <w:lvlJc w:val="left"/>
      <w:pPr>
        <w:ind w:left="0" w:hanging="720"/>
      </w:pPr>
      <w:rPr>
        <w:rFonts w:hint="default"/>
      </w:rPr>
    </w:lvl>
    <w:lvl w:ilvl="1" w:tentative="0">
      <w:start w:val="1"/>
      <w:numFmt w:val="lowerLetter"/>
      <w:lvlText w:val="%2)"/>
      <w:lvlJc w:val="left"/>
      <w:pPr>
        <w:ind w:left="120" w:hanging="420"/>
      </w:pPr>
    </w:lvl>
    <w:lvl w:ilvl="2" w:tentative="0">
      <w:start w:val="1"/>
      <w:numFmt w:val="lowerRoman"/>
      <w:lvlText w:val="%3."/>
      <w:lvlJc w:val="right"/>
      <w:pPr>
        <w:ind w:left="540" w:hanging="420"/>
      </w:pPr>
    </w:lvl>
    <w:lvl w:ilvl="3" w:tentative="0">
      <w:start w:val="1"/>
      <w:numFmt w:val="decimal"/>
      <w:lvlText w:val="%4."/>
      <w:lvlJc w:val="left"/>
      <w:pPr>
        <w:ind w:left="960" w:hanging="420"/>
      </w:pPr>
    </w:lvl>
    <w:lvl w:ilvl="4" w:tentative="0">
      <w:start w:val="1"/>
      <w:numFmt w:val="lowerLetter"/>
      <w:lvlText w:val="%5)"/>
      <w:lvlJc w:val="left"/>
      <w:pPr>
        <w:ind w:left="1380" w:hanging="420"/>
      </w:pPr>
    </w:lvl>
    <w:lvl w:ilvl="5" w:tentative="0">
      <w:start w:val="1"/>
      <w:numFmt w:val="lowerRoman"/>
      <w:lvlText w:val="%6."/>
      <w:lvlJc w:val="right"/>
      <w:pPr>
        <w:ind w:left="1800" w:hanging="420"/>
      </w:pPr>
    </w:lvl>
    <w:lvl w:ilvl="6" w:tentative="0">
      <w:start w:val="1"/>
      <w:numFmt w:val="decimal"/>
      <w:lvlText w:val="%7."/>
      <w:lvlJc w:val="left"/>
      <w:pPr>
        <w:ind w:left="2220" w:hanging="420"/>
      </w:pPr>
    </w:lvl>
    <w:lvl w:ilvl="7" w:tentative="0">
      <w:start w:val="1"/>
      <w:numFmt w:val="lowerLetter"/>
      <w:lvlText w:val="%8)"/>
      <w:lvlJc w:val="left"/>
      <w:pPr>
        <w:ind w:left="2640" w:hanging="420"/>
      </w:pPr>
    </w:lvl>
    <w:lvl w:ilvl="8" w:tentative="0">
      <w:start w:val="1"/>
      <w:numFmt w:val="lowerRoman"/>
      <w:lvlText w:val="%9."/>
      <w:lvlJc w:val="right"/>
      <w:pPr>
        <w:ind w:left="3060" w:hanging="420"/>
      </w:pPr>
    </w:lvl>
  </w:abstractNum>
  <w:abstractNum w:abstractNumId="7">
    <w:nsid w:val="0FE31D8B"/>
    <w:multiLevelType w:val="multilevel"/>
    <w:tmpl w:val="0FE31D8B"/>
    <w:lvl w:ilvl="0" w:tentative="0">
      <w:start w:val="1"/>
      <w:numFmt w:val="decimal"/>
      <w:lvlText w:val="(%1)"/>
      <w:lvlJc w:val="left"/>
      <w:pPr>
        <w:ind w:left="902" w:hanging="420"/>
      </w:pPr>
      <w:rPr>
        <w:rFonts w:hint="default"/>
      </w:rPr>
    </w:lvl>
    <w:lvl w:ilvl="1" w:tentative="0">
      <w:start w:val="1"/>
      <w:numFmt w:val="lowerLetter"/>
      <w:pStyle w:val="683"/>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8">
    <w:nsid w:val="12546024"/>
    <w:multiLevelType w:val="multilevel"/>
    <w:tmpl w:val="12546024"/>
    <w:lvl w:ilvl="0" w:tentative="0">
      <w:start w:val="1"/>
      <w:numFmt w:val="decimal"/>
      <w:pStyle w:val="14"/>
      <w:lvlText w:val="%1"/>
      <w:lvlJc w:val="left"/>
      <w:pPr>
        <w:ind w:left="432" w:hanging="432"/>
      </w:pPr>
    </w:lvl>
    <w:lvl w:ilvl="1" w:tentative="0">
      <w:start w:val="1"/>
      <w:numFmt w:val="decimal"/>
      <w:lvlText w:val="%1.%2"/>
      <w:lvlJc w:val="left"/>
      <w:pPr>
        <w:ind w:left="576" w:hanging="576"/>
      </w:pPr>
      <w:rPr>
        <w:rFonts w:hint="default" w:ascii="Arial" w:hAnsi="Arial" w:cs="Arial"/>
      </w:rPr>
    </w:lvl>
    <w:lvl w:ilvl="2" w:tentative="0">
      <w:start w:val="1"/>
      <w:numFmt w:val="decimal"/>
      <w:lvlText w:val="%1.%2.%3"/>
      <w:lvlJc w:val="left"/>
      <w:pPr>
        <w:ind w:left="2847" w:hanging="720"/>
      </w:pPr>
      <w:rPr>
        <w:rFonts w:ascii="Times New Roman" w:hAnsi="Times New Roman" w:cs="Times New Roman"/>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lvlText w:val="%1.%2.%3.%4"/>
      <w:lvlJc w:val="left"/>
      <w:pPr>
        <w:ind w:left="864" w:hanging="864"/>
      </w:pPr>
      <w:rPr>
        <w:rFonts w:hint="default" w:ascii="Arial" w:hAnsi="Arial" w:cs="Arial"/>
      </w:rPr>
    </w:lvl>
    <w:lvl w:ilvl="4" w:tentative="0">
      <w:start w:val="1"/>
      <w:numFmt w:val="decimal"/>
      <w:lvlText w:val="%1.%2.%3.%4.%5"/>
      <w:lvlJc w:val="left"/>
      <w:pPr>
        <w:ind w:left="1008" w:hanging="1008"/>
      </w:pPr>
      <w:rPr>
        <w:rFonts w:hint="default" w:ascii="Arial" w:hAnsi="Arial" w:cs="Arial"/>
      </w:rPr>
    </w:lvl>
    <w:lvl w:ilvl="5" w:tentative="0">
      <w:start w:val="1"/>
      <w:numFmt w:val="decimal"/>
      <w:lvlText w:val="%1.%2.%3.%4.%5.%6"/>
      <w:lvlJc w:val="left"/>
      <w:pPr>
        <w:ind w:left="1152" w:hanging="1152"/>
      </w:pPr>
    </w:lvl>
    <w:lvl w:ilvl="6" w:tentative="0">
      <w:start w:val="1"/>
      <w:numFmt w:val="decimal"/>
      <w:pStyle w:val="323"/>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9">
    <w:nsid w:val="1A60030F"/>
    <w:multiLevelType w:val="multilevel"/>
    <w:tmpl w:val="1A60030F"/>
    <w:lvl w:ilvl="0" w:tentative="0">
      <w:start w:val="1"/>
      <w:numFmt w:val="decimal"/>
      <w:pStyle w:val="20"/>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2E97488"/>
    <w:multiLevelType w:val="multilevel"/>
    <w:tmpl w:val="22E97488"/>
    <w:lvl w:ilvl="0" w:tentative="0">
      <w:start w:val="1"/>
      <w:numFmt w:val="decimal"/>
      <w:pStyle w:val="635"/>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245484DC"/>
    <w:multiLevelType w:val="singleLevel"/>
    <w:tmpl w:val="245484DC"/>
    <w:lvl w:ilvl="0" w:tentative="0">
      <w:start w:val="1"/>
      <w:numFmt w:val="chineseCounting"/>
      <w:suff w:val="space"/>
      <w:lvlText w:val="第%1节"/>
      <w:lvlJc w:val="left"/>
      <w:rPr>
        <w:rFonts w:hint="eastAsia"/>
      </w:rPr>
    </w:lvl>
  </w:abstractNum>
  <w:abstractNum w:abstractNumId="12">
    <w:nsid w:val="33631953"/>
    <w:multiLevelType w:val="multilevel"/>
    <w:tmpl w:val="33631953"/>
    <w:lvl w:ilvl="0" w:tentative="0">
      <w:start w:val="1"/>
      <w:numFmt w:val="decimal"/>
      <w:pStyle w:val="521"/>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6966592"/>
    <w:multiLevelType w:val="multilevel"/>
    <w:tmpl w:val="36966592"/>
    <w:lvl w:ilvl="0" w:tentative="0">
      <w:start w:val="1"/>
      <w:numFmt w:val="decimal"/>
      <w:pStyle w:val="406"/>
      <w:lvlText w:val="%1."/>
      <w:lvlJc w:val="left"/>
      <w:pPr>
        <w:ind w:left="980" w:hanging="420"/>
      </w:pPr>
    </w:lvl>
    <w:lvl w:ilvl="1" w:tentative="0">
      <w:start w:val="1"/>
      <w:numFmt w:val="decimal"/>
      <w:lvlText w:val="（%2）"/>
      <w:lvlJc w:val="left"/>
      <w:pPr>
        <w:ind w:left="1700" w:hanging="720"/>
      </w:pPr>
      <w:rPr>
        <w:rFonts w:hint="default"/>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4">
    <w:nsid w:val="45EEB3EF"/>
    <w:multiLevelType w:val="singleLevel"/>
    <w:tmpl w:val="45EEB3EF"/>
    <w:lvl w:ilvl="0" w:tentative="0">
      <w:start w:val="1"/>
      <w:numFmt w:val="decimal"/>
      <w:pStyle w:val="191"/>
      <w:suff w:val="nothing"/>
      <w:lvlText w:val="（%1）"/>
      <w:lvlJc w:val="left"/>
    </w:lvl>
  </w:abstractNum>
  <w:abstractNum w:abstractNumId="15">
    <w:nsid w:val="4851127F"/>
    <w:multiLevelType w:val="multilevel"/>
    <w:tmpl w:val="4851127F"/>
    <w:lvl w:ilvl="0" w:tentative="0">
      <w:start w:val="1"/>
      <w:numFmt w:val="decimal"/>
      <w:pStyle w:val="678"/>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4D835FE7"/>
    <w:multiLevelType w:val="multilevel"/>
    <w:tmpl w:val="4D835FE7"/>
    <w:lvl w:ilvl="0" w:tentative="0">
      <w:start w:val="1"/>
      <w:numFmt w:val="decimal"/>
      <w:pStyle w:val="68"/>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413" w:hanging="420"/>
      </w:pPr>
      <w:rPr>
        <w:rFonts w:hint="eastAsia"/>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3912DFE"/>
    <w:multiLevelType w:val="multilevel"/>
    <w:tmpl w:val="53912DFE"/>
    <w:lvl w:ilvl="0" w:tentative="0">
      <w:start w:val="1"/>
      <w:numFmt w:val="decimal"/>
      <w:pStyle w:val="860"/>
      <w:lvlText w:val="%1、"/>
      <w:lvlJc w:val="left"/>
      <w:pPr>
        <w:ind w:left="840" w:hanging="360"/>
      </w:pPr>
      <w:rPr>
        <w:rFonts w:hint="default"/>
      </w:rPr>
    </w:lvl>
    <w:lvl w:ilvl="1" w:tentative="0">
      <w:start w:val="1"/>
      <w:numFmt w:val="lowerLetter"/>
      <w:pStyle w:val="720"/>
      <w:lvlText w:val="%2)"/>
      <w:lvlJc w:val="left"/>
      <w:pPr>
        <w:ind w:left="1320" w:hanging="420"/>
      </w:pPr>
    </w:lvl>
    <w:lvl w:ilvl="2" w:tentative="0">
      <w:start w:val="1"/>
      <w:numFmt w:val="lowerRoman"/>
      <w:pStyle w:val="754"/>
      <w:lvlText w:val="%3."/>
      <w:lvlJc w:val="right"/>
      <w:pPr>
        <w:ind w:left="1740" w:hanging="420"/>
      </w:pPr>
    </w:lvl>
    <w:lvl w:ilvl="3" w:tentative="0">
      <w:start w:val="1"/>
      <w:numFmt w:val="decimal"/>
      <w:pStyle w:val="868"/>
      <w:lvlText w:val="%4."/>
      <w:lvlJc w:val="left"/>
      <w:pPr>
        <w:ind w:left="2160" w:hanging="420"/>
      </w:pPr>
    </w:lvl>
    <w:lvl w:ilvl="4" w:tentative="0">
      <w:start w:val="1"/>
      <w:numFmt w:val="lowerLetter"/>
      <w:pStyle w:val="835"/>
      <w:lvlText w:val="%5)"/>
      <w:lvlJc w:val="left"/>
      <w:pPr>
        <w:ind w:left="2580" w:hanging="420"/>
      </w:pPr>
    </w:lvl>
    <w:lvl w:ilvl="5" w:tentative="0">
      <w:start w:val="1"/>
      <w:numFmt w:val="lowerRoman"/>
      <w:pStyle w:val="751"/>
      <w:lvlText w:val="%6."/>
      <w:lvlJc w:val="right"/>
      <w:pPr>
        <w:ind w:left="3000" w:hanging="420"/>
      </w:pPr>
    </w:lvl>
    <w:lvl w:ilvl="6" w:tentative="0">
      <w:start w:val="1"/>
      <w:numFmt w:val="decimal"/>
      <w:lvlText w:val="%7."/>
      <w:lvlJc w:val="left"/>
      <w:pPr>
        <w:ind w:left="3420" w:hanging="420"/>
      </w:pPr>
    </w:lvl>
    <w:lvl w:ilvl="7" w:tentative="0">
      <w:start w:val="1"/>
      <w:numFmt w:val="lowerLetter"/>
      <w:pStyle w:val="806"/>
      <w:lvlText w:val="%8)"/>
      <w:lvlJc w:val="left"/>
      <w:pPr>
        <w:ind w:left="3840" w:hanging="420"/>
      </w:pPr>
    </w:lvl>
    <w:lvl w:ilvl="8" w:tentative="0">
      <w:start w:val="1"/>
      <w:numFmt w:val="lowerRoman"/>
      <w:pStyle w:val="692"/>
      <w:lvlText w:val="%9."/>
      <w:lvlJc w:val="right"/>
      <w:pPr>
        <w:ind w:left="4260" w:hanging="420"/>
      </w:pPr>
    </w:lvl>
  </w:abstractNum>
  <w:abstractNum w:abstractNumId="18">
    <w:nsid w:val="59C27B88"/>
    <w:multiLevelType w:val="multilevel"/>
    <w:tmpl w:val="59C27B88"/>
    <w:lvl w:ilvl="0" w:tentative="0">
      <w:start w:val="1"/>
      <w:numFmt w:val="decimalEnclosedCircle"/>
      <w:pStyle w:val="739"/>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9C28119"/>
    <w:multiLevelType w:val="multilevel"/>
    <w:tmpl w:val="59C28119"/>
    <w:lvl w:ilvl="0" w:tentative="0">
      <w:start w:val="1"/>
      <w:numFmt w:val="decimalEnclosedCircle"/>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pStyle w:val="745"/>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59C3652B"/>
    <w:multiLevelType w:val="singleLevel"/>
    <w:tmpl w:val="59C3652B"/>
    <w:lvl w:ilvl="0" w:tentative="0">
      <w:start w:val="2"/>
      <w:numFmt w:val="decimal"/>
      <w:pStyle w:val="732"/>
      <w:suff w:val="nothing"/>
      <w:lvlText w:val="%1、"/>
      <w:lvlJc w:val="left"/>
    </w:lvl>
  </w:abstractNum>
  <w:abstractNum w:abstractNumId="21">
    <w:nsid w:val="5B55CA57"/>
    <w:multiLevelType w:val="singleLevel"/>
    <w:tmpl w:val="5B55CA57"/>
    <w:lvl w:ilvl="0" w:tentative="0">
      <w:start w:val="1"/>
      <w:numFmt w:val="bullet"/>
      <w:pStyle w:val="891"/>
      <w:lvlText w:val=""/>
      <w:lvlJc w:val="left"/>
      <w:pPr>
        <w:tabs>
          <w:tab w:val="left" w:pos="420"/>
        </w:tabs>
        <w:ind w:left="420" w:hanging="420"/>
      </w:pPr>
      <w:rPr>
        <w:rFonts w:hint="default" w:ascii="Wingdings" w:hAnsi="Wingdings"/>
      </w:rPr>
    </w:lvl>
  </w:abstractNum>
  <w:abstractNum w:abstractNumId="22">
    <w:nsid w:val="5B55CAA0"/>
    <w:multiLevelType w:val="singleLevel"/>
    <w:tmpl w:val="5B55CAA0"/>
    <w:lvl w:ilvl="0" w:tentative="0">
      <w:start w:val="1"/>
      <w:numFmt w:val="bullet"/>
      <w:pStyle w:val="765"/>
      <w:lvlText w:val=""/>
      <w:lvlJc w:val="left"/>
      <w:pPr>
        <w:tabs>
          <w:tab w:val="left" w:pos="420"/>
        </w:tabs>
        <w:ind w:left="420" w:hanging="420"/>
      </w:pPr>
      <w:rPr>
        <w:rFonts w:hint="default" w:ascii="Wingdings" w:hAnsi="Wingdings"/>
      </w:rPr>
    </w:lvl>
  </w:abstractNum>
  <w:abstractNum w:abstractNumId="23">
    <w:nsid w:val="5D4204D3"/>
    <w:multiLevelType w:val="multilevel"/>
    <w:tmpl w:val="5D4204D3"/>
    <w:lvl w:ilvl="0" w:tentative="0">
      <w:start w:val="1"/>
      <w:numFmt w:val="decimal"/>
      <w:pStyle w:val="1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5EBA56D4"/>
    <w:multiLevelType w:val="multilevel"/>
    <w:tmpl w:val="5EBA56D4"/>
    <w:lvl w:ilvl="0" w:tentative="0">
      <w:start w:val="1"/>
      <w:numFmt w:val="decimal"/>
      <w:pStyle w:val="39"/>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5">
    <w:nsid w:val="65F47D88"/>
    <w:multiLevelType w:val="multilevel"/>
    <w:tmpl w:val="65F47D88"/>
    <w:lvl w:ilvl="0" w:tentative="0">
      <w:start w:val="1"/>
      <w:numFmt w:val="decimal"/>
      <w:pStyle w:val="718"/>
      <w:lvlText w:val="%1)"/>
      <w:lvlJc w:val="left"/>
      <w:pPr>
        <w:ind w:left="900" w:hanging="420"/>
      </w:pPr>
    </w:lvl>
    <w:lvl w:ilvl="1" w:tentative="0">
      <w:start w:val="1"/>
      <w:numFmt w:val="lowerLetter"/>
      <w:pStyle w:val="517"/>
      <w:lvlText w:val="%2)"/>
      <w:lvlJc w:val="left"/>
      <w:pPr>
        <w:ind w:left="1320" w:hanging="420"/>
      </w:pPr>
    </w:lvl>
    <w:lvl w:ilvl="2" w:tentative="0">
      <w:start w:val="1"/>
      <w:numFmt w:val="lowerRoman"/>
      <w:pStyle w:val="408"/>
      <w:lvlText w:val="%3."/>
      <w:lvlJc w:val="right"/>
      <w:pPr>
        <w:ind w:left="1740" w:hanging="420"/>
      </w:pPr>
    </w:lvl>
    <w:lvl w:ilvl="3" w:tentative="0">
      <w:start w:val="1"/>
      <w:numFmt w:val="decimal"/>
      <w:pStyle w:val="479"/>
      <w:lvlText w:val="%4."/>
      <w:lvlJc w:val="left"/>
      <w:pPr>
        <w:ind w:left="2160" w:hanging="420"/>
      </w:pPr>
    </w:lvl>
    <w:lvl w:ilvl="4" w:tentative="0">
      <w:start w:val="1"/>
      <w:numFmt w:val="lowerLetter"/>
      <w:pStyle w:val="507"/>
      <w:lvlText w:val="%5)"/>
      <w:lvlJc w:val="left"/>
      <w:pPr>
        <w:ind w:left="2580" w:hanging="420"/>
      </w:pPr>
    </w:lvl>
    <w:lvl w:ilvl="5" w:tentative="0">
      <w:start w:val="1"/>
      <w:numFmt w:val="lowerRoman"/>
      <w:pStyle w:val="839"/>
      <w:lvlText w:val="%6."/>
      <w:lvlJc w:val="right"/>
      <w:pPr>
        <w:ind w:left="3000" w:hanging="420"/>
      </w:pPr>
    </w:lvl>
    <w:lvl w:ilvl="6" w:tentative="0">
      <w:start w:val="1"/>
      <w:numFmt w:val="decimal"/>
      <w:pStyle w:val="664"/>
      <w:lvlText w:val="%7."/>
      <w:lvlJc w:val="left"/>
      <w:pPr>
        <w:ind w:left="3420" w:hanging="420"/>
      </w:pPr>
    </w:lvl>
    <w:lvl w:ilvl="7" w:tentative="0">
      <w:start w:val="1"/>
      <w:numFmt w:val="lowerLetter"/>
      <w:pStyle w:val="826"/>
      <w:lvlText w:val="%8)"/>
      <w:lvlJc w:val="left"/>
      <w:pPr>
        <w:ind w:left="3840" w:hanging="420"/>
      </w:pPr>
    </w:lvl>
    <w:lvl w:ilvl="8" w:tentative="0">
      <w:start w:val="1"/>
      <w:numFmt w:val="lowerRoman"/>
      <w:lvlText w:val="%9."/>
      <w:lvlJc w:val="right"/>
      <w:pPr>
        <w:ind w:left="4260" w:hanging="420"/>
      </w:pPr>
    </w:lvl>
  </w:abstractNum>
  <w:abstractNum w:abstractNumId="26">
    <w:nsid w:val="777E7939"/>
    <w:multiLevelType w:val="multilevel"/>
    <w:tmpl w:val="777E7939"/>
    <w:lvl w:ilvl="0" w:tentative="0">
      <w:start w:val="1"/>
      <w:numFmt w:val="decimal"/>
      <w:pStyle w:val="5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7">
    <w:nsid w:val="781B0286"/>
    <w:multiLevelType w:val="multilevel"/>
    <w:tmpl w:val="781B0286"/>
    <w:lvl w:ilvl="0" w:tentative="0">
      <w:start w:val="1"/>
      <w:numFmt w:val="decimal"/>
      <w:pStyle w:val="2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7D0B55DC"/>
    <w:multiLevelType w:val="multilevel"/>
    <w:tmpl w:val="7D0B55DC"/>
    <w:lvl w:ilvl="0" w:tentative="0">
      <w:start w:val="1"/>
      <w:numFmt w:val="decimal"/>
      <w:pStyle w:val="499"/>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9">
    <w:nsid w:val="7DDEB829"/>
    <w:multiLevelType w:val="singleLevel"/>
    <w:tmpl w:val="7DDEB829"/>
    <w:lvl w:ilvl="0" w:tentative="0">
      <w:start w:val="2"/>
      <w:numFmt w:val="decimal"/>
      <w:pStyle w:val="1059"/>
      <w:suff w:val="nothing"/>
      <w:lvlText w:val="%1．"/>
      <w:lvlJc w:val="left"/>
      <w:pPr>
        <w:ind w:left="0" w:firstLine="400"/>
      </w:pPr>
      <w:rPr>
        <w:rFonts w:hint="default"/>
      </w:rPr>
    </w:lvl>
  </w:abstractNum>
  <w:num w:numId="1">
    <w:abstractNumId w:val="8"/>
  </w:num>
  <w:num w:numId="2">
    <w:abstractNumId w:val="23"/>
  </w:num>
  <w:num w:numId="3">
    <w:abstractNumId w:val="9"/>
  </w:num>
  <w:num w:numId="4">
    <w:abstractNumId w:val="27"/>
  </w:num>
  <w:num w:numId="5">
    <w:abstractNumId w:val="4"/>
  </w:num>
  <w:num w:numId="6">
    <w:abstractNumId w:val="24"/>
  </w:num>
  <w:num w:numId="7">
    <w:abstractNumId w:val="2"/>
  </w:num>
  <w:num w:numId="8">
    <w:abstractNumId w:val="26"/>
  </w:num>
  <w:num w:numId="9">
    <w:abstractNumId w:val="16"/>
  </w:num>
  <w:num w:numId="10">
    <w:abstractNumId w:val="14"/>
  </w:num>
  <w:num w:numId="11">
    <w:abstractNumId w:val="13"/>
  </w:num>
  <w:num w:numId="12">
    <w:abstractNumId w:val="25"/>
  </w:num>
  <w:num w:numId="13">
    <w:abstractNumId w:val="28"/>
  </w:num>
  <w:num w:numId="14">
    <w:abstractNumId w:val="12"/>
  </w:num>
  <w:num w:numId="15">
    <w:abstractNumId w:val="10"/>
  </w:num>
  <w:num w:numId="16">
    <w:abstractNumId w:val="15"/>
  </w:num>
  <w:num w:numId="17">
    <w:abstractNumId w:val="7"/>
  </w:num>
  <w:num w:numId="18">
    <w:abstractNumId w:val="17"/>
  </w:num>
  <w:num w:numId="19">
    <w:abstractNumId w:val="6"/>
  </w:num>
  <w:num w:numId="20">
    <w:abstractNumId w:val="20"/>
  </w:num>
  <w:num w:numId="21">
    <w:abstractNumId w:val="18"/>
  </w:num>
  <w:num w:numId="22">
    <w:abstractNumId w:val="19"/>
  </w:num>
  <w:num w:numId="23">
    <w:abstractNumId w:val="22"/>
  </w:num>
  <w:num w:numId="24">
    <w:abstractNumId w:val="3"/>
  </w:num>
  <w:num w:numId="25">
    <w:abstractNumId w:val="21"/>
  </w:num>
  <w:num w:numId="26">
    <w:abstractNumId w:val="29"/>
  </w:num>
  <w:num w:numId="27">
    <w:abstractNumId w:val="0"/>
  </w:num>
  <w:num w:numId="28">
    <w:abstractNumId w:val="1"/>
  </w:num>
  <w:num w:numId="29">
    <w:abstractNumId w:val="11"/>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yZTFhMDNlMmEzMTAzMGZmM2ExNTc1NzhlMjgyYzMifQ=="/>
    <w:docVar w:name="KSO_WPS_MARK_KEY" w:val="df1db5b3-042d-484e-878f-a57dc7f13fce"/>
  </w:docVars>
  <w:rsids>
    <w:rsidRoot w:val="007434B4"/>
    <w:rsid w:val="00000A61"/>
    <w:rsid w:val="00000A83"/>
    <w:rsid w:val="000013FE"/>
    <w:rsid w:val="0000186F"/>
    <w:rsid w:val="00001A03"/>
    <w:rsid w:val="00002568"/>
    <w:rsid w:val="000037DE"/>
    <w:rsid w:val="00003D23"/>
    <w:rsid w:val="00003F35"/>
    <w:rsid w:val="00005402"/>
    <w:rsid w:val="00006552"/>
    <w:rsid w:val="0001024D"/>
    <w:rsid w:val="00010382"/>
    <w:rsid w:val="000132EF"/>
    <w:rsid w:val="00013365"/>
    <w:rsid w:val="00013466"/>
    <w:rsid w:val="00013574"/>
    <w:rsid w:val="00013923"/>
    <w:rsid w:val="00014A82"/>
    <w:rsid w:val="00015858"/>
    <w:rsid w:val="0001617A"/>
    <w:rsid w:val="00017581"/>
    <w:rsid w:val="000175E8"/>
    <w:rsid w:val="00017CF0"/>
    <w:rsid w:val="00017F9C"/>
    <w:rsid w:val="000202AF"/>
    <w:rsid w:val="000252F0"/>
    <w:rsid w:val="00025EED"/>
    <w:rsid w:val="00027D0F"/>
    <w:rsid w:val="00030A53"/>
    <w:rsid w:val="00031705"/>
    <w:rsid w:val="00031C52"/>
    <w:rsid w:val="00032D53"/>
    <w:rsid w:val="000333AE"/>
    <w:rsid w:val="000358FA"/>
    <w:rsid w:val="00035B2B"/>
    <w:rsid w:val="00035BAB"/>
    <w:rsid w:val="00040247"/>
    <w:rsid w:val="00040313"/>
    <w:rsid w:val="00040E14"/>
    <w:rsid w:val="0004234C"/>
    <w:rsid w:val="00045B4B"/>
    <w:rsid w:val="00046881"/>
    <w:rsid w:val="00047440"/>
    <w:rsid w:val="0004759C"/>
    <w:rsid w:val="00047C70"/>
    <w:rsid w:val="0005019F"/>
    <w:rsid w:val="000508AD"/>
    <w:rsid w:val="0005168D"/>
    <w:rsid w:val="0005208E"/>
    <w:rsid w:val="00053BE1"/>
    <w:rsid w:val="00053C94"/>
    <w:rsid w:val="000566BD"/>
    <w:rsid w:val="0005701C"/>
    <w:rsid w:val="000606A2"/>
    <w:rsid w:val="00060C04"/>
    <w:rsid w:val="00061310"/>
    <w:rsid w:val="00061914"/>
    <w:rsid w:val="000620A1"/>
    <w:rsid w:val="000662FC"/>
    <w:rsid w:val="000675E6"/>
    <w:rsid w:val="000677C7"/>
    <w:rsid w:val="00067D0B"/>
    <w:rsid w:val="000709FB"/>
    <w:rsid w:val="00070B21"/>
    <w:rsid w:val="00072573"/>
    <w:rsid w:val="0007343D"/>
    <w:rsid w:val="000745C1"/>
    <w:rsid w:val="0007473A"/>
    <w:rsid w:val="00074CB8"/>
    <w:rsid w:val="000752BC"/>
    <w:rsid w:val="00076502"/>
    <w:rsid w:val="00076611"/>
    <w:rsid w:val="000775DD"/>
    <w:rsid w:val="00082346"/>
    <w:rsid w:val="000841E5"/>
    <w:rsid w:val="00085204"/>
    <w:rsid w:val="00087CA6"/>
    <w:rsid w:val="000904BC"/>
    <w:rsid w:val="00090D47"/>
    <w:rsid w:val="00091751"/>
    <w:rsid w:val="000917F5"/>
    <w:rsid w:val="000921D2"/>
    <w:rsid w:val="00092E61"/>
    <w:rsid w:val="0009483A"/>
    <w:rsid w:val="00095A0E"/>
    <w:rsid w:val="00097FB9"/>
    <w:rsid w:val="000A0CD6"/>
    <w:rsid w:val="000A2575"/>
    <w:rsid w:val="000A2631"/>
    <w:rsid w:val="000A3313"/>
    <w:rsid w:val="000A4283"/>
    <w:rsid w:val="000A6658"/>
    <w:rsid w:val="000B0390"/>
    <w:rsid w:val="000B0E6E"/>
    <w:rsid w:val="000B1637"/>
    <w:rsid w:val="000B1715"/>
    <w:rsid w:val="000B23F6"/>
    <w:rsid w:val="000B2722"/>
    <w:rsid w:val="000B2AB7"/>
    <w:rsid w:val="000B320F"/>
    <w:rsid w:val="000B3A4F"/>
    <w:rsid w:val="000B48CB"/>
    <w:rsid w:val="000B5D7D"/>
    <w:rsid w:val="000B67D9"/>
    <w:rsid w:val="000B6A6A"/>
    <w:rsid w:val="000B7DF1"/>
    <w:rsid w:val="000C035B"/>
    <w:rsid w:val="000C0714"/>
    <w:rsid w:val="000C188C"/>
    <w:rsid w:val="000C245B"/>
    <w:rsid w:val="000C2AE6"/>
    <w:rsid w:val="000C354A"/>
    <w:rsid w:val="000C4FD9"/>
    <w:rsid w:val="000C52A0"/>
    <w:rsid w:val="000C6B2C"/>
    <w:rsid w:val="000C70C2"/>
    <w:rsid w:val="000C7812"/>
    <w:rsid w:val="000D04C8"/>
    <w:rsid w:val="000D0E5E"/>
    <w:rsid w:val="000D1018"/>
    <w:rsid w:val="000D211B"/>
    <w:rsid w:val="000D2A3F"/>
    <w:rsid w:val="000D5249"/>
    <w:rsid w:val="000D6514"/>
    <w:rsid w:val="000E3A4C"/>
    <w:rsid w:val="000E3DCC"/>
    <w:rsid w:val="000E4525"/>
    <w:rsid w:val="000E46D9"/>
    <w:rsid w:val="000E4E95"/>
    <w:rsid w:val="000E50DD"/>
    <w:rsid w:val="000E640C"/>
    <w:rsid w:val="000E6CEE"/>
    <w:rsid w:val="000E7308"/>
    <w:rsid w:val="000E7417"/>
    <w:rsid w:val="000E741F"/>
    <w:rsid w:val="000F1A45"/>
    <w:rsid w:val="000F1AF9"/>
    <w:rsid w:val="000F21C8"/>
    <w:rsid w:val="000F33B7"/>
    <w:rsid w:val="000F3713"/>
    <w:rsid w:val="000F376A"/>
    <w:rsid w:val="000F4155"/>
    <w:rsid w:val="000F44CB"/>
    <w:rsid w:val="000F4F2F"/>
    <w:rsid w:val="000F5866"/>
    <w:rsid w:val="000F620C"/>
    <w:rsid w:val="000F7591"/>
    <w:rsid w:val="001000C3"/>
    <w:rsid w:val="001047E3"/>
    <w:rsid w:val="00104908"/>
    <w:rsid w:val="00104AC2"/>
    <w:rsid w:val="00105A9C"/>
    <w:rsid w:val="00106446"/>
    <w:rsid w:val="00107077"/>
    <w:rsid w:val="00110B4B"/>
    <w:rsid w:val="001113FC"/>
    <w:rsid w:val="00111596"/>
    <w:rsid w:val="00111CC9"/>
    <w:rsid w:val="00112A3D"/>
    <w:rsid w:val="001133AC"/>
    <w:rsid w:val="00113C61"/>
    <w:rsid w:val="00114B15"/>
    <w:rsid w:val="00117058"/>
    <w:rsid w:val="00117D51"/>
    <w:rsid w:val="00120369"/>
    <w:rsid w:val="00121A30"/>
    <w:rsid w:val="001228FD"/>
    <w:rsid w:val="001232B6"/>
    <w:rsid w:val="00124345"/>
    <w:rsid w:val="00125769"/>
    <w:rsid w:val="00125F48"/>
    <w:rsid w:val="00126231"/>
    <w:rsid w:val="001264DC"/>
    <w:rsid w:val="0013172D"/>
    <w:rsid w:val="001322EF"/>
    <w:rsid w:val="001336C1"/>
    <w:rsid w:val="00134894"/>
    <w:rsid w:val="001348D3"/>
    <w:rsid w:val="00135375"/>
    <w:rsid w:val="001366FD"/>
    <w:rsid w:val="001370E3"/>
    <w:rsid w:val="00140DA3"/>
    <w:rsid w:val="001413DF"/>
    <w:rsid w:val="00141BAF"/>
    <w:rsid w:val="00141BEE"/>
    <w:rsid w:val="00143121"/>
    <w:rsid w:val="00144141"/>
    <w:rsid w:val="0014499E"/>
    <w:rsid w:val="00144B56"/>
    <w:rsid w:val="00144F97"/>
    <w:rsid w:val="0014699B"/>
    <w:rsid w:val="00146A5B"/>
    <w:rsid w:val="00146D14"/>
    <w:rsid w:val="00150752"/>
    <w:rsid w:val="00151B75"/>
    <w:rsid w:val="00151BA6"/>
    <w:rsid w:val="00153C89"/>
    <w:rsid w:val="00156049"/>
    <w:rsid w:val="001564DB"/>
    <w:rsid w:val="0016109A"/>
    <w:rsid w:val="001617E9"/>
    <w:rsid w:val="00162175"/>
    <w:rsid w:val="00162403"/>
    <w:rsid w:val="0016254E"/>
    <w:rsid w:val="00162F23"/>
    <w:rsid w:val="0016451E"/>
    <w:rsid w:val="00164C33"/>
    <w:rsid w:val="0016583A"/>
    <w:rsid w:val="00166A7A"/>
    <w:rsid w:val="00166F38"/>
    <w:rsid w:val="00167763"/>
    <w:rsid w:val="001708E8"/>
    <w:rsid w:val="0017148D"/>
    <w:rsid w:val="00173713"/>
    <w:rsid w:val="00173A95"/>
    <w:rsid w:val="00173D83"/>
    <w:rsid w:val="00173FF2"/>
    <w:rsid w:val="0017404D"/>
    <w:rsid w:val="00175C3F"/>
    <w:rsid w:val="00175FE2"/>
    <w:rsid w:val="0017633E"/>
    <w:rsid w:val="00176DC7"/>
    <w:rsid w:val="0017741D"/>
    <w:rsid w:val="001810E9"/>
    <w:rsid w:val="00181D2E"/>
    <w:rsid w:val="001828D3"/>
    <w:rsid w:val="001846F2"/>
    <w:rsid w:val="00184CD8"/>
    <w:rsid w:val="001850A4"/>
    <w:rsid w:val="00185B43"/>
    <w:rsid w:val="00186927"/>
    <w:rsid w:val="001870D2"/>
    <w:rsid w:val="00190C8F"/>
    <w:rsid w:val="00192075"/>
    <w:rsid w:val="00193526"/>
    <w:rsid w:val="00195771"/>
    <w:rsid w:val="00197441"/>
    <w:rsid w:val="001A053D"/>
    <w:rsid w:val="001A101A"/>
    <w:rsid w:val="001A2976"/>
    <w:rsid w:val="001A3AA5"/>
    <w:rsid w:val="001A3AFC"/>
    <w:rsid w:val="001A3BCB"/>
    <w:rsid w:val="001A4D9B"/>
    <w:rsid w:val="001A561A"/>
    <w:rsid w:val="001A58C6"/>
    <w:rsid w:val="001A59EB"/>
    <w:rsid w:val="001B066D"/>
    <w:rsid w:val="001B2294"/>
    <w:rsid w:val="001B313B"/>
    <w:rsid w:val="001B383C"/>
    <w:rsid w:val="001B4531"/>
    <w:rsid w:val="001B4F01"/>
    <w:rsid w:val="001B5023"/>
    <w:rsid w:val="001B5907"/>
    <w:rsid w:val="001C2072"/>
    <w:rsid w:val="001C274B"/>
    <w:rsid w:val="001C3481"/>
    <w:rsid w:val="001C4E4C"/>
    <w:rsid w:val="001C5444"/>
    <w:rsid w:val="001C7B25"/>
    <w:rsid w:val="001D0F5F"/>
    <w:rsid w:val="001D26DC"/>
    <w:rsid w:val="001D300D"/>
    <w:rsid w:val="001D302B"/>
    <w:rsid w:val="001D4315"/>
    <w:rsid w:val="001D5747"/>
    <w:rsid w:val="001D574C"/>
    <w:rsid w:val="001D5B75"/>
    <w:rsid w:val="001E1D4A"/>
    <w:rsid w:val="001E3A6E"/>
    <w:rsid w:val="001E3AF6"/>
    <w:rsid w:val="001E3D6A"/>
    <w:rsid w:val="001E4458"/>
    <w:rsid w:val="001E59F7"/>
    <w:rsid w:val="001E6A66"/>
    <w:rsid w:val="001E7697"/>
    <w:rsid w:val="001F075D"/>
    <w:rsid w:val="001F130D"/>
    <w:rsid w:val="001F1819"/>
    <w:rsid w:val="001F3A23"/>
    <w:rsid w:val="001F4878"/>
    <w:rsid w:val="001F5321"/>
    <w:rsid w:val="001F534E"/>
    <w:rsid w:val="001F5B18"/>
    <w:rsid w:val="001F615F"/>
    <w:rsid w:val="001F7AFA"/>
    <w:rsid w:val="00200789"/>
    <w:rsid w:val="002008A9"/>
    <w:rsid w:val="00200C39"/>
    <w:rsid w:val="002018AB"/>
    <w:rsid w:val="002023F0"/>
    <w:rsid w:val="0020308E"/>
    <w:rsid w:val="00203EA6"/>
    <w:rsid w:val="00206018"/>
    <w:rsid w:val="00210EE8"/>
    <w:rsid w:val="00210F21"/>
    <w:rsid w:val="0021548B"/>
    <w:rsid w:val="00215C17"/>
    <w:rsid w:val="00215D98"/>
    <w:rsid w:val="00216282"/>
    <w:rsid w:val="00216FA2"/>
    <w:rsid w:val="002203CE"/>
    <w:rsid w:val="00221240"/>
    <w:rsid w:val="00221600"/>
    <w:rsid w:val="00221BE4"/>
    <w:rsid w:val="00223101"/>
    <w:rsid w:val="00223541"/>
    <w:rsid w:val="00223B66"/>
    <w:rsid w:val="002240A4"/>
    <w:rsid w:val="0022478B"/>
    <w:rsid w:val="00225547"/>
    <w:rsid w:val="00226351"/>
    <w:rsid w:val="002303FF"/>
    <w:rsid w:val="00230B4C"/>
    <w:rsid w:val="0023235C"/>
    <w:rsid w:val="00232836"/>
    <w:rsid w:val="0023339C"/>
    <w:rsid w:val="00234309"/>
    <w:rsid w:val="00235123"/>
    <w:rsid w:val="002409C1"/>
    <w:rsid w:val="002416E2"/>
    <w:rsid w:val="002419D0"/>
    <w:rsid w:val="00242897"/>
    <w:rsid w:val="00242A62"/>
    <w:rsid w:val="002444EA"/>
    <w:rsid w:val="00245EF6"/>
    <w:rsid w:val="00246944"/>
    <w:rsid w:val="002473CA"/>
    <w:rsid w:val="0025131F"/>
    <w:rsid w:val="00253669"/>
    <w:rsid w:val="00253F0D"/>
    <w:rsid w:val="00254AFD"/>
    <w:rsid w:val="00255414"/>
    <w:rsid w:val="00255AC7"/>
    <w:rsid w:val="00256451"/>
    <w:rsid w:val="002569C5"/>
    <w:rsid w:val="00256A84"/>
    <w:rsid w:val="00257F4D"/>
    <w:rsid w:val="0026198C"/>
    <w:rsid w:val="00261AC6"/>
    <w:rsid w:val="00262FCB"/>
    <w:rsid w:val="00263AB2"/>
    <w:rsid w:val="002643E5"/>
    <w:rsid w:val="00264EB2"/>
    <w:rsid w:val="00265009"/>
    <w:rsid w:val="0026705D"/>
    <w:rsid w:val="00267C83"/>
    <w:rsid w:val="00270DBF"/>
    <w:rsid w:val="00270EC1"/>
    <w:rsid w:val="00272498"/>
    <w:rsid w:val="002725B6"/>
    <w:rsid w:val="002726B5"/>
    <w:rsid w:val="00276030"/>
    <w:rsid w:val="00276AC4"/>
    <w:rsid w:val="00276F7B"/>
    <w:rsid w:val="0027767A"/>
    <w:rsid w:val="002815E4"/>
    <w:rsid w:val="0028240A"/>
    <w:rsid w:val="00282892"/>
    <w:rsid w:val="00283506"/>
    <w:rsid w:val="00283A43"/>
    <w:rsid w:val="002842BF"/>
    <w:rsid w:val="00284301"/>
    <w:rsid w:val="00284647"/>
    <w:rsid w:val="0028487B"/>
    <w:rsid w:val="002849EB"/>
    <w:rsid w:val="0028524B"/>
    <w:rsid w:val="00285A81"/>
    <w:rsid w:val="00285BDF"/>
    <w:rsid w:val="00285F61"/>
    <w:rsid w:val="002862E3"/>
    <w:rsid w:val="002868A8"/>
    <w:rsid w:val="00287BB6"/>
    <w:rsid w:val="00287E12"/>
    <w:rsid w:val="00290DAB"/>
    <w:rsid w:val="00291042"/>
    <w:rsid w:val="00291C24"/>
    <w:rsid w:val="00292441"/>
    <w:rsid w:val="00292F73"/>
    <w:rsid w:val="00293A07"/>
    <w:rsid w:val="00293AAD"/>
    <w:rsid w:val="00294C7D"/>
    <w:rsid w:val="002950BC"/>
    <w:rsid w:val="00295CE8"/>
    <w:rsid w:val="002962B1"/>
    <w:rsid w:val="002965AD"/>
    <w:rsid w:val="00297531"/>
    <w:rsid w:val="00297B75"/>
    <w:rsid w:val="002A0C4E"/>
    <w:rsid w:val="002A1672"/>
    <w:rsid w:val="002A22D6"/>
    <w:rsid w:val="002A3505"/>
    <w:rsid w:val="002A3741"/>
    <w:rsid w:val="002A4AAB"/>
    <w:rsid w:val="002A5CB2"/>
    <w:rsid w:val="002A5E44"/>
    <w:rsid w:val="002A65E2"/>
    <w:rsid w:val="002A7BBC"/>
    <w:rsid w:val="002B12E2"/>
    <w:rsid w:val="002B1662"/>
    <w:rsid w:val="002B3F03"/>
    <w:rsid w:val="002B4148"/>
    <w:rsid w:val="002B469A"/>
    <w:rsid w:val="002B51EA"/>
    <w:rsid w:val="002B7974"/>
    <w:rsid w:val="002C0DD0"/>
    <w:rsid w:val="002C1AB9"/>
    <w:rsid w:val="002C2D6E"/>
    <w:rsid w:val="002C3042"/>
    <w:rsid w:val="002C363B"/>
    <w:rsid w:val="002C3753"/>
    <w:rsid w:val="002C465A"/>
    <w:rsid w:val="002C5242"/>
    <w:rsid w:val="002C666B"/>
    <w:rsid w:val="002C6C07"/>
    <w:rsid w:val="002C6E3F"/>
    <w:rsid w:val="002D13DD"/>
    <w:rsid w:val="002D1777"/>
    <w:rsid w:val="002D2F30"/>
    <w:rsid w:val="002D5C40"/>
    <w:rsid w:val="002D61AB"/>
    <w:rsid w:val="002D7BB2"/>
    <w:rsid w:val="002E1F2C"/>
    <w:rsid w:val="002E273F"/>
    <w:rsid w:val="002E28E9"/>
    <w:rsid w:val="002E2B24"/>
    <w:rsid w:val="002E3240"/>
    <w:rsid w:val="002E348F"/>
    <w:rsid w:val="002E36ED"/>
    <w:rsid w:val="002E6BFE"/>
    <w:rsid w:val="002F4310"/>
    <w:rsid w:val="002F4865"/>
    <w:rsid w:val="002F499D"/>
    <w:rsid w:val="002F5275"/>
    <w:rsid w:val="002F654F"/>
    <w:rsid w:val="002F6770"/>
    <w:rsid w:val="002F7B60"/>
    <w:rsid w:val="0030341D"/>
    <w:rsid w:val="00303E74"/>
    <w:rsid w:val="00306A74"/>
    <w:rsid w:val="0031003B"/>
    <w:rsid w:val="00313325"/>
    <w:rsid w:val="00313A4D"/>
    <w:rsid w:val="00313F34"/>
    <w:rsid w:val="00314DB9"/>
    <w:rsid w:val="0031707F"/>
    <w:rsid w:val="003175EE"/>
    <w:rsid w:val="00321BC7"/>
    <w:rsid w:val="00321E2F"/>
    <w:rsid w:val="00324865"/>
    <w:rsid w:val="00324E36"/>
    <w:rsid w:val="0032557C"/>
    <w:rsid w:val="00326478"/>
    <w:rsid w:val="00327742"/>
    <w:rsid w:val="0032788A"/>
    <w:rsid w:val="00331031"/>
    <w:rsid w:val="00331281"/>
    <w:rsid w:val="003333CF"/>
    <w:rsid w:val="003347D8"/>
    <w:rsid w:val="003347F8"/>
    <w:rsid w:val="003348AD"/>
    <w:rsid w:val="003350FF"/>
    <w:rsid w:val="003359F2"/>
    <w:rsid w:val="00340374"/>
    <w:rsid w:val="003405B0"/>
    <w:rsid w:val="00340734"/>
    <w:rsid w:val="0034095A"/>
    <w:rsid w:val="00340B45"/>
    <w:rsid w:val="00342E44"/>
    <w:rsid w:val="00343334"/>
    <w:rsid w:val="003439C3"/>
    <w:rsid w:val="00346F10"/>
    <w:rsid w:val="00347DC8"/>
    <w:rsid w:val="00350642"/>
    <w:rsid w:val="0035087B"/>
    <w:rsid w:val="00352E5D"/>
    <w:rsid w:val="003537FA"/>
    <w:rsid w:val="003538B4"/>
    <w:rsid w:val="00353D3F"/>
    <w:rsid w:val="003546A7"/>
    <w:rsid w:val="00354E41"/>
    <w:rsid w:val="00355F7D"/>
    <w:rsid w:val="00356C0C"/>
    <w:rsid w:val="0036003D"/>
    <w:rsid w:val="003601EE"/>
    <w:rsid w:val="0036092F"/>
    <w:rsid w:val="0036212C"/>
    <w:rsid w:val="00363818"/>
    <w:rsid w:val="00364709"/>
    <w:rsid w:val="00365849"/>
    <w:rsid w:val="0036608F"/>
    <w:rsid w:val="00367761"/>
    <w:rsid w:val="003723EC"/>
    <w:rsid w:val="003725C2"/>
    <w:rsid w:val="00373228"/>
    <w:rsid w:val="0037398C"/>
    <w:rsid w:val="00373DDA"/>
    <w:rsid w:val="003751D4"/>
    <w:rsid w:val="0037765F"/>
    <w:rsid w:val="0037789B"/>
    <w:rsid w:val="003805C3"/>
    <w:rsid w:val="003808DC"/>
    <w:rsid w:val="003812EE"/>
    <w:rsid w:val="00381353"/>
    <w:rsid w:val="00381AD3"/>
    <w:rsid w:val="00381C4B"/>
    <w:rsid w:val="00381F6A"/>
    <w:rsid w:val="00382023"/>
    <w:rsid w:val="00382317"/>
    <w:rsid w:val="00382748"/>
    <w:rsid w:val="0038366B"/>
    <w:rsid w:val="00383E27"/>
    <w:rsid w:val="00384A33"/>
    <w:rsid w:val="00384F53"/>
    <w:rsid w:val="0038718B"/>
    <w:rsid w:val="00390037"/>
    <w:rsid w:val="00390F51"/>
    <w:rsid w:val="00391805"/>
    <w:rsid w:val="00392780"/>
    <w:rsid w:val="00394400"/>
    <w:rsid w:val="003965DB"/>
    <w:rsid w:val="003966A4"/>
    <w:rsid w:val="00397C51"/>
    <w:rsid w:val="00397EA7"/>
    <w:rsid w:val="003A1873"/>
    <w:rsid w:val="003A33FD"/>
    <w:rsid w:val="003A389D"/>
    <w:rsid w:val="003A4099"/>
    <w:rsid w:val="003A48A3"/>
    <w:rsid w:val="003A4DEB"/>
    <w:rsid w:val="003A56B4"/>
    <w:rsid w:val="003A7CE9"/>
    <w:rsid w:val="003A7D94"/>
    <w:rsid w:val="003B074C"/>
    <w:rsid w:val="003B304F"/>
    <w:rsid w:val="003B36FD"/>
    <w:rsid w:val="003B52E3"/>
    <w:rsid w:val="003C0A14"/>
    <w:rsid w:val="003C1256"/>
    <w:rsid w:val="003C1404"/>
    <w:rsid w:val="003C2F63"/>
    <w:rsid w:val="003C309D"/>
    <w:rsid w:val="003C5D94"/>
    <w:rsid w:val="003C7A73"/>
    <w:rsid w:val="003D061C"/>
    <w:rsid w:val="003D16A0"/>
    <w:rsid w:val="003D17AC"/>
    <w:rsid w:val="003D188B"/>
    <w:rsid w:val="003D3B9A"/>
    <w:rsid w:val="003D42BA"/>
    <w:rsid w:val="003D4669"/>
    <w:rsid w:val="003D5E2A"/>
    <w:rsid w:val="003D6B57"/>
    <w:rsid w:val="003E015A"/>
    <w:rsid w:val="003E0880"/>
    <w:rsid w:val="003E0893"/>
    <w:rsid w:val="003E0DA0"/>
    <w:rsid w:val="003E3CBC"/>
    <w:rsid w:val="003E4724"/>
    <w:rsid w:val="003E5316"/>
    <w:rsid w:val="003E5B81"/>
    <w:rsid w:val="003E63DA"/>
    <w:rsid w:val="003E6E9A"/>
    <w:rsid w:val="003F0052"/>
    <w:rsid w:val="003F080A"/>
    <w:rsid w:val="003F3F2B"/>
    <w:rsid w:val="003F4609"/>
    <w:rsid w:val="003F4887"/>
    <w:rsid w:val="003F6718"/>
    <w:rsid w:val="0040036D"/>
    <w:rsid w:val="00400ACB"/>
    <w:rsid w:val="004014AC"/>
    <w:rsid w:val="00401EA9"/>
    <w:rsid w:val="00402BA3"/>
    <w:rsid w:val="0040556F"/>
    <w:rsid w:val="00405C57"/>
    <w:rsid w:val="0040634B"/>
    <w:rsid w:val="00406717"/>
    <w:rsid w:val="00406F15"/>
    <w:rsid w:val="00407DF5"/>
    <w:rsid w:val="0041010A"/>
    <w:rsid w:val="004112B7"/>
    <w:rsid w:val="004113F2"/>
    <w:rsid w:val="0041189C"/>
    <w:rsid w:val="0041286B"/>
    <w:rsid w:val="00412E55"/>
    <w:rsid w:val="00412EDA"/>
    <w:rsid w:val="00413ED6"/>
    <w:rsid w:val="0041470D"/>
    <w:rsid w:val="00414F3C"/>
    <w:rsid w:val="00415306"/>
    <w:rsid w:val="004165A5"/>
    <w:rsid w:val="004165E0"/>
    <w:rsid w:val="0042020F"/>
    <w:rsid w:val="004209AD"/>
    <w:rsid w:val="00420E26"/>
    <w:rsid w:val="0042259E"/>
    <w:rsid w:val="00423AB0"/>
    <w:rsid w:val="004241CA"/>
    <w:rsid w:val="00424DB7"/>
    <w:rsid w:val="0042508B"/>
    <w:rsid w:val="004255AF"/>
    <w:rsid w:val="00425EF9"/>
    <w:rsid w:val="0043056E"/>
    <w:rsid w:val="0043102C"/>
    <w:rsid w:val="00431D80"/>
    <w:rsid w:val="00432EDE"/>
    <w:rsid w:val="004346A4"/>
    <w:rsid w:val="00434E74"/>
    <w:rsid w:val="0043560E"/>
    <w:rsid w:val="00435970"/>
    <w:rsid w:val="004366AC"/>
    <w:rsid w:val="00436879"/>
    <w:rsid w:val="00437C0C"/>
    <w:rsid w:val="00437DC8"/>
    <w:rsid w:val="00440935"/>
    <w:rsid w:val="0044137D"/>
    <w:rsid w:val="00441DE0"/>
    <w:rsid w:val="00442117"/>
    <w:rsid w:val="00442798"/>
    <w:rsid w:val="004428F8"/>
    <w:rsid w:val="0044318C"/>
    <w:rsid w:val="004438EC"/>
    <w:rsid w:val="00445686"/>
    <w:rsid w:val="00446471"/>
    <w:rsid w:val="004470BD"/>
    <w:rsid w:val="00447425"/>
    <w:rsid w:val="00447F68"/>
    <w:rsid w:val="004508EB"/>
    <w:rsid w:val="00453341"/>
    <w:rsid w:val="00453751"/>
    <w:rsid w:val="00453947"/>
    <w:rsid w:val="00456A2C"/>
    <w:rsid w:val="00460668"/>
    <w:rsid w:val="004611C1"/>
    <w:rsid w:val="00465AF5"/>
    <w:rsid w:val="004661B0"/>
    <w:rsid w:val="00467CFF"/>
    <w:rsid w:val="004701CE"/>
    <w:rsid w:val="004702BD"/>
    <w:rsid w:val="00470775"/>
    <w:rsid w:val="00471268"/>
    <w:rsid w:val="00473A7F"/>
    <w:rsid w:val="00473E7D"/>
    <w:rsid w:val="0047596E"/>
    <w:rsid w:val="00477865"/>
    <w:rsid w:val="0048021F"/>
    <w:rsid w:val="00480CE0"/>
    <w:rsid w:val="00484599"/>
    <w:rsid w:val="004851C5"/>
    <w:rsid w:val="00485F0D"/>
    <w:rsid w:val="00487EFD"/>
    <w:rsid w:val="00490E4A"/>
    <w:rsid w:val="004911DC"/>
    <w:rsid w:val="004944B6"/>
    <w:rsid w:val="00494A80"/>
    <w:rsid w:val="004A4630"/>
    <w:rsid w:val="004A4A17"/>
    <w:rsid w:val="004A4CC2"/>
    <w:rsid w:val="004A7952"/>
    <w:rsid w:val="004A7AFF"/>
    <w:rsid w:val="004B1465"/>
    <w:rsid w:val="004B5555"/>
    <w:rsid w:val="004B6A9B"/>
    <w:rsid w:val="004C0A57"/>
    <w:rsid w:val="004C4320"/>
    <w:rsid w:val="004C5584"/>
    <w:rsid w:val="004C6B9E"/>
    <w:rsid w:val="004C6C6E"/>
    <w:rsid w:val="004C780E"/>
    <w:rsid w:val="004D090D"/>
    <w:rsid w:val="004D14D8"/>
    <w:rsid w:val="004D3D91"/>
    <w:rsid w:val="004D4292"/>
    <w:rsid w:val="004D4549"/>
    <w:rsid w:val="004D4BA7"/>
    <w:rsid w:val="004D5ACE"/>
    <w:rsid w:val="004D5BB9"/>
    <w:rsid w:val="004D7834"/>
    <w:rsid w:val="004D7BF8"/>
    <w:rsid w:val="004E01E1"/>
    <w:rsid w:val="004E0B7A"/>
    <w:rsid w:val="004E0B8E"/>
    <w:rsid w:val="004E1894"/>
    <w:rsid w:val="004E2CF6"/>
    <w:rsid w:val="004E2D77"/>
    <w:rsid w:val="004E3BBF"/>
    <w:rsid w:val="004E518C"/>
    <w:rsid w:val="004E6F94"/>
    <w:rsid w:val="004E7578"/>
    <w:rsid w:val="004F0107"/>
    <w:rsid w:val="004F1699"/>
    <w:rsid w:val="004F3090"/>
    <w:rsid w:val="004F4346"/>
    <w:rsid w:val="004F489A"/>
    <w:rsid w:val="004F4A39"/>
    <w:rsid w:val="004F4D75"/>
    <w:rsid w:val="004F5F21"/>
    <w:rsid w:val="004F66D0"/>
    <w:rsid w:val="004F6747"/>
    <w:rsid w:val="00500F88"/>
    <w:rsid w:val="00504154"/>
    <w:rsid w:val="00504223"/>
    <w:rsid w:val="0050477B"/>
    <w:rsid w:val="005057CC"/>
    <w:rsid w:val="00505858"/>
    <w:rsid w:val="00505A9A"/>
    <w:rsid w:val="00505F80"/>
    <w:rsid w:val="00507E86"/>
    <w:rsid w:val="0051089D"/>
    <w:rsid w:val="005115F3"/>
    <w:rsid w:val="00512325"/>
    <w:rsid w:val="00512BF2"/>
    <w:rsid w:val="00513834"/>
    <w:rsid w:val="00514908"/>
    <w:rsid w:val="00514A6D"/>
    <w:rsid w:val="00515EB7"/>
    <w:rsid w:val="00520518"/>
    <w:rsid w:val="005209D7"/>
    <w:rsid w:val="00520CD4"/>
    <w:rsid w:val="0052205A"/>
    <w:rsid w:val="00523D1E"/>
    <w:rsid w:val="0052537E"/>
    <w:rsid w:val="00525F48"/>
    <w:rsid w:val="0052611C"/>
    <w:rsid w:val="005261F1"/>
    <w:rsid w:val="00526784"/>
    <w:rsid w:val="00526E2C"/>
    <w:rsid w:val="00527CD2"/>
    <w:rsid w:val="0053199E"/>
    <w:rsid w:val="00533FFC"/>
    <w:rsid w:val="005340F7"/>
    <w:rsid w:val="0053539D"/>
    <w:rsid w:val="005361E0"/>
    <w:rsid w:val="00540570"/>
    <w:rsid w:val="005437CF"/>
    <w:rsid w:val="0054482C"/>
    <w:rsid w:val="00547B5A"/>
    <w:rsid w:val="00550047"/>
    <w:rsid w:val="00550282"/>
    <w:rsid w:val="0055130D"/>
    <w:rsid w:val="005550DD"/>
    <w:rsid w:val="00555359"/>
    <w:rsid w:val="005554AD"/>
    <w:rsid w:val="005562DA"/>
    <w:rsid w:val="005575BA"/>
    <w:rsid w:val="00557DC5"/>
    <w:rsid w:val="00560F77"/>
    <w:rsid w:val="00561EA3"/>
    <w:rsid w:val="005624A0"/>
    <w:rsid w:val="005635C8"/>
    <w:rsid w:val="00564B12"/>
    <w:rsid w:val="0056550D"/>
    <w:rsid w:val="005659AC"/>
    <w:rsid w:val="005665E1"/>
    <w:rsid w:val="00567592"/>
    <w:rsid w:val="00567B55"/>
    <w:rsid w:val="005701BB"/>
    <w:rsid w:val="005709B5"/>
    <w:rsid w:val="00570BB9"/>
    <w:rsid w:val="005712A8"/>
    <w:rsid w:val="00572418"/>
    <w:rsid w:val="00572A77"/>
    <w:rsid w:val="00573BE5"/>
    <w:rsid w:val="00574301"/>
    <w:rsid w:val="0057463F"/>
    <w:rsid w:val="00574806"/>
    <w:rsid w:val="00574CFF"/>
    <w:rsid w:val="005752A3"/>
    <w:rsid w:val="00575CB7"/>
    <w:rsid w:val="00580F55"/>
    <w:rsid w:val="00583F70"/>
    <w:rsid w:val="00584D05"/>
    <w:rsid w:val="0058523D"/>
    <w:rsid w:val="00585960"/>
    <w:rsid w:val="00586934"/>
    <w:rsid w:val="00587C00"/>
    <w:rsid w:val="00587E4F"/>
    <w:rsid w:val="00591BBD"/>
    <w:rsid w:val="0059449D"/>
    <w:rsid w:val="00597E4B"/>
    <w:rsid w:val="005A1260"/>
    <w:rsid w:val="005A2FA1"/>
    <w:rsid w:val="005A3014"/>
    <w:rsid w:val="005A35B6"/>
    <w:rsid w:val="005A50A0"/>
    <w:rsid w:val="005A522B"/>
    <w:rsid w:val="005A6740"/>
    <w:rsid w:val="005A77C9"/>
    <w:rsid w:val="005A7A37"/>
    <w:rsid w:val="005B03C3"/>
    <w:rsid w:val="005B0C96"/>
    <w:rsid w:val="005B1244"/>
    <w:rsid w:val="005B214B"/>
    <w:rsid w:val="005B3314"/>
    <w:rsid w:val="005B3467"/>
    <w:rsid w:val="005B5AF6"/>
    <w:rsid w:val="005B61FE"/>
    <w:rsid w:val="005B6687"/>
    <w:rsid w:val="005C0F07"/>
    <w:rsid w:val="005C177B"/>
    <w:rsid w:val="005C1CA1"/>
    <w:rsid w:val="005C2DE6"/>
    <w:rsid w:val="005C3E05"/>
    <w:rsid w:val="005C4EBF"/>
    <w:rsid w:val="005C5098"/>
    <w:rsid w:val="005C58EB"/>
    <w:rsid w:val="005C63D9"/>
    <w:rsid w:val="005D088D"/>
    <w:rsid w:val="005D1A7D"/>
    <w:rsid w:val="005D1D9B"/>
    <w:rsid w:val="005D1F21"/>
    <w:rsid w:val="005D2C4E"/>
    <w:rsid w:val="005D392F"/>
    <w:rsid w:val="005D4C6F"/>
    <w:rsid w:val="005D57AA"/>
    <w:rsid w:val="005D5D39"/>
    <w:rsid w:val="005D7543"/>
    <w:rsid w:val="005D78A2"/>
    <w:rsid w:val="005D7E32"/>
    <w:rsid w:val="005E1C52"/>
    <w:rsid w:val="005E2E68"/>
    <w:rsid w:val="005E33D2"/>
    <w:rsid w:val="005E41E1"/>
    <w:rsid w:val="005E4BD2"/>
    <w:rsid w:val="005E501E"/>
    <w:rsid w:val="005E50F3"/>
    <w:rsid w:val="005E5F00"/>
    <w:rsid w:val="005F2D4C"/>
    <w:rsid w:val="005F37D4"/>
    <w:rsid w:val="005F42D2"/>
    <w:rsid w:val="005F4DD9"/>
    <w:rsid w:val="005F51F9"/>
    <w:rsid w:val="005F67E2"/>
    <w:rsid w:val="006020D9"/>
    <w:rsid w:val="0060267A"/>
    <w:rsid w:val="006030D6"/>
    <w:rsid w:val="00605007"/>
    <w:rsid w:val="006105B3"/>
    <w:rsid w:val="006119B8"/>
    <w:rsid w:val="00613A60"/>
    <w:rsid w:val="00614CD3"/>
    <w:rsid w:val="00616BF1"/>
    <w:rsid w:val="0062043A"/>
    <w:rsid w:val="00620808"/>
    <w:rsid w:val="006217E3"/>
    <w:rsid w:val="00621A67"/>
    <w:rsid w:val="00621EDB"/>
    <w:rsid w:val="006232A3"/>
    <w:rsid w:val="006242DF"/>
    <w:rsid w:val="0062497C"/>
    <w:rsid w:val="00624EB7"/>
    <w:rsid w:val="0062600E"/>
    <w:rsid w:val="00626EC9"/>
    <w:rsid w:val="0062778A"/>
    <w:rsid w:val="006308D0"/>
    <w:rsid w:val="00633FA5"/>
    <w:rsid w:val="00636643"/>
    <w:rsid w:val="00636EE6"/>
    <w:rsid w:val="00637F16"/>
    <w:rsid w:val="00640570"/>
    <w:rsid w:val="00640CB0"/>
    <w:rsid w:val="00641143"/>
    <w:rsid w:val="0064267E"/>
    <w:rsid w:val="006430FF"/>
    <w:rsid w:val="0064347A"/>
    <w:rsid w:val="00643967"/>
    <w:rsid w:val="00647882"/>
    <w:rsid w:val="00647F9D"/>
    <w:rsid w:val="006502AB"/>
    <w:rsid w:val="00651177"/>
    <w:rsid w:val="0065343A"/>
    <w:rsid w:val="00653B74"/>
    <w:rsid w:val="006569FD"/>
    <w:rsid w:val="0066096D"/>
    <w:rsid w:val="0066100B"/>
    <w:rsid w:val="0066219C"/>
    <w:rsid w:val="0066654B"/>
    <w:rsid w:val="00666B1D"/>
    <w:rsid w:val="006672FF"/>
    <w:rsid w:val="00667F5E"/>
    <w:rsid w:val="00671816"/>
    <w:rsid w:val="006724CA"/>
    <w:rsid w:val="006727E9"/>
    <w:rsid w:val="006746CD"/>
    <w:rsid w:val="00674DB1"/>
    <w:rsid w:val="00677156"/>
    <w:rsid w:val="006779A1"/>
    <w:rsid w:val="00677A99"/>
    <w:rsid w:val="006807B3"/>
    <w:rsid w:val="006813A4"/>
    <w:rsid w:val="00681D5A"/>
    <w:rsid w:val="00681F77"/>
    <w:rsid w:val="006823B3"/>
    <w:rsid w:val="00682BA0"/>
    <w:rsid w:val="00682E7A"/>
    <w:rsid w:val="0068390A"/>
    <w:rsid w:val="006855D3"/>
    <w:rsid w:val="00685D06"/>
    <w:rsid w:val="00686202"/>
    <w:rsid w:val="00690243"/>
    <w:rsid w:val="0069139A"/>
    <w:rsid w:val="006917A7"/>
    <w:rsid w:val="00691862"/>
    <w:rsid w:val="0069219F"/>
    <w:rsid w:val="006944EB"/>
    <w:rsid w:val="00694C2D"/>
    <w:rsid w:val="00696BD0"/>
    <w:rsid w:val="006A00B7"/>
    <w:rsid w:val="006A0563"/>
    <w:rsid w:val="006A134B"/>
    <w:rsid w:val="006A1B12"/>
    <w:rsid w:val="006A229F"/>
    <w:rsid w:val="006A34AC"/>
    <w:rsid w:val="006A46A7"/>
    <w:rsid w:val="006A4D18"/>
    <w:rsid w:val="006A50E4"/>
    <w:rsid w:val="006A7371"/>
    <w:rsid w:val="006B34C9"/>
    <w:rsid w:val="006B399A"/>
    <w:rsid w:val="006B4795"/>
    <w:rsid w:val="006B5791"/>
    <w:rsid w:val="006B60A2"/>
    <w:rsid w:val="006B6798"/>
    <w:rsid w:val="006B77BE"/>
    <w:rsid w:val="006B7B54"/>
    <w:rsid w:val="006C0F76"/>
    <w:rsid w:val="006C1340"/>
    <w:rsid w:val="006C23C2"/>
    <w:rsid w:val="006C33AC"/>
    <w:rsid w:val="006C5C39"/>
    <w:rsid w:val="006C723E"/>
    <w:rsid w:val="006C7B71"/>
    <w:rsid w:val="006D01E3"/>
    <w:rsid w:val="006D3A6D"/>
    <w:rsid w:val="006D46C6"/>
    <w:rsid w:val="006D4F91"/>
    <w:rsid w:val="006D5556"/>
    <w:rsid w:val="006D6DB3"/>
    <w:rsid w:val="006E0419"/>
    <w:rsid w:val="006E0CF5"/>
    <w:rsid w:val="006E15B5"/>
    <w:rsid w:val="006E31A3"/>
    <w:rsid w:val="006E45CC"/>
    <w:rsid w:val="006E5C6C"/>
    <w:rsid w:val="006E63DE"/>
    <w:rsid w:val="006E6A42"/>
    <w:rsid w:val="006E70D1"/>
    <w:rsid w:val="006F137B"/>
    <w:rsid w:val="006F1DC1"/>
    <w:rsid w:val="006F2292"/>
    <w:rsid w:val="006F31D7"/>
    <w:rsid w:val="006F3670"/>
    <w:rsid w:val="006F3932"/>
    <w:rsid w:val="006F3B2C"/>
    <w:rsid w:val="006F4901"/>
    <w:rsid w:val="006F617A"/>
    <w:rsid w:val="006F6D52"/>
    <w:rsid w:val="007001BB"/>
    <w:rsid w:val="0070184C"/>
    <w:rsid w:val="007028E7"/>
    <w:rsid w:val="007039B7"/>
    <w:rsid w:val="00704082"/>
    <w:rsid w:val="007077DC"/>
    <w:rsid w:val="00707DAE"/>
    <w:rsid w:val="007100E9"/>
    <w:rsid w:val="00710C2B"/>
    <w:rsid w:val="00713A2A"/>
    <w:rsid w:val="00713D73"/>
    <w:rsid w:val="00714C9D"/>
    <w:rsid w:val="00714F31"/>
    <w:rsid w:val="0071593B"/>
    <w:rsid w:val="007219F6"/>
    <w:rsid w:val="00722046"/>
    <w:rsid w:val="00722CFC"/>
    <w:rsid w:val="0072440A"/>
    <w:rsid w:val="00724504"/>
    <w:rsid w:val="007247EB"/>
    <w:rsid w:val="007257D4"/>
    <w:rsid w:val="00726142"/>
    <w:rsid w:val="00726485"/>
    <w:rsid w:val="00726F2B"/>
    <w:rsid w:val="0073271B"/>
    <w:rsid w:val="00732F1A"/>
    <w:rsid w:val="00733151"/>
    <w:rsid w:val="00733E79"/>
    <w:rsid w:val="00734A87"/>
    <w:rsid w:val="00734CF6"/>
    <w:rsid w:val="00735189"/>
    <w:rsid w:val="007360FB"/>
    <w:rsid w:val="007369A0"/>
    <w:rsid w:val="00737CD3"/>
    <w:rsid w:val="007400A8"/>
    <w:rsid w:val="00740E6A"/>
    <w:rsid w:val="007413D9"/>
    <w:rsid w:val="0074150C"/>
    <w:rsid w:val="007434B4"/>
    <w:rsid w:val="00744360"/>
    <w:rsid w:val="00745685"/>
    <w:rsid w:val="0074593E"/>
    <w:rsid w:val="007460BC"/>
    <w:rsid w:val="00746586"/>
    <w:rsid w:val="00747190"/>
    <w:rsid w:val="00747779"/>
    <w:rsid w:val="00747DDA"/>
    <w:rsid w:val="00747F03"/>
    <w:rsid w:val="00750446"/>
    <w:rsid w:val="00751132"/>
    <w:rsid w:val="00751F7C"/>
    <w:rsid w:val="00753FAF"/>
    <w:rsid w:val="0075519B"/>
    <w:rsid w:val="00755F77"/>
    <w:rsid w:val="007567BC"/>
    <w:rsid w:val="007568EE"/>
    <w:rsid w:val="00756B9B"/>
    <w:rsid w:val="007601F3"/>
    <w:rsid w:val="007606C3"/>
    <w:rsid w:val="00760E64"/>
    <w:rsid w:val="007611A9"/>
    <w:rsid w:val="00761C5D"/>
    <w:rsid w:val="00761F02"/>
    <w:rsid w:val="00763CC3"/>
    <w:rsid w:val="0076488F"/>
    <w:rsid w:val="00765AED"/>
    <w:rsid w:val="007662F0"/>
    <w:rsid w:val="0076675E"/>
    <w:rsid w:val="0076684A"/>
    <w:rsid w:val="00767220"/>
    <w:rsid w:val="00771DE6"/>
    <w:rsid w:val="007723AB"/>
    <w:rsid w:val="0077276B"/>
    <w:rsid w:val="007741AD"/>
    <w:rsid w:val="00774632"/>
    <w:rsid w:val="00775065"/>
    <w:rsid w:val="00777B6C"/>
    <w:rsid w:val="00780CB0"/>
    <w:rsid w:val="007847B2"/>
    <w:rsid w:val="00785730"/>
    <w:rsid w:val="00785952"/>
    <w:rsid w:val="00785A28"/>
    <w:rsid w:val="00786755"/>
    <w:rsid w:val="00786C4A"/>
    <w:rsid w:val="00787111"/>
    <w:rsid w:val="0078751B"/>
    <w:rsid w:val="00787713"/>
    <w:rsid w:val="00787B90"/>
    <w:rsid w:val="007928E2"/>
    <w:rsid w:val="007936B7"/>
    <w:rsid w:val="007938A2"/>
    <w:rsid w:val="00793C99"/>
    <w:rsid w:val="007946C7"/>
    <w:rsid w:val="007948EB"/>
    <w:rsid w:val="0079531F"/>
    <w:rsid w:val="00795D1A"/>
    <w:rsid w:val="007972B8"/>
    <w:rsid w:val="00797518"/>
    <w:rsid w:val="007A06E2"/>
    <w:rsid w:val="007A12FB"/>
    <w:rsid w:val="007A33DB"/>
    <w:rsid w:val="007A3ABD"/>
    <w:rsid w:val="007A4B56"/>
    <w:rsid w:val="007A54CF"/>
    <w:rsid w:val="007A5DDD"/>
    <w:rsid w:val="007A69F1"/>
    <w:rsid w:val="007A6B90"/>
    <w:rsid w:val="007A6D7B"/>
    <w:rsid w:val="007B0338"/>
    <w:rsid w:val="007B0520"/>
    <w:rsid w:val="007B2232"/>
    <w:rsid w:val="007B4A00"/>
    <w:rsid w:val="007B644C"/>
    <w:rsid w:val="007B65F8"/>
    <w:rsid w:val="007B7094"/>
    <w:rsid w:val="007C2C9D"/>
    <w:rsid w:val="007C302F"/>
    <w:rsid w:val="007C5C1F"/>
    <w:rsid w:val="007C6ED7"/>
    <w:rsid w:val="007C76F3"/>
    <w:rsid w:val="007D1565"/>
    <w:rsid w:val="007D23C8"/>
    <w:rsid w:val="007D348B"/>
    <w:rsid w:val="007D3A8A"/>
    <w:rsid w:val="007D405F"/>
    <w:rsid w:val="007D460B"/>
    <w:rsid w:val="007D4EAE"/>
    <w:rsid w:val="007D57AF"/>
    <w:rsid w:val="007D5C23"/>
    <w:rsid w:val="007D6E84"/>
    <w:rsid w:val="007D71A8"/>
    <w:rsid w:val="007D7812"/>
    <w:rsid w:val="007D7974"/>
    <w:rsid w:val="007E0993"/>
    <w:rsid w:val="007E1305"/>
    <w:rsid w:val="007E1DC0"/>
    <w:rsid w:val="007E2C2B"/>
    <w:rsid w:val="007E2F36"/>
    <w:rsid w:val="007E484A"/>
    <w:rsid w:val="007E4969"/>
    <w:rsid w:val="007E5152"/>
    <w:rsid w:val="007E5BC4"/>
    <w:rsid w:val="007F1267"/>
    <w:rsid w:val="007F547A"/>
    <w:rsid w:val="007F589A"/>
    <w:rsid w:val="007F5A41"/>
    <w:rsid w:val="007F5C7E"/>
    <w:rsid w:val="007F5C8A"/>
    <w:rsid w:val="007F6ECA"/>
    <w:rsid w:val="00801B24"/>
    <w:rsid w:val="008022FA"/>
    <w:rsid w:val="00802842"/>
    <w:rsid w:val="008029A3"/>
    <w:rsid w:val="00802D88"/>
    <w:rsid w:val="008041E9"/>
    <w:rsid w:val="0080530F"/>
    <w:rsid w:val="00805524"/>
    <w:rsid w:val="00805B8A"/>
    <w:rsid w:val="00805E68"/>
    <w:rsid w:val="008067C0"/>
    <w:rsid w:val="00807280"/>
    <w:rsid w:val="00807527"/>
    <w:rsid w:val="008100B3"/>
    <w:rsid w:val="008137E0"/>
    <w:rsid w:val="00814617"/>
    <w:rsid w:val="00814F1A"/>
    <w:rsid w:val="008168BB"/>
    <w:rsid w:val="008171F2"/>
    <w:rsid w:val="008205E0"/>
    <w:rsid w:val="00820C24"/>
    <w:rsid w:val="00821AAC"/>
    <w:rsid w:val="0082253F"/>
    <w:rsid w:val="00823B5F"/>
    <w:rsid w:val="00824B7E"/>
    <w:rsid w:val="00826A07"/>
    <w:rsid w:val="00826FDC"/>
    <w:rsid w:val="008327F1"/>
    <w:rsid w:val="00832D28"/>
    <w:rsid w:val="0083358D"/>
    <w:rsid w:val="00833685"/>
    <w:rsid w:val="00833C50"/>
    <w:rsid w:val="008348A7"/>
    <w:rsid w:val="008368A0"/>
    <w:rsid w:val="00840AB2"/>
    <w:rsid w:val="008417A5"/>
    <w:rsid w:val="00844C56"/>
    <w:rsid w:val="00845C17"/>
    <w:rsid w:val="00846C2C"/>
    <w:rsid w:val="00846D0E"/>
    <w:rsid w:val="0085129C"/>
    <w:rsid w:val="00852675"/>
    <w:rsid w:val="00852853"/>
    <w:rsid w:val="008558C2"/>
    <w:rsid w:val="008570AA"/>
    <w:rsid w:val="00860E07"/>
    <w:rsid w:val="008613AD"/>
    <w:rsid w:val="0086223C"/>
    <w:rsid w:val="00862AC9"/>
    <w:rsid w:val="00862E2B"/>
    <w:rsid w:val="00865BB3"/>
    <w:rsid w:val="00865FEB"/>
    <w:rsid w:val="0086659F"/>
    <w:rsid w:val="008706F9"/>
    <w:rsid w:val="00871A49"/>
    <w:rsid w:val="00871BBB"/>
    <w:rsid w:val="00873CDE"/>
    <w:rsid w:val="00874C18"/>
    <w:rsid w:val="00876925"/>
    <w:rsid w:val="00877941"/>
    <w:rsid w:val="0088016F"/>
    <w:rsid w:val="00880359"/>
    <w:rsid w:val="0088062D"/>
    <w:rsid w:val="00880C22"/>
    <w:rsid w:val="00881408"/>
    <w:rsid w:val="008821CE"/>
    <w:rsid w:val="00882419"/>
    <w:rsid w:val="008828A3"/>
    <w:rsid w:val="00882F88"/>
    <w:rsid w:val="00884527"/>
    <w:rsid w:val="00885429"/>
    <w:rsid w:val="008862FF"/>
    <w:rsid w:val="00886FAE"/>
    <w:rsid w:val="00887570"/>
    <w:rsid w:val="0088767A"/>
    <w:rsid w:val="00892D2C"/>
    <w:rsid w:val="00892D68"/>
    <w:rsid w:val="00893531"/>
    <w:rsid w:val="008952DA"/>
    <w:rsid w:val="00895D20"/>
    <w:rsid w:val="008961A9"/>
    <w:rsid w:val="00897703"/>
    <w:rsid w:val="00897720"/>
    <w:rsid w:val="008978AE"/>
    <w:rsid w:val="008A1CC1"/>
    <w:rsid w:val="008A1E03"/>
    <w:rsid w:val="008A2E39"/>
    <w:rsid w:val="008A400C"/>
    <w:rsid w:val="008A64F6"/>
    <w:rsid w:val="008A664A"/>
    <w:rsid w:val="008A6C2A"/>
    <w:rsid w:val="008A75A2"/>
    <w:rsid w:val="008A7762"/>
    <w:rsid w:val="008B064A"/>
    <w:rsid w:val="008B4D06"/>
    <w:rsid w:val="008B4ECD"/>
    <w:rsid w:val="008B685F"/>
    <w:rsid w:val="008B7C74"/>
    <w:rsid w:val="008B7E9E"/>
    <w:rsid w:val="008C008E"/>
    <w:rsid w:val="008C2834"/>
    <w:rsid w:val="008C29DE"/>
    <w:rsid w:val="008C2DE1"/>
    <w:rsid w:val="008C3A07"/>
    <w:rsid w:val="008C41AF"/>
    <w:rsid w:val="008C47C2"/>
    <w:rsid w:val="008D0C02"/>
    <w:rsid w:val="008D1A97"/>
    <w:rsid w:val="008D201F"/>
    <w:rsid w:val="008D3FC4"/>
    <w:rsid w:val="008D4662"/>
    <w:rsid w:val="008D499A"/>
    <w:rsid w:val="008D4A08"/>
    <w:rsid w:val="008D5A64"/>
    <w:rsid w:val="008D63C6"/>
    <w:rsid w:val="008D71E1"/>
    <w:rsid w:val="008E1B2E"/>
    <w:rsid w:val="008E290D"/>
    <w:rsid w:val="008E2E02"/>
    <w:rsid w:val="008E3392"/>
    <w:rsid w:val="008E3C1A"/>
    <w:rsid w:val="008E5F9F"/>
    <w:rsid w:val="008E6DFB"/>
    <w:rsid w:val="008F0CF3"/>
    <w:rsid w:val="008F1C57"/>
    <w:rsid w:val="008F587E"/>
    <w:rsid w:val="008F63CD"/>
    <w:rsid w:val="008F63FC"/>
    <w:rsid w:val="008F6500"/>
    <w:rsid w:val="008F6EB2"/>
    <w:rsid w:val="008F73EE"/>
    <w:rsid w:val="00901406"/>
    <w:rsid w:val="00901880"/>
    <w:rsid w:val="00901F5B"/>
    <w:rsid w:val="0090312E"/>
    <w:rsid w:val="00903231"/>
    <w:rsid w:val="00904FDD"/>
    <w:rsid w:val="009055CB"/>
    <w:rsid w:val="009069C0"/>
    <w:rsid w:val="0090766C"/>
    <w:rsid w:val="009104BE"/>
    <w:rsid w:val="00910FB9"/>
    <w:rsid w:val="0091102F"/>
    <w:rsid w:val="00911842"/>
    <w:rsid w:val="00914055"/>
    <w:rsid w:val="00915C2A"/>
    <w:rsid w:val="00916580"/>
    <w:rsid w:val="009173EB"/>
    <w:rsid w:val="0091758C"/>
    <w:rsid w:val="009179EE"/>
    <w:rsid w:val="00917B30"/>
    <w:rsid w:val="00921556"/>
    <w:rsid w:val="0092181D"/>
    <w:rsid w:val="009220E1"/>
    <w:rsid w:val="009226FF"/>
    <w:rsid w:val="00922BF1"/>
    <w:rsid w:val="00922DDF"/>
    <w:rsid w:val="00923948"/>
    <w:rsid w:val="009258D3"/>
    <w:rsid w:val="00926E98"/>
    <w:rsid w:val="0093049E"/>
    <w:rsid w:val="00931B58"/>
    <w:rsid w:val="00932D24"/>
    <w:rsid w:val="0093449D"/>
    <w:rsid w:val="009348E6"/>
    <w:rsid w:val="0093744F"/>
    <w:rsid w:val="00941F4D"/>
    <w:rsid w:val="0094218B"/>
    <w:rsid w:val="009438E2"/>
    <w:rsid w:val="00943F2F"/>
    <w:rsid w:val="009440E8"/>
    <w:rsid w:val="0094476B"/>
    <w:rsid w:val="009471C8"/>
    <w:rsid w:val="00947543"/>
    <w:rsid w:val="00950768"/>
    <w:rsid w:val="00951E05"/>
    <w:rsid w:val="0095283A"/>
    <w:rsid w:val="00953295"/>
    <w:rsid w:val="009533D4"/>
    <w:rsid w:val="009536C0"/>
    <w:rsid w:val="00953F1D"/>
    <w:rsid w:val="00955A0A"/>
    <w:rsid w:val="00956792"/>
    <w:rsid w:val="009575AE"/>
    <w:rsid w:val="0096037C"/>
    <w:rsid w:val="009605C3"/>
    <w:rsid w:val="00960AEF"/>
    <w:rsid w:val="00963B89"/>
    <w:rsid w:val="00964404"/>
    <w:rsid w:val="009663CE"/>
    <w:rsid w:val="00966666"/>
    <w:rsid w:val="00966A87"/>
    <w:rsid w:val="00967B29"/>
    <w:rsid w:val="00967EB5"/>
    <w:rsid w:val="0097053B"/>
    <w:rsid w:val="009716E8"/>
    <w:rsid w:val="00971999"/>
    <w:rsid w:val="0097247C"/>
    <w:rsid w:val="009724A3"/>
    <w:rsid w:val="009735E6"/>
    <w:rsid w:val="00974D37"/>
    <w:rsid w:val="00974E44"/>
    <w:rsid w:val="009764A4"/>
    <w:rsid w:val="009771AA"/>
    <w:rsid w:val="0098151F"/>
    <w:rsid w:val="009822F0"/>
    <w:rsid w:val="00982999"/>
    <w:rsid w:val="00983A67"/>
    <w:rsid w:val="00983B75"/>
    <w:rsid w:val="009864CF"/>
    <w:rsid w:val="009868D4"/>
    <w:rsid w:val="0099031D"/>
    <w:rsid w:val="00991B04"/>
    <w:rsid w:val="00991EB4"/>
    <w:rsid w:val="009928A8"/>
    <w:rsid w:val="00992BAF"/>
    <w:rsid w:val="00992F43"/>
    <w:rsid w:val="00993871"/>
    <w:rsid w:val="00994C2B"/>
    <w:rsid w:val="00994DAF"/>
    <w:rsid w:val="00996B4D"/>
    <w:rsid w:val="00996D0D"/>
    <w:rsid w:val="009A0AA3"/>
    <w:rsid w:val="009A30BF"/>
    <w:rsid w:val="009A3F9F"/>
    <w:rsid w:val="009A4C47"/>
    <w:rsid w:val="009A5E9C"/>
    <w:rsid w:val="009A7525"/>
    <w:rsid w:val="009B06BC"/>
    <w:rsid w:val="009B1169"/>
    <w:rsid w:val="009B1F47"/>
    <w:rsid w:val="009B2B6A"/>
    <w:rsid w:val="009B327E"/>
    <w:rsid w:val="009B339A"/>
    <w:rsid w:val="009B4D71"/>
    <w:rsid w:val="009B56E8"/>
    <w:rsid w:val="009C101A"/>
    <w:rsid w:val="009C120F"/>
    <w:rsid w:val="009C29F4"/>
    <w:rsid w:val="009C2F1E"/>
    <w:rsid w:val="009C39BD"/>
    <w:rsid w:val="009D09B9"/>
    <w:rsid w:val="009D246A"/>
    <w:rsid w:val="009D7095"/>
    <w:rsid w:val="009E04AF"/>
    <w:rsid w:val="009E4A6F"/>
    <w:rsid w:val="009E4D3B"/>
    <w:rsid w:val="009E4ECA"/>
    <w:rsid w:val="009E5BB5"/>
    <w:rsid w:val="009E69CC"/>
    <w:rsid w:val="009F3C62"/>
    <w:rsid w:val="009F6612"/>
    <w:rsid w:val="009F7610"/>
    <w:rsid w:val="009F7FB0"/>
    <w:rsid w:val="00A0440E"/>
    <w:rsid w:val="00A055A2"/>
    <w:rsid w:val="00A05BDC"/>
    <w:rsid w:val="00A068BD"/>
    <w:rsid w:val="00A079C5"/>
    <w:rsid w:val="00A10993"/>
    <w:rsid w:val="00A10DF5"/>
    <w:rsid w:val="00A11343"/>
    <w:rsid w:val="00A1238E"/>
    <w:rsid w:val="00A147BA"/>
    <w:rsid w:val="00A14F25"/>
    <w:rsid w:val="00A15A79"/>
    <w:rsid w:val="00A2099A"/>
    <w:rsid w:val="00A20DB6"/>
    <w:rsid w:val="00A21A8D"/>
    <w:rsid w:val="00A21F26"/>
    <w:rsid w:val="00A23123"/>
    <w:rsid w:val="00A251BE"/>
    <w:rsid w:val="00A27620"/>
    <w:rsid w:val="00A308A5"/>
    <w:rsid w:val="00A30C20"/>
    <w:rsid w:val="00A31C0C"/>
    <w:rsid w:val="00A32970"/>
    <w:rsid w:val="00A340D8"/>
    <w:rsid w:val="00A35822"/>
    <w:rsid w:val="00A364E0"/>
    <w:rsid w:val="00A3740A"/>
    <w:rsid w:val="00A40786"/>
    <w:rsid w:val="00A410EA"/>
    <w:rsid w:val="00A43F6D"/>
    <w:rsid w:val="00A44AA1"/>
    <w:rsid w:val="00A45D07"/>
    <w:rsid w:val="00A47B85"/>
    <w:rsid w:val="00A51B00"/>
    <w:rsid w:val="00A53A4C"/>
    <w:rsid w:val="00A53AA9"/>
    <w:rsid w:val="00A54ADC"/>
    <w:rsid w:val="00A572BD"/>
    <w:rsid w:val="00A57B0B"/>
    <w:rsid w:val="00A60510"/>
    <w:rsid w:val="00A611BB"/>
    <w:rsid w:val="00A63974"/>
    <w:rsid w:val="00A64028"/>
    <w:rsid w:val="00A64425"/>
    <w:rsid w:val="00A66324"/>
    <w:rsid w:val="00A668FB"/>
    <w:rsid w:val="00A6702B"/>
    <w:rsid w:val="00A67272"/>
    <w:rsid w:val="00A71189"/>
    <w:rsid w:val="00A71D21"/>
    <w:rsid w:val="00A73A8A"/>
    <w:rsid w:val="00A74F07"/>
    <w:rsid w:val="00A76084"/>
    <w:rsid w:val="00A806A9"/>
    <w:rsid w:val="00A807C8"/>
    <w:rsid w:val="00A81C21"/>
    <w:rsid w:val="00A8241B"/>
    <w:rsid w:val="00A83F45"/>
    <w:rsid w:val="00A8400E"/>
    <w:rsid w:val="00A869D6"/>
    <w:rsid w:val="00A86ECE"/>
    <w:rsid w:val="00A878D8"/>
    <w:rsid w:val="00A90B18"/>
    <w:rsid w:val="00A92883"/>
    <w:rsid w:val="00A92E92"/>
    <w:rsid w:val="00A93090"/>
    <w:rsid w:val="00A933B4"/>
    <w:rsid w:val="00A95AC6"/>
    <w:rsid w:val="00A96972"/>
    <w:rsid w:val="00A9710F"/>
    <w:rsid w:val="00A979CB"/>
    <w:rsid w:val="00A97EBD"/>
    <w:rsid w:val="00AA4277"/>
    <w:rsid w:val="00AA4545"/>
    <w:rsid w:val="00AA6414"/>
    <w:rsid w:val="00AA6DE9"/>
    <w:rsid w:val="00AA7C12"/>
    <w:rsid w:val="00AB03B3"/>
    <w:rsid w:val="00AB05A0"/>
    <w:rsid w:val="00AB126F"/>
    <w:rsid w:val="00AB1312"/>
    <w:rsid w:val="00AB179F"/>
    <w:rsid w:val="00AB210D"/>
    <w:rsid w:val="00AB4CFA"/>
    <w:rsid w:val="00AB5225"/>
    <w:rsid w:val="00AB621A"/>
    <w:rsid w:val="00AB65F6"/>
    <w:rsid w:val="00AB77B3"/>
    <w:rsid w:val="00AB7A04"/>
    <w:rsid w:val="00AC14AF"/>
    <w:rsid w:val="00AC25B2"/>
    <w:rsid w:val="00AC375C"/>
    <w:rsid w:val="00AC47B6"/>
    <w:rsid w:val="00AC558B"/>
    <w:rsid w:val="00AC5FEB"/>
    <w:rsid w:val="00AC7AA9"/>
    <w:rsid w:val="00AC7D32"/>
    <w:rsid w:val="00AD0017"/>
    <w:rsid w:val="00AD0343"/>
    <w:rsid w:val="00AD3D71"/>
    <w:rsid w:val="00AD3EA2"/>
    <w:rsid w:val="00AD44DC"/>
    <w:rsid w:val="00AD4609"/>
    <w:rsid w:val="00AD5A5C"/>
    <w:rsid w:val="00AE03CB"/>
    <w:rsid w:val="00AE0EF8"/>
    <w:rsid w:val="00AE3218"/>
    <w:rsid w:val="00AE32D9"/>
    <w:rsid w:val="00AE3B1F"/>
    <w:rsid w:val="00AE43C4"/>
    <w:rsid w:val="00AE4454"/>
    <w:rsid w:val="00AE4958"/>
    <w:rsid w:val="00AE4D65"/>
    <w:rsid w:val="00AE58AB"/>
    <w:rsid w:val="00AE61B1"/>
    <w:rsid w:val="00AE7DF5"/>
    <w:rsid w:val="00AF0141"/>
    <w:rsid w:val="00AF1267"/>
    <w:rsid w:val="00AF18B3"/>
    <w:rsid w:val="00AF3BA9"/>
    <w:rsid w:val="00AF4CCA"/>
    <w:rsid w:val="00AF7B5E"/>
    <w:rsid w:val="00B00070"/>
    <w:rsid w:val="00B00935"/>
    <w:rsid w:val="00B00CF6"/>
    <w:rsid w:val="00B012BD"/>
    <w:rsid w:val="00B014E7"/>
    <w:rsid w:val="00B02A7E"/>
    <w:rsid w:val="00B02D50"/>
    <w:rsid w:val="00B036E5"/>
    <w:rsid w:val="00B06424"/>
    <w:rsid w:val="00B115CA"/>
    <w:rsid w:val="00B122B7"/>
    <w:rsid w:val="00B137EA"/>
    <w:rsid w:val="00B14513"/>
    <w:rsid w:val="00B147C9"/>
    <w:rsid w:val="00B159A6"/>
    <w:rsid w:val="00B15ACB"/>
    <w:rsid w:val="00B216C6"/>
    <w:rsid w:val="00B218D2"/>
    <w:rsid w:val="00B21BCE"/>
    <w:rsid w:val="00B221AB"/>
    <w:rsid w:val="00B22735"/>
    <w:rsid w:val="00B22ABA"/>
    <w:rsid w:val="00B233A7"/>
    <w:rsid w:val="00B242AF"/>
    <w:rsid w:val="00B24FE0"/>
    <w:rsid w:val="00B2614F"/>
    <w:rsid w:val="00B26607"/>
    <w:rsid w:val="00B277C0"/>
    <w:rsid w:val="00B30004"/>
    <w:rsid w:val="00B302AC"/>
    <w:rsid w:val="00B314D8"/>
    <w:rsid w:val="00B318AA"/>
    <w:rsid w:val="00B31CB9"/>
    <w:rsid w:val="00B33C46"/>
    <w:rsid w:val="00B34364"/>
    <w:rsid w:val="00B37CD6"/>
    <w:rsid w:val="00B416F4"/>
    <w:rsid w:val="00B41991"/>
    <w:rsid w:val="00B420B0"/>
    <w:rsid w:val="00B42258"/>
    <w:rsid w:val="00B42450"/>
    <w:rsid w:val="00B4383B"/>
    <w:rsid w:val="00B44107"/>
    <w:rsid w:val="00B44C47"/>
    <w:rsid w:val="00B45413"/>
    <w:rsid w:val="00B45891"/>
    <w:rsid w:val="00B46449"/>
    <w:rsid w:val="00B47A89"/>
    <w:rsid w:val="00B47B3C"/>
    <w:rsid w:val="00B47F99"/>
    <w:rsid w:val="00B50B02"/>
    <w:rsid w:val="00B50FF4"/>
    <w:rsid w:val="00B51CB4"/>
    <w:rsid w:val="00B53341"/>
    <w:rsid w:val="00B533D2"/>
    <w:rsid w:val="00B53710"/>
    <w:rsid w:val="00B53D89"/>
    <w:rsid w:val="00B56CDE"/>
    <w:rsid w:val="00B5734F"/>
    <w:rsid w:val="00B575F0"/>
    <w:rsid w:val="00B578B5"/>
    <w:rsid w:val="00B6048A"/>
    <w:rsid w:val="00B61262"/>
    <w:rsid w:val="00B618A0"/>
    <w:rsid w:val="00B629EE"/>
    <w:rsid w:val="00B6426D"/>
    <w:rsid w:val="00B650CF"/>
    <w:rsid w:val="00B661D4"/>
    <w:rsid w:val="00B70D74"/>
    <w:rsid w:val="00B716F8"/>
    <w:rsid w:val="00B71E34"/>
    <w:rsid w:val="00B7326F"/>
    <w:rsid w:val="00B762A9"/>
    <w:rsid w:val="00B76AA9"/>
    <w:rsid w:val="00B77654"/>
    <w:rsid w:val="00B77BB6"/>
    <w:rsid w:val="00B77F2B"/>
    <w:rsid w:val="00B81B3B"/>
    <w:rsid w:val="00B82132"/>
    <w:rsid w:val="00B8333A"/>
    <w:rsid w:val="00B83403"/>
    <w:rsid w:val="00B8443F"/>
    <w:rsid w:val="00B86507"/>
    <w:rsid w:val="00B86BBF"/>
    <w:rsid w:val="00B924B9"/>
    <w:rsid w:val="00B92BEC"/>
    <w:rsid w:val="00B93D7E"/>
    <w:rsid w:val="00B95659"/>
    <w:rsid w:val="00B962C7"/>
    <w:rsid w:val="00BA0AC4"/>
    <w:rsid w:val="00BA0DBE"/>
    <w:rsid w:val="00BA27AD"/>
    <w:rsid w:val="00BA2A64"/>
    <w:rsid w:val="00BA3DEF"/>
    <w:rsid w:val="00BA5A6A"/>
    <w:rsid w:val="00BB1830"/>
    <w:rsid w:val="00BB4A09"/>
    <w:rsid w:val="00BB5B51"/>
    <w:rsid w:val="00BB7E13"/>
    <w:rsid w:val="00BC06E2"/>
    <w:rsid w:val="00BC0FDA"/>
    <w:rsid w:val="00BC1A1F"/>
    <w:rsid w:val="00BC23A2"/>
    <w:rsid w:val="00BC3C3D"/>
    <w:rsid w:val="00BC4CC0"/>
    <w:rsid w:val="00BC509C"/>
    <w:rsid w:val="00BC51EA"/>
    <w:rsid w:val="00BC5F46"/>
    <w:rsid w:val="00BC60F6"/>
    <w:rsid w:val="00BC61E8"/>
    <w:rsid w:val="00BC62F1"/>
    <w:rsid w:val="00BC6F2C"/>
    <w:rsid w:val="00BD3615"/>
    <w:rsid w:val="00BD5BEE"/>
    <w:rsid w:val="00BE0B80"/>
    <w:rsid w:val="00BE0C22"/>
    <w:rsid w:val="00BE1570"/>
    <w:rsid w:val="00BE2FF1"/>
    <w:rsid w:val="00BE3417"/>
    <w:rsid w:val="00BE37D6"/>
    <w:rsid w:val="00BE3967"/>
    <w:rsid w:val="00BE399F"/>
    <w:rsid w:val="00BE3C5C"/>
    <w:rsid w:val="00BE4053"/>
    <w:rsid w:val="00BE4EF1"/>
    <w:rsid w:val="00BE623D"/>
    <w:rsid w:val="00BE6B0E"/>
    <w:rsid w:val="00BE7139"/>
    <w:rsid w:val="00BE7826"/>
    <w:rsid w:val="00BF0581"/>
    <w:rsid w:val="00BF19DA"/>
    <w:rsid w:val="00BF39FE"/>
    <w:rsid w:val="00BF3DF7"/>
    <w:rsid w:val="00BF4C07"/>
    <w:rsid w:val="00BF56F8"/>
    <w:rsid w:val="00BF59BE"/>
    <w:rsid w:val="00BF6097"/>
    <w:rsid w:val="00BF7233"/>
    <w:rsid w:val="00BF79D5"/>
    <w:rsid w:val="00C00D38"/>
    <w:rsid w:val="00C00EE7"/>
    <w:rsid w:val="00C02620"/>
    <w:rsid w:val="00C0273F"/>
    <w:rsid w:val="00C02977"/>
    <w:rsid w:val="00C02F22"/>
    <w:rsid w:val="00C0330A"/>
    <w:rsid w:val="00C0528C"/>
    <w:rsid w:val="00C05AA5"/>
    <w:rsid w:val="00C07FBA"/>
    <w:rsid w:val="00C11D0C"/>
    <w:rsid w:val="00C12F2F"/>
    <w:rsid w:val="00C142BF"/>
    <w:rsid w:val="00C17281"/>
    <w:rsid w:val="00C20B7F"/>
    <w:rsid w:val="00C23CC1"/>
    <w:rsid w:val="00C23D8A"/>
    <w:rsid w:val="00C23E80"/>
    <w:rsid w:val="00C23F69"/>
    <w:rsid w:val="00C2463D"/>
    <w:rsid w:val="00C251FE"/>
    <w:rsid w:val="00C26DAF"/>
    <w:rsid w:val="00C2755A"/>
    <w:rsid w:val="00C30118"/>
    <w:rsid w:val="00C311CE"/>
    <w:rsid w:val="00C3149C"/>
    <w:rsid w:val="00C315B1"/>
    <w:rsid w:val="00C3210C"/>
    <w:rsid w:val="00C3302E"/>
    <w:rsid w:val="00C33EC6"/>
    <w:rsid w:val="00C35288"/>
    <w:rsid w:val="00C40DA5"/>
    <w:rsid w:val="00C40E1A"/>
    <w:rsid w:val="00C4109D"/>
    <w:rsid w:val="00C4500C"/>
    <w:rsid w:val="00C469CD"/>
    <w:rsid w:val="00C475AC"/>
    <w:rsid w:val="00C5245A"/>
    <w:rsid w:val="00C53170"/>
    <w:rsid w:val="00C536AF"/>
    <w:rsid w:val="00C54290"/>
    <w:rsid w:val="00C54739"/>
    <w:rsid w:val="00C54C6E"/>
    <w:rsid w:val="00C55584"/>
    <w:rsid w:val="00C578FA"/>
    <w:rsid w:val="00C613C2"/>
    <w:rsid w:val="00C61777"/>
    <w:rsid w:val="00C629C9"/>
    <w:rsid w:val="00C62CE9"/>
    <w:rsid w:val="00C62FE6"/>
    <w:rsid w:val="00C63C78"/>
    <w:rsid w:val="00C63CB0"/>
    <w:rsid w:val="00C65169"/>
    <w:rsid w:val="00C67517"/>
    <w:rsid w:val="00C67AF0"/>
    <w:rsid w:val="00C67B05"/>
    <w:rsid w:val="00C71E43"/>
    <w:rsid w:val="00C72881"/>
    <w:rsid w:val="00C75910"/>
    <w:rsid w:val="00C7696B"/>
    <w:rsid w:val="00C76B08"/>
    <w:rsid w:val="00C7722E"/>
    <w:rsid w:val="00C77DF9"/>
    <w:rsid w:val="00C800F8"/>
    <w:rsid w:val="00C80904"/>
    <w:rsid w:val="00C814BA"/>
    <w:rsid w:val="00C81682"/>
    <w:rsid w:val="00C84016"/>
    <w:rsid w:val="00C849DC"/>
    <w:rsid w:val="00C84BEE"/>
    <w:rsid w:val="00C85093"/>
    <w:rsid w:val="00C867C3"/>
    <w:rsid w:val="00C93B6F"/>
    <w:rsid w:val="00C94A69"/>
    <w:rsid w:val="00C9576D"/>
    <w:rsid w:val="00C957B6"/>
    <w:rsid w:val="00CA0823"/>
    <w:rsid w:val="00CA467A"/>
    <w:rsid w:val="00CA473C"/>
    <w:rsid w:val="00CA6433"/>
    <w:rsid w:val="00CA6DFC"/>
    <w:rsid w:val="00CA6F49"/>
    <w:rsid w:val="00CA752A"/>
    <w:rsid w:val="00CB003D"/>
    <w:rsid w:val="00CB066D"/>
    <w:rsid w:val="00CB0E79"/>
    <w:rsid w:val="00CB110F"/>
    <w:rsid w:val="00CB2835"/>
    <w:rsid w:val="00CB28D1"/>
    <w:rsid w:val="00CB4789"/>
    <w:rsid w:val="00CB4902"/>
    <w:rsid w:val="00CB566F"/>
    <w:rsid w:val="00CB58B3"/>
    <w:rsid w:val="00CB5ED3"/>
    <w:rsid w:val="00CB67F0"/>
    <w:rsid w:val="00CB68B5"/>
    <w:rsid w:val="00CB6C72"/>
    <w:rsid w:val="00CC44EE"/>
    <w:rsid w:val="00CC479D"/>
    <w:rsid w:val="00CC4990"/>
    <w:rsid w:val="00CC54FD"/>
    <w:rsid w:val="00CC60E8"/>
    <w:rsid w:val="00CC6CF9"/>
    <w:rsid w:val="00CC72C5"/>
    <w:rsid w:val="00CD1183"/>
    <w:rsid w:val="00CD13E8"/>
    <w:rsid w:val="00CD2906"/>
    <w:rsid w:val="00CD2E8F"/>
    <w:rsid w:val="00CD4432"/>
    <w:rsid w:val="00CD761E"/>
    <w:rsid w:val="00CE5D57"/>
    <w:rsid w:val="00CF2EFB"/>
    <w:rsid w:val="00CF42C0"/>
    <w:rsid w:val="00CF5178"/>
    <w:rsid w:val="00CF565F"/>
    <w:rsid w:val="00CF5F28"/>
    <w:rsid w:val="00CF6927"/>
    <w:rsid w:val="00D00C3E"/>
    <w:rsid w:val="00D045AB"/>
    <w:rsid w:val="00D045D2"/>
    <w:rsid w:val="00D05B44"/>
    <w:rsid w:val="00D05DA4"/>
    <w:rsid w:val="00D05E78"/>
    <w:rsid w:val="00D102D4"/>
    <w:rsid w:val="00D1130C"/>
    <w:rsid w:val="00D11C1D"/>
    <w:rsid w:val="00D12384"/>
    <w:rsid w:val="00D13355"/>
    <w:rsid w:val="00D14112"/>
    <w:rsid w:val="00D149C8"/>
    <w:rsid w:val="00D14AE5"/>
    <w:rsid w:val="00D153C1"/>
    <w:rsid w:val="00D16304"/>
    <w:rsid w:val="00D1657F"/>
    <w:rsid w:val="00D17CB4"/>
    <w:rsid w:val="00D201AB"/>
    <w:rsid w:val="00D20FE9"/>
    <w:rsid w:val="00D21663"/>
    <w:rsid w:val="00D235C6"/>
    <w:rsid w:val="00D23FAD"/>
    <w:rsid w:val="00D24163"/>
    <w:rsid w:val="00D25618"/>
    <w:rsid w:val="00D25B6D"/>
    <w:rsid w:val="00D25CB9"/>
    <w:rsid w:val="00D270CB"/>
    <w:rsid w:val="00D2732B"/>
    <w:rsid w:val="00D27741"/>
    <w:rsid w:val="00D305EC"/>
    <w:rsid w:val="00D30D81"/>
    <w:rsid w:val="00D30FDA"/>
    <w:rsid w:val="00D32A90"/>
    <w:rsid w:val="00D332F2"/>
    <w:rsid w:val="00D3336C"/>
    <w:rsid w:val="00D334FE"/>
    <w:rsid w:val="00D3360B"/>
    <w:rsid w:val="00D34310"/>
    <w:rsid w:val="00D3479D"/>
    <w:rsid w:val="00D34B16"/>
    <w:rsid w:val="00D35062"/>
    <w:rsid w:val="00D35540"/>
    <w:rsid w:val="00D358A0"/>
    <w:rsid w:val="00D35B85"/>
    <w:rsid w:val="00D408EA"/>
    <w:rsid w:val="00D4302E"/>
    <w:rsid w:val="00D4671F"/>
    <w:rsid w:val="00D468AC"/>
    <w:rsid w:val="00D5329B"/>
    <w:rsid w:val="00D539C8"/>
    <w:rsid w:val="00D53DDF"/>
    <w:rsid w:val="00D56DE3"/>
    <w:rsid w:val="00D573EA"/>
    <w:rsid w:val="00D579A6"/>
    <w:rsid w:val="00D60D2B"/>
    <w:rsid w:val="00D61D9E"/>
    <w:rsid w:val="00D6300D"/>
    <w:rsid w:val="00D66DC1"/>
    <w:rsid w:val="00D66F25"/>
    <w:rsid w:val="00D66FC5"/>
    <w:rsid w:val="00D679C2"/>
    <w:rsid w:val="00D720F1"/>
    <w:rsid w:val="00D7252F"/>
    <w:rsid w:val="00D76859"/>
    <w:rsid w:val="00D774C7"/>
    <w:rsid w:val="00D77EFF"/>
    <w:rsid w:val="00D8088C"/>
    <w:rsid w:val="00D8167D"/>
    <w:rsid w:val="00D81873"/>
    <w:rsid w:val="00D81B81"/>
    <w:rsid w:val="00D82C72"/>
    <w:rsid w:val="00D83609"/>
    <w:rsid w:val="00D83A2E"/>
    <w:rsid w:val="00D8453D"/>
    <w:rsid w:val="00D84D5F"/>
    <w:rsid w:val="00D854A2"/>
    <w:rsid w:val="00D85BA2"/>
    <w:rsid w:val="00D85DC3"/>
    <w:rsid w:val="00D86957"/>
    <w:rsid w:val="00D86A93"/>
    <w:rsid w:val="00D86AD5"/>
    <w:rsid w:val="00D90A72"/>
    <w:rsid w:val="00D90D40"/>
    <w:rsid w:val="00D91111"/>
    <w:rsid w:val="00D917C7"/>
    <w:rsid w:val="00D91CA2"/>
    <w:rsid w:val="00D92719"/>
    <w:rsid w:val="00D92CB8"/>
    <w:rsid w:val="00D93ED8"/>
    <w:rsid w:val="00D94248"/>
    <w:rsid w:val="00D95300"/>
    <w:rsid w:val="00D95D9F"/>
    <w:rsid w:val="00D962ED"/>
    <w:rsid w:val="00D96631"/>
    <w:rsid w:val="00D96B28"/>
    <w:rsid w:val="00D96D87"/>
    <w:rsid w:val="00D974FD"/>
    <w:rsid w:val="00DA0D97"/>
    <w:rsid w:val="00DA10B6"/>
    <w:rsid w:val="00DA12F4"/>
    <w:rsid w:val="00DA2B04"/>
    <w:rsid w:val="00DA2F07"/>
    <w:rsid w:val="00DA3D6B"/>
    <w:rsid w:val="00DA5DB6"/>
    <w:rsid w:val="00DA5DC0"/>
    <w:rsid w:val="00DA62C1"/>
    <w:rsid w:val="00DA7691"/>
    <w:rsid w:val="00DB0054"/>
    <w:rsid w:val="00DB2595"/>
    <w:rsid w:val="00DB313F"/>
    <w:rsid w:val="00DB4B37"/>
    <w:rsid w:val="00DB65C0"/>
    <w:rsid w:val="00DB74B1"/>
    <w:rsid w:val="00DB7EE2"/>
    <w:rsid w:val="00DC144A"/>
    <w:rsid w:val="00DC181C"/>
    <w:rsid w:val="00DC2440"/>
    <w:rsid w:val="00DC2A42"/>
    <w:rsid w:val="00DC30F3"/>
    <w:rsid w:val="00DC399F"/>
    <w:rsid w:val="00DC4A83"/>
    <w:rsid w:val="00DC6C22"/>
    <w:rsid w:val="00DD3296"/>
    <w:rsid w:val="00DD33A0"/>
    <w:rsid w:val="00DD3AC2"/>
    <w:rsid w:val="00DD3C69"/>
    <w:rsid w:val="00DD4193"/>
    <w:rsid w:val="00DD7653"/>
    <w:rsid w:val="00DD790D"/>
    <w:rsid w:val="00DE0A40"/>
    <w:rsid w:val="00DE1653"/>
    <w:rsid w:val="00DE2D8D"/>
    <w:rsid w:val="00DE6364"/>
    <w:rsid w:val="00DE6929"/>
    <w:rsid w:val="00DE7D7D"/>
    <w:rsid w:val="00DF2021"/>
    <w:rsid w:val="00DF288A"/>
    <w:rsid w:val="00DF3591"/>
    <w:rsid w:val="00DF442B"/>
    <w:rsid w:val="00DF53AF"/>
    <w:rsid w:val="00DF5957"/>
    <w:rsid w:val="00DF655F"/>
    <w:rsid w:val="00DF759D"/>
    <w:rsid w:val="00DF7BAE"/>
    <w:rsid w:val="00E01802"/>
    <w:rsid w:val="00E05BA4"/>
    <w:rsid w:val="00E05EE8"/>
    <w:rsid w:val="00E06097"/>
    <w:rsid w:val="00E06DA8"/>
    <w:rsid w:val="00E079C3"/>
    <w:rsid w:val="00E07EB2"/>
    <w:rsid w:val="00E12D3B"/>
    <w:rsid w:val="00E13BD4"/>
    <w:rsid w:val="00E15A39"/>
    <w:rsid w:val="00E15DAA"/>
    <w:rsid w:val="00E22C20"/>
    <w:rsid w:val="00E23E08"/>
    <w:rsid w:val="00E23EBF"/>
    <w:rsid w:val="00E24459"/>
    <w:rsid w:val="00E25F5E"/>
    <w:rsid w:val="00E2648E"/>
    <w:rsid w:val="00E26F87"/>
    <w:rsid w:val="00E3015C"/>
    <w:rsid w:val="00E3127B"/>
    <w:rsid w:val="00E33BEE"/>
    <w:rsid w:val="00E34719"/>
    <w:rsid w:val="00E34AC2"/>
    <w:rsid w:val="00E3606B"/>
    <w:rsid w:val="00E372AE"/>
    <w:rsid w:val="00E40217"/>
    <w:rsid w:val="00E42AE6"/>
    <w:rsid w:val="00E43872"/>
    <w:rsid w:val="00E451F3"/>
    <w:rsid w:val="00E45499"/>
    <w:rsid w:val="00E50005"/>
    <w:rsid w:val="00E5009F"/>
    <w:rsid w:val="00E50972"/>
    <w:rsid w:val="00E54D53"/>
    <w:rsid w:val="00E554E8"/>
    <w:rsid w:val="00E572F2"/>
    <w:rsid w:val="00E57523"/>
    <w:rsid w:val="00E60117"/>
    <w:rsid w:val="00E61894"/>
    <w:rsid w:val="00E6245C"/>
    <w:rsid w:val="00E624A7"/>
    <w:rsid w:val="00E62C34"/>
    <w:rsid w:val="00E63140"/>
    <w:rsid w:val="00E633DC"/>
    <w:rsid w:val="00E655E2"/>
    <w:rsid w:val="00E65CD8"/>
    <w:rsid w:val="00E66603"/>
    <w:rsid w:val="00E711EA"/>
    <w:rsid w:val="00E735A9"/>
    <w:rsid w:val="00E73ACF"/>
    <w:rsid w:val="00E73BE4"/>
    <w:rsid w:val="00E74ECC"/>
    <w:rsid w:val="00E776F0"/>
    <w:rsid w:val="00E80370"/>
    <w:rsid w:val="00E80640"/>
    <w:rsid w:val="00E8157E"/>
    <w:rsid w:val="00E81736"/>
    <w:rsid w:val="00E81ED7"/>
    <w:rsid w:val="00E82586"/>
    <w:rsid w:val="00E826C4"/>
    <w:rsid w:val="00E82F1F"/>
    <w:rsid w:val="00E83A20"/>
    <w:rsid w:val="00E84C24"/>
    <w:rsid w:val="00E84D69"/>
    <w:rsid w:val="00E84E1C"/>
    <w:rsid w:val="00E850DE"/>
    <w:rsid w:val="00E85C7C"/>
    <w:rsid w:val="00E86488"/>
    <w:rsid w:val="00E90228"/>
    <w:rsid w:val="00E907F4"/>
    <w:rsid w:val="00E93A50"/>
    <w:rsid w:val="00E95F4E"/>
    <w:rsid w:val="00E96E5D"/>
    <w:rsid w:val="00E9798A"/>
    <w:rsid w:val="00E979F7"/>
    <w:rsid w:val="00EA3000"/>
    <w:rsid w:val="00EA3725"/>
    <w:rsid w:val="00EA3936"/>
    <w:rsid w:val="00EA513F"/>
    <w:rsid w:val="00EA5961"/>
    <w:rsid w:val="00EA5CD1"/>
    <w:rsid w:val="00EA5E2A"/>
    <w:rsid w:val="00EA6D84"/>
    <w:rsid w:val="00EA7710"/>
    <w:rsid w:val="00EA7D38"/>
    <w:rsid w:val="00EB0731"/>
    <w:rsid w:val="00EB1015"/>
    <w:rsid w:val="00EB2020"/>
    <w:rsid w:val="00EB27D5"/>
    <w:rsid w:val="00EB28E9"/>
    <w:rsid w:val="00EB2E09"/>
    <w:rsid w:val="00EB39A0"/>
    <w:rsid w:val="00EB578A"/>
    <w:rsid w:val="00EB6AFD"/>
    <w:rsid w:val="00EB6C7D"/>
    <w:rsid w:val="00EB70E5"/>
    <w:rsid w:val="00EB7C8E"/>
    <w:rsid w:val="00EC02BE"/>
    <w:rsid w:val="00EC1B1A"/>
    <w:rsid w:val="00EC35DE"/>
    <w:rsid w:val="00EC53E6"/>
    <w:rsid w:val="00EC543A"/>
    <w:rsid w:val="00EC5975"/>
    <w:rsid w:val="00EC6130"/>
    <w:rsid w:val="00EC6766"/>
    <w:rsid w:val="00EC6B27"/>
    <w:rsid w:val="00EC6BF6"/>
    <w:rsid w:val="00EC7AE3"/>
    <w:rsid w:val="00EC7E08"/>
    <w:rsid w:val="00ED0F4E"/>
    <w:rsid w:val="00ED2563"/>
    <w:rsid w:val="00ED2A4C"/>
    <w:rsid w:val="00ED762B"/>
    <w:rsid w:val="00EE067C"/>
    <w:rsid w:val="00EE1275"/>
    <w:rsid w:val="00EE1D7D"/>
    <w:rsid w:val="00EE2031"/>
    <w:rsid w:val="00EE209E"/>
    <w:rsid w:val="00EE2D3E"/>
    <w:rsid w:val="00EE7A5E"/>
    <w:rsid w:val="00EF039F"/>
    <w:rsid w:val="00EF06BC"/>
    <w:rsid w:val="00EF11CE"/>
    <w:rsid w:val="00EF13FE"/>
    <w:rsid w:val="00EF2143"/>
    <w:rsid w:val="00EF3159"/>
    <w:rsid w:val="00EF384D"/>
    <w:rsid w:val="00EF4569"/>
    <w:rsid w:val="00EF4F51"/>
    <w:rsid w:val="00EF6960"/>
    <w:rsid w:val="00EF7D4C"/>
    <w:rsid w:val="00F062AC"/>
    <w:rsid w:val="00F068A0"/>
    <w:rsid w:val="00F0745D"/>
    <w:rsid w:val="00F10C63"/>
    <w:rsid w:val="00F110C1"/>
    <w:rsid w:val="00F115CA"/>
    <w:rsid w:val="00F121CB"/>
    <w:rsid w:val="00F12787"/>
    <w:rsid w:val="00F152AB"/>
    <w:rsid w:val="00F17101"/>
    <w:rsid w:val="00F175F6"/>
    <w:rsid w:val="00F17AC1"/>
    <w:rsid w:val="00F20A25"/>
    <w:rsid w:val="00F20D6E"/>
    <w:rsid w:val="00F21FC2"/>
    <w:rsid w:val="00F22810"/>
    <w:rsid w:val="00F23521"/>
    <w:rsid w:val="00F2359F"/>
    <w:rsid w:val="00F25E05"/>
    <w:rsid w:val="00F26F08"/>
    <w:rsid w:val="00F2710C"/>
    <w:rsid w:val="00F274F9"/>
    <w:rsid w:val="00F314CA"/>
    <w:rsid w:val="00F31F31"/>
    <w:rsid w:val="00F34F34"/>
    <w:rsid w:val="00F35350"/>
    <w:rsid w:val="00F35D14"/>
    <w:rsid w:val="00F35E37"/>
    <w:rsid w:val="00F36CF6"/>
    <w:rsid w:val="00F37737"/>
    <w:rsid w:val="00F4022D"/>
    <w:rsid w:val="00F40633"/>
    <w:rsid w:val="00F40BDA"/>
    <w:rsid w:val="00F4352C"/>
    <w:rsid w:val="00F435DD"/>
    <w:rsid w:val="00F43806"/>
    <w:rsid w:val="00F44A54"/>
    <w:rsid w:val="00F46DC9"/>
    <w:rsid w:val="00F47051"/>
    <w:rsid w:val="00F4758D"/>
    <w:rsid w:val="00F47DFA"/>
    <w:rsid w:val="00F51A82"/>
    <w:rsid w:val="00F5252C"/>
    <w:rsid w:val="00F56757"/>
    <w:rsid w:val="00F61830"/>
    <w:rsid w:val="00F61F2B"/>
    <w:rsid w:val="00F632F0"/>
    <w:rsid w:val="00F650C6"/>
    <w:rsid w:val="00F6654F"/>
    <w:rsid w:val="00F670C5"/>
    <w:rsid w:val="00F67E52"/>
    <w:rsid w:val="00F717A9"/>
    <w:rsid w:val="00F72893"/>
    <w:rsid w:val="00F72F75"/>
    <w:rsid w:val="00F74885"/>
    <w:rsid w:val="00F808C8"/>
    <w:rsid w:val="00F82F71"/>
    <w:rsid w:val="00F852AC"/>
    <w:rsid w:val="00F87873"/>
    <w:rsid w:val="00F90801"/>
    <w:rsid w:val="00F90FD1"/>
    <w:rsid w:val="00F928A7"/>
    <w:rsid w:val="00F951A8"/>
    <w:rsid w:val="00F973B8"/>
    <w:rsid w:val="00FA074C"/>
    <w:rsid w:val="00FA189F"/>
    <w:rsid w:val="00FA1D53"/>
    <w:rsid w:val="00FA33EA"/>
    <w:rsid w:val="00FA3B31"/>
    <w:rsid w:val="00FA4E6A"/>
    <w:rsid w:val="00FA6021"/>
    <w:rsid w:val="00FA6E71"/>
    <w:rsid w:val="00FA7041"/>
    <w:rsid w:val="00FB1AF5"/>
    <w:rsid w:val="00FB1F32"/>
    <w:rsid w:val="00FB38C1"/>
    <w:rsid w:val="00FB4EEC"/>
    <w:rsid w:val="00FB5305"/>
    <w:rsid w:val="00FB5539"/>
    <w:rsid w:val="00FB580A"/>
    <w:rsid w:val="00FB5D0B"/>
    <w:rsid w:val="00FB6219"/>
    <w:rsid w:val="00FB6344"/>
    <w:rsid w:val="00FC0BB0"/>
    <w:rsid w:val="00FC18C6"/>
    <w:rsid w:val="00FC2AA2"/>
    <w:rsid w:val="00FC2BFC"/>
    <w:rsid w:val="00FC2FEF"/>
    <w:rsid w:val="00FC4E0A"/>
    <w:rsid w:val="00FC507A"/>
    <w:rsid w:val="00FC5721"/>
    <w:rsid w:val="00FC7057"/>
    <w:rsid w:val="00FC7C5E"/>
    <w:rsid w:val="00FD0107"/>
    <w:rsid w:val="00FD0552"/>
    <w:rsid w:val="00FD1F9E"/>
    <w:rsid w:val="00FD45B6"/>
    <w:rsid w:val="00FD5B9A"/>
    <w:rsid w:val="00FD5BAB"/>
    <w:rsid w:val="00FD6621"/>
    <w:rsid w:val="00FE2FFD"/>
    <w:rsid w:val="00FE4CEE"/>
    <w:rsid w:val="00FE53AC"/>
    <w:rsid w:val="00FE78F3"/>
    <w:rsid w:val="00FF1535"/>
    <w:rsid w:val="00FF3BF8"/>
    <w:rsid w:val="00FF5CDC"/>
    <w:rsid w:val="00FF6FAA"/>
    <w:rsid w:val="00FF771D"/>
    <w:rsid w:val="00FF77B0"/>
    <w:rsid w:val="0100651E"/>
    <w:rsid w:val="01010255"/>
    <w:rsid w:val="010B1A7D"/>
    <w:rsid w:val="01141165"/>
    <w:rsid w:val="011C6C33"/>
    <w:rsid w:val="012E1D34"/>
    <w:rsid w:val="0132758B"/>
    <w:rsid w:val="01347A59"/>
    <w:rsid w:val="01353BD1"/>
    <w:rsid w:val="01431099"/>
    <w:rsid w:val="015D207C"/>
    <w:rsid w:val="01647EB3"/>
    <w:rsid w:val="019027D1"/>
    <w:rsid w:val="01990B47"/>
    <w:rsid w:val="01A36F36"/>
    <w:rsid w:val="01A55D03"/>
    <w:rsid w:val="01B76020"/>
    <w:rsid w:val="01CA179E"/>
    <w:rsid w:val="01CD5606"/>
    <w:rsid w:val="01D973DB"/>
    <w:rsid w:val="01DA1EC9"/>
    <w:rsid w:val="01E1703D"/>
    <w:rsid w:val="01EE7AAF"/>
    <w:rsid w:val="01F22B3C"/>
    <w:rsid w:val="01F2570B"/>
    <w:rsid w:val="01F724F1"/>
    <w:rsid w:val="01F85EA6"/>
    <w:rsid w:val="02055435"/>
    <w:rsid w:val="020D1AAE"/>
    <w:rsid w:val="021027B7"/>
    <w:rsid w:val="02105DD0"/>
    <w:rsid w:val="02127674"/>
    <w:rsid w:val="021A1C94"/>
    <w:rsid w:val="021E3B5D"/>
    <w:rsid w:val="02225559"/>
    <w:rsid w:val="022432B6"/>
    <w:rsid w:val="02250908"/>
    <w:rsid w:val="0225410B"/>
    <w:rsid w:val="022D6831"/>
    <w:rsid w:val="02421D02"/>
    <w:rsid w:val="02450799"/>
    <w:rsid w:val="02674418"/>
    <w:rsid w:val="026776B5"/>
    <w:rsid w:val="0278029C"/>
    <w:rsid w:val="027C5214"/>
    <w:rsid w:val="027E45EA"/>
    <w:rsid w:val="028A702B"/>
    <w:rsid w:val="02900375"/>
    <w:rsid w:val="029025EA"/>
    <w:rsid w:val="02915404"/>
    <w:rsid w:val="02951D5D"/>
    <w:rsid w:val="029D4F1F"/>
    <w:rsid w:val="02A612E8"/>
    <w:rsid w:val="02AA4EB9"/>
    <w:rsid w:val="02AF1F3F"/>
    <w:rsid w:val="02AF7B17"/>
    <w:rsid w:val="02B32F53"/>
    <w:rsid w:val="02BB3A40"/>
    <w:rsid w:val="02BC253E"/>
    <w:rsid w:val="02BD2AF0"/>
    <w:rsid w:val="02CF6488"/>
    <w:rsid w:val="02D3643B"/>
    <w:rsid w:val="02D946D4"/>
    <w:rsid w:val="02E0565C"/>
    <w:rsid w:val="02E75384"/>
    <w:rsid w:val="02FC00CB"/>
    <w:rsid w:val="02FF1E0D"/>
    <w:rsid w:val="03004777"/>
    <w:rsid w:val="030762FB"/>
    <w:rsid w:val="03135406"/>
    <w:rsid w:val="03175213"/>
    <w:rsid w:val="031942B3"/>
    <w:rsid w:val="03204E63"/>
    <w:rsid w:val="0322635C"/>
    <w:rsid w:val="032777EA"/>
    <w:rsid w:val="033E30A5"/>
    <w:rsid w:val="033F4681"/>
    <w:rsid w:val="034638E6"/>
    <w:rsid w:val="035120BF"/>
    <w:rsid w:val="03531793"/>
    <w:rsid w:val="03547971"/>
    <w:rsid w:val="035A5E0C"/>
    <w:rsid w:val="03751855"/>
    <w:rsid w:val="03772173"/>
    <w:rsid w:val="03791F96"/>
    <w:rsid w:val="037A2FA0"/>
    <w:rsid w:val="037A3B41"/>
    <w:rsid w:val="037E69E3"/>
    <w:rsid w:val="03822CFE"/>
    <w:rsid w:val="03836EB8"/>
    <w:rsid w:val="0387693A"/>
    <w:rsid w:val="038F53E1"/>
    <w:rsid w:val="03A42686"/>
    <w:rsid w:val="03A43788"/>
    <w:rsid w:val="03B12B62"/>
    <w:rsid w:val="03B32BC9"/>
    <w:rsid w:val="03B85A8B"/>
    <w:rsid w:val="03B905E3"/>
    <w:rsid w:val="03BB1E75"/>
    <w:rsid w:val="03BB4137"/>
    <w:rsid w:val="03C03520"/>
    <w:rsid w:val="03D63213"/>
    <w:rsid w:val="03E236C4"/>
    <w:rsid w:val="03F35D2E"/>
    <w:rsid w:val="03F84176"/>
    <w:rsid w:val="03FF46A1"/>
    <w:rsid w:val="04016C9A"/>
    <w:rsid w:val="04071961"/>
    <w:rsid w:val="040B6024"/>
    <w:rsid w:val="04146A37"/>
    <w:rsid w:val="041C4734"/>
    <w:rsid w:val="04205DC5"/>
    <w:rsid w:val="04244356"/>
    <w:rsid w:val="04275653"/>
    <w:rsid w:val="04293596"/>
    <w:rsid w:val="04347043"/>
    <w:rsid w:val="04376CFC"/>
    <w:rsid w:val="043F7740"/>
    <w:rsid w:val="044328D5"/>
    <w:rsid w:val="04540BD1"/>
    <w:rsid w:val="045A5A48"/>
    <w:rsid w:val="045D214C"/>
    <w:rsid w:val="04687B90"/>
    <w:rsid w:val="046F1103"/>
    <w:rsid w:val="047322A5"/>
    <w:rsid w:val="04880E7A"/>
    <w:rsid w:val="04917806"/>
    <w:rsid w:val="04AD381F"/>
    <w:rsid w:val="04AD7FDB"/>
    <w:rsid w:val="04AF2C24"/>
    <w:rsid w:val="04AF488F"/>
    <w:rsid w:val="04B60B49"/>
    <w:rsid w:val="04C45C44"/>
    <w:rsid w:val="04C46440"/>
    <w:rsid w:val="04DA428D"/>
    <w:rsid w:val="04DE680D"/>
    <w:rsid w:val="04F414A6"/>
    <w:rsid w:val="04F72667"/>
    <w:rsid w:val="04F74D5D"/>
    <w:rsid w:val="04FB0264"/>
    <w:rsid w:val="04FB30B7"/>
    <w:rsid w:val="050140F6"/>
    <w:rsid w:val="05084ACD"/>
    <w:rsid w:val="050C2997"/>
    <w:rsid w:val="050E2E36"/>
    <w:rsid w:val="050F284F"/>
    <w:rsid w:val="05354C77"/>
    <w:rsid w:val="053A75C2"/>
    <w:rsid w:val="054171C8"/>
    <w:rsid w:val="054A1726"/>
    <w:rsid w:val="054C5DEF"/>
    <w:rsid w:val="05510813"/>
    <w:rsid w:val="05580B95"/>
    <w:rsid w:val="05594BEA"/>
    <w:rsid w:val="0561272C"/>
    <w:rsid w:val="05634E1F"/>
    <w:rsid w:val="05873CE7"/>
    <w:rsid w:val="058D20E9"/>
    <w:rsid w:val="059C39FA"/>
    <w:rsid w:val="05A93C6E"/>
    <w:rsid w:val="05AA0052"/>
    <w:rsid w:val="05AC2FD2"/>
    <w:rsid w:val="05B567F0"/>
    <w:rsid w:val="05BD515E"/>
    <w:rsid w:val="05C06D7A"/>
    <w:rsid w:val="05C16049"/>
    <w:rsid w:val="05C17141"/>
    <w:rsid w:val="05E04BF9"/>
    <w:rsid w:val="05E5024F"/>
    <w:rsid w:val="05E72802"/>
    <w:rsid w:val="05F51946"/>
    <w:rsid w:val="05F62DBE"/>
    <w:rsid w:val="06062BB1"/>
    <w:rsid w:val="06173F87"/>
    <w:rsid w:val="06177D1B"/>
    <w:rsid w:val="0619061F"/>
    <w:rsid w:val="061A7E26"/>
    <w:rsid w:val="06211680"/>
    <w:rsid w:val="062B2F23"/>
    <w:rsid w:val="062D0CB8"/>
    <w:rsid w:val="06395D82"/>
    <w:rsid w:val="063B68A1"/>
    <w:rsid w:val="063C2C79"/>
    <w:rsid w:val="063C5BCE"/>
    <w:rsid w:val="06475B39"/>
    <w:rsid w:val="064D39CA"/>
    <w:rsid w:val="06520AA9"/>
    <w:rsid w:val="06587BEF"/>
    <w:rsid w:val="066175C4"/>
    <w:rsid w:val="06617D1E"/>
    <w:rsid w:val="06625FC2"/>
    <w:rsid w:val="066A7A79"/>
    <w:rsid w:val="066E24CA"/>
    <w:rsid w:val="06714455"/>
    <w:rsid w:val="067B2AB3"/>
    <w:rsid w:val="068A65F0"/>
    <w:rsid w:val="069A06B4"/>
    <w:rsid w:val="069C5AE8"/>
    <w:rsid w:val="06A32248"/>
    <w:rsid w:val="06A32704"/>
    <w:rsid w:val="06A765D7"/>
    <w:rsid w:val="06B40DEB"/>
    <w:rsid w:val="06BE3CA4"/>
    <w:rsid w:val="06C61F4C"/>
    <w:rsid w:val="06CB0AED"/>
    <w:rsid w:val="06DA4BFF"/>
    <w:rsid w:val="06DE0547"/>
    <w:rsid w:val="06DE6CE8"/>
    <w:rsid w:val="06E04CA0"/>
    <w:rsid w:val="06F029A2"/>
    <w:rsid w:val="06F12262"/>
    <w:rsid w:val="06F34BCA"/>
    <w:rsid w:val="06F5555C"/>
    <w:rsid w:val="06FE4716"/>
    <w:rsid w:val="06FF7571"/>
    <w:rsid w:val="0708554F"/>
    <w:rsid w:val="071870E7"/>
    <w:rsid w:val="07207C8B"/>
    <w:rsid w:val="0721282E"/>
    <w:rsid w:val="072458A5"/>
    <w:rsid w:val="072F039E"/>
    <w:rsid w:val="073D23CB"/>
    <w:rsid w:val="073D7622"/>
    <w:rsid w:val="07495C18"/>
    <w:rsid w:val="074D4BA2"/>
    <w:rsid w:val="074E0831"/>
    <w:rsid w:val="07540A01"/>
    <w:rsid w:val="075A37A8"/>
    <w:rsid w:val="075B4E29"/>
    <w:rsid w:val="07623DEA"/>
    <w:rsid w:val="07651C91"/>
    <w:rsid w:val="07662E47"/>
    <w:rsid w:val="0771054E"/>
    <w:rsid w:val="07844E5C"/>
    <w:rsid w:val="078C378A"/>
    <w:rsid w:val="079316E9"/>
    <w:rsid w:val="079572DA"/>
    <w:rsid w:val="079A356B"/>
    <w:rsid w:val="07A12BE1"/>
    <w:rsid w:val="07B55DCC"/>
    <w:rsid w:val="07CA0317"/>
    <w:rsid w:val="07CB0AE4"/>
    <w:rsid w:val="07CF02F4"/>
    <w:rsid w:val="07D14441"/>
    <w:rsid w:val="07D32816"/>
    <w:rsid w:val="07D339D5"/>
    <w:rsid w:val="07ED02E2"/>
    <w:rsid w:val="07F63D80"/>
    <w:rsid w:val="07F70D95"/>
    <w:rsid w:val="08013471"/>
    <w:rsid w:val="080B044A"/>
    <w:rsid w:val="080B2F10"/>
    <w:rsid w:val="080C0E66"/>
    <w:rsid w:val="08114006"/>
    <w:rsid w:val="0816525F"/>
    <w:rsid w:val="08173D14"/>
    <w:rsid w:val="08183C31"/>
    <w:rsid w:val="082824FA"/>
    <w:rsid w:val="082D2CC6"/>
    <w:rsid w:val="08303972"/>
    <w:rsid w:val="08393EF2"/>
    <w:rsid w:val="083E7991"/>
    <w:rsid w:val="084906CD"/>
    <w:rsid w:val="084C1597"/>
    <w:rsid w:val="084F1229"/>
    <w:rsid w:val="084F1741"/>
    <w:rsid w:val="08545896"/>
    <w:rsid w:val="085655DF"/>
    <w:rsid w:val="0861154C"/>
    <w:rsid w:val="086E2AD1"/>
    <w:rsid w:val="08752477"/>
    <w:rsid w:val="087C09B0"/>
    <w:rsid w:val="08813158"/>
    <w:rsid w:val="08853A23"/>
    <w:rsid w:val="08871365"/>
    <w:rsid w:val="088C1544"/>
    <w:rsid w:val="08A14B2D"/>
    <w:rsid w:val="08B410EB"/>
    <w:rsid w:val="08BC116E"/>
    <w:rsid w:val="08C3462D"/>
    <w:rsid w:val="08D1366E"/>
    <w:rsid w:val="08D359EA"/>
    <w:rsid w:val="08D622C6"/>
    <w:rsid w:val="08DA144C"/>
    <w:rsid w:val="08DE1FF9"/>
    <w:rsid w:val="08E87026"/>
    <w:rsid w:val="08ED74B0"/>
    <w:rsid w:val="09073DA6"/>
    <w:rsid w:val="090C59C7"/>
    <w:rsid w:val="090E0B90"/>
    <w:rsid w:val="09120680"/>
    <w:rsid w:val="09277E7B"/>
    <w:rsid w:val="092D5225"/>
    <w:rsid w:val="093271D9"/>
    <w:rsid w:val="093F6878"/>
    <w:rsid w:val="09403669"/>
    <w:rsid w:val="094835EF"/>
    <w:rsid w:val="094910E0"/>
    <w:rsid w:val="094C398C"/>
    <w:rsid w:val="094C64E5"/>
    <w:rsid w:val="09527F4C"/>
    <w:rsid w:val="09562FF8"/>
    <w:rsid w:val="0957512E"/>
    <w:rsid w:val="09632A6E"/>
    <w:rsid w:val="09732D00"/>
    <w:rsid w:val="09784C0D"/>
    <w:rsid w:val="097906FF"/>
    <w:rsid w:val="0990238F"/>
    <w:rsid w:val="0996094B"/>
    <w:rsid w:val="099765B0"/>
    <w:rsid w:val="09982C16"/>
    <w:rsid w:val="09A25D48"/>
    <w:rsid w:val="09BB59C5"/>
    <w:rsid w:val="09C24EAC"/>
    <w:rsid w:val="09C54B27"/>
    <w:rsid w:val="09C67E6E"/>
    <w:rsid w:val="09CD27EC"/>
    <w:rsid w:val="09D378F1"/>
    <w:rsid w:val="09DA1F30"/>
    <w:rsid w:val="09DF69FE"/>
    <w:rsid w:val="09E51434"/>
    <w:rsid w:val="09E666F3"/>
    <w:rsid w:val="09E71B0D"/>
    <w:rsid w:val="09E8465A"/>
    <w:rsid w:val="0A005C1C"/>
    <w:rsid w:val="0A1B3A63"/>
    <w:rsid w:val="0A1F1038"/>
    <w:rsid w:val="0A204081"/>
    <w:rsid w:val="0A2443DB"/>
    <w:rsid w:val="0A2802D0"/>
    <w:rsid w:val="0A293A00"/>
    <w:rsid w:val="0A2E60F5"/>
    <w:rsid w:val="0A3A06E2"/>
    <w:rsid w:val="0A414FEF"/>
    <w:rsid w:val="0A443914"/>
    <w:rsid w:val="0A5006CD"/>
    <w:rsid w:val="0A565793"/>
    <w:rsid w:val="0A603E2E"/>
    <w:rsid w:val="0A661FD2"/>
    <w:rsid w:val="0A6637B0"/>
    <w:rsid w:val="0A71587A"/>
    <w:rsid w:val="0A751F41"/>
    <w:rsid w:val="0A7C1108"/>
    <w:rsid w:val="0A7C2C9B"/>
    <w:rsid w:val="0A857B18"/>
    <w:rsid w:val="0A8933A9"/>
    <w:rsid w:val="0A8C2141"/>
    <w:rsid w:val="0A8F4B0E"/>
    <w:rsid w:val="0A906F29"/>
    <w:rsid w:val="0A97308A"/>
    <w:rsid w:val="0AA04A63"/>
    <w:rsid w:val="0AA55FA6"/>
    <w:rsid w:val="0AA907AA"/>
    <w:rsid w:val="0ABB08A3"/>
    <w:rsid w:val="0ABC248E"/>
    <w:rsid w:val="0ACE281A"/>
    <w:rsid w:val="0AD0264A"/>
    <w:rsid w:val="0AD324A5"/>
    <w:rsid w:val="0ADC3D7A"/>
    <w:rsid w:val="0AE04D50"/>
    <w:rsid w:val="0AE11B0E"/>
    <w:rsid w:val="0AEA5064"/>
    <w:rsid w:val="0AEA6FC8"/>
    <w:rsid w:val="0AED3F1F"/>
    <w:rsid w:val="0AED51A0"/>
    <w:rsid w:val="0AF5436D"/>
    <w:rsid w:val="0AFF08A8"/>
    <w:rsid w:val="0B006960"/>
    <w:rsid w:val="0B014435"/>
    <w:rsid w:val="0B0545C4"/>
    <w:rsid w:val="0B0631C8"/>
    <w:rsid w:val="0B091B45"/>
    <w:rsid w:val="0B2C326B"/>
    <w:rsid w:val="0B311D87"/>
    <w:rsid w:val="0B370709"/>
    <w:rsid w:val="0B386531"/>
    <w:rsid w:val="0B450A48"/>
    <w:rsid w:val="0B481DB2"/>
    <w:rsid w:val="0B4B5814"/>
    <w:rsid w:val="0B50473F"/>
    <w:rsid w:val="0B5256F6"/>
    <w:rsid w:val="0B5A4AAE"/>
    <w:rsid w:val="0B5A5195"/>
    <w:rsid w:val="0B5C109B"/>
    <w:rsid w:val="0B5D14EA"/>
    <w:rsid w:val="0B5F0C11"/>
    <w:rsid w:val="0B5F56D3"/>
    <w:rsid w:val="0B6E753C"/>
    <w:rsid w:val="0B6F600D"/>
    <w:rsid w:val="0B877549"/>
    <w:rsid w:val="0B9D2254"/>
    <w:rsid w:val="0B9F16EF"/>
    <w:rsid w:val="0BAE2BE6"/>
    <w:rsid w:val="0BB02B15"/>
    <w:rsid w:val="0BCB7F6A"/>
    <w:rsid w:val="0BD479F9"/>
    <w:rsid w:val="0BDA11FD"/>
    <w:rsid w:val="0BDD4A2B"/>
    <w:rsid w:val="0BDE3E35"/>
    <w:rsid w:val="0BDE7418"/>
    <w:rsid w:val="0BF16CA4"/>
    <w:rsid w:val="0BFB00A7"/>
    <w:rsid w:val="0C0515F9"/>
    <w:rsid w:val="0C1418FF"/>
    <w:rsid w:val="0C23040D"/>
    <w:rsid w:val="0C274950"/>
    <w:rsid w:val="0C28520A"/>
    <w:rsid w:val="0C3C3C66"/>
    <w:rsid w:val="0C3D3E64"/>
    <w:rsid w:val="0C3E159B"/>
    <w:rsid w:val="0C455BBE"/>
    <w:rsid w:val="0C4850AD"/>
    <w:rsid w:val="0C4C6BED"/>
    <w:rsid w:val="0C5029BF"/>
    <w:rsid w:val="0C502E85"/>
    <w:rsid w:val="0C702DC4"/>
    <w:rsid w:val="0C797F52"/>
    <w:rsid w:val="0C8343CD"/>
    <w:rsid w:val="0C871D28"/>
    <w:rsid w:val="0C9452CE"/>
    <w:rsid w:val="0CA163FD"/>
    <w:rsid w:val="0CAB26D5"/>
    <w:rsid w:val="0CB20045"/>
    <w:rsid w:val="0CBB6D46"/>
    <w:rsid w:val="0CC25F19"/>
    <w:rsid w:val="0CC403E4"/>
    <w:rsid w:val="0CC52FB7"/>
    <w:rsid w:val="0CCD6F41"/>
    <w:rsid w:val="0CD20C6F"/>
    <w:rsid w:val="0CDF64B0"/>
    <w:rsid w:val="0CE70FBC"/>
    <w:rsid w:val="0CEA0B1C"/>
    <w:rsid w:val="0CF862E7"/>
    <w:rsid w:val="0CFC619C"/>
    <w:rsid w:val="0CFD3B89"/>
    <w:rsid w:val="0D012192"/>
    <w:rsid w:val="0D044297"/>
    <w:rsid w:val="0D0E3469"/>
    <w:rsid w:val="0D182435"/>
    <w:rsid w:val="0D1B6EBF"/>
    <w:rsid w:val="0D2A344E"/>
    <w:rsid w:val="0D38013A"/>
    <w:rsid w:val="0D4A579F"/>
    <w:rsid w:val="0D4A6940"/>
    <w:rsid w:val="0D4E1218"/>
    <w:rsid w:val="0D531961"/>
    <w:rsid w:val="0D553231"/>
    <w:rsid w:val="0D643BFB"/>
    <w:rsid w:val="0D706B21"/>
    <w:rsid w:val="0D77528F"/>
    <w:rsid w:val="0D7814F2"/>
    <w:rsid w:val="0D7F67B3"/>
    <w:rsid w:val="0D8F1ECE"/>
    <w:rsid w:val="0D9149A4"/>
    <w:rsid w:val="0DC111AC"/>
    <w:rsid w:val="0DC14D9E"/>
    <w:rsid w:val="0DC74A44"/>
    <w:rsid w:val="0DC9255D"/>
    <w:rsid w:val="0DD370E5"/>
    <w:rsid w:val="0DDA33B3"/>
    <w:rsid w:val="0DDD503C"/>
    <w:rsid w:val="0DDE15BB"/>
    <w:rsid w:val="0DDF4AC7"/>
    <w:rsid w:val="0DE31E05"/>
    <w:rsid w:val="0DF63947"/>
    <w:rsid w:val="0E007C05"/>
    <w:rsid w:val="0E08710B"/>
    <w:rsid w:val="0E1366F2"/>
    <w:rsid w:val="0E156980"/>
    <w:rsid w:val="0E164B11"/>
    <w:rsid w:val="0E201A24"/>
    <w:rsid w:val="0E2413FE"/>
    <w:rsid w:val="0E2D54E8"/>
    <w:rsid w:val="0E3914CE"/>
    <w:rsid w:val="0E41646D"/>
    <w:rsid w:val="0E436F50"/>
    <w:rsid w:val="0E603E4C"/>
    <w:rsid w:val="0E84711A"/>
    <w:rsid w:val="0E8C1B29"/>
    <w:rsid w:val="0E8D4826"/>
    <w:rsid w:val="0E94482B"/>
    <w:rsid w:val="0E9A62D7"/>
    <w:rsid w:val="0E9E29B6"/>
    <w:rsid w:val="0EA4479A"/>
    <w:rsid w:val="0EAF04CE"/>
    <w:rsid w:val="0EB643CE"/>
    <w:rsid w:val="0EC07F08"/>
    <w:rsid w:val="0ED51176"/>
    <w:rsid w:val="0EDD12D0"/>
    <w:rsid w:val="0EEA5AA1"/>
    <w:rsid w:val="0EF40828"/>
    <w:rsid w:val="0EFE0A65"/>
    <w:rsid w:val="0F0C2CA2"/>
    <w:rsid w:val="0F0D16CC"/>
    <w:rsid w:val="0F0D45D0"/>
    <w:rsid w:val="0F12094E"/>
    <w:rsid w:val="0F1B1AD5"/>
    <w:rsid w:val="0F216FC8"/>
    <w:rsid w:val="0F384E0C"/>
    <w:rsid w:val="0F404B8E"/>
    <w:rsid w:val="0F4302E2"/>
    <w:rsid w:val="0F47494A"/>
    <w:rsid w:val="0F476341"/>
    <w:rsid w:val="0F4948EC"/>
    <w:rsid w:val="0F4C36E8"/>
    <w:rsid w:val="0F4D1EC1"/>
    <w:rsid w:val="0F5349C4"/>
    <w:rsid w:val="0F5936F5"/>
    <w:rsid w:val="0F6156E5"/>
    <w:rsid w:val="0F661726"/>
    <w:rsid w:val="0F6A4D94"/>
    <w:rsid w:val="0F6D5BAD"/>
    <w:rsid w:val="0F7B4854"/>
    <w:rsid w:val="0F8743A7"/>
    <w:rsid w:val="0F894A46"/>
    <w:rsid w:val="0F8B7E2A"/>
    <w:rsid w:val="0F981CA9"/>
    <w:rsid w:val="0FB36BEB"/>
    <w:rsid w:val="0FB51AEB"/>
    <w:rsid w:val="0FC30B34"/>
    <w:rsid w:val="0FCD5060"/>
    <w:rsid w:val="0FD3153F"/>
    <w:rsid w:val="0FE407F6"/>
    <w:rsid w:val="0FE53F0D"/>
    <w:rsid w:val="0FE65042"/>
    <w:rsid w:val="0FEB5BCF"/>
    <w:rsid w:val="0FEE5C55"/>
    <w:rsid w:val="0FEE617F"/>
    <w:rsid w:val="0FF26B4F"/>
    <w:rsid w:val="0FFF1D8F"/>
    <w:rsid w:val="1001152A"/>
    <w:rsid w:val="10036551"/>
    <w:rsid w:val="10130A0B"/>
    <w:rsid w:val="101B1392"/>
    <w:rsid w:val="10254AFA"/>
    <w:rsid w:val="102D1235"/>
    <w:rsid w:val="10366C9B"/>
    <w:rsid w:val="104525C6"/>
    <w:rsid w:val="104C6A5F"/>
    <w:rsid w:val="1054590F"/>
    <w:rsid w:val="10557CBB"/>
    <w:rsid w:val="1060389A"/>
    <w:rsid w:val="10606E70"/>
    <w:rsid w:val="107C0A87"/>
    <w:rsid w:val="107F3BB8"/>
    <w:rsid w:val="10806BBA"/>
    <w:rsid w:val="108263A4"/>
    <w:rsid w:val="108B6695"/>
    <w:rsid w:val="108D0112"/>
    <w:rsid w:val="109F0C92"/>
    <w:rsid w:val="10A10F4A"/>
    <w:rsid w:val="10A136D2"/>
    <w:rsid w:val="10A5505B"/>
    <w:rsid w:val="10B70C45"/>
    <w:rsid w:val="10BE7916"/>
    <w:rsid w:val="10C33D93"/>
    <w:rsid w:val="10C81025"/>
    <w:rsid w:val="10D55AE8"/>
    <w:rsid w:val="10E06638"/>
    <w:rsid w:val="10E80454"/>
    <w:rsid w:val="10EA2634"/>
    <w:rsid w:val="10F42250"/>
    <w:rsid w:val="10FF6DAB"/>
    <w:rsid w:val="110621E9"/>
    <w:rsid w:val="111057E1"/>
    <w:rsid w:val="11147B8C"/>
    <w:rsid w:val="111E13BE"/>
    <w:rsid w:val="112644FB"/>
    <w:rsid w:val="112A12F5"/>
    <w:rsid w:val="112F78F5"/>
    <w:rsid w:val="113B47DA"/>
    <w:rsid w:val="114322A7"/>
    <w:rsid w:val="114502C2"/>
    <w:rsid w:val="1150101B"/>
    <w:rsid w:val="11534F92"/>
    <w:rsid w:val="115608A3"/>
    <w:rsid w:val="11594C68"/>
    <w:rsid w:val="116713A1"/>
    <w:rsid w:val="116805B9"/>
    <w:rsid w:val="116B7501"/>
    <w:rsid w:val="116D7687"/>
    <w:rsid w:val="116F07BB"/>
    <w:rsid w:val="117328DE"/>
    <w:rsid w:val="117414E6"/>
    <w:rsid w:val="117D1268"/>
    <w:rsid w:val="11856DD9"/>
    <w:rsid w:val="11880D5D"/>
    <w:rsid w:val="118925D3"/>
    <w:rsid w:val="11893CD5"/>
    <w:rsid w:val="118B7CD4"/>
    <w:rsid w:val="118C4D48"/>
    <w:rsid w:val="118E540A"/>
    <w:rsid w:val="118E6D12"/>
    <w:rsid w:val="118F0639"/>
    <w:rsid w:val="119139EE"/>
    <w:rsid w:val="119A0445"/>
    <w:rsid w:val="11A32AA8"/>
    <w:rsid w:val="11A45FE6"/>
    <w:rsid w:val="11B147AE"/>
    <w:rsid w:val="11B55B00"/>
    <w:rsid w:val="11BC1F9A"/>
    <w:rsid w:val="11BF1B45"/>
    <w:rsid w:val="11C027FC"/>
    <w:rsid w:val="11C673EC"/>
    <w:rsid w:val="11C73EFF"/>
    <w:rsid w:val="11E2634F"/>
    <w:rsid w:val="11E50BE7"/>
    <w:rsid w:val="11EC77B4"/>
    <w:rsid w:val="11F36821"/>
    <w:rsid w:val="11F9232E"/>
    <w:rsid w:val="11FC5E66"/>
    <w:rsid w:val="12003EA1"/>
    <w:rsid w:val="120530AD"/>
    <w:rsid w:val="120A3BFB"/>
    <w:rsid w:val="120E00C5"/>
    <w:rsid w:val="12120D7A"/>
    <w:rsid w:val="12224E20"/>
    <w:rsid w:val="12256E78"/>
    <w:rsid w:val="123505C7"/>
    <w:rsid w:val="123C0E85"/>
    <w:rsid w:val="12493F04"/>
    <w:rsid w:val="125A250D"/>
    <w:rsid w:val="125F5CE2"/>
    <w:rsid w:val="12612F8B"/>
    <w:rsid w:val="12634372"/>
    <w:rsid w:val="12635AA8"/>
    <w:rsid w:val="12642280"/>
    <w:rsid w:val="126D658C"/>
    <w:rsid w:val="12725F52"/>
    <w:rsid w:val="1274439A"/>
    <w:rsid w:val="127D6D97"/>
    <w:rsid w:val="127E3916"/>
    <w:rsid w:val="12850CFF"/>
    <w:rsid w:val="128A386D"/>
    <w:rsid w:val="129126C0"/>
    <w:rsid w:val="12936881"/>
    <w:rsid w:val="12972C0D"/>
    <w:rsid w:val="129D44AC"/>
    <w:rsid w:val="129E48BB"/>
    <w:rsid w:val="129F2A8F"/>
    <w:rsid w:val="12A41C6A"/>
    <w:rsid w:val="12AB7F4C"/>
    <w:rsid w:val="12B25592"/>
    <w:rsid w:val="12CA6439"/>
    <w:rsid w:val="12D365E8"/>
    <w:rsid w:val="12E55BDA"/>
    <w:rsid w:val="12F8118C"/>
    <w:rsid w:val="12FA1C9C"/>
    <w:rsid w:val="12FD088C"/>
    <w:rsid w:val="12FE20C7"/>
    <w:rsid w:val="13130BAA"/>
    <w:rsid w:val="13205E7B"/>
    <w:rsid w:val="13290CB1"/>
    <w:rsid w:val="132C0EF5"/>
    <w:rsid w:val="132D1357"/>
    <w:rsid w:val="133E2D87"/>
    <w:rsid w:val="133F5408"/>
    <w:rsid w:val="13516249"/>
    <w:rsid w:val="1360048A"/>
    <w:rsid w:val="13633631"/>
    <w:rsid w:val="13661412"/>
    <w:rsid w:val="136F32F6"/>
    <w:rsid w:val="137373A5"/>
    <w:rsid w:val="13747BC4"/>
    <w:rsid w:val="137875AF"/>
    <w:rsid w:val="137B5F2F"/>
    <w:rsid w:val="13935FB1"/>
    <w:rsid w:val="13953841"/>
    <w:rsid w:val="139B073F"/>
    <w:rsid w:val="13A2432F"/>
    <w:rsid w:val="13B31241"/>
    <w:rsid w:val="13DD2F60"/>
    <w:rsid w:val="13E7095B"/>
    <w:rsid w:val="13ED23BB"/>
    <w:rsid w:val="14182D83"/>
    <w:rsid w:val="14246547"/>
    <w:rsid w:val="14315EEB"/>
    <w:rsid w:val="143202BF"/>
    <w:rsid w:val="143352F6"/>
    <w:rsid w:val="14386810"/>
    <w:rsid w:val="14431F18"/>
    <w:rsid w:val="14437068"/>
    <w:rsid w:val="1447643D"/>
    <w:rsid w:val="14487B40"/>
    <w:rsid w:val="14516A6C"/>
    <w:rsid w:val="146F6629"/>
    <w:rsid w:val="14702F6C"/>
    <w:rsid w:val="14783581"/>
    <w:rsid w:val="1479115B"/>
    <w:rsid w:val="147C046A"/>
    <w:rsid w:val="14803667"/>
    <w:rsid w:val="148A3FFD"/>
    <w:rsid w:val="149C0824"/>
    <w:rsid w:val="149F5D15"/>
    <w:rsid w:val="14A8633C"/>
    <w:rsid w:val="14AF5B39"/>
    <w:rsid w:val="14B32560"/>
    <w:rsid w:val="14C67B7B"/>
    <w:rsid w:val="14CB2B4C"/>
    <w:rsid w:val="14DB226E"/>
    <w:rsid w:val="14F531E2"/>
    <w:rsid w:val="14FA76E1"/>
    <w:rsid w:val="15035E5D"/>
    <w:rsid w:val="150410A6"/>
    <w:rsid w:val="15222CFE"/>
    <w:rsid w:val="152378BB"/>
    <w:rsid w:val="1525092A"/>
    <w:rsid w:val="15262CE9"/>
    <w:rsid w:val="15294474"/>
    <w:rsid w:val="15342050"/>
    <w:rsid w:val="15435889"/>
    <w:rsid w:val="15451E08"/>
    <w:rsid w:val="154C0C58"/>
    <w:rsid w:val="15567E21"/>
    <w:rsid w:val="15672C6F"/>
    <w:rsid w:val="156D5EA5"/>
    <w:rsid w:val="15814334"/>
    <w:rsid w:val="158D072E"/>
    <w:rsid w:val="158D5639"/>
    <w:rsid w:val="158E40F5"/>
    <w:rsid w:val="15904605"/>
    <w:rsid w:val="159D564F"/>
    <w:rsid w:val="15A440FD"/>
    <w:rsid w:val="15A757BD"/>
    <w:rsid w:val="15AD0242"/>
    <w:rsid w:val="15B044F4"/>
    <w:rsid w:val="15B303C8"/>
    <w:rsid w:val="15B30C85"/>
    <w:rsid w:val="15BD50F4"/>
    <w:rsid w:val="15C96439"/>
    <w:rsid w:val="15CB4C81"/>
    <w:rsid w:val="15CC5E76"/>
    <w:rsid w:val="15CD2167"/>
    <w:rsid w:val="15DC4E4C"/>
    <w:rsid w:val="15F5241D"/>
    <w:rsid w:val="16001A7F"/>
    <w:rsid w:val="16072A18"/>
    <w:rsid w:val="160B551D"/>
    <w:rsid w:val="160E4507"/>
    <w:rsid w:val="161B15A8"/>
    <w:rsid w:val="161B48EC"/>
    <w:rsid w:val="162A2827"/>
    <w:rsid w:val="162D6274"/>
    <w:rsid w:val="163D25EB"/>
    <w:rsid w:val="165C61A7"/>
    <w:rsid w:val="166203A0"/>
    <w:rsid w:val="168F6A0C"/>
    <w:rsid w:val="169D5F61"/>
    <w:rsid w:val="169F4430"/>
    <w:rsid w:val="16AD19E8"/>
    <w:rsid w:val="16D43419"/>
    <w:rsid w:val="16DA491E"/>
    <w:rsid w:val="16F36BFC"/>
    <w:rsid w:val="16F5265C"/>
    <w:rsid w:val="16F60F7D"/>
    <w:rsid w:val="16F921DF"/>
    <w:rsid w:val="16FC41B5"/>
    <w:rsid w:val="16FF47AA"/>
    <w:rsid w:val="1703785A"/>
    <w:rsid w:val="170D7EF6"/>
    <w:rsid w:val="1714586B"/>
    <w:rsid w:val="171C5A69"/>
    <w:rsid w:val="171E76CC"/>
    <w:rsid w:val="17255222"/>
    <w:rsid w:val="172C5541"/>
    <w:rsid w:val="17461CA6"/>
    <w:rsid w:val="174B2975"/>
    <w:rsid w:val="174F7E55"/>
    <w:rsid w:val="17561C31"/>
    <w:rsid w:val="17575F0E"/>
    <w:rsid w:val="17591F64"/>
    <w:rsid w:val="177A74F6"/>
    <w:rsid w:val="17893D1C"/>
    <w:rsid w:val="17A55B27"/>
    <w:rsid w:val="17A57AB3"/>
    <w:rsid w:val="17A671A7"/>
    <w:rsid w:val="17A675DA"/>
    <w:rsid w:val="17B36426"/>
    <w:rsid w:val="17B7233A"/>
    <w:rsid w:val="17BA5C91"/>
    <w:rsid w:val="17BF2090"/>
    <w:rsid w:val="17C064F6"/>
    <w:rsid w:val="17C25478"/>
    <w:rsid w:val="17CC177B"/>
    <w:rsid w:val="17CD16F8"/>
    <w:rsid w:val="17CD36CD"/>
    <w:rsid w:val="17D06C8A"/>
    <w:rsid w:val="17DB16A5"/>
    <w:rsid w:val="17DD10B7"/>
    <w:rsid w:val="17DD54A9"/>
    <w:rsid w:val="17F54868"/>
    <w:rsid w:val="18034236"/>
    <w:rsid w:val="1804064E"/>
    <w:rsid w:val="18057602"/>
    <w:rsid w:val="180B2CBE"/>
    <w:rsid w:val="180C54B5"/>
    <w:rsid w:val="180D5C6B"/>
    <w:rsid w:val="180E6026"/>
    <w:rsid w:val="181977CB"/>
    <w:rsid w:val="182203F7"/>
    <w:rsid w:val="18247055"/>
    <w:rsid w:val="182752FC"/>
    <w:rsid w:val="182E544D"/>
    <w:rsid w:val="182F0E30"/>
    <w:rsid w:val="18322C36"/>
    <w:rsid w:val="18381835"/>
    <w:rsid w:val="183B12B7"/>
    <w:rsid w:val="18457D56"/>
    <w:rsid w:val="185930F9"/>
    <w:rsid w:val="1862438E"/>
    <w:rsid w:val="187E430A"/>
    <w:rsid w:val="188535FB"/>
    <w:rsid w:val="188D1638"/>
    <w:rsid w:val="188D27D2"/>
    <w:rsid w:val="188D67E6"/>
    <w:rsid w:val="18970A83"/>
    <w:rsid w:val="189B4ED5"/>
    <w:rsid w:val="18A3194A"/>
    <w:rsid w:val="18A71CDF"/>
    <w:rsid w:val="18A92220"/>
    <w:rsid w:val="18AB14A5"/>
    <w:rsid w:val="18AB3B27"/>
    <w:rsid w:val="18AB65F7"/>
    <w:rsid w:val="18B46059"/>
    <w:rsid w:val="18CA16F5"/>
    <w:rsid w:val="18D43258"/>
    <w:rsid w:val="18DC2EDA"/>
    <w:rsid w:val="18ED2AB2"/>
    <w:rsid w:val="18ED6304"/>
    <w:rsid w:val="18EE5CB4"/>
    <w:rsid w:val="18EE6170"/>
    <w:rsid w:val="18F962EE"/>
    <w:rsid w:val="18FB7D92"/>
    <w:rsid w:val="190768E8"/>
    <w:rsid w:val="191B59ED"/>
    <w:rsid w:val="191F17E8"/>
    <w:rsid w:val="192301CD"/>
    <w:rsid w:val="19262ACF"/>
    <w:rsid w:val="1931770D"/>
    <w:rsid w:val="194B703A"/>
    <w:rsid w:val="19510E9C"/>
    <w:rsid w:val="19515518"/>
    <w:rsid w:val="195D1A16"/>
    <w:rsid w:val="196113EB"/>
    <w:rsid w:val="197358BA"/>
    <w:rsid w:val="197651F9"/>
    <w:rsid w:val="19777856"/>
    <w:rsid w:val="19782031"/>
    <w:rsid w:val="197A3B84"/>
    <w:rsid w:val="197B7DB5"/>
    <w:rsid w:val="19861983"/>
    <w:rsid w:val="198831EF"/>
    <w:rsid w:val="198B5E88"/>
    <w:rsid w:val="19921369"/>
    <w:rsid w:val="19932AA0"/>
    <w:rsid w:val="199C1950"/>
    <w:rsid w:val="199E4AC0"/>
    <w:rsid w:val="19BD4ADE"/>
    <w:rsid w:val="19BE2F43"/>
    <w:rsid w:val="19C92FDD"/>
    <w:rsid w:val="19CB3603"/>
    <w:rsid w:val="19D1538A"/>
    <w:rsid w:val="19D22861"/>
    <w:rsid w:val="19D63004"/>
    <w:rsid w:val="19D675B8"/>
    <w:rsid w:val="19E13325"/>
    <w:rsid w:val="19E311D5"/>
    <w:rsid w:val="19E65DCD"/>
    <w:rsid w:val="19EA2F53"/>
    <w:rsid w:val="19F42E43"/>
    <w:rsid w:val="19F80D6C"/>
    <w:rsid w:val="19F90129"/>
    <w:rsid w:val="19FB0EB9"/>
    <w:rsid w:val="1A0477DE"/>
    <w:rsid w:val="1A08288F"/>
    <w:rsid w:val="1A0971F6"/>
    <w:rsid w:val="1A1239DF"/>
    <w:rsid w:val="1A1F6B35"/>
    <w:rsid w:val="1A3635AC"/>
    <w:rsid w:val="1A4F0909"/>
    <w:rsid w:val="1A6D1FBC"/>
    <w:rsid w:val="1A714CE0"/>
    <w:rsid w:val="1A7B70CB"/>
    <w:rsid w:val="1A910C57"/>
    <w:rsid w:val="1A911F76"/>
    <w:rsid w:val="1A930BAF"/>
    <w:rsid w:val="1A9A15E2"/>
    <w:rsid w:val="1AB013C7"/>
    <w:rsid w:val="1AB5732D"/>
    <w:rsid w:val="1AB838F0"/>
    <w:rsid w:val="1ABC48F0"/>
    <w:rsid w:val="1ABF67EA"/>
    <w:rsid w:val="1AC65CE6"/>
    <w:rsid w:val="1AD03EF7"/>
    <w:rsid w:val="1AD25EBA"/>
    <w:rsid w:val="1AD5426B"/>
    <w:rsid w:val="1AD74E8D"/>
    <w:rsid w:val="1AD958B8"/>
    <w:rsid w:val="1ADD03C2"/>
    <w:rsid w:val="1AEC68FB"/>
    <w:rsid w:val="1AF64057"/>
    <w:rsid w:val="1B03486A"/>
    <w:rsid w:val="1B136929"/>
    <w:rsid w:val="1B14711D"/>
    <w:rsid w:val="1B150D68"/>
    <w:rsid w:val="1B314042"/>
    <w:rsid w:val="1B373F76"/>
    <w:rsid w:val="1B381F70"/>
    <w:rsid w:val="1B416D97"/>
    <w:rsid w:val="1B444C48"/>
    <w:rsid w:val="1B511487"/>
    <w:rsid w:val="1B530684"/>
    <w:rsid w:val="1B5564D2"/>
    <w:rsid w:val="1B560C53"/>
    <w:rsid w:val="1B6068D5"/>
    <w:rsid w:val="1B6943CE"/>
    <w:rsid w:val="1B6B10D2"/>
    <w:rsid w:val="1B70593E"/>
    <w:rsid w:val="1B723612"/>
    <w:rsid w:val="1B762CF0"/>
    <w:rsid w:val="1B853E23"/>
    <w:rsid w:val="1B8E41AB"/>
    <w:rsid w:val="1B9515F9"/>
    <w:rsid w:val="1B9C027D"/>
    <w:rsid w:val="1B9C2ED3"/>
    <w:rsid w:val="1BAF063C"/>
    <w:rsid w:val="1BB21107"/>
    <w:rsid w:val="1BB328DD"/>
    <w:rsid w:val="1BB53D78"/>
    <w:rsid w:val="1BBC7006"/>
    <w:rsid w:val="1BC56A6D"/>
    <w:rsid w:val="1BD1324A"/>
    <w:rsid w:val="1BD72EED"/>
    <w:rsid w:val="1BF15AC1"/>
    <w:rsid w:val="1BF53BA1"/>
    <w:rsid w:val="1C0B6570"/>
    <w:rsid w:val="1C165028"/>
    <w:rsid w:val="1C166F2D"/>
    <w:rsid w:val="1C1C4F1A"/>
    <w:rsid w:val="1C214235"/>
    <w:rsid w:val="1C2D5538"/>
    <w:rsid w:val="1C365A0E"/>
    <w:rsid w:val="1C3804DD"/>
    <w:rsid w:val="1C3B1844"/>
    <w:rsid w:val="1C3F5D9B"/>
    <w:rsid w:val="1C487739"/>
    <w:rsid w:val="1C604105"/>
    <w:rsid w:val="1C605BA0"/>
    <w:rsid w:val="1C62606C"/>
    <w:rsid w:val="1C6C0F68"/>
    <w:rsid w:val="1C7C4E85"/>
    <w:rsid w:val="1C84686D"/>
    <w:rsid w:val="1C9216D9"/>
    <w:rsid w:val="1C933F18"/>
    <w:rsid w:val="1C961544"/>
    <w:rsid w:val="1CA551BF"/>
    <w:rsid w:val="1CAB17B2"/>
    <w:rsid w:val="1CAE111D"/>
    <w:rsid w:val="1CB66424"/>
    <w:rsid w:val="1CB73508"/>
    <w:rsid w:val="1CC5709B"/>
    <w:rsid w:val="1CCE0916"/>
    <w:rsid w:val="1CE43C8A"/>
    <w:rsid w:val="1CE45758"/>
    <w:rsid w:val="1CE92B05"/>
    <w:rsid w:val="1CE9502B"/>
    <w:rsid w:val="1CEB5018"/>
    <w:rsid w:val="1CF13ED6"/>
    <w:rsid w:val="1CF147FA"/>
    <w:rsid w:val="1CF27F3D"/>
    <w:rsid w:val="1CF768EC"/>
    <w:rsid w:val="1CFA3498"/>
    <w:rsid w:val="1CFF2872"/>
    <w:rsid w:val="1D036AE7"/>
    <w:rsid w:val="1D063453"/>
    <w:rsid w:val="1D116745"/>
    <w:rsid w:val="1D1A5D59"/>
    <w:rsid w:val="1D1F0B2D"/>
    <w:rsid w:val="1D1F0C47"/>
    <w:rsid w:val="1D217EBF"/>
    <w:rsid w:val="1D252AFE"/>
    <w:rsid w:val="1D272A7E"/>
    <w:rsid w:val="1D31205D"/>
    <w:rsid w:val="1D321169"/>
    <w:rsid w:val="1D336071"/>
    <w:rsid w:val="1D3468A0"/>
    <w:rsid w:val="1D3D3CED"/>
    <w:rsid w:val="1D54318A"/>
    <w:rsid w:val="1D544767"/>
    <w:rsid w:val="1D551717"/>
    <w:rsid w:val="1D58201A"/>
    <w:rsid w:val="1D5D4FE6"/>
    <w:rsid w:val="1D6372A4"/>
    <w:rsid w:val="1D6742D6"/>
    <w:rsid w:val="1D676D7C"/>
    <w:rsid w:val="1D7A3DFC"/>
    <w:rsid w:val="1D8316F5"/>
    <w:rsid w:val="1D996F65"/>
    <w:rsid w:val="1D9B5DE1"/>
    <w:rsid w:val="1DB019B0"/>
    <w:rsid w:val="1DC239C1"/>
    <w:rsid w:val="1DCD2BAE"/>
    <w:rsid w:val="1DCF4502"/>
    <w:rsid w:val="1DD3548B"/>
    <w:rsid w:val="1DDC1372"/>
    <w:rsid w:val="1DDE4563"/>
    <w:rsid w:val="1DDE6C40"/>
    <w:rsid w:val="1DE37B53"/>
    <w:rsid w:val="1DEC7EF8"/>
    <w:rsid w:val="1DED21D8"/>
    <w:rsid w:val="1DF90229"/>
    <w:rsid w:val="1DF9031F"/>
    <w:rsid w:val="1DFE46BD"/>
    <w:rsid w:val="1E0A396F"/>
    <w:rsid w:val="1E0A5972"/>
    <w:rsid w:val="1E0C16EA"/>
    <w:rsid w:val="1E1031E0"/>
    <w:rsid w:val="1E142009"/>
    <w:rsid w:val="1E28510A"/>
    <w:rsid w:val="1E292242"/>
    <w:rsid w:val="1E2C1107"/>
    <w:rsid w:val="1E2C6187"/>
    <w:rsid w:val="1E303662"/>
    <w:rsid w:val="1E34141D"/>
    <w:rsid w:val="1E367F26"/>
    <w:rsid w:val="1E3B5B2B"/>
    <w:rsid w:val="1E472297"/>
    <w:rsid w:val="1E4A2212"/>
    <w:rsid w:val="1E4E2712"/>
    <w:rsid w:val="1E501D53"/>
    <w:rsid w:val="1E511CD3"/>
    <w:rsid w:val="1E553D53"/>
    <w:rsid w:val="1E6947B5"/>
    <w:rsid w:val="1E6C3F37"/>
    <w:rsid w:val="1E93681E"/>
    <w:rsid w:val="1E9A4633"/>
    <w:rsid w:val="1EA47464"/>
    <w:rsid w:val="1EAB0CC1"/>
    <w:rsid w:val="1EC6113D"/>
    <w:rsid w:val="1ED73D2F"/>
    <w:rsid w:val="1ED959D6"/>
    <w:rsid w:val="1EDD4E34"/>
    <w:rsid w:val="1EDF61C9"/>
    <w:rsid w:val="1EEA7CBA"/>
    <w:rsid w:val="1EEE7042"/>
    <w:rsid w:val="1F0112D9"/>
    <w:rsid w:val="1F046865"/>
    <w:rsid w:val="1F0D0937"/>
    <w:rsid w:val="1F0E3DA5"/>
    <w:rsid w:val="1F102014"/>
    <w:rsid w:val="1F2A37A7"/>
    <w:rsid w:val="1F305C05"/>
    <w:rsid w:val="1F3A5B9E"/>
    <w:rsid w:val="1F3F4481"/>
    <w:rsid w:val="1F4337AD"/>
    <w:rsid w:val="1F5F33FA"/>
    <w:rsid w:val="1F612D2D"/>
    <w:rsid w:val="1F627625"/>
    <w:rsid w:val="1F63401D"/>
    <w:rsid w:val="1F647F24"/>
    <w:rsid w:val="1F6B2FDE"/>
    <w:rsid w:val="1F737547"/>
    <w:rsid w:val="1F803F55"/>
    <w:rsid w:val="1F961794"/>
    <w:rsid w:val="1FA26E82"/>
    <w:rsid w:val="1FAD0CAB"/>
    <w:rsid w:val="1FB55077"/>
    <w:rsid w:val="1FB7248B"/>
    <w:rsid w:val="1FBA0451"/>
    <w:rsid w:val="1FBC7140"/>
    <w:rsid w:val="1FC952D8"/>
    <w:rsid w:val="1FD16A3E"/>
    <w:rsid w:val="1FDA4795"/>
    <w:rsid w:val="1FDE3D4E"/>
    <w:rsid w:val="1FE17D15"/>
    <w:rsid w:val="1FE855CB"/>
    <w:rsid w:val="1FF201E5"/>
    <w:rsid w:val="1FF832BF"/>
    <w:rsid w:val="1FFE6871"/>
    <w:rsid w:val="200A1C59"/>
    <w:rsid w:val="200F2A25"/>
    <w:rsid w:val="20181912"/>
    <w:rsid w:val="201C5310"/>
    <w:rsid w:val="201E6FF0"/>
    <w:rsid w:val="20253079"/>
    <w:rsid w:val="202851D5"/>
    <w:rsid w:val="203171E3"/>
    <w:rsid w:val="203407CB"/>
    <w:rsid w:val="20376644"/>
    <w:rsid w:val="203A1279"/>
    <w:rsid w:val="20424522"/>
    <w:rsid w:val="204548B4"/>
    <w:rsid w:val="20464445"/>
    <w:rsid w:val="205C7EE2"/>
    <w:rsid w:val="2061184F"/>
    <w:rsid w:val="206E0BE8"/>
    <w:rsid w:val="207160D8"/>
    <w:rsid w:val="2079293B"/>
    <w:rsid w:val="208F6602"/>
    <w:rsid w:val="20997D81"/>
    <w:rsid w:val="209A4F2C"/>
    <w:rsid w:val="209E709A"/>
    <w:rsid w:val="20A10949"/>
    <w:rsid w:val="20A7657D"/>
    <w:rsid w:val="20A943F9"/>
    <w:rsid w:val="20AE09DA"/>
    <w:rsid w:val="20BD4973"/>
    <w:rsid w:val="20C60873"/>
    <w:rsid w:val="20CE2AF5"/>
    <w:rsid w:val="20CE49AC"/>
    <w:rsid w:val="20D71E8A"/>
    <w:rsid w:val="20DC3417"/>
    <w:rsid w:val="20DE67B5"/>
    <w:rsid w:val="20E24C8B"/>
    <w:rsid w:val="20E77E7E"/>
    <w:rsid w:val="20EC3C4A"/>
    <w:rsid w:val="20F47A87"/>
    <w:rsid w:val="20F942C0"/>
    <w:rsid w:val="2112167C"/>
    <w:rsid w:val="21173115"/>
    <w:rsid w:val="212147D8"/>
    <w:rsid w:val="21237908"/>
    <w:rsid w:val="21262AC3"/>
    <w:rsid w:val="21272270"/>
    <w:rsid w:val="212B17DD"/>
    <w:rsid w:val="212B6A17"/>
    <w:rsid w:val="212F36F1"/>
    <w:rsid w:val="21311CDB"/>
    <w:rsid w:val="21331052"/>
    <w:rsid w:val="21350F58"/>
    <w:rsid w:val="213857A8"/>
    <w:rsid w:val="21395B52"/>
    <w:rsid w:val="213D23C0"/>
    <w:rsid w:val="214C1A36"/>
    <w:rsid w:val="21547AC0"/>
    <w:rsid w:val="21595080"/>
    <w:rsid w:val="215C39B5"/>
    <w:rsid w:val="21676C37"/>
    <w:rsid w:val="21690C39"/>
    <w:rsid w:val="21775CFE"/>
    <w:rsid w:val="217D171D"/>
    <w:rsid w:val="2190618E"/>
    <w:rsid w:val="219E04DC"/>
    <w:rsid w:val="21A05AE4"/>
    <w:rsid w:val="21A07926"/>
    <w:rsid w:val="21AD0FB2"/>
    <w:rsid w:val="21B30273"/>
    <w:rsid w:val="21B373A5"/>
    <w:rsid w:val="21B55F67"/>
    <w:rsid w:val="21BB2C7A"/>
    <w:rsid w:val="21C119D0"/>
    <w:rsid w:val="21C604BF"/>
    <w:rsid w:val="21D15573"/>
    <w:rsid w:val="21D249F9"/>
    <w:rsid w:val="21D71147"/>
    <w:rsid w:val="21D75A4D"/>
    <w:rsid w:val="21DA0092"/>
    <w:rsid w:val="21DA4A02"/>
    <w:rsid w:val="21E6673E"/>
    <w:rsid w:val="21EB2AEC"/>
    <w:rsid w:val="21F15FD5"/>
    <w:rsid w:val="21F52E73"/>
    <w:rsid w:val="21F619C6"/>
    <w:rsid w:val="22043A9A"/>
    <w:rsid w:val="22070E81"/>
    <w:rsid w:val="220F01B7"/>
    <w:rsid w:val="22131CBB"/>
    <w:rsid w:val="2216567E"/>
    <w:rsid w:val="22194E4C"/>
    <w:rsid w:val="221B660F"/>
    <w:rsid w:val="221C0FAA"/>
    <w:rsid w:val="22326479"/>
    <w:rsid w:val="22365A0E"/>
    <w:rsid w:val="22384475"/>
    <w:rsid w:val="223C0E7D"/>
    <w:rsid w:val="223E1156"/>
    <w:rsid w:val="22481DAC"/>
    <w:rsid w:val="225417DA"/>
    <w:rsid w:val="225A7FD7"/>
    <w:rsid w:val="225D3320"/>
    <w:rsid w:val="226077D5"/>
    <w:rsid w:val="22681F88"/>
    <w:rsid w:val="227925D1"/>
    <w:rsid w:val="22817BF8"/>
    <w:rsid w:val="228A086F"/>
    <w:rsid w:val="228F5ED5"/>
    <w:rsid w:val="229A12AB"/>
    <w:rsid w:val="229C4EE7"/>
    <w:rsid w:val="229E02CB"/>
    <w:rsid w:val="22A574DA"/>
    <w:rsid w:val="22A94203"/>
    <w:rsid w:val="22BC4355"/>
    <w:rsid w:val="22BE7D21"/>
    <w:rsid w:val="22C57B08"/>
    <w:rsid w:val="22CE4B14"/>
    <w:rsid w:val="22D10764"/>
    <w:rsid w:val="22D27F28"/>
    <w:rsid w:val="22D31D08"/>
    <w:rsid w:val="22D619AF"/>
    <w:rsid w:val="22E12008"/>
    <w:rsid w:val="22E85C3E"/>
    <w:rsid w:val="22E93C44"/>
    <w:rsid w:val="22F75C0D"/>
    <w:rsid w:val="23052BAC"/>
    <w:rsid w:val="230A20F8"/>
    <w:rsid w:val="230D00CA"/>
    <w:rsid w:val="2316350C"/>
    <w:rsid w:val="23264976"/>
    <w:rsid w:val="23374D85"/>
    <w:rsid w:val="233B089E"/>
    <w:rsid w:val="233F3710"/>
    <w:rsid w:val="2360082D"/>
    <w:rsid w:val="236759BE"/>
    <w:rsid w:val="2375539B"/>
    <w:rsid w:val="23847F75"/>
    <w:rsid w:val="23890310"/>
    <w:rsid w:val="23974406"/>
    <w:rsid w:val="23983C0D"/>
    <w:rsid w:val="23A24C60"/>
    <w:rsid w:val="23A33056"/>
    <w:rsid w:val="23A83C63"/>
    <w:rsid w:val="23B136BE"/>
    <w:rsid w:val="23B344F6"/>
    <w:rsid w:val="23B51F8F"/>
    <w:rsid w:val="23B57BC4"/>
    <w:rsid w:val="23C62981"/>
    <w:rsid w:val="23C93BD9"/>
    <w:rsid w:val="23CD06A6"/>
    <w:rsid w:val="23D77679"/>
    <w:rsid w:val="23DD6C97"/>
    <w:rsid w:val="23DF181D"/>
    <w:rsid w:val="23DF3384"/>
    <w:rsid w:val="23E826CC"/>
    <w:rsid w:val="23E85126"/>
    <w:rsid w:val="23EC3C45"/>
    <w:rsid w:val="23EF49FE"/>
    <w:rsid w:val="23F16589"/>
    <w:rsid w:val="23F40D21"/>
    <w:rsid w:val="23FA7815"/>
    <w:rsid w:val="240F3638"/>
    <w:rsid w:val="2423287F"/>
    <w:rsid w:val="242B0239"/>
    <w:rsid w:val="24315299"/>
    <w:rsid w:val="24384980"/>
    <w:rsid w:val="243E183B"/>
    <w:rsid w:val="24424DB6"/>
    <w:rsid w:val="24472AFE"/>
    <w:rsid w:val="24491257"/>
    <w:rsid w:val="24574BB8"/>
    <w:rsid w:val="245F474A"/>
    <w:rsid w:val="24636CF0"/>
    <w:rsid w:val="2467460D"/>
    <w:rsid w:val="246E46A9"/>
    <w:rsid w:val="247E74E9"/>
    <w:rsid w:val="24800494"/>
    <w:rsid w:val="24853E73"/>
    <w:rsid w:val="2497734E"/>
    <w:rsid w:val="249A2DFE"/>
    <w:rsid w:val="249D4B78"/>
    <w:rsid w:val="24A3459D"/>
    <w:rsid w:val="24A869A8"/>
    <w:rsid w:val="24B959FC"/>
    <w:rsid w:val="24BA4284"/>
    <w:rsid w:val="24BD6D49"/>
    <w:rsid w:val="24BF41F1"/>
    <w:rsid w:val="24C70119"/>
    <w:rsid w:val="24D96279"/>
    <w:rsid w:val="24DB2327"/>
    <w:rsid w:val="24DC7ABD"/>
    <w:rsid w:val="24E61B98"/>
    <w:rsid w:val="24EE21C7"/>
    <w:rsid w:val="24EE3666"/>
    <w:rsid w:val="24EE63D5"/>
    <w:rsid w:val="24EF7DCB"/>
    <w:rsid w:val="24F8319C"/>
    <w:rsid w:val="25005F42"/>
    <w:rsid w:val="25112D4C"/>
    <w:rsid w:val="25114177"/>
    <w:rsid w:val="2513021B"/>
    <w:rsid w:val="25132E62"/>
    <w:rsid w:val="2513476D"/>
    <w:rsid w:val="251A5AFB"/>
    <w:rsid w:val="251D450F"/>
    <w:rsid w:val="25207B36"/>
    <w:rsid w:val="2522735D"/>
    <w:rsid w:val="253D594D"/>
    <w:rsid w:val="254239C1"/>
    <w:rsid w:val="2544795C"/>
    <w:rsid w:val="254E5ABC"/>
    <w:rsid w:val="25513DC9"/>
    <w:rsid w:val="255571C5"/>
    <w:rsid w:val="25563F7B"/>
    <w:rsid w:val="255975B9"/>
    <w:rsid w:val="255A7416"/>
    <w:rsid w:val="256D4C1D"/>
    <w:rsid w:val="256F2C0D"/>
    <w:rsid w:val="256F4067"/>
    <w:rsid w:val="257A2763"/>
    <w:rsid w:val="257B4B77"/>
    <w:rsid w:val="257F5E5D"/>
    <w:rsid w:val="2585112F"/>
    <w:rsid w:val="259143DC"/>
    <w:rsid w:val="259A2809"/>
    <w:rsid w:val="25A1023B"/>
    <w:rsid w:val="25A90CAF"/>
    <w:rsid w:val="25BA0830"/>
    <w:rsid w:val="25BF3E17"/>
    <w:rsid w:val="25C37E5A"/>
    <w:rsid w:val="25CB5821"/>
    <w:rsid w:val="25D37638"/>
    <w:rsid w:val="25DB7CF2"/>
    <w:rsid w:val="25E340B2"/>
    <w:rsid w:val="25F331EF"/>
    <w:rsid w:val="25FA7215"/>
    <w:rsid w:val="2618463E"/>
    <w:rsid w:val="26211B23"/>
    <w:rsid w:val="26366AC1"/>
    <w:rsid w:val="263803E4"/>
    <w:rsid w:val="263C587C"/>
    <w:rsid w:val="264A70FE"/>
    <w:rsid w:val="264D34A8"/>
    <w:rsid w:val="265B10D6"/>
    <w:rsid w:val="266B3FC7"/>
    <w:rsid w:val="266D54A1"/>
    <w:rsid w:val="26712A32"/>
    <w:rsid w:val="267645E6"/>
    <w:rsid w:val="26817E67"/>
    <w:rsid w:val="268362C1"/>
    <w:rsid w:val="268457FC"/>
    <w:rsid w:val="26856B8A"/>
    <w:rsid w:val="268A01B1"/>
    <w:rsid w:val="268B6006"/>
    <w:rsid w:val="268C053F"/>
    <w:rsid w:val="268F1910"/>
    <w:rsid w:val="26916974"/>
    <w:rsid w:val="269F17DB"/>
    <w:rsid w:val="26A6683F"/>
    <w:rsid w:val="26A83F7A"/>
    <w:rsid w:val="26AA40AA"/>
    <w:rsid w:val="26B3104C"/>
    <w:rsid w:val="26BB1B03"/>
    <w:rsid w:val="26C5550D"/>
    <w:rsid w:val="26D160F4"/>
    <w:rsid w:val="26D61986"/>
    <w:rsid w:val="26DA135F"/>
    <w:rsid w:val="26DC3187"/>
    <w:rsid w:val="26DE0842"/>
    <w:rsid w:val="26DE5223"/>
    <w:rsid w:val="26E245C0"/>
    <w:rsid w:val="26E30D8A"/>
    <w:rsid w:val="26E83C8A"/>
    <w:rsid w:val="26E973FE"/>
    <w:rsid w:val="26EA39A9"/>
    <w:rsid w:val="26F03531"/>
    <w:rsid w:val="26F207A5"/>
    <w:rsid w:val="26F401AF"/>
    <w:rsid w:val="26F4556B"/>
    <w:rsid w:val="271A4254"/>
    <w:rsid w:val="271A7443"/>
    <w:rsid w:val="27205BE8"/>
    <w:rsid w:val="2727102E"/>
    <w:rsid w:val="272772B1"/>
    <w:rsid w:val="27317314"/>
    <w:rsid w:val="27344A46"/>
    <w:rsid w:val="273A72C8"/>
    <w:rsid w:val="273C0EF4"/>
    <w:rsid w:val="273C55BB"/>
    <w:rsid w:val="27550431"/>
    <w:rsid w:val="275715CA"/>
    <w:rsid w:val="275D098C"/>
    <w:rsid w:val="276212EB"/>
    <w:rsid w:val="27650E21"/>
    <w:rsid w:val="27655F95"/>
    <w:rsid w:val="276B3EF6"/>
    <w:rsid w:val="276E3442"/>
    <w:rsid w:val="27745E2E"/>
    <w:rsid w:val="277A3B68"/>
    <w:rsid w:val="277C77FE"/>
    <w:rsid w:val="278248D1"/>
    <w:rsid w:val="27862269"/>
    <w:rsid w:val="278F4E17"/>
    <w:rsid w:val="27930786"/>
    <w:rsid w:val="27974914"/>
    <w:rsid w:val="27986674"/>
    <w:rsid w:val="279A3416"/>
    <w:rsid w:val="27A047D1"/>
    <w:rsid w:val="27A9409F"/>
    <w:rsid w:val="27B16058"/>
    <w:rsid w:val="27BB013C"/>
    <w:rsid w:val="27BE06F5"/>
    <w:rsid w:val="27C36275"/>
    <w:rsid w:val="27C6649A"/>
    <w:rsid w:val="27D946EC"/>
    <w:rsid w:val="27F94FED"/>
    <w:rsid w:val="280360ED"/>
    <w:rsid w:val="28063355"/>
    <w:rsid w:val="2807293F"/>
    <w:rsid w:val="281837DE"/>
    <w:rsid w:val="281D6811"/>
    <w:rsid w:val="2822142D"/>
    <w:rsid w:val="282539E5"/>
    <w:rsid w:val="28297246"/>
    <w:rsid w:val="282E6701"/>
    <w:rsid w:val="282F18C0"/>
    <w:rsid w:val="282F6B87"/>
    <w:rsid w:val="28354DF2"/>
    <w:rsid w:val="283B6EBE"/>
    <w:rsid w:val="28407858"/>
    <w:rsid w:val="284675D1"/>
    <w:rsid w:val="28472567"/>
    <w:rsid w:val="284C18A2"/>
    <w:rsid w:val="28502495"/>
    <w:rsid w:val="28651663"/>
    <w:rsid w:val="286E596D"/>
    <w:rsid w:val="286F7231"/>
    <w:rsid w:val="287C622E"/>
    <w:rsid w:val="28806838"/>
    <w:rsid w:val="288B50C2"/>
    <w:rsid w:val="288F2857"/>
    <w:rsid w:val="28940C5A"/>
    <w:rsid w:val="289449F8"/>
    <w:rsid w:val="28963A16"/>
    <w:rsid w:val="289B0427"/>
    <w:rsid w:val="289C6A17"/>
    <w:rsid w:val="289D395A"/>
    <w:rsid w:val="28A13290"/>
    <w:rsid w:val="28AA7EF5"/>
    <w:rsid w:val="28AB08E3"/>
    <w:rsid w:val="28AC4ED5"/>
    <w:rsid w:val="28B61F74"/>
    <w:rsid w:val="28B82F93"/>
    <w:rsid w:val="28C42B31"/>
    <w:rsid w:val="28CF45AF"/>
    <w:rsid w:val="28D32810"/>
    <w:rsid w:val="28DA68F8"/>
    <w:rsid w:val="28E262F4"/>
    <w:rsid w:val="28EF40A2"/>
    <w:rsid w:val="28FC67BD"/>
    <w:rsid w:val="2900187D"/>
    <w:rsid w:val="29085BD9"/>
    <w:rsid w:val="290F7096"/>
    <w:rsid w:val="291776AF"/>
    <w:rsid w:val="291F533E"/>
    <w:rsid w:val="29472C12"/>
    <w:rsid w:val="29474DCC"/>
    <w:rsid w:val="29475C62"/>
    <w:rsid w:val="294C2C7F"/>
    <w:rsid w:val="294D7198"/>
    <w:rsid w:val="29564161"/>
    <w:rsid w:val="29575EC7"/>
    <w:rsid w:val="29615F2F"/>
    <w:rsid w:val="29617223"/>
    <w:rsid w:val="2964298F"/>
    <w:rsid w:val="296A1E96"/>
    <w:rsid w:val="296C128F"/>
    <w:rsid w:val="29835806"/>
    <w:rsid w:val="29841B29"/>
    <w:rsid w:val="299A1C85"/>
    <w:rsid w:val="29A10093"/>
    <w:rsid w:val="29A17BDD"/>
    <w:rsid w:val="29A34776"/>
    <w:rsid w:val="29A65D80"/>
    <w:rsid w:val="29A955D0"/>
    <w:rsid w:val="29AC275D"/>
    <w:rsid w:val="29B13C39"/>
    <w:rsid w:val="29B63968"/>
    <w:rsid w:val="29C42E79"/>
    <w:rsid w:val="29D015D9"/>
    <w:rsid w:val="29D73772"/>
    <w:rsid w:val="29D90DFC"/>
    <w:rsid w:val="29DA04E2"/>
    <w:rsid w:val="29EA05F6"/>
    <w:rsid w:val="29EF2932"/>
    <w:rsid w:val="29F8745C"/>
    <w:rsid w:val="29FD274A"/>
    <w:rsid w:val="29FF6508"/>
    <w:rsid w:val="2A1439E1"/>
    <w:rsid w:val="2A145450"/>
    <w:rsid w:val="2A3C5FC7"/>
    <w:rsid w:val="2A44045E"/>
    <w:rsid w:val="2A443EE8"/>
    <w:rsid w:val="2A451150"/>
    <w:rsid w:val="2A4E5F2D"/>
    <w:rsid w:val="2A5412F1"/>
    <w:rsid w:val="2A5D14B3"/>
    <w:rsid w:val="2A617524"/>
    <w:rsid w:val="2A6660C1"/>
    <w:rsid w:val="2A6B208A"/>
    <w:rsid w:val="2A6E1A98"/>
    <w:rsid w:val="2A6F5259"/>
    <w:rsid w:val="2A7144E0"/>
    <w:rsid w:val="2A764076"/>
    <w:rsid w:val="2A87552C"/>
    <w:rsid w:val="2A882EAC"/>
    <w:rsid w:val="2A9003F2"/>
    <w:rsid w:val="2A917901"/>
    <w:rsid w:val="2A93714D"/>
    <w:rsid w:val="2A961738"/>
    <w:rsid w:val="2A9A1481"/>
    <w:rsid w:val="2A9D6776"/>
    <w:rsid w:val="2AA607D0"/>
    <w:rsid w:val="2AA7245F"/>
    <w:rsid w:val="2AB46A0B"/>
    <w:rsid w:val="2AB543CF"/>
    <w:rsid w:val="2AB62A63"/>
    <w:rsid w:val="2AB9320A"/>
    <w:rsid w:val="2ABD2605"/>
    <w:rsid w:val="2ACB39CA"/>
    <w:rsid w:val="2AD7749B"/>
    <w:rsid w:val="2AD84431"/>
    <w:rsid w:val="2ADC4325"/>
    <w:rsid w:val="2AE027AD"/>
    <w:rsid w:val="2AE73431"/>
    <w:rsid w:val="2AEE0367"/>
    <w:rsid w:val="2AF2153B"/>
    <w:rsid w:val="2AF4778E"/>
    <w:rsid w:val="2AF5619C"/>
    <w:rsid w:val="2AF61A72"/>
    <w:rsid w:val="2AFA2388"/>
    <w:rsid w:val="2AFD00DE"/>
    <w:rsid w:val="2B0005C1"/>
    <w:rsid w:val="2B075399"/>
    <w:rsid w:val="2B091B98"/>
    <w:rsid w:val="2B185BC8"/>
    <w:rsid w:val="2B1A0C8C"/>
    <w:rsid w:val="2B24765C"/>
    <w:rsid w:val="2B2960C0"/>
    <w:rsid w:val="2B303F3A"/>
    <w:rsid w:val="2B310476"/>
    <w:rsid w:val="2B3E4EAD"/>
    <w:rsid w:val="2B4E036A"/>
    <w:rsid w:val="2B527847"/>
    <w:rsid w:val="2B572CA3"/>
    <w:rsid w:val="2B583B11"/>
    <w:rsid w:val="2B5F27C1"/>
    <w:rsid w:val="2B6E7C64"/>
    <w:rsid w:val="2B73700F"/>
    <w:rsid w:val="2B7B2658"/>
    <w:rsid w:val="2B7B2F52"/>
    <w:rsid w:val="2B804517"/>
    <w:rsid w:val="2B8133C7"/>
    <w:rsid w:val="2B8D32DC"/>
    <w:rsid w:val="2B9B2860"/>
    <w:rsid w:val="2B9F0AA6"/>
    <w:rsid w:val="2BA32ED2"/>
    <w:rsid w:val="2BB45C4B"/>
    <w:rsid w:val="2BB60431"/>
    <w:rsid w:val="2BBC2F4B"/>
    <w:rsid w:val="2BC00B1B"/>
    <w:rsid w:val="2BD17047"/>
    <w:rsid w:val="2BE92440"/>
    <w:rsid w:val="2BEB4EB5"/>
    <w:rsid w:val="2BF77ADA"/>
    <w:rsid w:val="2BF83F1A"/>
    <w:rsid w:val="2BFF66F4"/>
    <w:rsid w:val="2BFF795D"/>
    <w:rsid w:val="2C0762C3"/>
    <w:rsid w:val="2C09185D"/>
    <w:rsid w:val="2C0C6D59"/>
    <w:rsid w:val="2C112029"/>
    <w:rsid w:val="2C262F37"/>
    <w:rsid w:val="2C2960C4"/>
    <w:rsid w:val="2C2C0071"/>
    <w:rsid w:val="2C313B2D"/>
    <w:rsid w:val="2C4E5788"/>
    <w:rsid w:val="2C55579B"/>
    <w:rsid w:val="2C5F2B76"/>
    <w:rsid w:val="2C72001E"/>
    <w:rsid w:val="2C7F7C90"/>
    <w:rsid w:val="2C814E8F"/>
    <w:rsid w:val="2C940C69"/>
    <w:rsid w:val="2CA04779"/>
    <w:rsid w:val="2CA164F5"/>
    <w:rsid w:val="2CB21B99"/>
    <w:rsid w:val="2CB2678A"/>
    <w:rsid w:val="2CB42904"/>
    <w:rsid w:val="2CB92D90"/>
    <w:rsid w:val="2CC51C66"/>
    <w:rsid w:val="2CD31EBE"/>
    <w:rsid w:val="2CDA5B6D"/>
    <w:rsid w:val="2CDF7FCA"/>
    <w:rsid w:val="2CE32EE3"/>
    <w:rsid w:val="2CE5645E"/>
    <w:rsid w:val="2CE8594C"/>
    <w:rsid w:val="2CFB1171"/>
    <w:rsid w:val="2CFC1BF2"/>
    <w:rsid w:val="2CFE468B"/>
    <w:rsid w:val="2CFF7372"/>
    <w:rsid w:val="2D1A4B5A"/>
    <w:rsid w:val="2D1B3AFA"/>
    <w:rsid w:val="2D2B0077"/>
    <w:rsid w:val="2D313324"/>
    <w:rsid w:val="2D324452"/>
    <w:rsid w:val="2D33180B"/>
    <w:rsid w:val="2D382B32"/>
    <w:rsid w:val="2D5140CA"/>
    <w:rsid w:val="2D5317FA"/>
    <w:rsid w:val="2D563179"/>
    <w:rsid w:val="2D5A61A1"/>
    <w:rsid w:val="2D5B02B8"/>
    <w:rsid w:val="2D662E58"/>
    <w:rsid w:val="2D6A27A3"/>
    <w:rsid w:val="2D6B572E"/>
    <w:rsid w:val="2D7C6FA8"/>
    <w:rsid w:val="2D810A1D"/>
    <w:rsid w:val="2D842856"/>
    <w:rsid w:val="2D865D81"/>
    <w:rsid w:val="2D8F19F0"/>
    <w:rsid w:val="2D904C7A"/>
    <w:rsid w:val="2D971E6C"/>
    <w:rsid w:val="2D9E418D"/>
    <w:rsid w:val="2DAD1CAA"/>
    <w:rsid w:val="2DB80F39"/>
    <w:rsid w:val="2DBE7339"/>
    <w:rsid w:val="2DC0147C"/>
    <w:rsid w:val="2DC639C4"/>
    <w:rsid w:val="2DC92570"/>
    <w:rsid w:val="2DCD13E0"/>
    <w:rsid w:val="2DD513AE"/>
    <w:rsid w:val="2DE35ACF"/>
    <w:rsid w:val="2DE8751E"/>
    <w:rsid w:val="2DE87EC4"/>
    <w:rsid w:val="2DE91CBC"/>
    <w:rsid w:val="2E067FCF"/>
    <w:rsid w:val="2E0D30D1"/>
    <w:rsid w:val="2E0D47AD"/>
    <w:rsid w:val="2E0E56BC"/>
    <w:rsid w:val="2E124655"/>
    <w:rsid w:val="2E135FCF"/>
    <w:rsid w:val="2E1C413D"/>
    <w:rsid w:val="2E27165C"/>
    <w:rsid w:val="2E28744D"/>
    <w:rsid w:val="2E2B790B"/>
    <w:rsid w:val="2E331072"/>
    <w:rsid w:val="2E462467"/>
    <w:rsid w:val="2E52320B"/>
    <w:rsid w:val="2E533748"/>
    <w:rsid w:val="2E5B1625"/>
    <w:rsid w:val="2E5C10B1"/>
    <w:rsid w:val="2E5C404F"/>
    <w:rsid w:val="2E5E734C"/>
    <w:rsid w:val="2E6C3ADF"/>
    <w:rsid w:val="2E73153F"/>
    <w:rsid w:val="2E933C42"/>
    <w:rsid w:val="2E934E6A"/>
    <w:rsid w:val="2E9B2311"/>
    <w:rsid w:val="2E9B2B14"/>
    <w:rsid w:val="2E9B50AE"/>
    <w:rsid w:val="2EB605F6"/>
    <w:rsid w:val="2EBC2030"/>
    <w:rsid w:val="2ED344F5"/>
    <w:rsid w:val="2ED67A5B"/>
    <w:rsid w:val="2ED71236"/>
    <w:rsid w:val="2EE074C6"/>
    <w:rsid w:val="2EE77E6A"/>
    <w:rsid w:val="2EED581D"/>
    <w:rsid w:val="2EF5074B"/>
    <w:rsid w:val="2EF53886"/>
    <w:rsid w:val="2EF60DE2"/>
    <w:rsid w:val="2EF666B9"/>
    <w:rsid w:val="2EF8332F"/>
    <w:rsid w:val="2EFB382B"/>
    <w:rsid w:val="2F027588"/>
    <w:rsid w:val="2F114E1D"/>
    <w:rsid w:val="2F255B03"/>
    <w:rsid w:val="2F3F0D26"/>
    <w:rsid w:val="2F48004D"/>
    <w:rsid w:val="2F48227F"/>
    <w:rsid w:val="2F53584F"/>
    <w:rsid w:val="2F5C6B32"/>
    <w:rsid w:val="2F5F79F8"/>
    <w:rsid w:val="2F604450"/>
    <w:rsid w:val="2F6566BC"/>
    <w:rsid w:val="2F6E4F51"/>
    <w:rsid w:val="2F813832"/>
    <w:rsid w:val="2F8C6136"/>
    <w:rsid w:val="2F8D1F5F"/>
    <w:rsid w:val="2F92342A"/>
    <w:rsid w:val="2F97599F"/>
    <w:rsid w:val="2FA131BF"/>
    <w:rsid w:val="2FAB0637"/>
    <w:rsid w:val="2FB178E1"/>
    <w:rsid w:val="2FBC60FA"/>
    <w:rsid w:val="2FC70B3B"/>
    <w:rsid w:val="2FC82820"/>
    <w:rsid w:val="2FC86E76"/>
    <w:rsid w:val="2FCD6A01"/>
    <w:rsid w:val="2FD42E20"/>
    <w:rsid w:val="2FDB0CF6"/>
    <w:rsid w:val="2FDF4C17"/>
    <w:rsid w:val="2FE06C6D"/>
    <w:rsid w:val="2FEA1236"/>
    <w:rsid w:val="2FEA7D58"/>
    <w:rsid w:val="2FFA541F"/>
    <w:rsid w:val="2FFD7975"/>
    <w:rsid w:val="3006617F"/>
    <w:rsid w:val="300A35B0"/>
    <w:rsid w:val="301C2935"/>
    <w:rsid w:val="30284F07"/>
    <w:rsid w:val="302C7E5B"/>
    <w:rsid w:val="302D37FE"/>
    <w:rsid w:val="30344109"/>
    <w:rsid w:val="30382961"/>
    <w:rsid w:val="303C0A04"/>
    <w:rsid w:val="304F50A2"/>
    <w:rsid w:val="305C091B"/>
    <w:rsid w:val="306A799B"/>
    <w:rsid w:val="306C7DC6"/>
    <w:rsid w:val="30705D96"/>
    <w:rsid w:val="307C49E8"/>
    <w:rsid w:val="3095538B"/>
    <w:rsid w:val="30A95240"/>
    <w:rsid w:val="30AB394E"/>
    <w:rsid w:val="30B72418"/>
    <w:rsid w:val="30BE14BE"/>
    <w:rsid w:val="30C0292A"/>
    <w:rsid w:val="30C775CF"/>
    <w:rsid w:val="30C85357"/>
    <w:rsid w:val="30C91273"/>
    <w:rsid w:val="30CF27BA"/>
    <w:rsid w:val="30DA37A2"/>
    <w:rsid w:val="30E12A9A"/>
    <w:rsid w:val="30ED6E80"/>
    <w:rsid w:val="30EE3CA8"/>
    <w:rsid w:val="30F54260"/>
    <w:rsid w:val="30F7411A"/>
    <w:rsid w:val="31013A31"/>
    <w:rsid w:val="3106021B"/>
    <w:rsid w:val="310606C9"/>
    <w:rsid w:val="310E386E"/>
    <w:rsid w:val="31181796"/>
    <w:rsid w:val="311E516F"/>
    <w:rsid w:val="312920CE"/>
    <w:rsid w:val="31296117"/>
    <w:rsid w:val="312A17CD"/>
    <w:rsid w:val="312E5DA9"/>
    <w:rsid w:val="31320A9A"/>
    <w:rsid w:val="31374EDD"/>
    <w:rsid w:val="313C4A71"/>
    <w:rsid w:val="31511DB5"/>
    <w:rsid w:val="315F0EAB"/>
    <w:rsid w:val="316328C6"/>
    <w:rsid w:val="316623F8"/>
    <w:rsid w:val="31663B1B"/>
    <w:rsid w:val="316C68AC"/>
    <w:rsid w:val="316E4556"/>
    <w:rsid w:val="316F6966"/>
    <w:rsid w:val="31836122"/>
    <w:rsid w:val="318453FF"/>
    <w:rsid w:val="318D64FF"/>
    <w:rsid w:val="318F77E9"/>
    <w:rsid w:val="319A76A0"/>
    <w:rsid w:val="319B277E"/>
    <w:rsid w:val="31A64752"/>
    <w:rsid w:val="31B82894"/>
    <w:rsid w:val="31C138C5"/>
    <w:rsid w:val="31C5640E"/>
    <w:rsid w:val="31C712C7"/>
    <w:rsid w:val="31DA4993"/>
    <w:rsid w:val="31E43E89"/>
    <w:rsid w:val="31EE4C3D"/>
    <w:rsid w:val="31EF22D1"/>
    <w:rsid w:val="320E6677"/>
    <w:rsid w:val="320F3A14"/>
    <w:rsid w:val="32162DD8"/>
    <w:rsid w:val="32193A1D"/>
    <w:rsid w:val="321B7C4E"/>
    <w:rsid w:val="321E268E"/>
    <w:rsid w:val="321E4D30"/>
    <w:rsid w:val="321F1A5A"/>
    <w:rsid w:val="322116DA"/>
    <w:rsid w:val="32243AC3"/>
    <w:rsid w:val="32255EE6"/>
    <w:rsid w:val="32287928"/>
    <w:rsid w:val="3229379B"/>
    <w:rsid w:val="32466FCD"/>
    <w:rsid w:val="32471FD3"/>
    <w:rsid w:val="324D3D92"/>
    <w:rsid w:val="32516B4B"/>
    <w:rsid w:val="32582F38"/>
    <w:rsid w:val="325F1C6F"/>
    <w:rsid w:val="32625045"/>
    <w:rsid w:val="32655FE4"/>
    <w:rsid w:val="326723C9"/>
    <w:rsid w:val="326D57FE"/>
    <w:rsid w:val="327220E3"/>
    <w:rsid w:val="32786EF1"/>
    <w:rsid w:val="327F037F"/>
    <w:rsid w:val="328D470D"/>
    <w:rsid w:val="328E0402"/>
    <w:rsid w:val="329234F1"/>
    <w:rsid w:val="32AA7591"/>
    <w:rsid w:val="32B20FCD"/>
    <w:rsid w:val="32BE78AC"/>
    <w:rsid w:val="32C263C3"/>
    <w:rsid w:val="32C94DAB"/>
    <w:rsid w:val="32D77C4F"/>
    <w:rsid w:val="32DE53E0"/>
    <w:rsid w:val="32F246C4"/>
    <w:rsid w:val="32F934CB"/>
    <w:rsid w:val="32FA0F84"/>
    <w:rsid w:val="33051776"/>
    <w:rsid w:val="330A1EF4"/>
    <w:rsid w:val="330B1CAA"/>
    <w:rsid w:val="33107480"/>
    <w:rsid w:val="33137ECB"/>
    <w:rsid w:val="331A6E86"/>
    <w:rsid w:val="33250571"/>
    <w:rsid w:val="33253784"/>
    <w:rsid w:val="332861CC"/>
    <w:rsid w:val="332E3A59"/>
    <w:rsid w:val="332F1F3F"/>
    <w:rsid w:val="333203FD"/>
    <w:rsid w:val="33321D6C"/>
    <w:rsid w:val="33330392"/>
    <w:rsid w:val="33467216"/>
    <w:rsid w:val="33495DE2"/>
    <w:rsid w:val="334A06D1"/>
    <w:rsid w:val="334F4782"/>
    <w:rsid w:val="33555E74"/>
    <w:rsid w:val="33561BBA"/>
    <w:rsid w:val="336327BC"/>
    <w:rsid w:val="336B23EB"/>
    <w:rsid w:val="336B7572"/>
    <w:rsid w:val="337D0F7B"/>
    <w:rsid w:val="3382308C"/>
    <w:rsid w:val="3383173C"/>
    <w:rsid w:val="33986678"/>
    <w:rsid w:val="339B3B9A"/>
    <w:rsid w:val="33A0783A"/>
    <w:rsid w:val="33AD68FA"/>
    <w:rsid w:val="33B478DA"/>
    <w:rsid w:val="33C02544"/>
    <w:rsid w:val="33C2090D"/>
    <w:rsid w:val="33C8319B"/>
    <w:rsid w:val="33C92B31"/>
    <w:rsid w:val="33D53ED4"/>
    <w:rsid w:val="33D95604"/>
    <w:rsid w:val="33DD08AF"/>
    <w:rsid w:val="33DD6230"/>
    <w:rsid w:val="33F93038"/>
    <w:rsid w:val="34036576"/>
    <w:rsid w:val="34076597"/>
    <w:rsid w:val="34160D04"/>
    <w:rsid w:val="34166772"/>
    <w:rsid w:val="342113BF"/>
    <w:rsid w:val="34216868"/>
    <w:rsid w:val="343164C5"/>
    <w:rsid w:val="344242C8"/>
    <w:rsid w:val="344A5748"/>
    <w:rsid w:val="344C4715"/>
    <w:rsid w:val="344F4008"/>
    <w:rsid w:val="34577CA0"/>
    <w:rsid w:val="34592CD6"/>
    <w:rsid w:val="345B3985"/>
    <w:rsid w:val="346E559B"/>
    <w:rsid w:val="347B73C8"/>
    <w:rsid w:val="348B26F0"/>
    <w:rsid w:val="349C02D4"/>
    <w:rsid w:val="34A02E01"/>
    <w:rsid w:val="34A367D2"/>
    <w:rsid w:val="34B72C28"/>
    <w:rsid w:val="34B812FE"/>
    <w:rsid w:val="34CA0122"/>
    <w:rsid w:val="34DA301D"/>
    <w:rsid w:val="34DB397E"/>
    <w:rsid w:val="34F31D99"/>
    <w:rsid w:val="34F52EC8"/>
    <w:rsid w:val="35040C1E"/>
    <w:rsid w:val="350C02B9"/>
    <w:rsid w:val="35180755"/>
    <w:rsid w:val="351F49D2"/>
    <w:rsid w:val="35266E1A"/>
    <w:rsid w:val="35306CCA"/>
    <w:rsid w:val="3536466A"/>
    <w:rsid w:val="353A0807"/>
    <w:rsid w:val="35407BBF"/>
    <w:rsid w:val="354C2DB6"/>
    <w:rsid w:val="354F21EE"/>
    <w:rsid w:val="35636EF6"/>
    <w:rsid w:val="35654475"/>
    <w:rsid w:val="356B05EC"/>
    <w:rsid w:val="35782900"/>
    <w:rsid w:val="357C67E3"/>
    <w:rsid w:val="357D1B6A"/>
    <w:rsid w:val="357D3B16"/>
    <w:rsid w:val="358949DD"/>
    <w:rsid w:val="359F5FED"/>
    <w:rsid w:val="35A06DAC"/>
    <w:rsid w:val="35A40D85"/>
    <w:rsid w:val="35AB55C8"/>
    <w:rsid w:val="35B502E7"/>
    <w:rsid w:val="35B87D2C"/>
    <w:rsid w:val="35C91DF7"/>
    <w:rsid w:val="35CE2292"/>
    <w:rsid w:val="35D67FA6"/>
    <w:rsid w:val="35D731A7"/>
    <w:rsid w:val="35DB0B7F"/>
    <w:rsid w:val="35DD2C74"/>
    <w:rsid w:val="35E3456C"/>
    <w:rsid w:val="35E91EDC"/>
    <w:rsid w:val="35EA4C62"/>
    <w:rsid w:val="35EB45D0"/>
    <w:rsid w:val="35F66AB0"/>
    <w:rsid w:val="36027F5A"/>
    <w:rsid w:val="361835AA"/>
    <w:rsid w:val="361F3F0C"/>
    <w:rsid w:val="3623396D"/>
    <w:rsid w:val="362B012A"/>
    <w:rsid w:val="36300A62"/>
    <w:rsid w:val="363C2DD9"/>
    <w:rsid w:val="363C50AE"/>
    <w:rsid w:val="364F2FE5"/>
    <w:rsid w:val="365131F0"/>
    <w:rsid w:val="36517A3C"/>
    <w:rsid w:val="36563E1D"/>
    <w:rsid w:val="36575769"/>
    <w:rsid w:val="366302BD"/>
    <w:rsid w:val="36807657"/>
    <w:rsid w:val="36820344"/>
    <w:rsid w:val="368E32A1"/>
    <w:rsid w:val="36923A2F"/>
    <w:rsid w:val="36930229"/>
    <w:rsid w:val="36941326"/>
    <w:rsid w:val="369B31B3"/>
    <w:rsid w:val="36B00EF8"/>
    <w:rsid w:val="36C83C74"/>
    <w:rsid w:val="36D24D65"/>
    <w:rsid w:val="36D65C5D"/>
    <w:rsid w:val="36DD1902"/>
    <w:rsid w:val="36E353DD"/>
    <w:rsid w:val="36F4295C"/>
    <w:rsid w:val="36F61EDB"/>
    <w:rsid w:val="37106CAA"/>
    <w:rsid w:val="371116C7"/>
    <w:rsid w:val="3718636C"/>
    <w:rsid w:val="371D1F63"/>
    <w:rsid w:val="371E4010"/>
    <w:rsid w:val="371E5C46"/>
    <w:rsid w:val="37271C22"/>
    <w:rsid w:val="3733335D"/>
    <w:rsid w:val="37334ACD"/>
    <w:rsid w:val="37364881"/>
    <w:rsid w:val="373C5DF1"/>
    <w:rsid w:val="373E6B6F"/>
    <w:rsid w:val="374F1B5F"/>
    <w:rsid w:val="37514AFF"/>
    <w:rsid w:val="37533C8A"/>
    <w:rsid w:val="37587C68"/>
    <w:rsid w:val="375F39BB"/>
    <w:rsid w:val="376613FE"/>
    <w:rsid w:val="376A0207"/>
    <w:rsid w:val="37704640"/>
    <w:rsid w:val="37721352"/>
    <w:rsid w:val="37756A1F"/>
    <w:rsid w:val="37761D13"/>
    <w:rsid w:val="377D0EA8"/>
    <w:rsid w:val="379519C7"/>
    <w:rsid w:val="37A92619"/>
    <w:rsid w:val="37A92924"/>
    <w:rsid w:val="37B2292F"/>
    <w:rsid w:val="37B66869"/>
    <w:rsid w:val="37BB15A2"/>
    <w:rsid w:val="37C229E6"/>
    <w:rsid w:val="37C67978"/>
    <w:rsid w:val="37C97B00"/>
    <w:rsid w:val="37D02EA6"/>
    <w:rsid w:val="37D42ADB"/>
    <w:rsid w:val="37D51C90"/>
    <w:rsid w:val="37D914D3"/>
    <w:rsid w:val="37DB5AF9"/>
    <w:rsid w:val="37E17E01"/>
    <w:rsid w:val="37E312B6"/>
    <w:rsid w:val="37E3311D"/>
    <w:rsid w:val="37E8267C"/>
    <w:rsid w:val="37F83414"/>
    <w:rsid w:val="37FD59B4"/>
    <w:rsid w:val="380928B9"/>
    <w:rsid w:val="3810706C"/>
    <w:rsid w:val="381C3D8E"/>
    <w:rsid w:val="38245404"/>
    <w:rsid w:val="383204AA"/>
    <w:rsid w:val="38363647"/>
    <w:rsid w:val="383771A2"/>
    <w:rsid w:val="383C3036"/>
    <w:rsid w:val="383D57D3"/>
    <w:rsid w:val="383E473E"/>
    <w:rsid w:val="38453E1F"/>
    <w:rsid w:val="384653A1"/>
    <w:rsid w:val="38486BFE"/>
    <w:rsid w:val="384D5A1E"/>
    <w:rsid w:val="38505FCC"/>
    <w:rsid w:val="386F5A84"/>
    <w:rsid w:val="38716BE4"/>
    <w:rsid w:val="387258A7"/>
    <w:rsid w:val="38733EF9"/>
    <w:rsid w:val="3878114E"/>
    <w:rsid w:val="38806B05"/>
    <w:rsid w:val="388D4737"/>
    <w:rsid w:val="38910B04"/>
    <w:rsid w:val="38A649F2"/>
    <w:rsid w:val="38B11E98"/>
    <w:rsid w:val="38B77CE5"/>
    <w:rsid w:val="38B85A42"/>
    <w:rsid w:val="38C26B8B"/>
    <w:rsid w:val="38C37DA7"/>
    <w:rsid w:val="38CD6121"/>
    <w:rsid w:val="38D363A1"/>
    <w:rsid w:val="38D508F1"/>
    <w:rsid w:val="38D67AE9"/>
    <w:rsid w:val="38D806EF"/>
    <w:rsid w:val="38D8280F"/>
    <w:rsid w:val="38DD223B"/>
    <w:rsid w:val="38E726E0"/>
    <w:rsid w:val="38EA18AA"/>
    <w:rsid w:val="38F435D4"/>
    <w:rsid w:val="38FD2F65"/>
    <w:rsid w:val="390049B1"/>
    <w:rsid w:val="39203A89"/>
    <w:rsid w:val="392D3BA5"/>
    <w:rsid w:val="39354897"/>
    <w:rsid w:val="3936657E"/>
    <w:rsid w:val="393E243D"/>
    <w:rsid w:val="394612F8"/>
    <w:rsid w:val="39474F25"/>
    <w:rsid w:val="394F6566"/>
    <w:rsid w:val="39504729"/>
    <w:rsid w:val="39522F81"/>
    <w:rsid w:val="39524EEB"/>
    <w:rsid w:val="39592BDA"/>
    <w:rsid w:val="395C14EB"/>
    <w:rsid w:val="396A3746"/>
    <w:rsid w:val="39745156"/>
    <w:rsid w:val="397B72CC"/>
    <w:rsid w:val="397C5489"/>
    <w:rsid w:val="398443D3"/>
    <w:rsid w:val="398B750F"/>
    <w:rsid w:val="399119D2"/>
    <w:rsid w:val="399E2974"/>
    <w:rsid w:val="39A01C75"/>
    <w:rsid w:val="39A53A12"/>
    <w:rsid w:val="39BD2CAE"/>
    <w:rsid w:val="39BD45AA"/>
    <w:rsid w:val="39C41CC2"/>
    <w:rsid w:val="39C464A0"/>
    <w:rsid w:val="39CB4B07"/>
    <w:rsid w:val="39CF5B7B"/>
    <w:rsid w:val="39D552BE"/>
    <w:rsid w:val="39D61AD3"/>
    <w:rsid w:val="39D76BF8"/>
    <w:rsid w:val="39DB0EDA"/>
    <w:rsid w:val="39DC22A5"/>
    <w:rsid w:val="39FB091D"/>
    <w:rsid w:val="3A0A2E79"/>
    <w:rsid w:val="3A0A6660"/>
    <w:rsid w:val="3A1706C9"/>
    <w:rsid w:val="3A287454"/>
    <w:rsid w:val="3A3966CC"/>
    <w:rsid w:val="3A4519B9"/>
    <w:rsid w:val="3A4B56CD"/>
    <w:rsid w:val="3A4E42F9"/>
    <w:rsid w:val="3A523E8D"/>
    <w:rsid w:val="3A537E48"/>
    <w:rsid w:val="3A5D6820"/>
    <w:rsid w:val="3A612966"/>
    <w:rsid w:val="3A686CE1"/>
    <w:rsid w:val="3A6A35C8"/>
    <w:rsid w:val="3A7466B0"/>
    <w:rsid w:val="3A766039"/>
    <w:rsid w:val="3A89269F"/>
    <w:rsid w:val="3A8A3842"/>
    <w:rsid w:val="3A8C73DA"/>
    <w:rsid w:val="3A8D53B8"/>
    <w:rsid w:val="3AA14658"/>
    <w:rsid w:val="3AB369E9"/>
    <w:rsid w:val="3AC13682"/>
    <w:rsid w:val="3AC84793"/>
    <w:rsid w:val="3AD151EA"/>
    <w:rsid w:val="3AD77F34"/>
    <w:rsid w:val="3AE64D15"/>
    <w:rsid w:val="3AE8772F"/>
    <w:rsid w:val="3AED470A"/>
    <w:rsid w:val="3AEE2303"/>
    <w:rsid w:val="3AF80E99"/>
    <w:rsid w:val="3B011E00"/>
    <w:rsid w:val="3B074AD8"/>
    <w:rsid w:val="3B0A4B43"/>
    <w:rsid w:val="3B0D769F"/>
    <w:rsid w:val="3B110927"/>
    <w:rsid w:val="3B140961"/>
    <w:rsid w:val="3B1F46B1"/>
    <w:rsid w:val="3B2340C3"/>
    <w:rsid w:val="3B260E45"/>
    <w:rsid w:val="3B262563"/>
    <w:rsid w:val="3B4676FB"/>
    <w:rsid w:val="3B4A01AC"/>
    <w:rsid w:val="3B5248C3"/>
    <w:rsid w:val="3B6E2BDA"/>
    <w:rsid w:val="3B791033"/>
    <w:rsid w:val="3B894CFC"/>
    <w:rsid w:val="3BAE2738"/>
    <w:rsid w:val="3BB23FD8"/>
    <w:rsid w:val="3BB74FE0"/>
    <w:rsid w:val="3BB92E19"/>
    <w:rsid w:val="3BED77A3"/>
    <w:rsid w:val="3BEE45C2"/>
    <w:rsid w:val="3BFA3985"/>
    <w:rsid w:val="3C06372E"/>
    <w:rsid w:val="3C0F3F2C"/>
    <w:rsid w:val="3C192A39"/>
    <w:rsid w:val="3C1C1FF3"/>
    <w:rsid w:val="3C227746"/>
    <w:rsid w:val="3C260B38"/>
    <w:rsid w:val="3C2720C8"/>
    <w:rsid w:val="3C2B41F9"/>
    <w:rsid w:val="3C313640"/>
    <w:rsid w:val="3C3472D2"/>
    <w:rsid w:val="3C351E3D"/>
    <w:rsid w:val="3C4146B4"/>
    <w:rsid w:val="3C4E246D"/>
    <w:rsid w:val="3C4E2A76"/>
    <w:rsid w:val="3C566C8A"/>
    <w:rsid w:val="3C5A3E2C"/>
    <w:rsid w:val="3C5F4B0B"/>
    <w:rsid w:val="3C60089E"/>
    <w:rsid w:val="3C605702"/>
    <w:rsid w:val="3C627E6C"/>
    <w:rsid w:val="3C64190D"/>
    <w:rsid w:val="3C670855"/>
    <w:rsid w:val="3C7207FD"/>
    <w:rsid w:val="3C8A7F52"/>
    <w:rsid w:val="3C8B44A0"/>
    <w:rsid w:val="3C96164A"/>
    <w:rsid w:val="3C973F49"/>
    <w:rsid w:val="3C9928C7"/>
    <w:rsid w:val="3CA0196D"/>
    <w:rsid w:val="3CA7613F"/>
    <w:rsid w:val="3CA91CDA"/>
    <w:rsid w:val="3CAA42F3"/>
    <w:rsid w:val="3CAB7595"/>
    <w:rsid w:val="3CAC4EE1"/>
    <w:rsid w:val="3CAD6BC4"/>
    <w:rsid w:val="3CAE6359"/>
    <w:rsid w:val="3CC1358A"/>
    <w:rsid w:val="3CCD0143"/>
    <w:rsid w:val="3CD90906"/>
    <w:rsid w:val="3CDA1BC0"/>
    <w:rsid w:val="3CDD79DD"/>
    <w:rsid w:val="3CE7736D"/>
    <w:rsid w:val="3CEC4F8A"/>
    <w:rsid w:val="3CEF2C29"/>
    <w:rsid w:val="3CF85008"/>
    <w:rsid w:val="3D0535B0"/>
    <w:rsid w:val="3D0E0CE4"/>
    <w:rsid w:val="3D154399"/>
    <w:rsid w:val="3D1902C4"/>
    <w:rsid w:val="3D1D5EC9"/>
    <w:rsid w:val="3D1F3EB0"/>
    <w:rsid w:val="3D211B21"/>
    <w:rsid w:val="3D2D2E2F"/>
    <w:rsid w:val="3D3B3C1C"/>
    <w:rsid w:val="3D485F4F"/>
    <w:rsid w:val="3D4C6CC5"/>
    <w:rsid w:val="3D601CB7"/>
    <w:rsid w:val="3D6E787A"/>
    <w:rsid w:val="3D6F0EF6"/>
    <w:rsid w:val="3D7E5628"/>
    <w:rsid w:val="3D854807"/>
    <w:rsid w:val="3D864E7A"/>
    <w:rsid w:val="3D8730BD"/>
    <w:rsid w:val="3D893439"/>
    <w:rsid w:val="3D904323"/>
    <w:rsid w:val="3D942F8C"/>
    <w:rsid w:val="3D9B5847"/>
    <w:rsid w:val="3DA2540D"/>
    <w:rsid w:val="3DAB4CF7"/>
    <w:rsid w:val="3DB03FCF"/>
    <w:rsid w:val="3DB82A7F"/>
    <w:rsid w:val="3DBB6679"/>
    <w:rsid w:val="3DCC5042"/>
    <w:rsid w:val="3DE15D5F"/>
    <w:rsid w:val="3DE468D6"/>
    <w:rsid w:val="3DEB5180"/>
    <w:rsid w:val="3DEC2605"/>
    <w:rsid w:val="3DF24001"/>
    <w:rsid w:val="3DFA2EB5"/>
    <w:rsid w:val="3DFD7163"/>
    <w:rsid w:val="3DFF4AA8"/>
    <w:rsid w:val="3E002F07"/>
    <w:rsid w:val="3E081279"/>
    <w:rsid w:val="3E0C0B5A"/>
    <w:rsid w:val="3E0D16DA"/>
    <w:rsid w:val="3E12440C"/>
    <w:rsid w:val="3E132857"/>
    <w:rsid w:val="3E1A30F3"/>
    <w:rsid w:val="3E296CBB"/>
    <w:rsid w:val="3E344619"/>
    <w:rsid w:val="3E35729E"/>
    <w:rsid w:val="3E412892"/>
    <w:rsid w:val="3E421176"/>
    <w:rsid w:val="3E46449B"/>
    <w:rsid w:val="3E4B2A2E"/>
    <w:rsid w:val="3E502AD5"/>
    <w:rsid w:val="3E742DDB"/>
    <w:rsid w:val="3E7D1382"/>
    <w:rsid w:val="3E8169D4"/>
    <w:rsid w:val="3E846EBF"/>
    <w:rsid w:val="3E935395"/>
    <w:rsid w:val="3E9A0469"/>
    <w:rsid w:val="3EA42E21"/>
    <w:rsid w:val="3EA51073"/>
    <w:rsid w:val="3EA52074"/>
    <w:rsid w:val="3EB017C6"/>
    <w:rsid w:val="3EB47E54"/>
    <w:rsid w:val="3EB92B95"/>
    <w:rsid w:val="3EBC6F7A"/>
    <w:rsid w:val="3EC07104"/>
    <w:rsid w:val="3EC67BE6"/>
    <w:rsid w:val="3ED70EE5"/>
    <w:rsid w:val="3EE4635B"/>
    <w:rsid w:val="3EEC238F"/>
    <w:rsid w:val="3EEE6BD7"/>
    <w:rsid w:val="3F0408A6"/>
    <w:rsid w:val="3F075C94"/>
    <w:rsid w:val="3F097B08"/>
    <w:rsid w:val="3F0A6CCA"/>
    <w:rsid w:val="3F0E1CA2"/>
    <w:rsid w:val="3F0E56C1"/>
    <w:rsid w:val="3F0F0C9C"/>
    <w:rsid w:val="3F116B25"/>
    <w:rsid w:val="3F18526A"/>
    <w:rsid w:val="3F1B7587"/>
    <w:rsid w:val="3F1E4D6F"/>
    <w:rsid w:val="3F2C1744"/>
    <w:rsid w:val="3F2D0179"/>
    <w:rsid w:val="3F30190B"/>
    <w:rsid w:val="3F3059C0"/>
    <w:rsid w:val="3F305A87"/>
    <w:rsid w:val="3F3326D7"/>
    <w:rsid w:val="3F33498E"/>
    <w:rsid w:val="3F3365E8"/>
    <w:rsid w:val="3F3476FC"/>
    <w:rsid w:val="3F3D3089"/>
    <w:rsid w:val="3F570D47"/>
    <w:rsid w:val="3F5B1F78"/>
    <w:rsid w:val="3F617004"/>
    <w:rsid w:val="3F6176BC"/>
    <w:rsid w:val="3F7747D4"/>
    <w:rsid w:val="3F783936"/>
    <w:rsid w:val="3F797437"/>
    <w:rsid w:val="3F8446DA"/>
    <w:rsid w:val="3F920CA4"/>
    <w:rsid w:val="3FB849AA"/>
    <w:rsid w:val="3FBB59B6"/>
    <w:rsid w:val="3FC278F4"/>
    <w:rsid w:val="3FCF30FF"/>
    <w:rsid w:val="3FD52A97"/>
    <w:rsid w:val="3FDB43D1"/>
    <w:rsid w:val="3FE557BC"/>
    <w:rsid w:val="3FF05C2C"/>
    <w:rsid w:val="3FF60C8E"/>
    <w:rsid w:val="40081CAE"/>
    <w:rsid w:val="400A5F68"/>
    <w:rsid w:val="400F745A"/>
    <w:rsid w:val="40100391"/>
    <w:rsid w:val="40112C30"/>
    <w:rsid w:val="401330BC"/>
    <w:rsid w:val="40153557"/>
    <w:rsid w:val="401E0B23"/>
    <w:rsid w:val="40362346"/>
    <w:rsid w:val="4039747F"/>
    <w:rsid w:val="4040082B"/>
    <w:rsid w:val="40403EA8"/>
    <w:rsid w:val="40413B2E"/>
    <w:rsid w:val="404F0FD2"/>
    <w:rsid w:val="404F3136"/>
    <w:rsid w:val="40530FA9"/>
    <w:rsid w:val="40567D6A"/>
    <w:rsid w:val="405E532F"/>
    <w:rsid w:val="405F5165"/>
    <w:rsid w:val="40727CC8"/>
    <w:rsid w:val="40742288"/>
    <w:rsid w:val="407A3945"/>
    <w:rsid w:val="40844751"/>
    <w:rsid w:val="408949A0"/>
    <w:rsid w:val="408C7F1F"/>
    <w:rsid w:val="40963652"/>
    <w:rsid w:val="409A6EEF"/>
    <w:rsid w:val="40A634B0"/>
    <w:rsid w:val="40A66A78"/>
    <w:rsid w:val="40A77994"/>
    <w:rsid w:val="40A94E0F"/>
    <w:rsid w:val="40B426D1"/>
    <w:rsid w:val="40B63FFD"/>
    <w:rsid w:val="40B74FE2"/>
    <w:rsid w:val="40B76726"/>
    <w:rsid w:val="40B97503"/>
    <w:rsid w:val="40C027E0"/>
    <w:rsid w:val="40CA3FF1"/>
    <w:rsid w:val="40CD1FAF"/>
    <w:rsid w:val="40E23C70"/>
    <w:rsid w:val="40E368A3"/>
    <w:rsid w:val="40EC2E67"/>
    <w:rsid w:val="40FE303A"/>
    <w:rsid w:val="41050018"/>
    <w:rsid w:val="410E5834"/>
    <w:rsid w:val="411A508F"/>
    <w:rsid w:val="412359B7"/>
    <w:rsid w:val="413511B3"/>
    <w:rsid w:val="413D5653"/>
    <w:rsid w:val="414F176A"/>
    <w:rsid w:val="414F41F9"/>
    <w:rsid w:val="41570025"/>
    <w:rsid w:val="415D14E8"/>
    <w:rsid w:val="415F7109"/>
    <w:rsid w:val="416A62F2"/>
    <w:rsid w:val="416D43B1"/>
    <w:rsid w:val="416E5AB7"/>
    <w:rsid w:val="41710E59"/>
    <w:rsid w:val="41843A8E"/>
    <w:rsid w:val="4189590D"/>
    <w:rsid w:val="41A53138"/>
    <w:rsid w:val="41AA41C0"/>
    <w:rsid w:val="41AD7E71"/>
    <w:rsid w:val="41B42527"/>
    <w:rsid w:val="41C12F96"/>
    <w:rsid w:val="41C2393E"/>
    <w:rsid w:val="41C651B0"/>
    <w:rsid w:val="41CF4789"/>
    <w:rsid w:val="41CF6407"/>
    <w:rsid w:val="41D36B59"/>
    <w:rsid w:val="41D542A5"/>
    <w:rsid w:val="41F21A19"/>
    <w:rsid w:val="42187DAE"/>
    <w:rsid w:val="422D6A80"/>
    <w:rsid w:val="42341F06"/>
    <w:rsid w:val="423C1478"/>
    <w:rsid w:val="424363BE"/>
    <w:rsid w:val="42446EA7"/>
    <w:rsid w:val="424C4585"/>
    <w:rsid w:val="426D74C6"/>
    <w:rsid w:val="426E7D2D"/>
    <w:rsid w:val="427328C5"/>
    <w:rsid w:val="427673A3"/>
    <w:rsid w:val="428E5612"/>
    <w:rsid w:val="42927D77"/>
    <w:rsid w:val="42974DD9"/>
    <w:rsid w:val="429D1D9C"/>
    <w:rsid w:val="42A06AD4"/>
    <w:rsid w:val="42A31D6D"/>
    <w:rsid w:val="42A7271C"/>
    <w:rsid w:val="42B528B5"/>
    <w:rsid w:val="42BD027A"/>
    <w:rsid w:val="42C05343"/>
    <w:rsid w:val="42C825DA"/>
    <w:rsid w:val="42CB69EA"/>
    <w:rsid w:val="42D73A70"/>
    <w:rsid w:val="42E273CF"/>
    <w:rsid w:val="42EA799C"/>
    <w:rsid w:val="42F42BA6"/>
    <w:rsid w:val="42F44377"/>
    <w:rsid w:val="42F67E43"/>
    <w:rsid w:val="42FD3996"/>
    <w:rsid w:val="430C1D09"/>
    <w:rsid w:val="43224116"/>
    <w:rsid w:val="4336396B"/>
    <w:rsid w:val="433A416F"/>
    <w:rsid w:val="433C65FF"/>
    <w:rsid w:val="43405625"/>
    <w:rsid w:val="43477D4F"/>
    <w:rsid w:val="434F5A7C"/>
    <w:rsid w:val="43525E00"/>
    <w:rsid w:val="435531F8"/>
    <w:rsid w:val="43573A96"/>
    <w:rsid w:val="435C1892"/>
    <w:rsid w:val="43702921"/>
    <w:rsid w:val="43732041"/>
    <w:rsid w:val="437872A7"/>
    <w:rsid w:val="437C221E"/>
    <w:rsid w:val="437C559F"/>
    <w:rsid w:val="43856732"/>
    <w:rsid w:val="43906B3F"/>
    <w:rsid w:val="439774A3"/>
    <w:rsid w:val="43992DBB"/>
    <w:rsid w:val="439C6636"/>
    <w:rsid w:val="43A076D5"/>
    <w:rsid w:val="43A1468D"/>
    <w:rsid w:val="43AD2F59"/>
    <w:rsid w:val="43B24BF5"/>
    <w:rsid w:val="43BD3F60"/>
    <w:rsid w:val="43C804B1"/>
    <w:rsid w:val="43D16C05"/>
    <w:rsid w:val="43DF7F6C"/>
    <w:rsid w:val="43E6501D"/>
    <w:rsid w:val="43F5663E"/>
    <w:rsid w:val="44015340"/>
    <w:rsid w:val="44036B97"/>
    <w:rsid w:val="44075F8C"/>
    <w:rsid w:val="440E455E"/>
    <w:rsid w:val="440F179F"/>
    <w:rsid w:val="44157EA4"/>
    <w:rsid w:val="441627CE"/>
    <w:rsid w:val="44186157"/>
    <w:rsid w:val="44190D1F"/>
    <w:rsid w:val="441A0C25"/>
    <w:rsid w:val="44214120"/>
    <w:rsid w:val="44221214"/>
    <w:rsid w:val="4425792F"/>
    <w:rsid w:val="44272F91"/>
    <w:rsid w:val="44300C59"/>
    <w:rsid w:val="4431024A"/>
    <w:rsid w:val="44361158"/>
    <w:rsid w:val="445E3797"/>
    <w:rsid w:val="446A74F4"/>
    <w:rsid w:val="446F0A44"/>
    <w:rsid w:val="447345DD"/>
    <w:rsid w:val="447705B4"/>
    <w:rsid w:val="447C2876"/>
    <w:rsid w:val="44821B53"/>
    <w:rsid w:val="44847599"/>
    <w:rsid w:val="44921A8E"/>
    <w:rsid w:val="4493692D"/>
    <w:rsid w:val="44984F25"/>
    <w:rsid w:val="44996DA5"/>
    <w:rsid w:val="449B67E5"/>
    <w:rsid w:val="44AB691A"/>
    <w:rsid w:val="44B1659E"/>
    <w:rsid w:val="44B27198"/>
    <w:rsid w:val="44BE79AD"/>
    <w:rsid w:val="44C77869"/>
    <w:rsid w:val="44DF5E9F"/>
    <w:rsid w:val="44EF0CF0"/>
    <w:rsid w:val="44EF110E"/>
    <w:rsid w:val="44F1136A"/>
    <w:rsid w:val="44FE56A1"/>
    <w:rsid w:val="45121C7C"/>
    <w:rsid w:val="45167D6E"/>
    <w:rsid w:val="45190172"/>
    <w:rsid w:val="451E76F4"/>
    <w:rsid w:val="451F7FF7"/>
    <w:rsid w:val="45212D88"/>
    <w:rsid w:val="452362BC"/>
    <w:rsid w:val="45272EF2"/>
    <w:rsid w:val="452B1BA6"/>
    <w:rsid w:val="452E76CC"/>
    <w:rsid w:val="45350DF5"/>
    <w:rsid w:val="4544551E"/>
    <w:rsid w:val="455F2AAA"/>
    <w:rsid w:val="4577140A"/>
    <w:rsid w:val="45787076"/>
    <w:rsid w:val="45787E88"/>
    <w:rsid w:val="45956992"/>
    <w:rsid w:val="459748B3"/>
    <w:rsid w:val="459F4C48"/>
    <w:rsid w:val="45A56DAF"/>
    <w:rsid w:val="45A73E29"/>
    <w:rsid w:val="45AB1378"/>
    <w:rsid w:val="45AB535D"/>
    <w:rsid w:val="45AF5B57"/>
    <w:rsid w:val="45AF7135"/>
    <w:rsid w:val="45B21E70"/>
    <w:rsid w:val="45BA7D05"/>
    <w:rsid w:val="45BB06CE"/>
    <w:rsid w:val="45C136E3"/>
    <w:rsid w:val="45C51225"/>
    <w:rsid w:val="45C517CD"/>
    <w:rsid w:val="45CA0EDC"/>
    <w:rsid w:val="45D47328"/>
    <w:rsid w:val="45E10A6C"/>
    <w:rsid w:val="45E70018"/>
    <w:rsid w:val="45EA3B0C"/>
    <w:rsid w:val="45EB1EFE"/>
    <w:rsid w:val="45F842DD"/>
    <w:rsid w:val="45FE2BCC"/>
    <w:rsid w:val="460A1CD1"/>
    <w:rsid w:val="46197391"/>
    <w:rsid w:val="46223C55"/>
    <w:rsid w:val="462430E8"/>
    <w:rsid w:val="462C33A6"/>
    <w:rsid w:val="462F5CAC"/>
    <w:rsid w:val="46405B25"/>
    <w:rsid w:val="464D3B7A"/>
    <w:rsid w:val="46537320"/>
    <w:rsid w:val="465627B6"/>
    <w:rsid w:val="465869CB"/>
    <w:rsid w:val="466310E0"/>
    <w:rsid w:val="46727A77"/>
    <w:rsid w:val="468301B1"/>
    <w:rsid w:val="46874322"/>
    <w:rsid w:val="468B5C63"/>
    <w:rsid w:val="468E2114"/>
    <w:rsid w:val="46A70AA6"/>
    <w:rsid w:val="46B218BB"/>
    <w:rsid w:val="46B63D8D"/>
    <w:rsid w:val="46B7138F"/>
    <w:rsid w:val="46BC2DE1"/>
    <w:rsid w:val="46BF3C8A"/>
    <w:rsid w:val="46BF631B"/>
    <w:rsid w:val="46C67CC4"/>
    <w:rsid w:val="46C82CA0"/>
    <w:rsid w:val="46CA0E3A"/>
    <w:rsid w:val="46CA775C"/>
    <w:rsid w:val="46CD3ADC"/>
    <w:rsid w:val="46DE19A3"/>
    <w:rsid w:val="46E744D0"/>
    <w:rsid w:val="46E80B93"/>
    <w:rsid w:val="46E879BC"/>
    <w:rsid w:val="46FA7083"/>
    <w:rsid w:val="47115479"/>
    <w:rsid w:val="471414A2"/>
    <w:rsid w:val="471A359B"/>
    <w:rsid w:val="472E4C62"/>
    <w:rsid w:val="472F2B61"/>
    <w:rsid w:val="473869F3"/>
    <w:rsid w:val="474C0202"/>
    <w:rsid w:val="476E5961"/>
    <w:rsid w:val="47703D76"/>
    <w:rsid w:val="47712463"/>
    <w:rsid w:val="478422DA"/>
    <w:rsid w:val="478B6A7D"/>
    <w:rsid w:val="478D510A"/>
    <w:rsid w:val="4792204F"/>
    <w:rsid w:val="47A80B0F"/>
    <w:rsid w:val="47B42040"/>
    <w:rsid w:val="47C6205A"/>
    <w:rsid w:val="47D206D6"/>
    <w:rsid w:val="47D42075"/>
    <w:rsid w:val="47D86DC4"/>
    <w:rsid w:val="47DC0A6B"/>
    <w:rsid w:val="47E33C9D"/>
    <w:rsid w:val="47E5030D"/>
    <w:rsid w:val="47EC0DF8"/>
    <w:rsid w:val="47F5376B"/>
    <w:rsid w:val="480B3877"/>
    <w:rsid w:val="480C3F11"/>
    <w:rsid w:val="482A6AE1"/>
    <w:rsid w:val="482C15AB"/>
    <w:rsid w:val="482C75DA"/>
    <w:rsid w:val="482F162E"/>
    <w:rsid w:val="48326261"/>
    <w:rsid w:val="483333EE"/>
    <w:rsid w:val="48416157"/>
    <w:rsid w:val="48433EBA"/>
    <w:rsid w:val="48475AAC"/>
    <w:rsid w:val="484771C2"/>
    <w:rsid w:val="484E5BA5"/>
    <w:rsid w:val="48507489"/>
    <w:rsid w:val="48535BAD"/>
    <w:rsid w:val="48623AEE"/>
    <w:rsid w:val="4863254A"/>
    <w:rsid w:val="4864286F"/>
    <w:rsid w:val="48653E0E"/>
    <w:rsid w:val="487418E6"/>
    <w:rsid w:val="487C6CF1"/>
    <w:rsid w:val="48872895"/>
    <w:rsid w:val="48970F26"/>
    <w:rsid w:val="489E311A"/>
    <w:rsid w:val="48A22338"/>
    <w:rsid w:val="48B370ED"/>
    <w:rsid w:val="48B834FB"/>
    <w:rsid w:val="48BF243C"/>
    <w:rsid w:val="48C5221B"/>
    <w:rsid w:val="48C608E4"/>
    <w:rsid w:val="48CD53A9"/>
    <w:rsid w:val="48D14B82"/>
    <w:rsid w:val="48E16540"/>
    <w:rsid w:val="48E50633"/>
    <w:rsid w:val="48E97F5D"/>
    <w:rsid w:val="48EA2A5A"/>
    <w:rsid w:val="48F70338"/>
    <w:rsid w:val="49010977"/>
    <w:rsid w:val="49111845"/>
    <w:rsid w:val="49146603"/>
    <w:rsid w:val="49196C8B"/>
    <w:rsid w:val="491F1635"/>
    <w:rsid w:val="491F164E"/>
    <w:rsid w:val="49200D4A"/>
    <w:rsid w:val="49296D45"/>
    <w:rsid w:val="492A4720"/>
    <w:rsid w:val="493320D6"/>
    <w:rsid w:val="493C28AF"/>
    <w:rsid w:val="49416A65"/>
    <w:rsid w:val="494C3B78"/>
    <w:rsid w:val="494D47E1"/>
    <w:rsid w:val="4968337F"/>
    <w:rsid w:val="496905EB"/>
    <w:rsid w:val="496B4D57"/>
    <w:rsid w:val="49754E3B"/>
    <w:rsid w:val="498D2E30"/>
    <w:rsid w:val="49900E4D"/>
    <w:rsid w:val="49A133BB"/>
    <w:rsid w:val="49A62143"/>
    <w:rsid w:val="49A63952"/>
    <w:rsid w:val="49B82FD6"/>
    <w:rsid w:val="49BF6FCB"/>
    <w:rsid w:val="49E65D48"/>
    <w:rsid w:val="49F74FF8"/>
    <w:rsid w:val="49FE71CC"/>
    <w:rsid w:val="4A030F03"/>
    <w:rsid w:val="4A041AC3"/>
    <w:rsid w:val="4A053600"/>
    <w:rsid w:val="4A127799"/>
    <w:rsid w:val="4A1B656D"/>
    <w:rsid w:val="4A2708C4"/>
    <w:rsid w:val="4A274A2C"/>
    <w:rsid w:val="4A28076E"/>
    <w:rsid w:val="4A2B438F"/>
    <w:rsid w:val="4A4022CB"/>
    <w:rsid w:val="4A416002"/>
    <w:rsid w:val="4A4243FD"/>
    <w:rsid w:val="4A48613A"/>
    <w:rsid w:val="4A53073C"/>
    <w:rsid w:val="4A5C2802"/>
    <w:rsid w:val="4A5D7687"/>
    <w:rsid w:val="4A644E4D"/>
    <w:rsid w:val="4A767B3D"/>
    <w:rsid w:val="4A79723B"/>
    <w:rsid w:val="4A896358"/>
    <w:rsid w:val="4A8E4641"/>
    <w:rsid w:val="4A943750"/>
    <w:rsid w:val="4A9E3BB3"/>
    <w:rsid w:val="4AA06216"/>
    <w:rsid w:val="4AA91ABE"/>
    <w:rsid w:val="4AA9372A"/>
    <w:rsid w:val="4AB610F1"/>
    <w:rsid w:val="4ABA06A9"/>
    <w:rsid w:val="4ABE534D"/>
    <w:rsid w:val="4AC047BC"/>
    <w:rsid w:val="4AC73BDA"/>
    <w:rsid w:val="4ACD333E"/>
    <w:rsid w:val="4AD34F25"/>
    <w:rsid w:val="4AE36631"/>
    <w:rsid w:val="4AFB3DAC"/>
    <w:rsid w:val="4AFE4E38"/>
    <w:rsid w:val="4AFE5147"/>
    <w:rsid w:val="4AFF60C3"/>
    <w:rsid w:val="4AFF7D5D"/>
    <w:rsid w:val="4B0832DC"/>
    <w:rsid w:val="4B0D50CE"/>
    <w:rsid w:val="4B1F683C"/>
    <w:rsid w:val="4B213171"/>
    <w:rsid w:val="4B233793"/>
    <w:rsid w:val="4B313C8F"/>
    <w:rsid w:val="4B37255A"/>
    <w:rsid w:val="4B374AD3"/>
    <w:rsid w:val="4B3E0BFA"/>
    <w:rsid w:val="4B402C97"/>
    <w:rsid w:val="4B417E1E"/>
    <w:rsid w:val="4B4B731E"/>
    <w:rsid w:val="4B4F523A"/>
    <w:rsid w:val="4B503E63"/>
    <w:rsid w:val="4B5C5B4A"/>
    <w:rsid w:val="4B653A51"/>
    <w:rsid w:val="4B690D14"/>
    <w:rsid w:val="4B696CCB"/>
    <w:rsid w:val="4B6D14E4"/>
    <w:rsid w:val="4B6E4EE3"/>
    <w:rsid w:val="4B7B4E72"/>
    <w:rsid w:val="4B7E1BD4"/>
    <w:rsid w:val="4B7E4ECA"/>
    <w:rsid w:val="4B83402D"/>
    <w:rsid w:val="4B871A45"/>
    <w:rsid w:val="4B90753A"/>
    <w:rsid w:val="4B95571F"/>
    <w:rsid w:val="4B972405"/>
    <w:rsid w:val="4BA36C3E"/>
    <w:rsid w:val="4BA644BB"/>
    <w:rsid w:val="4BB2008D"/>
    <w:rsid w:val="4BBE55D8"/>
    <w:rsid w:val="4BC7381F"/>
    <w:rsid w:val="4BCF2CCC"/>
    <w:rsid w:val="4BD01D15"/>
    <w:rsid w:val="4BD95724"/>
    <w:rsid w:val="4BDA2FF0"/>
    <w:rsid w:val="4BDC2D26"/>
    <w:rsid w:val="4BDE33BE"/>
    <w:rsid w:val="4BE025B3"/>
    <w:rsid w:val="4BE36AEB"/>
    <w:rsid w:val="4BEA3324"/>
    <w:rsid w:val="4BF709CD"/>
    <w:rsid w:val="4C0221BD"/>
    <w:rsid w:val="4C155785"/>
    <w:rsid w:val="4C1B7995"/>
    <w:rsid w:val="4C251E01"/>
    <w:rsid w:val="4C290F91"/>
    <w:rsid w:val="4C2C3526"/>
    <w:rsid w:val="4C2F6663"/>
    <w:rsid w:val="4C46272C"/>
    <w:rsid w:val="4C4A4361"/>
    <w:rsid w:val="4C4B6CBF"/>
    <w:rsid w:val="4C5B378A"/>
    <w:rsid w:val="4C6335D1"/>
    <w:rsid w:val="4C6A03D5"/>
    <w:rsid w:val="4C7D2F06"/>
    <w:rsid w:val="4C7E0A5E"/>
    <w:rsid w:val="4C8D21E9"/>
    <w:rsid w:val="4C924C68"/>
    <w:rsid w:val="4C935807"/>
    <w:rsid w:val="4C942073"/>
    <w:rsid w:val="4C99280F"/>
    <w:rsid w:val="4C9B5EE7"/>
    <w:rsid w:val="4CA8425D"/>
    <w:rsid w:val="4CAB5DF7"/>
    <w:rsid w:val="4CAD4FAB"/>
    <w:rsid w:val="4CAF0956"/>
    <w:rsid w:val="4CAF7561"/>
    <w:rsid w:val="4CBC0FD4"/>
    <w:rsid w:val="4CBD1610"/>
    <w:rsid w:val="4CC05936"/>
    <w:rsid w:val="4CD11CAE"/>
    <w:rsid w:val="4CD943D4"/>
    <w:rsid w:val="4CD944E5"/>
    <w:rsid w:val="4CE27700"/>
    <w:rsid w:val="4CE453FD"/>
    <w:rsid w:val="4CE85314"/>
    <w:rsid w:val="4CEC167F"/>
    <w:rsid w:val="4CF23FDB"/>
    <w:rsid w:val="4CFB3D99"/>
    <w:rsid w:val="4D0221E0"/>
    <w:rsid w:val="4D0239F3"/>
    <w:rsid w:val="4D0846BD"/>
    <w:rsid w:val="4D111FCA"/>
    <w:rsid w:val="4D2234F3"/>
    <w:rsid w:val="4D2C6166"/>
    <w:rsid w:val="4D304E5B"/>
    <w:rsid w:val="4D3217A8"/>
    <w:rsid w:val="4D3633B4"/>
    <w:rsid w:val="4D3F3075"/>
    <w:rsid w:val="4D4C34E5"/>
    <w:rsid w:val="4D5075E4"/>
    <w:rsid w:val="4D554464"/>
    <w:rsid w:val="4D5718E3"/>
    <w:rsid w:val="4D5A228E"/>
    <w:rsid w:val="4D610848"/>
    <w:rsid w:val="4D757384"/>
    <w:rsid w:val="4D7B39B6"/>
    <w:rsid w:val="4D7B638A"/>
    <w:rsid w:val="4D862070"/>
    <w:rsid w:val="4D903FFE"/>
    <w:rsid w:val="4DA26653"/>
    <w:rsid w:val="4DA425C0"/>
    <w:rsid w:val="4DA87458"/>
    <w:rsid w:val="4DAF7A0D"/>
    <w:rsid w:val="4DB44BA7"/>
    <w:rsid w:val="4DB91213"/>
    <w:rsid w:val="4DC64AF9"/>
    <w:rsid w:val="4DCF4297"/>
    <w:rsid w:val="4DD01E2D"/>
    <w:rsid w:val="4DDD67C7"/>
    <w:rsid w:val="4DE269DE"/>
    <w:rsid w:val="4E010547"/>
    <w:rsid w:val="4E016D3B"/>
    <w:rsid w:val="4E020BC9"/>
    <w:rsid w:val="4E0431E3"/>
    <w:rsid w:val="4E075434"/>
    <w:rsid w:val="4E127AD6"/>
    <w:rsid w:val="4E251F6A"/>
    <w:rsid w:val="4E281EC3"/>
    <w:rsid w:val="4E2E48B5"/>
    <w:rsid w:val="4E316E1F"/>
    <w:rsid w:val="4E325763"/>
    <w:rsid w:val="4E3E7657"/>
    <w:rsid w:val="4E4657F7"/>
    <w:rsid w:val="4E477637"/>
    <w:rsid w:val="4E501A9E"/>
    <w:rsid w:val="4E6B145B"/>
    <w:rsid w:val="4E715373"/>
    <w:rsid w:val="4E75357A"/>
    <w:rsid w:val="4E796E07"/>
    <w:rsid w:val="4E7B3B9E"/>
    <w:rsid w:val="4E7B7CFA"/>
    <w:rsid w:val="4E7E6CF4"/>
    <w:rsid w:val="4E7E780B"/>
    <w:rsid w:val="4E7F4494"/>
    <w:rsid w:val="4E82132E"/>
    <w:rsid w:val="4E8A27BB"/>
    <w:rsid w:val="4E8A2C67"/>
    <w:rsid w:val="4E8B5F43"/>
    <w:rsid w:val="4E8C5CEF"/>
    <w:rsid w:val="4E9502E8"/>
    <w:rsid w:val="4E9663FD"/>
    <w:rsid w:val="4EA3466D"/>
    <w:rsid w:val="4EA604F0"/>
    <w:rsid w:val="4EAB1F6C"/>
    <w:rsid w:val="4EAC6A7C"/>
    <w:rsid w:val="4EB30160"/>
    <w:rsid w:val="4EB52C76"/>
    <w:rsid w:val="4EB64455"/>
    <w:rsid w:val="4EB8760C"/>
    <w:rsid w:val="4EB91A55"/>
    <w:rsid w:val="4EBB128C"/>
    <w:rsid w:val="4EBD306A"/>
    <w:rsid w:val="4EBE53E4"/>
    <w:rsid w:val="4EBE55EA"/>
    <w:rsid w:val="4EBF349D"/>
    <w:rsid w:val="4EC930F0"/>
    <w:rsid w:val="4EC97930"/>
    <w:rsid w:val="4ECE1D15"/>
    <w:rsid w:val="4ED10D82"/>
    <w:rsid w:val="4EDA424E"/>
    <w:rsid w:val="4EE72FE2"/>
    <w:rsid w:val="4EEB0431"/>
    <w:rsid w:val="4EF06EA2"/>
    <w:rsid w:val="4EF263E2"/>
    <w:rsid w:val="4EF7535B"/>
    <w:rsid w:val="4F0F7FFB"/>
    <w:rsid w:val="4F1C2E14"/>
    <w:rsid w:val="4F241227"/>
    <w:rsid w:val="4F3C2082"/>
    <w:rsid w:val="4F3E1B9B"/>
    <w:rsid w:val="4F4C60FA"/>
    <w:rsid w:val="4F4E4E0F"/>
    <w:rsid w:val="4F5628EE"/>
    <w:rsid w:val="4F5A26F2"/>
    <w:rsid w:val="4F6164DE"/>
    <w:rsid w:val="4F631293"/>
    <w:rsid w:val="4F6750C0"/>
    <w:rsid w:val="4F6805A8"/>
    <w:rsid w:val="4F71442C"/>
    <w:rsid w:val="4F77086D"/>
    <w:rsid w:val="4F7E60D8"/>
    <w:rsid w:val="4F882643"/>
    <w:rsid w:val="4F887ACC"/>
    <w:rsid w:val="4F9537C1"/>
    <w:rsid w:val="4F96554B"/>
    <w:rsid w:val="4F966639"/>
    <w:rsid w:val="4F9927DF"/>
    <w:rsid w:val="4F994F8C"/>
    <w:rsid w:val="4F9A229B"/>
    <w:rsid w:val="4F9A4D63"/>
    <w:rsid w:val="4FA02771"/>
    <w:rsid w:val="4FA15A56"/>
    <w:rsid w:val="4FA26A43"/>
    <w:rsid w:val="4FA26CF5"/>
    <w:rsid w:val="4FA76CFB"/>
    <w:rsid w:val="4FC41501"/>
    <w:rsid w:val="4FC47619"/>
    <w:rsid w:val="4FCB7AE3"/>
    <w:rsid w:val="4FCE15B5"/>
    <w:rsid w:val="4FD16FCB"/>
    <w:rsid w:val="4FD86DCF"/>
    <w:rsid w:val="4FDC16CB"/>
    <w:rsid w:val="4FE66F26"/>
    <w:rsid w:val="4FFF4F8B"/>
    <w:rsid w:val="50065CF3"/>
    <w:rsid w:val="5011010A"/>
    <w:rsid w:val="50162A50"/>
    <w:rsid w:val="50175D6A"/>
    <w:rsid w:val="501C1E2F"/>
    <w:rsid w:val="50317716"/>
    <w:rsid w:val="503523C8"/>
    <w:rsid w:val="50366360"/>
    <w:rsid w:val="50385BAC"/>
    <w:rsid w:val="503C156E"/>
    <w:rsid w:val="503D66EE"/>
    <w:rsid w:val="50431DB9"/>
    <w:rsid w:val="504500A5"/>
    <w:rsid w:val="50463D38"/>
    <w:rsid w:val="50487D45"/>
    <w:rsid w:val="50500B07"/>
    <w:rsid w:val="505042B8"/>
    <w:rsid w:val="50550A9E"/>
    <w:rsid w:val="50554FEE"/>
    <w:rsid w:val="50577174"/>
    <w:rsid w:val="505822CE"/>
    <w:rsid w:val="505B3C87"/>
    <w:rsid w:val="506201AB"/>
    <w:rsid w:val="506C510F"/>
    <w:rsid w:val="50820089"/>
    <w:rsid w:val="508B4828"/>
    <w:rsid w:val="50910D5A"/>
    <w:rsid w:val="50931016"/>
    <w:rsid w:val="5093767B"/>
    <w:rsid w:val="509504DC"/>
    <w:rsid w:val="509A568D"/>
    <w:rsid w:val="509B393B"/>
    <w:rsid w:val="50B87240"/>
    <w:rsid w:val="50BA12FD"/>
    <w:rsid w:val="50BB0282"/>
    <w:rsid w:val="50C156D1"/>
    <w:rsid w:val="50C32CDA"/>
    <w:rsid w:val="50D5700B"/>
    <w:rsid w:val="50E8129A"/>
    <w:rsid w:val="50EB591B"/>
    <w:rsid w:val="50F1539F"/>
    <w:rsid w:val="50F33B00"/>
    <w:rsid w:val="50F7401B"/>
    <w:rsid w:val="51005ED1"/>
    <w:rsid w:val="51133D96"/>
    <w:rsid w:val="51143E6E"/>
    <w:rsid w:val="511B2371"/>
    <w:rsid w:val="51255B44"/>
    <w:rsid w:val="513E0339"/>
    <w:rsid w:val="513F73E4"/>
    <w:rsid w:val="5147776A"/>
    <w:rsid w:val="51495ABB"/>
    <w:rsid w:val="514C5214"/>
    <w:rsid w:val="514F4C9E"/>
    <w:rsid w:val="515551D2"/>
    <w:rsid w:val="515941D7"/>
    <w:rsid w:val="516052CE"/>
    <w:rsid w:val="51655545"/>
    <w:rsid w:val="516971FE"/>
    <w:rsid w:val="51697F94"/>
    <w:rsid w:val="517A3C0E"/>
    <w:rsid w:val="5189205F"/>
    <w:rsid w:val="518979CC"/>
    <w:rsid w:val="518A6447"/>
    <w:rsid w:val="518D02CD"/>
    <w:rsid w:val="5193035F"/>
    <w:rsid w:val="51935306"/>
    <w:rsid w:val="51996C16"/>
    <w:rsid w:val="519A01DC"/>
    <w:rsid w:val="519B4ED3"/>
    <w:rsid w:val="51A171C8"/>
    <w:rsid w:val="51AF6F05"/>
    <w:rsid w:val="51B45549"/>
    <w:rsid w:val="51C23892"/>
    <w:rsid w:val="51D06218"/>
    <w:rsid w:val="51D214A3"/>
    <w:rsid w:val="51DE342D"/>
    <w:rsid w:val="51DF0B38"/>
    <w:rsid w:val="51EF3DA2"/>
    <w:rsid w:val="51FD2B1C"/>
    <w:rsid w:val="5200056D"/>
    <w:rsid w:val="520453CA"/>
    <w:rsid w:val="52152762"/>
    <w:rsid w:val="52162F97"/>
    <w:rsid w:val="5219254C"/>
    <w:rsid w:val="52295B3C"/>
    <w:rsid w:val="522F0D4D"/>
    <w:rsid w:val="52346F06"/>
    <w:rsid w:val="523E0094"/>
    <w:rsid w:val="5241115D"/>
    <w:rsid w:val="52437A19"/>
    <w:rsid w:val="524C2B7F"/>
    <w:rsid w:val="52595E30"/>
    <w:rsid w:val="525F7AC1"/>
    <w:rsid w:val="526C167C"/>
    <w:rsid w:val="526E442A"/>
    <w:rsid w:val="5273122B"/>
    <w:rsid w:val="52844CC2"/>
    <w:rsid w:val="52872359"/>
    <w:rsid w:val="528F0107"/>
    <w:rsid w:val="529C5435"/>
    <w:rsid w:val="52A336C4"/>
    <w:rsid w:val="52AA0E44"/>
    <w:rsid w:val="52AA5F3F"/>
    <w:rsid w:val="52AC785B"/>
    <w:rsid w:val="52B258D1"/>
    <w:rsid w:val="52C90ACE"/>
    <w:rsid w:val="52CD4654"/>
    <w:rsid w:val="52DE26E9"/>
    <w:rsid w:val="52E947D8"/>
    <w:rsid w:val="52F477DD"/>
    <w:rsid w:val="52F9488A"/>
    <w:rsid w:val="5307049D"/>
    <w:rsid w:val="53174F33"/>
    <w:rsid w:val="5322283B"/>
    <w:rsid w:val="53332334"/>
    <w:rsid w:val="533C6036"/>
    <w:rsid w:val="53467AE8"/>
    <w:rsid w:val="534B7D85"/>
    <w:rsid w:val="535E23A6"/>
    <w:rsid w:val="53750DEF"/>
    <w:rsid w:val="53787CD5"/>
    <w:rsid w:val="5392461E"/>
    <w:rsid w:val="53953D6F"/>
    <w:rsid w:val="53A75C8A"/>
    <w:rsid w:val="53AC65A8"/>
    <w:rsid w:val="53B80409"/>
    <w:rsid w:val="53C615C1"/>
    <w:rsid w:val="53CA67E5"/>
    <w:rsid w:val="53D3037E"/>
    <w:rsid w:val="53D504F4"/>
    <w:rsid w:val="53E25821"/>
    <w:rsid w:val="53E54344"/>
    <w:rsid w:val="54010E04"/>
    <w:rsid w:val="541039A1"/>
    <w:rsid w:val="5415488A"/>
    <w:rsid w:val="54181E8F"/>
    <w:rsid w:val="541858A9"/>
    <w:rsid w:val="54307888"/>
    <w:rsid w:val="543518D8"/>
    <w:rsid w:val="54433E40"/>
    <w:rsid w:val="544A248C"/>
    <w:rsid w:val="544A3174"/>
    <w:rsid w:val="544D1E84"/>
    <w:rsid w:val="544D467C"/>
    <w:rsid w:val="54512B84"/>
    <w:rsid w:val="54532EC8"/>
    <w:rsid w:val="5454552F"/>
    <w:rsid w:val="545649F3"/>
    <w:rsid w:val="547C625A"/>
    <w:rsid w:val="5485515F"/>
    <w:rsid w:val="54881CC5"/>
    <w:rsid w:val="5492305F"/>
    <w:rsid w:val="549C57F3"/>
    <w:rsid w:val="54A40F48"/>
    <w:rsid w:val="54A71E23"/>
    <w:rsid w:val="54B345F3"/>
    <w:rsid w:val="54B94AEC"/>
    <w:rsid w:val="54C0092B"/>
    <w:rsid w:val="54C07171"/>
    <w:rsid w:val="54C772A3"/>
    <w:rsid w:val="54C80AE9"/>
    <w:rsid w:val="54DA79AC"/>
    <w:rsid w:val="54DB6E02"/>
    <w:rsid w:val="54EB7FE4"/>
    <w:rsid w:val="54EE1DF5"/>
    <w:rsid w:val="54FE2DCE"/>
    <w:rsid w:val="55120D38"/>
    <w:rsid w:val="55156ECA"/>
    <w:rsid w:val="55163126"/>
    <w:rsid w:val="552034BB"/>
    <w:rsid w:val="552C5D32"/>
    <w:rsid w:val="553261B8"/>
    <w:rsid w:val="553B25C1"/>
    <w:rsid w:val="553B4087"/>
    <w:rsid w:val="553E24C4"/>
    <w:rsid w:val="55447258"/>
    <w:rsid w:val="554A0161"/>
    <w:rsid w:val="555265D2"/>
    <w:rsid w:val="555A0C83"/>
    <w:rsid w:val="555F54CC"/>
    <w:rsid w:val="556121F5"/>
    <w:rsid w:val="55630D18"/>
    <w:rsid w:val="556E3137"/>
    <w:rsid w:val="557237AE"/>
    <w:rsid w:val="557B43CF"/>
    <w:rsid w:val="557C56AA"/>
    <w:rsid w:val="557F4CF9"/>
    <w:rsid w:val="55802EB9"/>
    <w:rsid w:val="5583009D"/>
    <w:rsid w:val="55985108"/>
    <w:rsid w:val="559A6552"/>
    <w:rsid w:val="559C67DA"/>
    <w:rsid w:val="559E63C4"/>
    <w:rsid w:val="55A06185"/>
    <w:rsid w:val="55AD03B6"/>
    <w:rsid w:val="55B4774F"/>
    <w:rsid w:val="55C0316E"/>
    <w:rsid w:val="55C10CEF"/>
    <w:rsid w:val="55C633EB"/>
    <w:rsid w:val="55CD1A0C"/>
    <w:rsid w:val="55F361E8"/>
    <w:rsid w:val="55F6345C"/>
    <w:rsid w:val="55FD1409"/>
    <w:rsid w:val="55FD410F"/>
    <w:rsid w:val="55FD7E27"/>
    <w:rsid w:val="56011CC9"/>
    <w:rsid w:val="56075D18"/>
    <w:rsid w:val="56111363"/>
    <w:rsid w:val="56130B60"/>
    <w:rsid w:val="561D5F9D"/>
    <w:rsid w:val="56237D59"/>
    <w:rsid w:val="56272ACF"/>
    <w:rsid w:val="562B06A5"/>
    <w:rsid w:val="56306219"/>
    <w:rsid w:val="563D6695"/>
    <w:rsid w:val="564E0DA2"/>
    <w:rsid w:val="565E2B62"/>
    <w:rsid w:val="56640714"/>
    <w:rsid w:val="56645AFB"/>
    <w:rsid w:val="5673185C"/>
    <w:rsid w:val="567B2CFF"/>
    <w:rsid w:val="567C2C63"/>
    <w:rsid w:val="56870466"/>
    <w:rsid w:val="568E421E"/>
    <w:rsid w:val="56951080"/>
    <w:rsid w:val="569B029D"/>
    <w:rsid w:val="569E49C2"/>
    <w:rsid w:val="56A06782"/>
    <w:rsid w:val="56B714EC"/>
    <w:rsid w:val="56BD7BB2"/>
    <w:rsid w:val="56BE38A3"/>
    <w:rsid w:val="56CC38D1"/>
    <w:rsid w:val="56D07339"/>
    <w:rsid w:val="56D10DD7"/>
    <w:rsid w:val="56F02EAD"/>
    <w:rsid w:val="56F444EE"/>
    <w:rsid w:val="56FD6CC8"/>
    <w:rsid w:val="57012357"/>
    <w:rsid w:val="57072403"/>
    <w:rsid w:val="570C5F76"/>
    <w:rsid w:val="571023EA"/>
    <w:rsid w:val="57255445"/>
    <w:rsid w:val="572C278C"/>
    <w:rsid w:val="5731514E"/>
    <w:rsid w:val="57315742"/>
    <w:rsid w:val="57324E39"/>
    <w:rsid w:val="573A154A"/>
    <w:rsid w:val="57410580"/>
    <w:rsid w:val="574640A5"/>
    <w:rsid w:val="574C572F"/>
    <w:rsid w:val="57533D55"/>
    <w:rsid w:val="5759101D"/>
    <w:rsid w:val="575D5708"/>
    <w:rsid w:val="575F08C2"/>
    <w:rsid w:val="57640B72"/>
    <w:rsid w:val="57672E81"/>
    <w:rsid w:val="576B7222"/>
    <w:rsid w:val="577008B9"/>
    <w:rsid w:val="57725BAB"/>
    <w:rsid w:val="57742541"/>
    <w:rsid w:val="57795C40"/>
    <w:rsid w:val="578A1E35"/>
    <w:rsid w:val="579071B0"/>
    <w:rsid w:val="5797660A"/>
    <w:rsid w:val="57981561"/>
    <w:rsid w:val="57AC4DC9"/>
    <w:rsid w:val="57AD6792"/>
    <w:rsid w:val="57B56968"/>
    <w:rsid w:val="57BE3602"/>
    <w:rsid w:val="57BE6EA9"/>
    <w:rsid w:val="57D50EDB"/>
    <w:rsid w:val="57E87804"/>
    <w:rsid w:val="57E9601D"/>
    <w:rsid w:val="57FC5BF2"/>
    <w:rsid w:val="57FD52B7"/>
    <w:rsid w:val="58062DBA"/>
    <w:rsid w:val="5826251C"/>
    <w:rsid w:val="582A4D4D"/>
    <w:rsid w:val="58362F08"/>
    <w:rsid w:val="58371AA6"/>
    <w:rsid w:val="583A482E"/>
    <w:rsid w:val="584543DB"/>
    <w:rsid w:val="584C2582"/>
    <w:rsid w:val="585E49A8"/>
    <w:rsid w:val="58715066"/>
    <w:rsid w:val="5878151B"/>
    <w:rsid w:val="58796B84"/>
    <w:rsid w:val="587A799F"/>
    <w:rsid w:val="588C3C5C"/>
    <w:rsid w:val="588C795B"/>
    <w:rsid w:val="58910F35"/>
    <w:rsid w:val="589B70BE"/>
    <w:rsid w:val="589D64FF"/>
    <w:rsid w:val="589F66DB"/>
    <w:rsid w:val="58A57E1A"/>
    <w:rsid w:val="58A933DF"/>
    <w:rsid w:val="58AA6656"/>
    <w:rsid w:val="58B3724C"/>
    <w:rsid w:val="58B85083"/>
    <w:rsid w:val="58BD0388"/>
    <w:rsid w:val="58C074BE"/>
    <w:rsid w:val="58D1252E"/>
    <w:rsid w:val="58D864B3"/>
    <w:rsid w:val="58DB0EE2"/>
    <w:rsid w:val="58ED268A"/>
    <w:rsid w:val="58ED3D65"/>
    <w:rsid w:val="58F4216F"/>
    <w:rsid w:val="58FB184C"/>
    <w:rsid w:val="58FE1654"/>
    <w:rsid w:val="59017396"/>
    <w:rsid w:val="59146E58"/>
    <w:rsid w:val="5915699E"/>
    <w:rsid w:val="592B78A5"/>
    <w:rsid w:val="59330810"/>
    <w:rsid w:val="593432C8"/>
    <w:rsid w:val="593C725C"/>
    <w:rsid w:val="593D4FFE"/>
    <w:rsid w:val="5946662D"/>
    <w:rsid w:val="594B17FC"/>
    <w:rsid w:val="596453ED"/>
    <w:rsid w:val="596779DC"/>
    <w:rsid w:val="59681542"/>
    <w:rsid w:val="59756F91"/>
    <w:rsid w:val="597854A6"/>
    <w:rsid w:val="597A4BB6"/>
    <w:rsid w:val="597D573B"/>
    <w:rsid w:val="59875994"/>
    <w:rsid w:val="59A649ED"/>
    <w:rsid w:val="59A87D5B"/>
    <w:rsid w:val="59A90A36"/>
    <w:rsid w:val="59A947AD"/>
    <w:rsid w:val="59AA2CB7"/>
    <w:rsid w:val="59AE2690"/>
    <w:rsid w:val="59B447B9"/>
    <w:rsid w:val="59BD15EE"/>
    <w:rsid w:val="59C07D8E"/>
    <w:rsid w:val="59C31D82"/>
    <w:rsid w:val="59D92E78"/>
    <w:rsid w:val="5A05610D"/>
    <w:rsid w:val="5A0A65F8"/>
    <w:rsid w:val="5A0B209B"/>
    <w:rsid w:val="5A142627"/>
    <w:rsid w:val="5A1824A5"/>
    <w:rsid w:val="5A1D1056"/>
    <w:rsid w:val="5A2927D3"/>
    <w:rsid w:val="5A2F2A8E"/>
    <w:rsid w:val="5A43335F"/>
    <w:rsid w:val="5A4E545E"/>
    <w:rsid w:val="5A5A63F6"/>
    <w:rsid w:val="5A694DD5"/>
    <w:rsid w:val="5A734FFC"/>
    <w:rsid w:val="5A744ADB"/>
    <w:rsid w:val="5A786798"/>
    <w:rsid w:val="5A8012DB"/>
    <w:rsid w:val="5A8A70AE"/>
    <w:rsid w:val="5A99119D"/>
    <w:rsid w:val="5AA14C72"/>
    <w:rsid w:val="5AA918A7"/>
    <w:rsid w:val="5AB22523"/>
    <w:rsid w:val="5AB23213"/>
    <w:rsid w:val="5AB27B3E"/>
    <w:rsid w:val="5AB81060"/>
    <w:rsid w:val="5AB81CD6"/>
    <w:rsid w:val="5AC209B2"/>
    <w:rsid w:val="5AC36F1B"/>
    <w:rsid w:val="5AC70F4B"/>
    <w:rsid w:val="5AC757EC"/>
    <w:rsid w:val="5ACA489C"/>
    <w:rsid w:val="5ACB1A15"/>
    <w:rsid w:val="5ACF6789"/>
    <w:rsid w:val="5AE23F6B"/>
    <w:rsid w:val="5AE529D3"/>
    <w:rsid w:val="5AEE2699"/>
    <w:rsid w:val="5AFC6D22"/>
    <w:rsid w:val="5B0356FF"/>
    <w:rsid w:val="5B054387"/>
    <w:rsid w:val="5B07333C"/>
    <w:rsid w:val="5B1029FE"/>
    <w:rsid w:val="5B1074E5"/>
    <w:rsid w:val="5B1138C7"/>
    <w:rsid w:val="5B123195"/>
    <w:rsid w:val="5B13111D"/>
    <w:rsid w:val="5B134DE6"/>
    <w:rsid w:val="5B1971AA"/>
    <w:rsid w:val="5B250407"/>
    <w:rsid w:val="5B2B33F6"/>
    <w:rsid w:val="5B3F14BF"/>
    <w:rsid w:val="5B451B24"/>
    <w:rsid w:val="5B4F07B2"/>
    <w:rsid w:val="5B527805"/>
    <w:rsid w:val="5B625294"/>
    <w:rsid w:val="5B670C95"/>
    <w:rsid w:val="5B810B9A"/>
    <w:rsid w:val="5B967E74"/>
    <w:rsid w:val="5B9E2878"/>
    <w:rsid w:val="5BA004D0"/>
    <w:rsid w:val="5BA07042"/>
    <w:rsid w:val="5BA10890"/>
    <w:rsid w:val="5BA25E65"/>
    <w:rsid w:val="5BAB6CC2"/>
    <w:rsid w:val="5BB33FD0"/>
    <w:rsid w:val="5BB67DF4"/>
    <w:rsid w:val="5BC05BF7"/>
    <w:rsid w:val="5BC36B8A"/>
    <w:rsid w:val="5BD26F41"/>
    <w:rsid w:val="5BDC72F2"/>
    <w:rsid w:val="5BE25702"/>
    <w:rsid w:val="5BEF0E5B"/>
    <w:rsid w:val="5BF814C1"/>
    <w:rsid w:val="5BFA14A3"/>
    <w:rsid w:val="5BFF15D7"/>
    <w:rsid w:val="5C0318DA"/>
    <w:rsid w:val="5C035208"/>
    <w:rsid w:val="5C067F68"/>
    <w:rsid w:val="5C0A234C"/>
    <w:rsid w:val="5C1474F0"/>
    <w:rsid w:val="5C2C3F5E"/>
    <w:rsid w:val="5C367157"/>
    <w:rsid w:val="5C482723"/>
    <w:rsid w:val="5C490A1E"/>
    <w:rsid w:val="5C4A7EB8"/>
    <w:rsid w:val="5C506285"/>
    <w:rsid w:val="5C56388C"/>
    <w:rsid w:val="5C6F5853"/>
    <w:rsid w:val="5C835DA4"/>
    <w:rsid w:val="5C891226"/>
    <w:rsid w:val="5C8D6481"/>
    <w:rsid w:val="5C9734BF"/>
    <w:rsid w:val="5C9A1D1A"/>
    <w:rsid w:val="5C9B74B9"/>
    <w:rsid w:val="5C9D098C"/>
    <w:rsid w:val="5CB16013"/>
    <w:rsid w:val="5CB24D5F"/>
    <w:rsid w:val="5CCF4C7D"/>
    <w:rsid w:val="5CD15622"/>
    <w:rsid w:val="5CD628EA"/>
    <w:rsid w:val="5CD865C0"/>
    <w:rsid w:val="5CE34A15"/>
    <w:rsid w:val="5CE81A32"/>
    <w:rsid w:val="5CF8053C"/>
    <w:rsid w:val="5D033B65"/>
    <w:rsid w:val="5D100AA1"/>
    <w:rsid w:val="5D266822"/>
    <w:rsid w:val="5D2A089D"/>
    <w:rsid w:val="5D2D4FC2"/>
    <w:rsid w:val="5D340EEF"/>
    <w:rsid w:val="5D3654BA"/>
    <w:rsid w:val="5D430782"/>
    <w:rsid w:val="5D460AD8"/>
    <w:rsid w:val="5D4A3572"/>
    <w:rsid w:val="5D4B34BC"/>
    <w:rsid w:val="5D4B75F0"/>
    <w:rsid w:val="5D5142A8"/>
    <w:rsid w:val="5D521D84"/>
    <w:rsid w:val="5D521F6E"/>
    <w:rsid w:val="5D551A5E"/>
    <w:rsid w:val="5D5E6E20"/>
    <w:rsid w:val="5D5E7C2E"/>
    <w:rsid w:val="5D682F2E"/>
    <w:rsid w:val="5D702C5B"/>
    <w:rsid w:val="5D7F1F8B"/>
    <w:rsid w:val="5D817B49"/>
    <w:rsid w:val="5D881E34"/>
    <w:rsid w:val="5D9026FE"/>
    <w:rsid w:val="5D9719A5"/>
    <w:rsid w:val="5DA50E56"/>
    <w:rsid w:val="5DA82F4E"/>
    <w:rsid w:val="5DAE68C5"/>
    <w:rsid w:val="5DDD4F77"/>
    <w:rsid w:val="5DE709FD"/>
    <w:rsid w:val="5DE92195"/>
    <w:rsid w:val="5DED177F"/>
    <w:rsid w:val="5DF224E6"/>
    <w:rsid w:val="5DF94088"/>
    <w:rsid w:val="5E086AD1"/>
    <w:rsid w:val="5E09337F"/>
    <w:rsid w:val="5E1244DA"/>
    <w:rsid w:val="5E1349A0"/>
    <w:rsid w:val="5E1665D7"/>
    <w:rsid w:val="5E201981"/>
    <w:rsid w:val="5E221E2A"/>
    <w:rsid w:val="5E2714CB"/>
    <w:rsid w:val="5E2E7E05"/>
    <w:rsid w:val="5E343ADF"/>
    <w:rsid w:val="5E422B1C"/>
    <w:rsid w:val="5E464238"/>
    <w:rsid w:val="5E485895"/>
    <w:rsid w:val="5E602469"/>
    <w:rsid w:val="5E681503"/>
    <w:rsid w:val="5E6B5734"/>
    <w:rsid w:val="5E774427"/>
    <w:rsid w:val="5E7A6231"/>
    <w:rsid w:val="5E7A6862"/>
    <w:rsid w:val="5E7B32EE"/>
    <w:rsid w:val="5E8A714B"/>
    <w:rsid w:val="5E8D04AB"/>
    <w:rsid w:val="5EA73D9D"/>
    <w:rsid w:val="5EAC20E2"/>
    <w:rsid w:val="5EAF5318"/>
    <w:rsid w:val="5EB01BD9"/>
    <w:rsid w:val="5EBC6446"/>
    <w:rsid w:val="5ECA47DC"/>
    <w:rsid w:val="5ECD0C03"/>
    <w:rsid w:val="5ECE1D35"/>
    <w:rsid w:val="5ECF1C0D"/>
    <w:rsid w:val="5ED209B4"/>
    <w:rsid w:val="5ED225EF"/>
    <w:rsid w:val="5EE66B82"/>
    <w:rsid w:val="5EE92259"/>
    <w:rsid w:val="5EF27623"/>
    <w:rsid w:val="5F012A97"/>
    <w:rsid w:val="5F022B25"/>
    <w:rsid w:val="5F0E7066"/>
    <w:rsid w:val="5F1260FC"/>
    <w:rsid w:val="5F1F3110"/>
    <w:rsid w:val="5F346464"/>
    <w:rsid w:val="5F5B37BC"/>
    <w:rsid w:val="5F6C50D4"/>
    <w:rsid w:val="5F6E6084"/>
    <w:rsid w:val="5F702FD4"/>
    <w:rsid w:val="5F71284F"/>
    <w:rsid w:val="5F714295"/>
    <w:rsid w:val="5F750405"/>
    <w:rsid w:val="5F772D91"/>
    <w:rsid w:val="5F775CBC"/>
    <w:rsid w:val="5F87519D"/>
    <w:rsid w:val="5F8933C4"/>
    <w:rsid w:val="5F8E5EDA"/>
    <w:rsid w:val="5FAA79F0"/>
    <w:rsid w:val="5FBE08EE"/>
    <w:rsid w:val="5FC353A5"/>
    <w:rsid w:val="5FC64024"/>
    <w:rsid w:val="5FD15386"/>
    <w:rsid w:val="5FD27172"/>
    <w:rsid w:val="5FD31FF2"/>
    <w:rsid w:val="5FD60DE8"/>
    <w:rsid w:val="5FDD65A7"/>
    <w:rsid w:val="5FE12CDB"/>
    <w:rsid w:val="5FF56CA1"/>
    <w:rsid w:val="5FFF5CB2"/>
    <w:rsid w:val="60082A68"/>
    <w:rsid w:val="600F13F8"/>
    <w:rsid w:val="6013706C"/>
    <w:rsid w:val="60161335"/>
    <w:rsid w:val="601F3E0C"/>
    <w:rsid w:val="60314805"/>
    <w:rsid w:val="603F68D1"/>
    <w:rsid w:val="60513A67"/>
    <w:rsid w:val="605F3D77"/>
    <w:rsid w:val="606320D0"/>
    <w:rsid w:val="606A3A73"/>
    <w:rsid w:val="606F3382"/>
    <w:rsid w:val="607C0C87"/>
    <w:rsid w:val="6089739F"/>
    <w:rsid w:val="60921174"/>
    <w:rsid w:val="60971848"/>
    <w:rsid w:val="60985885"/>
    <w:rsid w:val="60985EBA"/>
    <w:rsid w:val="609B08D5"/>
    <w:rsid w:val="60A40F7A"/>
    <w:rsid w:val="60A61B15"/>
    <w:rsid w:val="60AA02D8"/>
    <w:rsid w:val="60BD25C4"/>
    <w:rsid w:val="60BE62E0"/>
    <w:rsid w:val="60C12A21"/>
    <w:rsid w:val="60C35235"/>
    <w:rsid w:val="60C577BD"/>
    <w:rsid w:val="60CC1DD1"/>
    <w:rsid w:val="60CD22A0"/>
    <w:rsid w:val="60D11881"/>
    <w:rsid w:val="60D241FC"/>
    <w:rsid w:val="60D87B5B"/>
    <w:rsid w:val="60E17CC9"/>
    <w:rsid w:val="60E91358"/>
    <w:rsid w:val="60F83E92"/>
    <w:rsid w:val="60FA37F7"/>
    <w:rsid w:val="60FA4DF7"/>
    <w:rsid w:val="60FC26E1"/>
    <w:rsid w:val="60FF666C"/>
    <w:rsid w:val="61001E44"/>
    <w:rsid w:val="610139D9"/>
    <w:rsid w:val="61086054"/>
    <w:rsid w:val="610B59E0"/>
    <w:rsid w:val="6111766B"/>
    <w:rsid w:val="611B79AA"/>
    <w:rsid w:val="6127214C"/>
    <w:rsid w:val="6135573C"/>
    <w:rsid w:val="6137685C"/>
    <w:rsid w:val="6141545D"/>
    <w:rsid w:val="61427DF6"/>
    <w:rsid w:val="61506480"/>
    <w:rsid w:val="615A5895"/>
    <w:rsid w:val="615F373B"/>
    <w:rsid w:val="61605AE8"/>
    <w:rsid w:val="61690B30"/>
    <w:rsid w:val="617B4974"/>
    <w:rsid w:val="618C39FB"/>
    <w:rsid w:val="618E627A"/>
    <w:rsid w:val="619264A5"/>
    <w:rsid w:val="619656E6"/>
    <w:rsid w:val="619D3160"/>
    <w:rsid w:val="61A80C6F"/>
    <w:rsid w:val="61A80CCB"/>
    <w:rsid w:val="61AC4CA1"/>
    <w:rsid w:val="61B63475"/>
    <w:rsid w:val="61BA72CD"/>
    <w:rsid w:val="61BE3AAB"/>
    <w:rsid w:val="61C32812"/>
    <w:rsid w:val="61CB22EF"/>
    <w:rsid w:val="61CD1C24"/>
    <w:rsid w:val="61DA5A8B"/>
    <w:rsid w:val="61DE431C"/>
    <w:rsid w:val="61E672BD"/>
    <w:rsid w:val="62172E6A"/>
    <w:rsid w:val="62281C3A"/>
    <w:rsid w:val="6235591B"/>
    <w:rsid w:val="62381A99"/>
    <w:rsid w:val="62397518"/>
    <w:rsid w:val="625707AD"/>
    <w:rsid w:val="6258797B"/>
    <w:rsid w:val="626F6C1E"/>
    <w:rsid w:val="62703423"/>
    <w:rsid w:val="62774225"/>
    <w:rsid w:val="62803032"/>
    <w:rsid w:val="628166CB"/>
    <w:rsid w:val="62834DCD"/>
    <w:rsid w:val="628E7EEF"/>
    <w:rsid w:val="629054C9"/>
    <w:rsid w:val="629F3B82"/>
    <w:rsid w:val="629F45FA"/>
    <w:rsid w:val="62A35AF0"/>
    <w:rsid w:val="62B32BE1"/>
    <w:rsid w:val="62B86A67"/>
    <w:rsid w:val="62BF19C5"/>
    <w:rsid w:val="62C40DFD"/>
    <w:rsid w:val="62C74669"/>
    <w:rsid w:val="62C854A8"/>
    <w:rsid w:val="62CC505B"/>
    <w:rsid w:val="62CC6A87"/>
    <w:rsid w:val="62D80195"/>
    <w:rsid w:val="62D953FF"/>
    <w:rsid w:val="62DD677E"/>
    <w:rsid w:val="62DF0F34"/>
    <w:rsid w:val="62E42249"/>
    <w:rsid w:val="62F35928"/>
    <w:rsid w:val="62F53AC8"/>
    <w:rsid w:val="62F66152"/>
    <w:rsid w:val="62F835B8"/>
    <w:rsid w:val="62FA0015"/>
    <w:rsid w:val="62FB20C1"/>
    <w:rsid w:val="630127B9"/>
    <w:rsid w:val="631B60FE"/>
    <w:rsid w:val="631C702D"/>
    <w:rsid w:val="633622EA"/>
    <w:rsid w:val="634462F5"/>
    <w:rsid w:val="6345292E"/>
    <w:rsid w:val="634F5D18"/>
    <w:rsid w:val="63735FCC"/>
    <w:rsid w:val="637C3A4D"/>
    <w:rsid w:val="637D586B"/>
    <w:rsid w:val="638001AB"/>
    <w:rsid w:val="638C3054"/>
    <w:rsid w:val="639A3968"/>
    <w:rsid w:val="63A407A4"/>
    <w:rsid w:val="63A427B3"/>
    <w:rsid w:val="63AF4F72"/>
    <w:rsid w:val="63B14BBD"/>
    <w:rsid w:val="63B26363"/>
    <w:rsid w:val="63B3128D"/>
    <w:rsid w:val="63B63813"/>
    <w:rsid w:val="63BC5F27"/>
    <w:rsid w:val="63C11844"/>
    <w:rsid w:val="63C379EA"/>
    <w:rsid w:val="63C675AA"/>
    <w:rsid w:val="63D470A5"/>
    <w:rsid w:val="63DB26DB"/>
    <w:rsid w:val="63DB51EC"/>
    <w:rsid w:val="63DF3C15"/>
    <w:rsid w:val="63E03522"/>
    <w:rsid w:val="63E234BF"/>
    <w:rsid w:val="63E804E8"/>
    <w:rsid w:val="63F1043B"/>
    <w:rsid w:val="63F10DE4"/>
    <w:rsid w:val="6403419E"/>
    <w:rsid w:val="64055F88"/>
    <w:rsid w:val="640C5FEA"/>
    <w:rsid w:val="640C69C5"/>
    <w:rsid w:val="640F063A"/>
    <w:rsid w:val="64121C03"/>
    <w:rsid w:val="64134EC2"/>
    <w:rsid w:val="641418FC"/>
    <w:rsid w:val="64250C11"/>
    <w:rsid w:val="64281163"/>
    <w:rsid w:val="642D5735"/>
    <w:rsid w:val="643D343B"/>
    <w:rsid w:val="64435C03"/>
    <w:rsid w:val="644608AA"/>
    <w:rsid w:val="644A395C"/>
    <w:rsid w:val="644E5EC9"/>
    <w:rsid w:val="646B15C0"/>
    <w:rsid w:val="646C0CE7"/>
    <w:rsid w:val="64721E3A"/>
    <w:rsid w:val="64751D82"/>
    <w:rsid w:val="647D4FF0"/>
    <w:rsid w:val="647D69D8"/>
    <w:rsid w:val="64843B8A"/>
    <w:rsid w:val="6489214B"/>
    <w:rsid w:val="64902323"/>
    <w:rsid w:val="64980CBE"/>
    <w:rsid w:val="649E018F"/>
    <w:rsid w:val="64A30F67"/>
    <w:rsid w:val="64AA769D"/>
    <w:rsid w:val="64AD7690"/>
    <w:rsid w:val="64AE0412"/>
    <w:rsid w:val="64B52C64"/>
    <w:rsid w:val="64B91A9C"/>
    <w:rsid w:val="64C3196C"/>
    <w:rsid w:val="64C557E4"/>
    <w:rsid w:val="64D07CF0"/>
    <w:rsid w:val="64D359A9"/>
    <w:rsid w:val="64DA3EDB"/>
    <w:rsid w:val="64E02655"/>
    <w:rsid w:val="64E73F1C"/>
    <w:rsid w:val="64F15124"/>
    <w:rsid w:val="64FE3CF8"/>
    <w:rsid w:val="65001C34"/>
    <w:rsid w:val="65021DE4"/>
    <w:rsid w:val="650F0CF8"/>
    <w:rsid w:val="650F7D72"/>
    <w:rsid w:val="651C2DC8"/>
    <w:rsid w:val="651F0BE5"/>
    <w:rsid w:val="65201C97"/>
    <w:rsid w:val="65224B95"/>
    <w:rsid w:val="65287811"/>
    <w:rsid w:val="6530163A"/>
    <w:rsid w:val="65363337"/>
    <w:rsid w:val="65425F7D"/>
    <w:rsid w:val="65552F9D"/>
    <w:rsid w:val="655A3525"/>
    <w:rsid w:val="655E4082"/>
    <w:rsid w:val="655F5F04"/>
    <w:rsid w:val="6562503C"/>
    <w:rsid w:val="656367A5"/>
    <w:rsid w:val="656E16BB"/>
    <w:rsid w:val="658C236F"/>
    <w:rsid w:val="658C2596"/>
    <w:rsid w:val="65952941"/>
    <w:rsid w:val="659A7695"/>
    <w:rsid w:val="65AE0B76"/>
    <w:rsid w:val="65AF3E4D"/>
    <w:rsid w:val="65B02F06"/>
    <w:rsid w:val="65C46FED"/>
    <w:rsid w:val="65C6174B"/>
    <w:rsid w:val="65CB057A"/>
    <w:rsid w:val="65D3568B"/>
    <w:rsid w:val="65DB61EE"/>
    <w:rsid w:val="65DF44CB"/>
    <w:rsid w:val="65E31235"/>
    <w:rsid w:val="65E54300"/>
    <w:rsid w:val="65EB59C7"/>
    <w:rsid w:val="65F31A3A"/>
    <w:rsid w:val="65F536CB"/>
    <w:rsid w:val="65FF1442"/>
    <w:rsid w:val="65FF65EF"/>
    <w:rsid w:val="66063C30"/>
    <w:rsid w:val="6609547A"/>
    <w:rsid w:val="66151596"/>
    <w:rsid w:val="6632103A"/>
    <w:rsid w:val="663761A5"/>
    <w:rsid w:val="663C3592"/>
    <w:rsid w:val="664755CE"/>
    <w:rsid w:val="664D64E9"/>
    <w:rsid w:val="66583DDD"/>
    <w:rsid w:val="66584B49"/>
    <w:rsid w:val="665A5100"/>
    <w:rsid w:val="66691488"/>
    <w:rsid w:val="666D6A19"/>
    <w:rsid w:val="666D6EB8"/>
    <w:rsid w:val="66700250"/>
    <w:rsid w:val="667A78FF"/>
    <w:rsid w:val="66804D24"/>
    <w:rsid w:val="66837ACB"/>
    <w:rsid w:val="668B1DD0"/>
    <w:rsid w:val="66966BF3"/>
    <w:rsid w:val="669C7A58"/>
    <w:rsid w:val="669E4476"/>
    <w:rsid w:val="66A215BE"/>
    <w:rsid w:val="66A33088"/>
    <w:rsid w:val="66A4481D"/>
    <w:rsid w:val="66AC04A2"/>
    <w:rsid w:val="66B12C5E"/>
    <w:rsid w:val="66B56BA5"/>
    <w:rsid w:val="66B923D2"/>
    <w:rsid w:val="66BC4A33"/>
    <w:rsid w:val="66D05D1D"/>
    <w:rsid w:val="66D32F36"/>
    <w:rsid w:val="66D42F9A"/>
    <w:rsid w:val="66DF0343"/>
    <w:rsid w:val="66DF446D"/>
    <w:rsid w:val="66E257DB"/>
    <w:rsid w:val="66E5481B"/>
    <w:rsid w:val="66EB63DD"/>
    <w:rsid w:val="66F01F9C"/>
    <w:rsid w:val="66F236EC"/>
    <w:rsid w:val="66F460A8"/>
    <w:rsid w:val="67130717"/>
    <w:rsid w:val="67215B1F"/>
    <w:rsid w:val="672542EA"/>
    <w:rsid w:val="672D0DBA"/>
    <w:rsid w:val="672F1390"/>
    <w:rsid w:val="6739704A"/>
    <w:rsid w:val="6740552D"/>
    <w:rsid w:val="675768CF"/>
    <w:rsid w:val="67577AF5"/>
    <w:rsid w:val="675E6175"/>
    <w:rsid w:val="6760345F"/>
    <w:rsid w:val="67650A8B"/>
    <w:rsid w:val="67654378"/>
    <w:rsid w:val="676C641E"/>
    <w:rsid w:val="67700B74"/>
    <w:rsid w:val="67726524"/>
    <w:rsid w:val="67773160"/>
    <w:rsid w:val="678025FE"/>
    <w:rsid w:val="678150A4"/>
    <w:rsid w:val="6784790C"/>
    <w:rsid w:val="6786724A"/>
    <w:rsid w:val="67870B42"/>
    <w:rsid w:val="678C0F3F"/>
    <w:rsid w:val="678D25EB"/>
    <w:rsid w:val="67900C84"/>
    <w:rsid w:val="679D1889"/>
    <w:rsid w:val="67A60E7B"/>
    <w:rsid w:val="67B405A0"/>
    <w:rsid w:val="67B91D7B"/>
    <w:rsid w:val="67BA16C5"/>
    <w:rsid w:val="67BA1F95"/>
    <w:rsid w:val="67BF0028"/>
    <w:rsid w:val="67C21165"/>
    <w:rsid w:val="67CA2727"/>
    <w:rsid w:val="67DB7004"/>
    <w:rsid w:val="67E61BFA"/>
    <w:rsid w:val="67F11F43"/>
    <w:rsid w:val="67F26E01"/>
    <w:rsid w:val="67F35FD0"/>
    <w:rsid w:val="67FC3933"/>
    <w:rsid w:val="67FF1A15"/>
    <w:rsid w:val="680016F4"/>
    <w:rsid w:val="68161F72"/>
    <w:rsid w:val="68180FFB"/>
    <w:rsid w:val="68182104"/>
    <w:rsid w:val="681C1A93"/>
    <w:rsid w:val="681E70CE"/>
    <w:rsid w:val="6824200D"/>
    <w:rsid w:val="68262975"/>
    <w:rsid w:val="68283C8B"/>
    <w:rsid w:val="682E0C23"/>
    <w:rsid w:val="682F4516"/>
    <w:rsid w:val="683C5EF5"/>
    <w:rsid w:val="683D2D8B"/>
    <w:rsid w:val="684B5558"/>
    <w:rsid w:val="68505CC3"/>
    <w:rsid w:val="68551938"/>
    <w:rsid w:val="68552E12"/>
    <w:rsid w:val="68575742"/>
    <w:rsid w:val="685968A7"/>
    <w:rsid w:val="686314D3"/>
    <w:rsid w:val="68716D2F"/>
    <w:rsid w:val="68776BED"/>
    <w:rsid w:val="68864359"/>
    <w:rsid w:val="68953544"/>
    <w:rsid w:val="68953DD3"/>
    <w:rsid w:val="689E0D2A"/>
    <w:rsid w:val="689E1EB2"/>
    <w:rsid w:val="68A477E0"/>
    <w:rsid w:val="68A70375"/>
    <w:rsid w:val="68A81D08"/>
    <w:rsid w:val="68AD2D1B"/>
    <w:rsid w:val="68B431C9"/>
    <w:rsid w:val="68BC0078"/>
    <w:rsid w:val="68BE065F"/>
    <w:rsid w:val="68C06F5D"/>
    <w:rsid w:val="68C5276F"/>
    <w:rsid w:val="68C76717"/>
    <w:rsid w:val="68CF2DA6"/>
    <w:rsid w:val="68CF49B7"/>
    <w:rsid w:val="68D57756"/>
    <w:rsid w:val="68DB72BC"/>
    <w:rsid w:val="68DC0127"/>
    <w:rsid w:val="68DC0A4E"/>
    <w:rsid w:val="68DC1D8E"/>
    <w:rsid w:val="68E35190"/>
    <w:rsid w:val="68E431D2"/>
    <w:rsid w:val="68E853CD"/>
    <w:rsid w:val="68F2724B"/>
    <w:rsid w:val="68FC544E"/>
    <w:rsid w:val="690507DD"/>
    <w:rsid w:val="690B2D50"/>
    <w:rsid w:val="690F7D98"/>
    <w:rsid w:val="69100DC9"/>
    <w:rsid w:val="69160C0C"/>
    <w:rsid w:val="691C7664"/>
    <w:rsid w:val="691D33F7"/>
    <w:rsid w:val="691D6C0B"/>
    <w:rsid w:val="691E58C2"/>
    <w:rsid w:val="69294CB9"/>
    <w:rsid w:val="6929785F"/>
    <w:rsid w:val="692D54C0"/>
    <w:rsid w:val="692E46C5"/>
    <w:rsid w:val="693026FC"/>
    <w:rsid w:val="69312C14"/>
    <w:rsid w:val="69360638"/>
    <w:rsid w:val="69370081"/>
    <w:rsid w:val="693A1E45"/>
    <w:rsid w:val="693B4444"/>
    <w:rsid w:val="694623A8"/>
    <w:rsid w:val="69476318"/>
    <w:rsid w:val="69484391"/>
    <w:rsid w:val="69485E60"/>
    <w:rsid w:val="69490EB5"/>
    <w:rsid w:val="694F716F"/>
    <w:rsid w:val="695B263F"/>
    <w:rsid w:val="695B3F54"/>
    <w:rsid w:val="69603DB7"/>
    <w:rsid w:val="69676A9A"/>
    <w:rsid w:val="696C392D"/>
    <w:rsid w:val="696F1C3C"/>
    <w:rsid w:val="697F08B2"/>
    <w:rsid w:val="698B5207"/>
    <w:rsid w:val="69925B5F"/>
    <w:rsid w:val="699437D6"/>
    <w:rsid w:val="69A5115E"/>
    <w:rsid w:val="69BA063B"/>
    <w:rsid w:val="69BE365E"/>
    <w:rsid w:val="69CC0BAC"/>
    <w:rsid w:val="69CF2ED9"/>
    <w:rsid w:val="69DB4F65"/>
    <w:rsid w:val="69EF12C4"/>
    <w:rsid w:val="69F92941"/>
    <w:rsid w:val="69FA3BDB"/>
    <w:rsid w:val="6A037A68"/>
    <w:rsid w:val="6A047EEA"/>
    <w:rsid w:val="6A0768AC"/>
    <w:rsid w:val="6A0B757E"/>
    <w:rsid w:val="6A153030"/>
    <w:rsid w:val="6A225091"/>
    <w:rsid w:val="6A276BEB"/>
    <w:rsid w:val="6A3455DC"/>
    <w:rsid w:val="6A394797"/>
    <w:rsid w:val="6A3B1777"/>
    <w:rsid w:val="6A4807F0"/>
    <w:rsid w:val="6A4C083C"/>
    <w:rsid w:val="6A4C0CAB"/>
    <w:rsid w:val="6A55405B"/>
    <w:rsid w:val="6A5542C5"/>
    <w:rsid w:val="6A711BA2"/>
    <w:rsid w:val="6A720CB1"/>
    <w:rsid w:val="6A865F1F"/>
    <w:rsid w:val="6A9042DC"/>
    <w:rsid w:val="6A9517B9"/>
    <w:rsid w:val="6AA678AD"/>
    <w:rsid w:val="6AAB2257"/>
    <w:rsid w:val="6AAF02C9"/>
    <w:rsid w:val="6AC20EA1"/>
    <w:rsid w:val="6ACC10C7"/>
    <w:rsid w:val="6AD951EA"/>
    <w:rsid w:val="6AE307F1"/>
    <w:rsid w:val="6AEA6CC1"/>
    <w:rsid w:val="6AFE2715"/>
    <w:rsid w:val="6B044BAC"/>
    <w:rsid w:val="6B097568"/>
    <w:rsid w:val="6B0A425B"/>
    <w:rsid w:val="6B0B6DED"/>
    <w:rsid w:val="6B1B725D"/>
    <w:rsid w:val="6B2F3F07"/>
    <w:rsid w:val="6B3B08BB"/>
    <w:rsid w:val="6B5851D7"/>
    <w:rsid w:val="6B593628"/>
    <w:rsid w:val="6B5B3518"/>
    <w:rsid w:val="6B667CCE"/>
    <w:rsid w:val="6B7A3E7E"/>
    <w:rsid w:val="6B851893"/>
    <w:rsid w:val="6B9B7EF8"/>
    <w:rsid w:val="6BB2759B"/>
    <w:rsid w:val="6BB827EE"/>
    <w:rsid w:val="6BBD55BA"/>
    <w:rsid w:val="6BC07E6B"/>
    <w:rsid w:val="6BC70DD6"/>
    <w:rsid w:val="6BCA1E45"/>
    <w:rsid w:val="6BCA4077"/>
    <w:rsid w:val="6BCE004B"/>
    <w:rsid w:val="6BD541BE"/>
    <w:rsid w:val="6BD6583E"/>
    <w:rsid w:val="6BD72019"/>
    <w:rsid w:val="6BDE3641"/>
    <w:rsid w:val="6BE446D9"/>
    <w:rsid w:val="6BE80CB1"/>
    <w:rsid w:val="6BE82A2B"/>
    <w:rsid w:val="6BED2885"/>
    <w:rsid w:val="6BF04090"/>
    <w:rsid w:val="6BF54EEA"/>
    <w:rsid w:val="6BF76E7A"/>
    <w:rsid w:val="6BF905B3"/>
    <w:rsid w:val="6BFF59B7"/>
    <w:rsid w:val="6C040369"/>
    <w:rsid w:val="6C137260"/>
    <w:rsid w:val="6C140B59"/>
    <w:rsid w:val="6C1D2F01"/>
    <w:rsid w:val="6C281EFF"/>
    <w:rsid w:val="6C341C4E"/>
    <w:rsid w:val="6C3F6392"/>
    <w:rsid w:val="6C452671"/>
    <w:rsid w:val="6C485AD0"/>
    <w:rsid w:val="6C4D0789"/>
    <w:rsid w:val="6C560D53"/>
    <w:rsid w:val="6C5A760B"/>
    <w:rsid w:val="6C600868"/>
    <w:rsid w:val="6C843ACA"/>
    <w:rsid w:val="6C865790"/>
    <w:rsid w:val="6C871509"/>
    <w:rsid w:val="6C8B0487"/>
    <w:rsid w:val="6C934F73"/>
    <w:rsid w:val="6C9A4BC5"/>
    <w:rsid w:val="6C9C267E"/>
    <w:rsid w:val="6CBC0104"/>
    <w:rsid w:val="6CBE48F7"/>
    <w:rsid w:val="6CC72519"/>
    <w:rsid w:val="6CCB0AA9"/>
    <w:rsid w:val="6CCC3611"/>
    <w:rsid w:val="6CDE6054"/>
    <w:rsid w:val="6CF0307F"/>
    <w:rsid w:val="6D121DE6"/>
    <w:rsid w:val="6D161EF5"/>
    <w:rsid w:val="6D2033A3"/>
    <w:rsid w:val="6D262AD0"/>
    <w:rsid w:val="6D3E053C"/>
    <w:rsid w:val="6D47510A"/>
    <w:rsid w:val="6D512055"/>
    <w:rsid w:val="6D54588F"/>
    <w:rsid w:val="6D581348"/>
    <w:rsid w:val="6D5D5662"/>
    <w:rsid w:val="6D6F6690"/>
    <w:rsid w:val="6D724DCB"/>
    <w:rsid w:val="6D754F1D"/>
    <w:rsid w:val="6D7673BB"/>
    <w:rsid w:val="6D7971E2"/>
    <w:rsid w:val="6D7A4B39"/>
    <w:rsid w:val="6D7D608D"/>
    <w:rsid w:val="6D8065CA"/>
    <w:rsid w:val="6D83049E"/>
    <w:rsid w:val="6D897633"/>
    <w:rsid w:val="6D8A0B0A"/>
    <w:rsid w:val="6D8A12B0"/>
    <w:rsid w:val="6D921C73"/>
    <w:rsid w:val="6D9E4D5C"/>
    <w:rsid w:val="6DAF1BBF"/>
    <w:rsid w:val="6DB27BC3"/>
    <w:rsid w:val="6DBD263C"/>
    <w:rsid w:val="6DBE22CB"/>
    <w:rsid w:val="6DC1423F"/>
    <w:rsid w:val="6DCA35F1"/>
    <w:rsid w:val="6DD53A07"/>
    <w:rsid w:val="6DEF57DB"/>
    <w:rsid w:val="6DF14514"/>
    <w:rsid w:val="6DFD06A7"/>
    <w:rsid w:val="6E072901"/>
    <w:rsid w:val="6E414D7D"/>
    <w:rsid w:val="6E48212D"/>
    <w:rsid w:val="6E496B50"/>
    <w:rsid w:val="6E584201"/>
    <w:rsid w:val="6E5A77E9"/>
    <w:rsid w:val="6E647AD8"/>
    <w:rsid w:val="6E704F5D"/>
    <w:rsid w:val="6E807F2C"/>
    <w:rsid w:val="6E875C43"/>
    <w:rsid w:val="6E894A29"/>
    <w:rsid w:val="6E9334DB"/>
    <w:rsid w:val="6EA011BB"/>
    <w:rsid w:val="6EAC1B66"/>
    <w:rsid w:val="6EAF47E1"/>
    <w:rsid w:val="6EAF5EE0"/>
    <w:rsid w:val="6EB15540"/>
    <w:rsid w:val="6EBC5E0E"/>
    <w:rsid w:val="6EC16F38"/>
    <w:rsid w:val="6ECB21DA"/>
    <w:rsid w:val="6ED91F54"/>
    <w:rsid w:val="6EE70955"/>
    <w:rsid w:val="6EEE103D"/>
    <w:rsid w:val="6EEF1902"/>
    <w:rsid w:val="6EF60DD8"/>
    <w:rsid w:val="6EF77306"/>
    <w:rsid w:val="6F044601"/>
    <w:rsid w:val="6F1654F2"/>
    <w:rsid w:val="6F1B6E5A"/>
    <w:rsid w:val="6F1E2564"/>
    <w:rsid w:val="6F1E67E1"/>
    <w:rsid w:val="6F1E7237"/>
    <w:rsid w:val="6F20155B"/>
    <w:rsid w:val="6F201F41"/>
    <w:rsid w:val="6F206C88"/>
    <w:rsid w:val="6F2354F8"/>
    <w:rsid w:val="6F335027"/>
    <w:rsid w:val="6F3A55AB"/>
    <w:rsid w:val="6F431E1E"/>
    <w:rsid w:val="6F45562E"/>
    <w:rsid w:val="6F5119F7"/>
    <w:rsid w:val="6F541B76"/>
    <w:rsid w:val="6F5C0734"/>
    <w:rsid w:val="6F6832DC"/>
    <w:rsid w:val="6F7D57B0"/>
    <w:rsid w:val="6F8419A2"/>
    <w:rsid w:val="6F882B01"/>
    <w:rsid w:val="6F894306"/>
    <w:rsid w:val="6F8A28CD"/>
    <w:rsid w:val="6F8C7C34"/>
    <w:rsid w:val="6F901273"/>
    <w:rsid w:val="6F9A79CC"/>
    <w:rsid w:val="6FA20283"/>
    <w:rsid w:val="6FAC6AAE"/>
    <w:rsid w:val="6FB51D2E"/>
    <w:rsid w:val="6FB745D3"/>
    <w:rsid w:val="6FBD10EF"/>
    <w:rsid w:val="6FC4651B"/>
    <w:rsid w:val="6FCC54C9"/>
    <w:rsid w:val="6FD43FAC"/>
    <w:rsid w:val="6FDE7692"/>
    <w:rsid w:val="6FEA0792"/>
    <w:rsid w:val="6FF0135B"/>
    <w:rsid w:val="6FF1181C"/>
    <w:rsid w:val="6FFB2340"/>
    <w:rsid w:val="70062DA7"/>
    <w:rsid w:val="70063C83"/>
    <w:rsid w:val="70153975"/>
    <w:rsid w:val="701B6369"/>
    <w:rsid w:val="702A436B"/>
    <w:rsid w:val="702F174F"/>
    <w:rsid w:val="703142D0"/>
    <w:rsid w:val="70316F0F"/>
    <w:rsid w:val="70335C2F"/>
    <w:rsid w:val="7043282C"/>
    <w:rsid w:val="70486082"/>
    <w:rsid w:val="704F0D38"/>
    <w:rsid w:val="70511297"/>
    <w:rsid w:val="70527A66"/>
    <w:rsid w:val="705E1BB8"/>
    <w:rsid w:val="705E3C35"/>
    <w:rsid w:val="70630F28"/>
    <w:rsid w:val="706630B7"/>
    <w:rsid w:val="706D44FD"/>
    <w:rsid w:val="707149AA"/>
    <w:rsid w:val="70721DCD"/>
    <w:rsid w:val="707B4A25"/>
    <w:rsid w:val="707D7ADC"/>
    <w:rsid w:val="70867D86"/>
    <w:rsid w:val="708D162F"/>
    <w:rsid w:val="709A53B9"/>
    <w:rsid w:val="709B066A"/>
    <w:rsid w:val="70A750BB"/>
    <w:rsid w:val="70AE7F32"/>
    <w:rsid w:val="70B11585"/>
    <w:rsid w:val="70B14B9C"/>
    <w:rsid w:val="70B36B1B"/>
    <w:rsid w:val="70B5002E"/>
    <w:rsid w:val="70BF74C3"/>
    <w:rsid w:val="70C148B2"/>
    <w:rsid w:val="70C3313A"/>
    <w:rsid w:val="70C37A02"/>
    <w:rsid w:val="70C75E2E"/>
    <w:rsid w:val="70C8670C"/>
    <w:rsid w:val="70CD1FC8"/>
    <w:rsid w:val="70CE5958"/>
    <w:rsid w:val="70D46FAB"/>
    <w:rsid w:val="70DB2834"/>
    <w:rsid w:val="70ED2282"/>
    <w:rsid w:val="70F2224B"/>
    <w:rsid w:val="70F25D97"/>
    <w:rsid w:val="70F660EB"/>
    <w:rsid w:val="70FE623D"/>
    <w:rsid w:val="71006DDB"/>
    <w:rsid w:val="710716F5"/>
    <w:rsid w:val="710815C2"/>
    <w:rsid w:val="71110948"/>
    <w:rsid w:val="71190D19"/>
    <w:rsid w:val="71207CC5"/>
    <w:rsid w:val="713F4C68"/>
    <w:rsid w:val="71436346"/>
    <w:rsid w:val="714B7705"/>
    <w:rsid w:val="714C0D78"/>
    <w:rsid w:val="714D4F6B"/>
    <w:rsid w:val="71504C9E"/>
    <w:rsid w:val="715655B8"/>
    <w:rsid w:val="71621E68"/>
    <w:rsid w:val="71760E46"/>
    <w:rsid w:val="71790FBB"/>
    <w:rsid w:val="717928C6"/>
    <w:rsid w:val="7187023A"/>
    <w:rsid w:val="718872B2"/>
    <w:rsid w:val="718D0DE9"/>
    <w:rsid w:val="718E1AB1"/>
    <w:rsid w:val="71941EE5"/>
    <w:rsid w:val="719A3A8C"/>
    <w:rsid w:val="71A6542A"/>
    <w:rsid w:val="71AD7C63"/>
    <w:rsid w:val="71B425C5"/>
    <w:rsid w:val="71C94DBE"/>
    <w:rsid w:val="71CC45F3"/>
    <w:rsid w:val="71D40D76"/>
    <w:rsid w:val="71DD3C18"/>
    <w:rsid w:val="71E01BAE"/>
    <w:rsid w:val="71E57528"/>
    <w:rsid w:val="71EC3E7A"/>
    <w:rsid w:val="71FC3A2D"/>
    <w:rsid w:val="720749FE"/>
    <w:rsid w:val="72104AF7"/>
    <w:rsid w:val="72111FA0"/>
    <w:rsid w:val="72284E83"/>
    <w:rsid w:val="723062A6"/>
    <w:rsid w:val="723638D5"/>
    <w:rsid w:val="723A40EB"/>
    <w:rsid w:val="723C699C"/>
    <w:rsid w:val="724F2C8D"/>
    <w:rsid w:val="72581141"/>
    <w:rsid w:val="725A659B"/>
    <w:rsid w:val="72636885"/>
    <w:rsid w:val="726403FD"/>
    <w:rsid w:val="72653634"/>
    <w:rsid w:val="72745A26"/>
    <w:rsid w:val="72767A4D"/>
    <w:rsid w:val="727D65B5"/>
    <w:rsid w:val="72830443"/>
    <w:rsid w:val="729270E5"/>
    <w:rsid w:val="729C0D0B"/>
    <w:rsid w:val="729D644A"/>
    <w:rsid w:val="72AA5BC3"/>
    <w:rsid w:val="72AB0EBA"/>
    <w:rsid w:val="72B87376"/>
    <w:rsid w:val="72BD48CD"/>
    <w:rsid w:val="72C06E9A"/>
    <w:rsid w:val="72C85237"/>
    <w:rsid w:val="72CE6421"/>
    <w:rsid w:val="72D03C09"/>
    <w:rsid w:val="72D56D0C"/>
    <w:rsid w:val="72DB7219"/>
    <w:rsid w:val="72E61CE5"/>
    <w:rsid w:val="72E655E7"/>
    <w:rsid w:val="72E74FCA"/>
    <w:rsid w:val="72F90555"/>
    <w:rsid w:val="72F97723"/>
    <w:rsid w:val="730B69EF"/>
    <w:rsid w:val="730C26B9"/>
    <w:rsid w:val="73137904"/>
    <w:rsid w:val="73175AB3"/>
    <w:rsid w:val="73186F3C"/>
    <w:rsid w:val="732058B2"/>
    <w:rsid w:val="732B1009"/>
    <w:rsid w:val="732E3C5A"/>
    <w:rsid w:val="732E75F6"/>
    <w:rsid w:val="73320EEC"/>
    <w:rsid w:val="7337660E"/>
    <w:rsid w:val="734165E6"/>
    <w:rsid w:val="73465AC3"/>
    <w:rsid w:val="734A2CD9"/>
    <w:rsid w:val="734C38A2"/>
    <w:rsid w:val="734F19AD"/>
    <w:rsid w:val="735022AF"/>
    <w:rsid w:val="735D3BC0"/>
    <w:rsid w:val="736360E5"/>
    <w:rsid w:val="73670538"/>
    <w:rsid w:val="73683A7F"/>
    <w:rsid w:val="736C2290"/>
    <w:rsid w:val="737179D7"/>
    <w:rsid w:val="73741179"/>
    <w:rsid w:val="737500EB"/>
    <w:rsid w:val="737C169B"/>
    <w:rsid w:val="737D62DD"/>
    <w:rsid w:val="73800E64"/>
    <w:rsid w:val="73855125"/>
    <w:rsid w:val="73880AB5"/>
    <w:rsid w:val="738C693A"/>
    <w:rsid w:val="738F3007"/>
    <w:rsid w:val="739474A5"/>
    <w:rsid w:val="73A14B63"/>
    <w:rsid w:val="73A527C0"/>
    <w:rsid w:val="73AC2B26"/>
    <w:rsid w:val="73B44E16"/>
    <w:rsid w:val="73BB13A9"/>
    <w:rsid w:val="73BB5081"/>
    <w:rsid w:val="73BC6C29"/>
    <w:rsid w:val="73BD5419"/>
    <w:rsid w:val="73C179F6"/>
    <w:rsid w:val="73CB47C9"/>
    <w:rsid w:val="73CE23B2"/>
    <w:rsid w:val="73E311C7"/>
    <w:rsid w:val="73F57813"/>
    <w:rsid w:val="73FF4824"/>
    <w:rsid w:val="74024A7B"/>
    <w:rsid w:val="7412513A"/>
    <w:rsid w:val="74161BB3"/>
    <w:rsid w:val="74200FA2"/>
    <w:rsid w:val="742449D5"/>
    <w:rsid w:val="742449DF"/>
    <w:rsid w:val="742B37A4"/>
    <w:rsid w:val="742F4162"/>
    <w:rsid w:val="74323EFE"/>
    <w:rsid w:val="74357509"/>
    <w:rsid w:val="743D24FB"/>
    <w:rsid w:val="7441687E"/>
    <w:rsid w:val="744676B7"/>
    <w:rsid w:val="7447407D"/>
    <w:rsid w:val="74502A9F"/>
    <w:rsid w:val="7453318B"/>
    <w:rsid w:val="74582108"/>
    <w:rsid w:val="746C4EAD"/>
    <w:rsid w:val="74714F78"/>
    <w:rsid w:val="74743CAD"/>
    <w:rsid w:val="748424F9"/>
    <w:rsid w:val="74906781"/>
    <w:rsid w:val="749300AD"/>
    <w:rsid w:val="74A43F8D"/>
    <w:rsid w:val="74A62C0B"/>
    <w:rsid w:val="74A964C0"/>
    <w:rsid w:val="74B22FE7"/>
    <w:rsid w:val="74BF2E45"/>
    <w:rsid w:val="74C51C0F"/>
    <w:rsid w:val="74C80CE2"/>
    <w:rsid w:val="74CB1E71"/>
    <w:rsid w:val="74D23952"/>
    <w:rsid w:val="74D379E1"/>
    <w:rsid w:val="74D46F20"/>
    <w:rsid w:val="74D80B8C"/>
    <w:rsid w:val="74DA0D7E"/>
    <w:rsid w:val="74DA48CB"/>
    <w:rsid w:val="74F24681"/>
    <w:rsid w:val="74F26C8E"/>
    <w:rsid w:val="74F72186"/>
    <w:rsid w:val="74FF66FE"/>
    <w:rsid w:val="75046045"/>
    <w:rsid w:val="750501FF"/>
    <w:rsid w:val="75131286"/>
    <w:rsid w:val="751F5DF8"/>
    <w:rsid w:val="7525450A"/>
    <w:rsid w:val="7528096D"/>
    <w:rsid w:val="752D6D0A"/>
    <w:rsid w:val="753D3B78"/>
    <w:rsid w:val="75594F97"/>
    <w:rsid w:val="7559532B"/>
    <w:rsid w:val="756D1C2A"/>
    <w:rsid w:val="75710D84"/>
    <w:rsid w:val="75780C2D"/>
    <w:rsid w:val="757F5833"/>
    <w:rsid w:val="75B1614A"/>
    <w:rsid w:val="75B94DC9"/>
    <w:rsid w:val="75C05686"/>
    <w:rsid w:val="75C16BA8"/>
    <w:rsid w:val="75C940D9"/>
    <w:rsid w:val="75D505D7"/>
    <w:rsid w:val="75F321B3"/>
    <w:rsid w:val="75F54BC6"/>
    <w:rsid w:val="75F64425"/>
    <w:rsid w:val="75FC4537"/>
    <w:rsid w:val="75FD1A52"/>
    <w:rsid w:val="76190EB6"/>
    <w:rsid w:val="76215150"/>
    <w:rsid w:val="76294B21"/>
    <w:rsid w:val="762C4003"/>
    <w:rsid w:val="763B21BE"/>
    <w:rsid w:val="764A4A67"/>
    <w:rsid w:val="764D5571"/>
    <w:rsid w:val="7659231A"/>
    <w:rsid w:val="76593780"/>
    <w:rsid w:val="76664D00"/>
    <w:rsid w:val="766A0A75"/>
    <w:rsid w:val="766E0306"/>
    <w:rsid w:val="7677347C"/>
    <w:rsid w:val="767E1BCE"/>
    <w:rsid w:val="768D7FCF"/>
    <w:rsid w:val="769E4855"/>
    <w:rsid w:val="76A23898"/>
    <w:rsid w:val="76A3442B"/>
    <w:rsid w:val="76A47A19"/>
    <w:rsid w:val="76AD2283"/>
    <w:rsid w:val="76AF6BA5"/>
    <w:rsid w:val="76BC22A7"/>
    <w:rsid w:val="76CF3637"/>
    <w:rsid w:val="76DD6413"/>
    <w:rsid w:val="76E41C00"/>
    <w:rsid w:val="76F10BBE"/>
    <w:rsid w:val="76F14971"/>
    <w:rsid w:val="76FF574A"/>
    <w:rsid w:val="77075D76"/>
    <w:rsid w:val="77080E1A"/>
    <w:rsid w:val="770B02D0"/>
    <w:rsid w:val="770E4252"/>
    <w:rsid w:val="770F3343"/>
    <w:rsid w:val="771C566F"/>
    <w:rsid w:val="771E302F"/>
    <w:rsid w:val="771F173A"/>
    <w:rsid w:val="77230D25"/>
    <w:rsid w:val="7724725D"/>
    <w:rsid w:val="77251D37"/>
    <w:rsid w:val="77285AF2"/>
    <w:rsid w:val="77292598"/>
    <w:rsid w:val="7729470F"/>
    <w:rsid w:val="77297A64"/>
    <w:rsid w:val="77327516"/>
    <w:rsid w:val="773A35CB"/>
    <w:rsid w:val="773F5E42"/>
    <w:rsid w:val="774F3A41"/>
    <w:rsid w:val="775748F9"/>
    <w:rsid w:val="77636D90"/>
    <w:rsid w:val="776803F0"/>
    <w:rsid w:val="777A2731"/>
    <w:rsid w:val="779F4102"/>
    <w:rsid w:val="779F63A6"/>
    <w:rsid w:val="77A17922"/>
    <w:rsid w:val="77A35397"/>
    <w:rsid w:val="77AB35D9"/>
    <w:rsid w:val="77B533CE"/>
    <w:rsid w:val="77B553BF"/>
    <w:rsid w:val="77B77901"/>
    <w:rsid w:val="77CB3D69"/>
    <w:rsid w:val="77D73344"/>
    <w:rsid w:val="77DE6373"/>
    <w:rsid w:val="77E54043"/>
    <w:rsid w:val="77E92539"/>
    <w:rsid w:val="77EF3DFF"/>
    <w:rsid w:val="77F3017C"/>
    <w:rsid w:val="77FF6E33"/>
    <w:rsid w:val="782B53AC"/>
    <w:rsid w:val="78315E7C"/>
    <w:rsid w:val="783442E3"/>
    <w:rsid w:val="78352119"/>
    <w:rsid w:val="78477D7B"/>
    <w:rsid w:val="784C64F5"/>
    <w:rsid w:val="784F6AD5"/>
    <w:rsid w:val="78614503"/>
    <w:rsid w:val="7862478D"/>
    <w:rsid w:val="78675E8C"/>
    <w:rsid w:val="786B0E1B"/>
    <w:rsid w:val="786D7846"/>
    <w:rsid w:val="78722E3D"/>
    <w:rsid w:val="787D7945"/>
    <w:rsid w:val="788A57D8"/>
    <w:rsid w:val="788D1D62"/>
    <w:rsid w:val="789806E2"/>
    <w:rsid w:val="78B25D0C"/>
    <w:rsid w:val="78B9117A"/>
    <w:rsid w:val="78B97B33"/>
    <w:rsid w:val="78C01317"/>
    <w:rsid w:val="78C31829"/>
    <w:rsid w:val="78C32445"/>
    <w:rsid w:val="78C636DB"/>
    <w:rsid w:val="78CC16AF"/>
    <w:rsid w:val="78ED551A"/>
    <w:rsid w:val="78F10436"/>
    <w:rsid w:val="78F40238"/>
    <w:rsid w:val="78F87B7D"/>
    <w:rsid w:val="78FE54EF"/>
    <w:rsid w:val="78FF7BE7"/>
    <w:rsid w:val="79082DBC"/>
    <w:rsid w:val="79094107"/>
    <w:rsid w:val="79133907"/>
    <w:rsid w:val="792C6023"/>
    <w:rsid w:val="792F30BE"/>
    <w:rsid w:val="79303A6C"/>
    <w:rsid w:val="79371DDB"/>
    <w:rsid w:val="79392C09"/>
    <w:rsid w:val="7939313A"/>
    <w:rsid w:val="793F25B3"/>
    <w:rsid w:val="794B5A3B"/>
    <w:rsid w:val="794B6DF6"/>
    <w:rsid w:val="794C0F29"/>
    <w:rsid w:val="794E1584"/>
    <w:rsid w:val="79506A5C"/>
    <w:rsid w:val="79577795"/>
    <w:rsid w:val="796A1907"/>
    <w:rsid w:val="796F47D8"/>
    <w:rsid w:val="797B41A3"/>
    <w:rsid w:val="7980595E"/>
    <w:rsid w:val="79853704"/>
    <w:rsid w:val="798D3E79"/>
    <w:rsid w:val="798E231C"/>
    <w:rsid w:val="799564B5"/>
    <w:rsid w:val="79A31390"/>
    <w:rsid w:val="79AA7760"/>
    <w:rsid w:val="79AB16E0"/>
    <w:rsid w:val="79AC0B1F"/>
    <w:rsid w:val="79AE6327"/>
    <w:rsid w:val="79CE3DED"/>
    <w:rsid w:val="79CE7FD0"/>
    <w:rsid w:val="79DF7AB7"/>
    <w:rsid w:val="79E65289"/>
    <w:rsid w:val="79EA365A"/>
    <w:rsid w:val="79FF2AC1"/>
    <w:rsid w:val="7A0830BD"/>
    <w:rsid w:val="7A0A0F2B"/>
    <w:rsid w:val="7A0A293F"/>
    <w:rsid w:val="7A120C5F"/>
    <w:rsid w:val="7A17722A"/>
    <w:rsid w:val="7A184A4E"/>
    <w:rsid w:val="7A3469F4"/>
    <w:rsid w:val="7A3C16FA"/>
    <w:rsid w:val="7A450E86"/>
    <w:rsid w:val="7A472812"/>
    <w:rsid w:val="7A4F0A6B"/>
    <w:rsid w:val="7A550C24"/>
    <w:rsid w:val="7A6000D4"/>
    <w:rsid w:val="7A675C4A"/>
    <w:rsid w:val="7A6B4E3B"/>
    <w:rsid w:val="7A787B7F"/>
    <w:rsid w:val="7A7C7B9E"/>
    <w:rsid w:val="7A805F15"/>
    <w:rsid w:val="7A941BCB"/>
    <w:rsid w:val="7A972354"/>
    <w:rsid w:val="7A9E3B1A"/>
    <w:rsid w:val="7AA80CFB"/>
    <w:rsid w:val="7AAE15E0"/>
    <w:rsid w:val="7AB67DDF"/>
    <w:rsid w:val="7AB737CA"/>
    <w:rsid w:val="7AB92B86"/>
    <w:rsid w:val="7ABC7734"/>
    <w:rsid w:val="7AC71039"/>
    <w:rsid w:val="7AD11AA3"/>
    <w:rsid w:val="7AD46833"/>
    <w:rsid w:val="7AD5761C"/>
    <w:rsid w:val="7AD9106D"/>
    <w:rsid w:val="7ADC678C"/>
    <w:rsid w:val="7AE0346C"/>
    <w:rsid w:val="7AE47430"/>
    <w:rsid w:val="7AE53C44"/>
    <w:rsid w:val="7AEC63E4"/>
    <w:rsid w:val="7AEF5F53"/>
    <w:rsid w:val="7B024F0A"/>
    <w:rsid w:val="7B0F4FB9"/>
    <w:rsid w:val="7B103798"/>
    <w:rsid w:val="7B141771"/>
    <w:rsid w:val="7B143525"/>
    <w:rsid w:val="7B181B21"/>
    <w:rsid w:val="7B1E34F6"/>
    <w:rsid w:val="7B24337E"/>
    <w:rsid w:val="7B305D4C"/>
    <w:rsid w:val="7B3A6C79"/>
    <w:rsid w:val="7B503B39"/>
    <w:rsid w:val="7B5978F9"/>
    <w:rsid w:val="7B5B3E2F"/>
    <w:rsid w:val="7B5F4438"/>
    <w:rsid w:val="7B771A51"/>
    <w:rsid w:val="7B7A25E0"/>
    <w:rsid w:val="7B81138D"/>
    <w:rsid w:val="7B836CEC"/>
    <w:rsid w:val="7B872B41"/>
    <w:rsid w:val="7B897725"/>
    <w:rsid w:val="7B8A359E"/>
    <w:rsid w:val="7BB25AB1"/>
    <w:rsid w:val="7BC65BDF"/>
    <w:rsid w:val="7BD57617"/>
    <w:rsid w:val="7BDE7810"/>
    <w:rsid w:val="7BE02965"/>
    <w:rsid w:val="7C0C3FBA"/>
    <w:rsid w:val="7C0F1574"/>
    <w:rsid w:val="7C127041"/>
    <w:rsid w:val="7C18382F"/>
    <w:rsid w:val="7C215CD2"/>
    <w:rsid w:val="7C2A2EF9"/>
    <w:rsid w:val="7C3926A5"/>
    <w:rsid w:val="7C4138FE"/>
    <w:rsid w:val="7C533295"/>
    <w:rsid w:val="7C5424EB"/>
    <w:rsid w:val="7C5930E5"/>
    <w:rsid w:val="7C5C3201"/>
    <w:rsid w:val="7C6357F8"/>
    <w:rsid w:val="7C7A6994"/>
    <w:rsid w:val="7C801AC1"/>
    <w:rsid w:val="7C8264DF"/>
    <w:rsid w:val="7C8539EA"/>
    <w:rsid w:val="7C86678C"/>
    <w:rsid w:val="7C8C650A"/>
    <w:rsid w:val="7C936666"/>
    <w:rsid w:val="7C9740C2"/>
    <w:rsid w:val="7C991377"/>
    <w:rsid w:val="7C9D1A6C"/>
    <w:rsid w:val="7C9F4B1B"/>
    <w:rsid w:val="7CA339E6"/>
    <w:rsid w:val="7CAC3C1C"/>
    <w:rsid w:val="7CD04806"/>
    <w:rsid w:val="7CDC14A4"/>
    <w:rsid w:val="7CED0300"/>
    <w:rsid w:val="7CF0781C"/>
    <w:rsid w:val="7CF667B6"/>
    <w:rsid w:val="7CF912E2"/>
    <w:rsid w:val="7CF97447"/>
    <w:rsid w:val="7CFF3C4B"/>
    <w:rsid w:val="7D0A5735"/>
    <w:rsid w:val="7D0B583E"/>
    <w:rsid w:val="7D163280"/>
    <w:rsid w:val="7D164DBB"/>
    <w:rsid w:val="7D263721"/>
    <w:rsid w:val="7D2D3A06"/>
    <w:rsid w:val="7D3A100F"/>
    <w:rsid w:val="7D483EB1"/>
    <w:rsid w:val="7D576453"/>
    <w:rsid w:val="7D5B761B"/>
    <w:rsid w:val="7D5D5338"/>
    <w:rsid w:val="7D6E1389"/>
    <w:rsid w:val="7D703DC4"/>
    <w:rsid w:val="7D7F4D95"/>
    <w:rsid w:val="7D883202"/>
    <w:rsid w:val="7D8C56D1"/>
    <w:rsid w:val="7D8E7BA3"/>
    <w:rsid w:val="7D933016"/>
    <w:rsid w:val="7D9931BF"/>
    <w:rsid w:val="7D9E3D63"/>
    <w:rsid w:val="7DA3365D"/>
    <w:rsid w:val="7DA46C42"/>
    <w:rsid w:val="7DA62C80"/>
    <w:rsid w:val="7DAE6CFF"/>
    <w:rsid w:val="7DBC3267"/>
    <w:rsid w:val="7DCB0903"/>
    <w:rsid w:val="7DD13B4D"/>
    <w:rsid w:val="7DFA7D8C"/>
    <w:rsid w:val="7DFC389A"/>
    <w:rsid w:val="7E047359"/>
    <w:rsid w:val="7E0F5EDE"/>
    <w:rsid w:val="7E1C7073"/>
    <w:rsid w:val="7E1D6EC7"/>
    <w:rsid w:val="7E23679C"/>
    <w:rsid w:val="7E254B3A"/>
    <w:rsid w:val="7E265A9A"/>
    <w:rsid w:val="7E2E24E2"/>
    <w:rsid w:val="7E303E5A"/>
    <w:rsid w:val="7E353872"/>
    <w:rsid w:val="7E3F3155"/>
    <w:rsid w:val="7E4731C0"/>
    <w:rsid w:val="7E476C62"/>
    <w:rsid w:val="7E581484"/>
    <w:rsid w:val="7E6A4000"/>
    <w:rsid w:val="7E6B47E6"/>
    <w:rsid w:val="7E73049D"/>
    <w:rsid w:val="7E797E7B"/>
    <w:rsid w:val="7E7E0A80"/>
    <w:rsid w:val="7E84554B"/>
    <w:rsid w:val="7E91143C"/>
    <w:rsid w:val="7E9824E7"/>
    <w:rsid w:val="7E9F62FF"/>
    <w:rsid w:val="7EA4233B"/>
    <w:rsid w:val="7EA903F9"/>
    <w:rsid w:val="7EB50157"/>
    <w:rsid w:val="7EBA5128"/>
    <w:rsid w:val="7EBC28C5"/>
    <w:rsid w:val="7EBD70C5"/>
    <w:rsid w:val="7EDC047F"/>
    <w:rsid w:val="7EDD4C00"/>
    <w:rsid w:val="7EDF19CE"/>
    <w:rsid w:val="7EE81324"/>
    <w:rsid w:val="7EEA191C"/>
    <w:rsid w:val="7EF70D04"/>
    <w:rsid w:val="7EF94F6B"/>
    <w:rsid w:val="7EFF6290"/>
    <w:rsid w:val="7F0618DC"/>
    <w:rsid w:val="7F0C1F27"/>
    <w:rsid w:val="7F1B3A18"/>
    <w:rsid w:val="7F1B7621"/>
    <w:rsid w:val="7F242AE9"/>
    <w:rsid w:val="7F2478D7"/>
    <w:rsid w:val="7F2D4234"/>
    <w:rsid w:val="7F2F15AC"/>
    <w:rsid w:val="7F371ADF"/>
    <w:rsid w:val="7F3931E6"/>
    <w:rsid w:val="7F473AF5"/>
    <w:rsid w:val="7F4F4887"/>
    <w:rsid w:val="7F505ECE"/>
    <w:rsid w:val="7F512501"/>
    <w:rsid w:val="7F554D56"/>
    <w:rsid w:val="7F572C5E"/>
    <w:rsid w:val="7F574D74"/>
    <w:rsid w:val="7F7B6EC4"/>
    <w:rsid w:val="7F80482B"/>
    <w:rsid w:val="7F8513AE"/>
    <w:rsid w:val="7F876670"/>
    <w:rsid w:val="7F88199C"/>
    <w:rsid w:val="7F9213C1"/>
    <w:rsid w:val="7F9D0F49"/>
    <w:rsid w:val="7F9F423D"/>
    <w:rsid w:val="7FA0543F"/>
    <w:rsid w:val="7FAC51D9"/>
    <w:rsid w:val="7FCB5182"/>
    <w:rsid w:val="7FCF3FFB"/>
    <w:rsid w:val="7FCF783D"/>
    <w:rsid w:val="7FD56F18"/>
    <w:rsid w:val="7FD9470E"/>
    <w:rsid w:val="7FE164AF"/>
    <w:rsid w:val="7FE3268C"/>
    <w:rsid w:val="7FE6596A"/>
    <w:rsid w:val="7FED1E7B"/>
    <w:rsid w:val="7FEE5C1C"/>
    <w:rsid w:val="7FF346F3"/>
    <w:rsid w:val="7FF4518B"/>
    <w:rsid w:val="7FF93A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iPriority="0" w:semiHidden="0" w:name="endnote reference"/>
    <w:lsdException w:qFormat="1"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iPriority="0" w:semiHidden="0"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0" w:semiHidden="0" w:name="Body Text First Indent"/>
    <w:lsdException w:qFormat="1" w:unhideWhenUsed="0" w:uiPriority="99" w:semiHidden="0" w:name="Body Text First Indent 2"/>
    <w:lsdException w:qFormat="1" w:uiPriority="0" w:semiHidden="0"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qFormat="1" w:uiPriority="0" w:semiHidden="0" w:name="E-mail Signature"/>
    <w:lsdException w:qFormat="1" w:unhideWhenUsed="0" w:uiPriority="99" w:semiHidden="0" w:name="Normal (Web)"/>
    <w:lsdException w:qFormat="1" w:uiPriority="0" w:semiHidden="0" w:name="HTML Acronym"/>
    <w:lsdException w:qFormat="1" w:uiPriority="0" w:semiHidden="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qFormat="1" w:unhideWhenUsed="0" w:uiPriority="0" w:semiHidden="0" w:name="HTML Preformatted"/>
    <w:lsdException w:qFormat="1" w:uiPriority="0" w:semiHidden="0" w:name="HTML Sample"/>
    <w:lsdException w:qFormat="1"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19"/>
    <w:qFormat/>
    <w:uiPriority w:val="9"/>
    <w:pPr>
      <w:keepNext/>
    </w:pPr>
    <w:rPr>
      <w:rFonts w:eastAsia="黑体"/>
      <w:bCs/>
      <w:sz w:val="30"/>
      <w:szCs w:val="20"/>
    </w:rPr>
  </w:style>
  <w:style w:type="paragraph" w:styleId="4">
    <w:name w:val="heading 2"/>
    <w:basedOn w:val="1"/>
    <w:next w:val="1"/>
    <w:link w:val="120"/>
    <w:qFormat/>
    <w:uiPriority w:val="9"/>
    <w:pPr>
      <w:keepNext/>
      <w:keepLines/>
      <w:spacing w:line="360" w:lineRule="auto"/>
      <w:outlineLvl w:val="1"/>
    </w:pPr>
    <w:rPr>
      <w:rFonts w:ascii="Arial" w:hAnsi="Arial"/>
      <w:b/>
      <w:bCs/>
      <w:sz w:val="24"/>
      <w:szCs w:val="32"/>
    </w:rPr>
  </w:style>
  <w:style w:type="paragraph" w:styleId="5">
    <w:name w:val="heading 3"/>
    <w:basedOn w:val="1"/>
    <w:next w:val="1"/>
    <w:link w:val="121"/>
    <w:qFormat/>
    <w:uiPriority w:val="9"/>
    <w:pPr>
      <w:keepNext/>
      <w:keepLines/>
      <w:spacing w:before="260" w:after="260" w:line="416" w:lineRule="auto"/>
      <w:outlineLvl w:val="2"/>
    </w:pPr>
    <w:rPr>
      <w:sz w:val="32"/>
      <w:szCs w:val="32"/>
    </w:rPr>
  </w:style>
  <w:style w:type="paragraph" w:styleId="6">
    <w:name w:val="heading 4"/>
    <w:basedOn w:val="1"/>
    <w:next w:val="1"/>
    <w:link w:val="122"/>
    <w:qFormat/>
    <w:uiPriority w:val="9"/>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23"/>
    <w:qFormat/>
    <w:uiPriority w:val="9"/>
    <w:pPr>
      <w:keepNext/>
      <w:keepLines/>
      <w:adjustRightInd w:val="0"/>
      <w:spacing w:before="280" w:after="290" w:line="376" w:lineRule="atLeast"/>
      <w:jc w:val="left"/>
      <w:textAlignment w:val="baseline"/>
      <w:outlineLvl w:val="4"/>
    </w:pPr>
    <w:rPr>
      <w:b/>
      <w:bCs/>
      <w:kern w:val="0"/>
      <w:sz w:val="28"/>
      <w:szCs w:val="28"/>
    </w:rPr>
  </w:style>
  <w:style w:type="paragraph" w:styleId="8">
    <w:name w:val="heading 6"/>
    <w:basedOn w:val="1"/>
    <w:next w:val="1"/>
    <w:link w:val="124"/>
    <w:qFormat/>
    <w:uiPriority w:val="9"/>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9">
    <w:name w:val="heading 7"/>
    <w:basedOn w:val="1"/>
    <w:next w:val="1"/>
    <w:link w:val="125"/>
    <w:qFormat/>
    <w:uiPriority w:val="9"/>
    <w:pPr>
      <w:keepNext/>
      <w:keepLines/>
      <w:adjustRightInd w:val="0"/>
      <w:spacing w:before="240" w:after="64" w:line="320" w:lineRule="atLeast"/>
      <w:jc w:val="left"/>
      <w:textAlignment w:val="baseline"/>
      <w:outlineLvl w:val="6"/>
    </w:pPr>
    <w:rPr>
      <w:b/>
      <w:bCs/>
      <w:kern w:val="0"/>
      <w:sz w:val="24"/>
    </w:rPr>
  </w:style>
  <w:style w:type="paragraph" w:styleId="10">
    <w:name w:val="heading 8"/>
    <w:basedOn w:val="1"/>
    <w:next w:val="1"/>
    <w:link w:val="126"/>
    <w:qFormat/>
    <w:uiPriority w:val="9"/>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1">
    <w:name w:val="heading 9"/>
    <w:basedOn w:val="1"/>
    <w:next w:val="1"/>
    <w:link w:val="127"/>
    <w:qFormat/>
    <w:uiPriority w:val="9"/>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92">
    <w:name w:val="Default Paragraph Font"/>
    <w:unhideWhenUsed/>
    <w:qFormat/>
    <w:uiPriority w:val="1"/>
  </w:style>
  <w:style w:type="table" w:default="1" w:styleId="90">
    <w:name w:val="Normal Table"/>
    <w:semiHidden/>
    <w:unhideWhenUsed/>
    <w:qFormat/>
    <w:uiPriority w:val="99"/>
    <w:tblPr>
      <w:tblCellMar>
        <w:top w:w="0" w:type="dxa"/>
        <w:left w:w="108" w:type="dxa"/>
        <w:bottom w:w="0" w:type="dxa"/>
        <w:right w:w="108" w:type="dxa"/>
      </w:tblCellMar>
    </w:tblPr>
  </w:style>
  <w:style w:type="paragraph" w:styleId="2">
    <w:name w:val="macro"/>
    <w:link w:val="309"/>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alibri"/>
      <w:kern w:val="2"/>
      <w:sz w:val="24"/>
      <w:lang w:val="en-US" w:eastAsia="zh-CN" w:bidi="ar-SA"/>
    </w:rPr>
  </w:style>
  <w:style w:type="paragraph" w:styleId="12">
    <w:name w:val="List 3"/>
    <w:basedOn w:val="1"/>
    <w:qFormat/>
    <w:uiPriority w:val="0"/>
    <w:pPr>
      <w:widowControl/>
      <w:spacing w:line="360" w:lineRule="auto"/>
      <w:ind w:left="100" w:leftChars="400" w:hanging="200" w:hangingChars="200"/>
    </w:pPr>
    <w:rPr>
      <w:rFonts w:ascii="Arial" w:hAnsi="Arial"/>
      <w:kern w:val="0"/>
      <w:sz w:val="24"/>
      <w:szCs w:val="21"/>
    </w:rPr>
  </w:style>
  <w:style w:type="paragraph" w:styleId="13">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4">
    <w:name w:val="List Number 2"/>
    <w:basedOn w:val="1"/>
    <w:qFormat/>
    <w:uiPriority w:val="0"/>
    <w:pPr>
      <w:widowControl/>
      <w:numPr>
        <w:ilvl w:val="0"/>
        <w:numId w:val="1"/>
      </w:numPr>
      <w:tabs>
        <w:tab w:val="left" w:pos="780"/>
        <w:tab w:val="left" w:pos="1620"/>
      </w:tabs>
      <w:spacing w:line="360" w:lineRule="auto"/>
      <w:ind w:left="0" w:firstLine="0"/>
    </w:pPr>
    <w:rPr>
      <w:rFonts w:ascii="Arial" w:hAnsi="Arial"/>
      <w:kern w:val="0"/>
      <w:sz w:val="24"/>
      <w:szCs w:val="21"/>
    </w:rPr>
  </w:style>
  <w:style w:type="paragraph" w:styleId="15">
    <w:name w:val="table of authorities"/>
    <w:basedOn w:val="1"/>
    <w:next w:val="1"/>
    <w:qFormat/>
    <w:uiPriority w:val="0"/>
    <w:pPr>
      <w:widowControl/>
      <w:spacing w:line="360" w:lineRule="auto"/>
      <w:ind w:left="420" w:leftChars="200"/>
    </w:pPr>
    <w:rPr>
      <w:rFonts w:ascii="Arial" w:hAnsi="Arial"/>
      <w:kern w:val="0"/>
      <w:sz w:val="24"/>
      <w:szCs w:val="21"/>
    </w:rPr>
  </w:style>
  <w:style w:type="paragraph" w:styleId="16">
    <w:name w:val="Note Heading"/>
    <w:basedOn w:val="1"/>
    <w:next w:val="1"/>
    <w:link w:val="420"/>
    <w:unhideWhenUsed/>
    <w:qFormat/>
    <w:uiPriority w:val="0"/>
    <w:pPr>
      <w:jc w:val="center"/>
    </w:pPr>
  </w:style>
  <w:style w:type="paragraph" w:styleId="17">
    <w:name w:val="List Bullet 4"/>
    <w:basedOn w:val="1"/>
    <w:qFormat/>
    <w:uiPriority w:val="0"/>
    <w:pPr>
      <w:widowControl/>
      <w:numPr>
        <w:ilvl w:val="0"/>
        <w:numId w:val="2"/>
      </w:numPr>
      <w:tabs>
        <w:tab w:val="left" w:pos="312"/>
        <w:tab w:val="left" w:pos="1620"/>
      </w:tabs>
      <w:spacing w:line="360" w:lineRule="auto"/>
      <w:ind w:left="0" w:firstLine="0"/>
    </w:pPr>
    <w:rPr>
      <w:rFonts w:ascii="Arial" w:hAnsi="Arial"/>
      <w:kern w:val="0"/>
      <w:sz w:val="24"/>
      <w:szCs w:val="21"/>
    </w:rPr>
  </w:style>
  <w:style w:type="paragraph" w:styleId="18">
    <w:name w:val="index 8"/>
    <w:basedOn w:val="1"/>
    <w:next w:val="1"/>
    <w:qFormat/>
    <w:uiPriority w:val="0"/>
    <w:pPr>
      <w:widowControl/>
      <w:spacing w:line="360" w:lineRule="auto"/>
      <w:ind w:left="1400" w:leftChars="1400"/>
    </w:pPr>
    <w:rPr>
      <w:rFonts w:ascii="Arial" w:hAnsi="Arial"/>
      <w:kern w:val="0"/>
      <w:sz w:val="24"/>
      <w:szCs w:val="21"/>
    </w:rPr>
  </w:style>
  <w:style w:type="paragraph" w:styleId="19">
    <w:name w:val="E-mail Signature"/>
    <w:basedOn w:val="1"/>
    <w:link w:val="404"/>
    <w:unhideWhenUsed/>
    <w:qFormat/>
    <w:uiPriority w:val="0"/>
  </w:style>
  <w:style w:type="paragraph" w:styleId="20">
    <w:name w:val="List Number"/>
    <w:basedOn w:val="1"/>
    <w:qFormat/>
    <w:uiPriority w:val="0"/>
    <w:pPr>
      <w:widowControl/>
      <w:numPr>
        <w:ilvl w:val="0"/>
        <w:numId w:val="3"/>
      </w:numPr>
      <w:tabs>
        <w:tab w:val="left" w:pos="360"/>
        <w:tab w:val="left" w:pos="902"/>
      </w:tabs>
      <w:spacing w:line="360" w:lineRule="auto"/>
      <w:ind w:left="0" w:firstLine="0"/>
    </w:pPr>
    <w:rPr>
      <w:rFonts w:ascii="Arial" w:hAnsi="Arial"/>
      <w:kern w:val="0"/>
      <w:sz w:val="24"/>
      <w:szCs w:val="21"/>
    </w:rPr>
  </w:style>
  <w:style w:type="paragraph" w:styleId="21">
    <w:name w:val="Normal Indent"/>
    <w:basedOn w:val="1"/>
    <w:next w:val="22"/>
    <w:link w:val="364"/>
    <w:qFormat/>
    <w:uiPriority w:val="99"/>
    <w:pPr>
      <w:widowControl/>
      <w:ind w:firstLine="420"/>
      <w:jc w:val="left"/>
    </w:pPr>
    <w:rPr>
      <w:kern w:val="0"/>
      <w:sz w:val="20"/>
      <w:szCs w:val="20"/>
    </w:rPr>
  </w:style>
  <w:style w:type="paragraph" w:customStyle="1" w:styleId="22">
    <w:name w:val="Default"/>
    <w:basedOn w:val="23"/>
    <w:next w:val="24"/>
    <w:qFormat/>
    <w:uiPriority w:val="0"/>
    <w:pPr>
      <w:autoSpaceDE w:val="0"/>
      <w:autoSpaceDN w:val="0"/>
      <w:adjustRightInd w:val="0"/>
    </w:pPr>
    <w:rPr>
      <w:rFonts w:ascii="黑体" w:hAnsi="Times New Roman" w:eastAsia="黑体" w:cs="Times New Roman"/>
    </w:rPr>
  </w:style>
  <w:style w:type="paragraph" w:styleId="23">
    <w:name w:val="Title"/>
    <w:basedOn w:val="1"/>
    <w:next w:val="1"/>
    <w:link w:val="435"/>
    <w:qFormat/>
    <w:uiPriority w:val="10"/>
    <w:pPr>
      <w:jc w:val="center"/>
      <w:outlineLvl w:val="0"/>
    </w:pPr>
    <w:rPr>
      <w:rFonts w:asciiTheme="minorHAnsi" w:hAnsiTheme="minorHAnsi" w:eastAsiaTheme="minorEastAsia" w:cstheme="minorBidi"/>
      <w:b/>
      <w:sz w:val="32"/>
      <w:szCs w:val="22"/>
    </w:rPr>
  </w:style>
  <w:style w:type="paragraph" w:styleId="24">
    <w:name w:val="Intense Quote"/>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styleId="25">
    <w:name w:val="caption"/>
    <w:basedOn w:val="1"/>
    <w:next w:val="1"/>
    <w:link w:val="284"/>
    <w:unhideWhenUsed/>
    <w:qFormat/>
    <w:uiPriority w:val="0"/>
    <w:rPr>
      <w:rFonts w:ascii="Arial" w:hAnsi="Arial" w:eastAsia="黑体"/>
      <w:sz w:val="20"/>
    </w:rPr>
  </w:style>
  <w:style w:type="paragraph" w:styleId="26">
    <w:name w:val="index 5"/>
    <w:basedOn w:val="1"/>
    <w:next w:val="1"/>
    <w:qFormat/>
    <w:uiPriority w:val="0"/>
    <w:pPr>
      <w:widowControl/>
      <w:spacing w:line="360" w:lineRule="auto"/>
      <w:ind w:left="800" w:leftChars="800"/>
    </w:pPr>
    <w:rPr>
      <w:rFonts w:ascii="Arial" w:hAnsi="Arial"/>
      <w:kern w:val="0"/>
      <w:sz w:val="24"/>
      <w:szCs w:val="21"/>
    </w:rPr>
  </w:style>
  <w:style w:type="paragraph" w:styleId="27">
    <w:name w:val="List Bullet"/>
    <w:basedOn w:val="1"/>
    <w:qFormat/>
    <w:uiPriority w:val="0"/>
    <w:pPr>
      <w:widowControl/>
      <w:numPr>
        <w:ilvl w:val="0"/>
        <w:numId w:val="4"/>
      </w:numPr>
      <w:tabs>
        <w:tab w:val="left" w:pos="360"/>
        <w:tab w:val="left" w:pos="1200"/>
      </w:tabs>
      <w:spacing w:line="360" w:lineRule="auto"/>
      <w:ind w:left="0" w:firstLine="0"/>
    </w:pPr>
    <w:rPr>
      <w:rFonts w:ascii="Arial" w:hAnsi="Arial"/>
      <w:kern w:val="0"/>
      <w:sz w:val="24"/>
      <w:szCs w:val="21"/>
    </w:rPr>
  </w:style>
  <w:style w:type="paragraph" w:styleId="28">
    <w:name w:val="envelope address"/>
    <w:basedOn w:val="1"/>
    <w:qFormat/>
    <w:uiPriority w:val="0"/>
    <w:pPr>
      <w:framePr w:w="7920" w:h="1980" w:hRule="exact" w:hSpace="180" w:wrap="around" w:vAnchor="margin" w:hAnchor="page" w:xAlign="center" w:yAlign="bottom"/>
      <w:widowControl/>
      <w:snapToGrid w:val="0"/>
      <w:spacing w:line="360" w:lineRule="auto"/>
      <w:ind w:left="100" w:leftChars="1400"/>
    </w:pPr>
    <w:rPr>
      <w:rFonts w:ascii="Arial" w:hAnsi="Arial" w:cs="Arial"/>
      <w:kern w:val="0"/>
      <w:sz w:val="24"/>
    </w:rPr>
  </w:style>
  <w:style w:type="paragraph" w:styleId="29">
    <w:name w:val="Document Map"/>
    <w:basedOn w:val="1"/>
    <w:link w:val="421"/>
    <w:qFormat/>
    <w:uiPriority w:val="99"/>
    <w:pPr>
      <w:shd w:val="clear" w:color="auto" w:fill="000080"/>
    </w:pPr>
  </w:style>
  <w:style w:type="paragraph" w:styleId="30">
    <w:name w:val="toa heading"/>
    <w:basedOn w:val="1"/>
    <w:next w:val="1"/>
    <w:qFormat/>
    <w:uiPriority w:val="0"/>
    <w:pPr>
      <w:spacing w:before="120"/>
    </w:pPr>
    <w:rPr>
      <w:rFonts w:ascii="Arial" w:hAnsi="Arial" w:eastAsia="微软雅黑"/>
      <w:sz w:val="24"/>
      <w:szCs w:val="21"/>
    </w:rPr>
  </w:style>
  <w:style w:type="paragraph" w:styleId="31">
    <w:name w:val="annotation text"/>
    <w:basedOn w:val="1"/>
    <w:link w:val="135"/>
    <w:qFormat/>
    <w:uiPriority w:val="0"/>
    <w:pPr>
      <w:jc w:val="left"/>
    </w:pPr>
  </w:style>
  <w:style w:type="paragraph" w:styleId="32">
    <w:name w:val="index 6"/>
    <w:basedOn w:val="1"/>
    <w:next w:val="1"/>
    <w:qFormat/>
    <w:uiPriority w:val="0"/>
    <w:pPr>
      <w:widowControl/>
      <w:spacing w:line="360" w:lineRule="auto"/>
      <w:ind w:left="1000" w:leftChars="1000"/>
    </w:pPr>
    <w:rPr>
      <w:rFonts w:ascii="Arial" w:hAnsi="Arial"/>
      <w:kern w:val="0"/>
      <w:sz w:val="24"/>
      <w:szCs w:val="21"/>
    </w:rPr>
  </w:style>
  <w:style w:type="paragraph" w:styleId="33">
    <w:name w:val="Salutation"/>
    <w:basedOn w:val="1"/>
    <w:next w:val="1"/>
    <w:link w:val="423"/>
    <w:qFormat/>
    <w:uiPriority w:val="0"/>
    <w:rPr>
      <w:rFonts w:ascii="仿宋_GB2312" w:eastAsia="仿宋_GB2312"/>
      <w:sz w:val="24"/>
    </w:rPr>
  </w:style>
  <w:style w:type="paragraph" w:styleId="34">
    <w:name w:val="Body Text 3"/>
    <w:basedOn w:val="1"/>
    <w:link w:val="424"/>
    <w:unhideWhenUsed/>
    <w:qFormat/>
    <w:uiPriority w:val="0"/>
    <w:pPr>
      <w:spacing w:after="120"/>
    </w:pPr>
    <w:rPr>
      <w:sz w:val="16"/>
    </w:rPr>
  </w:style>
  <w:style w:type="paragraph" w:styleId="35">
    <w:name w:val="Closing"/>
    <w:basedOn w:val="1"/>
    <w:link w:val="413"/>
    <w:unhideWhenUsed/>
    <w:qFormat/>
    <w:uiPriority w:val="0"/>
    <w:pPr>
      <w:ind w:left="100" w:leftChars="2100"/>
    </w:pPr>
  </w:style>
  <w:style w:type="paragraph" w:styleId="36">
    <w:name w:val="List Bullet 3"/>
    <w:basedOn w:val="1"/>
    <w:qFormat/>
    <w:uiPriority w:val="0"/>
    <w:pPr>
      <w:widowControl/>
      <w:numPr>
        <w:ilvl w:val="0"/>
        <w:numId w:val="5"/>
      </w:numPr>
      <w:tabs>
        <w:tab w:val="left" w:pos="312"/>
        <w:tab w:val="left" w:pos="1200"/>
      </w:tabs>
      <w:spacing w:line="360" w:lineRule="auto"/>
      <w:ind w:left="0" w:firstLine="0"/>
    </w:pPr>
    <w:rPr>
      <w:rFonts w:ascii="Arial" w:hAnsi="Arial"/>
      <w:kern w:val="0"/>
      <w:sz w:val="24"/>
      <w:szCs w:val="21"/>
    </w:rPr>
  </w:style>
  <w:style w:type="paragraph" w:styleId="37">
    <w:name w:val="Body Text"/>
    <w:basedOn w:val="1"/>
    <w:link w:val="297"/>
    <w:qFormat/>
    <w:uiPriority w:val="0"/>
    <w:pPr>
      <w:spacing w:after="120"/>
    </w:pPr>
  </w:style>
  <w:style w:type="paragraph" w:styleId="38">
    <w:name w:val="Body Text Indent"/>
    <w:basedOn w:val="1"/>
    <w:next w:val="1"/>
    <w:link w:val="417"/>
    <w:qFormat/>
    <w:uiPriority w:val="99"/>
    <w:pPr>
      <w:spacing w:after="120"/>
      <w:ind w:left="420" w:leftChars="200"/>
    </w:pPr>
  </w:style>
  <w:style w:type="paragraph" w:styleId="39">
    <w:name w:val="List Number 3"/>
    <w:basedOn w:val="1"/>
    <w:qFormat/>
    <w:uiPriority w:val="0"/>
    <w:pPr>
      <w:widowControl/>
      <w:numPr>
        <w:ilvl w:val="0"/>
        <w:numId w:val="6"/>
      </w:numPr>
      <w:tabs>
        <w:tab w:val="left" w:pos="1200"/>
        <w:tab w:val="left" w:pos="1620"/>
      </w:tabs>
      <w:spacing w:line="360" w:lineRule="auto"/>
      <w:ind w:left="0" w:firstLine="0"/>
    </w:pPr>
    <w:rPr>
      <w:rFonts w:ascii="Arial" w:hAnsi="Arial"/>
      <w:kern w:val="0"/>
      <w:sz w:val="24"/>
      <w:szCs w:val="21"/>
    </w:rPr>
  </w:style>
  <w:style w:type="paragraph" w:styleId="40">
    <w:name w:val="List 2"/>
    <w:basedOn w:val="1"/>
    <w:qFormat/>
    <w:uiPriority w:val="0"/>
    <w:pPr>
      <w:widowControl/>
      <w:spacing w:line="360" w:lineRule="auto"/>
      <w:ind w:left="100" w:leftChars="200" w:hanging="200" w:hangingChars="200"/>
    </w:pPr>
    <w:rPr>
      <w:rFonts w:ascii="Arial" w:hAnsi="Arial"/>
      <w:kern w:val="0"/>
      <w:sz w:val="24"/>
      <w:szCs w:val="21"/>
    </w:rPr>
  </w:style>
  <w:style w:type="paragraph" w:styleId="41">
    <w:name w:val="List Continue"/>
    <w:basedOn w:val="1"/>
    <w:qFormat/>
    <w:uiPriority w:val="0"/>
    <w:pPr>
      <w:widowControl/>
      <w:spacing w:after="120" w:line="360" w:lineRule="auto"/>
      <w:ind w:left="420" w:leftChars="200"/>
    </w:pPr>
    <w:rPr>
      <w:rFonts w:ascii="Arial" w:hAnsi="Arial"/>
      <w:kern w:val="0"/>
      <w:sz w:val="24"/>
      <w:szCs w:val="21"/>
    </w:rPr>
  </w:style>
  <w:style w:type="paragraph" w:styleId="42">
    <w:name w:val="Block Text"/>
    <w:basedOn w:val="1"/>
    <w:qFormat/>
    <w:uiPriority w:val="0"/>
    <w:pPr>
      <w:ind w:left="1171" w:right="91" w:hanging="1080"/>
    </w:pPr>
    <w:rPr>
      <w:rFonts w:eastAsia="楷体_GB2312"/>
      <w:szCs w:val="20"/>
    </w:rPr>
  </w:style>
  <w:style w:type="paragraph" w:styleId="43">
    <w:name w:val="List Bullet 2"/>
    <w:basedOn w:val="1"/>
    <w:qFormat/>
    <w:uiPriority w:val="0"/>
    <w:pPr>
      <w:widowControl/>
      <w:spacing w:line="360" w:lineRule="auto"/>
    </w:pPr>
    <w:rPr>
      <w:rFonts w:ascii="Arial" w:hAnsi="Arial"/>
      <w:kern w:val="0"/>
      <w:sz w:val="24"/>
      <w:szCs w:val="21"/>
    </w:rPr>
  </w:style>
  <w:style w:type="paragraph" w:styleId="44">
    <w:name w:val="HTML Address"/>
    <w:basedOn w:val="1"/>
    <w:link w:val="274"/>
    <w:unhideWhenUsed/>
    <w:qFormat/>
    <w:uiPriority w:val="0"/>
    <w:rPr>
      <w:i/>
    </w:rPr>
  </w:style>
  <w:style w:type="paragraph" w:styleId="45">
    <w:name w:val="index 4"/>
    <w:basedOn w:val="1"/>
    <w:next w:val="1"/>
    <w:qFormat/>
    <w:uiPriority w:val="0"/>
    <w:pPr>
      <w:widowControl/>
      <w:spacing w:line="360" w:lineRule="auto"/>
      <w:ind w:left="600" w:leftChars="600"/>
    </w:pPr>
    <w:rPr>
      <w:rFonts w:ascii="Arial" w:hAnsi="Arial"/>
      <w:kern w:val="0"/>
      <w:sz w:val="24"/>
      <w:szCs w:val="21"/>
    </w:rPr>
  </w:style>
  <w:style w:type="paragraph" w:styleId="46">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47">
    <w:name w:val="toc 3"/>
    <w:basedOn w:val="1"/>
    <w:next w:val="1"/>
    <w:unhideWhenUsed/>
    <w:qFormat/>
    <w:uiPriority w:val="39"/>
    <w:pPr>
      <w:adjustRightInd w:val="0"/>
      <w:snapToGrid w:val="0"/>
      <w:spacing w:line="360" w:lineRule="auto"/>
      <w:ind w:left="400" w:leftChars="400"/>
    </w:pPr>
    <w:rPr>
      <w:rFonts w:eastAsiaTheme="minorEastAsia"/>
      <w:b/>
    </w:rPr>
  </w:style>
  <w:style w:type="paragraph" w:styleId="48">
    <w:name w:val="Plain Text"/>
    <w:basedOn w:val="1"/>
    <w:link w:val="134"/>
    <w:qFormat/>
    <w:uiPriority w:val="0"/>
    <w:rPr>
      <w:rFonts w:ascii="宋体" w:hAnsi="Courier New" w:cs="Courier New"/>
      <w:szCs w:val="21"/>
    </w:rPr>
  </w:style>
  <w:style w:type="paragraph" w:styleId="49">
    <w:name w:val="List Bullet 5"/>
    <w:basedOn w:val="1"/>
    <w:qFormat/>
    <w:uiPriority w:val="0"/>
    <w:pPr>
      <w:widowControl/>
      <w:numPr>
        <w:ilvl w:val="0"/>
        <w:numId w:val="7"/>
      </w:numPr>
      <w:tabs>
        <w:tab w:val="left" w:pos="2040"/>
      </w:tabs>
      <w:spacing w:line="360" w:lineRule="auto"/>
      <w:ind w:left="0" w:firstLine="0"/>
    </w:pPr>
    <w:rPr>
      <w:rFonts w:ascii="Arial" w:hAnsi="Arial"/>
      <w:kern w:val="0"/>
      <w:sz w:val="24"/>
      <w:szCs w:val="21"/>
    </w:rPr>
  </w:style>
  <w:style w:type="paragraph" w:styleId="50">
    <w:name w:val="List Number 4"/>
    <w:basedOn w:val="1"/>
    <w:qFormat/>
    <w:uiPriority w:val="0"/>
    <w:pPr>
      <w:widowControl/>
      <w:numPr>
        <w:ilvl w:val="0"/>
        <w:numId w:val="8"/>
      </w:numPr>
      <w:tabs>
        <w:tab w:val="left" w:pos="1620"/>
      </w:tabs>
      <w:spacing w:line="360" w:lineRule="auto"/>
      <w:ind w:left="0" w:firstLine="0"/>
    </w:pPr>
    <w:rPr>
      <w:rFonts w:ascii="Arial" w:hAnsi="Arial"/>
      <w:kern w:val="0"/>
      <w:sz w:val="24"/>
      <w:szCs w:val="21"/>
    </w:rPr>
  </w:style>
  <w:style w:type="paragraph" w:styleId="51">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52">
    <w:name w:val="index 3"/>
    <w:basedOn w:val="1"/>
    <w:next w:val="1"/>
    <w:qFormat/>
    <w:uiPriority w:val="0"/>
    <w:pPr>
      <w:widowControl/>
      <w:spacing w:line="360" w:lineRule="auto"/>
      <w:ind w:left="400" w:leftChars="400"/>
    </w:pPr>
    <w:rPr>
      <w:rFonts w:ascii="Arial" w:hAnsi="Arial"/>
      <w:kern w:val="0"/>
      <w:sz w:val="24"/>
      <w:szCs w:val="21"/>
    </w:rPr>
  </w:style>
  <w:style w:type="paragraph" w:styleId="53">
    <w:name w:val="Date"/>
    <w:basedOn w:val="1"/>
    <w:next w:val="1"/>
    <w:link w:val="427"/>
    <w:qFormat/>
    <w:uiPriority w:val="0"/>
    <w:rPr>
      <w:sz w:val="24"/>
      <w:szCs w:val="20"/>
    </w:rPr>
  </w:style>
  <w:style w:type="paragraph" w:styleId="54">
    <w:name w:val="Body Text Indent 2"/>
    <w:basedOn w:val="1"/>
    <w:link w:val="428"/>
    <w:qFormat/>
    <w:uiPriority w:val="0"/>
    <w:pPr>
      <w:spacing w:after="120" w:line="480" w:lineRule="auto"/>
      <w:ind w:left="420" w:leftChars="200"/>
    </w:pPr>
  </w:style>
  <w:style w:type="paragraph" w:styleId="55">
    <w:name w:val="endnote text"/>
    <w:basedOn w:val="1"/>
    <w:link w:val="429"/>
    <w:unhideWhenUsed/>
    <w:qFormat/>
    <w:uiPriority w:val="0"/>
    <w:pPr>
      <w:snapToGrid w:val="0"/>
      <w:jc w:val="left"/>
    </w:pPr>
  </w:style>
  <w:style w:type="paragraph" w:styleId="56">
    <w:name w:val="List Continue 5"/>
    <w:basedOn w:val="1"/>
    <w:qFormat/>
    <w:uiPriority w:val="0"/>
    <w:pPr>
      <w:widowControl/>
      <w:spacing w:after="120" w:line="360" w:lineRule="auto"/>
      <w:ind w:left="2100" w:leftChars="1000"/>
    </w:pPr>
    <w:rPr>
      <w:rFonts w:ascii="Arial" w:hAnsi="Arial"/>
      <w:kern w:val="0"/>
      <w:sz w:val="24"/>
      <w:szCs w:val="21"/>
    </w:rPr>
  </w:style>
  <w:style w:type="paragraph" w:styleId="57">
    <w:name w:val="Balloon Text"/>
    <w:basedOn w:val="1"/>
    <w:link w:val="157"/>
    <w:qFormat/>
    <w:uiPriority w:val="0"/>
    <w:rPr>
      <w:sz w:val="18"/>
      <w:szCs w:val="18"/>
    </w:rPr>
  </w:style>
  <w:style w:type="paragraph" w:styleId="58">
    <w:name w:val="footer"/>
    <w:basedOn w:val="1"/>
    <w:link w:val="365"/>
    <w:qFormat/>
    <w:uiPriority w:val="99"/>
    <w:pPr>
      <w:tabs>
        <w:tab w:val="center" w:pos="4153"/>
        <w:tab w:val="right" w:pos="8306"/>
      </w:tabs>
      <w:snapToGrid w:val="0"/>
      <w:jc w:val="left"/>
    </w:pPr>
    <w:rPr>
      <w:sz w:val="18"/>
      <w:szCs w:val="18"/>
    </w:rPr>
  </w:style>
  <w:style w:type="paragraph" w:styleId="59">
    <w:name w:val="envelope return"/>
    <w:basedOn w:val="1"/>
    <w:qFormat/>
    <w:uiPriority w:val="0"/>
    <w:pPr>
      <w:snapToGrid w:val="0"/>
    </w:pPr>
    <w:rPr>
      <w:rFonts w:ascii="Arial" w:hAnsi="Arial" w:cs="Arial"/>
    </w:rPr>
  </w:style>
  <w:style w:type="paragraph" w:styleId="60">
    <w:name w:val="header"/>
    <w:basedOn w:val="1"/>
    <w:link w:val="258"/>
    <w:qFormat/>
    <w:uiPriority w:val="99"/>
    <w:pPr>
      <w:pBdr>
        <w:bottom w:val="single" w:color="auto" w:sz="6" w:space="1"/>
      </w:pBdr>
      <w:tabs>
        <w:tab w:val="center" w:pos="4153"/>
        <w:tab w:val="right" w:pos="8306"/>
      </w:tabs>
      <w:snapToGrid w:val="0"/>
      <w:jc w:val="center"/>
    </w:pPr>
    <w:rPr>
      <w:sz w:val="18"/>
      <w:szCs w:val="18"/>
    </w:rPr>
  </w:style>
  <w:style w:type="paragraph" w:styleId="61">
    <w:name w:val="Signature"/>
    <w:basedOn w:val="1"/>
    <w:link w:val="431"/>
    <w:unhideWhenUsed/>
    <w:qFormat/>
    <w:uiPriority w:val="0"/>
    <w:pPr>
      <w:ind w:left="100" w:leftChars="2100"/>
    </w:pPr>
  </w:style>
  <w:style w:type="paragraph" w:styleId="62">
    <w:name w:val="toc 1"/>
    <w:basedOn w:val="1"/>
    <w:next w:val="1"/>
    <w:qFormat/>
    <w:uiPriority w:val="39"/>
    <w:pPr>
      <w:spacing w:line="360" w:lineRule="auto"/>
    </w:pPr>
    <w:rPr>
      <w:rFonts w:asciiTheme="minorEastAsia" w:hAnsiTheme="minorEastAsia" w:eastAsiaTheme="minorEastAsia"/>
      <w:b/>
      <w:sz w:val="24"/>
      <w:szCs w:val="21"/>
    </w:rPr>
  </w:style>
  <w:style w:type="paragraph" w:styleId="63">
    <w:name w:val="List Continue 4"/>
    <w:basedOn w:val="1"/>
    <w:qFormat/>
    <w:uiPriority w:val="0"/>
    <w:pPr>
      <w:widowControl/>
      <w:spacing w:after="120" w:line="360" w:lineRule="auto"/>
      <w:ind w:left="1680" w:leftChars="800"/>
    </w:pPr>
    <w:rPr>
      <w:rFonts w:ascii="Arial" w:hAnsi="Arial"/>
      <w:kern w:val="0"/>
      <w:sz w:val="24"/>
      <w:szCs w:val="21"/>
    </w:rPr>
  </w:style>
  <w:style w:type="paragraph" w:styleId="64">
    <w:name w:val="toc 4"/>
    <w:basedOn w:val="1"/>
    <w:next w:val="1"/>
    <w:unhideWhenUsed/>
    <w:qFormat/>
    <w:uiPriority w:val="39"/>
    <w:pPr>
      <w:adjustRightInd w:val="0"/>
      <w:snapToGrid w:val="0"/>
      <w:spacing w:line="360" w:lineRule="auto"/>
      <w:ind w:left="600" w:leftChars="600"/>
    </w:pPr>
    <w:rPr>
      <w:rFonts w:asciiTheme="minorHAnsi" w:hAnsiTheme="minorHAnsi" w:eastAsiaTheme="minorEastAsia" w:cstheme="minorBidi"/>
      <w:b/>
      <w:szCs w:val="22"/>
    </w:rPr>
  </w:style>
  <w:style w:type="paragraph" w:styleId="65">
    <w:name w:val="index heading"/>
    <w:basedOn w:val="1"/>
    <w:next w:val="66"/>
    <w:qFormat/>
    <w:uiPriority w:val="0"/>
    <w:pPr>
      <w:widowControl/>
      <w:spacing w:line="360" w:lineRule="auto"/>
    </w:pPr>
    <w:rPr>
      <w:rFonts w:ascii="Arial" w:hAnsi="Arial" w:cs="Arial"/>
      <w:b/>
      <w:bCs/>
      <w:kern w:val="0"/>
      <w:sz w:val="24"/>
      <w:szCs w:val="21"/>
    </w:rPr>
  </w:style>
  <w:style w:type="paragraph" w:styleId="66">
    <w:name w:val="index 1"/>
    <w:basedOn w:val="1"/>
    <w:next w:val="1"/>
    <w:qFormat/>
    <w:uiPriority w:val="0"/>
    <w:pPr>
      <w:spacing w:line="220" w:lineRule="exact"/>
      <w:jc w:val="center"/>
    </w:pPr>
    <w:rPr>
      <w:rFonts w:ascii="仿宋_GB2312" w:eastAsia="仿宋_GB2312"/>
      <w:szCs w:val="20"/>
    </w:rPr>
  </w:style>
  <w:style w:type="paragraph" w:styleId="67">
    <w:name w:val="Subtitle"/>
    <w:basedOn w:val="1"/>
    <w:link w:val="399"/>
    <w:qFormat/>
    <w:uiPriority w:val="0"/>
    <w:pPr>
      <w:spacing w:before="240" w:after="60" w:line="312" w:lineRule="auto"/>
      <w:jc w:val="center"/>
      <w:outlineLvl w:val="1"/>
    </w:pPr>
    <w:rPr>
      <w:rFonts w:ascii="Arial" w:hAnsi="Arial"/>
      <w:b/>
      <w:kern w:val="28"/>
      <w:sz w:val="32"/>
    </w:rPr>
  </w:style>
  <w:style w:type="paragraph" w:styleId="68">
    <w:name w:val="List Number 5"/>
    <w:basedOn w:val="1"/>
    <w:qFormat/>
    <w:uiPriority w:val="0"/>
    <w:pPr>
      <w:widowControl/>
      <w:numPr>
        <w:ilvl w:val="0"/>
        <w:numId w:val="9"/>
      </w:numPr>
      <w:tabs>
        <w:tab w:val="left" w:pos="2040"/>
      </w:tabs>
      <w:spacing w:line="360" w:lineRule="auto"/>
      <w:ind w:left="0" w:firstLine="0"/>
    </w:pPr>
    <w:rPr>
      <w:rFonts w:ascii="Arial" w:hAnsi="Arial"/>
      <w:kern w:val="0"/>
      <w:sz w:val="24"/>
      <w:szCs w:val="21"/>
    </w:rPr>
  </w:style>
  <w:style w:type="paragraph" w:styleId="69">
    <w:name w:val="List"/>
    <w:basedOn w:val="1"/>
    <w:qFormat/>
    <w:uiPriority w:val="0"/>
    <w:pPr>
      <w:widowControl/>
      <w:spacing w:line="360" w:lineRule="auto"/>
      <w:ind w:left="200" w:hanging="200" w:hangingChars="200"/>
    </w:pPr>
    <w:rPr>
      <w:rFonts w:ascii="Arial" w:hAnsi="Arial"/>
      <w:kern w:val="0"/>
      <w:sz w:val="24"/>
      <w:szCs w:val="21"/>
    </w:rPr>
  </w:style>
  <w:style w:type="paragraph" w:styleId="70">
    <w:name w:val="footnote text"/>
    <w:basedOn w:val="1"/>
    <w:link w:val="307"/>
    <w:unhideWhenUsed/>
    <w:qFormat/>
    <w:uiPriority w:val="0"/>
    <w:pPr>
      <w:snapToGrid w:val="0"/>
      <w:jc w:val="left"/>
    </w:pPr>
    <w:rPr>
      <w:sz w:val="18"/>
    </w:rPr>
  </w:style>
  <w:style w:type="paragraph" w:styleId="71">
    <w:name w:val="toc 6"/>
    <w:basedOn w:val="1"/>
    <w:next w:val="1"/>
    <w:qFormat/>
    <w:uiPriority w:val="39"/>
    <w:pPr>
      <w:ind w:left="2100"/>
    </w:pPr>
    <w:rPr>
      <w:szCs w:val="20"/>
    </w:rPr>
  </w:style>
  <w:style w:type="paragraph" w:styleId="72">
    <w:name w:val="List 5"/>
    <w:basedOn w:val="1"/>
    <w:qFormat/>
    <w:uiPriority w:val="0"/>
    <w:pPr>
      <w:widowControl/>
      <w:spacing w:line="360" w:lineRule="auto"/>
      <w:ind w:left="100" w:leftChars="800" w:hanging="200" w:hangingChars="200"/>
    </w:pPr>
    <w:rPr>
      <w:rFonts w:ascii="Arial" w:hAnsi="Arial"/>
      <w:kern w:val="0"/>
      <w:sz w:val="24"/>
      <w:szCs w:val="21"/>
    </w:rPr>
  </w:style>
  <w:style w:type="paragraph" w:styleId="73">
    <w:name w:val="Body Text Indent 3"/>
    <w:basedOn w:val="1"/>
    <w:link w:val="432"/>
    <w:qFormat/>
    <w:uiPriority w:val="0"/>
    <w:pPr>
      <w:spacing w:after="120"/>
      <w:ind w:left="420" w:leftChars="200"/>
    </w:pPr>
    <w:rPr>
      <w:sz w:val="16"/>
      <w:szCs w:val="16"/>
    </w:rPr>
  </w:style>
  <w:style w:type="paragraph" w:styleId="74">
    <w:name w:val="index 7"/>
    <w:basedOn w:val="1"/>
    <w:next w:val="1"/>
    <w:unhideWhenUsed/>
    <w:qFormat/>
    <w:uiPriority w:val="0"/>
    <w:pPr>
      <w:ind w:left="1200" w:leftChars="1200"/>
    </w:pPr>
  </w:style>
  <w:style w:type="paragraph" w:styleId="75">
    <w:name w:val="index 9"/>
    <w:basedOn w:val="1"/>
    <w:next w:val="1"/>
    <w:qFormat/>
    <w:uiPriority w:val="0"/>
    <w:pPr>
      <w:widowControl/>
      <w:spacing w:line="360" w:lineRule="auto"/>
      <w:ind w:left="1600" w:leftChars="1600"/>
    </w:pPr>
    <w:rPr>
      <w:rFonts w:ascii="Arial" w:hAnsi="Arial"/>
      <w:kern w:val="0"/>
      <w:sz w:val="24"/>
      <w:szCs w:val="21"/>
    </w:rPr>
  </w:style>
  <w:style w:type="paragraph" w:styleId="76">
    <w:name w:val="table of figures"/>
    <w:basedOn w:val="1"/>
    <w:next w:val="1"/>
    <w:qFormat/>
    <w:uiPriority w:val="0"/>
    <w:pPr>
      <w:widowControl/>
      <w:spacing w:line="360" w:lineRule="auto"/>
      <w:ind w:left="200" w:leftChars="200" w:hanging="200" w:hangingChars="200"/>
    </w:pPr>
    <w:rPr>
      <w:rFonts w:eastAsia="仿宋"/>
      <w:kern w:val="0"/>
      <w:sz w:val="28"/>
      <w:szCs w:val="21"/>
    </w:rPr>
  </w:style>
  <w:style w:type="paragraph" w:styleId="77">
    <w:name w:val="toc 2"/>
    <w:basedOn w:val="1"/>
    <w:next w:val="1"/>
    <w:unhideWhenUsed/>
    <w:qFormat/>
    <w:uiPriority w:val="39"/>
    <w:pPr>
      <w:spacing w:line="360" w:lineRule="auto"/>
      <w:ind w:left="200" w:leftChars="200"/>
    </w:pPr>
    <w:rPr>
      <w:rFonts w:eastAsiaTheme="majorEastAsia"/>
      <w:b/>
    </w:rPr>
  </w:style>
  <w:style w:type="paragraph" w:styleId="78">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79">
    <w:name w:val="Body Text 2"/>
    <w:basedOn w:val="1"/>
    <w:link w:val="433"/>
    <w:qFormat/>
    <w:uiPriority w:val="0"/>
    <w:pPr>
      <w:spacing w:after="120" w:line="480" w:lineRule="auto"/>
    </w:pPr>
  </w:style>
  <w:style w:type="paragraph" w:styleId="80">
    <w:name w:val="List 4"/>
    <w:basedOn w:val="1"/>
    <w:qFormat/>
    <w:uiPriority w:val="0"/>
    <w:pPr>
      <w:widowControl/>
      <w:spacing w:line="360" w:lineRule="auto"/>
      <w:ind w:left="100" w:leftChars="600" w:hanging="200" w:hangingChars="200"/>
    </w:pPr>
    <w:rPr>
      <w:rFonts w:ascii="Arial" w:hAnsi="Arial"/>
      <w:kern w:val="0"/>
      <w:sz w:val="24"/>
      <w:szCs w:val="21"/>
    </w:rPr>
  </w:style>
  <w:style w:type="paragraph" w:styleId="81">
    <w:name w:val="List Continue 2"/>
    <w:basedOn w:val="1"/>
    <w:qFormat/>
    <w:uiPriority w:val="0"/>
    <w:pPr>
      <w:widowControl/>
      <w:spacing w:after="120" w:line="360" w:lineRule="auto"/>
      <w:ind w:left="840" w:leftChars="400"/>
    </w:pPr>
    <w:rPr>
      <w:rFonts w:ascii="Arial" w:hAnsi="Arial"/>
      <w:kern w:val="0"/>
      <w:sz w:val="24"/>
      <w:szCs w:val="21"/>
    </w:rPr>
  </w:style>
  <w:style w:type="paragraph" w:styleId="82">
    <w:name w:val="Message Header"/>
    <w:basedOn w:val="1"/>
    <w:link w:val="339"/>
    <w:unhideWhenUsed/>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83">
    <w:name w:val="HTML Preformatted"/>
    <w:basedOn w:val="1"/>
    <w:link w:val="31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84">
    <w:name w:val="Normal (Web)"/>
    <w:basedOn w:val="1"/>
    <w:link w:val="368"/>
    <w:qFormat/>
    <w:uiPriority w:val="99"/>
    <w:pPr>
      <w:widowControl/>
      <w:spacing w:before="100" w:beforeAutospacing="1" w:after="100" w:afterAutospacing="1"/>
      <w:jc w:val="left"/>
    </w:pPr>
    <w:rPr>
      <w:rFonts w:ascii="宋体" w:hAnsi="宋体" w:cs="宋体"/>
      <w:kern w:val="0"/>
      <w:sz w:val="24"/>
    </w:rPr>
  </w:style>
  <w:style w:type="paragraph" w:styleId="85">
    <w:name w:val="List Continue 3"/>
    <w:basedOn w:val="1"/>
    <w:qFormat/>
    <w:uiPriority w:val="0"/>
    <w:pPr>
      <w:widowControl/>
      <w:spacing w:after="120" w:line="360" w:lineRule="auto"/>
      <w:ind w:left="1260" w:leftChars="600"/>
    </w:pPr>
    <w:rPr>
      <w:rFonts w:ascii="Arial" w:hAnsi="Arial"/>
      <w:kern w:val="0"/>
      <w:sz w:val="24"/>
      <w:szCs w:val="21"/>
    </w:rPr>
  </w:style>
  <w:style w:type="paragraph" w:styleId="86">
    <w:name w:val="index 2"/>
    <w:basedOn w:val="1"/>
    <w:next w:val="1"/>
    <w:qFormat/>
    <w:uiPriority w:val="0"/>
    <w:pPr>
      <w:widowControl/>
      <w:spacing w:line="360" w:lineRule="auto"/>
      <w:ind w:left="200" w:leftChars="200"/>
    </w:pPr>
    <w:rPr>
      <w:rFonts w:ascii="Arial" w:hAnsi="Arial"/>
      <w:kern w:val="0"/>
      <w:sz w:val="24"/>
      <w:szCs w:val="21"/>
    </w:rPr>
  </w:style>
  <w:style w:type="paragraph" w:styleId="87">
    <w:name w:val="annotation subject"/>
    <w:basedOn w:val="31"/>
    <w:next w:val="31"/>
    <w:link w:val="156"/>
    <w:qFormat/>
    <w:uiPriority w:val="0"/>
    <w:rPr>
      <w:b/>
      <w:bCs/>
    </w:rPr>
  </w:style>
  <w:style w:type="paragraph" w:styleId="88">
    <w:name w:val="Body Text First Indent"/>
    <w:basedOn w:val="37"/>
    <w:unhideWhenUsed/>
    <w:qFormat/>
    <w:uiPriority w:val="0"/>
    <w:pPr>
      <w:ind w:firstLine="420" w:firstLineChars="100"/>
    </w:pPr>
  </w:style>
  <w:style w:type="paragraph" w:styleId="89">
    <w:name w:val="Body Text First Indent 2"/>
    <w:basedOn w:val="38"/>
    <w:next w:val="1"/>
    <w:qFormat/>
    <w:uiPriority w:val="99"/>
    <w:pPr>
      <w:ind w:firstLine="420" w:firstLineChars="200"/>
    </w:pPr>
  </w:style>
  <w:style w:type="table" w:styleId="91">
    <w:name w:val="Table Grid"/>
    <w:basedOn w:val="9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93">
    <w:name w:val="Strong"/>
    <w:qFormat/>
    <w:uiPriority w:val="22"/>
    <w:rPr>
      <w:b/>
      <w:bCs/>
    </w:rPr>
  </w:style>
  <w:style w:type="character" w:styleId="94">
    <w:name w:val="endnote reference"/>
    <w:basedOn w:val="92"/>
    <w:unhideWhenUsed/>
    <w:qFormat/>
    <w:uiPriority w:val="0"/>
    <w:rPr>
      <w:vertAlign w:val="superscript"/>
    </w:rPr>
  </w:style>
  <w:style w:type="character" w:styleId="95">
    <w:name w:val="page number"/>
    <w:basedOn w:val="92"/>
    <w:qFormat/>
    <w:uiPriority w:val="0"/>
  </w:style>
  <w:style w:type="character" w:styleId="96">
    <w:name w:val="FollowedHyperlink"/>
    <w:qFormat/>
    <w:uiPriority w:val="99"/>
    <w:rPr>
      <w:color w:val="800080"/>
      <w:u w:val="single"/>
    </w:rPr>
  </w:style>
  <w:style w:type="character" w:styleId="97">
    <w:name w:val="Emphasis"/>
    <w:basedOn w:val="92"/>
    <w:qFormat/>
    <w:uiPriority w:val="0"/>
    <w:rPr>
      <w:b/>
      <w:bCs/>
    </w:rPr>
  </w:style>
  <w:style w:type="character" w:styleId="98">
    <w:name w:val="line number"/>
    <w:basedOn w:val="92"/>
    <w:qFormat/>
    <w:uiPriority w:val="0"/>
  </w:style>
  <w:style w:type="character" w:styleId="99">
    <w:name w:val="HTML Definition"/>
    <w:basedOn w:val="92"/>
    <w:unhideWhenUsed/>
    <w:qFormat/>
    <w:uiPriority w:val="0"/>
  </w:style>
  <w:style w:type="character" w:styleId="100">
    <w:name w:val="HTML Typewriter"/>
    <w:basedOn w:val="92"/>
    <w:unhideWhenUsed/>
    <w:qFormat/>
    <w:uiPriority w:val="0"/>
    <w:rPr>
      <w:rFonts w:hint="default" w:ascii="monospace" w:hAnsi="monospace" w:eastAsia="monospace" w:cs="monospace"/>
      <w:sz w:val="20"/>
    </w:rPr>
  </w:style>
  <w:style w:type="character" w:styleId="101">
    <w:name w:val="HTML Acronym"/>
    <w:basedOn w:val="92"/>
    <w:unhideWhenUsed/>
    <w:qFormat/>
    <w:uiPriority w:val="0"/>
  </w:style>
  <w:style w:type="character" w:styleId="102">
    <w:name w:val="HTML Variable"/>
    <w:basedOn w:val="92"/>
    <w:unhideWhenUsed/>
    <w:qFormat/>
    <w:uiPriority w:val="0"/>
  </w:style>
  <w:style w:type="character" w:styleId="103">
    <w:name w:val="Hyperlink"/>
    <w:basedOn w:val="92"/>
    <w:qFormat/>
    <w:uiPriority w:val="99"/>
    <w:rPr>
      <w:color w:val="136EC2"/>
      <w:u w:val="single"/>
    </w:rPr>
  </w:style>
  <w:style w:type="character" w:styleId="104">
    <w:name w:val="HTML Code"/>
    <w:basedOn w:val="92"/>
    <w:unhideWhenUsed/>
    <w:qFormat/>
    <w:uiPriority w:val="0"/>
    <w:rPr>
      <w:rFonts w:hint="default" w:ascii="monospace" w:hAnsi="monospace" w:eastAsia="monospace" w:cs="monospace"/>
      <w:sz w:val="20"/>
    </w:rPr>
  </w:style>
  <w:style w:type="character" w:styleId="105">
    <w:name w:val="annotation reference"/>
    <w:qFormat/>
    <w:uiPriority w:val="0"/>
    <w:rPr>
      <w:sz w:val="21"/>
      <w:szCs w:val="21"/>
    </w:rPr>
  </w:style>
  <w:style w:type="character" w:styleId="106">
    <w:name w:val="HTML Cite"/>
    <w:basedOn w:val="92"/>
    <w:unhideWhenUsed/>
    <w:qFormat/>
    <w:uiPriority w:val="0"/>
  </w:style>
  <w:style w:type="character" w:styleId="107">
    <w:name w:val="footnote reference"/>
    <w:basedOn w:val="92"/>
    <w:unhideWhenUsed/>
    <w:qFormat/>
    <w:uiPriority w:val="0"/>
    <w:rPr>
      <w:vertAlign w:val="superscript"/>
    </w:rPr>
  </w:style>
  <w:style w:type="character" w:styleId="108">
    <w:name w:val="HTML Keyboard"/>
    <w:basedOn w:val="92"/>
    <w:unhideWhenUsed/>
    <w:qFormat/>
    <w:uiPriority w:val="0"/>
    <w:rPr>
      <w:rFonts w:ascii="monospace" w:hAnsi="monospace" w:eastAsia="monospace" w:cs="monospace"/>
      <w:sz w:val="20"/>
    </w:rPr>
  </w:style>
  <w:style w:type="character" w:styleId="109">
    <w:name w:val="HTML Sample"/>
    <w:basedOn w:val="92"/>
    <w:unhideWhenUsed/>
    <w:qFormat/>
    <w:uiPriority w:val="0"/>
    <w:rPr>
      <w:rFonts w:hint="default" w:ascii="monospace" w:hAnsi="monospace" w:eastAsia="monospace" w:cs="monospace"/>
    </w:rPr>
  </w:style>
  <w:style w:type="paragraph" w:customStyle="1" w:styleId="110">
    <w:name w:val="列出段落1"/>
    <w:basedOn w:val="1"/>
    <w:qFormat/>
    <w:uiPriority w:val="0"/>
    <w:pPr>
      <w:ind w:firstLine="420" w:firstLineChars="200"/>
    </w:pPr>
    <w:rPr>
      <w:rFonts w:ascii="Calibri" w:hAnsi="Calibri"/>
      <w:szCs w:val="22"/>
    </w:rPr>
  </w:style>
  <w:style w:type="paragraph" w:customStyle="1" w:styleId="111">
    <w:name w:val="_Style 2"/>
    <w:qFormat/>
    <w:uiPriority w:val="1"/>
    <w:pPr>
      <w:adjustRightInd w:val="0"/>
      <w:snapToGrid w:val="0"/>
    </w:pPr>
    <w:rPr>
      <w:rFonts w:ascii="Tahoma" w:hAnsi="Tahoma" w:eastAsia="宋体" w:cs="Times New Roman"/>
      <w:sz w:val="22"/>
      <w:szCs w:val="22"/>
      <w:lang w:val="en-US" w:eastAsia="zh-CN" w:bidi="ar-SA"/>
    </w:rPr>
  </w:style>
  <w:style w:type="paragraph" w:customStyle="1" w:styleId="112">
    <w:name w:val="目录 71"/>
    <w:basedOn w:val="1"/>
    <w:next w:val="1"/>
    <w:qFormat/>
    <w:uiPriority w:val="0"/>
    <w:pPr>
      <w:ind w:left="2520"/>
    </w:pPr>
    <w:rPr>
      <w:rFonts w:ascii="Arial Black" w:hAnsi="Calibri" w:cs="Calibri"/>
      <w:szCs w:val="20"/>
    </w:rPr>
  </w:style>
  <w:style w:type="paragraph" w:styleId="113">
    <w:name w:val="List Paragraph"/>
    <w:basedOn w:val="1"/>
    <w:link w:val="172"/>
    <w:qFormat/>
    <w:uiPriority w:val="34"/>
    <w:pPr>
      <w:ind w:firstLine="420" w:firstLineChars="200"/>
    </w:pPr>
  </w:style>
  <w:style w:type="paragraph" w:customStyle="1" w:styleId="114">
    <w:name w:val="BodyText"/>
    <w:basedOn w:val="1"/>
    <w:next w:val="115"/>
    <w:qFormat/>
    <w:uiPriority w:val="0"/>
    <w:pPr>
      <w:spacing w:after="120"/>
      <w:textAlignment w:val="baseline"/>
    </w:pPr>
    <w:rPr>
      <w:color w:val="000000"/>
    </w:rPr>
  </w:style>
  <w:style w:type="paragraph" w:customStyle="1" w:styleId="115">
    <w:name w:val="BodyText2"/>
    <w:basedOn w:val="1"/>
    <w:qFormat/>
    <w:uiPriority w:val="0"/>
    <w:pPr>
      <w:textAlignment w:val="baseline"/>
    </w:pPr>
    <w:rPr>
      <w:rFonts w:eastAsia="楷体_GB2312"/>
      <w:b/>
      <w:bCs/>
      <w:color w:val="000000"/>
    </w:rPr>
  </w:style>
  <w:style w:type="paragraph" w:customStyle="1" w:styleId="116">
    <w:name w:val="样式1"/>
    <w:basedOn w:val="1"/>
    <w:link w:val="175"/>
    <w:qFormat/>
    <w:uiPriority w:val="0"/>
    <w:pPr>
      <w:tabs>
        <w:tab w:val="left" w:pos="360"/>
      </w:tabs>
      <w:adjustRightInd w:val="0"/>
      <w:ind w:left="360" w:hanging="360"/>
      <w:textAlignment w:val="baseline"/>
    </w:pPr>
    <w:rPr>
      <w:rFonts w:ascii="宋体" w:hAnsi="宋体"/>
      <w:kern w:val="0"/>
      <w:szCs w:val="21"/>
    </w:rPr>
  </w:style>
  <w:style w:type="paragraph" w:customStyle="1" w:styleId="117">
    <w:name w:val="正文1"/>
    <w:basedOn w:val="1"/>
    <w:qFormat/>
    <w:uiPriority w:val="0"/>
    <w:pPr>
      <w:widowControl/>
      <w:spacing w:before="120" w:after="120"/>
      <w:jc w:val="left"/>
    </w:pPr>
    <w:rPr>
      <w:rFonts w:ascii="Arial" w:hAnsi="Arial" w:cs="Arial"/>
      <w:kern w:val="0"/>
      <w:sz w:val="24"/>
    </w:rPr>
  </w:style>
  <w:style w:type="paragraph" w:customStyle="1" w:styleId="118">
    <w:name w:val="正文首行缩进1"/>
    <w:basedOn w:val="1"/>
    <w:qFormat/>
    <w:uiPriority w:val="99"/>
    <w:pPr>
      <w:spacing w:after="120"/>
      <w:ind w:firstLine="420" w:firstLineChars="100"/>
    </w:pPr>
  </w:style>
  <w:style w:type="character" w:customStyle="1" w:styleId="119">
    <w:name w:val="标题 1 字符"/>
    <w:basedOn w:val="92"/>
    <w:link w:val="3"/>
    <w:qFormat/>
    <w:uiPriority w:val="9"/>
    <w:rPr>
      <w:rFonts w:ascii="Times New Roman" w:hAnsi="Times New Roman" w:eastAsia="黑体" w:cs="Times New Roman"/>
      <w:b/>
      <w:bCs/>
      <w:sz w:val="30"/>
      <w:szCs w:val="20"/>
    </w:rPr>
  </w:style>
  <w:style w:type="character" w:customStyle="1" w:styleId="120">
    <w:name w:val="标题 2 字符"/>
    <w:basedOn w:val="92"/>
    <w:link w:val="4"/>
    <w:qFormat/>
    <w:uiPriority w:val="9"/>
    <w:rPr>
      <w:rFonts w:ascii="Arial" w:hAnsi="Arial" w:eastAsia="宋体" w:cs="Times New Roman"/>
      <w:b/>
      <w:bCs/>
      <w:sz w:val="24"/>
      <w:szCs w:val="32"/>
    </w:rPr>
  </w:style>
  <w:style w:type="character" w:customStyle="1" w:styleId="121">
    <w:name w:val="标题 3 字符"/>
    <w:basedOn w:val="92"/>
    <w:link w:val="5"/>
    <w:qFormat/>
    <w:uiPriority w:val="9"/>
    <w:rPr>
      <w:rFonts w:ascii="Times New Roman" w:hAnsi="Times New Roman" w:eastAsia="宋体" w:cs="Times New Roman"/>
      <w:b/>
      <w:bCs/>
      <w:sz w:val="32"/>
      <w:szCs w:val="32"/>
    </w:rPr>
  </w:style>
  <w:style w:type="character" w:customStyle="1" w:styleId="122">
    <w:name w:val="标题 4 字符"/>
    <w:basedOn w:val="92"/>
    <w:link w:val="6"/>
    <w:qFormat/>
    <w:uiPriority w:val="9"/>
    <w:rPr>
      <w:rFonts w:ascii="Arial" w:hAnsi="Arial" w:eastAsia="黑体" w:cs="Times New Roman"/>
      <w:b/>
      <w:bCs/>
      <w:sz w:val="28"/>
      <w:szCs w:val="28"/>
    </w:rPr>
  </w:style>
  <w:style w:type="character" w:customStyle="1" w:styleId="123">
    <w:name w:val="标题 5 字符"/>
    <w:basedOn w:val="92"/>
    <w:link w:val="7"/>
    <w:qFormat/>
    <w:uiPriority w:val="9"/>
    <w:rPr>
      <w:rFonts w:ascii="Times New Roman" w:hAnsi="Times New Roman" w:eastAsia="宋体" w:cs="Times New Roman"/>
      <w:b/>
      <w:bCs/>
      <w:kern w:val="0"/>
      <w:sz w:val="28"/>
      <w:szCs w:val="28"/>
    </w:rPr>
  </w:style>
  <w:style w:type="character" w:customStyle="1" w:styleId="124">
    <w:name w:val="标题 6 字符"/>
    <w:basedOn w:val="92"/>
    <w:link w:val="8"/>
    <w:qFormat/>
    <w:uiPriority w:val="9"/>
    <w:rPr>
      <w:rFonts w:ascii="Arial" w:hAnsi="Arial" w:eastAsia="黑体" w:cs="Times New Roman"/>
      <w:b/>
      <w:bCs/>
      <w:kern w:val="0"/>
      <w:sz w:val="24"/>
      <w:szCs w:val="24"/>
    </w:rPr>
  </w:style>
  <w:style w:type="character" w:customStyle="1" w:styleId="125">
    <w:name w:val="标题 7 字符"/>
    <w:basedOn w:val="92"/>
    <w:link w:val="9"/>
    <w:qFormat/>
    <w:uiPriority w:val="9"/>
    <w:rPr>
      <w:rFonts w:ascii="Times New Roman" w:hAnsi="Times New Roman" w:eastAsia="宋体" w:cs="Times New Roman"/>
      <w:b/>
      <w:bCs/>
      <w:kern w:val="0"/>
      <w:sz w:val="24"/>
      <w:szCs w:val="24"/>
    </w:rPr>
  </w:style>
  <w:style w:type="character" w:customStyle="1" w:styleId="126">
    <w:name w:val="标题 8 字符"/>
    <w:basedOn w:val="92"/>
    <w:link w:val="10"/>
    <w:qFormat/>
    <w:uiPriority w:val="9"/>
    <w:rPr>
      <w:rFonts w:ascii="Arial" w:hAnsi="Arial" w:eastAsia="黑体" w:cs="Times New Roman"/>
      <w:kern w:val="0"/>
      <w:sz w:val="24"/>
      <w:szCs w:val="24"/>
    </w:rPr>
  </w:style>
  <w:style w:type="character" w:customStyle="1" w:styleId="127">
    <w:name w:val="标题 9 字符"/>
    <w:basedOn w:val="92"/>
    <w:link w:val="11"/>
    <w:qFormat/>
    <w:uiPriority w:val="9"/>
    <w:rPr>
      <w:rFonts w:ascii="Arial" w:hAnsi="Arial" w:eastAsia="黑体" w:cs="Times New Roman"/>
      <w:kern w:val="0"/>
      <w:szCs w:val="21"/>
    </w:rPr>
  </w:style>
  <w:style w:type="paragraph" w:customStyle="1" w:styleId="128">
    <w:name w:val="表格内容"/>
    <w:basedOn w:val="37"/>
    <w:qFormat/>
    <w:uiPriority w:val="0"/>
    <w:pPr>
      <w:suppressLineNumbers/>
      <w:suppressAutoHyphens/>
      <w:jc w:val="left"/>
    </w:pPr>
    <w:rPr>
      <w:rFonts w:cs="Tahoma"/>
      <w:kern w:val="0"/>
      <w:sz w:val="24"/>
    </w:rPr>
  </w:style>
  <w:style w:type="character" w:customStyle="1" w:styleId="129">
    <w:name w:val="正文文本 字符"/>
    <w:basedOn w:val="92"/>
    <w:qFormat/>
    <w:uiPriority w:val="0"/>
    <w:rPr>
      <w:rFonts w:ascii="Times New Roman" w:hAnsi="Times New Roman" w:eastAsia="宋体" w:cs="Times New Roman"/>
      <w:szCs w:val="24"/>
    </w:rPr>
  </w:style>
  <w:style w:type="character" w:customStyle="1" w:styleId="130">
    <w:name w:val="页脚 字符"/>
    <w:basedOn w:val="92"/>
    <w:qFormat/>
    <w:uiPriority w:val="99"/>
    <w:rPr>
      <w:rFonts w:ascii="Times New Roman" w:hAnsi="Times New Roman" w:eastAsia="宋体" w:cs="Times New Roman"/>
      <w:sz w:val="18"/>
      <w:szCs w:val="18"/>
    </w:rPr>
  </w:style>
  <w:style w:type="character" w:customStyle="1" w:styleId="131">
    <w:name w:val="页眉 字符"/>
    <w:basedOn w:val="92"/>
    <w:qFormat/>
    <w:uiPriority w:val="99"/>
    <w:rPr>
      <w:rFonts w:ascii="Times New Roman" w:hAnsi="Times New Roman" w:eastAsia="宋体" w:cs="Times New Roman"/>
      <w:sz w:val="18"/>
      <w:szCs w:val="18"/>
    </w:rPr>
  </w:style>
  <w:style w:type="character" w:customStyle="1" w:styleId="132">
    <w:name w:val="正文文本缩进 字符"/>
    <w:basedOn w:val="92"/>
    <w:qFormat/>
    <w:uiPriority w:val="99"/>
    <w:rPr>
      <w:rFonts w:ascii="Times New Roman" w:hAnsi="Times New Roman" w:eastAsia="宋体" w:cs="Times New Roman"/>
      <w:szCs w:val="24"/>
    </w:rPr>
  </w:style>
  <w:style w:type="paragraph" w:customStyle="1" w:styleId="133">
    <w:name w:val="Char Char Char Char Char Char Char"/>
    <w:basedOn w:val="1"/>
    <w:qFormat/>
    <w:uiPriority w:val="0"/>
    <w:pPr>
      <w:snapToGrid w:val="0"/>
      <w:spacing w:line="360" w:lineRule="auto"/>
      <w:ind w:firstLine="200" w:firstLineChars="200"/>
    </w:pPr>
    <w:rPr>
      <w:rFonts w:eastAsia="仿宋_GB2312"/>
      <w:sz w:val="24"/>
    </w:rPr>
  </w:style>
  <w:style w:type="character" w:customStyle="1" w:styleId="134">
    <w:name w:val="纯文本 字符1"/>
    <w:basedOn w:val="92"/>
    <w:link w:val="48"/>
    <w:qFormat/>
    <w:uiPriority w:val="0"/>
    <w:rPr>
      <w:rFonts w:ascii="宋体" w:hAnsi="Courier New" w:eastAsia="宋体" w:cs="Courier New"/>
      <w:szCs w:val="21"/>
    </w:rPr>
  </w:style>
  <w:style w:type="character" w:customStyle="1" w:styleId="135">
    <w:name w:val="批注文字 字符"/>
    <w:basedOn w:val="92"/>
    <w:link w:val="31"/>
    <w:qFormat/>
    <w:uiPriority w:val="0"/>
    <w:rPr>
      <w:rFonts w:ascii="Times New Roman" w:hAnsi="Times New Roman" w:eastAsia="宋体" w:cs="Times New Roman"/>
      <w:szCs w:val="24"/>
    </w:rPr>
  </w:style>
  <w:style w:type="paragraph" w:customStyle="1" w:styleId="136">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37">
    <w:name w:val="Char Char Char"/>
    <w:basedOn w:val="1"/>
    <w:qFormat/>
    <w:uiPriority w:val="0"/>
    <w:rPr>
      <w:rFonts w:ascii="宋体" w:hAnsi="宋体"/>
      <w:b/>
      <w:sz w:val="28"/>
      <w:szCs w:val="28"/>
    </w:rPr>
  </w:style>
  <w:style w:type="paragraph" w:customStyle="1" w:styleId="138">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139">
    <w:name w:val="HTML 预设格式 字符"/>
    <w:basedOn w:val="92"/>
    <w:qFormat/>
    <w:uiPriority w:val="0"/>
    <w:rPr>
      <w:rFonts w:ascii="Arial" w:hAnsi="Arial" w:eastAsia="宋体" w:cs="Arial"/>
      <w:kern w:val="0"/>
      <w:sz w:val="24"/>
      <w:szCs w:val="24"/>
    </w:rPr>
  </w:style>
  <w:style w:type="character" w:customStyle="1" w:styleId="140">
    <w:name w:val="称呼 字符"/>
    <w:basedOn w:val="92"/>
    <w:qFormat/>
    <w:uiPriority w:val="0"/>
    <w:rPr>
      <w:rFonts w:ascii="仿宋_GB2312" w:hAnsi="Times New Roman" w:eastAsia="仿宋_GB2312" w:cs="Times New Roman"/>
      <w:sz w:val="24"/>
      <w:szCs w:val="24"/>
    </w:rPr>
  </w:style>
  <w:style w:type="character" w:customStyle="1" w:styleId="141">
    <w:name w:val="正文文本 2 字符"/>
    <w:basedOn w:val="92"/>
    <w:qFormat/>
    <w:uiPriority w:val="0"/>
    <w:rPr>
      <w:rFonts w:ascii="Times New Roman" w:hAnsi="Times New Roman" w:eastAsia="宋体" w:cs="Times New Roman"/>
      <w:szCs w:val="24"/>
    </w:rPr>
  </w:style>
  <w:style w:type="character" w:customStyle="1" w:styleId="142">
    <w:name w:val="正文文本缩进 2 字符"/>
    <w:basedOn w:val="92"/>
    <w:qFormat/>
    <w:uiPriority w:val="0"/>
    <w:rPr>
      <w:rFonts w:ascii="Times New Roman" w:hAnsi="Times New Roman" w:eastAsia="宋体" w:cs="Times New Roman"/>
      <w:szCs w:val="24"/>
    </w:rPr>
  </w:style>
  <w:style w:type="paragraph" w:customStyle="1" w:styleId="143">
    <w:name w:val="Char"/>
    <w:basedOn w:val="1"/>
    <w:qFormat/>
    <w:uiPriority w:val="0"/>
    <w:pPr>
      <w:tabs>
        <w:tab w:val="left" w:pos="360"/>
      </w:tabs>
      <w:ind w:left="360" w:hanging="360" w:hangingChars="200"/>
    </w:pPr>
    <w:rPr>
      <w:sz w:val="24"/>
    </w:rPr>
  </w:style>
  <w:style w:type="character" w:customStyle="1" w:styleId="144">
    <w:name w:val="正文文本缩进 3 字符"/>
    <w:basedOn w:val="92"/>
    <w:qFormat/>
    <w:uiPriority w:val="0"/>
    <w:rPr>
      <w:rFonts w:ascii="Times New Roman" w:hAnsi="Times New Roman" w:eastAsia="宋体" w:cs="Times New Roman"/>
      <w:sz w:val="16"/>
      <w:szCs w:val="16"/>
    </w:rPr>
  </w:style>
  <w:style w:type="character" w:customStyle="1" w:styleId="145">
    <w:name w:val="日期 字符"/>
    <w:basedOn w:val="92"/>
    <w:qFormat/>
    <w:uiPriority w:val="0"/>
    <w:rPr>
      <w:rFonts w:ascii="Times New Roman" w:hAnsi="Times New Roman" w:eastAsia="宋体" w:cs="Times New Roman"/>
      <w:sz w:val="24"/>
      <w:szCs w:val="20"/>
    </w:rPr>
  </w:style>
  <w:style w:type="character" w:customStyle="1" w:styleId="146">
    <w:name w:val="p0 Char"/>
    <w:link w:val="147"/>
    <w:qFormat/>
    <w:uiPriority w:val="0"/>
    <w:rPr>
      <w:rFonts w:eastAsia="宋体"/>
      <w:szCs w:val="21"/>
    </w:rPr>
  </w:style>
  <w:style w:type="paragraph" w:customStyle="1" w:styleId="147">
    <w:name w:val="p0"/>
    <w:basedOn w:val="1"/>
    <w:link w:val="146"/>
    <w:qFormat/>
    <w:uiPriority w:val="0"/>
    <w:pPr>
      <w:widowControl/>
    </w:pPr>
    <w:rPr>
      <w:rFonts w:asciiTheme="minorHAnsi" w:hAnsiTheme="minorHAnsi" w:cstheme="minorBidi"/>
      <w:szCs w:val="21"/>
    </w:rPr>
  </w:style>
  <w:style w:type="paragraph" w:customStyle="1" w:styleId="148">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149">
    <w:name w:val="Char Char1 Char Char Char Char Char1 Char Char Char Char"/>
    <w:basedOn w:val="29"/>
    <w:qFormat/>
    <w:uiPriority w:val="0"/>
    <w:rPr>
      <w:rFonts w:ascii="Tahoma" w:hAnsi="Tahoma"/>
    </w:rPr>
  </w:style>
  <w:style w:type="character" w:customStyle="1" w:styleId="150">
    <w:name w:val="文档结构图 字符"/>
    <w:basedOn w:val="92"/>
    <w:qFormat/>
    <w:uiPriority w:val="0"/>
    <w:rPr>
      <w:rFonts w:ascii="Times New Roman" w:hAnsi="Times New Roman" w:eastAsia="宋体" w:cs="Times New Roman"/>
      <w:szCs w:val="24"/>
      <w:shd w:val="clear" w:color="auto" w:fill="000080"/>
    </w:rPr>
  </w:style>
  <w:style w:type="paragraph" w:customStyle="1" w:styleId="151">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52">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53">
    <w:name w:val="1"/>
    <w:basedOn w:val="1"/>
    <w:qFormat/>
    <w:uiPriority w:val="0"/>
    <w:pPr>
      <w:spacing w:afterLines="50" w:line="360" w:lineRule="auto"/>
    </w:pPr>
    <w:rPr>
      <w:rFonts w:ascii="宋体" w:hAnsi="宋体"/>
      <w:b/>
      <w:sz w:val="30"/>
      <w:szCs w:val="21"/>
    </w:rPr>
  </w:style>
  <w:style w:type="paragraph" w:customStyle="1" w:styleId="154">
    <w:name w:val="样式 标题 2 + 宋体 五号 行距: 单倍行距"/>
    <w:basedOn w:val="4"/>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55">
    <w:name w:val="标题 1 +"/>
    <w:basedOn w:val="3"/>
    <w:next w:val="1"/>
    <w:qFormat/>
    <w:uiPriority w:val="0"/>
    <w:pPr>
      <w:keepLines/>
      <w:spacing w:line="600" w:lineRule="auto"/>
    </w:pPr>
    <w:rPr>
      <w:kern w:val="0"/>
      <w:sz w:val="32"/>
      <w:szCs w:val="32"/>
    </w:rPr>
  </w:style>
  <w:style w:type="character" w:customStyle="1" w:styleId="156">
    <w:name w:val="批注主题 字符"/>
    <w:basedOn w:val="135"/>
    <w:link w:val="87"/>
    <w:qFormat/>
    <w:uiPriority w:val="0"/>
    <w:rPr>
      <w:rFonts w:ascii="Times New Roman" w:hAnsi="Times New Roman" w:eastAsia="宋体" w:cs="Times New Roman"/>
      <w:b/>
      <w:bCs/>
      <w:szCs w:val="24"/>
    </w:rPr>
  </w:style>
  <w:style w:type="character" w:customStyle="1" w:styleId="157">
    <w:name w:val="批注框文本 字符"/>
    <w:basedOn w:val="92"/>
    <w:link w:val="57"/>
    <w:qFormat/>
    <w:uiPriority w:val="0"/>
    <w:rPr>
      <w:rFonts w:ascii="Times New Roman" w:hAnsi="Times New Roman" w:eastAsia="宋体" w:cs="Times New Roman"/>
      <w:sz w:val="18"/>
      <w:szCs w:val="18"/>
    </w:rPr>
  </w:style>
  <w:style w:type="paragraph" w:customStyle="1" w:styleId="158">
    <w:name w:val="样式 标题 2 + Times New Roman 四号 非加粗 段前: 5 磅 段后: 0 磅 行距: 固定值 20..."/>
    <w:basedOn w:val="4"/>
    <w:qFormat/>
    <w:uiPriority w:val="0"/>
    <w:pPr>
      <w:spacing w:before="100" w:line="400" w:lineRule="exact"/>
    </w:pPr>
    <w:rPr>
      <w:rFonts w:ascii="Times New Roman" w:hAnsi="Times New Roman" w:eastAsia="黑体"/>
      <w:b w:val="0"/>
      <w:bCs w:val="0"/>
      <w:sz w:val="28"/>
      <w:szCs w:val="20"/>
    </w:rPr>
  </w:style>
  <w:style w:type="paragraph" w:customStyle="1" w:styleId="159">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160">
    <w:name w:val="Char1 Char Char Char 字元 Char Char 字元 Char 字元 Char1 Char Char Char"/>
    <w:basedOn w:val="1"/>
    <w:qFormat/>
    <w:uiPriority w:val="0"/>
    <w:rPr>
      <w:szCs w:val="20"/>
    </w:rPr>
  </w:style>
  <w:style w:type="paragraph" w:customStyle="1" w:styleId="161">
    <w:name w:val="p16"/>
    <w:basedOn w:val="1"/>
    <w:qFormat/>
    <w:uiPriority w:val="0"/>
    <w:pPr>
      <w:widowControl/>
      <w:jc w:val="left"/>
    </w:pPr>
    <w:rPr>
      <w:kern w:val="0"/>
      <w:szCs w:val="21"/>
    </w:rPr>
  </w:style>
  <w:style w:type="paragraph" w:customStyle="1" w:styleId="162">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6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64">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5">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66">
    <w:name w:val="Char Char Char1 Char"/>
    <w:basedOn w:val="1"/>
    <w:qFormat/>
    <w:uiPriority w:val="0"/>
    <w:pPr>
      <w:tabs>
        <w:tab w:val="left" w:pos="360"/>
      </w:tabs>
      <w:snapToGrid w:val="0"/>
      <w:spacing w:line="360" w:lineRule="auto"/>
    </w:pPr>
    <w:rPr>
      <w:rFonts w:eastAsia="仿宋_GB2312" w:cs="宋体"/>
      <w:sz w:val="24"/>
    </w:rPr>
  </w:style>
  <w:style w:type="character" w:customStyle="1" w:styleId="167">
    <w:name w:val="fontstyle01"/>
    <w:basedOn w:val="92"/>
    <w:qFormat/>
    <w:uiPriority w:val="0"/>
    <w:rPr>
      <w:rFonts w:hint="eastAsia" w:ascii="宋体" w:hAnsi="宋体" w:eastAsia="宋体"/>
      <w:color w:val="000000"/>
      <w:sz w:val="24"/>
      <w:szCs w:val="24"/>
    </w:rPr>
  </w:style>
  <w:style w:type="character" w:customStyle="1" w:styleId="168">
    <w:name w:val="fontstyle11"/>
    <w:basedOn w:val="92"/>
    <w:qFormat/>
    <w:uiPriority w:val="0"/>
    <w:rPr>
      <w:rFonts w:hint="default" w:ascii="TimesNewRomanPSMT" w:hAnsi="TimesNewRomanPSMT"/>
      <w:color w:val="000000"/>
      <w:sz w:val="24"/>
      <w:szCs w:val="24"/>
    </w:rPr>
  </w:style>
  <w:style w:type="paragraph" w:customStyle="1" w:styleId="169">
    <w:name w:val="TOC 标题1"/>
    <w:basedOn w:val="3"/>
    <w:next w:val="1"/>
    <w:unhideWhenUsed/>
    <w:qFormat/>
    <w:uiPriority w:val="39"/>
    <w:pPr>
      <w:keepLines/>
      <w:widowControl/>
      <w:spacing w:before="48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70">
    <w:name w:val="fontstyle21"/>
    <w:basedOn w:val="92"/>
    <w:qFormat/>
    <w:uiPriority w:val="0"/>
    <w:rPr>
      <w:rFonts w:hint="eastAsia" w:ascii="宋体" w:hAnsi="宋体" w:eastAsia="宋体"/>
      <w:color w:val="993300"/>
      <w:sz w:val="24"/>
      <w:szCs w:val="24"/>
    </w:rPr>
  </w:style>
  <w:style w:type="character" w:customStyle="1" w:styleId="171">
    <w:name w:val="fontstyle31"/>
    <w:basedOn w:val="92"/>
    <w:qFormat/>
    <w:uiPriority w:val="0"/>
    <w:rPr>
      <w:rFonts w:hint="default" w:ascii="Arial" w:hAnsi="Arial" w:cs="Arial"/>
      <w:color w:val="993300"/>
      <w:sz w:val="24"/>
      <w:szCs w:val="24"/>
    </w:rPr>
  </w:style>
  <w:style w:type="character" w:customStyle="1" w:styleId="172">
    <w:name w:val="列表段落 字符"/>
    <w:link w:val="113"/>
    <w:qFormat/>
    <w:uiPriority w:val="34"/>
    <w:rPr>
      <w:rFonts w:ascii="Times New Roman" w:hAnsi="Times New Roman" w:eastAsia="宋体" w:cs="Times New Roman"/>
      <w:szCs w:val="24"/>
    </w:rPr>
  </w:style>
  <w:style w:type="character" w:customStyle="1" w:styleId="173">
    <w:name w:val="标题 字符"/>
    <w:qFormat/>
    <w:uiPriority w:val="0"/>
    <w:rPr>
      <w:b/>
      <w:sz w:val="32"/>
    </w:rPr>
  </w:style>
  <w:style w:type="character" w:customStyle="1" w:styleId="174">
    <w:name w:val="标题 Char1"/>
    <w:basedOn w:val="92"/>
    <w:qFormat/>
    <w:uiPriority w:val="10"/>
    <w:rPr>
      <w:rFonts w:eastAsia="宋体" w:asciiTheme="majorHAnsi" w:hAnsiTheme="majorHAnsi" w:cstheme="majorBidi"/>
      <w:b/>
      <w:bCs/>
      <w:sz w:val="32"/>
      <w:szCs w:val="32"/>
    </w:rPr>
  </w:style>
  <w:style w:type="character" w:customStyle="1" w:styleId="175">
    <w:name w:val="样式1 Char Char"/>
    <w:link w:val="116"/>
    <w:qFormat/>
    <w:uiPriority w:val="0"/>
    <w:rPr>
      <w:rFonts w:ascii="宋体" w:hAnsi="宋体" w:eastAsia="宋体" w:cs="Times New Roman"/>
      <w:kern w:val="0"/>
      <w:szCs w:val="21"/>
    </w:rPr>
  </w:style>
  <w:style w:type="paragraph" w:customStyle="1" w:styleId="176">
    <w:name w:val="pa-20"/>
    <w:basedOn w:val="1"/>
    <w:qFormat/>
    <w:uiPriority w:val="0"/>
    <w:pPr>
      <w:widowControl/>
      <w:spacing w:before="150" w:after="150"/>
      <w:jc w:val="left"/>
    </w:pPr>
    <w:rPr>
      <w:rFonts w:ascii="Arial Unicode MS" w:hAnsi="Arial Unicode MS" w:eastAsia="Times New Roman" w:cs="Arial Unicode MS"/>
      <w:kern w:val="0"/>
      <w:sz w:val="24"/>
    </w:rPr>
  </w:style>
  <w:style w:type="character" w:customStyle="1" w:styleId="177">
    <w:name w:val="font71"/>
    <w:basedOn w:val="92"/>
    <w:qFormat/>
    <w:uiPriority w:val="0"/>
    <w:rPr>
      <w:rFonts w:hint="eastAsia" w:ascii="宋体" w:hAnsi="宋体" w:eastAsia="宋体" w:cs="宋体"/>
      <w:color w:val="000000"/>
      <w:sz w:val="18"/>
      <w:szCs w:val="18"/>
      <w:u w:val="none"/>
    </w:rPr>
  </w:style>
  <w:style w:type="character" w:customStyle="1" w:styleId="178">
    <w:name w:val="font21"/>
    <w:basedOn w:val="92"/>
    <w:qFormat/>
    <w:uiPriority w:val="0"/>
    <w:rPr>
      <w:rFonts w:hint="eastAsia" w:ascii="宋体" w:hAnsi="宋体" w:eastAsia="宋体" w:cs="宋体"/>
      <w:color w:val="000000"/>
      <w:sz w:val="22"/>
      <w:szCs w:val="22"/>
      <w:u w:val="none"/>
    </w:rPr>
  </w:style>
  <w:style w:type="character" w:customStyle="1" w:styleId="179">
    <w:name w:val="font11"/>
    <w:basedOn w:val="92"/>
    <w:qFormat/>
    <w:uiPriority w:val="0"/>
    <w:rPr>
      <w:rFonts w:hint="default" w:ascii="Tahoma" w:hAnsi="Tahoma" w:eastAsia="Tahoma" w:cs="Tahoma"/>
      <w:color w:val="000000"/>
      <w:sz w:val="22"/>
      <w:szCs w:val="22"/>
      <w:u w:val="none"/>
    </w:rPr>
  </w:style>
  <w:style w:type="character" w:customStyle="1" w:styleId="180">
    <w:name w:val="font01"/>
    <w:basedOn w:val="92"/>
    <w:qFormat/>
    <w:uiPriority w:val="0"/>
    <w:rPr>
      <w:rFonts w:hint="eastAsia" w:ascii="宋体" w:hAnsi="宋体" w:eastAsia="宋体" w:cs="宋体"/>
      <w:color w:val="000000"/>
      <w:sz w:val="22"/>
      <w:szCs w:val="22"/>
      <w:u w:val="none"/>
    </w:rPr>
  </w:style>
  <w:style w:type="paragraph" w:customStyle="1" w:styleId="181">
    <w:name w:val="_Style 1"/>
    <w:basedOn w:val="1"/>
    <w:qFormat/>
    <w:uiPriority w:val="0"/>
    <w:pPr>
      <w:ind w:firstLine="420" w:firstLineChars="200"/>
    </w:pPr>
    <w:rPr>
      <w:kern w:val="0"/>
      <w:sz w:val="20"/>
    </w:rPr>
  </w:style>
  <w:style w:type="character" w:customStyle="1" w:styleId="182">
    <w:name w:val="font131"/>
    <w:basedOn w:val="92"/>
    <w:qFormat/>
    <w:uiPriority w:val="0"/>
    <w:rPr>
      <w:rFonts w:hint="eastAsia" w:ascii="幼圆" w:hAnsi="幼圆" w:eastAsia="幼圆" w:cs="幼圆"/>
      <w:color w:val="000000"/>
      <w:sz w:val="18"/>
      <w:szCs w:val="18"/>
      <w:u w:val="none"/>
    </w:rPr>
  </w:style>
  <w:style w:type="character" w:customStyle="1" w:styleId="183">
    <w:name w:val="font121"/>
    <w:basedOn w:val="92"/>
    <w:qFormat/>
    <w:uiPriority w:val="0"/>
    <w:rPr>
      <w:rFonts w:hint="eastAsia" w:ascii="幼圆" w:hAnsi="幼圆" w:eastAsia="幼圆" w:cs="幼圆"/>
      <w:color w:val="000000"/>
      <w:sz w:val="21"/>
      <w:szCs w:val="21"/>
      <w:u w:val="none"/>
    </w:rPr>
  </w:style>
  <w:style w:type="character" w:customStyle="1" w:styleId="184">
    <w:name w:val="font81"/>
    <w:basedOn w:val="92"/>
    <w:qFormat/>
    <w:uiPriority w:val="0"/>
    <w:rPr>
      <w:rFonts w:ascii="Calibri" w:hAnsi="Calibri" w:cs="Calibri"/>
      <w:color w:val="000000"/>
      <w:sz w:val="21"/>
      <w:szCs w:val="21"/>
      <w:u w:val="none"/>
    </w:rPr>
  </w:style>
  <w:style w:type="paragraph" w:customStyle="1" w:styleId="185">
    <w:name w:val="Table Paragraph"/>
    <w:basedOn w:val="1"/>
    <w:qFormat/>
    <w:uiPriority w:val="1"/>
  </w:style>
  <w:style w:type="paragraph" w:customStyle="1" w:styleId="186">
    <w:name w:val="_Style 121"/>
    <w:basedOn w:val="38"/>
    <w:next w:val="89"/>
    <w:qFormat/>
    <w:uiPriority w:val="0"/>
    <w:pPr>
      <w:ind w:firstLine="420" w:firstLineChars="200"/>
    </w:pPr>
  </w:style>
  <w:style w:type="character" w:customStyle="1" w:styleId="187">
    <w:name w:val="纯文本 字符"/>
    <w:qFormat/>
    <w:uiPriority w:val="0"/>
    <w:rPr>
      <w:rFonts w:ascii="宋体" w:hAnsi="Courier New" w:eastAsia="宋体" w:cs="Courier New"/>
      <w:szCs w:val="21"/>
    </w:rPr>
  </w:style>
  <w:style w:type="character" w:customStyle="1" w:styleId="188">
    <w:name w:val="二级无 Char"/>
    <w:link w:val="189"/>
    <w:qFormat/>
    <w:uiPriority w:val="0"/>
    <w:rPr>
      <w:rFonts w:ascii="宋体"/>
      <w:szCs w:val="21"/>
    </w:rPr>
  </w:style>
  <w:style w:type="paragraph" w:customStyle="1" w:styleId="189">
    <w:name w:val="二级无"/>
    <w:basedOn w:val="1"/>
    <w:link w:val="188"/>
    <w:qFormat/>
    <w:uiPriority w:val="0"/>
    <w:pPr>
      <w:widowControl/>
      <w:spacing w:before="50" w:after="50"/>
      <w:ind w:left="710"/>
      <w:jc w:val="left"/>
      <w:outlineLvl w:val="3"/>
    </w:pPr>
    <w:rPr>
      <w:rFonts w:ascii="宋体"/>
      <w:kern w:val="0"/>
      <w:sz w:val="20"/>
      <w:szCs w:val="21"/>
    </w:rPr>
  </w:style>
  <w:style w:type="paragraph" w:customStyle="1" w:styleId="19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1">
    <w:name w:val="一级条标题"/>
    <w:next w:val="190"/>
    <w:qFormat/>
    <w:uiPriority w:val="0"/>
    <w:pPr>
      <w:numPr>
        <w:ilvl w:val="0"/>
        <w:numId w:val="10"/>
      </w:numPr>
      <w:tabs>
        <w:tab w:val="left" w:pos="420"/>
        <w:tab w:val="left" w:pos="840"/>
      </w:tabs>
      <w:spacing w:beforeLines="50" w:afterLines="50"/>
      <w:outlineLvl w:val="2"/>
    </w:pPr>
    <w:rPr>
      <w:rFonts w:ascii="黑体" w:hAnsi="Times New Roman" w:eastAsia="黑体" w:cs="Times New Roman"/>
      <w:kern w:val="2"/>
      <w:sz w:val="21"/>
      <w:szCs w:val="21"/>
      <w:lang w:val="en-US" w:eastAsia="zh-CN" w:bidi="ar-SA"/>
    </w:rPr>
  </w:style>
  <w:style w:type="paragraph" w:customStyle="1" w:styleId="192">
    <w:name w:val="WPSOffice手动目录 1"/>
    <w:qFormat/>
    <w:uiPriority w:val="0"/>
    <w:rPr>
      <w:rFonts w:asciiTheme="minorHAnsi" w:hAnsiTheme="minorHAnsi" w:eastAsiaTheme="minorEastAsia" w:cstheme="minorBidi"/>
      <w:lang w:val="en-US" w:eastAsia="zh-CN" w:bidi="ar-SA"/>
    </w:rPr>
  </w:style>
  <w:style w:type="paragraph" w:customStyle="1" w:styleId="193">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194">
    <w:name w:val="WPSOffice手动目录 3"/>
    <w:qFormat/>
    <w:uiPriority w:val="0"/>
    <w:pPr>
      <w:ind w:left="400" w:leftChars="400"/>
    </w:pPr>
    <w:rPr>
      <w:rFonts w:asciiTheme="minorHAnsi" w:hAnsiTheme="minorHAnsi" w:eastAsiaTheme="minorEastAsia" w:cstheme="minorBidi"/>
      <w:lang w:val="en-US" w:eastAsia="zh-CN" w:bidi="ar-SA"/>
    </w:rPr>
  </w:style>
  <w:style w:type="character" w:customStyle="1" w:styleId="195">
    <w:name w:val="font31"/>
    <w:basedOn w:val="92"/>
    <w:qFormat/>
    <w:uiPriority w:val="0"/>
    <w:rPr>
      <w:rFonts w:hint="eastAsia" w:ascii="宋体" w:hAnsi="宋体" w:eastAsia="宋体" w:cs="宋体"/>
      <w:color w:val="000000"/>
      <w:sz w:val="18"/>
      <w:szCs w:val="18"/>
      <w:u w:val="none"/>
    </w:rPr>
  </w:style>
  <w:style w:type="character" w:customStyle="1" w:styleId="196">
    <w:name w:val="font51"/>
    <w:qFormat/>
    <w:uiPriority w:val="0"/>
    <w:rPr>
      <w:rFonts w:hint="eastAsia" w:ascii="宋体" w:hAnsi="宋体" w:eastAsia="宋体" w:cs="宋体"/>
      <w:color w:val="000000"/>
      <w:sz w:val="18"/>
      <w:szCs w:val="18"/>
      <w:u w:val="none"/>
    </w:rPr>
  </w:style>
  <w:style w:type="paragraph" w:customStyle="1" w:styleId="197">
    <w:name w:val="正文缩进1"/>
    <w:basedOn w:val="1"/>
    <w:qFormat/>
    <w:uiPriority w:val="0"/>
    <w:pPr>
      <w:widowControl/>
      <w:ind w:firstLine="420"/>
      <w:jc w:val="left"/>
    </w:pPr>
    <w:rPr>
      <w:kern w:val="0"/>
    </w:rPr>
  </w:style>
  <w:style w:type="character" w:customStyle="1" w:styleId="198">
    <w:name w:val="font41"/>
    <w:basedOn w:val="92"/>
    <w:qFormat/>
    <w:uiPriority w:val="0"/>
    <w:rPr>
      <w:rFonts w:hint="eastAsia" w:ascii="黑体" w:hAnsi="宋体" w:eastAsia="黑体" w:cs="黑体"/>
      <w:color w:val="000000"/>
      <w:sz w:val="36"/>
      <w:szCs w:val="36"/>
      <w:u w:val="none"/>
    </w:rPr>
  </w:style>
  <w:style w:type="character" w:customStyle="1" w:styleId="199">
    <w:name w:val="font61"/>
    <w:basedOn w:val="92"/>
    <w:qFormat/>
    <w:uiPriority w:val="0"/>
    <w:rPr>
      <w:rFonts w:hint="eastAsia" w:ascii="宋体" w:hAnsi="宋体" w:eastAsia="宋体" w:cs="宋体"/>
      <w:color w:val="000000"/>
      <w:sz w:val="24"/>
      <w:szCs w:val="24"/>
      <w:u w:val="none"/>
    </w:rPr>
  </w:style>
  <w:style w:type="paragraph" w:customStyle="1" w:styleId="200">
    <w:name w:val="表格文字"/>
    <w:basedOn w:val="1"/>
    <w:next w:val="37"/>
    <w:qFormat/>
    <w:uiPriority w:val="99"/>
    <w:pPr>
      <w:snapToGrid w:val="0"/>
      <w:spacing w:before="120"/>
    </w:pPr>
    <w:rPr>
      <w:szCs w:val="20"/>
    </w:rPr>
  </w:style>
  <w:style w:type="character" w:customStyle="1" w:styleId="201">
    <w:name w:val="未处理的提及1"/>
    <w:basedOn w:val="92"/>
    <w:semiHidden/>
    <w:unhideWhenUsed/>
    <w:qFormat/>
    <w:uiPriority w:val="99"/>
    <w:rPr>
      <w:color w:val="605E5C"/>
      <w:shd w:val="clear" w:color="auto" w:fill="E1DFDD"/>
    </w:rPr>
  </w:style>
  <w:style w:type="table" w:customStyle="1" w:styleId="202">
    <w:name w:val="TableGrid"/>
    <w:basedOn w:val="90"/>
    <w:qFormat/>
    <w:uiPriority w:val="0"/>
    <w:rPr>
      <w:rFonts w:hint="eastAsia" w:ascii="等线" w:hAnsi="等线" w:eastAsia="等线" w:cs="等线"/>
      <w:kern w:val="2"/>
      <w:sz w:val="21"/>
      <w:szCs w:val="22"/>
    </w:rPr>
    <w:tblPr>
      <w:tblCellMar>
        <w:left w:w="0" w:type="dxa"/>
        <w:right w:w="0" w:type="dxa"/>
      </w:tblCellMar>
    </w:tblPr>
  </w:style>
  <w:style w:type="character" w:customStyle="1" w:styleId="203">
    <w:name w:val="font111"/>
    <w:basedOn w:val="92"/>
    <w:qFormat/>
    <w:uiPriority w:val="0"/>
    <w:rPr>
      <w:rFonts w:hint="default" w:ascii="Arial" w:hAnsi="Arial" w:cs="Arial"/>
      <w:color w:val="FF0000"/>
      <w:sz w:val="24"/>
      <w:szCs w:val="24"/>
      <w:u w:val="none"/>
    </w:rPr>
  </w:style>
  <w:style w:type="character" w:customStyle="1" w:styleId="204">
    <w:name w:val="font142"/>
    <w:basedOn w:val="92"/>
    <w:qFormat/>
    <w:uiPriority w:val="0"/>
    <w:rPr>
      <w:rFonts w:hint="eastAsia" w:ascii="宋体" w:hAnsi="宋体" w:eastAsia="宋体" w:cs="宋体"/>
      <w:color w:val="000000"/>
      <w:sz w:val="22"/>
      <w:szCs w:val="22"/>
      <w:u w:val="none"/>
    </w:rPr>
  </w:style>
  <w:style w:type="character" w:customStyle="1" w:styleId="205">
    <w:name w:val="font101"/>
    <w:basedOn w:val="92"/>
    <w:qFormat/>
    <w:uiPriority w:val="0"/>
    <w:rPr>
      <w:rFonts w:hint="default" w:ascii="Arial" w:hAnsi="Arial" w:cs="Arial"/>
      <w:color w:val="000000"/>
      <w:sz w:val="22"/>
      <w:szCs w:val="22"/>
      <w:u w:val="none"/>
    </w:rPr>
  </w:style>
  <w:style w:type="character" w:customStyle="1" w:styleId="206">
    <w:name w:val="font151"/>
    <w:basedOn w:val="92"/>
    <w:qFormat/>
    <w:uiPriority w:val="0"/>
    <w:rPr>
      <w:rFonts w:hint="eastAsia" w:ascii="宋体" w:hAnsi="宋体" w:eastAsia="宋体" w:cs="宋体"/>
      <w:color w:val="000000"/>
      <w:sz w:val="22"/>
      <w:szCs w:val="22"/>
      <w:u w:val="none"/>
    </w:rPr>
  </w:style>
  <w:style w:type="character" w:customStyle="1" w:styleId="207">
    <w:name w:val="font161"/>
    <w:basedOn w:val="92"/>
    <w:qFormat/>
    <w:uiPriority w:val="0"/>
    <w:rPr>
      <w:rFonts w:hint="eastAsia" w:ascii="宋体" w:hAnsi="宋体" w:eastAsia="宋体" w:cs="宋体"/>
      <w:color w:val="FF0000"/>
      <w:sz w:val="22"/>
      <w:szCs w:val="22"/>
      <w:u w:val="none"/>
    </w:rPr>
  </w:style>
  <w:style w:type="character" w:customStyle="1" w:styleId="208">
    <w:name w:val="font171"/>
    <w:basedOn w:val="92"/>
    <w:qFormat/>
    <w:uiPriority w:val="0"/>
    <w:rPr>
      <w:rFonts w:hint="default" w:ascii="Arial" w:hAnsi="Arial" w:cs="Arial"/>
      <w:color w:val="FF0000"/>
      <w:sz w:val="22"/>
      <w:szCs w:val="22"/>
      <w:u w:val="none"/>
    </w:rPr>
  </w:style>
  <w:style w:type="character" w:customStyle="1" w:styleId="209">
    <w:name w:val="font132"/>
    <w:basedOn w:val="92"/>
    <w:qFormat/>
    <w:uiPriority w:val="0"/>
    <w:rPr>
      <w:rFonts w:hint="eastAsia" w:ascii="宋体" w:hAnsi="宋体" w:eastAsia="宋体" w:cs="宋体"/>
      <w:color w:val="FF0000"/>
      <w:sz w:val="22"/>
      <w:szCs w:val="22"/>
      <w:u w:val="none"/>
    </w:rPr>
  </w:style>
  <w:style w:type="character" w:customStyle="1" w:styleId="210">
    <w:name w:val="font141"/>
    <w:basedOn w:val="92"/>
    <w:qFormat/>
    <w:uiPriority w:val="0"/>
    <w:rPr>
      <w:rFonts w:hint="eastAsia" w:ascii="宋体" w:hAnsi="宋体" w:eastAsia="宋体" w:cs="宋体"/>
      <w:color w:val="000000"/>
      <w:sz w:val="22"/>
      <w:szCs w:val="22"/>
      <w:u w:val="none"/>
    </w:rPr>
  </w:style>
  <w:style w:type="character" w:customStyle="1" w:styleId="211">
    <w:name w:val="mini-tree-nodetext3"/>
    <w:basedOn w:val="92"/>
    <w:qFormat/>
    <w:uiPriority w:val="0"/>
  </w:style>
  <w:style w:type="character" w:customStyle="1" w:styleId="212">
    <w:name w:val="mini-tree-nodetext2"/>
    <w:basedOn w:val="92"/>
    <w:qFormat/>
    <w:uiPriority w:val="0"/>
  </w:style>
  <w:style w:type="paragraph" w:customStyle="1" w:styleId="213">
    <w:name w:val="Body text|1"/>
    <w:basedOn w:val="1"/>
    <w:qFormat/>
    <w:uiPriority w:val="0"/>
    <w:pPr>
      <w:spacing w:line="401" w:lineRule="auto"/>
      <w:ind w:firstLine="400"/>
    </w:pPr>
    <w:rPr>
      <w:rFonts w:ascii="宋体" w:hAnsi="宋体" w:cs="宋体"/>
      <w:sz w:val="30"/>
      <w:szCs w:val="30"/>
      <w:lang w:val="zh-TW" w:eastAsia="zh-TW" w:bidi="zh-TW"/>
    </w:rPr>
  </w:style>
  <w:style w:type="paragraph" w:customStyle="1" w:styleId="214">
    <w:name w:val="msolistparagraph"/>
    <w:basedOn w:val="1"/>
    <w:qFormat/>
    <w:uiPriority w:val="0"/>
    <w:pPr>
      <w:spacing w:line="360" w:lineRule="auto"/>
      <w:ind w:firstLine="420" w:firstLineChars="200"/>
      <w:jc w:val="left"/>
    </w:pPr>
    <w:rPr>
      <w:rFonts w:eastAsia="微软雅黑"/>
      <w:sz w:val="24"/>
      <w:szCs w:val="21"/>
    </w:rPr>
  </w:style>
  <w:style w:type="paragraph" w:customStyle="1" w:styleId="215">
    <w:name w:val="List Paragraph1"/>
    <w:basedOn w:val="1"/>
    <w:qFormat/>
    <w:uiPriority w:val="0"/>
    <w:pPr>
      <w:spacing w:line="360" w:lineRule="auto"/>
      <w:ind w:firstLine="420" w:firstLineChars="200"/>
      <w:jc w:val="left"/>
    </w:pPr>
    <w:rPr>
      <w:rFonts w:eastAsia="微软雅黑"/>
      <w:sz w:val="24"/>
    </w:rPr>
  </w:style>
  <w:style w:type="table" w:customStyle="1" w:styleId="216">
    <w:name w:val="Table Normal"/>
    <w:basedOn w:val="90"/>
    <w:unhideWhenUsed/>
    <w:qFormat/>
    <w:uiPriority w:val="0"/>
    <w:tblPr>
      <w:tblCellMar>
        <w:left w:w="0" w:type="dxa"/>
        <w:right w:w="0" w:type="dxa"/>
      </w:tblCellMar>
    </w:tblPr>
  </w:style>
  <w:style w:type="paragraph" w:customStyle="1" w:styleId="217">
    <w:name w:val="列出段落2"/>
    <w:basedOn w:val="1"/>
    <w:next w:val="1"/>
    <w:qFormat/>
    <w:uiPriority w:val="34"/>
    <w:pPr>
      <w:ind w:firstLine="420" w:firstLineChars="200"/>
    </w:pPr>
  </w:style>
  <w:style w:type="character" w:customStyle="1" w:styleId="218">
    <w:name w:val="font112"/>
    <w:basedOn w:val="92"/>
    <w:qFormat/>
    <w:uiPriority w:val="0"/>
    <w:rPr>
      <w:rFonts w:ascii="Arial" w:hAnsi="Arial" w:cs="Arial"/>
      <w:color w:val="000000"/>
      <w:sz w:val="44"/>
      <w:szCs w:val="44"/>
      <w:u w:val="none"/>
    </w:rPr>
  </w:style>
  <w:style w:type="paragraph" w:customStyle="1" w:styleId="219">
    <w:name w:val="Table Text"/>
    <w:basedOn w:val="1"/>
    <w:qFormat/>
    <w:uiPriority w:val="0"/>
    <w:rPr>
      <w:rFonts w:ascii="宋体" w:hAnsi="宋体" w:cs="宋体"/>
      <w:sz w:val="24"/>
      <w:lang w:eastAsia="en-US"/>
    </w:rPr>
  </w:style>
  <w:style w:type="paragraph" w:customStyle="1" w:styleId="220">
    <w:name w:val="列表段落1"/>
    <w:basedOn w:val="1"/>
    <w:qFormat/>
    <w:uiPriority w:val="34"/>
    <w:pPr>
      <w:ind w:firstLine="420" w:firstLineChars="200"/>
    </w:pPr>
  </w:style>
  <w:style w:type="paragraph" w:customStyle="1" w:styleId="221">
    <w:name w:val="正文缩进_0"/>
    <w:basedOn w:val="222"/>
    <w:qFormat/>
    <w:uiPriority w:val="0"/>
    <w:pPr>
      <w:widowControl/>
      <w:ind w:firstLine="420"/>
      <w:jc w:val="left"/>
    </w:pPr>
    <w:rPr>
      <w:kern w:val="0"/>
      <w:sz w:val="20"/>
      <w:szCs w:val="20"/>
    </w:rPr>
  </w:style>
  <w:style w:type="paragraph" w:customStyle="1" w:styleId="222">
    <w:name w:val="正文_2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23">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224">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225">
    <w:name w:val="font6"/>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22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2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2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2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30">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3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3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233">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34">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235">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23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7">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8">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39">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40">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character" w:customStyle="1" w:styleId="241">
    <w:name w:val="apple-converted-space"/>
    <w:basedOn w:val="92"/>
    <w:qFormat/>
    <w:uiPriority w:val="0"/>
  </w:style>
  <w:style w:type="character" w:customStyle="1" w:styleId="242">
    <w:name w:val="样式 样式 正文缩进 + 黑色 + 宋体 Char"/>
    <w:basedOn w:val="92"/>
    <w:link w:val="243"/>
    <w:qFormat/>
    <w:uiPriority w:val="0"/>
    <w:rPr>
      <w:rFonts w:hint="eastAsia" w:ascii="宋体" w:hAnsi="宋体" w:eastAsia="宋体" w:cs="宋体"/>
      <w:color w:val="000000"/>
      <w:kern w:val="2"/>
      <w:sz w:val="21"/>
      <w:szCs w:val="24"/>
    </w:rPr>
  </w:style>
  <w:style w:type="paragraph" w:customStyle="1" w:styleId="243">
    <w:name w:val="样式 样式 正文缩进 + 黑色 + 宋体"/>
    <w:basedOn w:val="1"/>
    <w:link w:val="242"/>
    <w:qFormat/>
    <w:uiPriority w:val="0"/>
    <w:pPr>
      <w:ind w:firstLine="420" w:firstLineChars="200"/>
    </w:pPr>
    <w:rPr>
      <w:rFonts w:hint="eastAsia" w:ascii="宋体" w:hAnsi="宋体" w:cs="宋体"/>
      <w:color w:val="000000"/>
    </w:rPr>
  </w:style>
  <w:style w:type="character" w:customStyle="1" w:styleId="244">
    <w:name w:val="访问过的超链接1"/>
    <w:basedOn w:val="92"/>
    <w:qFormat/>
    <w:uiPriority w:val="0"/>
    <w:rPr>
      <w:color w:val="800080"/>
      <w:u w:val="single"/>
    </w:rPr>
  </w:style>
  <w:style w:type="character" w:customStyle="1" w:styleId="245">
    <w:name w:val="题注 字符"/>
    <w:basedOn w:val="92"/>
    <w:qFormat/>
    <w:uiPriority w:val="0"/>
    <w:rPr>
      <w:rFonts w:hint="default" w:ascii="Calibri Light" w:hAnsi="Calibri Light" w:eastAsia="黑体" w:cs="Times New Roman"/>
      <w:sz w:val="20"/>
      <w:szCs w:val="20"/>
    </w:rPr>
  </w:style>
  <w:style w:type="character" w:customStyle="1" w:styleId="246">
    <w:name w:val="未处理的提及3"/>
    <w:basedOn w:val="92"/>
    <w:qFormat/>
    <w:uiPriority w:val="99"/>
    <w:rPr>
      <w:color w:val="605E5C"/>
      <w:shd w:val="clear" w:color="auto" w:fill="E1DFDD"/>
    </w:rPr>
  </w:style>
  <w:style w:type="character" w:customStyle="1" w:styleId="247">
    <w:name w:val="未处理的提及5"/>
    <w:basedOn w:val="92"/>
    <w:qFormat/>
    <w:uiPriority w:val="99"/>
    <w:rPr>
      <w:color w:val="605E5C"/>
      <w:shd w:val="clear" w:color="auto" w:fill="E1DFDD"/>
    </w:rPr>
  </w:style>
  <w:style w:type="character" w:customStyle="1" w:styleId="248">
    <w:name w:val="正文标准样式ty Char2"/>
    <w:basedOn w:val="92"/>
    <w:link w:val="249"/>
    <w:qFormat/>
    <w:uiPriority w:val="0"/>
    <w:rPr>
      <w:kern w:val="2"/>
      <w:sz w:val="24"/>
    </w:rPr>
  </w:style>
  <w:style w:type="paragraph" w:customStyle="1" w:styleId="249">
    <w:name w:val="正文标准样式ty"/>
    <w:basedOn w:val="1"/>
    <w:link w:val="248"/>
    <w:qFormat/>
    <w:uiPriority w:val="0"/>
    <w:pPr>
      <w:spacing w:line="360" w:lineRule="auto"/>
      <w:ind w:firstLine="480" w:firstLineChars="200"/>
    </w:pPr>
    <w:rPr>
      <w:rFonts w:ascii="Calibri" w:hAnsi="Calibri" w:cs="Calibri"/>
      <w:sz w:val="24"/>
      <w:szCs w:val="20"/>
    </w:rPr>
  </w:style>
  <w:style w:type="character" w:customStyle="1" w:styleId="250">
    <w:name w:val="标题 1 Char1"/>
    <w:basedOn w:val="92"/>
    <w:qFormat/>
    <w:uiPriority w:val="0"/>
    <w:rPr>
      <w:rFonts w:hint="eastAsia" w:ascii="华文中宋" w:hAnsi="华文中宋" w:eastAsia="华文中宋" w:cs="华文中宋"/>
      <w:b/>
      <w:bCs/>
      <w:kern w:val="44"/>
      <w:sz w:val="36"/>
      <w:szCs w:val="44"/>
    </w:rPr>
  </w:style>
  <w:style w:type="character" w:customStyle="1" w:styleId="251">
    <w:name w:val="标题5 字符"/>
    <w:link w:val="252"/>
    <w:qFormat/>
    <w:uiPriority w:val="0"/>
    <w:rPr>
      <w:rFonts w:hint="default" w:ascii="Times New Roman" w:hAnsi="Times New Roman" w:eastAsia="黑体" w:cs="Times New Roman"/>
      <w:bCs/>
      <w:kern w:val="2"/>
      <w:sz w:val="24"/>
      <w:szCs w:val="28"/>
    </w:rPr>
  </w:style>
  <w:style w:type="paragraph" w:customStyle="1" w:styleId="252">
    <w:name w:val="标题5"/>
    <w:basedOn w:val="7"/>
    <w:link w:val="251"/>
    <w:qFormat/>
    <w:uiPriority w:val="0"/>
    <w:pPr>
      <w:adjustRightInd/>
      <w:spacing w:before="0" w:after="0" w:line="360" w:lineRule="auto"/>
      <w:textAlignment w:val="auto"/>
    </w:pPr>
    <w:rPr>
      <w:rFonts w:eastAsia="黑体"/>
      <w:b w:val="0"/>
      <w:kern w:val="2"/>
      <w:sz w:val="24"/>
    </w:rPr>
  </w:style>
  <w:style w:type="character" w:customStyle="1" w:styleId="253">
    <w:name w:val="cyh2 Char"/>
    <w:basedOn w:val="92"/>
    <w:link w:val="254"/>
    <w:qFormat/>
    <w:uiPriority w:val="0"/>
    <w:rPr>
      <w:b/>
      <w:kern w:val="2"/>
      <w:sz w:val="30"/>
      <w:szCs w:val="30"/>
    </w:rPr>
  </w:style>
  <w:style w:type="paragraph" w:customStyle="1" w:styleId="254">
    <w:name w:val="cyh2"/>
    <w:basedOn w:val="1"/>
    <w:next w:val="1"/>
    <w:link w:val="253"/>
    <w:qFormat/>
    <w:uiPriority w:val="0"/>
    <w:pPr>
      <w:spacing w:before="156" w:beforeLines="50" w:after="156" w:afterLines="50" w:line="360" w:lineRule="auto"/>
      <w:jc w:val="left"/>
      <w:outlineLvl w:val="1"/>
    </w:pPr>
    <w:rPr>
      <w:rFonts w:ascii="Calibri" w:hAnsi="Calibri" w:cs="Calibri"/>
      <w:b/>
      <w:sz w:val="30"/>
      <w:szCs w:val="30"/>
    </w:rPr>
  </w:style>
  <w:style w:type="character" w:customStyle="1" w:styleId="255">
    <w:name w:val="Char Char1"/>
    <w:basedOn w:val="92"/>
    <w:qFormat/>
    <w:uiPriority w:val="0"/>
    <w:rPr>
      <w:rFonts w:hint="eastAsia" w:ascii="宋体" w:hAnsi="宋体" w:eastAsia="宋体" w:cs="宋体"/>
      <w:b/>
      <w:bCs/>
      <w:kern w:val="2"/>
      <w:sz w:val="32"/>
      <w:szCs w:val="32"/>
      <w:lang w:val="en-US" w:eastAsia="zh-CN" w:bidi="ar"/>
    </w:rPr>
  </w:style>
  <w:style w:type="character" w:customStyle="1" w:styleId="256">
    <w:name w:val="line-space1"/>
    <w:basedOn w:val="92"/>
    <w:qFormat/>
    <w:uiPriority w:val="0"/>
    <w:rPr>
      <w:sz w:val="18"/>
    </w:rPr>
  </w:style>
  <w:style w:type="character" w:customStyle="1" w:styleId="257">
    <w:name w:val="标题 6 Char1"/>
    <w:basedOn w:val="92"/>
    <w:qFormat/>
    <w:uiPriority w:val="9"/>
    <w:rPr>
      <w:rFonts w:hint="default" w:ascii="Arial" w:hAnsi="Arial" w:eastAsia="华文中宋" w:cs="Arial"/>
      <w:b/>
      <w:bCs/>
      <w:sz w:val="28"/>
      <w:szCs w:val="24"/>
    </w:rPr>
  </w:style>
  <w:style w:type="character" w:customStyle="1" w:styleId="258">
    <w:name w:val="页眉 字符1"/>
    <w:basedOn w:val="92"/>
    <w:link w:val="60"/>
    <w:qFormat/>
    <w:uiPriority w:val="99"/>
    <w:rPr>
      <w:rFonts w:hint="default" w:ascii="Calibri" w:hAnsi="Calibri" w:eastAsia="等线" w:cs="Arial"/>
      <w:kern w:val="2"/>
      <w:sz w:val="18"/>
      <w:szCs w:val="18"/>
    </w:rPr>
  </w:style>
  <w:style w:type="character" w:customStyle="1" w:styleId="259">
    <w:name w:val="Char Char2"/>
    <w:basedOn w:val="92"/>
    <w:qFormat/>
    <w:uiPriority w:val="0"/>
    <w:rPr>
      <w:rFonts w:hint="eastAsia" w:ascii="宋体" w:hAnsi="宋体" w:eastAsia="宋体" w:cs="宋体"/>
      <w:b/>
      <w:bCs/>
      <w:kern w:val="44"/>
      <w:sz w:val="44"/>
      <w:szCs w:val="44"/>
      <w:lang w:val="en-US" w:eastAsia="zh-CN" w:bidi="ar"/>
    </w:rPr>
  </w:style>
  <w:style w:type="character" w:customStyle="1" w:styleId="260">
    <w:name w:val="结束语 字符"/>
    <w:basedOn w:val="92"/>
    <w:qFormat/>
    <w:uiPriority w:val="0"/>
    <w:rPr>
      <w:rFonts w:hint="default" w:ascii="Calibri" w:hAnsi="Calibri" w:eastAsia="等线" w:cs="Arial"/>
      <w:kern w:val="2"/>
      <w:sz w:val="21"/>
      <w:szCs w:val="22"/>
    </w:rPr>
  </w:style>
  <w:style w:type="character" w:customStyle="1" w:styleId="261">
    <w:name w:val="标题 9 Char1"/>
    <w:basedOn w:val="92"/>
    <w:qFormat/>
    <w:uiPriority w:val="9"/>
    <w:rPr>
      <w:rFonts w:hint="eastAsia" w:ascii="黑体" w:hAnsi="宋体" w:eastAsia="黑体" w:cs="黑体"/>
      <w:sz w:val="15"/>
      <w:szCs w:val="21"/>
    </w:rPr>
  </w:style>
  <w:style w:type="character" w:customStyle="1" w:styleId="262">
    <w:name w:val="正文新 Char"/>
    <w:basedOn w:val="92"/>
    <w:link w:val="263"/>
    <w:qFormat/>
    <w:uiPriority w:val="0"/>
    <w:rPr>
      <w:sz w:val="24"/>
      <w:szCs w:val="24"/>
    </w:rPr>
  </w:style>
  <w:style w:type="paragraph" w:customStyle="1" w:styleId="263">
    <w:name w:val="正文新"/>
    <w:basedOn w:val="1"/>
    <w:link w:val="262"/>
    <w:qFormat/>
    <w:uiPriority w:val="0"/>
    <w:pPr>
      <w:spacing w:line="360" w:lineRule="auto"/>
      <w:ind w:firstLine="480" w:firstLineChars="200"/>
    </w:pPr>
    <w:rPr>
      <w:rFonts w:ascii="Calibri" w:hAnsi="Calibri" w:cs="Calibri"/>
      <w:kern w:val="0"/>
      <w:sz w:val="24"/>
    </w:rPr>
  </w:style>
  <w:style w:type="character" w:customStyle="1" w:styleId="264">
    <w:name w:val="明显引用 字符1"/>
    <w:basedOn w:val="92"/>
    <w:qFormat/>
    <w:uiPriority w:val="0"/>
    <w:rPr>
      <w:b/>
      <w:bCs/>
      <w:i/>
      <w:iCs/>
      <w:color w:val="4F81BD"/>
      <w:kern w:val="2"/>
      <w:sz w:val="24"/>
      <w:szCs w:val="24"/>
    </w:rPr>
  </w:style>
  <w:style w:type="character" w:customStyle="1" w:styleId="265">
    <w:name w:val="style10 style11 style12"/>
    <w:basedOn w:val="92"/>
    <w:qFormat/>
    <w:uiPriority w:val="0"/>
  </w:style>
  <w:style w:type="character" w:customStyle="1" w:styleId="266">
    <w:name w:val="政协方案正文 Char"/>
    <w:basedOn w:val="92"/>
    <w:link w:val="267"/>
    <w:qFormat/>
    <w:uiPriority w:val="0"/>
    <w:rPr>
      <w:rFonts w:hint="eastAsia" w:ascii="仿宋" w:hAnsi="仿宋" w:eastAsia="仿宋" w:cs="仿宋"/>
      <w:sz w:val="24"/>
      <w:szCs w:val="28"/>
    </w:rPr>
  </w:style>
  <w:style w:type="paragraph" w:customStyle="1" w:styleId="267">
    <w:name w:val="政协方案正文"/>
    <w:basedOn w:val="1"/>
    <w:link w:val="266"/>
    <w:qFormat/>
    <w:uiPriority w:val="0"/>
    <w:pPr>
      <w:widowControl/>
      <w:spacing w:line="360" w:lineRule="auto"/>
      <w:ind w:firstLine="560" w:firstLineChars="200"/>
      <w:jc w:val="left"/>
    </w:pPr>
    <w:rPr>
      <w:rFonts w:hint="eastAsia" w:ascii="仿宋" w:hAnsi="仿宋" w:eastAsia="仿宋" w:cs="仿宋"/>
      <w:kern w:val="0"/>
      <w:sz w:val="24"/>
      <w:szCs w:val="28"/>
    </w:rPr>
  </w:style>
  <w:style w:type="character" w:customStyle="1" w:styleId="268">
    <w:name w:val="style131"/>
    <w:basedOn w:val="92"/>
    <w:qFormat/>
    <w:uiPriority w:val="0"/>
    <w:rPr>
      <w:color w:val="FF0000"/>
      <w:sz w:val="18"/>
      <w:szCs w:val="18"/>
    </w:rPr>
  </w:style>
  <w:style w:type="character" w:customStyle="1" w:styleId="269">
    <w:name w:val="未处理的提及12"/>
    <w:basedOn w:val="92"/>
    <w:qFormat/>
    <w:uiPriority w:val="0"/>
    <w:rPr>
      <w:color w:val="605E5C"/>
      <w:shd w:val="clear" w:color="auto" w:fill="E1DFDD"/>
    </w:rPr>
  </w:style>
  <w:style w:type="character" w:customStyle="1" w:styleId="270">
    <w:name w:val="正文首行缩进 Char1"/>
    <w:basedOn w:val="92"/>
    <w:qFormat/>
    <w:uiPriority w:val="0"/>
    <w:rPr>
      <w:rFonts w:hint="eastAsia" w:ascii="仿宋" w:hAnsi="仿宋" w:eastAsia="仿宋" w:cs="宋体"/>
      <w:kern w:val="2"/>
      <w:sz w:val="24"/>
      <w:szCs w:val="21"/>
    </w:rPr>
  </w:style>
  <w:style w:type="character" w:customStyle="1" w:styleId="271">
    <w:name w:val="文档正文 Char"/>
    <w:basedOn w:val="92"/>
    <w:qFormat/>
    <w:uiPriority w:val="0"/>
    <w:rPr>
      <w:rFonts w:hint="default" w:ascii="Book Antiqua" w:hAnsi="Book Antiqua" w:eastAsia="宋体" w:cs="Book Antiqua"/>
      <w:sz w:val="24"/>
      <w:lang w:val="en-US" w:eastAsia="zh-CN" w:bidi="ar"/>
    </w:rPr>
  </w:style>
  <w:style w:type="character" w:customStyle="1" w:styleId="272">
    <w:name w:val="正文仿宋样式1 Char"/>
    <w:basedOn w:val="92"/>
    <w:link w:val="273"/>
    <w:qFormat/>
    <w:uiPriority w:val="0"/>
    <w:rPr>
      <w:rFonts w:hint="default" w:ascii="Times New Roman" w:hAnsi="Times New Roman" w:eastAsia="仿宋_GB2312" w:cs="Times New Roman"/>
      <w:kern w:val="2"/>
      <w:sz w:val="24"/>
      <w:szCs w:val="24"/>
    </w:rPr>
  </w:style>
  <w:style w:type="paragraph" w:customStyle="1" w:styleId="273">
    <w:name w:val="正文仿宋样式1"/>
    <w:basedOn w:val="1"/>
    <w:link w:val="272"/>
    <w:qFormat/>
    <w:uiPriority w:val="0"/>
    <w:pPr>
      <w:widowControl/>
      <w:spacing w:line="276" w:lineRule="auto"/>
      <w:jc w:val="center"/>
    </w:pPr>
    <w:rPr>
      <w:rFonts w:eastAsia="仿宋_GB2312"/>
      <w:sz w:val="24"/>
    </w:rPr>
  </w:style>
  <w:style w:type="character" w:customStyle="1" w:styleId="274">
    <w:name w:val="HTML 地址 字符1"/>
    <w:basedOn w:val="92"/>
    <w:link w:val="44"/>
    <w:qFormat/>
    <w:uiPriority w:val="0"/>
    <w:rPr>
      <w:rFonts w:hint="default" w:ascii="Times New Roman" w:hAnsi="Times New Roman" w:cs="Times New Roman"/>
      <w:i/>
      <w:iCs/>
      <w:sz w:val="21"/>
      <w:szCs w:val="21"/>
    </w:rPr>
  </w:style>
  <w:style w:type="character" w:customStyle="1" w:styleId="275">
    <w:name w:val="3 Char"/>
    <w:basedOn w:val="92"/>
    <w:qFormat/>
    <w:uiPriority w:val="0"/>
    <w:rPr>
      <w:rFonts w:hint="eastAsia" w:ascii="宋体" w:hAnsi="宋体" w:eastAsia="宋体" w:cs="仿宋_GB2312"/>
      <w:b/>
      <w:color w:val="000000"/>
      <w:sz w:val="32"/>
      <w:szCs w:val="32"/>
    </w:rPr>
  </w:style>
  <w:style w:type="character" w:customStyle="1" w:styleId="276">
    <w:name w:val="内容 Char1"/>
    <w:basedOn w:val="92"/>
    <w:qFormat/>
    <w:uiPriority w:val="0"/>
    <w:rPr>
      <w:rFonts w:hint="eastAsia" w:ascii="宋体" w:hAnsi="宋体" w:eastAsia="宋体" w:cs="宋体"/>
      <w:kern w:val="2"/>
      <w:sz w:val="24"/>
      <w:lang w:val="zh-CN" w:eastAsia="zh-CN" w:bidi="ar"/>
    </w:rPr>
  </w:style>
  <w:style w:type="character" w:customStyle="1" w:styleId="277">
    <w:name w:val="页脚密级（绿盟科技） Char"/>
    <w:basedOn w:val="92"/>
    <w:link w:val="278"/>
    <w:qFormat/>
    <w:uiPriority w:val="0"/>
    <w:rPr>
      <w:rFonts w:hint="default" w:ascii="Arial" w:hAnsi="Arial" w:cs="Arial"/>
      <w:b/>
      <w:color w:val="FF0000"/>
      <w:sz w:val="18"/>
      <w:szCs w:val="18"/>
    </w:rPr>
  </w:style>
  <w:style w:type="paragraph" w:customStyle="1" w:styleId="278">
    <w:name w:val="页脚密级（1）"/>
    <w:basedOn w:val="279"/>
    <w:link w:val="277"/>
    <w:qFormat/>
    <w:uiPriority w:val="0"/>
    <w:pPr>
      <w:tabs>
        <w:tab w:val="center" w:pos="4153"/>
        <w:tab w:val="right" w:pos="8306"/>
      </w:tabs>
    </w:pPr>
    <w:rPr>
      <w:color w:val="FF0000"/>
    </w:rPr>
  </w:style>
  <w:style w:type="paragraph" w:customStyle="1" w:styleId="279">
    <w:name w:val="页脚右端（绿盟科技）"/>
    <w:basedOn w:val="280"/>
    <w:link w:val="452"/>
    <w:qFormat/>
    <w:uiPriority w:val="0"/>
    <w:pPr>
      <w:tabs>
        <w:tab w:val="center" w:pos="4153"/>
        <w:tab w:val="right" w:pos="8306"/>
      </w:tabs>
      <w:jc w:val="right"/>
    </w:pPr>
  </w:style>
  <w:style w:type="paragraph" w:customStyle="1" w:styleId="280">
    <w:name w:val="页脚左端（绿盟科技）"/>
    <w:basedOn w:val="1"/>
    <w:link w:val="304"/>
    <w:qFormat/>
    <w:uiPriority w:val="0"/>
    <w:pPr>
      <w:widowControl/>
      <w:pBdr>
        <w:top w:val="single" w:color="auto" w:sz="4" w:space="4"/>
      </w:pBdr>
      <w:tabs>
        <w:tab w:val="center" w:pos="4153"/>
        <w:tab w:val="right" w:pos="8306"/>
      </w:tabs>
      <w:snapToGrid w:val="0"/>
      <w:spacing w:before="100" w:beforeAutospacing="1"/>
      <w:jc w:val="left"/>
    </w:pPr>
    <w:rPr>
      <w:rFonts w:ascii="Arial" w:hAnsi="Arial" w:cs="Arial"/>
      <w:b/>
      <w:color w:val="FFFFFF"/>
      <w:kern w:val="0"/>
      <w:sz w:val="18"/>
      <w:szCs w:val="18"/>
    </w:rPr>
  </w:style>
  <w:style w:type="character" w:customStyle="1" w:styleId="281">
    <w:name w:val="headline-content2"/>
    <w:basedOn w:val="92"/>
    <w:qFormat/>
    <w:uiPriority w:val="0"/>
  </w:style>
  <w:style w:type="character" w:customStyle="1" w:styleId="282">
    <w:name w:val="标题 7 Char1"/>
    <w:basedOn w:val="92"/>
    <w:qFormat/>
    <w:uiPriority w:val="9"/>
    <w:rPr>
      <w:rFonts w:hint="eastAsia" w:ascii="黑体" w:hAnsi="宋体" w:eastAsia="黑体" w:cs="黑体"/>
      <w:b/>
      <w:bCs/>
      <w:sz w:val="24"/>
      <w:szCs w:val="24"/>
    </w:rPr>
  </w:style>
  <w:style w:type="character" w:customStyle="1" w:styleId="283">
    <w:name w:val="Title Char"/>
    <w:basedOn w:val="92"/>
    <w:qFormat/>
    <w:uiPriority w:val="0"/>
    <w:rPr>
      <w:rFonts w:hint="eastAsia" w:ascii="黑体" w:hAnsi="宋体" w:eastAsia="黑体" w:cs="黑体"/>
      <w:b/>
      <w:kern w:val="2"/>
      <w:sz w:val="32"/>
      <w:lang w:val="en-US" w:eastAsia="zh-CN"/>
    </w:rPr>
  </w:style>
  <w:style w:type="character" w:customStyle="1" w:styleId="284">
    <w:name w:val="题注 字符1"/>
    <w:basedOn w:val="92"/>
    <w:link w:val="25"/>
    <w:qFormat/>
    <w:uiPriority w:val="0"/>
    <w:rPr>
      <w:rFonts w:hint="default" w:ascii="Calibri Light" w:hAnsi="Calibri Light" w:eastAsia="黑体" w:cs="Times New Roman"/>
      <w:kern w:val="2"/>
    </w:rPr>
  </w:style>
  <w:style w:type="character" w:customStyle="1" w:styleId="285">
    <w:name w:val="无间隔 字符1"/>
    <w:basedOn w:val="92"/>
    <w:link w:val="286"/>
    <w:qFormat/>
    <w:uiPriority w:val="0"/>
    <w:rPr>
      <w:rFonts w:hint="default" w:ascii="Calibri" w:hAnsi="Calibri" w:eastAsia="等线" w:cs="Arial"/>
      <w:sz w:val="22"/>
      <w:szCs w:val="22"/>
    </w:rPr>
  </w:style>
  <w:style w:type="paragraph" w:styleId="286">
    <w:name w:val="No Spacing"/>
    <w:link w:val="285"/>
    <w:qFormat/>
    <w:uiPriority w:val="0"/>
    <w:rPr>
      <w:rFonts w:ascii="Calibri" w:hAnsi="Calibri" w:eastAsia="等线" w:cs="Arial"/>
      <w:sz w:val="22"/>
      <w:szCs w:val="22"/>
      <w:lang w:val="en-US" w:eastAsia="zh-CN" w:bidi="ar-SA"/>
    </w:rPr>
  </w:style>
  <w:style w:type="character" w:customStyle="1" w:styleId="287">
    <w:name w:val="图片DOWN Char"/>
    <w:basedOn w:val="92"/>
    <w:link w:val="288"/>
    <w:qFormat/>
    <w:uiPriority w:val="0"/>
    <w:rPr>
      <w:rFonts w:hint="default" w:ascii="Verdana" w:hAnsi="Verdana" w:cs="Verdana"/>
      <w:kern w:val="2"/>
      <w:sz w:val="24"/>
      <w:szCs w:val="21"/>
    </w:rPr>
  </w:style>
  <w:style w:type="paragraph" w:customStyle="1" w:styleId="288">
    <w:name w:val="图片DOWN"/>
    <w:basedOn w:val="1"/>
    <w:next w:val="289"/>
    <w:link w:val="287"/>
    <w:qFormat/>
    <w:uiPriority w:val="0"/>
    <w:pPr>
      <w:spacing w:line="360" w:lineRule="auto"/>
      <w:ind w:firstLine="200" w:firstLineChars="200"/>
      <w:jc w:val="center"/>
    </w:pPr>
    <w:rPr>
      <w:rFonts w:ascii="Verdana" w:hAnsi="Verdana" w:cs="Verdana"/>
      <w:sz w:val="24"/>
      <w:szCs w:val="21"/>
    </w:rPr>
  </w:style>
  <w:style w:type="paragraph" w:customStyle="1" w:styleId="289">
    <w:name w:val="正文首缩两字"/>
    <w:basedOn w:val="1"/>
    <w:link w:val="386"/>
    <w:qFormat/>
    <w:uiPriority w:val="0"/>
    <w:pPr>
      <w:spacing w:line="360" w:lineRule="auto"/>
      <w:ind w:firstLine="200" w:firstLineChars="200"/>
    </w:pPr>
    <w:rPr>
      <w:rFonts w:ascii="Tahoma" w:hAnsi="Tahoma" w:eastAsia="Tahoma" w:cs="Tahoma"/>
      <w:sz w:val="24"/>
      <w:lang w:val="zh-CN"/>
    </w:rPr>
  </w:style>
  <w:style w:type="character" w:customStyle="1" w:styleId="290">
    <w:name w:val="Document Map Char"/>
    <w:basedOn w:val="92"/>
    <w:qFormat/>
    <w:uiPriority w:val="0"/>
    <w:rPr>
      <w:rFonts w:hint="eastAsia" w:ascii="宋体" w:hAnsi="宋体" w:eastAsia="宋体" w:cs="宋体"/>
      <w:kern w:val="2"/>
      <w:sz w:val="21"/>
      <w:lang w:val="en-US" w:eastAsia="zh-CN"/>
    </w:rPr>
  </w:style>
  <w:style w:type="character" w:customStyle="1" w:styleId="291">
    <w:name w:val="引用 字符1"/>
    <w:basedOn w:val="92"/>
    <w:link w:val="292"/>
    <w:qFormat/>
    <w:uiPriority w:val="29"/>
    <w:rPr>
      <w:i/>
      <w:iCs/>
      <w:color w:val="000000"/>
      <w:kern w:val="2"/>
      <w:sz w:val="24"/>
      <w:szCs w:val="22"/>
    </w:rPr>
  </w:style>
  <w:style w:type="paragraph" w:styleId="292">
    <w:name w:val="Quote"/>
    <w:basedOn w:val="1"/>
    <w:next w:val="1"/>
    <w:link w:val="291"/>
    <w:qFormat/>
    <w:uiPriority w:val="29"/>
    <w:pPr>
      <w:spacing w:line="360" w:lineRule="auto"/>
    </w:pPr>
    <w:rPr>
      <w:rFonts w:ascii="Calibri" w:hAnsi="Calibri" w:cs="Calibri"/>
      <w:i/>
      <w:iCs/>
      <w:color w:val="000000"/>
      <w:sz w:val="24"/>
      <w:szCs w:val="22"/>
    </w:rPr>
  </w:style>
  <w:style w:type="character" w:customStyle="1" w:styleId="293">
    <w:name w:val="bt1"/>
    <w:basedOn w:val="92"/>
    <w:qFormat/>
    <w:uiPriority w:val="0"/>
  </w:style>
  <w:style w:type="character" w:customStyle="1" w:styleId="294">
    <w:name w:val="标题 3 Char1"/>
    <w:basedOn w:val="92"/>
    <w:qFormat/>
    <w:uiPriority w:val="0"/>
    <w:rPr>
      <w:rFonts w:hint="eastAsia" w:ascii="宋体" w:hAnsi="宋体" w:eastAsia="宋体" w:cs="宋体"/>
      <w:b/>
      <w:kern w:val="2"/>
      <w:sz w:val="28"/>
      <w:lang w:val="en-US" w:eastAsia="zh-CN"/>
    </w:rPr>
  </w:style>
  <w:style w:type="character" w:customStyle="1" w:styleId="295">
    <w:name w:val="未处理的提及11"/>
    <w:basedOn w:val="92"/>
    <w:qFormat/>
    <w:uiPriority w:val="0"/>
    <w:rPr>
      <w:color w:val="605E5C"/>
      <w:shd w:val="clear" w:color="auto" w:fill="E1DFDD"/>
    </w:rPr>
  </w:style>
  <w:style w:type="character" w:customStyle="1" w:styleId="296">
    <w:name w:val="无间隔 Char1"/>
    <w:basedOn w:val="92"/>
    <w:qFormat/>
    <w:uiPriority w:val="1"/>
    <w:rPr>
      <w:rFonts w:hint="eastAsia" w:ascii="仿宋" w:hAnsi="仿宋" w:eastAsia="仿宋" w:cs="仿宋"/>
      <w:sz w:val="28"/>
      <w:szCs w:val="21"/>
    </w:rPr>
  </w:style>
  <w:style w:type="character" w:customStyle="1" w:styleId="297">
    <w:name w:val="正文文本 字符2"/>
    <w:basedOn w:val="92"/>
    <w:link w:val="37"/>
    <w:qFormat/>
    <w:uiPriority w:val="0"/>
    <w:rPr>
      <w:rFonts w:hint="default" w:ascii="Times New Roman" w:hAnsi="Times New Roman" w:cs="宋体"/>
      <w:kern w:val="2"/>
      <w:sz w:val="18"/>
      <w:szCs w:val="24"/>
    </w:rPr>
  </w:style>
  <w:style w:type="character" w:customStyle="1" w:styleId="298">
    <w:name w:val="text7"/>
    <w:basedOn w:val="92"/>
    <w:qFormat/>
    <w:uiPriority w:val="0"/>
    <w:rPr>
      <w:rFonts w:hint="default" w:ascii="Verdana" w:hAnsi="Verdana" w:cs="Verdana"/>
      <w:sz w:val="22"/>
      <w:szCs w:val="22"/>
    </w:rPr>
  </w:style>
  <w:style w:type="character" w:customStyle="1" w:styleId="299">
    <w:name w:val="明显引用 字符2"/>
    <w:basedOn w:val="92"/>
    <w:qFormat/>
    <w:uiPriority w:val="0"/>
    <w:rPr>
      <w:rFonts w:hint="eastAsia" w:ascii="黑体" w:hAnsi="宋体" w:eastAsia="黑体" w:cs="黑体"/>
      <w:i/>
      <w:iCs/>
      <w:color w:val="4472C4"/>
      <w:kern w:val="2"/>
      <w:sz w:val="24"/>
      <w:szCs w:val="22"/>
    </w:rPr>
  </w:style>
  <w:style w:type="character" w:customStyle="1" w:styleId="300">
    <w:name w:val="引用 字符"/>
    <w:basedOn w:val="92"/>
    <w:qFormat/>
    <w:uiPriority w:val="99"/>
    <w:rPr>
      <w:rFonts w:hint="default" w:ascii="Calibri" w:hAnsi="Calibri" w:eastAsia="等线" w:cs="Arial"/>
      <w:i/>
      <w:iCs/>
      <w:color w:val="404040"/>
      <w:kern w:val="2"/>
      <w:sz w:val="21"/>
      <w:szCs w:val="22"/>
    </w:rPr>
  </w:style>
  <w:style w:type="character" w:customStyle="1" w:styleId="301">
    <w:name w:val="政协页眉 Char"/>
    <w:basedOn w:val="92"/>
    <w:link w:val="302"/>
    <w:qFormat/>
    <w:uiPriority w:val="0"/>
    <w:rPr>
      <w:sz w:val="24"/>
      <w:szCs w:val="24"/>
    </w:rPr>
  </w:style>
  <w:style w:type="paragraph" w:customStyle="1" w:styleId="302">
    <w:name w:val="政协页眉"/>
    <w:basedOn w:val="1"/>
    <w:link w:val="301"/>
    <w:qFormat/>
    <w:uiPriority w:val="0"/>
    <w:pPr>
      <w:widowControl/>
      <w:spacing w:line="360" w:lineRule="auto"/>
      <w:jc w:val="left"/>
    </w:pPr>
    <w:rPr>
      <w:rFonts w:ascii="Calibri" w:hAnsi="Calibri" w:cs="Calibri"/>
      <w:kern w:val="0"/>
      <w:sz w:val="24"/>
    </w:rPr>
  </w:style>
  <w:style w:type="character" w:customStyle="1" w:styleId="303">
    <w:name w:val="信息标题 字符"/>
    <w:basedOn w:val="92"/>
    <w:qFormat/>
    <w:uiPriority w:val="0"/>
    <w:rPr>
      <w:rFonts w:hint="default" w:ascii="Calibri Light" w:hAnsi="Calibri Light" w:eastAsia="等线 Light" w:cs="Times New Roman"/>
      <w:kern w:val="2"/>
      <w:sz w:val="24"/>
      <w:szCs w:val="24"/>
      <w:shd w:val="pct20" w:color="auto" w:fill="auto"/>
    </w:rPr>
  </w:style>
  <w:style w:type="character" w:customStyle="1" w:styleId="304">
    <w:name w:val="页脚左端（绿盟科技） Char"/>
    <w:basedOn w:val="305"/>
    <w:link w:val="280"/>
    <w:qFormat/>
    <w:uiPriority w:val="0"/>
    <w:rPr>
      <w:rFonts w:hint="default" w:ascii="Arial" w:hAnsi="Arial" w:cs="Arial"/>
      <w:color w:val="FFFFFF"/>
      <w:sz w:val="18"/>
      <w:szCs w:val="18"/>
    </w:rPr>
  </w:style>
  <w:style w:type="character" w:customStyle="1" w:styleId="305">
    <w:name w:val="页眉右端（绿盟科技） Char"/>
    <w:basedOn w:val="92"/>
    <w:link w:val="306"/>
    <w:qFormat/>
    <w:uiPriority w:val="0"/>
    <w:rPr>
      <w:rFonts w:hint="default" w:ascii="Arial" w:hAnsi="Arial" w:cs="Arial"/>
      <w:b/>
      <w:color w:val="FFFFFF"/>
      <w:sz w:val="18"/>
      <w:szCs w:val="18"/>
    </w:rPr>
  </w:style>
  <w:style w:type="paragraph" w:customStyle="1" w:styleId="306">
    <w:name w:val="页眉右端（绿盟科技）"/>
    <w:basedOn w:val="60"/>
    <w:link w:val="305"/>
    <w:qFormat/>
    <w:uiPriority w:val="0"/>
    <w:pPr>
      <w:widowControl/>
      <w:pBdr>
        <w:bottom w:val="single" w:color="auto" w:sz="4" w:space="9"/>
      </w:pBdr>
      <w:spacing w:before="160"/>
      <w:jc w:val="right"/>
    </w:pPr>
    <w:rPr>
      <w:rFonts w:ascii="Arial" w:hAnsi="Arial" w:cs="Arial"/>
      <w:b/>
      <w:color w:val="FFFFFF"/>
      <w:kern w:val="0"/>
    </w:rPr>
  </w:style>
  <w:style w:type="character" w:customStyle="1" w:styleId="307">
    <w:name w:val="脚注文本 字符1"/>
    <w:basedOn w:val="92"/>
    <w:link w:val="70"/>
    <w:qFormat/>
    <w:uiPriority w:val="0"/>
    <w:rPr>
      <w:rFonts w:hint="default" w:ascii="Times New Roman" w:hAnsi="Times New Roman" w:cs="Times New Roman"/>
      <w:sz w:val="18"/>
      <w:szCs w:val="18"/>
    </w:rPr>
  </w:style>
  <w:style w:type="character" w:customStyle="1" w:styleId="308">
    <w:name w:val="签名 字符"/>
    <w:basedOn w:val="92"/>
    <w:qFormat/>
    <w:uiPriority w:val="0"/>
    <w:rPr>
      <w:rFonts w:hint="default" w:ascii="Calibri" w:hAnsi="Calibri" w:eastAsia="等线" w:cs="Arial"/>
      <w:kern w:val="2"/>
      <w:sz w:val="21"/>
      <w:szCs w:val="22"/>
    </w:rPr>
  </w:style>
  <w:style w:type="character" w:customStyle="1" w:styleId="309">
    <w:name w:val="宏文本 字符1"/>
    <w:basedOn w:val="92"/>
    <w:link w:val="2"/>
    <w:qFormat/>
    <w:uiPriority w:val="0"/>
    <w:rPr>
      <w:rFonts w:hint="default" w:ascii="Courier New" w:hAnsi="Courier New" w:cs="Courier New"/>
      <w:sz w:val="24"/>
      <w:szCs w:val="24"/>
    </w:rPr>
  </w:style>
  <w:style w:type="character" w:customStyle="1" w:styleId="310">
    <w:name w:val="表格 格式 字符"/>
    <w:basedOn w:val="92"/>
    <w:link w:val="311"/>
    <w:qFormat/>
    <w:uiPriority w:val="0"/>
    <w:rPr>
      <w:rFonts w:hint="default" w:ascii="Arial" w:hAnsi="Arial" w:cs="Arial"/>
      <w:color w:val="000000"/>
    </w:rPr>
  </w:style>
  <w:style w:type="paragraph" w:customStyle="1" w:styleId="311">
    <w:name w:val="表格 格式"/>
    <w:basedOn w:val="1"/>
    <w:link w:val="310"/>
    <w:qFormat/>
    <w:uiPriority w:val="0"/>
    <w:pPr>
      <w:widowControl/>
      <w:adjustRightInd w:val="0"/>
      <w:snapToGrid w:val="0"/>
      <w:spacing w:line="276" w:lineRule="auto"/>
      <w:ind w:firstLine="200" w:firstLineChars="200"/>
      <w:textAlignment w:val="center"/>
    </w:pPr>
    <w:rPr>
      <w:rFonts w:ascii="Arial" w:hAnsi="Arial" w:cs="Arial"/>
      <w:color w:val="000000"/>
      <w:kern w:val="0"/>
      <w:sz w:val="20"/>
      <w:szCs w:val="20"/>
    </w:rPr>
  </w:style>
  <w:style w:type="character" w:customStyle="1" w:styleId="312">
    <w:name w:val="脚注文本 字符"/>
    <w:basedOn w:val="92"/>
    <w:qFormat/>
    <w:uiPriority w:val="0"/>
    <w:rPr>
      <w:rFonts w:hint="default" w:ascii="Calibri" w:hAnsi="Calibri" w:eastAsia="等线" w:cs="Arial"/>
      <w:kern w:val="2"/>
      <w:sz w:val="18"/>
      <w:szCs w:val="18"/>
    </w:rPr>
  </w:style>
  <w:style w:type="character" w:customStyle="1" w:styleId="313">
    <w:name w:val="HTML 预设格式 字符1"/>
    <w:basedOn w:val="92"/>
    <w:link w:val="83"/>
    <w:qFormat/>
    <w:uiPriority w:val="0"/>
    <w:rPr>
      <w:rFonts w:hint="default" w:ascii="Courier New" w:hAnsi="Courier New" w:cs="Courier New"/>
    </w:rPr>
  </w:style>
  <w:style w:type="character" w:customStyle="1" w:styleId="314">
    <w:name w:val="列表（符号一级）（绿盟科技） Char"/>
    <w:basedOn w:val="92"/>
    <w:link w:val="315"/>
    <w:qFormat/>
    <w:uiPriority w:val="0"/>
    <w:rPr>
      <w:rFonts w:hint="default" w:ascii="Times New Roman" w:hAnsi="Times New Roman" w:cs="Times New Roman"/>
      <w:sz w:val="21"/>
      <w:szCs w:val="21"/>
    </w:rPr>
  </w:style>
  <w:style w:type="paragraph" w:customStyle="1" w:styleId="315">
    <w:name w:val="列表（符号一级）（1）"/>
    <w:basedOn w:val="316"/>
    <w:link w:val="314"/>
    <w:qFormat/>
    <w:uiPriority w:val="0"/>
  </w:style>
  <w:style w:type="paragraph" w:customStyle="1" w:styleId="316">
    <w:name w:val="正文（1）"/>
    <w:link w:val="358"/>
    <w:qFormat/>
    <w:uiPriority w:val="0"/>
    <w:pPr>
      <w:spacing w:line="300" w:lineRule="auto"/>
    </w:pPr>
    <w:rPr>
      <w:rFonts w:ascii="Times New Roman" w:hAnsi="Times New Roman" w:eastAsia="宋体" w:cs="Times New Roman"/>
      <w:sz w:val="21"/>
      <w:szCs w:val="21"/>
      <w:lang w:val="en-US" w:eastAsia="zh-CN" w:bidi="ar-SA"/>
    </w:rPr>
  </w:style>
  <w:style w:type="character" w:customStyle="1" w:styleId="317">
    <w:name w:val="正文（首行缩进2字符）dd Char"/>
    <w:basedOn w:val="92"/>
    <w:link w:val="318"/>
    <w:qFormat/>
    <w:uiPriority w:val="0"/>
    <w:rPr>
      <w:rFonts w:hint="eastAsia" w:ascii="宋体" w:hAnsi="宋体" w:eastAsia="宋体" w:cs="宋体"/>
      <w:kern w:val="44"/>
      <w:sz w:val="24"/>
    </w:rPr>
  </w:style>
  <w:style w:type="paragraph" w:customStyle="1" w:styleId="318">
    <w:name w:val="正文（首行缩进2字符）dd"/>
    <w:basedOn w:val="1"/>
    <w:link w:val="317"/>
    <w:qFormat/>
    <w:uiPriority w:val="0"/>
    <w:pPr>
      <w:spacing w:line="360" w:lineRule="auto"/>
      <w:ind w:firstLine="540" w:firstLineChars="225"/>
    </w:pPr>
    <w:rPr>
      <w:rFonts w:hint="eastAsia" w:ascii="宋体" w:hAnsi="宋体" w:cs="宋体"/>
      <w:kern w:val="44"/>
      <w:sz w:val="24"/>
      <w:szCs w:val="20"/>
    </w:rPr>
  </w:style>
  <w:style w:type="character" w:customStyle="1" w:styleId="319">
    <w:name w:val="方案正文 Char"/>
    <w:basedOn w:val="92"/>
    <w:link w:val="320"/>
    <w:qFormat/>
    <w:uiPriority w:val="0"/>
    <w:rPr>
      <w:kern w:val="2"/>
      <w:sz w:val="24"/>
    </w:rPr>
  </w:style>
  <w:style w:type="paragraph" w:customStyle="1" w:styleId="320">
    <w:name w:val="方案正文"/>
    <w:basedOn w:val="1"/>
    <w:link w:val="319"/>
    <w:qFormat/>
    <w:uiPriority w:val="0"/>
    <w:pPr>
      <w:spacing w:line="360" w:lineRule="auto"/>
      <w:ind w:firstLine="200" w:firstLineChars="200"/>
    </w:pPr>
    <w:rPr>
      <w:rFonts w:ascii="Calibri" w:hAnsi="Calibri" w:cs="Calibri"/>
      <w:sz w:val="24"/>
      <w:szCs w:val="20"/>
    </w:rPr>
  </w:style>
  <w:style w:type="character" w:customStyle="1" w:styleId="321">
    <w:name w:val="2 Char"/>
    <w:basedOn w:val="92"/>
    <w:qFormat/>
    <w:uiPriority w:val="0"/>
    <w:rPr>
      <w:rFonts w:hint="eastAsia" w:ascii="宋体" w:hAnsi="宋体" w:eastAsia="宋体" w:cs="仿宋_GB2312"/>
      <w:b/>
      <w:sz w:val="32"/>
      <w:szCs w:val="32"/>
    </w:rPr>
  </w:style>
  <w:style w:type="character" w:customStyle="1" w:styleId="322">
    <w:name w:val="样式1.2.3. 字符"/>
    <w:basedOn w:val="92"/>
    <w:link w:val="323"/>
    <w:qFormat/>
    <w:uiPriority w:val="0"/>
    <w:rPr>
      <w:rFonts w:ascii="Arial" w:hAnsi="Arial" w:eastAsia="等线" w:cs="Arial"/>
      <w:kern w:val="2"/>
      <w:sz w:val="21"/>
      <w:szCs w:val="22"/>
    </w:rPr>
  </w:style>
  <w:style w:type="paragraph" w:customStyle="1" w:styleId="323">
    <w:name w:val="样式1.2.3."/>
    <w:basedOn w:val="1"/>
    <w:link w:val="322"/>
    <w:qFormat/>
    <w:uiPriority w:val="0"/>
    <w:pPr>
      <w:numPr>
        <w:ilvl w:val="6"/>
        <w:numId w:val="1"/>
      </w:numPr>
      <w:adjustRightInd w:val="0"/>
      <w:snapToGrid w:val="0"/>
      <w:spacing w:line="360" w:lineRule="auto"/>
      <w:ind w:left="0" w:firstLine="0" w:firstLineChars="200"/>
      <w:textAlignment w:val="center"/>
    </w:pPr>
    <w:rPr>
      <w:rFonts w:ascii="Arial" w:hAnsi="Arial" w:eastAsia="等线" w:cs="Arial"/>
      <w:szCs w:val="22"/>
    </w:rPr>
  </w:style>
  <w:style w:type="character" w:customStyle="1" w:styleId="324">
    <w:name w:val="HTML 地址 字符"/>
    <w:basedOn w:val="92"/>
    <w:qFormat/>
    <w:uiPriority w:val="0"/>
    <w:rPr>
      <w:rFonts w:hint="default" w:ascii="Calibri" w:hAnsi="Calibri" w:eastAsia="等线" w:cs="Arial"/>
      <w:i/>
      <w:iCs/>
      <w:kern w:val="2"/>
      <w:sz w:val="21"/>
      <w:szCs w:val="22"/>
    </w:rPr>
  </w:style>
  <w:style w:type="character" w:customStyle="1" w:styleId="325">
    <w:name w:val="Body Text First Indent Char"/>
    <w:basedOn w:val="92"/>
    <w:qFormat/>
    <w:uiPriority w:val="0"/>
    <w:rPr>
      <w:rFonts w:hint="default" w:ascii="Calibri" w:hAnsi="Calibri" w:eastAsia="宋体" w:cs="Calibri"/>
      <w:kern w:val="2"/>
      <w:sz w:val="21"/>
      <w:lang w:val="en-US" w:eastAsia="zh-CN"/>
    </w:rPr>
  </w:style>
  <w:style w:type="character" w:customStyle="1" w:styleId="326">
    <w:name w:val="未处理的提及8"/>
    <w:basedOn w:val="92"/>
    <w:qFormat/>
    <w:uiPriority w:val="0"/>
    <w:rPr>
      <w:color w:val="605E5C"/>
      <w:shd w:val="clear" w:color="auto" w:fill="E1DFDD"/>
    </w:rPr>
  </w:style>
  <w:style w:type="character" w:customStyle="1" w:styleId="327">
    <w:name w:val="正文加粗 Char"/>
    <w:basedOn w:val="92"/>
    <w:link w:val="328"/>
    <w:qFormat/>
    <w:uiPriority w:val="0"/>
    <w:rPr>
      <w:b/>
      <w:sz w:val="24"/>
    </w:rPr>
  </w:style>
  <w:style w:type="paragraph" w:customStyle="1" w:styleId="328">
    <w:name w:val="正文加粗"/>
    <w:basedOn w:val="1"/>
    <w:link w:val="327"/>
    <w:qFormat/>
    <w:uiPriority w:val="0"/>
    <w:pPr>
      <w:widowControl/>
      <w:spacing w:line="360" w:lineRule="auto"/>
      <w:ind w:firstLine="200" w:firstLineChars="200"/>
      <w:jc w:val="left"/>
    </w:pPr>
    <w:rPr>
      <w:rFonts w:ascii="Calibri" w:hAnsi="Calibri" w:cs="Calibri"/>
      <w:b/>
      <w:kern w:val="0"/>
      <w:sz w:val="24"/>
      <w:szCs w:val="20"/>
    </w:rPr>
  </w:style>
  <w:style w:type="character" w:customStyle="1" w:styleId="329">
    <w:name w:val="表格1 Char"/>
    <w:basedOn w:val="92"/>
    <w:link w:val="330"/>
    <w:qFormat/>
    <w:uiPriority w:val="0"/>
    <w:rPr>
      <w:rFonts w:hint="eastAsia" w:ascii="宋体" w:hAnsi="宋体" w:eastAsia="宋体" w:cs="宋体"/>
      <w:sz w:val="28"/>
      <w:szCs w:val="28"/>
    </w:rPr>
  </w:style>
  <w:style w:type="paragraph" w:customStyle="1" w:styleId="330">
    <w:name w:val="表格1"/>
    <w:basedOn w:val="1"/>
    <w:link w:val="329"/>
    <w:qFormat/>
    <w:uiPriority w:val="0"/>
    <w:pPr>
      <w:spacing w:line="400" w:lineRule="exact"/>
      <w:ind w:hanging="54" w:firstLineChars="200"/>
      <w:jc w:val="center"/>
    </w:pPr>
    <w:rPr>
      <w:rFonts w:hint="eastAsia" w:ascii="宋体" w:hAnsi="宋体" w:cs="宋体"/>
      <w:kern w:val="0"/>
      <w:sz w:val="28"/>
      <w:szCs w:val="28"/>
    </w:rPr>
  </w:style>
  <w:style w:type="character" w:customStyle="1" w:styleId="331">
    <w:name w:val="f_size_3"/>
    <w:basedOn w:val="92"/>
    <w:qFormat/>
    <w:uiPriority w:val="0"/>
  </w:style>
  <w:style w:type="character" w:customStyle="1" w:styleId="332">
    <w:name w:val="z-窗体顶端 Char"/>
    <w:basedOn w:val="92"/>
    <w:link w:val="333"/>
    <w:qFormat/>
    <w:uiPriority w:val="0"/>
    <w:rPr>
      <w:vanish/>
      <w:kern w:val="2"/>
      <w:sz w:val="16"/>
      <w:szCs w:val="16"/>
    </w:rPr>
  </w:style>
  <w:style w:type="paragraph" w:customStyle="1" w:styleId="333">
    <w:name w:val="z-窗体顶端1"/>
    <w:basedOn w:val="1"/>
    <w:next w:val="1"/>
    <w:link w:val="332"/>
    <w:qFormat/>
    <w:uiPriority w:val="0"/>
    <w:pPr>
      <w:widowControl/>
      <w:pBdr>
        <w:bottom w:val="single" w:color="auto" w:sz="6" w:space="1"/>
      </w:pBdr>
      <w:jc w:val="center"/>
    </w:pPr>
    <w:rPr>
      <w:rFonts w:ascii="Calibri" w:hAnsi="Calibri" w:cs="Calibri"/>
      <w:vanish/>
      <w:sz w:val="16"/>
      <w:szCs w:val="16"/>
    </w:rPr>
  </w:style>
  <w:style w:type="character" w:customStyle="1" w:styleId="334">
    <w:name w:val="14normal1"/>
    <w:basedOn w:val="92"/>
    <w:qFormat/>
    <w:uiPriority w:val="0"/>
    <w:rPr>
      <w:rFonts w:hint="default" w:ascii="ˎ̥" w:hAnsi="ˎ̥" w:eastAsia="ˎ̥" w:cs="ˎ̥"/>
      <w:color w:val="000000"/>
      <w:sz w:val="26"/>
    </w:rPr>
  </w:style>
  <w:style w:type="character" w:customStyle="1" w:styleId="335">
    <w:name w:val="z-窗体底端 Char"/>
    <w:basedOn w:val="92"/>
    <w:link w:val="336"/>
    <w:qFormat/>
    <w:uiPriority w:val="0"/>
    <w:rPr>
      <w:vanish/>
      <w:kern w:val="2"/>
      <w:sz w:val="16"/>
      <w:szCs w:val="16"/>
    </w:rPr>
  </w:style>
  <w:style w:type="paragraph" w:customStyle="1" w:styleId="336">
    <w:name w:val="z-窗体底端1"/>
    <w:basedOn w:val="1"/>
    <w:next w:val="1"/>
    <w:link w:val="335"/>
    <w:qFormat/>
    <w:uiPriority w:val="0"/>
    <w:pPr>
      <w:widowControl/>
      <w:pBdr>
        <w:top w:val="single" w:color="auto" w:sz="6" w:space="1"/>
      </w:pBdr>
      <w:jc w:val="center"/>
    </w:pPr>
    <w:rPr>
      <w:rFonts w:ascii="Calibri" w:hAnsi="Calibri" w:cs="Calibri"/>
      <w:vanish/>
      <w:sz w:val="16"/>
      <w:szCs w:val="16"/>
    </w:rPr>
  </w:style>
  <w:style w:type="character" w:customStyle="1" w:styleId="337">
    <w:name w:val="Char Char Char1"/>
    <w:basedOn w:val="92"/>
    <w:qFormat/>
    <w:uiPriority w:val="0"/>
    <w:rPr>
      <w:rFonts w:hint="eastAsia" w:ascii="宋体" w:hAnsi="宋体" w:eastAsia="宋体" w:cs="宋体"/>
      <w:b/>
      <w:bCs/>
      <w:kern w:val="44"/>
      <w:sz w:val="44"/>
      <w:szCs w:val="44"/>
      <w:lang w:val="en-US" w:eastAsia="zh-CN" w:bidi="ar"/>
    </w:rPr>
  </w:style>
  <w:style w:type="character" w:customStyle="1" w:styleId="338">
    <w:name w:val="已访问的超链接1"/>
    <w:basedOn w:val="92"/>
    <w:qFormat/>
    <w:uiPriority w:val="0"/>
    <w:rPr>
      <w:color w:val="800080"/>
      <w:u w:val="single"/>
    </w:rPr>
  </w:style>
  <w:style w:type="character" w:customStyle="1" w:styleId="339">
    <w:name w:val="信息标题 字符1"/>
    <w:basedOn w:val="92"/>
    <w:link w:val="82"/>
    <w:qFormat/>
    <w:uiPriority w:val="0"/>
    <w:rPr>
      <w:rFonts w:hint="default" w:ascii="Times New Roman" w:hAnsi="Times New Roman" w:cs="Arial"/>
      <w:sz w:val="24"/>
      <w:szCs w:val="24"/>
      <w:shd w:val="pct20" w:color="auto" w:fill="auto"/>
    </w:rPr>
  </w:style>
  <w:style w:type="character" w:customStyle="1" w:styleId="340">
    <w:name w:val="样式 首行缩进:  2 字符 Char"/>
    <w:basedOn w:val="92"/>
    <w:link w:val="341"/>
    <w:qFormat/>
    <w:uiPriority w:val="0"/>
    <w:rPr>
      <w:rFonts w:hint="default" w:ascii="Arial" w:hAnsi="Arial" w:eastAsia="华文仿宋" w:cs="宋体"/>
      <w:sz w:val="28"/>
    </w:rPr>
  </w:style>
  <w:style w:type="paragraph" w:customStyle="1" w:styleId="341">
    <w:name w:val="样式 首行缩进:  2 字符"/>
    <w:basedOn w:val="1"/>
    <w:link w:val="340"/>
    <w:qFormat/>
    <w:uiPriority w:val="0"/>
    <w:pPr>
      <w:widowControl/>
      <w:spacing w:line="360" w:lineRule="auto"/>
      <w:ind w:firstLine="560" w:firstLineChars="200"/>
    </w:pPr>
    <w:rPr>
      <w:rFonts w:ascii="Arial" w:hAnsi="Arial" w:eastAsia="华文仿宋" w:cs="宋体"/>
      <w:kern w:val="0"/>
      <w:sz w:val="28"/>
      <w:szCs w:val="20"/>
    </w:rPr>
  </w:style>
  <w:style w:type="character" w:customStyle="1" w:styleId="342">
    <w:name w:val="TOC 3 字符"/>
    <w:basedOn w:val="92"/>
    <w:qFormat/>
    <w:uiPriority w:val="39"/>
    <w:rPr>
      <w:rFonts w:hint="default" w:ascii="Times New Roman" w:hAnsi="Times New Roman" w:cs="Arial"/>
      <w:kern w:val="2"/>
      <w:sz w:val="24"/>
      <w:szCs w:val="21"/>
    </w:rPr>
  </w:style>
  <w:style w:type="character" w:customStyle="1" w:styleId="343">
    <w:name w:val="apple-style-span"/>
    <w:basedOn w:val="92"/>
    <w:qFormat/>
    <w:uiPriority w:val="0"/>
  </w:style>
  <w:style w:type="character" w:customStyle="1" w:styleId="344">
    <w:name w:val="正文1 Char"/>
    <w:basedOn w:val="92"/>
    <w:qFormat/>
    <w:uiPriority w:val="0"/>
    <w:rPr>
      <w:rFonts w:hint="default" w:ascii="Times New Roman" w:hAnsi="Times New Roman" w:cs="Times New Roman"/>
      <w:spacing w:val="20"/>
      <w:sz w:val="28"/>
    </w:rPr>
  </w:style>
  <w:style w:type="character" w:customStyle="1" w:styleId="345">
    <w:name w:val="f16b1"/>
    <w:basedOn w:val="92"/>
    <w:qFormat/>
    <w:uiPriority w:val="0"/>
    <w:rPr>
      <w:rFonts w:hint="default" w:ascii="Times New Roman" w:hAnsi="Times New Roman" w:cs="Times New Roman"/>
      <w:b/>
      <w:color w:val="333333"/>
      <w:sz w:val="24"/>
    </w:rPr>
  </w:style>
  <w:style w:type="character" w:customStyle="1" w:styleId="346">
    <w:name w:val="宏文本 字符"/>
    <w:basedOn w:val="92"/>
    <w:qFormat/>
    <w:uiPriority w:val="0"/>
    <w:rPr>
      <w:rFonts w:hint="default" w:ascii="Courier New" w:hAnsi="Courier New" w:cs="Courier New"/>
      <w:kern w:val="2"/>
      <w:sz w:val="24"/>
      <w:szCs w:val="24"/>
    </w:rPr>
  </w:style>
  <w:style w:type="character" w:customStyle="1" w:styleId="347">
    <w:name w:val="注释标题 字符"/>
    <w:basedOn w:val="92"/>
    <w:qFormat/>
    <w:uiPriority w:val="0"/>
    <w:rPr>
      <w:rFonts w:hint="default" w:ascii="Calibri" w:hAnsi="Calibri" w:eastAsia="等线" w:cs="Arial"/>
      <w:kern w:val="2"/>
      <w:sz w:val="21"/>
      <w:szCs w:val="22"/>
    </w:rPr>
  </w:style>
  <w:style w:type="character" w:customStyle="1" w:styleId="348">
    <w:name w:val="电子邮件签名 字符"/>
    <w:basedOn w:val="92"/>
    <w:qFormat/>
    <w:uiPriority w:val="0"/>
    <w:rPr>
      <w:rFonts w:hint="default" w:ascii="Calibri" w:hAnsi="Calibri" w:eastAsia="等线" w:cs="Arial"/>
      <w:kern w:val="2"/>
      <w:sz w:val="21"/>
      <w:szCs w:val="22"/>
    </w:rPr>
  </w:style>
  <w:style w:type="character" w:customStyle="1" w:styleId="349">
    <w:name w:val="标题 8 Char1"/>
    <w:basedOn w:val="92"/>
    <w:qFormat/>
    <w:uiPriority w:val="9"/>
    <w:rPr>
      <w:rFonts w:hint="eastAsia" w:ascii="黑体" w:hAnsi="宋体" w:eastAsia="黑体" w:cs="黑体"/>
      <w:sz w:val="24"/>
      <w:szCs w:val="24"/>
    </w:rPr>
  </w:style>
  <w:style w:type="character" w:customStyle="1" w:styleId="350">
    <w:name w:val="表格内容 Char"/>
    <w:basedOn w:val="92"/>
    <w:qFormat/>
    <w:uiPriority w:val="0"/>
    <w:rPr>
      <w:kern w:val="2"/>
      <w:sz w:val="21"/>
    </w:rPr>
  </w:style>
  <w:style w:type="character" w:customStyle="1" w:styleId="351">
    <w:name w:val="正文文本 3 字符"/>
    <w:basedOn w:val="92"/>
    <w:qFormat/>
    <w:uiPriority w:val="0"/>
    <w:rPr>
      <w:rFonts w:hint="default" w:ascii="Calibri" w:hAnsi="Calibri" w:eastAsia="等线" w:cs="Arial"/>
      <w:kern w:val="2"/>
      <w:sz w:val="16"/>
      <w:szCs w:val="16"/>
    </w:rPr>
  </w:style>
  <w:style w:type="character" w:customStyle="1" w:styleId="352">
    <w:name w:val="para"/>
    <w:basedOn w:val="92"/>
    <w:qFormat/>
    <w:uiPriority w:val="0"/>
  </w:style>
  <w:style w:type="character" w:customStyle="1" w:styleId="353">
    <w:name w:val="尾注文本 字符"/>
    <w:basedOn w:val="92"/>
    <w:qFormat/>
    <w:uiPriority w:val="0"/>
    <w:rPr>
      <w:rFonts w:hint="default" w:ascii="Calibri" w:hAnsi="Calibri" w:eastAsia="等线" w:cs="Arial"/>
      <w:kern w:val="2"/>
      <w:sz w:val="21"/>
      <w:szCs w:val="22"/>
    </w:rPr>
  </w:style>
  <w:style w:type="character" w:customStyle="1" w:styleId="354">
    <w:name w:val="样式 首行缩进:  2 字符 Char Char"/>
    <w:basedOn w:val="92"/>
    <w:qFormat/>
    <w:uiPriority w:val="0"/>
    <w:rPr>
      <w:rFonts w:hint="eastAsia" w:ascii="宋体" w:hAnsi="宋体" w:eastAsia="宋体" w:cs="宋体"/>
      <w:kern w:val="2"/>
      <w:sz w:val="24"/>
      <w:szCs w:val="21"/>
      <w:lang w:val="en-US" w:eastAsia="zh-CN" w:bidi="ar"/>
    </w:rPr>
  </w:style>
  <w:style w:type="character" w:customStyle="1" w:styleId="355">
    <w:name w:val="样式 首行缩进:  2 字符5 Char"/>
    <w:basedOn w:val="92"/>
    <w:link w:val="356"/>
    <w:qFormat/>
    <w:uiPriority w:val="0"/>
    <w:rPr>
      <w:rFonts w:hint="eastAsia" w:ascii="宋体" w:hAnsi="宋体" w:eastAsia="宋体" w:cs="宋体"/>
      <w:kern w:val="2"/>
      <w:sz w:val="24"/>
    </w:rPr>
  </w:style>
  <w:style w:type="paragraph" w:customStyle="1" w:styleId="356">
    <w:name w:val="样式 首行缩进:  2 字符5"/>
    <w:basedOn w:val="1"/>
    <w:link w:val="355"/>
    <w:qFormat/>
    <w:uiPriority w:val="0"/>
    <w:pPr>
      <w:spacing w:before="120" w:line="360" w:lineRule="auto"/>
      <w:ind w:firstLine="480" w:firstLineChars="200"/>
    </w:pPr>
    <w:rPr>
      <w:rFonts w:hint="eastAsia" w:ascii="宋体" w:hAnsi="宋体" w:cs="宋体"/>
      <w:sz w:val="24"/>
      <w:szCs w:val="20"/>
    </w:rPr>
  </w:style>
  <w:style w:type="character" w:customStyle="1" w:styleId="357">
    <w:name w:val="副标题 字符"/>
    <w:basedOn w:val="92"/>
    <w:qFormat/>
    <w:uiPriority w:val="0"/>
    <w:rPr>
      <w:rFonts w:hint="default" w:ascii="Calibri Light" w:hAnsi="Calibri Light" w:eastAsia="等线 Light" w:cs="Times New Roman"/>
      <w:color w:val="595959"/>
      <w:spacing w:val="15"/>
      <w:kern w:val="2"/>
      <w:sz w:val="28"/>
      <w:szCs w:val="28"/>
    </w:rPr>
  </w:style>
  <w:style w:type="character" w:customStyle="1" w:styleId="358">
    <w:name w:val="正文（绿盟科技） Char"/>
    <w:basedOn w:val="92"/>
    <w:link w:val="316"/>
    <w:qFormat/>
    <w:uiPriority w:val="0"/>
    <w:rPr>
      <w:rFonts w:hint="default" w:ascii="Times New Roman" w:hAnsi="Times New Roman" w:cs="Times New Roman"/>
      <w:sz w:val="21"/>
      <w:szCs w:val="21"/>
    </w:rPr>
  </w:style>
  <w:style w:type="character" w:customStyle="1" w:styleId="359">
    <w:name w:val="正文文本首行缩进 字符"/>
    <w:qFormat/>
    <w:uiPriority w:val="0"/>
    <w:rPr>
      <w:rFonts w:hint="default" w:ascii="Times New Roman" w:hAnsi="Times New Roman" w:eastAsia="等线" w:cs="Arial"/>
      <w:kern w:val="2"/>
      <w:sz w:val="24"/>
      <w:szCs w:val="21"/>
    </w:rPr>
  </w:style>
  <w:style w:type="character" w:customStyle="1" w:styleId="360">
    <w:name w:val="正文文本首行缩进 2 字符"/>
    <w:qFormat/>
    <w:uiPriority w:val="99"/>
    <w:rPr>
      <w:rFonts w:hint="default" w:ascii="Calibri" w:hAnsi="Calibri" w:eastAsia="等线" w:cs="Arial"/>
      <w:kern w:val="2"/>
      <w:sz w:val="21"/>
      <w:szCs w:val="22"/>
    </w:rPr>
  </w:style>
  <w:style w:type="character" w:customStyle="1" w:styleId="361">
    <w:name w:val="标题 5 Char1"/>
    <w:basedOn w:val="92"/>
    <w:qFormat/>
    <w:uiPriority w:val="0"/>
    <w:rPr>
      <w:rFonts w:hint="default" w:ascii="Arial" w:hAnsi="Arial" w:eastAsia="华文中宋" w:cs="Arial"/>
      <w:b/>
      <w:bCs/>
      <w:sz w:val="28"/>
      <w:szCs w:val="28"/>
    </w:rPr>
  </w:style>
  <w:style w:type="character" w:customStyle="1" w:styleId="362">
    <w:name w:val="highlightedsearchterm"/>
    <w:basedOn w:val="92"/>
    <w:qFormat/>
    <w:uiPriority w:val="0"/>
  </w:style>
  <w:style w:type="character" w:customStyle="1" w:styleId="363">
    <w:name w:val="标题二自定义 字符"/>
    <w:basedOn w:val="92"/>
    <w:qFormat/>
    <w:uiPriority w:val="0"/>
    <w:rPr>
      <w:rFonts w:hint="default" w:ascii="Calibri Light" w:hAnsi="Calibri Light" w:eastAsia="Calibri Light" w:cs="Times New Roman"/>
      <w:b/>
      <w:bCs/>
      <w:kern w:val="2"/>
      <w:sz w:val="30"/>
      <w:szCs w:val="32"/>
    </w:rPr>
  </w:style>
  <w:style w:type="character" w:customStyle="1" w:styleId="364">
    <w:name w:val="正文缩进 字符"/>
    <w:basedOn w:val="92"/>
    <w:link w:val="21"/>
    <w:qFormat/>
    <w:uiPriority w:val="99"/>
    <w:rPr>
      <w:rFonts w:hint="default" w:ascii="Times New Roman" w:hAnsi="Times New Roman" w:cs="Times New Roman"/>
      <w:kern w:val="2"/>
      <w:sz w:val="24"/>
      <w:szCs w:val="24"/>
    </w:rPr>
  </w:style>
  <w:style w:type="character" w:customStyle="1" w:styleId="365">
    <w:name w:val="页脚 字符1"/>
    <w:basedOn w:val="92"/>
    <w:link w:val="58"/>
    <w:qFormat/>
    <w:uiPriority w:val="99"/>
    <w:rPr>
      <w:rFonts w:hint="default" w:ascii="Calibri" w:hAnsi="Calibri" w:eastAsia="等线" w:cs="Arial"/>
      <w:kern w:val="2"/>
      <w:sz w:val="18"/>
      <w:szCs w:val="18"/>
    </w:rPr>
  </w:style>
  <w:style w:type="character" w:customStyle="1" w:styleId="366">
    <w:name w:val="正文（山谷网络） Char"/>
    <w:basedOn w:val="92"/>
    <w:link w:val="367"/>
    <w:qFormat/>
    <w:uiPriority w:val="0"/>
    <w:rPr>
      <w:rFonts w:hint="default" w:ascii="Times New Roman" w:hAnsi="Times New Roman" w:cs="Times New Roman"/>
      <w:sz w:val="21"/>
      <w:szCs w:val="21"/>
    </w:rPr>
  </w:style>
  <w:style w:type="paragraph" w:customStyle="1" w:styleId="367">
    <w:name w:val="正文（2）"/>
    <w:link w:val="366"/>
    <w:qFormat/>
    <w:uiPriority w:val="0"/>
    <w:pPr>
      <w:spacing w:line="300" w:lineRule="auto"/>
    </w:pPr>
    <w:rPr>
      <w:rFonts w:ascii="Times New Roman" w:hAnsi="Times New Roman" w:eastAsia="宋体" w:cs="Times New Roman"/>
      <w:sz w:val="21"/>
      <w:szCs w:val="21"/>
      <w:lang w:val="en-US" w:eastAsia="zh-CN" w:bidi="ar-SA"/>
    </w:rPr>
  </w:style>
  <w:style w:type="character" w:customStyle="1" w:styleId="368">
    <w:name w:val="普通(网站) 字符"/>
    <w:basedOn w:val="92"/>
    <w:link w:val="84"/>
    <w:qFormat/>
    <w:uiPriority w:val="99"/>
    <w:rPr>
      <w:rFonts w:hint="eastAsia" w:ascii="宋体" w:hAnsi="宋体" w:eastAsia="宋体" w:cs="宋体"/>
      <w:sz w:val="24"/>
      <w:szCs w:val="24"/>
    </w:rPr>
  </w:style>
  <w:style w:type="character" w:customStyle="1" w:styleId="369">
    <w:name w:val="表格居中 Char"/>
    <w:basedOn w:val="92"/>
    <w:link w:val="370"/>
    <w:qFormat/>
    <w:uiPriority w:val="0"/>
    <w:rPr>
      <w:rFonts w:hint="eastAsia" w:ascii="宋体" w:hAnsi="宋体" w:eastAsia="宋体" w:cs="宋体"/>
      <w:kern w:val="2"/>
      <w:sz w:val="24"/>
      <w:szCs w:val="24"/>
    </w:rPr>
  </w:style>
  <w:style w:type="paragraph" w:customStyle="1" w:styleId="370">
    <w:name w:val="表格居中"/>
    <w:basedOn w:val="1"/>
    <w:link w:val="369"/>
    <w:qFormat/>
    <w:uiPriority w:val="0"/>
    <w:pPr>
      <w:widowControl/>
      <w:spacing w:line="440" w:lineRule="exact"/>
      <w:ind w:firstLine="200" w:firstLineChars="200"/>
      <w:jc w:val="center"/>
    </w:pPr>
    <w:rPr>
      <w:rFonts w:hint="eastAsia" w:ascii="宋体" w:hAnsi="宋体" w:cs="宋体"/>
      <w:sz w:val="24"/>
    </w:rPr>
  </w:style>
  <w:style w:type="character" w:customStyle="1" w:styleId="371">
    <w:name w:val="Default Char"/>
    <w:basedOn w:val="92"/>
    <w:qFormat/>
    <w:uiPriority w:val="0"/>
    <w:rPr>
      <w:rFonts w:hint="eastAsia" w:ascii="宋体" w:hAnsi="宋体" w:eastAsia="宋体" w:cs="宋体"/>
      <w:color w:val="000000"/>
      <w:sz w:val="24"/>
      <w:szCs w:val="24"/>
    </w:rPr>
  </w:style>
  <w:style w:type="character" w:customStyle="1" w:styleId="372">
    <w:name w:val="正文文本 字符1"/>
    <w:basedOn w:val="92"/>
    <w:qFormat/>
    <w:uiPriority w:val="0"/>
    <w:rPr>
      <w:rFonts w:hint="default" w:ascii="Times New Roman" w:hAnsi="Times New Roman" w:eastAsia="宋体" w:cs="Times New Roman"/>
      <w:sz w:val="24"/>
    </w:rPr>
  </w:style>
  <w:style w:type="character" w:customStyle="1" w:styleId="373">
    <w:name w:val="列表段落 字符2"/>
    <w:basedOn w:val="92"/>
    <w:qFormat/>
    <w:uiPriority w:val="34"/>
    <w:rPr>
      <w:rFonts w:hint="default" w:ascii="Times New Roman" w:hAnsi="Times New Roman" w:cs="Arial"/>
      <w:kern w:val="2"/>
      <w:sz w:val="24"/>
      <w:szCs w:val="21"/>
    </w:rPr>
  </w:style>
  <w:style w:type="character" w:customStyle="1" w:styleId="374">
    <w:name w:val="表 标题 字符"/>
    <w:basedOn w:val="92"/>
    <w:link w:val="375"/>
    <w:qFormat/>
    <w:uiPriority w:val="0"/>
    <w:rPr>
      <w:rFonts w:hint="default" w:ascii="Arial" w:hAnsi="Arial" w:cs="Arial"/>
    </w:rPr>
  </w:style>
  <w:style w:type="paragraph" w:customStyle="1" w:styleId="375">
    <w:name w:val="表 标题"/>
    <w:basedOn w:val="1"/>
    <w:link w:val="374"/>
    <w:qFormat/>
    <w:uiPriority w:val="0"/>
    <w:pPr>
      <w:adjustRightInd w:val="0"/>
      <w:snapToGrid w:val="0"/>
      <w:spacing w:line="360" w:lineRule="auto"/>
      <w:ind w:firstLine="200" w:firstLineChars="200"/>
      <w:jc w:val="center"/>
      <w:textAlignment w:val="center"/>
    </w:pPr>
    <w:rPr>
      <w:rFonts w:ascii="Arial" w:hAnsi="Arial" w:cs="Arial"/>
      <w:kern w:val="0"/>
      <w:sz w:val="20"/>
      <w:szCs w:val="20"/>
    </w:rPr>
  </w:style>
  <w:style w:type="character" w:customStyle="1" w:styleId="376">
    <w:name w:val="标题 3 字符1"/>
    <w:basedOn w:val="92"/>
    <w:qFormat/>
    <w:uiPriority w:val="0"/>
    <w:rPr>
      <w:rFonts w:hint="eastAsia" w:ascii="黑体" w:hAnsi="宋体" w:eastAsia="黑体" w:cs="黑体"/>
      <w:bCs/>
      <w:kern w:val="2"/>
      <w:sz w:val="28"/>
      <w:szCs w:val="32"/>
    </w:rPr>
  </w:style>
  <w:style w:type="character" w:customStyle="1" w:styleId="377">
    <w:name w:val="未处理的提及7"/>
    <w:basedOn w:val="92"/>
    <w:qFormat/>
    <w:uiPriority w:val="0"/>
    <w:rPr>
      <w:color w:val="605E5C"/>
      <w:shd w:val="clear" w:color="auto" w:fill="E1DFDD"/>
    </w:rPr>
  </w:style>
  <w:style w:type="character" w:customStyle="1" w:styleId="378">
    <w:name w:val="style111"/>
    <w:basedOn w:val="92"/>
    <w:qFormat/>
    <w:uiPriority w:val="0"/>
    <w:rPr>
      <w:color w:val="666666"/>
    </w:rPr>
  </w:style>
  <w:style w:type="character" w:customStyle="1" w:styleId="379">
    <w:name w:val="表格 字符"/>
    <w:basedOn w:val="92"/>
    <w:link w:val="380"/>
    <w:qFormat/>
    <w:uiPriority w:val="0"/>
    <w:rPr>
      <w:rFonts w:hint="eastAsia" w:ascii="仿宋_GB2312" w:hAnsi="仿宋_GB2312" w:eastAsia="仿宋_GB2312" w:cs="Times New Roman"/>
      <w:kern w:val="2"/>
      <w:sz w:val="24"/>
      <w:szCs w:val="28"/>
    </w:rPr>
  </w:style>
  <w:style w:type="paragraph" w:customStyle="1" w:styleId="380">
    <w:name w:val="表格"/>
    <w:basedOn w:val="1"/>
    <w:link w:val="379"/>
    <w:qFormat/>
    <w:uiPriority w:val="0"/>
    <w:pPr>
      <w:spacing w:line="360" w:lineRule="auto"/>
      <w:ind w:firstLine="200" w:firstLineChars="200"/>
      <w:jc w:val="left"/>
    </w:pPr>
    <w:rPr>
      <w:rFonts w:hint="eastAsia" w:ascii="仿宋_GB2312" w:hAnsi="仿宋_GB2312" w:eastAsia="仿宋_GB2312"/>
      <w:sz w:val="24"/>
      <w:szCs w:val="28"/>
    </w:rPr>
  </w:style>
  <w:style w:type="character" w:customStyle="1" w:styleId="381">
    <w:name w:val="正文首行缩进（绿盟科技） Char"/>
    <w:basedOn w:val="92"/>
    <w:link w:val="382"/>
    <w:qFormat/>
    <w:uiPriority w:val="0"/>
    <w:rPr>
      <w:rFonts w:hint="eastAsia" w:ascii="宋体" w:hAnsi="宋体" w:eastAsia="宋体" w:cs="宋体"/>
      <w:sz w:val="24"/>
      <w:szCs w:val="21"/>
    </w:rPr>
  </w:style>
  <w:style w:type="paragraph" w:customStyle="1" w:styleId="382">
    <w:name w:val="正文首行缩进（1）"/>
    <w:basedOn w:val="1"/>
    <w:link w:val="381"/>
    <w:qFormat/>
    <w:uiPriority w:val="0"/>
    <w:pPr>
      <w:widowControl/>
      <w:spacing w:after="50" w:line="360" w:lineRule="auto"/>
      <w:ind w:firstLine="200" w:firstLineChars="200"/>
    </w:pPr>
    <w:rPr>
      <w:rFonts w:hint="eastAsia" w:ascii="宋体" w:hAnsi="宋体" w:cs="宋体"/>
      <w:kern w:val="0"/>
      <w:sz w:val="24"/>
      <w:szCs w:val="21"/>
    </w:rPr>
  </w:style>
  <w:style w:type="character" w:customStyle="1" w:styleId="383">
    <w:name w:val="初设正文 字符"/>
    <w:basedOn w:val="92"/>
    <w:link w:val="384"/>
    <w:qFormat/>
    <w:uiPriority w:val="0"/>
    <w:rPr>
      <w:rFonts w:hint="default" w:ascii="Times New Roman" w:hAnsi="Times New Roman" w:cs="Times New Roman"/>
      <w:color w:val="000000"/>
      <w:sz w:val="24"/>
      <w:szCs w:val="24"/>
    </w:rPr>
  </w:style>
  <w:style w:type="paragraph" w:customStyle="1" w:styleId="384">
    <w:name w:val="初设正文"/>
    <w:basedOn w:val="1"/>
    <w:link w:val="383"/>
    <w:qFormat/>
    <w:uiPriority w:val="0"/>
    <w:pPr>
      <w:spacing w:line="400" w:lineRule="exact"/>
      <w:ind w:firstLine="480" w:firstLineChars="200"/>
    </w:pPr>
    <w:rPr>
      <w:color w:val="000000"/>
      <w:kern w:val="0"/>
      <w:sz w:val="24"/>
    </w:rPr>
  </w:style>
  <w:style w:type="character" w:customStyle="1" w:styleId="385">
    <w:name w:val="3text"/>
    <w:basedOn w:val="92"/>
    <w:qFormat/>
    <w:uiPriority w:val="0"/>
  </w:style>
  <w:style w:type="character" w:customStyle="1" w:styleId="386">
    <w:name w:val="正文首缩两字 Char1"/>
    <w:basedOn w:val="92"/>
    <w:link w:val="289"/>
    <w:qFormat/>
    <w:uiPriority w:val="0"/>
    <w:rPr>
      <w:rFonts w:hint="default" w:ascii="Tahoma" w:hAnsi="Tahoma" w:eastAsia="Tahoma" w:cs="Tahoma"/>
      <w:kern w:val="2"/>
      <w:sz w:val="24"/>
      <w:szCs w:val="24"/>
      <w:lang w:val="zh-CN"/>
    </w:rPr>
  </w:style>
  <w:style w:type="character" w:customStyle="1" w:styleId="387">
    <w:name w:val="未处理的提及2"/>
    <w:basedOn w:val="92"/>
    <w:qFormat/>
    <w:uiPriority w:val="99"/>
    <w:rPr>
      <w:color w:val="605E5C"/>
      <w:shd w:val="clear" w:color="auto" w:fill="E1DFDD"/>
    </w:rPr>
  </w:style>
  <w:style w:type="character" w:customStyle="1" w:styleId="388">
    <w:name w:val="宋体小四 Char"/>
    <w:basedOn w:val="92"/>
    <w:link w:val="389"/>
    <w:qFormat/>
    <w:uiPriority w:val="0"/>
    <w:rPr>
      <w:rFonts w:hint="eastAsia" w:ascii="宋体" w:hAnsi="宋体" w:eastAsia="宋体" w:cs="仿宋"/>
      <w:color w:val="000000"/>
      <w:spacing w:val="-10"/>
      <w:kern w:val="2"/>
      <w:sz w:val="24"/>
      <w:szCs w:val="24"/>
    </w:rPr>
  </w:style>
  <w:style w:type="paragraph" w:customStyle="1" w:styleId="389">
    <w:name w:val="宋体小四"/>
    <w:basedOn w:val="1"/>
    <w:link w:val="388"/>
    <w:qFormat/>
    <w:uiPriority w:val="0"/>
    <w:pPr>
      <w:spacing w:line="400" w:lineRule="exact"/>
      <w:jc w:val="center"/>
    </w:pPr>
    <w:rPr>
      <w:rFonts w:hint="eastAsia" w:ascii="宋体" w:hAnsi="宋体" w:cs="仿宋"/>
      <w:color w:val="000000"/>
      <w:spacing w:val="-10"/>
      <w:sz w:val="24"/>
    </w:rPr>
  </w:style>
  <w:style w:type="character" w:customStyle="1" w:styleId="390">
    <w:name w:val="正文标准 Char"/>
    <w:basedOn w:val="92"/>
    <w:link w:val="391"/>
    <w:qFormat/>
    <w:uiPriority w:val="0"/>
    <w:rPr>
      <w:rFonts w:hint="eastAsia" w:ascii="宋体" w:hAnsi="宋体" w:eastAsia="宋体" w:cs="宋体"/>
      <w:kern w:val="2"/>
      <w:sz w:val="24"/>
    </w:rPr>
  </w:style>
  <w:style w:type="paragraph" w:customStyle="1" w:styleId="391">
    <w:name w:val="正文标准"/>
    <w:basedOn w:val="1"/>
    <w:link w:val="390"/>
    <w:qFormat/>
    <w:uiPriority w:val="0"/>
    <w:pPr>
      <w:spacing w:after="50" w:afterLines="50" w:line="360" w:lineRule="auto"/>
      <w:ind w:firstLine="200" w:firstLineChars="200"/>
    </w:pPr>
    <w:rPr>
      <w:rFonts w:hint="eastAsia" w:ascii="宋体" w:hAnsi="宋体" w:cs="宋体"/>
      <w:sz w:val="24"/>
      <w:szCs w:val="20"/>
    </w:rPr>
  </w:style>
  <w:style w:type="character" w:customStyle="1" w:styleId="392">
    <w:name w:val="4 Char"/>
    <w:basedOn w:val="92"/>
    <w:qFormat/>
    <w:uiPriority w:val="0"/>
    <w:rPr>
      <w:rFonts w:hint="default" w:ascii="Times New Roman" w:hAnsi="宋体" w:eastAsia="宋体" w:cs="Times New Roman"/>
      <w:sz w:val="24"/>
      <w:szCs w:val="20"/>
    </w:rPr>
  </w:style>
  <w:style w:type="character" w:customStyle="1" w:styleId="393">
    <w:name w:val="正文首行缩进（山谷） Char"/>
    <w:basedOn w:val="92"/>
    <w:link w:val="394"/>
    <w:qFormat/>
    <w:uiPriority w:val="0"/>
    <w:rPr>
      <w:rFonts w:hint="eastAsia" w:ascii="华文仿宋" w:hAnsi="华文仿宋" w:eastAsia="华文仿宋" w:cs="Times New Roman"/>
      <w:sz w:val="24"/>
      <w:szCs w:val="21"/>
    </w:rPr>
  </w:style>
  <w:style w:type="paragraph" w:customStyle="1" w:styleId="394">
    <w:name w:val="正文首行缩进（3）"/>
    <w:basedOn w:val="1"/>
    <w:link w:val="393"/>
    <w:qFormat/>
    <w:uiPriority w:val="0"/>
    <w:pPr>
      <w:widowControl/>
      <w:spacing w:line="360" w:lineRule="auto"/>
      <w:ind w:firstLine="200" w:firstLineChars="200"/>
      <w:contextualSpacing/>
    </w:pPr>
    <w:rPr>
      <w:rFonts w:hint="eastAsia" w:ascii="华文仿宋" w:hAnsi="华文仿宋" w:eastAsia="华文仿宋"/>
      <w:kern w:val="0"/>
      <w:sz w:val="24"/>
      <w:szCs w:val="21"/>
    </w:rPr>
  </w:style>
  <w:style w:type="character" w:customStyle="1" w:styleId="395">
    <w:name w:val="无间隔 字符"/>
    <w:basedOn w:val="92"/>
    <w:qFormat/>
    <w:uiPriority w:val="0"/>
    <w:rPr>
      <w:rFonts w:hint="eastAsia" w:ascii="仿宋" w:hAnsi="仿宋" w:eastAsia="仿宋" w:cs="仿宋"/>
      <w:sz w:val="28"/>
      <w:szCs w:val="21"/>
    </w:rPr>
  </w:style>
  <w:style w:type="character" w:customStyle="1" w:styleId="396">
    <w:name w:val="未处理的提及6"/>
    <w:basedOn w:val="92"/>
    <w:qFormat/>
    <w:uiPriority w:val="0"/>
    <w:rPr>
      <w:color w:val="605E5C"/>
      <w:shd w:val="clear" w:color="auto" w:fill="E1DFDD"/>
    </w:rPr>
  </w:style>
  <w:style w:type="character" w:customStyle="1" w:styleId="397">
    <w:name w:val="未处理的提及81"/>
    <w:basedOn w:val="92"/>
    <w:qFormat/>
    <w:uiPriority w:val="0"/>
    <w:rPr>
      <w:color w:val="605E5C"/>
      <w:shd w:val="clear" w:color="auto" w:fill="E1DFDD"/>
    </w:rPr>
  </w:style>
  <w:style w:type="character" w:customStyle="1" w:styleId="398">
    <w:name w:val="批注文字 Char1"/>
    <w:basedOn w:val="92"/>
    <w:qFormat/>
    <w:uiPriority w:val="0"/>
    <w:rPr>
      <w:rFonts w:hint="eastAsia" w:ascii="仿宋" w:hAnsi="仿宋" w:eastAsia="仿宋" w:cs="仿宋"/>
      <w:sz w:val="28"/>
      <w:szCs w:val="21"/>
    </w:rPr>
  </w:style>
  <w:style w:type="character" w:customStyle="1" w:styleId="399">
    <w:name w:val="副标题 字符1"/>
    <w:basedOn w:val="92"/>
    <w:link w:val="67"/>
    <w:qFormat/>
    <w:uiPriority w:val="0"/>
    <w:rPr>
      <w:rFonts w:hint="default" w:ascii="Times New Roman" w:hAnsi="Times New Roman" w:cs="Arial"/>
      <w:b/>
      <w:bCs/>
      <w:kern w:val="28"/>
      <w:sz w:val="32"/>
      <w:szCs w:val="32"/>
    </w:rPr>
  </w:style>
  <w:style w:type="character" w:customStyle="1" w:styleId="400">
    <w:name w:val="textcontents"/>
    <w:basedOn w:val="92"/>
    <w:qFormat/>
    <w:uiPriority w:val="0"/>
  </w:style>
  <w:style w:type="character" w:customStyle="1" w:styleId="401">
    <w:name w:val="style11"/>
    <w:basedOn w:val="92"/>
    <w:qFormat/>
    <w:uiPriority w:val="0"/>
    <w:rPr>
      <w:color w:val="000000"/>
    </w:rPr>
  </w:style>
  <w:style w:type="character" w:customStyle="1" w:styleId="402">
    <w:name w:val="cyh1 Char"/>
    <w:basedOn w:val="92"/>
    <w:link w:val="403"/>
    <w:qFormat/>
    <w:uiPriority w:val="0"/>
    <w:rPr>
      <w:rFonts w:hint="eastAsia" w:ascii="宋体" w:hAnsi="宋体" w:eastAsia="宋体" w:cs="宋体"/>
      <w:b/>
      <w:kern w:val="2"/>
      <w:sz w:val="32"/>
      <w:szCs w:val="32"/>
    </w:rPr>
  </w:style>
  <w:style w:type="paragraph" w:customStyle="1" w:styleId="403">
    <w:name w:val="cyh1"/>
    <w:basedOn w:val="1"/>
    <w:next w:val="1"/>
    <w:link w:val="402"/>
    <w:qFormat/>
    <w:uiPriority w:val="0"/>
    <w:pPr>
      <w:spacing w:before="156" w:beforeLines="50" w:after="156" w:afterLines="50" w:line="360" w:lineRule="auto"/>
      <w:ind w:firstLine="200" w:firstLineChars="200"/>
      <w:jc w:val="center"/>
      <w:outlineLvl w:val="0"/>
    </w:pPr>
    <w:rPr>
      <w:rFonts w:hint="eastAsia" w:ascii="宋体" w:hAnsi="宋体" w:cs="宋体"/>
      <w:b/>
      <w:sz w:val="32"/>
      <w:szCs w:val="32"/>
    </w:rPr>
  </w:style>
  <w:style w:type="character" w:customStyle="1" w:styleId="404">
    <w:name w:val="电子邮件签名 字符1"/>
    <w:basedOn w:val="92"/>
    <w:link w:val="19"/>
    <w:qFormat/>
    <w:uiPriority w:val="0"/>
    <w:rPr>
      <w:rFonts w:hint="default" w:ascii="Times New Roman" w:hAnsi="Times New Roman" w:cs="Times New Roman"/>
      <w:sz w:val="21"/>
      <w:szCs w:val="21"/>
    </w:rPr>
  </w:style>
  <w:style w:type="character" w:customStyle="1" w:styleId="405">
    <w:name w:val="有序列表样式1 Char"/>
    <w:basedOn w:val="266"/>
    <w:link w:val="406"/>
    <w:qFormat/>
    <w:uiPriority w:val="0"/>
    <w:rPr>
      <w:rFonts w:hint="eastAsia" w:ascii="仿宋" w:hAnsi="仿宋" w:eastAsia="仿宋" w:cs="Times New Roman"/>
      <w:sz w:val="24"/>
      <w:szCs w:val="28"/>
    </w:rPr>
  </w:style>
  <w:style w:type="paragraph" w:customStyle="1" w:styleId="406">
    <w:name w:val="有序列表样式1"/>
    <w:basedOn w:val="267"/>
    <w:link w:val="405"/>
    <w:qFormat/>
    <w:uiPriority w:val="0"/>
    <w:pPr>
      <w:numPr>
        <w:ilvl w:val="0"/>
        <w:numId w:val="11"/>
      </w:numPr>
      <w:ind w:left="0" w:firstLine="0" w:firstLineChars="0"/>
    </w:pPr>
    <w:rPr>
      <w:rFonts w:cs="Times New Roman"/>
    </w:rPr>
  </w:style>
  <w:style w:type="character" w:customStyle="1" w:styleId="407">
    <w:name w:val="标题 3（绿盟科技） Char"/>
    <w:basedOn w:val="92"/>
    <w:link w:val="408"/>
    <w:qFormat/>
    <w:uiPriority w:val="0"/>
    <w:rPr>
      <w:rFonts w:ascii="Times New Roman" w:hAnsi="Times New Roman" w:eastAsia="黑体" w:cs="Times New Roman"/>
      <w:b/>
      <w:sz w:val="30"/>
      <w:szCs w:val="30"/>
    </w:rPr>
  </w:style>
  <w:style w:type="paragraph" w:customStyle="1" w:styleId="408">
    <w:name w:val="标题 3（1）"/>
    <w:basedOn w:val="5"/>
    <w:next w:val="316"/>
    <w:link w:val="407"/>
    <w:qFormat/>
    <w:uiPriority w:val="0"/>
    <w:pPr>
      <w:numPr>
        <w:ilvl w:val="2"/>
        <w:numId w:val="12"/>
      </w:numPr>
      <w:tabs>
        <w:tab w:val="left" w:pos="720"/>
        <w:tab w:val="left" w:pos="960"/>
      </w:tabs>
      <w:spacing w:line="415" w:lineRule="auto"/>
      <w:ind w:left="0" w:firstLine="0"/>
      <w:jc w:val="left"/>
    </w:pPr>
    <w:rPr>
      <w:rFonts w:eastAsia="黑体"/>
      <w:b/>
      <w:kern w:val="0"/>
      <w:sz w:val="30"/>
      <w:szCs w:val="30"/>
    </w:rPr>
  </w:style>
  <w:style w:type="character" w:customStyle="1" w:styleId="409">
    <w:name w:val="未处理的提及4"/>
    <w:basedOn w:val="92"/>
    <w:qFormat/>
    <w:uiPriority w:val="99"/>
    <w:rPr>
      <w:color w:val="605E5C"/>
      <w:shd w:val="clear" w:color="auto" w:fill="E1DFDD"/>
    </w:rPr>
  </w:style>
  <w:style w:type="character" w:customStyle="1" w:styleId="410">
    <w:name w:val="缩进 Char Char Char"/>
    <w:basedOn w:val="92"/>
    <w:link w:val="411"/>
    <w:qFormat/>
    <w:uiPriority w:val="0"/>
    <w:rPr>
      <w:rFonts w:hint="default" w:ascii="Tahoma" w:hAnsi="Tahoma" w:eastAsia="Tahoma" w:cs="Tahoma"/>
      <w:kern w:val="2"/>
      <w:sz w:val="24"/>
      <w:szCs w:val="24"/>
    </w:rPr>
  </w:style>
  <w:style w:type="paragraph" w:customStyle="1" w:styleId="411">
    <w:name w:val="缩进 Char Char"/>
    <w:basedOn w:val="21"/>
    <w:link w:val="410"/>
    <w:qFormat/>
    <w:uiPriority w:val="0"/>
    <w:pPr>
      <w:widowControl w:val="0"/>
      <w:spacing w:before="156" w:beforeLines="50" w:after="156" w:afterLines="50" w:line="360" w:lineRule="auto"/>
      <w:ind w:firstLine="480" w:firstLineChars="200"/>
      <w:jc w:val="both"/>
    </w:pPr>
    <w:rPr>
      <w:rFonts w:ascii="Tahoma" w:hAnsi="Tahoma" w:eastAsia="Tahoma" w:cs="Tahoma"/>
      <w:kern w:val="2"/>
      <w:sz w:val="24"/>
      <w:szCs w:val="24"/>
    </w:rPr>
  </w:style>
  <w:style w:type="character" w:customStyle="1" w:styleId="412">
    <w:name w:val="b-free-read-leaf"/>
    <w:basedOn w:val="92"/>
    <w:qFormat/>
    <w:uiPriority w:val="0"/>
  </w:style>
  <w:style w:type="character" w:customStyle="1" w:styleId="413">
    <w:name w:val="结束语 字符1"/>
    <w:basedOn w:val="92"/>
    <w:link w:val="35"/>
    <w:qFormat/>
    <w:uiPriority w:val="0"/>
    <w:rPr>
      <w:rFonts w:hint="default" w:ascii="Times New Roman" w:hAnsi="Times New Roman" w:cs="Times New Roman"/>
      <w:sz w:val="21"/>
      <w:szCs w:val="21"/>
    </w:rPr>
  </w:style>
  <w:style w:type="character" w:customStyle="1" w:styleId="414">
    <w:name w:val="标题 2 Char1"/>
    <w:basedOn w:val="92"/>
    <w:qFormat/>
    <w:uiPriority w:val="0"/>
    <w:rPr>
      <w:rFonts w:hint="default" w:ascii="Arial" w:hAnsi="Arial" w:eastAsia="华文中宋" w:cs="Arial"/>
      <w:b/>
      <w:kern w:val="2"/>
      <w:sz w:val="30"/>
      <w:szCs w:val="21"/>
    </w:rPr>
  </w:style>
  <w:style w:type="character" w:customStyle="1" w:styleId="415">
    <w:name w:val="标题 3 Char2"/>
    <w:basedOn w:val="92"/>
    <w:qFormat/>
    <w:uiPriority w:val="9"/>
    <w:rPr>
      <w:rFonts w:hint="default" w:ascii="Arial" w:hAnsi="Arial" w:eastAsia="华文中宋" w:cs="Arial"/>
      <w:b/>
      <w:bCs/>
      <w:sz w:val="30"/>
      <w:szCs w:val="32"/>
    </w:rPr>
  </w:style>
  <w:style w:type="character" w:customStyle="1" w:styleId="416">
    <w:name w:val="正文文本首行缩进 2 字符1"/>
    <w:basedOn w:val="417"/>
    <w:qFormat/>
    <w:uiPriority w:val="99"/>
    <w:rPr>
      <w:rFonts w:hint="default" w:ascii="Times New Roman" w:hAnsi="Times New Roman" w:cs="Times New Roman"/>
      <w:sz w:val="21"/>
      <w:szCs w:val="21"/>
    </w:rPr>
  </w:style>
  <w:style w:type="character" w:customStyle="1" w:styleId="417">
    <w:name w:val="正文文本缩进 字符1"/>
    <w:basedOn w:val="92"/>
    <w:link w:val="38"/>
    <w:qFormat/>
    <w:uiPriority w:val="99"/>
    <w:rPr>
      <w:rFonts w:hint="default" w:ascii="Times New Roman" w:hAnsi="Times New Roman" w:cs="Times New Roman"/>
      <w:sz w:val="21"/>
      <w:szCs w:val="21"/>
    </w:rPr>
  </w:style>
  <w:style w:type="character" w:customStyle="1" w:styleId="418">
    <w:name w:val="明显引用 Char1"/>
    <w:basedOn w:val="92"/>
    <w:qFormat/>
    <w:uiPriority w:val="99"/>
    <w:rPr>
      <w:rFonts w:hint="default" w:ascii="Calibri" w:hAnsi="Calibri" w:eastAsia="等线" w:cs="Arial"/>
      <w:i/>
      <w:iCs/>
      <w:color w:val="4472C4"/>
      <w:kern w:val="2"/>
      <w:sz w:val="21"/>
      <w:szCs w:val="22"/>
    </w:rPr>
  </w:style>
  <w:style w:type="character" w:customStyle="1" w:styleId="419">
    <w:name w:val="标题 4 Char1"/>
    <w:basedOn w:val="92"/>
    <w:qFormat/>
    <w:uiPriority w:val="9"/>
    <w:rPr>
      <w:rFonts w:hint="default" w:ascii="Arial" w:hAnsi="Arial" w:eastAsia="华文中宋" w:cs="Arial"/>
      <w:b/>
      <w:bCs/>
      <w:sz w:val="28"/>
      <w:szCs w:val="28"/>
    </w:rPr>
  </w:style>
  <w:style w:type="character" w:customStyle="1" w:styleId="420">
    <w:name w:val="注释标题 字符1"/>
    <w:basedOn w:val="92"/>
    <w:link w:val="16"/>
    <w:qFormat/>
    <w:uiPriority w:val="0"/>
    <w:rPr>
      <w:rFonts w:hint="default" w:ascii="Times New Roman" w:hAnsi="Times New Roman" w:cs="Times New Roman"/>
      <w:sz w:val="21"/>
      <w:szCs w:val="21"/>
    </w:rPr>
  </w:style>
  <w:style w:type="character" w:customStyle="1" w:styleId="421">
    <w:name w:val="文档结构图 字符1"/>
    <w:basedOn w:val="92"/>
    <w:link w:val="29"/>
    <w:qFormat/>
    <w:uiPriority w:val="99"/>
    <w:rPr>
      <w:rFonts w:hint="default" w:ascii="Times New Roman" w:hAnsi="Times New Roman" w:cs="Times New Roman"/>
      <w:sz w:val="24"/>
      <w:szCs w:val="21"/>
      <w:shd w:val="clear" w:color="auto" w:fill="000080"/>
    </w:rPr>
  </w:style>
  <w:style w:type="character" w:customStyle="1" w:styleId="422">
    <w:name w:val="列表段落 字符3"/>
    <w:basedOn w:val="92"/>
    <w:qFormat/>
    <w:uiPriority w:val="0"/>
    <w:rPr>
      <w:rFonts w:hint="default" w:ascii="Calibri" w:hAnsi="Calibri" w:cs="Calibri"/>
      <w:kern w:val="2"/>
      <w:sz w:val="24"/>
      <w:szCs w:val="24"/>
    </w:rPr>
  </w:style>
  <w:style w:type="character" w:customStyle="1" w:styleId="423">
    <w:name w:val="称呼 字符1"/>
    <w:basedOn w:val="92"/>
    <w:link w:val="33"/>
    <w:qFormat/>
    <w:uiPriority w:val="0"/>
    <w:rPr>
      <w:rFonts w:hint="default" w:ascii="Times New Roman" w:hAnsi="Times New Roman" w:cs="Times New Roman"/>
      <w:sz w:val="21"/>
      <w:szCs w:val="21"/>
    </w:rPr>
  </w:style>
  <w:style w:type="character" w:customStyle="1" w:styleId="424">
    <w:name w:val="正文文本 3 字符1"/>
    <w:basedOn w:val="92"/>
    <w:link w:val="34"/>
    <w:qFormat/>
    <w:uiPriority w:val="0"/>
    <w:rPr>
      <w:rFonts w:hint="default" w:ascii="Times New Roman" w:hAnsi="Times New Roman" w:cs="Times New Roman"/>
      <w:sz w:val="16"/>
      <w:szCs w:val="16"/>
    </w:rPr>
  </w:style>
  <w:style w:type="character" w:customStyle="1" w:styleId="425">
    <w:name w:val="正文缩进2字符 Char Char"/>
    <w:basedOn w:val="92"/>
    <w:link w:val="426"/>
    <w:qFormat/>
    <w:uiPriority w:val="0"/>
    <w:rPr>
      <w:kern w:val="2"/>
      <w:sz w:val="24"/>
      <w:szCs w:val="21"/>
    </w:rPr>
  </w:style>
  <w:style w:type="paragraph" w:customStyle="1" w:styleId="426">
    <w:name w:val="正文缩进2字符"/>
    <w:basedOn w:val="1"/>
    <w:link w:val="425"/>
    <w:qFormat/>
    <w:uiPriority w:val="0"/>
    <w:pPr>
      <w:spacing w:line="360" w:lineRule="auto"/>
      <w:ind w:firstLine="200" w:firstLineChars="200"/>
    </w:pPr>
    <w:rPr>
      <w:rFonts w:ascii="Calibri" w:hAnsi="Calibri" w:cs="Calibri"/>
      <w:sz w:val="24"/>
      <w:szCs w:val="21"/>
    </w:rPr>
  </w:style>
  <w:style w:type="character" w:customStyle="1" w:styleId="427">
    <w:name w:val="日期 字符1"/>
    <w:basedOn w:val="92"/>
    <w:link w:val="53"/>
    <w:qFormat/>
    <w:uiPriority w:val="0"/>
    <w:rPr>
      <w:rFonts w:hint="default" w:ascii="Times New Roman" w:hAnsi="Times New Roman" w:cs="Times New Roman"/>
      <w:sz w:val="21"/>
      <w:szCs w:val="21"/>
    </w:rPr>
  </w:style>
  <w:style w:type="character" w:customStyle="1" w:styleId="428">
    <w:name w:val="正文文本缩进 2 字符1"/>
    <w:basedOn w:val="92"/>
    <w:link w:val="54"/>
    <w:qFormat/>
    <w:uiPriority w:val="0"/>
    <w:rPr>
      <w:rFonts w:hint="default" w:ascii="Times New Roman" w:hAnsi="Times New Roman" w:cs="Times New Roman"/>
      <w:sz w:val="21"/>
      <w:szCs w:val="21"/>
    </w:rPr>
  </w:style>
  <w:style w:type="character" w:customStyle="1" w:styleId="429">
    <w:name w:val="尾注文本 字符1"/>
    <w:basedOn w:val="92"/>
    <w:link w:val="55"/>
    <w:qFormat/>
    <w:uiPriority w:val="0"/>
    <w:rPr>
      <w:rFonts w:hint="default" w:ascii="Times New Roman" w:hAnsi="Times New Roman" w:cs="Times New Roman"/>
      <w:sz w:val="21"/>
      <w:szCs w:val="21"/>
    </w:rPr>
  </w:style>
  <w:style w:type="character" w:customStyle="1" w:styleId="430">
    <w:name w:val="批注框文本 Char1"/>
    <w:basedOn w:val="92"/>
    <w:qFormat/>
    <w:uiPriority w:val="0"/>
    <w:rPr>
      <w:rFonts w:hint="eastAsia" w:ascii="仿宋" w:hAnsi="仿宋" w:eastAsia="仿宋" w:cs="仿宋"/>
      <w:sz w:val="18"/>
      <w:szCs w:val="18"/>
    </w:rPr>
  </w:style>
  <w:style w:type="character" w:customStyle="1" w:styleId="431">
    <w:name w:val="签名 字符1"/>
    <w:basedOn w:val="92"/>
    <w:link w:val="61"/>
    <w:qFormat/>
    <w:uiPriority w:val="0"/>
    <w:rPr>
      <w:rFonts w:hint="default" w:ascii="Times New Roman" w:hAnsi="Times New Roman" w:cs="Times New Roman"/>
      <w:sz w:val="21"/>
      <w:szCs w:val="21"/>
    </w:rPr>
  </w:style>
  <w:style w:type="character" w:customStyle="1" w:styleId="432">
    <w:name w:val="正文文本缩进 3 字符1"/>
    <w:basedOn w:val="92"/>
    <w:link w:val="73"/>
    <w:qFormat/>
    <w:uiPriority w:val="0"/>
    <w:rPr>
      <w:rFonts w:hint="default" w:ascii="Times New Roman" w:hAnsi="Times New Roman" w:cs="Times New Roman"/>
      <w:sz w:val="16"/>
      <w:szCs w:val="16"/>
    </w:rPr>
  </w:style>
  <w:style w:type="character" w:customStyle="1" w:styleId="433">
    <w:name w:val="正文文本 2 字符1"/>
    <w:basedOn w:val="92"/>
    <w:link w:val="79"/>
    <w:qFormat/>
    <w:uiPriority w:val="0"/>
    <w:rPr>
      <w:rFonts w:hint="default" w:ascii="Times New Roman" w:hAnsi="Times New Roman" w:cs="Times New Roman"/>
      <w:sz w:val="21"/>
      <w:szCs w:val="21"/>
    </w:rPr>
  </w:style>
  <w:style w:type="character" w:customStyle="1" w:styleId="434">
    <w:name w:val="引用 字符2"/>
    <w:basedOn w:val="92"/>
    <w:qFormat/>
    <w:uiPriority w:val="0"/>
    <w:rPr>
      <w:rFonts w:hint="eastAsia" w:ascii="黑体" w:hAnsi="宋体" w:eastAsia="黑体" w:cs="黑体"/>
      <w:i/>
      <w:iCs/>
      <w:color w:val="404040"/>
      <w:kern w:val="2"/>
      <w:sz w:val="24"/>
      <w:szCs w:val="22"/>
    </w:rPr>
  </w:style>
  <w:style w:type="character" w:customStyle="1" w:styleId="435">
    <w:name w:val="标题 字符1"/>
    <w:basedOn w:val="92"/>
    <w:link w:val="23"/>
    <w:qFormat/>
    <w:uiPriority w:val="10"/>
    <w:rPr>
      <w:rFonts w:hint="default" w:ascii="Times New Roman" w:hAnsi="Times New Roman" w:eastAsia="黑体" w:cs="Arial"/>
      <w:b/>
      <w:bCs/>
      <w:sz w:val="52"/>
      <w:szCs w:val="32"/>
    </w:rPr>
  </w:style>
  <w:style w:type="character" w:customStyle="1" w:styleId="436">
    <w:name w:val="批注主题 Char1"/>
    <w:basedOn w:val="92"/>
    <w:qFormat/>
    <w:uiPriority w:val="0"/>
    <w:rPr>
      <w:rFonts w:hint="eastAsia" w:ascii="仿宋" w:hAnsi="仿宋" w:eastAsia="仿宋" w:cs="仿宋"/>
      <w:b/>
      <w:bCs/>
      <w:sz w:val="28"/>
      <w:szCs w:val="21"/>
    </w:rPr>
  </w:style>
  <w:style w:type="character" w:customStyle="1" w:styleId="437">
    <w:name w:val="unnamed1"/>
    <w:basedOn w:val="92"/>
    <w:qFormat/>
    <w:uiPriority w:val="0"/>
  </w:style>
  <w:style w:type="character" w:customStyle="1" w:styleId="438">
    <w:name w:val="ssa"/>
    <w:basedOn w:val="92"/>
    <w:qFormat/>
    <w:uiPriority w:val="0"/>
  </w:style>
  <w:style w:type="character" w:customStyle="1" w:styleId="439">
    <w:name w:val="style3"/>
    <w:basedOn w:val="92"/>
    <w:qFormat/>
    <w:uiPriority w:val="0"/>
  </w:style>
  <w:style w:type="character" w:customStyle="1" w:styleId="440">
    <w:name w:val="unnamed3"/>
    <w:basedOn w:val="92"/>
    <w:qFormat/>
    <w:uiPriority w:val="0"/>
  </w:style>
  <w:style w:type="character" w:customStyle="1" w:styleId="441">
    <w:name w:val="section:1 Char"/>
    <w:basedOn w:val="92"/>
    <w:qFormat/>
    <w:uiPriority w:val="0"/>
    <w:rPr>
      <w:rFonts w:hint="default" w:ascii="Calibri" w:hAnsi="Calibri" w:eastAsia="宋体" w:cs="Calibri"/>
      <w:b/>
      <w:bCs/>
      <w:kern w:val="44"/>
      <w:sz w:val="44"/>
      <w:szCs w:val="44"/>
      <w:lang w:val="en-US" w:eastAsia="zh-CN" w:bidi="ar"/>
    </w:rPr>
  </w:style>
  <w:style w:type="character" w:customStyle="1" w:styleId="442">
    <w:name w:val="newscontent1"/>
    <w:basedOn w:val="92"/>
    <w:qFormat/>
    <w:uiPriority w:val="0"/>
    <w:rPr>
      <w:rFonts w:hint="default" w:ascii="Verdana" w:hAnsi="Verdana" w:cs="Verdana"/>
      <w:color w:val="333333"/>
      <w:sz w:val="18"/>
    </w:rPr>
  </w:style>
  <w:style w:type="character" w:customStyle="1" w:styleId="443">
    <w:name w:val="样式 标书正文 + 下划线 Char"/>
    <w:basedOn w:val="92"/>
    <w:qFormat/>
    <w:uiPriority w:val="0"/>
    <w:rPr>
      <w:rFonts w:hint="default" w:ascii="Ari" w:hAnsi="Ari" w:eastAsia="Ari" w:cs="Ari"/>
      <w:kern w:val="2"/>
      <w:sz w:val="28"/>
      <w:szCs w:val="28"/>
      <w:u w:val="single"/>
      <w:lang w:val="en-US" w:eastAsia="zh-CN" w:bidi="ar"/>
    </w:rPr>
  </w:style>
  <w:style w:type="character" w:customStyle="1" w:styleId="444">
    <w:name w:val="正文首行缩进（山谷网络） Char"/>
    <w:basedOn w:val="92"/>
    <w:link w:val="445"/>
    <w:qFormat/>
    <w:uiPriority w:val="0"/>
    <w:rPr>
      <w:rFonts w:hint="default" w:ascii="Times New Roman" w:hAnsi="Times New Roman" w:cs="Times New Roman"/>
      <w:sz w:val="24"/>
      <w:szCs w:val="21"/>
    </w:rPr>
  </w:style>
  <w:style w:type="paragraph" w:customStyle="1" w:styleId="445">
    <w:name w:val="正文首行缩进（4）"/>
    <w:basedOn w:val="1"/>
    <w:link w:val="444"/>
    <w:qFormat/>
    <w:uiPriority w:val="0"/>
    <w:pPr>
      <w:widowControl/>
      <w:spacing w:after="50" w:line="360" w:lineRule="auto"/>
      <w:ind w:firstLine="200" w:firstLineChars="200"/>
      <w:jc w:val="left"/>
    </w:pPr>
    <w:rPr>
      <w:kern w:val="0"/>
      <w:sz w:val="24"/>
      <w:szCs w:val="21"/>
    </w:rPr>
  </w:style>
  <w:style w:type="character" w:customStyle="1" w:styleId="446">
    <w:name w:val="fontd1"/>
    <w:basedOn w:val="92"/>
    <w:qFormat/>
    <w:uiPriority w:val="0"/>
    <w:rPr>
      <w:b/>
      <w:sz w:val="28"/>
    </w:rPr>
  </w:style>
  <w:style w:type="character" w:customStyle="1" w:styleId="447">
    <w:name w:val="文档正文 Char1"/>
    <w:basedOn w:val="92"/>
    <w:link w:val="448"/>
    <w:qFormat/>
    <w:uiPriority w:val="0"/>
    <w:rPr>
      <w:rFonts w:hint="eastAsia" w:ascii="长城仿宋" w:hAnsi="长城仿宋" w:eastAsia="长城仿宋" w:cs="长城仿宋"/>
      <w:sz w:val="24"/>
    </w:rPr>
  </w:style>
  <w:style w:type="paragraph" w:customStyle="1" w:styleId="448">
    <w:name w:val="文档正文"/>
    <w:basedOn w:val="1"/>
    <w:link w:val="447"/>
    <w:qFormat/>
    <w:uiPriority w:val="0"/>
    <w:pPr>
      <w:adjustRightInd w:val="0"/>
      <w:spacing w:line="312" w:lineRule="atLeast"/>
      <w:ind w:firstLine="567" w:firstLineChars="200"/>
    </w:pPr>
    <w:rPr>
      <w:rFonts w:hint="eastAsia" w:ascii="长城仿宋" w:hAnsi="长城仿宋" w:eastAsia="长城仿宋" w:cs="长城仿宋"/>
      <w:kern w:val="0"/>
      <w:sz w:val="24"/>
      <w:szCs w:val="20"/>
    </w:rPr>
  </w:style>
  <w:style w:type="character" w:customStyle="1" w:styleId="449">
    <w:name w:val="31 Char"/>
    <w:basedOn w:val="92"/>
    <w:link w:val="450"/>
    <w:qFormat/>
    <w:uiPriority w:val="0"/>
    <w:rPr>
      <w:rFonts w:hint="eastAsia" w:ascii="宋体" w:hAnsi="宋体" w:eastAsia="宋体" w:cs="宋体"/>
      <w:b/>
      <w:sz w:val="24"/>
    </w:rPr>
  </w:style>
  <w:style w:type="paragraph" w:customStyle="1" w:styleId="450">
    <w:name w:val="31"/>
    <w:next w:val="37"/>
    <w:link w:val="449"/>
    <w:qFormat/>
    <w:uiPriority w:val="0"/>
    <w:pPr>
      <w:tabs>
        <w:tab w:val="left" w:pos="540"/>
      </w:tabs>
      <w:spacing w:line="360" w:lineRule="auto"/>
      <w:outlineLvl w:val="2"/>
    </w:pPr>
    <w:rPr>
      <w:rFonts w:hint="eastAsia" w:ascii="宋体" w:hAnsi="宋体" w:eastAsia="宋体" w:cs="宋体"/>
      <w:b/>
      <w:sz w:val="24"/>
      <w:lang w:val="en-US" w:eastAsia="zh-CN" w:bidi="ar-SA"/>
    </w:rPr>
  </w:style>
  <w:style w:type="character" w:customStyle="1" w:styleId="451">
    <w:name w:val="Char Char3"/>
    <w:basedOn w:val="92"/>
    <w:qFormat/>
    <w:uiPriority w:val="0"/>
    <w:rPr>
      <w:rFonts w:hint="eastAsia" w:ascii="宋体" w:hAnsi="宋体" w:eastAsia="宋体" w:cs="宋体"/>
      <w:kern w:val="2"/>
      <w:sz w:val="18"/>
      <w:szCs w:val="18"/>
      <w:lang w:val="en-US" w:eastAsia="zh-CN" w:bidi="ar"/>
    </w:rPr>
  </w:style>
  <w:style w:type="character" w:customStyle="1" w:styleId="452">
    <w:name w:val="页脚右端（绿盟科技） Char"/>
    <w:basedOn w:val="305"/>
    <w:link w:val="279"/>
    <w:qFormat/>
    <w:uiPriority w:val="0"/>
    <w:rPr>
      <w:rFonts w:hint="default" w:ascii="Arial" w:hAnsi="Arial" w:cs="Arial"/>
      <w:color w:val="FFFFFF"/>
      <w:sz w:val="18"/>
      <w:szCs w:val="18"/>
    </w:rPr>
  </w:style>
  <w:style w:type="character" w:customStyle="1" w:styleId="453">
    <w:name w:val="Balloon Text Char"/>
    <w:basedOn w:val="92"/>
    <w:qFormat/>
    <w:uiPriority w:val="0"/>
    <w:rPr>
      <w:rFonts w:hint="eastAsia" w:ascii="宋体" w:hAnsi="宋体" w:eastAsia="宋体" w:cs="宋体"/>
      <w:kern w:val="2"/>
      <w:sz w:val="18"/>
      <w:lang w:val="en-US" w:eastAsia="zh-CN"/>
    </w:rPr>
  </w:style>
  <w:style w:type="character" w:customStyle="1" w:styleId="454">
    <w:name w:val="es1"/>
    <w:basedOn w:val="92"/>
    <w:qFormat/>
    <w:uiPriority w:val="0"/>
    <w:rPr>
      <w:sz w:val="24"/>
      <w:u w:val="none"/>
    </w:rPr>
  </w:style>
  <w:style w:type="character" w:customStyle="1" w:styleId="455">
    <w:name w:val="正文段落 Char"/>
    <w:basedOn w:val="92"/>
    <w:link w:val="456"/>
    <w:qFormat/>
    <w:uiPriority w:val="0"/>
    <w:rPr>
      <w:kern w:val="2"/>
      <w:sz w:val="24"/>
      <w:szCs w:val="24"/>
    </w:rPr>
  </w:style>
  <w:style w:type="paragraph" w:customStyle="1" w:styleId="456">
    <w:name w:val="正文段落"/>
    <w:basedOn w:val="1"/>
    <w:link w:val="455"/>
    <w:qFormat/>
    <w:uiPriority w:val="0"/>
    <w:pPr>
      <w:spacing w:line="360" w:lineRule="auto"/>
      <w:ind w:firstLine="200" w:firstLineChars="200"/>
    </w:pPr>
    <w:rPr>
      <w:rFonts w:ascii="Calibri" w:hAnsi="Calibri" w:cs="Calibri"/>
      <w:sz w:val="24"/>
    </w:rPr>
  </w:style>
  <w:style w:type="character" w:customStyle="1" w:styleId="457">
    <w:name w:val="con"/>
    <w:basedOn w:val="92"/>
    <w:qFormat/>
    <w:uiPriority w:val="0"/>
  </w:style>
  <w:style w:type="character" w:customStyle="1" w:styleId="458">
    <w:name w:val="abcde1"/>
    <w:basedOn w:val="92"/>
    <w:qFormat/>
    <w:uiPriority w:val="0"/>
    <w:rPr>
      <w:sz w:val="20"/>
      <w:szCs w:val="20"/>
    </w:rPr>
  </w:style>
  <w:style w:type="character" w:customStyle="1" w:styleId="459">
    <w:name w:val="style191"/>
    <w:basedOn w:val="92"/>
    <w:qFormat/>
    <w:uiPriority w:val="0"/>
    <w:rPr>
      <w:color w:val="0000FF"/>
      <w:sz w:val="24"/>
      <w:szCs w:val="24"/>
    </w:rPr>
  </w:style>
  <w:style w:type="character" w:customStyle="1" w:styleId="460">
    <w:name w:val="Header Char"/>
    <w:basedOn w:val="92"/>
    <w:qFormat/>
    <w:uiPriority w:val="0"/>
    <w:rPr>
      <w:rFonts w:hint="eastAsia" w:ascii="宋体" w:hAnsi="宋体" w:eastAsia="宋体" w:cs="宋体"/>
      <w:kern w:val="2"/>
      <w:sz w:val="18"/>
      <w:lang w:val="en-US" w:eastAsia="zh-CN"/>
    </w:rPr>
  </w:style>
  <w:style w:type="character" w:customStyle="1" w:styleId="461">
    <w:name w:val="0可研正文 Char"/>
    <w:basedOn w:val="92"/>
    <w:link w:val="462"/>
    <w:qFormat/>
    <w:uiPriority w:val="0"/>
    <w:rPr>
      <w:rFonts w:hint="eastAsia" w:ascii="宋体" w:hAnsi="宋体" w:eastAsia="宋体" w:cs="宋体"/>
      <w:kern w:val="2"/>
      <w:sz w:val="24"/>
      <w:szCs w:val="24"/>
    </w:rPr>
  </w:style>
  <w:style w:type="paragraph" w:customStyle="1" w:styleId="462">
    <w:name w:val="0可研正文"/>
    <w:next w:val="1"/>
    <w:link w:val="461"/>
    <w:qFormat/>
    <w:uiPriority w:val="0"/>
    <w:pPr>
      <w:widowControl w:val="0"/>
      <w:spacing w:line="360" w:lineRule="auto"/>
      <w:ind w:firstLine="200" w:firstLineChars="200"/>
      <w:jc w:val="both"/>
    </w:pPr>
    <w:rPr>
      <w:rFonts w:hint="eastAsia" w:ascii="宋体" w:hAnsi="宋体" w:eastAsia="宋体" w:cs="宋体"/>
      <w:kern w:val="2"/>
      <w:sz w:val="24"/>
      <w:szCs w:val="24"/>
      <w:lang w:val="en-US" w:eastAsia="zh-CN" w:bidi="ar-SA"/>
    </w:rPr>
  </w:style>
  <w:style w:type="character" w:customStyle="1" w:styleId="463">
    <w:name w:val="变更与声明加粗（绿盟科技） Char Char"/>
    <w:basedOn w:val="92"/>
    <w:link w:val="464"/>
    <w:qFormat/>
    <w:uiPriority w:val="0"/>
    <w:rPr>
      <w:rFonts w:hint="default" w:ascii="Times New Roman" w:hAnsi="Times New Roman" w:cs="Times New Roman"/>
      <w:b/>
      <w:sz w:val="18"/>
      <w:szCs w:val="21"/>
    </w:rPr>
  </w:style>
  <w:style w:type="paragraph" w:customStyle="1" w:styleId="464">
    <w:name w:val="变更与声明加粗（1）"/>
    <w:basedOn w:val="316"/>
    <w:link w:val="463"/>
    <w:qFormat/>
    <w:uiPriority w:val="0"/>
    <w:pPr>
      <w:ind w:left="50" w:leftChars="50" w:right="50" w:rightChars="50"/>
    </w:pPr>
    <w:rPr>
      <w:b/>
      <w:sz w:val="18"/>
    </w:rPr>
  </w:style>
  <w:style w:type="character" w:customStyle="1" w:styleId="465">
    <w:name w:val="cyh4 Char"/>
    <w:basedOn w:val="92"/>
    <w:link w:val="466"/>
    <w:qFormat/>
    <w:uiPriority w:val="0"/>
    <w:rPr>
      <w:b/>
      <w:kern w:val="2"/>
      <w:sz w:val="24"/>
      <w:szCs w:val="24"/>
    </w:rPr>
  </w:style>
  <w:style w:type="paragraph" w:customStyle="1" w:styleId="466">
    <w:name w:val="cyh4"/>
    <w:basedOn w:val="1"/>
    <w:next w:val="1"/>
    <w:link w:val="465"/>
    <w:qFormat/>
    <w:uiPriority w:val="0"/>
    <w:pPr>
      <w:spacing w:before="156" w:beforeLines="50" w:after="156" w:afterLines="50" w:line="360" w:lineRule="auto"/>
      <w:ind w:firstLine="200" w:firstLineChars="200"/>
      <w:jc w:val="left"/>
      <w:outlineLvl w:val="3"/>
    </w:pPr>
    <w:rPr>
      <w:rFonts w:ascii="Calibri" w:hAnsi="Calibri" w:cs="Calibri"/>
      <w:b/>
      <w:sz w:val="24"/>
    </w:rPr>
  </w:style>
  <w:style w:type="character" w:customStyle="1" w:styleId="467">
    <w:name w:val="text1"/>
    <w:basedOn w:val="92"/>
    <w:qFormat/>
    <w:uiPriority w:val="0"/>
    <w:rPr>
      <w:rFonts w:hint="default" w:ascii="ˎ̥" w:hAnsi="ˎ̥" w:eastAsia="ˎ̥" w:cs="ˎ̥"/>
      <w:color w:val="000000"/>
      <w:sz w:val="24"/>
    </w:rPr>
  </w:style>
  <w:style w:type="character" w:customStyle="1" w:styleId="468">
    <w:name w:val="z-窗体顶端 Char1"/>
    <w:basedOn w:val="92"/>
    <w:qFormat/>
    <w:uiPriority w:val="99"/>
    <w:rPr>
      <w:rFonts w:hint="default" w:ascii="Arial" w:hAnsi="Arial" w:eastAsia="等线" w:cs="Arial"/>
      <w:vanish/>
      <w:kern w:val="2"/>
      <w:sz w:val="16"/>
      <w:szCs w:val="16"/>
    </w:rPr>
  </w:style>
  <w:style w:type="character" w:customStyle="1" w:styleId="469">
    <w:name w:val="Body Text Char"/>
    <w:basedOn w:val="92"/>
    <w:qFormat/>
    <w:uiPriority w:val="0"/>
    <w:rPr>
      <w:rFonts w:hint="eastAsia" w:ascii="宋体" w:hAnsi="宋体" w:eastAsia="宋体" w:cs="宋体"/>
      <w:kern w:val="2"/>
      <w:sz w:val="24"/>
      <w:lang w:val="en-US" w:eastAsia="zh-CN"/>
    </w:rPr>
  </w:style>
  <w:style w:type="character" w:customStyle="1" w:styleId="470">
    <w:name w:val="正文两侧缩进（绿盟科技） Char"/>
    <w:basedOn w:val="92"/>
    <w:link w:val="471"/>
    <w:qFormat/>
    <w:uiPriority w:val="0"/>
    <w:rPr>
      <w:sz w:val="21"/>
      <w:szCs w:val="21"/>
    </w:rPr>
  </w:style>
  <w:style w:type="paragraph" w:customStyle="1" w:styleId="471">
    <w:name w:val="正文两侧缩进（1）"/>
    <w:basedOn w:val="316"/>
    <w:link w:val="470"/>
    <w:qFormat/>
    <w:uiPriority w:val="0"/>
    <w:pPr>
      <w:spacing w:after="50"/>
      <w:ind w:left="200" w:leftChars="200" w:right="200" w:rightChars="200"/>
    </w:pPr>
    <w:rPr>
      <w:rFonts w:ascii="Calibri" w:hAnsi="Calibri" w:cs="Calibri"/>
    </w:rPr>
  </w:style>
  <w:style w:type="character" w:customStyle="1" w:styleId="472">
    <w:name w:val="1 Char"/>
    <w:basedOn w:val="92"/>
    <w:qFormat/>
    <w:uiPriority w:val="0"/>
    <w:rPr>
      <w:rFonts w:hint="eastAsia" w:ascii="宋体" w:hAnsi="宋体" w:eastAsia="宋体" w:cs="仿宋_GB2312"/>
      <w:b/>
      <w:sz w:val="52"/>
      <w:szCs w:val="52"/>
    </w:rPr>
  </w:style>
  <w:style w:type="character" w:customStyle="1" w:styleId="473">
    <w:name w:val="未处理的提及13"/>
    <w:basedOn w:val="92"/>
    <w:qFormat/>
    <w:uiPriority w:val="99"/>
    <w:rPr>
      <w:color w:val="605E5C"/>
      <w:shd w:val="clear" w:color="auto" w:fill="E1DFDD"/>
    </w:rPr>
  </w:style>
  <w:style w:type="character" w:customStyle="1" w:styleId="474">
    <w:name w:val="Title Char1"/>
    <w:basedOn w:val="92"/>
    <w:qFormat/>
    <w:uiPriority w:val="10"/>
    <w:rPr>
      <w:rFonts w:hint="default" w:ascii="Cambria" w:hAnsi="Cambria" w:eastAsia="Cambria" w:cs="Times New Roman"/>
      <w:b/>
      <w:bCs/>
      <w:kern w:val="2"/>
      <w:sz w:val="32"/>
      <w:szCs w:val="32"/>
    </w:rPr>
  </w:style>
  <w:style w:type="character" w:customStyle="1" w:styleId="475">
    <w:name w:val="引用 Char1"/>
    <w:basedOn w:val="92"/>
    <w:qFormat/>
    <w:uiPriority w:val="99"/>
    <w:rPr>
      <w:rFonts w:hint="default" w:ascii="Calibri" w:hAnsi="Calibri" w:eastAsia="等线" w:cs="Arial"/>
      <w:i/>
      <w:iCs/>
      <w:color w:val="404040"/>
      <w:kern w:val="2"/>
      <w:sz w:val="21"/>
      <w:szCs w:val="22"/>
    </w:rPr>
  </w:style>
  <w:style w:type="character" w:customStyle="1" w:styleId="476">
    <w:name w:val="报告书正文缩进 Char"/>
    <w:basedOn w:val="92"/>
    <w:link w:val="477"/>
    <w:qFormat/>
    <w:uiPriority w:val="99"/>
    <w:rPr>
      <w:kern w:val="2"/>
      <w:sz w:val="24"/>
      <w:szCs w:val="21"/>
    </w:rPr>
  </w:style>
  <w:style w:type="paragraph" w:customStyle="1" w:styleId="477">
    <w:name w:val="报告书正文缩进"/>
    <w:basedOn w:val="1"/>
    <w:link w:val="476"/>
    <w:qFormat/>
    <w:uiPriority w:val="99"/>
    <w:pPr>
      <w:spacing w:line="360" w:lineRule="auto"/>
      <w:ind w:firstLine="560" w:firstLineChars="200"/>
    </w:pPr>
    <w:rPr>
      <w:rFonts w:ascii="Calibri" w:hAnsi="Calibri" w:cs="Calibri"/>
      <w:sz w:val="24"/>
      <w:szCs w:val="21"/>
    </w:rPr>
  </w:style>
  <w:style w:type="character" w:customStyle="1" w:styleId="478">
    <w:name w:val="标题 4（绿盟科技） Char Char"/>
    <w:basedOn w:val="92"/>
    <w:link w:val="479"/>
    <w:qFormat/>
    <w:uiPriority w:val="0"/>
    <w:rPr>
      <w:rFonts w:ascii="Arial" w:hAnsi="Arial" w:eastAsia="黑体" w:cs="Times New Roman"/>
      <w:b/>
      <w:sz w:val="28"/>
      <w:szCs w:val="28"/>
    </w:rPr>
  </w:style>
  <w:style w:type="paragraph" w:customStyle="1" w:styleId="479">
    <w:name w:val="标题 4（1）"/>
    <w:basedOn w:val="6"/>
    <w:next w:val="316"/>
    <w:link w:val="478"/>
    <w:qFormat/>
    <w:uiPriority w:val="0"/>
    <w:pPr>
      <w:widowControl/>
      <w:numPr>
        <w:ilvl w:val="3"/>
        <w:numId w:val="12"/>
      </w:numPr>
      <w:tabs>
        <w:tab w:val="left" w:pos="864"/>
      </w:tabs>
      <w:spacing w:after="120" w:line="377" w:lineRule="auto"/>
      <w:ind w:left="0" w:firstLine="0"/>
      <w:jc w:val="left"/>
    </w:pPr>
    <w:rPr>
      <w:bCs w:val="0"/>
      <w:kern w:val="0"/>
    </w:rPr>
  </w:style>
  <w:style w:type="character" w:customStyle="1" w:styleId="480">
    <w:name w:val="cyh5 Char"/>
    <w:basedOn w:val="92"/>
    <w:link w:val="481"/>
    <w:qFormat/>
    <w:uiPriority w:val="0"/>
    <w:rPr>
      <w:kern w:val="2"/>
      <w:sz w:val="24"/>
      <w:szCs w:val="24"/>
    </w:rPr>
  </w:style>
  <w:style w:type="paragraph" w:customStyle="1" w:styleId="481">
    <w:name w:val="cyh5"/>
    <w:basedOn w:val="1"/>
    <w:next w:val="1"/>
    <w:link w:val="480"/>
    <w:qFormat/>
    <w:uiPriority w:val="0"/>
    <w:pPr>
      <w:spacing w:line="360" w:lineRule="auto"/>
      <w:ind w:firstLine="200" w:firstLineChars="200"/>
      <w:jc w:val="left"/>
      <w:outlineLvl w:val="4"/>
    </w:pPr>
    <w:rPr>
      <w:rFonts w:ascii="Calibri" w:hAnsi="Calibri" w:cs="Calibri"/>
      <w:sz w:val="24"/>
    </w:rPr>
  </w:style>
  <w:style w:type="character" w:customStyle="1" w:styleId="482">
    <w:name w:val="表格 Char Char"/>
    <w:basedOn w:val="92"/>
    <w:qFormat/>
    <w:uiPriority w:val="0"/>
    <w:rPr>
      <w:rFonts w:hint="default" w:ascii="Times New Roman" w:hAnsi="Times New Roman" w:cs="Times New Roman"/>
      <w:kern w:val="2"/>
      <w:sz w:val="24"/>
    </w:rPr>
  </w:style>
  <w:style w:type="character" w:customStyle="1" w:styleId="483">
    <w:name w:val="Table Text Char1"/>
    <w:basedOn w:val="92"/>
    <w:qFormat/>
    <w:uiPriority w:val="0"/>
    <w:rPr>
      <w:sz w:val="18"/>
    </w:rPr>
  </w:style>
  <w:style w:type="character" w:customStyle="1" w:styleId="484">
    <w:name w:val="fontb1"/>
    <w:basedOn w:val="92"/>
    <w:qFormat/>
    <w:uiPriority w:val="0"/>
    <w:rPr>
      <w:b/>
      <w:sz w:val="30"/>
    </w:rPr>
  </w:style>
  <w:style w:type="character" w:customStyle="1" w:styleId="485">
    <w:name w:val="普通(网站) Char3"/>
    <w:basedOn w:val="92"/>
    <w:qFormat/>
    <w:uiPriority w:val="99"/>
    <w:rPr>
      <w:rFonts w:hint="eastAsia" w:ascii="宋体" w:hAnsi="宋体" w:eastAsia="宋体" w:cs="宋体"/>
      <w:color w:val="000000"/>
      <w:sz w:val="24"/>
      <w:szCs w:val="24"/>
    </w:rPr>
  </w:style>
  <w:style w:type="character" w:customStyle="1" w:styleId="486">
    <w:name w:val="报告书正文 Char"/>
    <w:basedOn w:val="92"/>
    <w:link w:val="487"/>
    <w:qFormat/>
    <w:uiPriority w:val="0"/>
    <w:rPr>
      <w:kern w:val="2"/>
      <w:sz w:val="24"/>
      <w:szCs w:val="22"/>
    </w:rPr>
  </w:style>
  <w:style w:type="paragraph" w:customStyle="1" w:styleId="487">
    <w:name w:val="报告书正文"/>
    <w:basedOn w:val="1"/>
    <w:link w:val="486"/>
    <w:qFormat/>
    <w:uiPriority w:val="0"/>
    <w:pPr>
      <w:adjustRightInd w:val="0"/>
      <w:snapToGrid w:val="0"/>
      <w:spacing w:line="360" w:lineRule="auto"/>
      <w:ind w:firstLine="560" w:firstLineChars="200"/>
    </w:pPr>
    <w:rPr>
      <w:rFonts w:ascii="Calibri" w:hAnsi="Calibri" w:cs="Calibri"/>
      <w:sz w:val="24"/>
      <w:szCs w:val="22"/>
    </w:rPr>
  </w:style>
  <w:style w:type="character" w:customStyle="1" w:styleId="488">
    <w:name w:val="tw4winMark"/>
    <w:basedOn w:val="92"/>
    <w:qFormat/>
    <w:uiPriority w:val="0"/>
    <w:rPr>
      <w:rFonts w:hint="default" w:ascii="Courier New" w:hAnsi="Courier New" w:cs="Courier New"/>
      <w:vanish/>
      <w:color w:val="800080"/>
      <w:vertAlign w:val="subscript"/>
    </w:rPr>
  </w:style>
  <w:style w:type="character" w:customStyle="1" w:styleId="489">
    <w:name w:val="段落正文 Char"/>
    <w:basedOn w:val="92"/>
    <w:link w:val="490"/>
    <w:qFormat/>
    <w:uiPriority w:val="0"/>
    <w:rPr>
      <w:sz w:val="24"/>
      <w:szCs w:val="24"/>
      <w:lang w:eastAsia="en-US" w:bidi="en-US"/>
    </w:rPr>
  </w:style>
  <w:style w:type="paragraph" w:customStyle="1" w:styleId="490">
    <w:name w:val="段落正文"/>
    <w:basedOn w:val="1"/>
    <w:link w:val="489"/>
    <w:qFormat/>
    <w:uiPriority w:val="0"/>
    <w:pPr>
      <w:spacing w:beforeLines="50" w:afterLines="50" w:line="360" w:lineRule="auto"/>
      <w:ind w:firstLine="200" w:firstLineChars="200"/>
      <w:jc w:val="left"/>
    </w:pPr>
    <w:rPr>
      <w:rFonts w:ascii="Calibri" w:hAnsi="Calibri" w:cs="Calibri"/>
      <w:kern w:val="0"/>
      <w:sz w:val="24"/>
      <w:lang w:eastAsia="en-US" w:bidi="en-US"/>
    </w:rPr>
  </w:style>
  <w:style w:type="character" w:customStyle="1" w:styleId="491">
    <w:name w:val="Char Char4"/>
    <w:basedOn w:val="92"/>
    <w:qFormat/>
    <w:uiPriority w:val="0"/>
    <w:rPr>
      <w:b/>
      <w:bCs/>
      <w:kern w:val="44"/>
      <w:sz w:val="44"/>
      <w:szCs w:val="44"/>
    </w:rPr>
  </w:style>
  <w:style w:type="character" w:customStyle="1" w:styleId="492">
    <w:name w:val="ziti1"/>
    <w:basedOn w:val="92"/>
    <w:qFormat/>
    <w:uiPriority w:val="0"/>
    <w:rPr>
      <w:color w:val="333333"/>
      <w:sz w:val="20"/>
      <w:szCs w:val="20"/>
    </w:rPr>
  </w:style>
  <w:style w:type="character" w:customStyle="1" w:styleId="493">
    <w:name w:val="正文（s） Char"/>
    <w:basedOn w:val="92"/>
    <w:link w:val="494"/>
    <w:qFormat/>
    <w:uiPriority w:val="0"/>
    <w:rPr>
      <w:sz w:val="21"/>
    </w:rPr>
  </w:style>
  <w:style w:type="paragraph" w:customStyle="1" w:styleId="494">
    <w:name w:val="正文（s）"/>
    <w:link w:val="493"/>
    <w:qFormat/>
    <w:uiPriority w:val="0"/>
    <w:pPr>
      <w:spacing w:after="200" w:line="300" w:lineRule="auto"/>
      <w:ind w:firstLine="482"/>
    </w:pPr>
    <w:rPr>
      <w:rFonts w:ascii="Calibri" w:hAnsi="Calibri" w:eastAsia="宋体" w:cs="Calibri"/>
      <w:sz w:val="21"/>
      <w:lang w:val="en-US" w:eastAsia="zh-CN" w:bidi="ar-SA"/>
    </w:rPr>
  </w:style>
  <w:style w:type="character" w:customStyle="1" w:styleId="495">
    <w:name w:val="z-窗体底端 Char1"/>
    <w:basedOn w:val="92"/>
    <w:qFormat/>
    <w:uiPriority w:val="99"/>
    <w:rPr>
      <w:rFonts w:hint="default" w:ascii="Arial" w:hAnsi="Arial" w:eastAsia="等线" w:cs="Arial"/>
      <w:vanish/>
      <w:kern w:val="2"/>
      <w:sz w:val="16"/>
      <w:szCs w:val="16"/>
    </w:rPr>
  </w:style>
  <w:style w:type="character" w:customStyle="1" w:styleId="496">
    <w:name w:val="正文格式 Char"/>
    <w:basedOn w:val="92"/>
    <w:link w:val="497"/>
    <w:qFormat/>
    <w:uiPriority w:val="0"/>
    <w:rPr>
      <w:sz w:val="24"/>
    </w:rPr>
  </w:style>
  <w:style w:type="paragraph" w:customStyle="1" w:styleId="497">
    <w:name w:val="正文格式"/>
    <w:basedOn w:val="1"/>
    <w:link w:val="496"/>
    <w:qFormat/>
    <w:uiPriority w:val="0"/>
    <w:pPr>
      <w:widowControl/>
      <w:adjustRightInd w:val="0"/>
      <w:snapToGrid w:val="0"/>
      <w:spacing w:line="360" w:lineRule="atLeast"/>
      <w:textAlignment w:val="baseline"/>
    </w:pPr>
    <w:rPr>
      <w:rFonts w:ascii="Calibri" w:hAnsi="Calibri" w:cs="Calibri"/>
      <w:kern w:val="0"/>
      <w:sz w:val="24"/>
      <w:szCs w:val="20"/>
    </w:rPr>
  </w:style>
  <w:style w:type="character" w:customStyle="1" w:styleId="498">
    <w:name w:val="标题 21 Char"/>
    <w:basedOn w:val="92"/>
    <w:link w:val="499"/>
    <w:qFormat/>
    <w:uiPriority w:val="0"/>
    <w:rPr>
      <w:rFonts w:ascii="Times New Roman" w:hAnsi="Times New Roman" w:cs="Times New Roman"/>
      <w:b/>
      <w:kern w:val="2"/>
      <w:sz w:val="30"/>
      <w:szCs w:val="30"/>
    </w:rPr>
  </w:style>
  <w:style w:type="paragraph" w:customStyle="1" w:styleId="499">
    <w:name w:val="标题 21"/>
    <w:basedOn w:val="1"/>
    <w:next w:val="1"/>
    <w:link w:val="498"/>
    <w:qFormat/>
    <w:uiPriority w:val="0"/>
    <w:pPr>
      <w:numPr>
        <w:ilvl w:val="0"/>
        <w:numId w:val="13"/>
      </w:numPr>
      <w:adjustRightInd w:val="0"/>
      <w:snapToGrid w:val="0"/>
      <w:spacing w:before="50" w:beforeLines="50" w:after="50" w:afterLines="50" w:line="360" w:lineRule="auto"/>
      <w:ind w:left="0" w:firstLine="0" w:firstLineChars="200"/>
      <w:outlineLvl w:val="1"/>
    </w:pPr>
    <w:rPr>
      <w:b/>
      <w:sz w:val="30"/>
      <w:szCs w:val="30"/>
    </w:rPr>
  </w:style>
  <w:style w:type="character" w:customStyle="1" w:styleId="500">
    <w:name w:val="明显强调1"/>
    <w:basedOn w:val="92"/>
    <w:qFormat/>
    <w:uiPriority w:val="0"/>
    <w:rPr>
      <w:rFonts w:hint="eastAsia" w:ascii="宋体" w:hAnsi="宋体" w:eastAsia="宋体" w:cs="宋体"/>
      <w:b/>
      <w:bCs/>
      <w:i/>
      <w:iCs/>
      <w:color w:val="auto"/>
      <w:sz w:val="28"/>
    </w:rPr>
  </w:style>
  <w:style w:type="character" w:customStyle="1" w:styleId="501">
    <w:name w:val="样式 首行缩进:  0.85 厘米 Char"/>
    <w:basedOn w:val="92"/>
    <w:link w:val="502"/>
    <w:qFormat/>
    <w:uiPriority w:val="0"/>
    <w:rPr>
      <w:rFonts w:hint="eastAsia" w:ascii="仿宋_GB2312" w:eastAsia="仿宋_GB2312" w:cs="仿宋_GB2312"/>
      <w:kern w:val="2"/>
      <w:sz w:val="21"/>
    </w:rPr>
  </w:style>
  <w:style w:type="paragraph" w:customStyle="1" w:styleId="502">
    <w:name w:val="样式 首行缩进:  0.85 厘米"/>
    <w:basedOn w:val="1"/>
    <w:next w:val="89"/>
    <w:link w:val="501"/>
    <w:qFormat/>
    <w:uiPriority w:val="0"/>
    <w:pPr>
      <w:spacing w:line="360" w:lineRule="auto"/>
      <w:ind w:firstLine="482"/>
    </w:pPr>
    <w:rPr>
      <w:rFonts w:hint="eastAsia" w:ascii="仿宋_GB2312" w:hAnsi="Calibri" w:eastAsia="仿宋_GB2312" w:cs="仿宋_GB2312"/>
      <w:szCs w:val="20"/>
    </w:rPr>
  </w:style>
  <w:style w:type="character" w:customStyle="1" w:styleId="503">
    <w:name w:val="style27"/>
    <w:basedOn w:val="92"/>
    <w:qFormat/>
    <w:uiPriority w:val="0"/>
  </w:style>
  <w:style w:type="character" w:customStyle="1" w:styleId="504">
    <w:name w:val="lt Char"/>
    <w:basedOn w:val="92"/>
    <w:link w:val="505"/>
    <w:qFormat/>
    <w:uiPriority w:val="0"/>
    <w:rPr>
      <w:rFonts w:hint="eastAsia" w:ascii="宋体" w:hAnsi="宋体" w:eastAsia="宋体" w:cs="宋体"/>
      <w:kern w:val="2"/>
      <w:sz w:val="24"/>
    </w:rPr>
  </w:style>
  <w:style w:type="paragraph" w:customStyle="1" w:styleId="505">
    <w:name w:val="lt"/>
    <w:basedOn w:val="1"/>
    <w:next w:val="1"/>
    <w:link w:val="504"/>
    <w:qFormat/>
    <w:uiPriority w:val="0"/>
    <w:pPr>
      <w:spacing w:line="360" w:lineRule="auto"/>
      <w:ind w:firstLine="200" w:firstLineChars="200"/>
    </w:pPr>
    <w:rPr>
      <w:rFonts w:hint="eastAsia" w:ascii="宋体" w:hAnsi="宋体" w:cs="宋体"/>
      <w:sz w:val="24"/>
      <w:szCs w:val="20"/>
    </w:rPr>
  </w:style>
  <w:style w:type="character" w:customStyle="1" w:styleId="506">
    <w:name w:val="标题 5（有编号）（绿盟科技） Char"/>
    <w:basedOn w:val="92"/>
    <w:link w:val="507"/>
    <w:qFormat/>
    <w:uiPriority w:val="0"/>
    <w:rPr>
      <w:rFonts w:ascii="Times New Roman" w:hAnsi="Times New Roman" w:eastAsia="黑体" w:cs="Times New Roman"/>
      <w:b/>
      <w:sz w:val="24"/>
      <w:szCs w:val="28"/>
    </w:rPr>
  </w:style>
  <w:style w:type="paragraph" w:customStyle="1" w:styleId="507">
    <w:name w:val="标题 5（有编号）（1）"/>
    <w:basedOn w:val="508"/>
    <w:next w:val="316"/>
    <w:link w:val="506"/>
    <w:qFormat/>
    <w:uiPriority w:val="0"/>
    <w:pPr>
      <w:numPr>
        <w:ilvl w:val="4"/>
        <w:numId w:val="12"/>
      </w:numPr>
      <w:ind w:left="0" w:firstLine="0"/>
    </w:pPr>
    <w:rPr>
      <w:rFonts w:ascii="Times New Roman" w:hAnsi="Times New Roman"/>
    </w:rPr>
  </w:style>
  <w:style w:type="paragraph" w:customStyle="1" w:styleId="508">
    <w:name w:val="标题 5（无编号）（1）"/>
    <w:basedOn w:val="7"/>
    <w:next w:val="316"/>
    <w:qFormat/>
    <w:uiPriority w:val="0"/>
    <w:pPr>
      <w:adjustRightInd/>
      <w:spacing w:after="156" w:line="377" w:lineRule="auto"/>
      <w:textAlignment w:val="auto"/>
    </w:pPr>
    <w:rPr>
      <w:rFonts w:ascii="Arial" w:hAnsi="Arial" w:eastAsia="黑体"/>
      <w:bCs w:val="0"/>
      <w:sz w:val="24"/>
    </w:rPr>
  </w:style>
  <w:style w:type="character" w:customStyle="1" w:styleId="509">
    <w:name w:val="postbody1"/>
    <w:basedOn w:val="92"/>
    <w:qFormat/>
    <w:uiPriority w:val="0"/>
    <w:rPr>
      <w:sz w:val="18"/>
      <w:szCs w:val="18"/>
    </w:rPr>
  </w:style>
  <w:style w:type="character" w:customStyle="1" w:styleId="510">
    <w:name w:val="正文首行缩进两字 Char"/>
    <w:basedOn w:val="92"/>
    <w:link w:val="511"/>
    <w:qFormat/>
    <w:uiPriority w:val="0"/>
    <w:rPr>
      <w:sz w:val="24"/>
      <w:szCs w:val="24"/>
    </w:rPr>
  </w:style>
  <w:style w:type="paragraph" w:customStyle="1" w:styleId="511">
    <w:name w:val="正文首行缩进两字"/>
    <w:link w:val="510"/>
    <w:qFormat/>
    <w:uiPriority w:val="0"/>
    <w:pPr>
      <w:spacing w:afterLines="50" w:line="360" w:lineRule="auto"/>
      <w:ind w:right="240" w:rightChars="100"/>
      <w:jc w:val="center"/>
    </w:pPr>
    <w:rPr>
      <w:rFonts w:ascii="Calibri" w:hAnsi="Calibri" w:eastAsia="宋体" w:cs="Calibri"/>
      <w:sz w:val="24"/>
      <w:szCs w:val="24"/>
      <w:lang w:val="en-US" w:eastAsia="zh-CN" w:bidi="ar-SA"/>
    </w:rPr>
  </w:style>
  <w:style w:type="character" w:customStyle="1" w:styleId="512">
    <w:name w:val="白皮书 Char"/>
    <w:basedOn w:val="92"/>
    <w:link w:val="513"/>
    <w:qFormat/>
    <w:uiPriority w:val="0"/>
    <w:rPr>
      <w:rFonts w:hint="eastAsia" w:ascii="宋体" w:hAnsi="宋体" w:eastAsia="宋体" w:cs="宋体"/>
      <w:sz w:val="24"/>
    </w:rPr>
  </w:style>
  <w:style w:type="paragraph" w:customStyle="1" w:styleId="513">
    <w:name w:val="白皮书"/>
    <w:basedOn w:val="88"/>
    <w:link w:val="512"/>
    <w:qFormat/>
    <w:uiPriority w:val="0"/>
    <w:pPr>
      <w:adjustRightInd w:val="0"/>
      <w:spacing w:after="0" w:line="360" w:lineRule="auto"/>
      <w:ind w:firstLine="480" w:firstLineChars="200"/>
      <w:textAlignment w:val="baseline"/>
    </w:pPr>
    <w:rPr>
      <w:rFonts w:hint="eastAsia" w:ascii="宋体" w:hAnsi="宋体" w:cs="宋体"/>
      <w:kern w:val="0"/>
      <w:sz w:val="24"/>
      <w:szCs w:val="20"/>
    </w:rPr>
  </w:style>
  <w:style w:type="character" w:customStyle="1" w:styleId="514">
    <w:name w:val="tpc_content1"/>
    <w:basedOn w:val="92"/>
    <w:qFormat/>
    <w:uiPriority w:val="0"/>
    <w:rPr>
      <w:sz w:val="18"/>
      <w:szCs w:val="18"/>
    </w:rPr>
  </w:style>
  <w:style w:type="character" w:customStyle="1" w:styleId="515">
    <w:name w:val="明显引用 字符"/>
    <w:basedOn w:val="92"/>
    <w:qFormat/>
    <w:uiPriority w:val="99"/>
    <w:rPr>
      <w:rFonts w:hint="default" w:ascii="Calibri" w:hAnsi="Calibri" w:eastAsia="等线" w:cs="Arial"/>
      <w:i/>
      <w:iCs/>
      <w:color w:val="2F5496"/>
      <w:kern w:val="2"/>
      <w:sz w:val="21"/>
      <w:szCs w:val="22"/>
    </w:rPr>
  </w:style>
  <w:style w:type="character" w:customStyle="1" w:styleId="516">
    <w:name w:val="标题 2（绿盟科技） Char Char"/>
    <w:basedOn w:val="92"/>
    <w:link w:val="517"/>
    <w:qFormat/>
    <w:uiPriority w:val="0"/>
    <w:rPr>
      <w:rFonts w:ascii="Times New Roman" w:hAnsi="Times New Roman" w:eastAsia="黑体" w:cs="Times New Roman"/>
      <w:b/>
      <w:kern w:val="2"/>
      <w:sz w:val="32"/>
      <w:szCs w:val="32"/>
    </w:rPr>
  </w:style>
  <w:style w:type="paragraph" w:customStyle="1" w:styleId="517">
    <w:name w:val="标题 2（1）"/>
    <w:basedOn w:val="4"/>
    <w:next w:val="316"/>
    <w:link w:val="516"/>
    <w:qFormat/>
    <w:uiPriority w:val="0"/>
    <w:pPr>
      <w:numPr>
        <w:ilvl w:val="1"/>
        <w:numId w:val="12"/>
      </w:numPr>
      <w:tabs>
        <w:tab w:val="left" w:pos="576"/>
      </w:tabs>
      <w:spacing w:before="260" w:after="260" w:line="415" w:lineRule="auto"/>
      <w:ind w:left="0" w:firstLine="0"/>
      <w:jc w:val="left"/>
    </w:pPr>
    <w:rPr>
      <w:rFonts w:ascii="Times New Roman" w:hAnsi="Times New Roman" w:eastAsia="黑体"/>
      <w:bCs w:val="0"/>
      <w:sz w:val="32"/>
    </w:rPr>
  </w:style>
  <w:style w:type="character" w:customStyle="1" w:styleId="518">
    <w:name w:val="正文首行缩进:  2 字符 Char"/>
    <w:basedOn w:val="92"/>
    <w:link w:val="519"/>
    <w:qFormat/>
    <w:uiPriority w:val="0"/>
    <w:rPr>
      <w:rFonts w:hint="eastAsia" w:ascii="宋体" w:hAnsi="宋体" w:eastAsia="宋体" w:cs="宋体"/>
      <w:sz w:val="24"/>
    </w:rPr>
  </w:style>
  <w:style w:type="paragraph" w:customStyle="1" w:styleId="519">
    <w:name w:val="正文首行缩进:  2 字符"/>
    <w:basedOn w:val="1"/>
    <w:link w:val="518"/>
    <w:qFormat/>
    <w:uiPriority w:val="0"/>
    <w:pPr>
      <w:widowControl/>
      <w:spacing w:line="360" w:lineRule="auto"/>
      <w:ind w:firstLine="482" w:firstLineChars="200"/>
      <w:jc w:val="left"/>
    </w:pPr>
    <w:rPr>
      <w:rFonts w:hint="eastAsia" w:ascii="宋体" w:hAnsi="宋体" w:cs="宋体"/>
      <w:kern w:val="0"/>
      <w:sz w:val="24"/>
      <w:szCs w:val="20"/>
    </w:rPr>
  </w:style>
  <w:style w:type="character" w:customStyle="1" w:styleId="520">
    <w:name w:val="项目符号 Char"/>
    <w:basedOn w:val="92"/>
    <w:link w:val="521"/>
    <w:qFormat/>
    <w:uiPriority w:val="0"/>
    <w:rPr>
      <w:rFonts w:ascii="Times New Roman" w:hAnsi="Times New Roman" w:cs="Times New Roman"/>
      <w:kern w:val="2"/>
      <w:sz w:val="24"/>
      <w:szCs w:val="21"/>
    </w:rPr>
  </w:style>
  <w:style w:type="paragraph" w:customStyle="1" w:styleId="521">
    <w:name w:val="项目符号"/>
    <w:basedOn w:val="426"/>
    <w:link w:val="520"/>
    <w:qFormat/>
    <w:uiPriority w:val="0"/>
    <w:pPr>
      <w:numPr>
        <w:ilvl w:val="0"/>
        <w:numId w:val="14"/>
      </w:numPr>
      <w:tabs>
        <w:tab w:val="left" w:pos="360"/>
        <w:tab w:val="left" w:pos="1021"/>
      </w:tabs>
      <w:ind w:left="0" w:firstLine="0" w:firstLineChars="0"/>
      <w:jc w:val="left"/>
    </w:pPr>
    <w:rPr>
      <w:rFonts w:ascii="Times New Roman" w:hAnsi="Times New Roman" w:cs="Times New Roman"/>
    </w:rPr>
  </w:style>
  <w:style w:type="character" w:customStyle="1" w:styleId="522">
    <w:name w:val="图 字符"/>
    <w:basedOn w:val="92"/>
    <w:link w:val="523"/>
    <w:qFormat/>
    <w:uiPriority w:val="0"/>
    <w:rPr>
      <w:kern w:val="2"/>
      <w:sz w:val="24"/>
      <w:szCs w:val="21"/>
    </w:rPr>
  </w:style>
  <w:style w:type="paragraph" w:customStyle="1" w:styleId="523">
    <w:name w:val="图"/>
    <w:basedOn w:val="426"/>
    <w:next w:val="426"/>
    <w:link w:val="522"/>
    <w:qFormat/>
    <w:uiPriority w:val="0"/>
    <w:pPr>
      <w:ind w:firstLine="0" w:firstLineChars="0"/>
      <w:jc w:val="center"/>
    </w:pPr>
  </w:style>
  <w:style w:type="character" w:customStyle="1" w:styleId="524">
    <w:name w:val="unnamed4"/>
    <w:basedOn w:val="92"/>
    <w:qFormat/>
    <w:uiPriority w:val="0"/>
  </w:style>
  <w:style w:type="character" w:customStyle="1" w:styleId="525">
    <w:name w:val="javascript"/>
    <w:basedOn w:val="92"/>
    <w:qFormat/>
    <w:uiPriority w:val="0"/>
  </w:style>
  <w:style w:type="character" w:customStyle="1" w:styleId="526">
    <w:name w:val="style221"/>
    <w:basedOn w:val="92"/>
    <w:qFormat/>
    <w:uiPriority w:val="0"/>
    <w:rPr>
      <w:rFonts w:hint="default" w:ascii="Arial" w:hAnsi="Arial" w:cs="Arial"/>
    </w:rPr>
  </w:style>
  <w:style w:type="character" w:customStyle="1" w:styleId="527">
    <w:name w:val="Style 正文（首行缩进）2 + First line:  2 ch Char"/>
    <w:basedOn w:val="92"/>
    <w:link w:val="528"/>
    <w:qFormat/>
    <w:uiPriority w:val="0"/>
    <w:rPr>
      <w:rFonts w:hint="eastAsia" w:ascii="宋体" w:hAnsi="宋体" w:eastAsia="宋体" w:cs="宋体"/>
      <w:sz w:val="24"/>
    </w:rPr>
  </w:style>
  <w:style w:type="paragraph" w:customStyle="1" w:styleId="528">
    <w:name w:val="Style 正文（首行缩进）2 + First line:  2 ch"/>
    <w:basedOn w:val="1"/>
    <w:link w:val="527"/>
    <w:qFormat/>
    <w:uiPriority w:val="0"/>
    <w:pPr>
      <w:widowControl/>
      <w:spacing w:before="100" w:beforeAutospacing="1" w:after="100" w:afterAutospacing="1" w:line="300" w:lineRule="auto"/>
      <w:ind w:firstLine="480" w:firstLineChars="200"/>
      <w:jc w:val="left"/>
    </w:pPr>
    <w:rPr>
      <w:rFonts w:hint="eastAsia" w:ascii="宋体" w:hAnsi="宋体" w:cs="宋体"/>
      <w:kern w:val="0"/>
      <w:sz w:val="24"/>
      <w:szCs w:val="20"/>
    </w:rPr>
  </w:style>
  <w:style w:type="character" w:customStyle="1" w:styleId="529">
    <w:name w:val="point_normal"/>
    <w:basedOn w:val="92"/>
    <w:qFormat/>
    <w:uiPriority w:val="0"/>
  </w:style>
  <w:style w:type="character" w:customStyle="1" w:styleId="530">
    <w:name w:val="目录格式"/>
    <w:basedOn w:val="92"/>
    <w:qFormat/>
    <w:uiPriority w:val="0"/>
    <w:rPr>
      <w:rFonts w:hint="default" w:ascii="Arial" w:hAnsi="Arial" w:eastAsia="黑体" w:cs="Arial"/>
      <w:b/>
      <w:bCs/>
      <w:sz w:val="44"/>
      <w:szCs w:val="44"/>
    </w:rPr>
  </w:style>
  <w:style w:type="character" w:customStyle="1" w:styleId="531">
    <w:name w:val="cyh3 Char"/>
    <w:basedOn w:val="92"/>
    <w:link w:val="532"/>
    <w:qFormat/>
    <w:uiPriority w:val="0"/>
    <w:rPr>
      <w:b/>
      <w:kern w:val="2"/>
      <w:sz w:val="28"/>
      <w:szCs w:val="28"/>
    </w:rPr>
  </w:style>
  <w:style w:type="paragraph" w:customStyle="1" w:styleId="532">
    <w:name w:val="cyh3"/>
    <w:basedOn w:val="1"/>
    <w:next w:val="1"/>
    <w:link w:val="531"/>
    <w:qFormat/>
    <w:uiPriority w:val="0"/>
    <w:pPr>
      <w:spacing w:before="50" w:beforeLines="50" w:after="50" w:afterLines="50" w:line="360" w:lineRule="auto"/>
      <w:jc w:val="left"/>
      <w:outlineLvl w:val="2"/>
    </w:pPr>
    <w:rPr>
      <w:rFonts w:ascii="Calibri" w:hAnsi="Calibri" w:cs="Calibri"/>
      <w:b/>
      <w:sz w:val="28"/>
      <w:szCs w:val="28"/>
    </w:rPr>
  </w:style>
  <w:style w:type="character" w:customStyle="1" w:styleId="533">
    <w:name w:val="fonta1"/>
    <w:basedOn w:val="92"/>
    <w:qFormat/>
    <w:uiPriority w:val="0"/>
    <w:rPr>
      <w:sz w:val="30"/>
    </w:rPr>
  </w:style>
  <w:style w:type="character" w:customStyle="1" w:styleId="534">
    <w:name w:val="段 Char"/>
    <w:basedOn w:val="92"/>
    <w:qFormat/>
    <w:uiPriority w:val="0"/>
    <w:rPr>
      <w:rFonts w:hint="eastAsia" w:ascii="宋体" w:hAnsi="宋体" w:eastAsia="宋体" w:cs="宋体"/>
      <w:sz w:val="21"/>
    </w:rPr>
  </w:style>
  <w:style w:type="character" w:customStyle="1" w:styleId="535">
    <w:name w:val="Footer Char"/>
    <w:basedOn w:val="92"/>
    <w:qFormat/>
    <w:uiPriority w:val="0"/>
    <w:rPr>
      <w:rFonts w:hint="eastAsia" w:ascii="宋体" w:hAnsi="宋体" w:eastAsia="宋体" w:cs="宋体"/>
      <w:kern w:val="2"/>
      <w:sz w:val="18"/>
      <w:lang w:val="en-US" w:eastAsia="zh-CN"/>
    </w:rPr>
  </w:style>
  <w:style w:type="character" w:customStyle="1" w:styleId="536">
    <w:name w:val="正文文本缩进 2 Char1"/>
    <w:basedOn w:val="92"/>
    <w:qFormat/>
    <w:uiPriority w:val="0"/>
    <w:rPr>
      <w:sz w:val="21"/>
      <w:szCs w:val="21"/>
    </w:rPr>
  </w:style>
  <w:style w:type="character" w:customStyle="1" w:styleId="537">
    <w:name w:val="表格内容 Char Char"/>
    <w:basedOn w:val="92"/>
    <w:qFormat/>
    <w:uiPriority w:val="0"/>
    <w:rPr>
      <w:lang w:bidi="ar"/>
    </w:rPr>
  </w:style>
  <w:style w:type="character" w:customStyle="1" w:styleId="538">
    <w:name w:val="正文首行缩进两字符 Char Char Char"/>
    <w:basedOn w:val="92"/>
    <w:link w:val="539"/>
    <w:qFormat/>
    <w:uiPriority w:val="0"/>
    <w:rPr>
      <w:kern w:val="2"/>
      <w:sz w:val="24"/>
      <w:szCs w:val="24"/>
    </w:rPr>
  </w:style>
  <w:style w:type="paragraph" w:customStyle="1" w:styleId="539">
    <w:name w:val="正文首行缩进两字符 Char Char"/>
    <w:basedOn w:val="1"/>
    <w:link w:val="538"/>
    <w:qFormat/>
    <w:uiPriority w:val="0"/>
    <w:pPr>
      <w:spacing w:line="360" w:lineRule="auto"/>
      <w:ind w:firstLine="200" w:firstLineChars="200"/>
    </w:pPr>
    <w:rPr>
      <w:rFonts w:ascii="Calibri" w:hAnsi="Calibri" w:cs="Calibri"/>
      <w:sz w:val="24"/>
    </w:rPr>
  </w:style>
  <w:style w:type="character" w:customStyle="1" w:styleId="540">
    <w:name w:val="文本字符强调（1）"/>
    <w:basedOn w:val="92"/>
    <w:qFormat/>
    <w:uiPriority w:val="0"/>
    <w:rPr>
      <w:rFonts w:hint="default" w:ascii="Arial" w:hAnsi="Arial" w:eastAsia="宋体" w:cs="Arial"/>
      <w:b/>
      <w:color w:val="auto"/>
      <w:sz w:val="21"/>
      <w:u w:val="single"/>
    </w:rPr>
  </w:style>
  <w:style w:type="character" w:customStyle="1" w:styleId="541">
    <w:name w:val="标题1正文 Char"/>
    <w:basedOn w:val="92"/>
    <w:link w:val="542"/>
    <w:qFormat/>
    <w:uiPriority w:val="0"/>
    <w:rPr>
      <w:kern w:val="2"/>
      <w:sz w:val="24"/>
      <w:szCs w:val="24"/>
    </w:rPr>
  </w:style>
  <w:style w:type="paragraph" w:customStyle="1" w:styleId="542">
    <w:name w:val="标题1正文"/>
    <w:basedOn w:val="1"/>
    <w:link w:val="541"/>
    <w:qFormat/>
    <w:uiPriority w:val="0"/>
    <w:pPr>
      <w:spacing w:beforeLines="50" w:afterLines="50"/>
      <w:ind w:left="720" w:leftChars="300" w:right="240" w:rightChars="100" w:firstLine="480" w:firstLineChars="200"/>
    </w:pPr>
    <w:rPr>
      <w:rFonts w:ascii="Calibri" w:hAnsi="Calibri" w:cs="Calibri"/>
      <w:sz w:val="24"/>
    </w:rPr>
  </w:style>
  <w:style w:type="character" w:customStyle="1" w:styleId="543">
    <w:name w:val="投标 正文缩进 Char"/>
    <w:basedOn w:val="92"/>
    <w:link w:val="544"/>
    <w:qFormat/>
    <w:uiPriority w:val="0"/>
    <w:rPr>
      <w:rFonts w:hint="eastAsia" w:ascii="宋体" w:hAnsi="宋体" w:eastAsia="宋体" w:cs="宋体"/>
      <w:spacing w:val="20"/>
      <w:sz w:val="28"/>
      <w:szCs w:val="28"/>
      <w:lang w:val="zh-CN"/>
    </w:rPr>
  </w:style>
  <w:style w:type="paragraph" w:customStyle="1" w:styleId="544">
    <w:name w:val="投标 正文缩进"/>
    <w:basedOn w:val="1"/>
    <w:link w:val="543"/>
    <w:qFormat/>
    <w:uiPriority w:val="0"/>
    <w:pPr>
      <w:adjustRightInd w:val="0"/>
      <w:snapToGrid w:val="0"/>
      <w:spacing w:line="420" w:lineRule="auto"/>
      <w:ind w:left="440" w:leftChars="200" w:right="330" w:rightChars="150" w:firstLine="560" w:firstLineChars="200"/>
      <w:jc w:val="left"/>
    </w:pPr>
    <w:rPr>
      <w:rFonts w:hint="eastAsia" w:ascii="宋体" w:hAnsi="宋体" w:cs="宋体"/>
      <w:spacing w:val="20"/>
      <w:kern w:val="0"/>
      <w:sz w:val="28"/>
      <w:szCs w:val="28"/>
      <w:lang w:val="zh-CN"/>
    </w:rPr>
  </w:style>
  <w:style w:type="character" w:customStyle="1" w:styleId="545">
    <w:name w:val="样式 +中文正文"/>
    <w:basedOn w:val="92"/>
    <w:qFormat/>
    <w:uiPriority w:val="0"/>
    <w:rPr>
      <w:rFonts w:hint="eastAsia" w:ascii="宋体" w:hAnsi="宋体" w:eastAsia="宋体" w:cs="宋体"/>
      <w:sz w:val="24"/>
    </w:rPr>
  </w:style>
  <w:style w:type="character" w:customStyle="1" w:styleId="546">
    <w:name w:val="正文缩进 Char1"/>
    <w:basedOn w:val="92"/>
    <w:qFormat/>
    <w:uiPriority w:val="0"/>
    <w:rPr>
      <w:rFonts w:hint="default" w:ascii="Times New Roman" w:hAnsi="Times New Roman" w:eastAsia="宋体" w:cs="Times New Roman"/>
      <w:sz w:val="24"/>
      <w:szCs w:val="24"/>
    </w:rPr>
  </w:style>
  <w:style w:type="character" w:customStyle="1" w:styleId="547">
    <w:name w:val="未处理的提及61"/>
    <w:basedOn w:val="92"/>
    <w:qFormat/>
    <w:uiPriority w:val="0"/>
    <w:rPr>
      <w:color w:val="605E5C"/>
      <w:shd w:val="clear" w:color="auto" w:fill="E1DFDD"/>
    </w:rPr>
  </w:style>
  <w:style w:type="character" w:customStyle="1" w:styleId="548">
    <w:name w:val="表格文字 Char1"/>
    <w:basedOn w:val="92"/>
    <w:qFormat/>
    <w:uiPriority w:val="0"/>
    <w:rPr>
      <w:rFonts w:hint="eastAsia" w:ascii="宋体" w:hAnsi="宋体" w:eastAsia="宋体" w:cs="宋体"/>
      <w:sz w:val="24"/>
    </w:rPr>
  </w:style>
  <w:style w:type="character" w:customStyle="1" w:styleId="549">
    <w:name w:val="表 Char"/>
    <w:basedOn w:val="92"/>
    <w:qFormat/>
    <w:uiPriority w:val="0"/>
    <w:rPr>
      <w:rFonts w:hint="default" w:ascii="Abadi MT Condensed Light" w:hAnsi="Abadi MT Condensed Light" w:eastAsia="Abadi MT Condensed Light" w:cs="Abadi MT Condensed Light"/>
      <w:b/>
      <w:color w:val="000000"/>
      <w:sz w:val="24"/>
    </w:rPr>
  </w:style>
  <w:style w:type="character" w:customStyle="1" w:styleId="550">
    <w:name w:val="@正文文本首行缩进 Alt＋w Char"/>
    <w:basedOn w:val="92"/>
    <w:qFormat/>
    <w:uiPriority w:val="0"/>
    <w:rPr>
      <w:sz w:val="24"/>
      <w:szCs w:val="23"/>
    </w:rPr>
  </w:style>
  <w:style w:type="character" w:customStyle="1" w:styleId="551">
    <w:name w:val="列表段落 字符1"/>
    <w:basedOn w:val="92"/>
    <w:qFormat/>
    <w:uiPriority w:val="34"/>
    <w:rPr>
      <w:sz w:val="24"/>
      <w:szCs w:val="21"/>
    </w:rPr>
  </w:style>
  <w:style w:type="character" w:customStyle="1" w:styleId="552">
    <w:name w:val="bjh-p"/>
    <w:basedOn w:val="92"/>
    <w:qFormat/>
    <w:uiPriority w:val="0"/>
  </w:style>
  <w:style w:type="character" w:customStyle="1" w:styleId="553">
    <w:name w:val="列出段落 字符"/>
    <w:basedOn w:val="92"/>
    <w:qFormat/>
    <w:uiPriority w:val="34"/>
    <w:rPr>
      <w:rFonts w:hint="default" w:ascii="Times New Roman" w:hAnsi="Times New Roman" w:cs="Times New Roman"/>
      <w:sz w:val="28"/>
      <w:szCs w:val="28"/>
    </w:rPr>
  </w:style>
  <w:style w:type="character" w:customStyle="1" w:styleId="554">
    <w:name w:val="*正文 Char Char"/>
    <w:basedOn w:val="92"/>
    <w:link w:val="555"/>
    <w:qFormat/>
    <w:uiPriority w:val="0"/>
    <w:rPr>
      <w:rFonts w:hint="eastAsia" w:ascii="宋体" w:hAnsi="宋体" w:eastAsia="宋体" w:cs="宋体"/>
      <w:sz w:val="24"/>
      <w:szCs w:val="24"/>
    </w:rPr>
  </w:style>
  <w:style w:type="paragraph" w:customStyle="1" w:styleId="555">
    <w:name w:val="*正文"/>
    <w:basedOn w:val="1"/>
    <w:link w:val="554"/>
    <w:qFormat/>
    <w:uiPriority w:val="0"/>
    <w:pPr>
      <w:spacing w:after="120" w:line="360" w:lineRule="auto"/>
      <w:ind w:firstLine="480" w:firstLineChars="200"/>
    </w:pPr>
    <w:rPr>
      <w:rFonts w:hint="eastAsia" w:ascii="宋体" w:hAnsi="宋体" w:cs="宋体"/>
      <w:kern w:val="0"/>
      <w:sz w:val="24"/>
    </w:rPr>
  </w:style>
  <w:style w:type="character" w:customStyle="1" w:styleId="556">
    <w:name w:val="ql-font-songti"/>
    <w:basedOn w:val="92"/>
    <w:qFormat/>
    <w:uiPriority w:val="0"/>
  </w:style>
  <w:style w:type="character" w:customStyle="1" w:styleId="557">
    <w:name w:val="ql-font-arial"/>
    <w:basedOn w:val="92"/>
    <w:qFormat/>
    <w:uiPriority w:val="0"/>
  </w:style>
  <w:style w:type="character" w:customStyle="1" w:styleId="558">
    <w:name w:val="正文自定义 字符"/>
    <w:basedOn w:val="92"/>
    <w:link w:val="559"/>
    <w:qFormat/>
    <w:uiPriority w:val="0"/>
    <w:rPr>
      <w:kern w:val="2"/>
      <w:sz w:val="24"/>
      <w:szCs w:val="32"/>
    </w:rPr>
  </w:style>
  <w:style w:type="paragraph" w:customStyle="1" w:styleId="559">
    <w:name w:val="正文自定义"/>
    <w:basedOn w:val="1"/>
    <w:link w:val="558"/>
    <w:qFormat/>
    <w:uiPriority w:val="0"/>
    <w:pPr>
      <w:spacing w:line="360" w:lineRule="auto"/>
      <w:ind w:firstLine="200" w:firstLineChars="200"/>
      <w:jc w:val="left"/>
    </w:pPr>
    <w:rPr>
      <w:rFonts w:ascii="Calibri" w:hAnsi="Calibri" w:cs="Calibri"/>
      <w:sz w:val="24"/>
      <w:szCs w:val="32"/>
    </w:rPr>
  </w:style>
  <w:style w:type="character" w:customStyle="1" w:styleId="560">
    <w:name w:val="明显参考1"/>
    <w:basedOn w:val="92"/>
    <w:qFormat/>
    <w:uiPriority w:val="0"/>
    <w:rPr>
      <w:b/>
      <w:bCs/>
      <w:smallCaps/>
      <w:color w:val="2F5496"/>
      <w:spacing w:val="5"/>
    </w:rPr>
  </w:style>
  <w:style w:type="character" w:customStyle="1" w:styleId="561">
    <w:name w:val="图 Char"/>
    <w:basedOn w:val="92"/>
    <w:qFormat/>
    <w:uiPriority w:val="0"/>
    <w:rPr>
      <w:rFonts w:hint="default" w:ascii="Times New Roman" w:hAnsi="Times New Roman" w:eastAsia="黑体" w:cs="Times New Roman"/>
      <w:b/>
      <w:sz w:val="24"/>
    </w:rPr>
  </w:style>
  <w:style w:type="character" w:customStyle="1" w:styleId="562">
    <w:name w:val="标题三自定义 字符"/>
    <w:basedOn w:val="92"/>
    <w:qFormat/>
    <w:uiPriority w:val="0"/>
    <w:rPr>
      <w:rFonts w:hint="default" w:ascii="Calibri" w:hAnsi="Calibri" w:cs="Arial"/>
      <w:b/>
      <w:bCs/>
      <w:kern w:val="2"/>
      <w:sz w:val="28"/>
      <w:szCs w:val="32"/>
    </w:rPr>
  </w:style>
  <w:style w:type="character" w:customStyle="1" w:styleId="563">
    <w:name w:val="未处理的提及9"/>
    <w:basedOn w:val="92"/>
    <w:qFormat/>
    <w:uiPriority w:val="0"/>
    <w:rPr>
      <w:color w:val="605E5C"/>
      <w:shd w:val="clear" w:color="auto" w:fill="E1DFDD"/>
    </w:rPr>
  </w:style>
  <w:style w:type="character" w:customStyle="1" w:styleId="564">
    <w:name w:val="表格样式 字符"/>
    <w:basedOn w:val="92"/>
    <w:qFormat/>
    <w:uiPriority w:val="0"/>
    <w:rPr>
      <w:color w:val="000000"/>
    </w:rPr>
  </w:style>
  <w:style w:type="character" w:customStyle="1" w:styleId="565">
    <w:name w:val="未处理的提及10"/>
    <w:basedOn w:val="92"/>
    <w:qFormat/>
    <w:uiPriority w:val="0"/>
    <w:rPr>
      <w:color w:val="605E5C"/>
      <w:shd w:val="clear" w:color="auto" w:fill="E1DFDD"/>
    </w:rPr>
  </w:style>
  <w:style w:type="character" w:customStyle="1" w:styleId="566">
    <w:name w:val="font91"/>
    <w:basedOn w:val="92"/>
    <w:qFormat/>
    <w:uiPriority w:val="0"/>
    <w:rPr>
      <w:rFonts w:hint="default" w:ascii="Arial" w:hAnsi="Arial" w:cs="Arial"/>
      <w:b/>
      <w:bCs/>
      <w:color w:val="000000"/>
      <w:sz w:val="20"/>
      <w:szCs w:val="20"/>
      <w:u w:val="none"/>
    </w:rPr>
  </w:style>
  <w:style w:type="character" w:customStyle="1" w:styleId="567">
    <w:name w:val="15"/>
    <w:basedOn w:val="92"/>
    <w:qFormat/>
    <w:uiPriority w:val="0"/>
    <w:rPr>
      <w:rFonts w:hint="default" w:ascii="Calibri" w:hAnsi="Calibri" w:cs="Calibri"/>
      <w:color w:val="0563C1"/>
      <w:u w:val="single"/>
    </w:rPr>
  </w:style>
  <w:style w:type="table" w:customStyle="1" w:styleId="568">
    <w:name w:val="网格型浅色1"/>
    <w:basedOn w:val="90"/>
    <w:qFormat/>
    <w:uiPriority w:val="0"/>
    <w:rPr>
      <w:rFonts w:ascii="Times New Roman" w:hAnsi="Times New Roman" w:cs="Times New Roman"/>
    </w:rPr>
    <w:tblPr>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Pr>
    <w:tcPr>
      <w:tcBorders>
        <w:top w:val="single" w:color="BEBEBE" w:sz="4" w:space="0"/>
        <w:left w:val="single" w:color="BEBEBE" w:sz="4" w:space="0"/>
        <w:bottom w:val="single" w:color="BEBEBE" w:sz="4" w:space="0"/>
        <w:right w:val="single" w:color="BEBEBE" w:sz="4" w:space="0"/>
      </w:tcBorders>
    </w:tcPr>
  </w:style>
  <w:style w:type="table" w:customStyle="1" w:styleId="569">
    <w:name w:val="无格式表格 11"/>
    <w:basedOn w:val="90"/>
    <w:qFormat/>
    <w:uiPriority w:val="0"/>
    <w:rPr>
      <w:rFonts w:ascii="Times New Roman" w:hAnsi="Times New Roman" w:cs="Times New Roman"/>
    </w:rPr>
    <w:tblPr>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Pr>
    <w:tcPr>
      <w:tcBorders>
        <w:top w:val="single" w:color="BEBEBE" w:sz="4" w:space="0"/>
        <w:left w:val="single" w:color="BEBEBE" w:sz="4" w:space="0"/>
        <w:bottom w:val="single" w:color="BEBEBE" w:sz="4" w:space="0"/>
        <w:right w:val="single" w:color="BEBEBE" w:sz="4" w:space="0"/>
      </w:tcBorders>
    </w:tcPr>
    <w:tblStylePr w:type="firstRow">
      <w:rPr>
        <w:b/>
        <w:bCs/>
      </w:rPr>
    </w:tblStylePr>
    <w:tblStylePr w:type="lastRow">
      <w:rPr>
        <w:b/>
        <w:bCs/>
      </w:rPr>
      <w:tcPr>
        <w:tcBorders>
          <w:top w:val="double" w:color="BEBEBE" w:sz="4" w:space="0"/>
          <w:left w:val="nil"/>
          <w:bottom w:val="nil"/>
          <w:right w:val="nil"/>
          <w:tl2br w:val="nil"/>
          <w:tr2bl w:val="nil"/>
        </w:tcBorders>
      </w:tcPr>
    </w:tblStylePr>
    <w:tblStylePr w:type="firstCol">
      <w:rPr>
        <w:b/>
        <w:bCs/>
      </w:rPr>
    </w:tblStylePr>
    <w:tblStylePr w:type="lastCol">
      <w:rPr>
        <w:b/>
        <w:bCs/>
      </w:rPr>
    </w:tblStylePr>
    <w:tblStylePr w:type="band1Vert">
      <w:tcPr>
        <w:shd w:val="clear" w:color="auto" w:fill="F1F1F1"/>
      </w:tcPr>
    </w:tblStylePr>
    <w:tblStylePr w:type="band1Horz">
      <w:tcPr>
        <w:shd w:val="clear" w:color="auto" w:fill="F1F1F1"/>
      </w:tcPr>
    </w:tblStylePr>
  </w:style>
  <w:style w:type="table" w:customStyle="1" w:styleId="570">
    <w:name w:val="网格型4"/>
    <w:basedOn w:val="90"/>
    <w:qFormat/>
    <w:uiPriority w:val="0"/>
    <w:rPr>
      <w:rFonts w:ascii="Times New Roman" w:hAnsi="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table" w:customStyle="1" w:styleId="571">
    <w:name w:val="网格型1"/>
    <w:basedOn w:val="90"/>
    <w:qFormat/>
    <w:uiPriority w:val="99"/>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table" w:customStyle="1" w:styleId="572">
    <w:name w:val="表格样式"/>
    <w:basedOn w:val="90"/>
    <w:qFormat/>
    <w:uiPriority w:val="99"/>
    <w:pPr>
      <w:jc w:val="both"/>
    </w:pPr>
    <w:rPr>
      <w:rFonts w:ascii="Times New Roman" w:hAnsi="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vAlign w:val="center"/>
    </w:tcPr>
  </w:style>
  <w:style w:type="table" w:customStyle="1" w:styleId="573">
    <w:name w:val="样式9"/>
    <w:basedOn w:val="90"/>
    <w:qFormat/>
    <w:uiPriority w:val="99"/>
    <w:pPr>
      <w:spacing w:line="276" w:lineRule="auto"/>
      <w:jc w:val="center"/>
    </w:pPr>
    <w:rPr>
      <w:rFonts w:ascii="Times New Roman" w:hAnsi="Times New Roman" w:eastAsia="华文仿宋" w:cs="Times New Roman"/>
      <w:sz w:val="21"/>
    </w:rPr>
    <w:tblP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Pr>
    <w:tcPr>
      <w:tcBorders>
        <w:top w:val="single" w:color="auto" w:sz="18" w:space="0"/>
        <w:left w:val="single" w:color="auto" w:sz="18" w:space="0"/>
        <w:bottom w:val="single" w:color="auto" w:sz="18" w:space="0"/>
        <w:right w:val="single" w:color="auto" w:sz="18" w:space="0"/>
      </w:tcBorders>
      <w:vAlign w:val="center"/>
    </w:tcPr>
    <w:tblStylePr w:type="firstRow">
      <w:rPr>
        <w:rFonts w:hint="default" w:ascii="Times New Roman" w:hAnsi="Times New Roman" w:eastAsia="Corbel" w:cs="Times New Roman"/>
        <w:b/>
      </w:rPr>
    </w:tblStylePr>
  </w:style>
  <w:style w:type="table" w:customStyle="1" w:styleId="574">
    <w:name w:val="网格型浅色2"/>
    <w:basedOn w:val="90"/>
    <w:qFormat/>
    <w:uiPriority w:val="0"/>
    <w:rPr>
      <w:rFonts w:ascii="Times New Roman" w:hAnsi="Times New Roman" w:cs="Times New Roman"/>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tcPr>
      <w:tcBorders>
        <w:top w:val="single" w:color="BFBFBF" w:sz="4" w:space="0"/>
        <w:left w:val="single" w:color="BFBFBF" w:sz="4" w:space="0"/>
        <w:bottom w:val="single" w:color="BFBFBF" w:sz="4" w:space="0"/>
        <w:right w:val="single" w:color="BFBFBF" w:sz="4" w:space="0"/>
      </w:tcBorders>
    </w:tcPr>
  </w:style>
  <w:style w:type="table" w:customStyle="1" w:styleId="575">
    <w:name w:val="网格型浅色21"/>
    <w:basedOn w:val="90"/>
    <w:qFormat/>
    <w:uiPriority w:val="0"/>
    <w:rPr>
      <w:rFonts w:ascii="Times New Roman" w:hAnsi="Times New Roman" w:cs="Times New Roman"/>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tcPr>
      <w:tcBorders>
        <w:top w:val="single" w:color="BFBFBF" w:sz="4" w:space="0"/>
        <w:left w:val="single" w:color="BFBFBF" w:sz="4" w:space="0"/>
        <w:bottom w:val="single" w:color="BFBFBF" w:sz="4" w:space="0"/>
        <w:right w:val="single" w:color="BFBFBF" w:sz="4" w:space="0"/>
      </w:tcBorders>
    </w:tcPr>
  </w:style>
  <w:style w:type="paragraph" w:customStyle="1" w:styleId="576">
    <w:name w:val="正文_0"/>
    <w:next w:val="89"/>
    <w:qFormat/>
    <w:locked/>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7">
    <w:name w:val="正文文字"/>
    <w:basedOn w:val="1"/>
    <w:next w:val="1"/>
    <w:qFormat/>
    <w:uiPriority w:val="0"/>
    <w:pPr>
      <w:spacing w:after="120"/>
    </w:pPr>
    <w:rPr>
      <w:rFonts w:ascii="Calibri" w:hAnsi="Calibri"/>
      <w:szCs w:val="22"/>
    </w:rPr>
  </w:style>
  <w:style w:type="paragraph" w:customStyle="1" w:styleId="578">
    <w:name w:val="正文顶格"/>
    <w:basedOn w:val="1"/>
    <w:qFormat/>
    <w:uiPriority w:val="0"/>
    <w:pPr>
      <w:widowControl/>
      <w:spacing w:line="400" w:lineRule="exact"/>
      <w:ind w:firstLine="480" w:firstLineChars="200"/>
      <w:jc w:val="left"/>
    </w:pPr>
    <w:rPr>
      <w:rFonts w:ascii="仿宋_GB2312" w:hAnsi="宋体" w:eastAsia="仿宋_GB2312" w:cs="宋体"/>
      <w:kern w:val="0"/>
      <w:sz w:val="32"/>
      <w:szCs w:val="32"/>
    </w:rPr>
  </w:style>
  <w:style w:type="paragraph" w:customStyle="1" w:styleId="579">
    <w:name w:val="题注-图"/>
    <w:basedOn w:val="1"/>
    <w:qFormat/>
    <w:uiPriority w:val="0"/>
    <w:pPr>
      <w:spacing w:line="360" w:lineRule="auto"/>
      <w:ind w:firstLine="200" w:firstLineChars="200"/>
      <w:jc w:val="center"/>
    </w:pPr>
    <w:rPr>
      <w:rFonts w:eastAsia="黑体" w:cstheme="minorBidi"/>
      <w:szCs w:val="21"/>
    </w:rPr>
  </w:style>
  <w:style w:type="paragraph" w:customStyle="1" w:styleId="580">
    <w:name w:val="题注-表"/>
    <w:basedOn w:val="1"/>
    <w:qFormat/>
    <w:uiPriority w:val="0"/>
    <w:pPr>
      <w:spacing w:line="360" w:lineRule="auto"/>
      <w:ind w:firstLine="200" w:firstLineChars="200"/>
      <w:jc w:val="center"/>
    </w:pPr>
    <w:rPr>
      <w:rFonts w:eastAsia="黑体" w:cstheme="minorBidi"/>
      <w:szCs w:val="21"/>
    </w:rPr>
  </w:style>
  <w:style w:type="paragraph" w:customStyle="1" w:styleId="581">
    <w:name w:val="TOC 标题2"/>
    <w:basedOn w:val="3"/>
    <w:next w:val="1"/>
    <w:unhideWhenUsed/>
    <w:qFormat/>
    <w:uiPriority w:val="39"/>
    <w:pPr>
      <w:keepLines/>
      <w:widowControl/>
      <w:spacing w:before="240" w:line="259" w:lineRule="auto"/>
      <w:jc w:val="left"/>
      <w:outlineLvl w:val="9"/>
    </w:pPr>
    <w:rPr>
      <w:rFonts w:asciiTheme="majorHAnsi" w:hAnsiTheme="majorHAnsi" w:eastAsiaTheme="majorEastAsia" w:cstheme="majorBidi"/>
      <w:bCs w:val="0"/>
      <w:color w:val="376092" w:themeColor="accent1" w:themeShade="BF"/>
      <w:kern w:val="0"/>
      <w:sz w:val="32"/>
      <w:szCs w:val="32"/>
    </w:rPr>
  </w:style>
  <w:style w:type="paragraph" w:customStyle="1" w:styleId="582">
    <w:name w:val="_Style 17"/>
    <w:basedOn w:val="1"/>
    <w:qFormat/>
    <w:uiPriority w:val="34"/>
    <w:pPr>
      <w:snapToGrid w:val="0"/>
      <w:spacing w:line="300" w:lineRule="auto"/>
      <w:ind w:firstLine="420" w:firstLineChars="200"/>
    </w:pPr>
    <w:rPr>
      <w:rFonts w:ascii="Calibri" w:hAnsi="Calibri"/>
      <w:sz w:val="24"/>
      <w:szCs w:val="22"/>
    </w:rPr>
  </w:style>
  <w:style w:type="paragraph" w:customStyle="1" w:styleId="583">
    <w:name w:val="样式 题注 + 首行缩进:  2 字符"/>
    <w:basedOn w:val="25"/>
    <w:qFormat/>
    <w:uiPriority w:val="0"/>
    <w:pPr>
      <w:widowControl/>
      <w:spacing w:line="360" w:lineRule="auto"/>
      <w:jc w:val="center"/>
    </w:pPr>
    <w:rPr>
      <w:rFonts w:ascii="等线 Light" w:hAnsi="等线 Light" w:eastAsia="华文仿宋" w:cs="宋体"/>
      <w:kern w:val="0"/>
      <w:sz w:val="24"/>
      <w:szCs w:val="20"/>
    </w:rPr>
  </w:style>
  <w:style w:type="paragraph" w:customStyle="1" w:styleId="584">
    <w:name w:val="font7"/>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585">
    <w:name w:val="font8"/>
    <w:basedOn w:val="1"/>
    <w:qFormat/>
    <w:uiPriority w:val="0"/>
    <w:pPr>
      <w:widowControl/>
      <w:spacing w:before="100" w:beforeAutospacing="1" w:after="100" w:afterAutospacing="1"/>
      <w:jc w:val="left"/>
    </w:pPr>
    <w:rPr>
      <w:rFonts w:ascii="宋体" w:hAnsi="宋体" w:cs="宋体"/>
      <w:b/>
      <w:bCs/>
      <w:color w:val="000000"/>
      <w:kern w:val="0"/>
      <w:sz w:val="24"/>
    </w:rPr>
  </w:style>
  <w:style w:type="paragraph" w:customStyle="1" w:styleId="586">
    <w:name w:val="font9"/>
    <w:basedOn w:val="1"/>
    <w:qFormat/>
    <w:uiPriority w:val="0"/>
    <w:pPr>
      <w:widowControl/>
      <w:spacing w:before="100" w:beforeAutospacing="1" w:after="100" w:afterAutospacing="1"/>
      <w:jc w:val="left"/>
    </w:pPr>
    <w:rPr>
      <w:rFonts w:ascii="Calibri" w:hAnsi="Calibri" w:cs="Calibri"/>
      <w:color w:val="000000"/>
      <w:kern w:val="0"/>
      <w:sz w:val="18"/>
      <w:szCs w:val="18"/>
    </w:rPr>
  </w:style>
  <w:style w:type="paragraph" w:customStyle="1" w:styleId="587">
    <w:name w:val="font10"/>
    <w:basedOn w:val="1"/>
    <w:qFormat/>
    <w:uiPriority w:val="0"/>
    <w:pPr>
      <w:widowControl/>
      <w:spacing w:before="100" w:beforeAutospacing="1" w:after="100" w:afterAutospacing="1"/>
      <w:jc w:val="left"/>
    </w:pPr>
    <w:rPr>
      <w:rFonts w:ascii="等线" w:hAnsi="等线" w:eastAsia="等线" w:cs="宋体"/>
      <w:color w:val="000000"/>
      <w:kern w:val="0"/>
      <w:sz w:val="18"/>
      <w:szCs w:val="18"/>
    </w:rPr>
  </w:style>
  <w:style w:type="paragraph" w:customStyle="1" w:styleId="588">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58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590">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59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592">
    <w:name w:val="xl8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593">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594">
    <w:name w:val="xl87"/>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595">
    <w:name w:val="xl8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596">
    <w:name w:val="xl8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597">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b/>
      <w:bCs/>
      <w:kern w:val="0"/>
      <w:sz w:val="20"/>
      <w:szCs w:val="20"/>
    </w:rPr>
  </w:style>
  <w:style w:type="paragraph" w:customStyle="1" w:styleId="59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99">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b/>
      <w:bCs/>
      <w:kern w:val="0"/>
      <w:sz w:val="20"/>
      <w:szCs w:val="20"/>
    </w:rPr>
  </w:style>
  <w:style w:type="paragraph" w:customStyle="1" w:styleId="600">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b/>
      <w:bCs/>
      <w:kern w:val="0"/>
      <w:sz w:val="24"/>
    </w:rPr>
  </w:style>
  <w:style w:type="paragraph" w:customStyle="1" w:styleId="601">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602">
    <w:name w:val="xl95"/>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603">
    <w:name w:val="xl9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18"/>
      <w:szCs w:val="18"/>
    </w:rPr>
  </w:style>
  <w:style w:type="paragraph" w:customStyle="1" w:styleId="604">
    <w:name w:val="xl9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605">
    <w:name w:val="xl98"/>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rPr>
  </w:style>
  <w:style w:type="paragraph" w:customStyle="1" w:styleId="606">
    <w:name w:val="xl99"/>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rPr>
  </w:style>
  <w:style w:type="paragraph" w:customStyle="1" w:styleId="607">
    <w:name w:val="xl100"/>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608">
    <w:name w:val="xl10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609">
    <w:name w:val="xl10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610">
    <w:name w:val="xl103"/>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611">
    <w:name w:val="xl10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612">
    <w:name w:val="xl10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613">
    <w:name w:val="xl106"/>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614">
    <w:name w:val="xl10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615">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616">
    <w:name w:val="font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617">
    <w:name w:val="样式 宋体 小四 行距: 1.5 倍行距"/>
    <w:basedOn w:val="1"/>
    <w:qFormat/>
    <w:uiPriority w:val="0"/>
    <w:pPr>
      <w:ind w:firstLine="200" w:firstLineChars="200"/>
    </w:pPr>
    <w:rPr>
      <w:rFonts w:ascii="宋体" w:hAnsi="宋体" w:cs="宋体"/>
      <w:sz w:val="24"/>
      <w:szCs w:val="20"/>
    </w:rPr>
  </w:style>
  <w:style w:type="paragraph" w:customStyle="1" w:styleId="618">
    <w:name w:val="图片"/>
    <w:basedOn w:val="1"/>
    <w:qFormat/>
    <w:uiPriority w:val="0"/>
    <w:pPr>
      <w:widowControl/>
      <w:spacing w:after="50"/>
      <w:ind w:firstLine="200" w:firstLineChars="200"/>
      <w:jc w:val="center"/>
    </w:pPr>
    <w:rPr>
      <w:rFonts w:ascii="仿宋" w:hAnsi="仿宋" w:eastAsia="华文仿宋"/>
      <w:kern w:val="0"/>
      <w:sz w:val="28"/>
    </w:rPr>
  </w:style>
  <w:style w:type="paragraph" w:customStyle="1" w:styleId="619">
    <w:name w:val="TOC 标题3"/>
    <w:basedOn w:val="3"/>
    <w:next w:val="1"/>
    <w:qFormat/>
    <w:uiPriority w:val="39"/>
    <w:pPr>
      <w:keepLines/>
      <w:widowControl/>
      <w:spacing w:before="240" w:line="259" w:lineRule="auto"/>
      <w:jc w:val="left"/>
      <w:outlineLvl w:val="9"/>
    </w:pPr>
    <w:rPr>
      <w:rFonts w:ascii="等线 Light" w:hAnsi="等线 Light" w:eastAsia="等线 Light" w:cs="Times New Roman"/>
      <w:bCs w:val="0"/>
      <w:color w:val="2F5496"/>
      <w:kern w:val="0"/>
      <w:sz w:val="32"/>
      <w:szCs w:val="32"/>
    </w:rPr>
  </w:style>
  <w:style w:type="character" w:customStyle="1" w:styleId="620">
    <w:name w:val="引用 字符3"/>
    <w:basedOn w:val="92"/>
    <w:semiHidden/>
    <w:qFormat/>
    <w:uiPriority w:val="99"/>
    <w:rPr>
      <w:rFonts w:ascii="Times New Roman" w:hAnsi="Times New Roman" w:cs="Times New Roman"/>
      <w:i/>
      <w:iCs/>
      <w:color w:val="404040" w:themeColor="text1" w:themeTint="BF"/>
      <w:kern w:val="2"/>
      <w:sz w:val="21"/>
      <w:szCs w:val="24"/>
      <w14:textFill>
        <w14:solidFill>
          <w14:schemeClr w14:val="tx1">
            <w14:lumMod w14:val="75000"/>
            <w14:lumOff w14:val="25000"/>
          </w14:schemeClr>
        </w14:solidFill>
      </w14:textFill>
    </w:rPr>
  </w:style>
  <w:style w:type="paragraph" w:customStyle="1" w:styleId="621">
    <w:name w:val="五级条标题"/>
    <w:basedOn w:val="1"/>
    <w:qFormat/>
    <w:uiPriority w:val="0"/>
    <w:pPr>
      <w:tabs>
        <w:tab w:val="left" w:pos="1296"/>
      </w:tabs>
      <w:ind w:left="1296"/>
    </w:pPr>
    <w:rPr>
      <w:szCs w:val="20"/>
    </w:rPr>
  </w:style>
  <w:style w:type="paragraph" w:customStyle="1" w:styleId="622">
    <w:name w:val="_Style 338"/>
    <w:basedOn w:val="1"/>
    <w:qFormat/>
    <w:uiPriority w:val="0"/>
    <w:pPr>
      <w:widowControl/>
      <w:spacing w:afterLines="50" w:line="300" w:lineRule="auto"/>
      <w:ind w:firstLine="200" w:firstLineChars="200"/>
    </w:pPr>
    <w:rPr>
      <w:rFonts w:ascii="Arial" w:hAnsi="Arial" w:eastAsia="仿宋"/>
      <w:kern w:val="0"/>
      <w:sz w:val="28"/>
      <w:szCs w:val="21"/>
    </w:rPr>
  </w:style>
  <w:style w:type="paragraph" w:customStyle="1" w:styleId="623">
    <w:name w:val="xl1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4"/>
    </w:rPr>
  </w:style>
  <w:style w:type="paragraph" w:customStyle="1" w:styleId="624">
    <w:name w:val="样式 段前: 7.8 磅"/>
    <w:basedOn w:val="1"/>
    <w:qFormat/>
    <w:uiPriority w:val="0"/>
    <w:pPr>
      <w:widowControl/>
      <w:spacing w:before="156" w:line="360" w:lineRule="auto"/>
      <w:ind w:firstLine="200" w:firstLineChars="200"/>
      <w:jc w:val="left"/>
    </w:pPr>
    <w:rPr>
      <w:szCs w:val="20"/>
    </w:rPr>
  </w:style>
  <w:style w:type="paragraph" w:customStyle="1" w:styleId="625">
    <w:name w:val="text_zw1"/>
    <w:basedOn w:val="1"/>
    <w:qFormat/>
    <w:uiPriority w:val="0"/>
    <w:pPr>
      <w:widowControl/>
      <w:spacing w:before="100" w:beforeAutospacing="1" w:after="100" w:afterAutospacing="1" w:line="473" w:lineRule="atLeast"/>
      <w:ind w:firstLine="200" w:firstLineChars="200"/>
      <w:jc w:val="left"/>
    </w:pPr>
    <w:rPr>
      <w:rFonts w:ascii="Ђˎ̥" w:hAnsi="Ђˎ̥" w:cs="宋体"/>
      <w:color w:val="777777"/>
      <w:kern w:val="0"/>
      <w:sz w:val="26"/>
      <w:szCs w:val="26"/>
    </w:rPr>
  </w:style>
  <w:style w:type="paragraph" w:customStyle="1" w:styleId="626">
    <w:name w:val="附录4"/>
    <w:basedOn w:val="1"/>
    <w:next w:val="1"/>
    <w:qFormat/>
    <w:locked/>
    <w:uiPriority w:val="0"/>
    <w:pPr>
      <w:widowControl/>
      <w:spacing w:line="360" w:lineRule="auto"/>
      <w:outlineLvl w:val="3"/>
    </w:pPr>
    <w:rPr>
      <w:rFonts w:ascii="Arial" w:hAnsi="Arial" w:eastAsia="黑体"/>
      <w:kern w:val="0"/>
      <w:sz w:val="28"/>
      <w:szCs w:val="21"/>
    </w:rPr>
  </w:style>
  <w:style w:type="paragraph" w:customStyle="1" w:styleId="627">
    <w:name w:val="书目1"/>
    <w:basedOn w:val="1"/>
    <w:next w:val="1"/>
    <w:unhideWhenUsed/>
    <w:qFormat/>
    <w:uiPriority w:val="37"/>
    <w:pPr>
      <w:spacing w:line="360" w:lineRule="auto"/>
    </w:pPr>
    <w:rPr>
      <w:rFonts w:ascii="Arial" w:hAnsi="Arial" w:eastAsia="文星仿宋"/>
      <w:sz w:val="28"/>
      <w:szCs w:val="22"/>
    </w:rPr>
  </w:style>
  <w:style w:type="paragraph" w:customStyle="1" w:styleId="628">
    <w:name w:val="tiret"/>
    <w:qFormat/>
    <w:uiPriority w:val="0"/>
    <w:pPr>
      <w:tabs>
        <w:tab w:val="left" w:pos="227"/>
        <w:tab w:val="left" w:pos="720"/>
      </w:tabs>
      <w:ind w:left="432" w:hanging="432"/>
    </w:pPr>
    <w:rPr>
      <w:rFonts w:ascii="Times New Roman" w:hAnsi="Times New Roman" w:eastAsia="宋体" w:cs="Times New Roman"/>
      <w:sz w:val="24"/>
      <w:lang w:val="en-US" w:eastAsia="zh-CN" w:bidi="ar-SA"/>
    </w:rPr>
  </w:style>
  <w:style w:type="paragraph" w:customStyle="1" w:styleId="629">
    <w:name w:val="Char3"/>
    <w:basedOn w:val="1"/>
    <w:qFormat/>
    <w:uiPriority w:val="0"/>
    <w:rPr>
      <w:rFonts w:ascii="Tahoma" w:hAnsi="Tahoma"/>
      <w:sz w:val="24"/>
      <w:szCs w:val="20"/>
    </w:rPr>
  </w:style>
  <w:style w:type="paragraph" w:customStyle="1" w:styleId="630">
    <w:name w:val="仿四"/>
    <w:basedOn w:val="1"/>
    <w:qFormat/>
    <w:uiPriority w:val="0"/>
    <w:pPr>
      <w:spacing w:line="400" w:lineRule="exact"/>
      <w:jc w:val="center"/>
    </w:pPr>
    <w:rPr>
      <w:rFonts w:ascii="仿宋" w:hAnsi="仿宋" w:eastAsia="仿宋"/>
      <w:sz w:val="28"/>
      <w:szCs w:val="28"/>
    </w:rPr>
  </w:style>
  <w:style w:type="paragraph" w:customStyle="1" w:styleId="631">
    <w:name w:val="标题 6（无编号）（1）"/>
    <w:basedOn w:val="8"/>
    <w:next w:val="316"/>
    <w:qFormat/>
    <w:uiPriority w:val="0"/>
    <w:pPr>
      <w:adjustRightInd/>
      <w:spacing w:line="319" w:lineRule="auto"/>
      <w:textAlignment w:val="auto"/>
    </w:pPr>
    <w:rPr>
      <w:bCs w:val="0"/>
      <w:sz w:val="21"/>
    </w:rPr>
  </w:style>
  <w:style w:type="paragraph" w:customStyle="1" w:styleId="632">
    <w:name w:val="Texte3"/>
    <w:basedOn w:val="5"/>
    <w:qFormat/>
    <w:uiPriority w:val="0"/>
    <w:pPr>
      <w:keepLines w:val="0"/>
      <w:widowControl/>
      <w:tabs>
        <w:tab w:val="left" w:pos="425"/>
        <w:tab w:val="left" w:pos="697"/>
        <w:tab w:val="left" w:pos="720"/>
        <w:tab w:val="left" w:pos="1417"/>
        <w:tab w:val="left" w:pos="2162"/>
        <w:tab w:val="left" w:pos="7177"/>
        <w:tab w:val="left" w:pos="9337"/>
      </w:tabs>
      <w:spacing w:before="0" w:after="60" w:line="360" w:lineRule="auto"/>
      <w:ind w:left="1134" w:hanging="397" w:firstLineChars="200"/>
      <w:outlineLvl w:val="9"/>
    </w:pPr>
    <w:rPr>
      <w:rFonts w:ascii="宋体" w:hAnsi="Arial"/>
      <w:b/>
      <w:spacing w:val="20"/>
      <w:kern w:val="0"/>
      <w:sz w:val="28"/>
      <w:szCs w:val="20"/>
      <w:lang w:val="en-GB"/>
    </w:rPr>
  </w:style>
  <w:style w:type="paragraph" w:customStyle="1" w:styleId="633">
    <w:name w:val="xl55"/>
    <w:basedOn w:val="1"/>
    <w:qFormat/>
    <w:uiPriority w:val="0"/>
    <w:pPr>
      <w:widowControl/>
      <w:pBdr>
        <w:left w:val="single" w:color="auto" w:sz="8" w:space="0"/>
        <w:bottom w:val="single" w:color="auto" w:sz="4" w:space="0"/>
        <w:right w:val="single" w:color="auto" w:sz="4" w:space="0"/>
      </w:pBdr>
      <w:shd w:val="clear" w:color="auto" w:fill="FFFFFF"/>
      <w:spacing w:before="100" w:beforeAutospacing="1" w:after="100" w:afterAutospacing="1" w:line="360" w:lineRule="auto"/>
      <w:ind w:firstLine="200" w:firstLineChars="200"/>
      <w:jc w:val="center"/>
      <w:textAlignment w:val="top"/>
    </w:pPr>
    <w:rPr>
      <w:rFonts w:ascii="Arial Unicode MS" w:hAnsi="Arial Unicode MS" w:eastAsia="Arial Unicode MS"/>
      <w:color w:val="000000"/>
      <w:kern w:val="0"/>
      <w:sz w:val="20"/>
      <w:szCs w:val="20"/>
    </w:rPr>
  </w:style>
  <w:style w:type="paragraph" w:customStyle="1" w:styleId="634">
    <w:name w:val="xl156"/>
    <w:basedOn w:val="1"/>
    <w:qFormat/>
    <w:uiPriority w:val="0"/>
    <w:pPr>
      <w:widowControl/>
      <w:pBdr>
        <w:top w:val="single" w:color="auto" w:sz="8" w:space="0"/>
        <w:left w:val="single" w:color="auto" w:sz="4" w:space="0"/>
        <w:bottom w:val="single" w:color="auto" w:sz="4" w:space="0"/>
        <w:right w:val="single" w:color="auto" w:sz="4" w:space="0"/>
      </w:pBdr>
      <w:shd w:val="clear" w:color="000000" w:fill="FFCC00"/>
      <w:spacing w:before="100" w:beforeAutospacing="1" w:after="100" w:afterAutospacing="1" w:line="360" w:lineRule="auto"/>
      <w:ind w:firstLine="200" w:firstLineChars="200"/>
      <w:jc w:val="center"/>
    </w:pPr>
    <w:rPr>
      <w:rFonts w:ascii="宋体" w:hAnsi="宋体" w:cs="宋体"/>
      <w:b/>
      <w:bCs/>
      <w:kern w:val="0"/>
      <w:sz w:val="24"/>
      <w:szCs w:val="21"/>
    </w:rPr>
  </w:style>
  <w:style w:type="paragraph" w:customStyle="1" w:styleId="635">
    <w:name w:val="列表项目符号2"/>
    <w:basedOn w:val="1"/>
    <w:qFormat/>
    <w:uiPriority w:val="0"/>
    <w:pPr>
      <w:numPr>
        <w:ilvl w:val="0"/>
        <w:numId w:val="15"/>
      </w:numPr>
      <w:tabs>
        <w:tab w:val="left" w:pos="902"/>
      </w:tabs>
      <w:adjustRightInd w:val="0"/>
      <w:spacing w:line="360" w:lineRule="auto"/>
      <w:ind w:left="0" w:firstLine="0"/>
      <w:textAlignment w:val="baseline"/>
    </w:pPr>
    <w:rPr>
      <w:kern w:val="0"/>
      <w:sz w:val="24"/>
      <w:szCs w:val="20"/>
    </w:rPr>
  </w:style>
  <w:style w:type="paragraph" w:customStyle="1" w:styleId="636">
    <w:name w:val="xl39"/>
    <w:basedOn w:val="1"/>
    <w:qFormat/>
    <w:uiPriority w:val="0"/>
    <w:pPr>
      <w:widowControl/>
      <w:pBdr>
        <w:top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center"/>
    </w:pPr>
    <w:rPr>
      <w:rFonts w:eastAsia="Arial Unicode MS"/>
      <w:color w:val="000000"/>
      <w:kern w:val="0"/>
      <w:sz w:val="24"/>
      <w:szCs w:val="20"/>
    </w:rPr>
  </w:style>
  <w:style w:type="paragraph" w:customStyle="1" w:styleId="637">
    <w:name w:val="我的正文"/>
    <w:basedOn w:val="1"/>
    <w:qFormat/>
    <w:uiPriority w:val="0"/>
    <w:pPr>
      <w:widowControl/>
      <w:spacing w:line="288" w:lineRule="auto"/>
      <w:ind w:firstLine="567"/>
      <w:jc w:val="left"/>
    </w:pPr>
    <w:rPr>
      <w:bCs/>
      <w:spacing w:val="20"/>
      <w:kern w:val="0"/>
      <w:sz w:val="24"/>
      <w:szCs w:val="20"/>
    </w:rPr>
  </w:style>
  <w:style w:type="paragraph" w:customStyle="1" w:styleId="638">
    <w:name w:val="样式 样式 样式 正文首正文首行缩进:  2 字符 + 首行缩进:  2 字符 + 首行缩进:  2 字符"/>
    <w:basedOn w:val="639"/>
    <w:qFormat/>
    <w:uiPriority w:val="0"/>
    <w:pPr>
      <w:spacing w:line="240" w:lineRule="auto"/>
      <w:ind w:firstLine="420"/>
    </w:pPr>
    <w:rPr>
      <w:rFonts w:ascii="Calibri" w:hAnsi="Calibri"/>
      <w:sz w:val="28"/>
    </w:rPr>
  </w:style>
  <w:style w:type="paragraph" w:customStyle="1" w:styleId="639">
    <w:name w:val="样式 样式 正文首正文首行缩进:  2 字符 + 首行缩进:  2 字符"/>
    <w:basedOn w:val="1"/>
    <w:qFormat/>
    <w:uiPriority w:val="0"/>
    <w:pPr>
      <w:spacing w:after="120" w:line="360" w:lineRule="auto"/>
      <w:ind w:firstLine="480" w:firstLineChars="200"/>
    </w:pPr>
    <w:rPr>
      <w:sz w:val="24"/>
      <w:szCs w:val="20"/>
    </w:rPr>
  </w:style>
  <w:style w:type="paragraph" w:customStyle="1" w:styleId="640">
    <w:name w:val="标准书眉_偶数页"/>
    <w:basedOn w:val="1"/>
    <w:next w:val="1"/>
    <w:qFormat/>
    <w:uiPriority w:val="0"/>
    <w:pPr>
      <w:widowControl/>
      <w:tabs>
        <w:tab w:val="center" w:pos="4154"/>
        <w:tab w:val="right" w:pos="8306"/>
      </w:tabs>
      <w:spacing w:before="200" w:after="120" w:line="276" w:lineRule="auto"/>
      <w:jc w:val="left"/>
    </w:pPr>
    <w:rPr>
      <w:rFonts w:ascii="Calibri" w:hAnsi="Calibri"/>
      <w:kern w:val="0"/>
      <w:sz w:val="24"/>
    </w:rPr>
  </w:style>
  <w:style w:type="paragraph" w:customStyle="1" w:styleId="641">
    <w:name w:val="图注"/>
    <w:basedOn w:val="25"/>
    <w:qFormat/>
    <w:uiPriority w:val="0"/>
    <w:pPr>
      <w:jc w:val="center"/>
    </w:pPr>
    <w:rPr>
      <w:sz w:val="21"/>
      <w:szCs w:val="20"/>
    </w:rPr>
  </w:style>
  <w:style w:type="paragraph" w:customStyle="1" w:styleId="642">
    <w:name w:val="xl27"/>
    <w:basedOn w:val="1"/>
    <w:qFormat/>
    <w:uiPriority w:val="0"/>
    <w:pPr>
      <w:widowControl/>
      <w:pBdr>
        <w:bottom w:val="single" w:color="auto" w:sz="4" w:space="0"/>
        <w:right w:val="single" w:color="auto" w:sz="4" w:space="0"/>
      </w:pBdr>
      <w:shd w:val="clear" w:color="auto" w:fill="FFFFFF"/>
      <w:spacing w:before="100" w:beforeAutospacing="1" w:after="100" w:afterAutospacing="1" w:line="360" w:lineRule="auto"/>
      <w:ind w:firstLine="200" w:firstLineChars="200"/>
      <w:jc w:val="center"/>
    </w:pPr>
    <w:rPr>
      <w:rFonts w:ascii="Arial Unicode MS" w:hAnsi="Arial Unicode MS" w:eastAsia="Arial Unicode MS"/>
      <w:color w:val="000000"/>
      <w:kern w:val="0"/>
      <w:sz w:val="22"/>
      <w:szCs w:val="20"/>
    </w:rPr>
  </w:style>
  <w:style w:type="paragraph" w:customStyle="1" w:styleId="643">
    <w:name w:val="WPS Plain"/>
    <w:qFormat/>
    <w:uiPriority w:val="0"/>
    <w:rPr>
      <w:rFonts w:ascii="Times New Roman" w:hAnsi="Times New Roman" w:eastAsia="宋体" w:cs="Times New Roman"/>
      <w:sz w:val="21"/>
      <w:szCs w:val="22"/>
      <w:lang w:val="en-US" w:eastAsia="zh-CN" w:bidi="ar-SA"/>
    </w:rPr>
  </w:style>
  <w:style w:type="paragraph" w:customStyle="1" w:styleId="644">
    <w:name w:val="样式 样式 首行缩进:  2.2 字符 + 首行缩进:  2.2 字符"/>
    <w:basedOn w:val="645"/>
    <w:qFormat/>
    <w:uiPriority w:val="0"/>
    <w:pPr>
      <w:ind w:firstLine="530"/>
    </w:pPr>
    <w:rPr>
      <w:bCs/>
    </w:rPr>
  </w:style>
  <w:style w:type="paragraph" w:customStyle="1" w:styleId="645">
    <w:name w:val="样式 首行缩进:  2.2 字符"/>
    <w:basedOn w:val="1"/>
    <w:qFormat/>
    <w:uiPriority w:val="0"/>
    <w:pPr>
      <w:ind w:firstLine="462" w:firstLineChars="220"/>
    </w:pPr>
    <w:rPr>
      <w:rFonts w:cs="宋体"/>
      <w:b/>
      <w:sz w:val="24"/>
      <w:szCs w:val="20"/>
    </w:rPr>
  </w:style>
  <w:style w:type="paragraph" w:customStyle="1" w:styleId="646">
    <w:name w:val="7"/>
    <w:qFormat/>
    <w:uiPriority w:val="0"/>
    <w:pPr>
      <w:spacing w:line="360" w:lineRule="auto"/>
      <w:jc w:val="both"/>
    </w:pPr>
    <w:rPr>
      <w:rFonts w:ascii="Arial" w:hAnsi="Arial" w:eastAsia="宋体" w:cs="Times New Roman"/>
      <w:sz w:val="24"/>
      <w:szCs w:val="21"/>
      <w:lang w:val="en-US" w:eastAsia="zh-CN" w:bidi="ar-SA"/>
    </w:rPr>
  </w:style>
  <w:style w:type="paragraph" w:customStyle="1" w:styleId="647">
    <w:name w:val="图表题注"/>
    <w:basedOn w:val="25"/>
    <w:qFormat/>
    <w:locked/>
    <w:uiPriority w:val="0"/>
    <w:pPr>
      <w:widowControl/>
      <w:spacing w:line="360" w:lineRule="auto"/>
      <w:jc w:val="center"/>
    </w:pPr>
    <w:rPr>
      <w:rFonts w:eastAsia="宋体"/>
      <w:kern w:val="0"/>
      <w:sz w:val="18"/>
      <w:szCs w:val="21"/>
    </w:rPr>
  </w:style>
  <w:style w:type="paragraph" w:customStyle="1" w:styleId="648">
    <w:name w:val="xl140"/>
    <w:basedOn w:val="1"/>
    <w:qFormat/>
    <w:uiPriority w:val="0"/>
    <w:pPr>
      <w:widowControl/>
      <w:spacing w:before="100" w:beforeAutospacing="1" w:after="100" w:afterAutospacing="1" w:line="360" w:lineRule="auto"/>
      <w:ind w:firstLine="200" w:firstLineChars="200"/>
      <w:jc w:val="left"/>
    </w:pPr>
    <w:rPr>
      <w:rFonts w:ascii="宋体" w:hAnsi="宋体" w:cs="宋体"/>
      <w:kern w:val="0"/>
      <w:sz w:val="24"/>
    </w:rPr>
  </w:style>
  <w:style w:type="paragraph" w:customStyle="1" w:styleId="649">
    <w:name w:val="DS"/>
    <w:basedOn w:val="58"/>
    <w:qFormat/>
    <w:uiPriority w:val="0"/>
    <w:pPr>
      <w:ind w:left="34"/>
      <w:jc w:val="center"/>
      <w:textAlignment w:val="center"/>
    </w:pPr>
    <w:rPr>
      <w:iCs/>
    </w:rPr>
  </w:style>
  <w:style w:type="paragraph" w:customStyle="1" w:styleId="650">
    <w:name w:val="xl26"/>
    <w:basedOn w:val="1"/>
    <w:qFormat/>
    <w:uiPriority w:val="0"/>
    <w:pPr>
      <w:widowControl/>
      <w:pBdr>
        <w:left w:val="single" w:color="auto" w:sz="4" w:space="0"/>
        <w:bottom w:val="single" w:color="auto" w:sz="4" w:space="0"/>
        <w:right w:val="single" w:color="auto" w:sz="8" w:space="0"/>
      </w:pBdr>
      <w:shd w:val="clear" w:color="auto" w:fill="FFFF00"/>
      <w:spacing w:before="100" w:beforeAutospacing="1" w:after="100" w:afterAutospacing="1" w:line="360" w:lineRule="auto"/>
      <w:ind w:firstLine="200" w:firstLineChars="200"/>
      <w:jc w:val="center"/>
    </w:pPr>
    <w:rPr>
      <w:rFonts w:hint="eastAsia" w:ascii="华文中宋" w:hAnsi="华文中宋" w:eastAsia="华文中宋"/>
      <w:color w:val="000000"/>
      <w:kern w:val="0"/>
      <w:sz w:val="24"/>
      <w:szCs w:val="20"/>
    </w:rPr>
  </w:style>
  <w:style w:type="paragraph" w:customStyle="1" w:styleId="651">
    <w:name w:val="内容（带点）"/>
    <w:basedOn w:val="1"/>
    <w:qFormat/>
    <w:uiPriority w:val="0"/>
    <w:pPr>
      <w:widowControl/>
      <w:spacing w:before="100" w:beforeAutospacing="1" w:after="100" w:afterAutospacing="1" w:line="420" w:lineRule="auto"/>
      <w:ind w:firstLine="560" w:firstLineChars="200"/>
    </w:pPr>
    <w:rPr>
      <w:rFonts w:ascii="仿宋_GB2312" w:hAnsi="宋体" w:eastAsia="仿宋_GB2312" w:cs="宋体"/>
      <w:color w:val="000000"/>
      <w:sz w:val="28"/>
      <w:szCs w:val="28"/>
      <w:lang w:val="zh-CN"/>
    </w:rPr>
  </w:style>
  <w:style w:type="paragraph" w:customStyle="1" w:styleId="652">
    <w:name w:val="Figure"/>
    <w:basedOn w:val="1"/>
    <w:qFormat/>
    <w:uiPriority w:val="0"/>
    <w:pPr>
      <w:autoSpaceDE w:val="0"/>
      <w:autoSpaceDN w:val="0"/>
      <w:adjustRightInd w:val="0"/>
      <w:spacing w:line="360" w:lineRule="auto"/>
      <w:jc w:val="center"/>
    </w:pPr>
    <w:rPr>
      <w:kern w:val="0"/>
      <w:szCs w:val="20"/>
    </w:rPr>
  </w:style>
  <w:style w:type="paragraph" w:customStyle="1" w:styleId="653">
    <w:name w:val="Char Char Char Char Char Char"/>
    <w:basedOn w:val="1"/>
    <w:qFormat/>
    <w:uiPriority w:val="0"/>
    <w:rPr>
      <w:rFonts w:ascii="Tahoma" w:hAnsi="Tahoma"/>
      <w:sz w:val="24"/>
      <w:szCs w:val="20"/>
    </w:rPr>
  </w:style>
  <w:style w:type="paragraph" w:customStyle="1" w:styleId="654">
    <w:name w:val="标题 3（2）"/>
    <w:basedOn w:val="5"/>
    <w:next w:val="1"/>
    <w:qFormat/>
    <w:uiPriority w:val="0"/>
    <w:pPr>
      <w:tabs>
        <w:tab w:val="left" w:pos="720"/>
        <w:tab w:val="left" w:pos="960"/>
      </w:tabs>
      <w:spacing w:line="415" w:lineRule="auto"/>
      <w:ind w:left="907" w:hanging="907"/>
      <w:jc w:val="left"/>
    </w:pPr>
    <w:rPr>
      <w:rFonts w:ascii="Arial" w:hAnsi="Arial" w:eastAsia="黑体"/>
      <w:b/>
      <w:kern w:val="0"/>
      <w:sz w:val="30"/>
      <w:szCs w:val="30"/>
    </w:rPr>
  </w:style>
  <w:style w:type="paragraph" w:customStyle="1" w:styleId="655">
    <w:name w:val="文档属性标题（绿盟科技）"/>
    <w:basedOn w:val="316"/>
    <w:qFormat/>
    <w:uiPriority w:val="0"/>
    <w:pPr>
      <w:framePr w:hSpace="180" w:wrap="around" w:vAnchor="text" w:hAnchor="margin" w:xAlign="inside" w:y="121"/>
    </w:pPr>
    <w:rPr>
      <w:b/>
      <w:sz w:val="18"/>
    </w:rPr>
  </w:style>
  <w:style w:type="paragraph" w:customStyle="1" w:styleId="656">
    <w:name w:val="说明"/>
    <w:basedOn w:val="1"/>
    <w:qFormat/>
    <w:uiPriority w:val="0"/>
    <w:pPr>
      <w:spacing w:before="60" w:after="60" w:line="360" w:lineRule="auto"/>
      <w:ind w:firstLine="200" w:firstLineChars="200"/>
    </w:pPr>
    <w:rPr>
      <w:rFonts w:eastAsia="楷体_GB2312"/>
      <w:sz w:val="24"/>
    </w:rPr>
  </w:style>
  <w:style w:type="paragraph" w:customStyle="1" w:styleId="657">
    <w:name w:val="缺省文本"/>
    <w:basedOn w:val="1"/>
    <w:qFormat/>
    <w:uiPriority w:val="0"/>
    <w:pPr>
      <w:widowControl/>
      <w:autoSpaceDE w:val="0"/>
      <w:autoSpaceDN w:val="0"/>
      <w:adjustRightInd w:val="0"/>
      <w:spacing w:line="360" w:lineRule="auto"/>
      <w:jc w:val="left"/>
    </w:pPr>
    <w:rPr>
      <w:kern w:val="0"/>
      <w:sz w:val="24"/>
      <w:szCs w:val="20"/>
    </w:rPr>
  </w:style>
  <w:style w:type="paragraph" w:customStyle="1" w:styleId="658">
    <w:name w:val="样式 正文首行缩进 2 + 首行缩进:  2 字符1"/>
    <w:basedOn w:val="89"/>
    <w:qFormat/>
    <w:uiPriority w:val="0"/>
    <w:pPr>
      <w:spacing w:line="360" w:lineRule="auto"/>
      <w:ind w:left="200" w:firstLine="200"/>
    </w:pPr>
    <w:rPr>
      <w:sz w:val="24"/>
      <w:szCs w:val="20"/>
    </w:rPr>
  </w:style>
  <w:style w:type="paragraph" w:customStyle="1" w:styleId="659">
    <w:name w:val="Item List"/>
    <w:qFormat/>
    <w:uiPriority w:val="0"/>
    <w:pPr>
      <w:spacing w:line="300" w:lineRule="auto"/>
      <w:jc w:val="both"/>
    </w:pPr>
    <w:rPr>
      <w:rFonts w:ascii="Arial" w:hAnsi="Arial" w:eastAsia="宋体" w:cs="Times New Roman"/>
      <w:sz w:val="24"/>
      <w:lang w:val="en-US" w:eastAsia="zh-CN" w:bidi="ar-SA"/>
    </w:rPr>
  </w:style>
  <w:style w:type="paragraph" w:customStyle="1" w:styleId="660">
    <w:name w:val="xl165"/>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360" w:lineRule="auto"/>
      <w:ind w:firstLine="200" w:firstLineChars="200"/>
      <w:jc w:val="center"/>
    </w:pPr>
    <w:rPr>
      <w:rFonts w:ascii="Arial Narrow" w:hAnsi="Arial Narrow" w:cs="宋体"/>
      <w:b/>
      <w:bCs/>
      <w:color w:val="000000"/>
      <w:kern w:val="0"/>
      <w:sz w:val="20"/>
      <w:szCs w:val="20"/>
    </w:rPr>
  </w:style>
  <w:style w:type="paragraph" w:customStyle="1" w:styleId="661">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662">
    <w:name w:val="目录 3（1）"/>
    <w:basedOn w:val="47"/>
    <w:qFormat/>
    <w:uiPriority w:val="0"/>
    <w:pPr>
      <w:widowControl/>
      <w:tabs>
        <w:tab w:val="left" w:pos="1260"/>
        <w:tab w:val="right" w:leader="dot" w:pos="8494"/>
      </w:tabs>
      <w:adjustRightInd/>
      <w:snapToGrid/>
      <w:spacing w:after="156"/>
      <w:ind w:left="420" w:leftChars="0"/>
      <w:jc w:val="left"/>
    </w:pPr>
    <w:rPr>
      <w:rFonts w:ascii="Calibri" w:hAnsi="Calibri" w:eastAsia="宋体"/>
      <w:b w:val="0"/>
      <w:iCs/>
      <w:kern w:val="0"/>
      <w:sz w:val="20"/>
      <w:szCs w:val="20"/>
    </w:rPr>
  </w:style>
  <w:style w:type="paragraph" w:customStyle="1" w:styleId="663">
    <w:name w:val="规范标题2"/>
    <w:basedOn w:val="4"/>
    <w:next w:val="1"/>
    <w:qFormat/>
    <w:uiPriority w:val="0"/>
    <w:pPr>
      <w:tabs>
        <w:tab w:val="left" w:pos="576"/>
        <w:tab w:val="left" w:pos="630"/>
        <w:tab w:val="left" w:pos="814"/>
        <w:tab w:val="left" w:pos="1304"/>
      </w:tabs>
      <w:adjustRightInd w:val="0"/>
      <w:ind w:left="180" w:hanging="576"/>
      <w:textAlignment w:val="baseline"/>
      <w:outlineLvl w:val="9"/>
    </w:pPr>
    <w:rPr>
      <w:rFonts w:ascii="Times New Roman" w:hAnsi="Times New Roman" w:eastAsia="黑体"/>
      <w:b w:val="0"/>
      <w:bCs w:val="0"/>
      <w:kern w:val="0"/>
      <w:szCs w:val="20"/>
    </w:rPr>
  </w:style>
  <w:style w:type="paragraph" w:customStyle="1" w:styleId="664">
    <w:name w:val="插图标注（1）"/>
    <w:next w:val="316"/>
    <w:qFormat/>
    <w:uiPriority w:val="0"/>
    <w:pPr>
      <w:numPr>
        <w:ilvl w:val="6"/>
        <w:numId w:val="12"/>
      </w:numPr>
      <w:spacing w:after="156"/>
      <w:ind w:left="0" w:firstLine="0"/>
      <w:jc w:val="center"/>
    </w:pPr>
    <w:rPr>
      <w:rFonts w:ascii="Arial" w:hAnsi="Arial" w:eastAsia="宋体" w:cs="Arial"/>
      <w:sz w:val="21"/>
      <w:szCs w:val="21"/>
      <w:lang w:val="en-US" w:eastAsia="zh-CN" w:bidi="ar-SA"/>
    </w:rPr>
  </w:style>
  <w:style w:type="paragraph" w:customStyle="1" w:styleId="665">
    <w:name w:val="项目正文"/>
    <w:basedOn w:val="1"/>
    <w:qFormat/>
    <w:uiPriority w:val="0"/>
    <w:pPr>
      <w:tabs>
        <w:tab w:val="left" w:pos="821"/>
      </w:tabs>
      <w:spacing w:line="360" w:lineRule="auto"/>
      <w:ind w:left="821" w:hanging="360" w:firstLineChars="200"/>
    </w:pPr>
    <w:rPr>
      <w:sz w:val="24"/>
      <w:szCs w:val="20"/>
    </w:rPr>
  </w:style>
  <w:style w:type="paragraph" w:customStyle="1" w:styleId="666">
    <w:name w:val="txtart"/>
    <w:basedOn w:val="1"/>
    <w:qFormat/>
    <w:uiPriority w:val="0"/>
    <w:pPr>
      <w:widowControl/>
      <w:spacing w:before="100" w:beforeAutospacing="1" w:after="100" w:afterAutospacing="1" w:line="360" w:lineRule="auto"/>
      <w:ind w:firstLine="200" w:firstLineChars="200"/>
      <w:jc w:val="left"/>
    </w:pPr>
    <w:rPr>
      <w:rFonts w:ascii="Arial" w:hAnsi="Arial"/>
      <w:kern w:val="0"/>
      <w:sz w:val="24"/>
      <w:szCs w:val="20"/>
    </w:rPr>
  </w:style>
  <w:style w:type="paragraph" w:customStyle="1" w:styleId="667">
    <w:name w:val="正文."/>
    <w:basedOn w:val="1"/>
    <w:qFormat/>
    <w:uiPriority w:val="0"/>
    <w:pPr>
      <w:tabs>
        <w:tab w:val="left" w:pos="32"/>
      </w:tabs>
      <w:autoSpaceDE w:val="0"/>
      <w:autoSpaceDN w:val="0"/>
      <w:adjustRightInd w:val="0"/>
      <w:spacing w:before="100" w:beforeAutospacing="1" w:after="100" w:afterAutospacing="1" w:line="360" w:lineRule="auto"/>
      <w:ind w:firstLine="567" w:firstLineChars="200"/>
    </w:pPr>
    <w:rPr>
      <w:rFonts w:eastAsia="楷体_GB2312"/>
      <w:sz w:val="24"/>
      <w:szCs w:val="20"/>
    </w:rPr>
  </w:style>
  <w:style w:type="paragraph" w:customStyle="1" w:styleId="668">
    <w:name w:val="xl155"/>
    <w:basedOn w:val="1"/>
    <w:qFormat/>
    <w:uiPriority w:val="0"/>
    <w:pPr>
      <w:widowControl/>
      <w:pBdr>
        <w:top w:val="single" w:color="auto" w:sz="8" w:space="0"/>
        <w:left w:val="single" w:color="auto" w:sz="4" w:space="0"/>
        <w:bottom w:val="single" w:color="auto" w:sz="4" w:space="0"/>
        <w:right w:val="single" w:color="auto" w:sz="4" w:space="0"/>
      </w:pBdr>
      <w:shd w:val="clear" w:color="000000" w:fill="FFCC00"/>
      <w:spacing w:before="100" w:beforeAutospacing="1" w:after="100" w:afterAutospacing="1" w:line="360" w:lineRule="auto"/>
      <w:ind w:firstLine="200" w:firstLineChars="200"/>
      <w:jc w:val="left"/>
    </w:pPr>
    <w:rPr>
      <w:rFonts w:ascii="宋体" w:hAnsi="宋体" w:cs="宋体"/>
      <w:b/>
      <w:bCs/>
      <w:kern w:val="0"/>
      <w:sz w:val="24"/>
      <w:szCs w:val="21"/>
    </w:rPr>
  </w:style>
  <w:style w:type="paragraph" w:customStyle="1" w:styleId="669">
    <w:name w:val="Style2"/>
    <w:basedOn w:val="4"/>
    <w:qFormat/>
    <w:uiPriority w:val="0"/>
    <w:pPr>
      <w:keepNext w:val="0"/>
      <w:keepLines w:val="0"/>
      <w:widowControl/>
      <w:tabs>
        <w:tab w:val="left" w:pos="425"/>
        <w:tab w:val="left" w:pos="576"/>
        <w:tab w:val="left" w:pos="2162"/>
        <w:tab w:val="left" w:pos="7177"/>
        <w:tab w:val="left" w:pos="9337"/>
      </w:tabs>
      <w:spacing w:after="60" w:line="480" w:lineRule="auto"/>
      <w:ind w:firstLine="200" w:firstLineChars="200"/>
      <w:outlineLvl w:val="9"/>
    </w:pPr>
    <w:rPr>
      <w:rFonts w:ascii="Times New Roman"/>
      <w:b w:val="0"/>
      <w:bCs w:val="0"/>
      <w:spacing w:val="20"/>
      <w:kern w:val="0"/>
      <w:sz w:val="30"/>
      <w:szCs w:val="20"/>
      <w:lang w:val="en-GB"/>
    </w:rPr>
  </w:style>
  <w:style w:type="paragraph" w:customStyle="1" w:styleId="670">
    <w:name w:val="xl123"/>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b/>
      <w:bCs/>
      <w:kern w:val="0"/>
      <w:sz w:val="24"/>
      <w:szCs w:val="21"/>
    </w:rPr>
  </w:style>
  <w:style w:type="paragraph" w:customStyle="1" w:styleId="671">
    <w:name w:val="标题 1（2）"/>
    <w:basedOn w:val="3"/>
    <w:next w:val="1"/>
    <w:qFormat/>
    <w:uiPriority w:val="0"/>
    <w:pPr>
      <w:keepLines/>
      <w:tabs>
        <w:tab w:val="left" w:pos="432"/>
      </w:tabs>
      <w:spacing w:before="600" w:after="330" w:line="576" w:lineRule="auto"/>
      <w:ind w:left="907" w:hanging="907"/>
      <w:jc w:val="left"/>
    </w:pPr>
    <w:rPr>
      <w:rFonts w:ascii="Arial" w:hAnsi="Arial" w:cs="Times New Roman"/>
      <w:kern w:val="44"/>
      <w:sz w:val="44"/>
      <w:szCs w:val="44"/>
    </w:rPr>
  </w:style>
  <w:style w:type="paragraph" w:customStyle="1" w:styleId="672">
    <w:name w:val="8"/>
    <w:qFormat/>
    <w:uiPriority w:val="0"/>
    <w:pPr>
      <w:spacing w:line="360" w:lineRule="auto"/>
      <w:jc w:val="both"/>
    </w:pPr>
    <w:rPr>
      <w:rFonts w:ascii="Arial" w:hAnsi="Arial" w:eastAsia="宋体" w:cs="Times New Roman"/>
      <w:sz w:val="24"/>
      <w:szCs w:val="21"/>
      <w:lang w:val="en-US" w:eastAsia="zh-CN" w:bidi="ar-SA"/>
    </w:rPr>
  </w:style>
  <w:style w:type="paragraph" w:customStyle="1" w:styleId="673">
    <w:name w:val="单括号"/>
    <w:basedOn w:val="1"/>
    <w:qFormat/>
    <w:uiPriority w:val="0"/>
    <w:pPr>
      <w:widowControl/>
      <w:tabs>
        <w:tab w:val="left" w:pos="905"/>
      </w:tabs>
      <w:wordWrap w:val="0"/>
      <w:overflowPunct w:val="0"/>
      <w:autoSpaceDE w:val="0"/>
      <w:autoSpaceDN w:val="0"/>
      <w:adjustRightInd w:val="0"/>
      <w:spacing w:before="40" w:after="40" w:line="360" w:lineRule="atLeast"/>
      <w:ind w:left="905" w:hanging="423"/>
      <w:textAlignment w:val="baseline"/>
    </w:pPr>
    <w:rPr>
      <w:kern w:val="0"/>
      <w:sz w:val="24"/>
    </w:rPr>
  </w:style>
  <w:style w:type="paragraph" w:customStyle="1" w:styleId="674">
    <w:name w:val="图表"/>
    <w:basedOn w:val="1"/>
    <w:qFormat/>
    <w:uiPriority w:val="0"/>
    <w:pPr>
      <w:spacing w:line="360" w:lineRule="auto"/>
      <w:jc w:val="center"/>
    </w:pPr>
    <w:rPr>
      <w:sz w:val="24"/>
      <w:szCs w:val="20"/>
    </w:rPr>
  </w:style>
  <w:style w:type="paragraph" w:customStyle="1" w:styleId="675">
    <w:name w:val="xl15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360" w:lineRule="auto"/>
      <w:ind w:firstLine="200" w:firstLineChars="200"/>
      <w:jc w:val="center"/>
    </w:pPr>
    <w:rPr>
      <w:rFonts w:ascii="宋体" w:hAnsi="宋体" w:cs="宋体"/>
      <w:b/>
      <w:bCs/>
      <w:kern w:val="0"/>
      <w:sz w:val="24"/>
      <w:szCs w:val="21"/>
    </w:rPr>
  </w:style>
  <w:style w:type="paragraph" w:customStyle="1" w:styleId="676">
    <w:name w:val="正文2"/>
    <w:basedOn w:val="1"/>
    <w:qFormat/>
    <w:uiPriority w:val="0"/>
    <w:pPr>
      <w:widowControl/>
      <w:spacing w:after="160" w:line="360" w:lineRule="auto"/>
      <w:ind w:firstLine="200" w:firstLineChars="200"/>
      <w:jc w:val="left"/>
    </w:pPr>
    <w:rPr>
      <w:rFonts w:ascii="Verdana" w:hAnsi="Verdana" w:eastAsia="黑体"/>
      <w:kern w:val="0"/>
      <w:sz w:val="24"/>
      <w:szCs w:val="20"/>
      <w:lang w:eastAsia="en-US"/>
    </w:rPr>
  </w:style>
  <w:style w:type="paragraph" w:customStyle="1" w:styleId="677">
    <w:name w:val="NICMAN Body Text"/>
    <w:basedOn w:val="1"/>
    <w:next w:val="73"/>
    <w:qFormat/>
    <w:uiPriority w:val="0"/>
    <w:pPr>
      <w:autoSpaceDE w:val="0"/>
      <w:autoSpaceDN w:val="0"/>
      <w:adjustRightInd w:val="0"/>
      <w:spacing w:before="120" w:after="120" w:line="360" w:lineRule="auto"/>
      <w:ind w:firstLine="540" w:firstLineChars="200"/>
      <w:textAlignment w:val="baseline"/>
    </w:pPr>
    <w:rPr>
      <w:color w:val="000000"/>
      <w:sz w:val="24"/>
      <w:szCs w:val="20"/>
      <w:lang w:val="en-IE"/>
    </w:rPr>
  </w:style>
  <w:style w:type="paragraph" w:customStyle="1" w:styleId="678">
    <w:name w:val="Item Step in Table"/>
    <w:qFormat/>
    <w:uiPriority w:val="0"/>
    <w:pPr>
      <w:numPr>
        <w:ilvl w:val="0"/>
        <w:numId w:val="16"/>
      </w:numPr>
      <w:tabs>
        <w:tab w:val="left" w:pos="397"/>
      </w:tabs>
      <w:spacing w:before="40" w:after="40"/>
      <w:ind w:left="0" w:firstLine="0"/>
      <w:jc w:val="both"/>
    </w:pPr>
    <w:rPr>
      <w:rFonts w:ascii="Arial" w:hAnsi="Arial" w:eastAsia="宋体" w:cs="Times New Roman"/>
      <w:sz w:val="18"/>
      <w:lang w:val="en-US" w:eastAsia="zh-CN" w:bidi="ar-SA"/>
    </w:rPr>
  </w:style>
  <w:style w:type="paragraph" w:customStyle="1" w:styleId="679">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仿宋_GB2312" w:hAnsi="宋体" w:eastAsia="仿宋_GB2312" w:cs="宋体"/>
      <w:kern w:val="0"/>
      <w:sz w:val="24"/>
      <w:szCs w:val="21"/>
    </w:rPr>
  </w:style>
  <w:style w:type="paragraph" w:customStyle="1" w:styleId="680">
    <w:name w:val="样式 目录 1 + 首行缩进:  2 字符"/>
    <w:basedOn w:val="62"/>
    <w:qFormat/>
    <w:uiPriority w:val="0"/>
    <w:pPr>
      <w:tabs>
        <w:tab w:val="left" w:pos="840"/>
        <w:tab w:val="right" w:leader="dot" w:pos="8296"/>
      </w:tabs>
      <w:spacing w:before="120" w:after="120"/>
      <w:jc w:val="left"/>
    </w:pPr>
    <w:rPr>
      <w:rFonts w:ascii="Times New Roman" w:hAnsi="Times New Roman" w:eastAsia="宋体"/>
      <w:caps/>
      <w:sz w:val="20"/>
      <w:szCs w:val="20"/>
    </w:rPr>
  </w:style>
  <w:style w:type="paragraph" w:customStyle="1" w:styleId="681">
    <w:name w:val="样式 左侧:  0.74 厘米 首行缩进:  0.74 厘米 行距: 1.5 倍行距"/>
    <w:basedOn w:val="1"/>
    <w:qFormat/>
    <w:uiPriority w:val="0"/>
    <w:pPr>
      <w:spacing w:line="360" w:lineRule="auto"/>
      <w:ind w:left="420" w:firstLine="420"/>
    </w:pPr>
    <w:rPr>
      <w:rFonts w:eastAsia="楷体_GB2312" w:cs="宋体"/>
      <w:sz w:val="24"/>
      <w:szCs w:val="20"/>
    </w:rPr>
  </w:style>
  <w:style w:type="paragraph" w:customStyle="1" w:styleId="682">
    <w:name w:val="仿三2"/>
    <w:basedOn w:val="1"/>
    <w:qFormat/>
    <w:uiPriority w:val="0"/>
    <w:pPr>
      <w:spacing w:line="400" w:lineRule="exact"/>
      <w:jc w:val="center"/>
    </w:pPr>
    <w:rPr>
      <w:rFonts w:ascii="仿宋" w:hAnsi="仿宋" w:eastAsia="仿宋"/>
      <w:sz w:val="32"/>
      <w:szCs w:val="32"/>
    </w:rPr>
  </w:style>
  <w:style w:type="paragraph" w:customStyle="1" w:styleId="683">
    <w:name w:val="列表（符号二级）（1）"/>
    <w:basedOn w:val="315"/>
    <w:qFormat/>
    <w:uiPriority w:val="0"/>
    <w:pPr>
      <w:numPr>
        <w:ilvl w:val="1"/>
        <w:numId w:val="17"/>
      </w:numPr>
      <w:ind w:left="0" w:firstLine="0"/>
    </w:pPr>
  </w:style>
  <w:style w:type="paragraph" w:customStyle="1" w:styleId="684">
    <w:name w:val="xl13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360" w:lineRule="auto"/>
      <w:ind w:firstLine="200" w:firstLineChars="200"/>
      <w:jc w:val="left"/>
    </w:pPr>
    <w:rPr>
      <w:rFonts w:ascii="仿宋_GB2312" w:hAnsi="宋体" w:eastAsia="仿宋_GB2312" w:cs="宋体"/>
      <w:b/>
      <w:bCs/>
      <w:color w:val="000000"/>
      <w:kern w:val="0"/>
      <w:sz w:val="24"/>
      <w:szCs w:val="21"/>
    </w:rPr>
  </w:style>
  <w:style w:type="paragraph" w:customStyle="1" w:styleId="685">
    <w:name w:val="样式 左侧:  0.85 厘米 首行缩进:  0.85 厘米"/>
    <w:basedOn w:val="1"/>
    <w:qFormat/>
    <w:uiPriority w:val="0"/>
    <w:pPr>
      <w:spacing w:beforeLines="50" w:afterLines="50" w:line="360" w:lineRule="auto"/>
      <w:ind w:firstLine="482" w:firstLineChars="200"/>
    </w:pPr>
    <w:rPr>
      <w:rFonts w:cs="宋体"/>
      <w:sz w:val="24"/>
      <w:szCs w:val="20"/>
    </w:rPr>
  </w:style>
  <w:style w:type="paragraph" w:customStyle="1" w:styleId="686">
    <w:name w:val="加粗标题"/>
    <w:basedOn w:val="426"/>
    <w:next w:val="426"/>
    <w:qFormat/>
    <w:uiPriority w:val="0"/>
    <w:rPr>
      <w:b/>
      <w:bCs/>
      <w:kern w:val="24"/>
      <w:szCs w:val="24"/>
    </w:rPr>
  </w:style>
  <w:style w:type="paragraph" w:customStyle="1" w:styleId="687">
    <w:name w:val="列表（编号一级）（1）"/>
    <w:basedOn w:val="316"/>
    <w:qFormat/>
    <w:uiPriority w:val="0"/>
    <w:pPr>
      <w:spacing w:before="25" w:beforeLines="25"/>
      <w:ind w:left="840" w:hanging="432"/>
    </w:pPr>
  </w:style>
  <w:style w:type="paragraph" w:customStyle="1" w:styleId="688">
    <w:name w:val="项目"/>
    <w:basedOn w:val="1"/>
    <w:qFormat/>
    <w:uiPriority w:val="0"/>
    <w:pPr>
      <w:tabs>
        <w:tab w:val="left" w:pos="851"/>
      </w:tabs>
      <w:snapToGrid w:val="0"/>
      <w:spacing w:before="120" w:after="120" w:line="360" w:lineRule="auto"/>
      <w:ind w:left="851" w:hanging="454"/>
      <w:jc w:val="left"/>
      <w:textAlignment w:val="baseline"/>
    </w:pPr>
    <w:rPr>
      <w:rFonts w:ascii="宋体" w:hAnsi="宋体"/>
      <w:color w:val="000000"/>
      <w:kern w:val="0"/>
      <w:sz w:val="24"/>
      <w:szCs w:val="20"/>
    </w:rPr>
  </w:style>
  <w:style w:type="paragraph" w:customStyle="1" w:styleId="689">
    <w:name w:val="Default Paragraph Font Para Char Char Char Char Char Char"/>
    <w:basedOn w:val="1"/>
    <w:qFormat/>
    <w:uiPriority w:val="0"/>
    <w:pPr>
      <w:widowControl/>
      <w:spacing w:after="160" w:line="240" w:lineRule="exact"/>
      <w:jc w:val="left"/>
    </w:pPr>
    <w:rPr>
      <w:szCs w:val="20"/>
    </w:rPr>
  </w:style>
  <w:style w:type="paragraph" w:customStyle="1" w:styleId="69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Calibri" w:hAnsi="Calibri" w:cs="宋体"/>
      <w:kern w:val="0"/>
      <w:sz w:val="24"/>
      <w:szCs w:val="21"/>
    </w:rPr>
  </w:style>
  <w:style w:type="paragraph" w:customStyle="1" w:styleId="691">
    <w:name w:val="标书正文1"/>
    <w:basedOn w:val="1"/>
    <w:qFormat/>
    <w:uiPriority w:val="0"/>
    <w:pPr>
      <w:autoSpaceDE w:val="0"/>
      <w:autoSpaceDN w:val="0"/>
      <w:adjustRightInd w:val="0"/>
      <w:spacing w:line="360" w:lineRule="auto"/>
      <w:ind w:right="210" w:rightChars="100" w:firstLine="539"/>
    </w:pPr>
    <w:rPr>
      <w:rFonts w:ascii="方正隶书简体" w:eastAsia="方正隶书简体"/>
      <w:b/>
      <w:kern w:val="0"/>
      <w:sz w:val="24"/>
    </w:rPr>
  </w:style>
  <w:style w:type="paragraph" w:customStyle="1" w:styleId="692">
    <w:name w:val="MM Topic 8"/>
    <w:basedOn w:val="10"/>
    <w:qFormat/>
    <w:uiPriority w:val="0"/>
    <w:pPr>
      <w:numPr>
        <w:ilvl w:val="8"/>
        <w:numId w:val="18"/>
      </w:numPr>
      <w:tabs>
        <w:tab w:val="left" w:pos="3780"/>
      </w:tabs>
      <w:adjustRightInd/>
      <w:spacing w:line="320" w:lineRule="auto"/>
      <w:ind w:left="0" w:firstLine="0"/>
      <w:jc w:val="both"/>
      <w:textAlignment w:val="auto"/>
    </w:pPr>
    <w:rPr>
      <w:kern w:val="2"/>
    </w:rPr>
  </w:style>
  <w:style w:type="paragraph" w:customStyle="1" w:styleId="693">
    <w:name w:val="xl16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360" w:lineRule="auto"/>
      <w:ind w:firstLine="200" w:firstLineChars="200"/>
      <w:jc w:val="center"/>
    </w:pPr>
    <w:rPr>
      <w:rFonts w:ascii="Arial Narrow" w:hAnsi="Arial Narrow" w:cs="宋体"/>
      <w:b/>
      <w:bCs/>
      <w:color w:val="000000"/>
      <w:kern w:val="0"/>
      <w:sz w:val="24"/>
      <w:szCs w:val="21"/>
    </w:rPr>
  </w:style>
  <w:style w:type="paragraph" w:customStyle="1" w:styleId="694">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Arial Narrow" w:hAnsi="Arial Narrow" w:cs="宋体"/>
      <w:color w:val="000000"/>
      <w:kern w:val="0"/>
      <w:sz w:val="24"/>
      <w:szCs w:val="21"/>
    </w:rPr>
  </w:style>
  <w:style w:type="paragraph" w:customStyle="1" w:styleId="695">
    <w:name w:val="列表（编号二级）（1）"/>
    <w:basedOn w:val="687"/>
    <w:qFormat/>
    <w:uiPriority w:val="0"/>
    <w:pPr>
      <w:spacing w:beforeLines="0"/>
      <w:ind w:left="1260"/>
    </w:pPr>
  </w:style>
  <w:style w:type="paragraph" w:customStyle="1" w:styleId="696">
    <w:name w:val="带符号正文（缩进）"/>
    <w:qFormat/>
    <w:uiPriority w:val="0"/>
    <w:pPr>
      <w:tabs>
        <w:tab w:val="left" w:pos="595"/>
      </w:tabs>
      <w:spacing w:before="100" w:beforeAutospacing="1" w:after="100" w:afterAutospacing="1" w:line="360" w:lineRule="auto"/>
      <w:ind w:left="849" w:leftChars="200" w:hanging="369"/>
    </w:pPr>
    <w:rPr>
      <w:rFonts w:ascii="Times New Roman" w:hAnsi="Times New Roman" w:eastAsia="宋体" w:cs="Times New Roman"/>
      <w:sz w:val="24"/>
      <w:lang w:val="en-US" w:eastAsia="zh-CN" w:bidi="ar-SA"/>
    </w:rPr>
  </w:style>
  <w:style w:type="paragraph" w:customStyle="1" w:styleId="697">
    <w:name w:val="xl13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360" w:lineRule="auto"/>
      <w:ind w:firstLine="200" w:firstLineChars="200"/>
      <w:jc w:val="center"/>
    </w:pPr>
    <w:rPr>
      <w:rFonts w:ascii="仿宋_GB2312" w:hAnsi="宋体" w:eastAsia="仿宋_GB2312" w:cs="宋体"/>
      <w:kern w:val="0"/>
      <w:sz w:val="24"/>
      <w:szCs w:val="21"/>
    </w:rPr>
  </w:style>
  <w:style w:type="paragraph" w:customStyle="1" w:styleId="698">
    <w:name w:val="项目2"/>
    <w:basedOn w:val="1"/>
    <w:qFormat/>
    <w:uiPriority w:val="0"/>
    <w:pPr>
      <w:numPr>
        <w:ilvl w:val="0"/>
        <w:numId w:val="19"/>
      </w:numPr>
      <w:tabs>
        <w:tab w:val="left" w:pos="845"/>
      </w:tabs>
      <w:spacing w:before="60" w:after="60" w:line="360" w:lineRule="auto"/>
      <w:ind w:left="200" w:leftChars="200" w:firstLine="0"/>
    </w:pPr>
    <w:rPr>
      <w:sz w:val="24"/>
      <w:szCs w:val="20"/>
    </w:rPr>
  </w:style>
  <w:style w:type="paragraph" w:customStyle="1" w:styleId="699">
    <w:name w:val="xl3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360" w:lineRule="auto"/>
      <w:ind w:firstLine="200" w:firstLineChars="200"/>
      <w:jc w:val="center"/>
    </w:pPr>
    <w:rPr>
      <w:rFonts w:ascii="Arial Unicode MS" w:hAnsi="Arial Unicode MS" w:eastAsia="Arial Unicode MS"/>
      <w:color w:val="000000"/>
      <w:kern w:val="0"/>
      <w:sz w:val="24"/>
      <w:szCs w:val="20"/>
    </w:rPr>
  </w:style>
  <w:style w:type="paragraph" w:customStyle="1" w:styleId="700">
    <w:name w:val="xl13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360" w:lineRule="auto"/>
      <w:ind w:firstLine="200" w:firstLineChars="200"/>
      <w:jc w:val="left"/>
    </w:pPr>
    <w:rPr>
      <w:rFonts w:ascii="仿宋_GB2312" w:hAnsi="宋体" w:eastAsia="仿宋_GB2312" w:cs="宋体"/>
      <w:kern w:val="0"/>
      <w:sz w:val="24"/>
      <w:szCs w:val="21"/>
    </w:rPr>
  </w:style>
  <w:style w:type="paragraph" w:customStyle="1" w:styleId="701">
    <w:name w:val="公文二级标题"/>
    <w:basedOn w:val="1"/>
    <w:next w:val="1"/>
    <w:qFormat/>
    <w:uiPriority w:val="0"/>
    <w:pPr>
      <w:widowControl/>
      <w:spacing w:line="560" w:lineRule="exact"/>
      <w:ind w:left="840" w:hanging="420"/>
      <w:jc w:val="left"/>
    </w:pPr>
    <w:rPr>
      <w:rFonts w:ascii="楷体_GB2312" w:eastAsia="楷体_GB2312"/>
      <w:b/>
      <w:kern w:val="0"/>
      <w:sz w:val="32"/>
      <w:szCs w:val="32"/>
    </w:rPr>
  </w:style>
  <w:style w:type="paragraph" w:customStyle="1" w:styleId="702">
    <w:name w:val="样式 宋体 黑色 首行缩进:  0.93 厘米 右侧:  0.05 厘米"/>
    <w:basedOn w:val="1"/>
    <w:qFormat/>
    <w:uiPriority w:val="0"/>
    <w:pPr>
      <w:spacing w:line="360" w:lineRule="auto"/>
      <w:ind w:right="28" w:firstLine="527"/>
    </w:pPr>
    <w:rPr>
      <w:rFonts w:ascii="宋体" w:hAnsi="宋体" w:cs="宋体"/>
      <w:color w:val="000000"/>
      <w:sz w:val="24"/>
    </w:rPr>
  </w:style>
  <w:style w:type="paragraph" w:customStyle="1" w:styleId="703">
    <w:name w:val="xl56"/>
    <w:basedOn w:val="1"/>
    <w:qFormat/>
    <w:uiPriority w:val="0"/>
    <w:pPr>
      <w:widowControl/>
      <w:pBdr>
        <w:left w:val="single" w:color="auto" w:sz="8" w:space="0"/>
        <w:bottom w:val="single" w:color="auto" w:sz="4" w:space="0"/>
        <w:right w:val="single" w:color="auto" w:sz="4" w:space="0"/>
      </w:pBdr>
      <w:shd w:val="clear" w:color="auto" w:fill="FFFFFF"/>
      <w:spacing w:before="100" w:beforeAutospacing="1" w:after="100" w:afterAutospacing="1" w:line="360" w:lineRule="auto"/>
      <w:ind w:firstLine="200" w:firstLineChars="200"/>
      <w:jc w:val="center"/>
      <w:textAlignment w:val="top"/>
    </w:pPr>
    <w:rPr>
      <w:rFonts w:ascii="Arial Unicode MS" w:hAnsi="Arial Unicode MS" w:eastAsia="Arial Unicode MS"/>
      <w:kern w:val="0"/>
      <w:sz w:val="20"/>
      <w:szCs w:val="20"/>
    </w:rPr>
  </w:style>
  <w:style w:type="paragraph" w:customStyle="1" w:styleId="704">
    <w:name w:val="xl4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360" w:lineRule="auto"/>
      <w:ind w:firstLine="200" w:firstLineChars="200"/>
      <w:jc w:val="left"/>
      <w:textAlignment w:val="top"/>
    </w:pPr>
    <w:rPr>
      <w:rFonts w:eastAsia="Arial Unicode MS"/>
      <w:color w:val="000000"/>
      <w:kern w:val="0"/>
      <w:sz w:val="20"/>
      <w:szCs w:val="20"/>
    </w:rPr>
  </w:style>
  <w:style w:type="paragraph" w:customStyle="1" w:styleId="705">
    <w:name w:val="需求书正文文字"/>
    <w:basedOn w:val="1"/>
    <w:qFormat/>
    <w:uiPriority w:val="0"/>
    <w:pPr>
      <w:adjustRightInd w:val="0"/>
      <w:spacing w:line="360" w:lineRule="auto"/>
      <w:ind w:firstLine="567"/>
    </w:pPr>
    <w:rPr>
      <w:sz w:val="28"/>
      <w:szCs w:val="20"/>
    </w:rPr>
  </w:style>
  <w:style w:type="paragraph" w:customStyle="1" w:styleId="706">
    <w:name w:val="xl143"/>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360" w:lineRule="auto"/>
      <w:ind w:firstLine="200" w:firstLineChars="200"/>
      <w:jc w:val="center"/>
    </w:pPr>
    <w:rPr>
      <w:rFonts w:ascii="Arial Narrow" w:hAnsi="Arial Narrow" w:cs="宋体"/>
      <w:b/>
      <w:bCs/>
      <w:kern w:val="0"/>
      <w:sz w:val="24"/>
      <w:szCs w:val="21"/>
    </w:rPr>
  </w:style>
  <w:style w:type="paragraph" w:customStyle="1" w:styleId="707">
    <w:name w:val="Style3"/>
    <w:basedOn w:val="5"/>
    <w:qFormat/>
    <w:uiPriority w:val="0"/>
    <w:pPr>
      <w:keepNext w:val="0"/>
      <w:keepLines w:val="0"/>
      <w:widowControl/>
      <w:tabs>
        <w:tab w:val="left" w:pos="425"/>
        <w:tab w:val="left" w:pos="697"/>
        <w:tab w:val="left" w:pos="720"/>
        <w:tab w:val="left" w:pos="1417"/>
        <w:tab w:val="left" w:pos="2162"/>
        <w:tab w:val="left" w:pos="7177"/>
        <w:tab w:val="left" w:pos="9337"/>
      </w:tabs>
      <w:spacing w:before="0" w:after="0" w:line="360" w:lineRule="auto"/>
      <w:ind w:firstLine="200" w:firstLineChars="200"/>
      <w:outlineLvl w:val="9"/>
    </w:pPr>
    <w:rPr>
      <w:rFonts w:ascii="宋体" w:hAnsi="Arial"/>
      <w:spacing w:val="20"/>
      <w:kern w:val="0"/>
      <w:sz w:val="28"/>
      <w:szCs w:val="20"/>
      <w:lang w:val="en-GB"/>
    </w:rPr>
  </w:style>
  <w:style w:type="paragraph" w:customStyle="1" w:styleId="708">
    <w:name w:val="xl6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360" w:lineRule="auto"/>
      <w:ind w:firstLine="200" w:firstLineChars="200"/>
      <w:jc w:val="right"/>
      <w:textAlignment w:val="top"/>
    </w:pPr>
    <w:rPr>
      <w:rFonts w:ascii="Arial Unicode MS" w:hAnsi="Arial Unicode MS" w:eastAsia="Arial Unicode MS"/>
      <w:color w:val="000000"/>
      <w:kern w:val="0"/>
      <w:sz w:val="20"/>
      <w:szCs w:val="20"/>
    </w:rPr>
  </w:style>
  <w:style w:type="paragraph" w:customStyle="1" w:styleId="709">
    <w:name w:val="公文一级标题"/>
    <w:basedOn w:val="1"/>
    <w:next w:val="1"/>
    <w:qFormat/>
    <w:uiPriority w:val="0"/>
    <w:pPr>
      <w:widowControl/>
      <w:spacing w:line="560" w:lineRule="exact"/>
      <w:ind w:left="420" w:hanging="420"/>
      <w:jc w:val="left"/>
    </w:pPr>
    <w:rPr>
      <w:rFonts w:ascii="黑体" w:eastAsia="黑体"/>
      <w:kern w:val="0"/>
      <w:sz w:val="32"/>
      <w:szCs w:val="32"/>
    </w:rPr>
  </w:style>
  <w:style w:type="paragraph" w:customStyle="1" w:styleId="710">
    <w:name w:val="xl153"/>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360" w:lineRule="auto"/>
      <w:ind w:firstLine="200" w:firstLineChars="200"/>
      <w:jc w:val="left"/>
    </w:pPr>
    <w:rPr>
      <w:rFonts w:ascii="宋体" w:hAnsi="宋体" w:cs="宋体"/>
      <w:color w:val="000000"/>
      <w:kern w:val="0"/>
      <w:sz w:val="24"/>
      <w:szCs w:val="21"/>
    </w:rPr>
  </w:style>
  <w:style w:type="paragraph" w:customStyle="1" w:styleId="711">
    <w:name w:val="xl33"/>
    <w:basedOn w:val="1"/>
    <w:qFormat/>
    <w:uiPriority w:val="0"/>
    <w:pPr>
      <w:widowControl/>
      <w:pBdr>
        <w:top w:val="single" w:color="auto" w:sz="8" w:space="0"/>
        <w:left w:val="single" w:color="auto" w:sz="8" w:space="0"/>
        <w:bottom w:val="single" w:color="auto" w:sz="4" w:space="0"/>
      </w:pBdr>
      <w:shd w:val="clear" w:color="auto" w:fill="FFFF00"/>
      <w:spacing w:before="100" w:beforeAutospacing="1" w:after="100" w:afterAutospacing="1" w:line="360" w:lineRule="auto"/>
      <w:ind w:firstLine="200" w:firstLineChars="200"/>
      <w:jc w:val="center"/>
    </w:pPr>
    <w:rPr>
      <w:rFonts w:ascii="Arial Unicode MS" w:hAnsi="Arial Unicode MS" w:eastAsia="Arial Unicode MS"/>
      <w:color w:val="0000FF"/>
      <w:kern w:val="0"/>
      <w:sz w:val="36"/>
      <w:szCs w:val="20"/>
    </w:rPr>
  </w:style>
  <w:style w:type="paragraph" w:customStyle="1" w:styleId="712">
    <w:name w:val="xl14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713">
    <w:name w:val="xl4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360" w:lineRule="auto"/>
      <w:ind w:firstLine="200" w:firstLineChars="200"/>
      <w:jc w:val="left"/>
      <w:textAlignment w:val="top"/>
    </w:pPr>
    <w:rPr>
      <w:rFonts w:ascii="Arial Unicode MS" w:hAnsi="Arial Unicode MS" w:eastAsia="Arial Unicode MS"/>
      <w:kern w:val="0"/>
      <w:sz w:val="20"/>
      <w:szCs w:val="20"/>
    </w:rPr>
  </w:style>
  <w:style w:type="paragraph" w:customStyle="1" w:styleId="714">
    <w:name w:val="样式 (西文) Arial (中文) 仿宋 小三 加粗 黑色 居中 行距: 2 倍行距"/>
    <w:basedOn w:val="1"/>
    <w:qFormat/>
    <w:uiPriority w:val="0"/>
    <w:pPr>
      <w:jc w:val="center"/>
    </w:pPr>
    <w:rPr>
      <w:rFonts w:ascii="Arial" w:hAnsi="仿宋" w:eastAsia="仿宋"/>
      <w:color w:val="000000"/>
      <w:szCs w:val="20"/>
    </w:rPr>
  </w:style>
  <w:style w:type="paragraph" w:customStyle="1" w:styleId="715">
    <w:name w:val="样式 目录 1"/>
    <w:basedOn w:val="62"/>
    <w:qFormat/>
    <w:uiPriority w:val="0"/>
    <w:pPr>
      <w:tabs>
        <w:tab w:val="left" w:pos="840"/>
        <w:tab w:val="right" w:leader="dot" w:pos="8296"/>
      </w:tabs>
      <w:adjustRightInd w:val="0"/>
      <w:spacing w:before="120" w:after="120"/>
      <w:jc w:val="left"/>
    </w:pPr>
    <w:rPr>
      <w:rFonts w:ascii="Times New Roman" w:hAnsi="Times New Roman" w:eastAsia="宋体"/>
      <w:caps/>
      <w:sz w:val="20"/>
      <w:szCs w:val="20"/>
    </w:rPr>
  </w:style>
  <w:style w:type="paragraph" w:customStyle="1" w:styleId="716">
    <w:name w:val="样式 正文文字缩进特点标题PI + 行距: 固定值 22 磅"/>
    <w:basedOn w:val="38"/>
    <w:qFormat/>
    <w:uiPriority w:val="0"/>
    <w:pPr>
      <w:spacing w:after="0" w:line="440" w:lineRule="exact"/>
      <w:ind w:left="0" w:leftChars="0" w:firstLine="480" w:firstLineChars="200"/>
    </w:pPr>
    <w:rPr>
      <w:rFonts w:ascii="宋体" w:hAnsi="宋体"/>
      <w:sz w:val="24"/>
      <w:szCs w:val="20"/>
    </w:rPr>
  </w:style>
  <w:style w:type="paragraph" w:customStyle="1" w:styleId="717">
    <w:name w:val="公文正文"/>
    <w:basedOn w:val="1"/>
    <w:qFormat/>
    <w:uiPriority w:val="0"/>
    <w:pPr>
      <w:widowControl/>
      <w:spacing w:line="560" w:lineRule="exact"/>
      <w:ind w:firstLine="200" w:firstLineChars="200"/>
    </w:pPr>
    <w:rPr>
      <w:rFonts w:ascii="仿宋_GB2312" w:eastAsia="仿宋_GB2312"/>
      <w:kern w:val="0"/>
      <w:sz w:val="32"/>
      <w:szCs w:val="32"/>
    </w:rPr>
  </w:style>
  <w:style w:type="paragraph" w:customStyle="1" w:styleId="718">
    <w:name w:val="标题 1（1）"/>
    <w:basedOn w:val="3"/>
    <w:next w:val="316"/>
    <w:qFormat/>
    <w:uiPriority w:val="0"/>
    <w:pPr>
      <w:keepLines/>
      <w:numPr>
        <w:ilvl w:val="0"/>
        <w:numId w:val="12"/>
      </w:numPr>
      <w:tabs>
        <w:tab w:val="left" w:pos="432"/>
      </w:tabs>
      <w:spacing w:before="600" w:line="360" w:lineRule="auto"/>
      <w:ind w:left="0" w:firstLine="0"/>
    </w:pPr>
    <w:rPr>
      <w:rFonts w:ascii="Arial" w:hAnsi="Arial" w:cs="Times New Roman"/>
      <w:kern w:val="44"/>
      <w:sz w:val="44"/>
      <w:szCs w:val="44"/>
    </w:rPr>
  </w:style>
  <w:style w:type="paragraph" w:customStyle="1" w:styleId="719">
    <w:name w:val="_正文"/>
    <w:basedOn w:val="1"/>
    <w:qFormat/>
    <w:uiPriority w:val="0"/>
    <w:pPr>
      <w:spacing w:line="360" w:lineRule="auto"/>
    </w:pPr>
    <w:rPr>
      <w:sz w:val="24"/>
    </w:rPr>
  </w:style>
  <w:style w:type="paragraph" w:customStyle="1" w:styleId="720">
    <w:name w:val="MM Topic 2"/>
    <w:basedOn w:val="4"/>
    <w:qFormat/>
    <w:uiPriority w:val="0"/>
    <w:pPr>
      <w:numPr>
        <w:ilvl w:val="1"/>
        <w:numId w:val="18"/>
      </w:numPr>
      <w:tabs>
        <w:tab w:val="left" w:pos="576"/>
        <w:tab w:val="left" w:pos="840"/>
      </w:tabs>
      <w:spacing w:before="260" w:after="260" w:line="416" w:lineRule="auto"/>
      <w:ind w:left="0" w:firstLine="0"/>
    </w:pPr>
    <w:rPr>
      <w:rFonts w:eastAsia="黑体"/>
      <w:sz w:val="32"/>
    </w:rPr>
  </w:style>
  <w:style w:type="paragraph" w:customStyle="1" w:styleId="721">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Arial Unicode MS" w:hAnsi="Arial Unicode MS" w:eastAsia="Arial Unicode MS"/>
      <w:color w:val="000000"/>
      <w:kern w:val="0"/>
      <w:sz w:val="18"/>
      <w:szCs w:val="20"/>
    </w:rPr>
  </w:style>
  <w:style w:type="paragraph" w:customStyle="1" w:styleId="722">
    <w:name w:val="font0"/>
    <w:basedOn w:val="1"/>
    <w:qFormat/>
    <w:uiPriority w:val="0"/>
    <w:pPr>
      <w:widowControl/>
      <w:spacing w:before="100" w:beforeAutospacing="1" w:after="100" w:afterAutospacing="1" w:line="360" w:lineRule="auto"/>
      <w:ind w:firstLine="200" w:firstLineChars="200"/>
      <w:jc w:val="left"/>
    </w:pPr>
    <w:rPr>
      <w:rFonts w:hint="eastAsia" w:hAnsi="宋体"/>
      <w:kern w:val="0"/>
      <w:sz w:val="24"/>
      <w:szCs w:val="20"/>
    </w:rPr>
  </w:style>
  <w:style w:type="paragraph" w:customStyle="1" w:styleId="723">
    <w:name w:val="Style1"/>
    <w:basedOn w:val="3"/>
    <w:qFormat/>
    <w:uiPriority w:val="0"/>
    <w:pPr>
      <w:keepNext w:val="0"/>
      <w:keepLines/>
      <w:tabs>
        <w:tab w:val="left" w:pos="425"/>
        <w:tab w:val="left" w:pos="432"/>
      </w:tabs>
      <w:spacing w:before="340" w:after="330" w:line="576" w:lineRule="auto"/>
      <w:ind w:firstLine="200" w:firstLineChars="200"/>
      <w:outlineLvl w:val="9"/>
    </w:pPr>
    <w:rPr>
      <w:rFonts w:ascii="Times New Roman" w:hAnsi="Times New Roman" w:eastAsia="宋体" w:cs="Times New Roman"/>
      <w:bCs w:val="0"/>
      <w:smallCaps/>
      <w:spacing w:val="20"/>
      <w:kern w:val="24"/>
      <w:sz w:val="24"/>
    </w:rPr>
  </w:style>
  <w:style w:type="paragraph" w:customStyle="1" w:styleId="724">
    <w:name w:val="xl1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4"/>
      <w:szCs w:val="21"/>
    </w:rPr>
  </w:style>
  <w:style w:type="paragraph" w:customStyle="1" w:styleId="725">
    <w:name w:val="样式 Arial 首行缩进:  0.74 厘米 行距: 固定值 22 磅"/>
    <w:basedOn w:val="1"/>
    <w:qFormat/>
    <w:uiPriority w:val="0"/>
    <w:pPr>
      <w:spacing w:line="440" w:lineRule="exact"/>
      <w:ind w:firstLine="397"/>
    </w:pPr>
    <w:rPr>
      <w:rFonts w:ascii="Helvetica" w:hAnsi="Helvetica" w:eastAsia="仿宋_GB2312" w:cs="宋体"/>
      <w:sz w:val="24"/>
    </w:rPr>
  </w:style>
  <w:style w:type="paragraph" w:customStyle="1" w:styleId="726">
    <w:name w:val="xl1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仿宋_GB2312" w:hAnsi="宋体" w:eastAsia="仿宋_GB2312" w:cs="宋体"/>
      <w:b/>
      <w:bCs/>
      <w:color w:val="000000"/>
      <w:kern w:val="0"/>
      <w:sz w:val="24"/>
      <w:szCs w:val="21"/>
    </w:rPr>
  </w:style>
  <w:style w:type="paragraph" w:customStyle="1" w:styleId="727">
    <w:name w:val="默认段落字体 Char Char Char Char Char Char Char Char Char Char Char Char Char Char Char Char Char Char Char Char Char1"/>
    <w:basedOn w:val="29"/>
    <w:next w:val="1"/>
    <w:qFormat/>
    <w:uiPriority w:val="0"/>
    <w:pPr>
      <w:adjustRightInd w:val="0"/>
      <w:spacing w:line="360" w:lineRule="auto"/>
      <w:jc w:val="center"/>
      <w:textAlignment w:val="baseline"/>
    </w:pPr>
    <w:rPr>
      <w:rFonts w:ascii="Tahoma" w:hAnsi="Tahoma"/>
      <w:kern w:val="0"/>
      <w:sz w:val="24"/>
    </w:rPr>
  </w:style>
  <w:style w:type="paragraph" w:customStyle="1" w:styleId="728">
    <w:name w:val="标题 2（2）"/>
    <w:basedOn w:val="4"/>
    <w:next w:val="1"/>
    <w:qFormat/>
    <w:uiPriority w:val="0"/>
    <w:pPr>
      <w:tabs>
        <w:tab w:val="left" w:pos="576"/>
      </w:tabs>
      <w:spacing w:before="260" w:after="260" w:line="415" w:lineRule="auto"/>
      <w:ind w:left="794" w:hanging="794"/>
      <w:jc w:val="left"/>
    </w:pPr>
    <w:rPr>
      <w:rFonts w:eastAsia="黑体"/>
      <w:bCs w:val="0"/>
      <w:sz w:val="32"/>
    </w:rPr>
  </w:style>
  <w:style w:type="paragraph" w:customStyle="1" w:styleId="729">
    <w:name w:val="sky正文"/>
    <w:basedOn w:val="1"/>
    <w:qFormat/>
    <w:uiPriority w:val="0"/>
    <w:pPr>
      <w:jc w:val="left"/>
    </w:pPr>
    <w:rPr>
      <w:sz w:val="28"/>
      <w:szCs w:val="20"/>
    </w:rPr>
  </w:style>
  <w:style w:type="paragraph" w:customStyle="1" w:styleId="730">
    <w:name w:val="xl4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360" w:lineRule="auto"/>
      <w:ind w:firstLine="200" w:firstLineChars="200"/>
      <w:jc w:val="center"/>
      <w:textAlignment w:val="center"/>
    </w:pPr>
    <w:rPr>
      <w:rFonts w:ascii="Arial Unicode MS" w:hAnsi="Arial Unicode MS" w:eastAsia="Arial Unicode MS"/>
      <w:color w:val="000000"/>
      <w:kern w:val="0"/>
      <w:sz w:val="20"/>
      <w:szCs w:val="20"/>
    </w:rPr>
  </w:style>
  <w:style w:type="paragraph" w:customStyle="1" w:styleId="731">
    <w:name w:val="wansan"/>
    <w:basedOn w:val="1"/>
    <w:qFormat/>
    <w:uiPriority w:val="0"/>
    <w:pPr>
      <w:spacing w:line="360" w:lineRule="auto"/>
      <w:ind w:firstLine="200" w:firstLineChars="200"/>
    </w:pPr>
    <w:rPr>
      <w:rFonts w:ascii="Verdana" w:hAnsi="Verdana"/>
      <w:sz w:val="24"/>
    </w:rPr>
  </w:style>
  <w:style w:type="paragraph" w:customStyle="1" w:styleId="732">
    <w:name w:val="1.1.1.1标题"/>
    <w:basedOn w:val="1"/>
    <w:next w:val="89"/>
    <w:qFormat/>
    <w:uiPriority w:val="0"/>
    <w:pPr>
      <w:numPr>
        <w:ilvl w:val="0"/>
        <w:numId w:val="20"/>
      </w:numPr>
      <w:tabs>
        <w:tab w:val="left" w:pos="864"/>
      </w:tabs>
    </w:pPr>
    <w:rPr>
      <w:rFonts w:eastAsia="方正北魏楷书简体"/>
    </w:rPr>
  </w:style>
  <w:style w:type="paragraph" w:customStyle="1" w:styleId="733">
    <w:name w:val="样式 正文首行缩进 2 + 首行缩进:  2 字符"/>
    <w:basedOn w:val="89"/>
    <w:qFormat/>
    <w:uiPriority w:val="0"/>
    <w:pPr>
      <w:ind w:left="0" w:leftChars="0" w:firstLine="200"/>
    </w:pPr>
    <w:rPr>
      <w:rFonts w:ascii="Calibri" w:hAnsi="Calibri"/>
      <w:szCs w:val="20"/>
    </w:rPr>
  </w:style>
  <w:style w:type="paragraph" w:customStyle="1" w:styleId="734">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735">
    <w:name w:val="字元1"/>
    <w:basedOn w:val="1"/>
    <w:next w:val="1"/>
    <w:qFormat/>
    <w:uiPriority w:val="0"/>
    <w:rPr>
      <w:rFonts w:ascii="Tahoma" w:hAnsi="Tahoma"/>
      <w:sz w:val="24"/>
      <w:szCs w:val="20"/>
    </w:rPr>
  </w:style>
  <w:style w:type="paragraph" w:customStyle="1" w:styleId="736">
    <w:name w:val="小四"/>
    <w:basedOn w:val="1"/>
    <w:qFormat/>
    <w:uiPriority w:val="0"/>
    <w:pPr>
      <w:spacing w:line="360" w:lineRule="auto"/>
      <w:ind w:firstLine="200" w:firstLineChars="200"/>
    </w:pPr>
    <w:rPr>
      <w:sz w:val="24"/>
      <w:szCs w:val="20"/>
    </w:rPr>
  </w:style>
  <w:style w:type="paragraph" w:customStyle="1" w:styleId="737">
    <w:name w:val="标题3"/>
    <w:basedOn w:val="1"/>
    <w:qFormat/>
    <w:uiPriority w:val="0"/>
    <w:pPr>
      <w:keepNext/>
      <w:adjustRightInd w:val="0"/>
      <w:spacing w:before="60" w:after="60" w:line="360" w:lineRule="auto"/>
      <w:ind w:firstLine="200" w:firstLineChars="200"/>
      <w:jc w:val="left"/>
      <w:textAlignment w:val="center"/>
    </w:pPr>
    <w:rPr>
      <w:kern w:val="0"/>
      <w:sz w:val="24"/>
      <w:szCs w:val="20"/>
    </w:rPr>
  </w:style>
  <w:style w:type="paragraph" w:customStyle="1" w:styleId="738">
    <w:name w:val="xl1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4"/>
      <w:szCs w:val="21"/>
    </w:rPr>
  </w:style>
  <w:style w:type="paragraph" w:customStyle="1" w:styleId="739">
    <w:name w:val="正文缩两字"/>
    <w:basedOn w:val="511"/>
    <w:next w:val="511"/>
    <w:qFormat/>
    <w:uiPriority w:val="0"/>
    <w:pPr>
      <w:numPr>
        <w:ilvl w:val="0"/>
        <w:numId w:val="21"/>
      </w:numPr>
      <w:tabs>
        <w:tab w:val="left" w:pos="720"/>
        <w:tab w:val="left" w:pos="2040"/>
      </w:tabs>
      <w:ind w:left="0" w:leftChars="800" w:firstLine="0"/>
    </w:pPr>
    <w:rPr>
      <w:rFonts w:hAnsi="宋体"/>
    </w:rPr>
  </w:style>
  <w:style w:type="paragraph" w:customStyle="1" w:styleId="740">
    <w:name w:val="xl12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360" w:lineRule="auto"/>
      <w:ind w:firstLine="200" w:firstLineChars="200"/>
      <w:jc w:val="left"/>
    </w:pPr>
    <w:rPr>
      <w:rFonts w:ascii="仿宋_GB2312" w:hAnsi="宋体" w:eastAsia="仿宋_GB2312" w:cs="宋体"/>
      <w:b/>
      <w:bCs/>
      <w:color w:val="000000"/>
      <w:kern w:val="0"/>
      <w:sz w:val="24"/>
      <w:szCs w:val="21"/>
    </w:rPr>
  </w:style>
  <w:style w:type="paragraph" w:customStyle="1" w:styleId="741">
    <w:name w:val="xl48"/>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center"/>
      <w:textAlignment w:val="top"/>
    </w:pPr>
    <w:rPr>
      <w:rFonts w:ascii="Arial Unicode MS" w:hAnsi="Arial Unicode MS" w:eastAsia="Arial Unicode MS"/>
      <w:b/>
      <w:color w:val="000000"/>
      <w:kern w:val="0"/>
      <w:sz w:val="20"/>
      <w:szCs w:val="20"/>
    </w:rPr>
  </w:style>
  <w:style w:type="paragraph" w:customStyle="1" w:styleId="742">
    <w:name w:val="xl5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360" w:lineRule="auto"/>
      <w:ind w:firstLine="200" w:firstLineChars="200"/>
      <w:jc w:val="right"/>
      <w:textAlignment w:val="top"/>
    </w:pPr>
    <w:rPr>
      <w:rFonts w:ascii="Arial Unicode MS" w:hAnsi="Arial Unicode MS" w:eastAsia="Arial Unicode MS"/>
      <w:color w:val="000000"/>
      <w:kern w:val="0"/>
      <w:sz w:val="20"/>
      <w:szCs w:val="20"/>
    </w:rPr>
  </w:style>
  <w:style w:type="paragraph" w:customStyle="1" w:styleId="743">
    <w:name w:val="变更与声明内容（1）"/>
    <w:basedOn w:val="464"/>
    <w:qFormat/>
    <w:uiPriority w:val="0"/>
    <w:rPr>
      <w:b w:val="0"/>
    </w:rPr>
  </w:style>
  <w:style w:type="paragraph" w:customStyle="1" w:styleId="744">
    <w:name w:val="unnamed6"/>
    <w:basedOn w:val="1"/>
    <w:qFormat/>
    <w:uiPriority w:val="0"/>
    <w:pPr>
      <w:widowControl/>
      <w:spacing w:before="100" w:beforeAutospacing="1" w:after="100" w:afterAutospacing="1" w:line="360" w:lineRule="auto"/>
      <w:ind w:firstLine="200" w:firstLineChars="200"/>
      <w:jc w:val="left"/>
    </w:pPr>
    <w:rPr>
      <w:rFonts w:hAnsi="宋体" w:cs="宋体"/>
      <w:kern w:val="0"/>
      <w:sz w:val="24"/>
    </w:rPr>
  </w:style>
  <w:style w:type="paragraph" w:customStyle="1" w:styleId="745">
    <w:name w:val="4级标题"/>
    <w:basedOn w:val="6"/>
    <w:next w:val="89"/>
    <w:qFormat/>
    <w:uiPriority w:val="0"/>
    <w:pPr>
      <w:numPr>
        <w:ilvl w:val="3"/>
        <w:numId w:val="22"/>
      </w:numPr>
      <w:spacing w:before="120" w:after="120" w:line="360" w:lineRule="auto"/>
      <w:ind w:left="0" w:right="210" w:rightChars="100" w:firstLine="0"/>
    </w:pPr>
    <w:rPr>
      <w:rFonts w:ascii="楷体_GB2312" w:hAnsi="Times New Roman" w:eastAsia="楷体_GB2312"/>
      <w:kern w:val="0"/>
      <w:szCs w:val="24"/>
      <w:lang w:val="zh-CN"/>
    </w:rPr>
  </w:style>
  <w:style w:type="paragraph" w:customStyle="1" w:styleId="746">
    <w:name w:val="正文（宋体，首缩二）"/>
    <w:basedOn w:val="1"/>
    <w:qFormat/>
    <w:uiPriority w:val="0"/>
    <w:pPr>
      <w:widowControl/>
      <w:spacing w:before="100" w:beforeAutospacing="1" w:after="100" w:afterAutospacing="1" w:line="300" w:lineRule="auto"/>
      <w:ind w:firstLine="480" w:firstLineChars="200"/>
    </w:pPr>
    <w:rPr>
      <w:sz w:val="24"/>
    </w:rPr>
  </w:style>
  <w:style w:type="paragraph" w:customStyle="1" w:styleId="747">
    <w:name w:val="Char Char Char Char Char Char Char Char Char Char Char"/>
    <w:basedOn w:val="29"/>
    <w:qFormat/>
    <w:uiPriority w:val="0"/>
    <w:rPr>
      <w:szCs w:val="20"/>
    </w:rPr>
  </w:style>
  <w:style w:type="paragraph" w:customStyle="1" w:styleId="748">
    <w:name w:val="样式 样式 正文首行缩进 2 + 左侧:  2 字符 首行缩进:  2 字符1 + 左侧:  2 字符 首行缩进:  2 字符1"/>
    <w:basedOn w:val="749"/>
    <w:qFormat/>
    <w:uiPriority w:val="0"/>
    <w:pPr>
      <w:ind w:left="0" w:leftChars="0"/>
    </w:pPr>
  </w:style>
  <w:style w:type="paragraph" w:customStyle="1" w:styleId="749">
    <w:name w:val="样式 正文首行缩进 2 + 左侧:  2 字符 首行缩进:  2 字符1"/>
    <w:basedOn w:val="89"/>
    <w:qFormat/>
    <w:uiPriority w:val="0"/>
    <w:pPr>
      <w:spacing w:line="480" w:lineRule="exact"/>
      <w:ind w:left="200" w:firstLine="200"/>
    </w:pPr>
    <w:rPr>
      <w:rFonts w:ascii="Calibri" w:hAnsi="Calibri"/>
      <w:szCs w:val="20"/>
    </w:rPr>
  </w:style>
  <w:style w:type="paragraph" w:customStyle="1" w:styleId="750">
    <w:name w:val="样式 标题 5H5口PIM 5h5Second Subheading5l4dsdd第四层条heading ...1"/>
    <w:basedOn w:val="7"/>
    <w:qFormat/>
    <w:uiPriority w:val="0"/>
    <w:pPr>
      <w:tabs>
        <w:tab w:val="left" w:pos="360"/>
        <w:tab w:val="left" w:pos="1008"/>
      </w:tabs>
      <w:adjustRightInd/>
      <w:spacing w:before="0" w:after="0" w:line="360" w:lineRule="auto"/>
      <w:ind w:left="540" w:hanging="1008"/>
      <w:jc w:val="both"/>
      <w:textAlignment w:val="auto"/>
    </w:pPr>
    <w:rPr>
      <w:rFonts w:eastAsia="方正隶书简体"/>
      <w:b w:val="0"/>
      <w:bCs w:val="0"/>
      <w:kern w:val="2"/>
      <w:sz w:val="24"/>
    </w:rPr>
  </w:style>
  <w:style w:type="paragraph" w:customStyle="1" w:styleId="751">
    <w:name w:val="MM Topic 6"/>
    <w:basedOn w:val="8"/>
    <w:qFormat/>
    <w:uiPriority w:val="0"/>
    <w:pPr>
      <w:numPr>
        <w:ilvl w:val="5"/>
        <w:numId w:val="18"/>
      </w:numPr>
      <w:tabs>
        <w:tab w:val="left" w:pos="2520"/>
      </w:tabs>
      <w:adjustRightInd/>
      <w:spacing w:line="320" w:lineRule="auto"/>
      <w:ind w:left="0" w:firstLine="0"/>
      <w:jc w:val="both"/>
      <w:textAlignment w:val="auto"/>
    </w:pPr>
    <w:rPr>
      <w:kern w:val="2"/>
    </w:rPr>
  </w:style>
  <w:style w:type="paragraph" w:customStyle="1" w:styleId="752">
    <w:name w:val="正文文字缩进"/>
    <w:basedOn w:val="22"/>
    <w:next w:val="22"/>
    <w:qFormat/>
    <w:uiPriority w:val="0"/>
    <w:pPr>
      <w:jc w:val="left"/>
      <w:outlineLvl w:val="9"/>
    </w:pPr>
    <w:rPr>
      <w:rFonts w:ascii="Wingdings" w:hAnsi="Wingdings" w:eastAsia="宋体"/>
      <w:b w:val="0"/>
      <w:kern w:val="0"/>
      <w:sz w:val="24"/>
      <w:szCs w:val="20"/>
    </w:rPr>
  </w:style>
  <w:style w:type="paragraph" w:customStyle="1" w:styleId="753">
    <w:name w:val="xl124"/>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color w:val="000000"/>
      <w:kern w:val="0"/>
      <w:sz w:val="24"/>
      <w:szCs w:val="21"/>
    </w:rPr>
  </w:style>
  <w:style w:type="paragraph" w:customStyle="1" w:styleId="754">
    <w:name w:val="MM Topic 3"/>
    <w:basedOn w:val="5"/>
    <w:qFormat/>
    <w:uiPriority w:val="0"/>
    <w:pPr>
      <w:numPr>
        <w:ilvl w:val="2"/>
        <w:numId w:val="18"/>
      </w:numPr>
      <w:tabs>
        <w:tab w:val="left" w:pos="720"/>
        <w:tab w:val="left" w:pos="1260"/>
      </w:tabs>
      <w:ind w:left="0" w:firstLine="0"/>
    </w:pPr>
    <w:rPr>
      <w:b/>
      <w:bCs/>
    </w:rPr>
  </w:style>
  <w:style w:type="paragraph" w:customStyle="1" w:styleId="755">
    <w:name w:val="样式 正文首正文首行缩进:  2 字符"/>
    <w:basedOn w:val="89"/>
    <w:qFormat/>
    <w:uiPriority w:val="0"/>
    <w:pPr>
      <w:ind w:left="0" w:leftChars="0" w:firstLine="200"/>
    </w:pPr>
    <w:rPr>
      <w:rFonts w:ascii="Calibri" w:hAnsi="Calibri"/>
      <w:szCs w:val="20"/>
    </w:rPr>
  </w:style>
  <w:style w:type="paragraph" w:customStyle="1" w:styleId="756">
    <w:name w:val="正文段"/>
    <w:basedOn w:val="1"/>
    <w:qFormat/>
    <w:uiPriority w:val="0"/>
    <w:pPr>
      <w:widowControl/>
      <w:adjustRightInd w:val="0"/>
      <w:spacing w:after="240" w:line="360" w:lineRule="atLeast"/>
      <w:ind w:firstLine="454" w:firstLineChars="200"/>
      <w:textAlignment w:val="bottom"/>
    </w:pPr>
    <w:rPr>
      <w:kern w:val="0"/>
      <w:sz w:val="24"/>
      <w:szCs w:val="20"/>
    </w:rPr>
  </w:style>
  <w:style w:type="paragraph" w:customStyle="1" w:styleId="757">
    <w:name w:val="题目底注"/>
    <w:basedOn w:val="1"/>
    <w:qFormat/>
    <w:uiPriority w:val="0"/>
    <w:pPr>
      <w:jc w:val="center"/>
    </w:pPr>
    <w:rPr>
      <w:rFonts w:eastAsia="黑体" w:cs="宋体"/>
      <w:b/>
      <w:bCs/>
      <w:szCs w:val="20"/>
    </w:rPr>
  </w:style>
  <w:style w:type="paragraph" w:customStyle="1" w:styleId="758">
    <w:name w:val="附录3（1）"/>
    <w:basedOn w:val="759"/>
    <w:next w:val="316"/>
    <w:qFormat/>
    <w:uiPriority w:val="0"/>
    <w:pPr>
      <w:tabs>
        <w:tab w:val="left" w:pos="851"/>
        <w:tab w:val="left" w:pos="1260"/>
      </w:tabs>
      <w:spacing w:before="50" w:beforeLines="50" w:after="50" w:afterLines="50"/>
    </w:pPr>
    <w:rPr>
      <w:bCs w:val="0"/>
    </w:rPr>
  </w:style>
  <w:style w:type="paragraph" w:customStyle="1" w:styleId="759">
    <w:name w:val="附录3"/>
    <w:basedOn w:val="1"/>
    <w:next w:val="1"/>
    <w:qFormat/>
    <w:locked/>
    <w:uiPriority w:val="0"/>
    <w:pPr>
      <w:outlineLvl w:val="2"/>
    </w:pPr>
    <w:rPr>
      <w:rFonts w:eastAsia="黑体"/>
      <w:b/>
      <w:bCs/>
      <w:sz w:val="32"/>
    </w:rPr>
  </w:style>
  <w:style w:type="paragraph" w:customStyle="1" w:styleId="760">
    <w:name w:val="l18"/>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customStyle="1" w:styleId="761">
    <w:name w:val="Line 1.5"/>
    <w:basedOn w:val="1"/>
    <w:qFormat/>
    <w:uiPriority w:val="0"/>
    <w:pPr>
      <w:widowControl/>
      <w:spacing w:line="360" w:lineRule="auto"/>
      <w:ind w:firstLine="425"/>
      <w:jc w:val="left"/>
    </w:pPr>
    <w:rPr>
      <w:sz w:val="24"/>
      <w:szCs w:val="20"/>
    </w:rPr>
  </w:style>
  <w:style w:type="paragraph" w:customStyle="1" w:styleId="762">
    <w:name w:val="表格文字（居中）"/>
    <w:qFormat/>
    <w:uiPriority w:val="0"/>
    <w:pPr>
      <w:widowControl w:val="0"/>
      <w:adjustRightInd w:val="0"/>
      <w:spacing w:line="360" w:lineRule="auto"/>
      <w:jc w:val="center"/>
    </w:pPr>
    <w:rPr>
      <w:rFonts w:ascii="宋体" w:hAnsi="Times New Roman" w:eastAsia="宋体" w:cs="Times New Roman"/>
      <w:kern w:val="2"/>
      <w:sz w:val="24"/>
      <w:lang w:val="en-US" w:eastAsia="zh-CN" w:bidi="ar-SA"/>
    </w:rPr>
  </w:style>
  <w:style w:type="paragraph" w:customStyle="1" w:styleId="763">
    <w:name w:val="正文页眉"/>
    <w:basedOn w:val="1"/>
    <w:qFormat/>
    <w:uiPriority w:val="0"/>
    <w:pPr>
      <w:pBdr>
        <w:bottom w:val="single" w:color="auto" w:sz="6" w:space="1"/>
      </w:pBdr>
      <w:tabs>
        <w:tab w:val="center" w:pos="4153"/>
        <w:tab w:val="right" w:pos="8306"/>
      </w:tabs>
      <w:snapToGrid w:val="0"/>
      <w:ind w:firstLine="200" w:firstLineChars="200"/>
      <w:jc w:val="center"/>
    </w:pPr>
    <w:rPr>
      <w:sz w:val="18"/>
      <w:szCs w:val="20"/>
    </w:rPr>
  </w:style>
  <w:style w:type="paragraph" w:customStyle="1" w:styleId="764">
    <w:name w:val="Char Char Char Char1"/>
    <w:basedOn w:val="1"/>
    <w:qFormat/>
    <w:uiPriority w:val="0"/>
    <w:pPr>
      <w:spacing w:line="360" w:lineRule="auto"/>
      <w:ind w:firstLine="200" w:firstLineChars="200"/>
      <w:jc w:val="left"/>
    </w:pPr>
    <w:rPr>
      <w:rFonts w:ascii="Tahoma" w:hAnsi="Tahoma"/>
      <w:sz w:val="24"/>
      <w:szCs w:val="20"/>
    </w:rPr>
  </w:style>
  <w:style w:type="paragraph" w:customStyle="1" w:styleId="765">
    <w:name w:val="段落强调1"/>
    <w:qFormat/>
    <w:uiPriority w:val="0"/>
    <w:pPr>
      <w:numPr>
        <w:ilvl w:val="0"/>
        <w:numId w:val="23"/>
      </w:numPr>
      <w:tabs>
        <w:tab w:val="left" w:pos="480"/>
        <w:tab w:val="left" w:pos="2040"/>
        <w:tab w:val="left" w:pos="2100"/>
        <w:tab w:val="clear" w:pos="420"/>
      </w:tabs>
      <w:spacing w:line="300" w:lineRule="auto"/>
      <w:ind w:left="0" w:firstLine="0"/>
      <w:jc w:val="both"/>
    </w:pPr>
    <w:rPr>
      <w:rFonts w:ascii="Times New Roman" w:hAnsi="Times New Roman" w:eastAsia="宋体" w:cs="Times New Roman"/>
      <w:b/>
      <w:sz w:val="28"/>
      <w:lang w:val="en-US" w:eastAsia="zh-CN" w:bidi="ar-SA"/>
    </w:rPr>
  </w:style>
  <w:style w:type="paragraph" w:customStyle="1" w:styleId="766">
    <w:name w:val="xl129"/>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360" w:lineRule="auto"/>
      <w:ind w:firstLine="200" w:firstLineChars="200"/>
      <w:jc w:val="center"/>
    </w:pPr>
    <w:rPr>
      <w:rFonts w:ascii="仿宋_GB2312" w:hAnsi="宋体" w:eastAsia="仿宋_GB2312" w:cs="宋体"/>
      <w:color w:val="000000"/>
      <w:kern w:val="0"/>
      <w:sz w:val="24"/>
      <w:szCs w:val="21"/>
    </w:rPr>
  </w:style>
  <w:style w:type="paragraph" w:customStyle="1" w:styleId="767">
    <w:name w:val="封面标题"/>
    <w:basedOn w:val="1"/>
    <w:qFormat/>
    <w:uiPriority w:val="0"/>
    <w:pPr>
      <w:jc w:val="center"/>
    </w:pPr>
    <w:rPr>
      <w:b/>
      <w:sz w:val="52"/>
      <w:szCs w:val="20"/>
    </w:rPr>
  </w:style>
  <w:style w:type="paragraph" w:customStyle="1" w:styleId="768">
    <w:name w:val="样式 样式 首行缩进:  2 字符 Char + 黑色"/>
    <w:basedOn w:val="1"/>
    <w:qFormat/>
    <w:uiPriority w:val="0"/>
    <w:pPr>
      <w:numPr>
        <w:ilvl w:val="0"/>
        <w:numId w:val="24"/>
      </w:numPr>
      <w:tabs>
        <w:tab w:val="left" w:pos="900"/>
      </w:tabs>
      <w:spacing w:line="360" w:lineRule="auto"/>
      <w:ind w:left="0" w:firstLine="0"/>
    </w:pPr>
    <w:rPr>
      <w:rFonts w:ascii="宋体" w:hAnsi="宋体"/>
      <w:color w:val="000000"/>
      <w:szCs w:val="20"/>
    </w:rPr>
  </w:style>
  <w:style w:type="paragraph" w:customStyle="1" w:styleId="769">
    <w:name w:val="xl1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770">
    <w:name w:val="xl1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18"/>
      <w:szCs w:val="18"/>
    </w:rPr>
  </w:style>
  <w:style w:type="paragraph" w:customStyle="1" w:styleId="771">
    <w:name w:val="标题 6（有编号）（2）"/>
    <w:basedOn w:val="1"/>
    <w:next w:val="1"/>
    <w:qFormat/>
    <w:uiPriority w:val="0"/>
    <w:pPr>
      <w:keepNext/>
      <w:keepLines/>
      <w:spacing w:before="240" w:after="64" w:line="319" w:lineRule="auto"/>
      <w:ind w:left="1247" w:hanging="1247"/>
      <w:jc w:val="left"/>
      <w:outlineLvl w:val="5"/>
    </w:pPr>
    <w:rPr>
      <w:rFonts w:ascii="Arial" w:hAnsi="Arial" w:eastAsia="黑体"/>
      <w:b/>
      <w:kern w:val="0"/>
    </w:rPr>
  </w:style>
  <w:style w:type="paragraph" w:customStyle="1" w:styleId="772">
    <w:name w:val="xl40"/>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center"/>
    </w:pPr>
    <w:rPr>
      <w:rFonts w:eastAsia="Arial Unicode MS"/>
      <w:color w:val="000000"/>
      <w:kern w:val="0"/>
      <w:sz w:val="24"/>
      <w:szCs w:val="20"/>
    </w:rPr>
  </w:style>
  <w:style w:type="paragraph" w:customStyle="1" w:styleId="773">
    <w:name w:val="样式 标题 2 + 宋体 五号 非加粗 黑色"/>
    <w:basedOn w:val="4"/>
    <w:qFormat/>
    <w:uiPriority w:val="0"/>
    <w:pPr>
      <w:widowControl/>
      <w:tabs>
        <w:tab w:val="left" w:pos="576"/>
      </w:tabs>
      <w:spacing w:before="260" w:after="260" w:line="416" w:lineRule="atLeast"/>
      <w:ind w:left="240"/>
      <w:jc w:val="left"/>
      <w:textAlignment w:val="baseline"/>
    </w:pPr>
    <w:rPr>
      <w:rFonts w:ascii="宋体" w:hAnsi="宋体"/>
      <w:b w:val="0"/>
      <w:bCs w:val="0"/>
      <w:color w:val="000000"/>
      <w:kern w:val="0"/>
      <w:sz w:val="21"/>
      <w:szCs w:val="20"/>
    </w:rPr>
  </w:style>
  <w:style w:type="paragraph" w:customStyle="1" w:styleId="774">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Arial Narrow" w:hAnsi="Arial Narrow" w:cs="宋体"/>
      <w:kern w:val="0"/>
      <w:sz w:val="24"/>
      <w:szCs w:val="21"/>
    </w:rPr>
  </w:style>
  <w:style w:type="paragraph" w:customStyle="1" w:styleId="775">
    <w:name w:val="Default Text"/>
    <w:basedOn w:val="1"/>
    <w:qFormat/>
    <w:uiPriority w:val="0"/>
    <w:pPr>
      <w:widowControl/>
      <w:overflowPunct w:val="0"/>
      <w:autoSpaceDE w:val="0"/>
      <w:autoSpaceDN w:val="0"/>
      <w:adjustRightInd w:val="0"/>
      <w:jc w:val="left"/>
      <w:textAlignment w:val="baseline"/>
    </w:pPr>
    <w:rPr>
      <w:rFonts w:eastAsia="PMingLiU"/>
      <w:kern w:val="0"/>
      <w:sz w:val="24"/>
      <w:szCs w:val="20"/>
      <w:lang w:eastAsia="zh-TW"/>
    </w:rPr>
  </w:style>
  <w:style w:type="paragraph" w:customStyle="1" w:styleId="776">
    <w:name w:val="默认段落字体 Para Char Char Char Char"/>
    <w:basedOn w:val="1"/>
    <w:qFormat/>
    <w:uiPriority w:val="0"/>
  </w:style>
  <w:style w:type="paragraph" w:customStyle="1" w:styleId="777">
    <w:name w:val="Char Char Char Char Char Char1 Char"/>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778">
    <w:name w:val="Char Char2 Char Char Char Char Char Char Char Char"/>
    <w:basedOn w:val="1"/>
    <w:qFormat/>
    <w:uiPriority w:val="0"/>
    <w:rPr>
      <w:rFonts w:ascii="Tahoma" w:hAnsi="Tahoma"/>
      <w:sz w:val="24"/>
      <w:szCs w:val="20"/>
    </w:rPr>
  </w:style>
  <w:style w:type="paragraph" w:customStyle="1" w:styleId="779">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4"/>
      <w:szCs w:val="21"/>
    </w:rPr>
  </w:style>
  <w:style w:type="paragraph" w:customStyle="1" w:styleId="780">
    <w:name w:val="text"/>
    <w:basedOn w:val="1"/>
    <w:qFormat/>
    <w:uiPriority w:val="0"/>
    <w:pPr>
      <w:widowControl/>
      <w:adjustRightInd w:val="0"/>
      <w:spacing w:before="100" w:beforeAutospacing="1" w:after="100" w:afterAutospacing="1" w:line="360" w:lineRule="atLeast"/>
      <w:ind w:firstLine="200" w:firstLineChars="200"/>
      <w:jc w:val="left"/>
      <w:textAlignment w:val="baseline"/>
    </w:pPr>
    <w:rPr>
      <w:rFonts w:ascii="ˎ̥" w:hAnsi="ˎ̥"/>
      <w:color w:val="000000"/>
      <w:kern w:val="0"/>
      <w:sz w:val="24"/>
      <w:szCs w:val="20"/>
    </w:rPr>
  </w:style>
  <w:style w:type="paragraph" w:customStyle="1" w:styleId="781">
    <w:name w:val="列出段落3"/>
    <w:basedOn w:val="1"/>
    <w:qFormat/>
    <w:uiPriority w:val="0"/>
    <w:pPr>
      <w:widowControl/>
      <w:spacing w:line="440" w:lineRule="exact"/>
      <w:ind w:firstLine="200" w:firstLineChars="200"/>
    </w:pPr>
    <w:rPr>
      <w:color w:val="000000"/>
      <w:sz w:val="28"/>
    </w:rPr>
  </w:style>
  <w:style w:type="paragraph" w:customStyle="1" w:styleId="782">
    <w:name w:val="表头1"/>
    <w:qFormat/>
    <w:uiPriority w:val="0"/>
    <w:pPr>
      <w:spacing w:before="120"/>
      <w:jc w:val="center"/>
      <w:outlineLvl w:val="0"/>
    </w:pPr>
    <w:rPr>
      <w:rFonts w:ascii="Times New Roman" w:hAnsi="Times New Roman" w:eastAsia="楷体_GB2312" w:cs="Times New Roman"/>
      <w:sz w:val="28"/>
      <w:lang w:val="en-US" w:eastAsia="zh-CN" w:bidi="ar-SA"/>
    </w:rPr>
  </w:style>
  <w:style w:type="paragraph" w:customStyle="1" w:styleId="783">
    <w:name w:val="样式 (西文) 仿宋_GB2312 (中文) 仿宋_GB2312 (符号) 宋体 段前: 0 磅 段后: 0 磅 行距..."/>
    <w:basedOn w:val="1"/>
    <w:qFormat/>
    <w:uiPriority w:val="0"/>
    <w:pPr>
      <w:widowControl/>
      <w:spacing w:line="360" w:lineRule="auto"/>
      <w:jc w:val="left"/>
    </w:pPr>
    <w:rPr>
      <w:rFonts w:ascii="仿宋_GB2312" w:hAnsi="宋体" w:eastAsia="仿宋_GB2312" w:cs="宋体"/>
      <w:kern w:val="0"/>
      <w:sz w:val="24"/>
      <w:szCs w:val="20"/>
      <w:lang w:eastAsia="en-US" w:bidi="en-US"/>
    </w:rPr>
  </w:style>
  <w:style w:type="paragraph" w:customStyle="1" w:styleId="784">
    <w:name w:val="正文（悬挂缩进-3）"/>
    <w:basedOn w:val="1"/>
    <w:qFormat/>
    <w:uiPriority w:val="0"/>
    <w:pPr>
      <w:tabs>
        <w:tab w:val="left" w:pos="964"/>
      </w:tabs>
      <w:adjustRightInd w:val="0"/>
      <w:snapToGrid w:val="0"/>
      <w:spacing w:afterLines="50" w:line="360" w:lineRule="auto"/>
      <w:ind w:left="432"/>
    </w:pPr>
    <w:rPr>
      <w:color w:val="000000"/>
      <w:kern w:val="0"/>
      <w:sz w:val="24"/>
      <w:szCs w:val="20"/>
    </w:rPr>
  </w:style>
  <w:style w:type="paragraph" w:customStyle="1" w:styleId="785">
    <w:name w:val="xl1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仿宋_GB2312" w:hAnsi="宋体" w:eastAsia="仿宋_GB2312" w:cs="宋体"/>
      <w:kern w:val="0"/>
      <w:sz w:val="24"/>
      <w:szCs w:val="21"/>
    </w:rPr>
  </w:style>
  <w:style w:type="paragraph" w:customStyle="1" w:styleId="786">
    <w:name w:val="Item List Char"/>
    <w:qFormat/>
    <w:uiPriority w:val="0"/>
    <w:pPr>
      <w:shd w:val="clear" w:color="000000" w:fill="auto"/>
      <w:tabs>
        <w:tab w:val="left" w:pos="851"/>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787">
    <w:name w:val="xl16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360" w:lineRule="auto"/>
      <w:ind w:firstLine="200" w:firstLineChars="200"/>
      <w:jc w:val="left"/>
    </w:pPr>
    <w:rPr>
      <w:rFonts w:ascii="宋体" w:hAnsi="宋体" w:cs="宋体"/>
      <w:kern w:val="0"/>
      <w:sz w:val="24"/>
      <w:szCs w:val="21"/>
    </w:rPr>
  </w:style>
  <w:style w:type="paragraph" w:customStyle="1" w:styleId="788">
    <w:name w:val="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89">
    <w:name w:val="文本段落强调（1）"/>
    <w:basedOn w:val="382"/>
    <w:next w:val="382"/>
    <w:qFormat/>
    <w:uiPriority w:val="0"/>
    <w:rPr>
      <w:b/>
      <w:u w:val="single"/>
    </w:rPr>
  </w:style>
  <w:style w:type="paragraph" w:customStyle="1" w:styleId="790">
    <w:name w:val="二级条标题"/>
    <w:basedOn w:val="1"/>
    <w:qFormat/>
    <w:uiPriority w:val="0"/>
    <w:rPr>
      <w:szCs w:val="21"/>
    </w:rPr>
  </w:style>
  <w:style w:type="paragraph" w:customStyle="1" w:styleId="791">
    <w:name w:val="xl4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360" w:lineRule="auto"/>
      <w:ind w:firstLine="200" w:firstLineChars="200"/>
      <w:jc w:val="left"/>
      <w:textAlignment w:val="center"/>
    </w:pPr>
    <w:rPr>
      <w:rFonts w:ascii="Arial Unicode MS" w:hAnsi="Arial Unicode MS" w:eastAsia="Arial Unicode MS"/>
      <w:color w:val="000000"/>
      <w:kern w:val="0"/>
      <w:sz w:val="20"/>
      <w:szCs w:val="20"/>
    </w:rPr>
  </w:style>
  <w:style w:type="paragraph" w:customStyle="1" w:styleId="792">
    <w:name w:val="font13"/>
    <w:basedOn w:val="1"/>
    <w:qFormat/>
    <w:uiPriority w:val="0"/>
    <w:pPr>
      <w:widowControl/>
      <w:spacing w:before="100" w:beforeAutospacing="1" w:after="100" w:afterAutospacing="1" w:line="360" w:lineRule="auto"/>
      <w:ind w:firstLine="200" w:firstLineChars="200"/>
      <w:jc w:val="left"/>
    </w:pPr>
    <w:rPr>
      <w:rFonts w:eastAsia="Arial Unicode MS"/>
      <w:b/>
      <w:color w:val="000000"/>
      <w:kern w:val="0"/>
      <w:sz w:val="36"/>
      <w:szCs w:val="20"/>
    </w:rPr>
  </w:style>
  <w:style w:type="paragraph" w:customStyle="1" w:styleId="793">
    <w:name w:val="样式 标题 3 + (西文) Arial (中文) 仿宋_GB2312 四号"/>
    <w:basedOn w:val="5"/>
    <w:qFormat/>
    <w:uiPriority w:val="0"/>
    <w:pPr>
      <w:tabs>
        <w:tab w:val="left" w:pos="720"/>
      </w:tabs>
      <w:adjustRightInd w:val="0"/>
      <w:spacing w:line="416" w:lineRule="atLeast"/>
      <w:ind w:firstLine="200" w:firstLineChars="200"/>
      <w:textAlignment w:val="baseline"/>
    </w:pPr>
    <w:rPr>
      <w:rFonts w:ascii="华文中宋" w:hAnsi="华文中宋" w:eastAsia="华文中宋"/>
      <w:b/>
      <w:kern w:val="0"/>
      <w:sz w:val="30"/>
      <w:szCs w:val="20"/>
    </w:rPr>
  </w:style>
  <w:style w:type="paragraph" w:customStyle="1" w:styleId="794">
    <w:name w:val="Char Char Char Char Char Char Char Char Char Char Char Char Char Char Char Char"/>
    <w:basedOn w:val="1"/>
    <w:qFormat/>
    <w:uiPriority w:val="0"/>
    <w:pPr>
      <w:tabs>
        <w:tab w:val="left" w:pos="360"/>
      </w:tabs>
    </w:pPr>
    <w:rPr>
      <w:sz w:val="24"/>
    </w:rPr>
  </w:style>
  <w:style w:type="paragraph" w:customStyle="1" w:styleId="795">
    <w:name w:val="默认段落字体 Para Char Char Char Char Char Char Char Char Char Char"/>
    <w:basedOn w:val="1"/>
    <w:next w:val="5"/>
    <w:qFormat/>
    <w:uiPriority w:val="0"/>
    <w:pPr>
      <w:autoSpaceDE w:val="0"/>
      <w:autoSpaceDN w:val="0"/>
      <w:adjustRightInd w:val="0"/>
      <w:spacing w:line="360" w:lineRule="auto"/>
      <w:ind w:firstLine="200" w:firstLineChars="200"/>
      <w:jc w:val="left"/>
    </w:pPr>
    <w:rPr>
      <w:sz w:val="24"/>
      <w:szCs w:val="20"/>
    </w:rPr>
  </w:style>
  <w:style w:type="paragraph" w:customStyle="1" w:styleId="796">
    <w:name w:val="样式 正文文字缩进 + Times New Roman"/>
    <w:basedOn w:val="1"/>
    <w:qFormat/>
    <w:uiPriority w:val="0"/>
    <w:pPr>
      <w:spacing w:line="360" w:lineRule="auto"/>
      <w:ind w:firstLine="482"/>
    </w:pPr>
    <w:rPr>
      <w:sz w:val="24"/>
      <w:szCs w:val="20"/>
    </w:rPr>
  </w:style>
  <w:style w:type="paragraph" w:customStyle="1" w:styleId="797">
    <w:name w:val="Indent 1 FL"/>
    <w:basedOn w:val="1"/>
    <w:qFormat/>
    <w:uiPriority w:val="0"/>
    <w:pPr>
      <w:widowControl/>
      <w:tabs>
        <w:tab w:val="left" w:pos="420"/>
        <w:tab w:val="left" w:pos="720"/>
        <w:tab w:val="left" w:pos="1417"/>
        <w:tab w:val="left" w:pos="1616"/>
        <w:tab w:val="left" w:pos="1914"/>
        <w:tab w:val="left" w:pos="2162"/>
        <w:tab w:val="left" w:pos="2411"/>
        <w:tab w:val="left" w:pos="2880"/>
        <w:tab w:val="left" w:pos="3600"/>
        <w:tab w:val="left" w:pos="3685"/>
        <w:tab w:val="left" w:pos="4320"/>
        <w:tab w:val="right" w:pos="4536"/>
        <w:tab w:val="left" w:pos="4819"/>
        <w:tab w:val="left" w:pos="5040"/>
        <w:tab w:val="left" w:pos="5760"/>
        <w:tab w:val="left" w:pos="5952"/>
        <w:tab w:val="left" w:pos="6480"/>
        <w:tab w:val="left" w:pos="7177"/>
        <w:tab w:val="left" w:pos="7920"/>
        <w:tab w:val="left" w:pos="8220"/>
        <w:tab w:val="left" w:pos="864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line="360" w:lineRule="auto"/>
      <w:ind w:left="227" w:hanging="227" w:firstLineChars="200"/>
      <w:jc w:val="left"/>
    </w:pPr>
    <w:rPr>
      <w:rFonts w:ascii="Arial" w:hAnsi="Arial"/>
      <w:spacing w:val="20"/>
      <w:kern w:val="0"/>
      <w:sz w:val="22"/>
      <w:szCs w:val="20"/>
      <w:lang w:val="en-GB" w:eastAsia="en-US"/>
    </w:rPr>
  </w:style>
  <w:style w:type="paragraph" w:customStyle="1" w:styleId="798">
    <w:name w:val="Titresoumission"/>
    <w:basedOn w:val="23"/>
    <w:qFormat/>
    <w:uiPriority w:val="0"/>
    <w:pPr>
      <w:pageBreakBefore/>
      <w:widowControl/>
      <w:tabs>
        <w:tab w:val="left" w:pos="131"/>
        <w:tab w:val="left" w:pos="851"/>
        <w:tab w:val="left" w:pos="1099"/>
        <w:tab w:val="left" w:pos="1348"/>
        <w:tab w:val="left" w:pos="1596"/>
        <w:tab w:val="left" w:pos="2921"/>
        <w:tab w:val="left" w:pos="3500"/>
        <w:tab w:val="left" w:pos="4577"/>
        <w:tab w:val="left" w:pos="5156"/>
        <w:tab w:val="left" w:pos="6316"/>
        <w:tab w:val="left" w:pos="6812"/>
        <w:tab w:val="left" w:pos="7226"/>
        <w:tab w:val="left" w:pos="7654"/>
        <w:tab w:val="left" w:pos="8771"/>
        <w:tab w:val="left" w:pos="9922"/>
        <w:tab w:val="left" w:pos="11056"/>
        <w:tab w:val="left" w:pos="12190"/>
        <w:tab w:val="left" w:pos="13324"/>
        <w:tab w:val="left" w:pos="13811"/>
        <w:tab w:val="left" w:pos="14531"/>
        <w:tab w:val="left" w:pos="15251"/>
        <w:tab w:val="left" w:pos="15971"/>
        <w:tab w:val="left" w:pos="16691"/>
        <w:tab w:val="left" w:pos="17411"/>
        <w:tab w:val="left" w:pos="18131"/>
        <w:tab w:val="left" w:pos="18851"/>
        <w:tab w:val="left" w:pos="19571"/>
      </w:tabs>
      <w:spacing w:before="5160" w:after="120" w:line="480" w:lineRule="auto"/>
      <w:ind w:left="432" w:hanging="432"/>
      <w:outlineLvl w:val="9"/>
    </w:pPr>
    <w:rPr>
      <w:rFonts w:ascii="Times New Roman" w:hAnsi="Times New Roman" w:eastAsia="宋体" w:cs="Arial"/>
      <w:spacing w:val="20"/>
      <w:kern w:val="0"/>
      <w:sz w:val="48"/>
      <w:szCs w:val="20"/>
      <w:lang w:val="en-GB"/>
    </w:rPr>
  </w:style>
  <w:style w:type="paragraph" w:customStyle="1" w:styleId="799">
    <w:name w:val="默认段落字体 Para Char Char Char Char111"/>
    <w:basedOn w:val="1"/>
    <w:qFormat/>
    <w:uiPriority w:val="0"/>
    <w:rPr>
      <w:szCs w:val="20"/>
    </w:rPr>
  </w:style>
  <w:style w:type="paragraph" w:customStyle="1" w:styleId="800">
    <w:name w:val="Content1"/>
    <w:basedOn w:val="88"/>
    <w:qFormat/>
    <w:uiPriority w:val="0"/>
    <w:pPr>
      <w:spacing w:after="0"/>
      <w:ind w:left="284" w:firstLine="0" w:firstLineChars="0"/>
    </w:pPr>
    <w:rPr>
      <w:szCs w:val="20"/>
    </w:rPr>
  </w:style>
  <w:style w:type="paragraph" w:customStyle="1" w:styleId="801">
    <w:name w:val="font15"/>
    <w:basedOn w:val="1"/>
    <w:qFormat/>
    <w:uiPriority w:val="0"/>
    <w:pPr>
      <w:widowControl/>
      <w:spacing w:before="100" w:beforeAutospacing="1" w:after="100" w:afterAutospacing="1" w:line="360" w:lineRule="auto"/>
      <w:ind w:firstLine="200" w:firstLineChars="200"/>
      <w:jc w:val="left"/>
    </w:pPr>
    <w:rPr>
      <w:rFonts w:ascii="宋体" w:hAnsi="宋体" w:cs="宋体"/>
      <w:kern w:val="0"/>
      <w:sz w:val="24"/>
    </w:rPr>
  </w:style>
  <w:style w:type="paragraph" w:customStyle="1" w:styleId="802">
    <w:name w:val="xl1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4"/>
      <w:szCs w:val="21"/>
    </w:rPr>
  </w:style>
  <w:style w:type="paragraph" w:customStyle="1" w:styleId="803">
    <w:name w:val="style22"/>
    <w:basedOn w:val="1"/>
    <w:qFormat/>
    <w:uiPriority w:val="0"/>
    <w:pPr>
      <w:widowControl/>
      <w:spacing w:before="100" w:beforeAutospacing="1" w:after="100" w:afterAutospacing="1" w:line="360" w:lineRule="auto"/>
      <w:ind w:firstLine="200" w:firstLineChars="200"/>
      <w:jc w:val="left"/>
    </w:pPr>
    <w:rPr>
      <w:rFonts w:ascii="Arial" w:hAnsi="Arial" w:cs="Arial"/>
      <w:kern w:val="0"/>
      <w:sz w:val="24"/>
    </w:rPr>
  </w:style>
  <w:style w:type="paragraph" w:customStyle="1" w:styleId="804">
    <w:name w:val="正文（不缩进）"/>
    <w:basedOn w:val="1"/>
    <w:qFormat/>
    <w:uiPriority w:val="0"/>
    <w:pPr>
      <w:tabs>
        <w:tab w:val="left" w:pos="420"/>
      </w:tabs>
      <w:spacing w:line="360" w:lineRule="auto"/>
    </w:pPr>
    <w:rPr>
      <w:szCs w:val="20"/>
    </w:rPr>
  </w:style>
  <w:style w:type="paragraph" w:customStyle="1" w:styleId="805">
    <w:name w:val="样式3"/>
    <w:basedOn w:val="1"/>
    <w:qFormat/>
    <w:uiPriority w:val="0"/>
  </w:style>
  <w:style w:type="paragraph" w:customStyle="1" w:styleId="806">
    <w:name w:val="MM Topic 7"/>
    <w:basedOn w:val="9"/>
    <w:qFormat/>
    <w:uiPriority w:val="0"/>
    <w:pPr>
      <w:numPr>
        <w:ilvl w:val="7"/>
        <w:numId w:val="18"/>
      </w:numPr>
      <w:tabs>
        <w:tab w:val="left" w:pos="3360"/>
      </w:tabs>
      <w:adjustRightInd/>
      <w:spacing w:line="320" w:lineRule="auto"/>
      <w:ind w:left="0" w:right="100" w:rightChars="100" w:firstLine="0"/>
      <w:jc w:val="both"/>
      <w:textAlignment w:val="auto"/>
    </w:pPr>
    <w:rPr>
      <w:kern w:val="2"/>
    </w:rPr>
  </w:style>
  <w:style w:type="paragraph" w:customStyle="1" w:styleId="807">
    <w:name w:val="样式 段落缩进2 小四 + 段前: 15.6 磅"/>
    <w:basedOn w:val="1"/>
    <w:qFormat/>
    <w:uiPriority w:val="0"/>
    <w:pPr>
      <w:spacing w:before="312" w:line="360" w:lineRule="auto"/>
      <w:ind w:firstLine="480" w:firstLineChars="200"/>
    </w:pPr>
    <w:rPr>
      <w:rFonts w:ascii="宋体" w:hAnsi="宋体"/>
      <w:sz w:val="24"/>
      <w:szCs w:val="20"/>
    </w:rPr>
  </w:style>
  <w:style w:type="paragraph" w:customStyle="1" w:styleId="808">
    <w:name w:val="font17"/>
    <w:basedOn w:val="1"/>
    <w:qFormat/>
    <w:uiPriority w:val="0"/>
    <w:pPr>
      <w:widowControl/>
      <w:spacing w:before="100" w:beforeAutospacing="1" w:after="100" w:afterAutospacing="1" w:line="360" w:lineRule="auto"/>
      <w:ind w:firstLine="200" w:firstLineChars="200"/>
      <w:jc w:val="left"/>
    </w:pPr>
    <w:rPr>
      <w:rFonts w:ascii="仿宋_GB2312" w:hAnsi="宋体" w:eastAsia="仿宋_GB2312" w:cs="宋体"/>
      <w:color w:val="000000"/>
      <w:kern w:val="0"/>
      <w:sz w:val="24"/>
      <w:szCs w:val="21"/>
    </w:rPr>
  </w:style>
  <w:style w:type="paragraph" w:customStyle="1" w:styleId="809">
    <w:name w:val="xl3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360" w:lineRule="auto"/>
      <w:ind w:firstLine="200" w:firstLineChars="200"/>
      <w:jc w:val="left"/>
    </w:pPr>
    <w:rPr>
      <w:rFonts w:ascii="Arial Unicode MS" w:hAnsi="Arial Unicode MS" w:eastAsia="Arial Unicode MS"/>
      <w:color w:val="000000"/>
      <w:kern w:val="0"/>
      <w:sz w:val="24"/>
      <w:szCs w:val="20"/>
    </w:rPr>
  </w:style>
  <w:style w:type="paragraph" w:customStyle="1" w:styleId="810">
    <w:name w:val="font14"/>
    <w:basedOn w:val="1"/>
    <w:qFormat/>
    <w:uiPriority w:val="0"/>
    <w:pPr>
      <w:widowControl/>
      <w:spacing w:before="100" w:beforeAutospacing="1" w:after="100" w:afterAutospacing="1" w:line="360" w:lineRule="auto"/>
      <w:ind w:firstLine="200" w:firstLineChars="200"/>
      <w:jc w:val="left"/>
    </w:pPr>
    <w:rPr>
      <w:rFonts w:ascii="宋体" w:hAnsi="宋体" w:cs="宋体"/>
      <w:kern w:val="0"/>
      <w:sz w:val="22"/>
      <w:szCs w:val="22"/>
    </w:rPr>
  </w:style>
  <w:style w:type="paragraph" w:customStyle="1" w:styleId="811">
    <w:name w:val="xl1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Arial Narrow" w:hAnsi="Arial Narrow" w:cs="宋体"/>
      <w:kern w:val="0"/>
      <w:sz w:val="24"/>
      <w:szCs w:val="21"/>
    </w:rPr>
  </w:style>
  <w:style w:type="paragraph" w:customStyle="1" w:styleId="812">
    <w:name w:val="规范正文"/>
    <w:basedOn w:val="1"/>
    <w:qFormat/>
    <w:uiPriority w:val="0"/>
    <w:pPr>
      <w:adjustRightInd w:val="0"/>
      <w:ind w:left="482"/>
      <w:textAlignment w:val="baseline"/>
    </w:pPr>
    <w:rPr>
      <w:kern w:val="0"/>
      <w:sz w:val="24"/>
      <w:szCs w:val="20"/>
    </w:rPr>
  </w:style>
  <w:style w:type="paragraph" w:customStyle="1" w:styleId="813">
    <w:name w:val="文本"/>
    <w:qFormat/>
    <w:uiPriority w:val="0"/>
    <w:pPr>
      <w:spacing w:line="360" w:lineRule="auto"/>
      <w:ind w:firstLine="200" w:firstLineChars="200"/>
    </w:pPr>
    <w:rPr>
      <w:rFonts w:ascii="Times New Roman" w:hAnsi="Times New Roman" w:eastAsia="宋体" w:cs="Times New Roman"/>
      <w:kern w:val="2"/>
      <w:sz w:val="24"/>
      <w:szCs w:val="24"/>
      <w:lang w:val="en-US" w:eastAsia="zh-CN" w:bidi="ar-SA"/>
    </w:rPr>
  </w:style>
  <w:style w:type="paragraph" w:customStyle="1" w:styleId="814">
    <w:name w:val="附录1"/>
    <w:basedOn w:val="1"/>
    <w:next w:val="1"/>
    <w:qFormat/>
    <w:locked/>
    <w:uiPriority w:val="0"/>
    <w:pPr>
      <w:outlineLvl w:val="0"/>
    </w:pPr>
    <w:rPr>
      <w:rFonts w:ascii="黑体" w:hAnsi="黑体" w:eastAsia="黑体"/>
      <w:b/>
      <w:bCs/>
      <w:sz w:val="44"/>
    </w:rPr>
  </w:style>
  <w:style w:type="paragraph" w:customStyle="1" w:styleId="815">
    <w:name w:val="xl4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360" w:lineRule="auto"/>
      <w:ind w:firstLine="200" w:firstLineChars="200"/>
      <w:jc w:val="left"/>
      <w:textAlignment w:val="center"/>
    </w:pPr>
    <w:rPr>
      <w:rFonts w:ascii="Arial Unicode MS" w:hAnsi="Arial Unicode MS" w:eastAsia="Arial Unicode MS"/>
      <w:color w:val="000000"/>
      <w:kern w:val="0"/>
      <w:sz w:val="20"/>
      <w:szCs w:val="20"/>
    </w:rPr>
  </w:style>
  <w:style w:type="paragraph" w:customStyle="1" w:styleId="816">
    <w:name w:val="样式 宋体 五号 行距: 单倍行距"/>
    <w:basedOn w:val="1"/>
    <w:qFormat/>
    <w:uiPriority w:val="0"/>
    <w:rPr>
      <w:rFonts w:hint="eastAsia" w:ascii="仿宋_GB2312" w:hAnsi="宋体" w:eastAsia="仿宋_GB2312"/>
      <w:kern w:val="0"/>
      <w:szCs w:val="20"/>
    </w:rPr>
  </w:style>
  <w:style w:type="paragraph" w:customStyle="1" w:styleId="817">
    <w:name w:val="newscontent"/>
    <w:basedOn w:val="1"/>
    <w:qFormat/>
    <w:uiPriority w:val="0"/>
    <w:pPr>
      <w:widowControl/>
      <w:spacing w:before="100" w:beforeAutospacing="1" w:after="100" w:afterAutospacing="1" w:line="300" w:lineRule="atLeast"/>
      <w:ind w:firstLine="200" w:firstLineChars="200"/>
      <w:jc w:val="left"/>
    </w:pPr>
    <w:rPr>
      <w:rFonts w:ascii="Verdana" w:hAnsi="Verdana" w:eastAsia="Arial Unicode MS"/>
      <w:color w:val="333333"/>
      <w:kern w:val="0"/>
      <w:sz w:val="18"/>
      <w:szCs w:val="20"/>
    </w:rPr>
  </w:style>
  <w:style w:type="paragraph" w:customStyle="1" w:styleId="818">
    <w:name w:val="样式2"/>
    <w:basedOn w:val="7"/>
    <w:qFormat/>
    <w:uiPriority w:val="0"/>
    <w:pPr>
      <w:keepLines w:val="0"/>
      <w:tabs>
        <w:tab w:val="left" w:pos="1008"/>
      </w:tabs>
      <w:spacing w:before="120" w:after="120" w:line="240" w:lineRule="auto"/>
      <w:ind w:left="1008" w:hanging="1008"/>
      <w:textAlignment w:val="auto"/>
    </w:pPr>
    <w:rPr>
      <w:rFonts w:eastAsia="方正隶书简体"/>
      <w:kern w:val="2"/>
      <w:lang w:val="zh-CN"/>
    </w:rPr>
  </w:style>
  <w:style w:type="paragraph" w:customStyle="1" w:styleId="819">
    <w:name w:val="文本框文字"/>
    <w:basedOn w:val="1"/>
    <w:qFormat/>
    <w:uiPriority w:val="0"/>
    <w:pPr>
      <w:spacing w:line="360" w:lineRule="auto"/>
      <w:ind w:firstLine="200" w:firstLineChars="200"/>
      <w:jc w:val="center"/>
    </w:pPr>
    <w:rPr>
      <w:sz w:val="24"/>
      <w:szCs w:val="20"/>
    </w:rPr>
  </w:style>
  <w:style w:type="paragraph" w:customStyle="1" w:styleId="820">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仿宋_GB2312" w:hAnsi="宋体" w:eastAsia="仿宋_GB2312" w:cs="宋体"/>
      <w:color w:val="000000"/>
      <w:kern w:val="0"/>
      <w:sz w:val="24"/>
      <w:szCs w:val="21"/>
    </w:rPr>
  </w:style>
  <w:style w:type="paragraph" w:customStyle="1" w:styleId="821">
    <w:name w:val="仿三"/>
    <w:basedOn w:val="1"/>
    <w:qFormat/>
    <w:uiPriority w:val="0"/>
    <w:pPr>
      <w:adjustRightInd w:val="0"/>
      <w:spacing w:line="360" w:lineRule="auto"/>
      <w:textAlignment w:val="baseline"/>
    </w:pPr>
    <w:rPr>
      <w:rFonts w:ascii="仿宋" w:hAnsi="仿宋" w:eastAsia="仿宋"/>
      <w:kern w:val="0"/>
      <w:sz w:val="32"/>
      <w:szCs w:val="32"/>
    </w:rPr>
  </w:style>
  <w:style w:type="paragraph" w:customStyle="1" w:styleId="8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4"/>
      <w:szCs w:val="21"/>
    </w:rPr>
  </w:style>
  <w:style w:type="paragraph" w:customStyle="1" w:styleId="823">
    <w:name w:val="Paragraphe + tiret"/>
    <w:basedOn w:val="1"/>
    <w:qFormat/>
    <w:uiPriority w:val="0"/>
    <w:pPr>
      <w:widowControl/>
      <w:tabs>
        <w:tab w:val="left" w:pos="113"/>
        <w:tab w:val="left" w:pos="284"/>
        <w:tab w:val="left" w:pos="420"/>
        <w:tab w:val="left" w:pos="993"/>
        <w:tab w:val="left" w:pos="1417"/>
        <w:tab w:val="left" w:pos="1616"/>
        <w:tab w:val="left" w:pos="1914"/>
        <w:tab w:val="left" w:pos="2162"/>
        <w:tab w:val="left" w:pos="2411"/>
        <w:tab w:val="left" w:pos="2880"/>
        <w:tab w:val="left" w:pos="3600"/>
        <w:tab w:val="left" w:pos="3685"/>
        <w:tab w:val="left" w:pos="4320"/>
        <w:tab w:val="right" w:pos="4536"/>
        <w:tab w:val="left" w:pos="4819"/>
        <w:tab w:val="left" w:pos="5040"/>
        <w:tab w:val="left" w:pos="5760"/>
        <w:tab w:val="left" w:pos="5952"/>
        <w:tab w:val="left" w:pos="6480"/>
        <w:tab w:val="left" w:pos="7177"/>
        <w:tab w:val="left" w:pos="7920"/>
        <w:tab w:val="left" w:pos="8220"/>
        <w:tab w:val="left" w:pos="864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line="360" w:lineRule="auto"/>
      <w:ind w:left="737" w:hanging="227" w:firstLineChars="200"/>
      <w:jc w:val="left"/>
    </w:pPr>
    <w:rPr>
      <w:rFonts w:ascii="Arial" w:hAnsi="Arial"/>
      <w:spacing w:val="20"/>
      <w:kern w:val="0"/>
      <w:sz w:val="22"/>
      <w:szCs w:val="20"/>
      <w:lang w:val="en-GB" w:eastAsia="en-US"/>
    </w:rPr>
  </w:style>
  <w:style w:type="paragraph" w:customStyle="1" w:styleId="824">
    <w:name w:val="Chapter No"/>
    <w:basedOn w:val="1"/>
    <w:qFormat/>
    <w:uiPriority w:val="0"/>
    <w:pPr>
      <w:widowControl/>
      <w:spacing w:before="200" w:after="40"/>
      <w:ind w:firstLine="200" w:firstLineChars="200"/>
      <w:jc w:val="left"/>
    </w:pPr>
    <w:rPr>
      <w:rFonts w:ascii="Footlight MT Light" w:hAnsi="Footlight MT Light"/>
      <w:kern w:val="0"/>
      <w:sz w:val="44"/>
      <w:szCs w:val="20"/>
    </w:rPr>
  </w:style>
  <w:style w:type="paragraph" w:customStyle="1" w:styleId="825">
    <w:name w:val="Texte5"/>
    <w:basedOn w:val="7"/>
    <w:next w:val="21"/>
    <w:qFormat/>
    <w:uiPriority w:val="0"/>
    <w:pPr>
      <w:keepNext w:val="0"/>
      <w:keepLines w:val="0"/>
      <w:widowControl/>
      <w:tabs>
        <w:tab w:val="left" w:pos="720"/>
        <w:tab w:val="left" w:pos="1417"/>
        <w:tab w:val="left" w:pos="1616"/>
        <w:tab w:val="left" w:pos="1914"/>
        <w:tab w:val="left" w:pos="2162"/>
        <w:tab w:val="left" w:pos="2411"/>
        <w:tab w:val="left" w:pos="2880"/>
        <w:tab w:val="left" w:pos="3600"/>
        <w:tab w:val="left" w:pos="3685"/>
        <w:tab w:val="left" w:pos="4320"/>
        <w:tab w:val="right" w:pos="4536"/>
        <w:tab w:val="left" w:pos="4819"/>
        <w:tab w:val="left" w:pos="5040"/>
        <w:tab w:val="left" w:pos="5760"/>
        <w:tab w:val="left" w:pos="5952"/>
        <w:tab w:val="left" w:pos="6480"/>
        <w:tab w:val="left" w:pos="7177"/>
        <w:tab w:val="left" w:pos="7920"/>
        <w:tab w:val="left" w:pos="8220"/>
        <w:tab w:val="left" w:pos="864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adjustRightInd/>
      <w:spacing w:before="120" w:after="60" w:line="240" w:lineRule="auto"/>
      <w:ind w:left="1815" w:hanging="708" w:firstLineChars="200"/>
      <w:textAlignment w:val="auto"/>
      <w:outlineLvl w:val="9"/>
    </w:pPr>
    <w:rPr>
      <w:rFonts w:ascii="Arial" w:hAnsi="Arial"/>
      <w:b w:val="0"/>
      <w:bCs w:val="0"/>
      <w:spacing w:val="20"/>
      <w:sz w:val="22"/>
      <w:szCs w:val="20"/>
      <w:lang w:val="fr-FR" w:eastAsia="en-US"/>
    </w:rPr>
  </w:style>
  <w:style w:type="paragraph" w:customStyle="1" w:styleId="826">
    <w:name w:val="表格标注（1）"/>
    <w:basedOn w:val="664"/>
    <w:next w:val="316"/>
    <w:qFormat/>
    <w:uiPriority w:val="0"/>
    <w:pPr>
      <w:numPr>
        <w:ilvl w:val="7"/>
      </w:numPr>
      <w:ind w:left="0" w:firstLine="0"/>
    </w:pPr>
  </w:style>
  <w:style w:type="paragraph" w:customStyle="1" w:styleId="827">
    <w:name w:val="样式 正文缩进 + 首行缩进:  2 字符"/>
    <w:basedOn w:val="21"/>
    <w:qFormat/>
    <w:uiPriority w:val="0"/>
    <w:pPr>
      <w:widowControl w:val="0"/>
      <w:spacing w:line="360" w:lineRule="auto"/>
      <w:ind w:firstLine="200" w:firstLineChars="200"/>
      <w:jc w:val="both"/>
    </w:pPr>
    <w:rPr>
      <w:rFonts w:cs="宋体"/>
      <w:kern w:val="2"/>
      <w:sz w:val="24"/>
    </w:rPr>
  </w:style>
  <w:style w:type="paragraph" w:customStyle="1" w:styleId="828">
    <w:name w:val="sig2"/>
    <w:basedOn w:val="1"/>
    <w:qFormat/>
    <w:uiPriority w:val="0"/>
    <w:pPr>
      <w:widowControl/>
      <w:tabs>
        <w:tab w:val="left" w:pos="4680"/>
        <w:tab w:val="left" w:pos="7632"/>
      </w:tabs>
      <w:spacing w:line="360" w:lineRule="auto"/>
      <w:ind w:left="34" w:hanging="34" w:hangingChars="16"/>
      <w:jc w:val="left"/>
    </w:pPr>
    <w:rPr>
      <w:rFonts w:ascii="Arial" w:hAnsi="Arial" w:eastAsia="PMingLiU"/>
      <w:iCs/>
      <w:kern w:val="0"/>
      <w:sz w:val="24"/>
      <w:szCs w:val="20"/>
      <w:lang w:val="en-AU" w:eastAsia="en-US"/>
    </w:rPr>
  </w:style>
  <w:style w:type="paragraph" w:customStyle="1" w:styleId="829">
    <w:name w:val="样式 qi正文文本 + 左侧:  0.74 厘米"/>
    <w:basedOn w:val="1"/>
    <w:qFormat/>
    <w:uiPriority w:val="0"/>
    <w:pPr>
      <w:spacing w:line="460" w:lineRule="exact"/>
      <w:ind w:firstLine="200" w:firstLineChars="200"/>
      <w:jc w:val="left"/>
    </w:pPr>
    <w:rPr>
      <w:rFonts w:ascii="宋体" w:eastAsia="文星仿宋" w:cs="宋体"/>
      <w:kern w:val="0"/>
      <w:sz w:val="28"/>
      <w:szCs w:val="20"/>
    </w:rPr>
  </w:style>
  <w:style w:type="paragraph" w:customStyle="1" w:styleId="830">
    <w:name w:val="xl2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360" w:lineRule="auto"/>
      <w:ind w:firstLine="200" w:firstLineChars="200"/>
      <w:jc w:val="center"/>
    </w:pPr>
    <w:rPr>
      <w:rFonts w:eastAsia="Arial Unicode MS"/>
      <w:color w:val="000000"/>
      <w:kern w:val="0"/>
      <w:sz w:val="22"/>
      <w:szCs w:val="20"/>
    </w:rPr>
  </w:style>
  <w:style w:type="paragraph" w:customStyle="1" w:styleId="831">
    <w:name w:val="xl11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Arial Narrow" w:hAnsi="Arial Narrow" w:cs="宋体"/>
      <w:kern w:val="0"/>
      <w:sz w:val="24"/>
      <w:szCs w:val="21"/>
    </w:rPr>
  </w:style>
  <w:style w:type="paragraph" w:customStyle="1" w:styleId="832">
    <w:name w:val="xl51"/>
    <w:basedOn w:val="1"/>
    <w:qFormat/>
    <w:uiPriority w:val="0"/>
    <w:pPr>
      <w:widowControl/>
      <w:pBdr>
        <w:top w:val="single" w:color="auto" w:sz="4" w:space="0"/>
        <w:left w:val="single" w:color="auto" w:sz="8" w:space="0"/>
        <w:bottom w:val="single" w:color="auto" w:sz="4" w:space="0"/>
        <w:right w:val="single" w:color="auto" w:sz="4" w:space="0"/>
      </w:pBdr>
      <w:shd w:val="clear" w:color="auto" w:fill="FFFF00"/>
      <w:spacing w:before="100" w:beforeAutospacing="1" w:after="100" w:afterAutospacing="1" w:line="360" w:lineRule="auto"/>
      <w:ind w:firstLine="200" w:firstLineChars="200"/>
      <w:jc w:val="center"/>
      <w:textAlignment w:val="top"/>
    </w:pPr>
    <w:rPr>
      <w:rFonts w:ascii="Arial Unicode MS" w:hAnsi="Arial Unicode MS" w:eastAsia="Arial Unicode MS"/>
      <w:b/>
      <w:color w:val="000000"/>
      <w:kern w:val="0"/>
      <w:sz w:val="20"/>
      <w:szCs w:val="20"/>
    </w:rPr>
  </w:style>
  <w:style w:type="paragraph" w:customStyle="1" w:styleId="833">
    <w:name w:val="Char Char Char Char Char Char Char Char Char Char Char Char Char Char Char Char1"/>
    <w:basedOn w:val="1"/>
    <w:qFormat/>
    <w:uiPriority w:val="0"/>
    <w:pPr>
      <w:tabs>
        <w:tab w:val="left" w:pos="360"/>
      </w:tabs>
    </w:pPr>
    <w:rPr>
      <w:sz w:val="24"/>
      <w:szCs w:val="20"/>
    </w:rPr>
  </w:style>
  <w:style w:type="paragraph" w:customStyle="1" w:styleId="834">
    <w:name w:val="font20"/>
    <w:basedOn w:val="1"/>
    <w:qFormat/>
    <w:uiPriority w:val="0"/>
    <w:pPr>
      <w:widowControl/>
      <w:spacing w:before="100" w:beforeAutospacing="1" w:after="100" w:afterAutospacing="1" w:line="360" w:lineRule="auto"/>
      <w:ind w:firstLine="200" w:firstLineChars="200"/>
      <w:jc w:val="left"/>
    </w:pPr>
    <w:rPr>
      <w:rFonts w:ascii="Calibri" w:hAnsi="Calibri" w:cs="宋体"/>
      <w:color w:val="000000"/>
      <w:kern w:val="0"/>
      <w:sz w:val="24"/>
      <w:szCs w:val="21"/>
    </w:rPr>
  </w:style>
  <w:style w:type="paragraph" w:customStyle="1" w:styleId="835">
    <w:name w:val="MM Topic 5"/>
    <w:basedOn w:val="7"/>
    <w:qFormat/>
    <w:uiPriority w:val="0"/>
    <w:pPr>
      <w:numPr>
        <w:ilvl w:val="4"/>
        <w:numId w:val="18"/>
      </w:numPr>
      <w:tabs>
        <w:tab w:val="left" w:pos="2100"/>
      </w:tabs>
      <w:adjustRightInd/>
      <w:spacing w:line="376" w:lineRule="auto"/>
      <w:ind w:left="0" w:firstLine="0"/>
      <w:jc w:val="both"/>
      <w:textAlignment w:val="auto"/>
    </w:pPr>
    <w:rPr>
      <w:kern w:val="2"/>
    </w:rPr>
  </w:style>
  <w:style w:type="paragraph" w:customStyle="1" w:styleId="836">
    <w:name w:val="xl3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360" w:lineRule="auto"/>
      <w:ind w:firstLine="200" w:firstLineChars="200"/>
      <w:jc w:val="center"/>
    </w:pPr>
    <w:rPr>
      <w:rFonts w:ascii="Arial Unicode MS" w:hAnsi="Arial Unicode MS" w:eastAsia="Arial Unicode MS"/>
      <w:color w:val="000000"/>
      <w:kern w:val="0"/>
      <w:sz w:val="24"/>
      <w:szCs w:val="20"/>
    </w:rPr>
  </w:style>
  <w:style w:type="paragraph" w:customStyle="1" w:styleId="837">
    <w:name w:val="普通正文"/>
    <w:next w:val="79"/>
    <w:qFormat/>
    <w:uiPriority w:val="0"/>
    <w:pPr>
      <w:widowControl w:val="0"/>
      <w:adjustRightInd w:val="0"/>
      <w:spacing w:before="120" w:after="120" w:line="360" w:lineRule="auto"/>
      <w:ind w:firstLine="480"/>
      <w:textAlignment w:val="baseline"/>
    </w:pPr>
    <w:rPr>
      <w:rFonts w:ascii="Arial" w:hAnsi="Arial" w:eastAsia="宋体" w:cs="Times New Roman"/>
      <w:sz w:val="24"/>
      <w:szCs w:val="24"/>
      <w:lang w:val="en-US" w:eastAsia="zh-CN" w:bidi="ar-SA"/>
    </w:rPr>
  </w:style>
  <w:style w:type="paragraph" w:customStyle="1" w:styleId="838">
    <w:name w:val="附录1（1）"/>
    <w:basedOn w:val="814"/>
    <w:next w:val="316"/>
    <w:qFormat/>
    <w:uiPriority w:val="0"/>
    <w:pPr>
      <w:keepNext/>
      <w:keepLines/>
      <w:tabs>
        <w:tab w:val="left" w:pos="397"/>
        <w:tab w:val="left" w:pos="1304"/>
      </w:tabs>
      <w:spacing w:before="480" w:after="100" w:afterLines="100"/>
      <w:ind w:left="420" w:hanging="420"/>
    </w:pPr>
    <w:rPr>
      <w:bCs w:val="0"/>
    </w:rPr>
  </w:style>
  <w:style w:type="paragraph" w:customStyle="1" w:styleId="839">
    <w:name w:val="标题 6（有编号）（1）"/>
    <w:basedOn w:val="631"/>
    <w:next w:val="316"/>
    <w:qFormat/>
    <w:uiPriority w:val="0"/>
    <w:pPr>
      <w:numPr>
        <w:ilvl w:val="5"/>
        <w:numId w:val="12"/>
      </w:numPr>
      <w:spacing w:line="360" w:lineRule="auto"/>
      <w:ind w:left="0" w:firstLine="0"/>
    </w:pPr>
  </w:style>
  <w:style w:type="paragraph" w:customStyle="1" w:styleId="840">
    <w:name w:val="附录2（1）"/>
    <w:basedOn w:val="841"/>
    <w:next w:val="316"/>
    <w:qFormat/>
    <w:uiPriority w:val="0"/>
    <w:pPr>
      <w:tabs>
        <w:tab w:val="left" w:pos="624"/>
        <w:tab w:val="left" w:pos="840"/>
      </w:tabs>
      <w:spacing w:before="50" w:beforeLines="50" w:after="50" w:afterLines="50"/>
    </w:pPr>
    <w:rPr>
      <w:bCs w:val="0"/>
    </w:rPr>
  </w:style>
  <w:style w:type="paragraph" w:customStyle="1" w:styleId="841">
    <w:name w:val="附录2"/>
    <w:basedOn w:val="1"/>
    <w:next w:val="1"/>
    <w:qFormat/>
    <w:locked/>
    <w:uiPriority w:val="0"/>
    <w:pPr>
      <w:outlineLvl w:val="1"/>
    </w:pPr>
    <w:rPr>
      <w:rFonts w:ascii="黑体" w:hAnsi="黑体" w:eastAsia="黑体"/>
      <w:b/>
      <w:bCs/>
      <w:sz w:val="32"/>
    </w:rPr>
  </w:style>
  <w:style w:type="paragraph" w:customStyle="1" w:styleId="842">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4"/>
      <w:szCs w:val="21"/>
    </w:rPr>
  </w:style>
  <w:style w:type="paragraph" w:customStyle="1" w:styleId="843">
    <w:name w:val="Subtstyle"/>
    <w:basedOn w:val="67"/>
    <w:qFormat/>
    <w:uiPriority w:val="0"/>
    <w:pPr>
      <w:widowControl/>
      <w:tabs>
        <w:tab w:val="left" w:pos="720"/>
        <w:tab w:val="left" w:pos="1417"/>
        <w:tab w:val="left" w:pos="1616"/>
        <w:tab w:val="left" w:pos="1914"/>
        <w:tab w:val="left" w:pos="2162"/>
        <w:tab w:val="left" w:pos="2411"/>
        <w:tab w:val="left" w:pos="2880"/>
        <w:tab w:val="left" w:pos="3600"/>
        <w:tab w:val="left" w:pos="3685"/>
        <w:tab w:val="left" w:pos="4320"/>
        <w:tab w:val="right" w:pos="4536"/>
        <w:tab w:val="left" w:pos="4819"/>
        <w:tab w:val="left" w:pos="5040"/>
        <w:tab w:val="left" w:pos="5760"/>
        <w:tab w:val="left" w:pos="5952"/>
        <w:tab w:val="left" w:pos="6480"/>
        <w:tab w:val="left" w:pos="7177"/>
        <w:tab w:val="left" w:pos="7920"/>
        <w:tab w:val="left" w:pos="8220"/>
        <w:tab w:val="left" w:pos="864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0" w:line="360" w:lineRule="auto"/>
      <w:ind w:left="1418" w:firstLine="200" w:firstLineChars="200"/>
      <w:jc w:val="left"/>
      <w:outlineLvl w:val="9"/>
    </w:pPr>
    <w:rPr>
      <w:rFonts w:ascii="Times New Roman" w:hAnsi="Times New Roman" w:cs="Arial"/>
      <w:b w:val="0"/>
      <w:spacing w:val="20"/>
      <w:kern w:val="0"/>
      <w:sz w:val="22"/>
      <w:szCs w:val="20"/>
      <w:lang w:val="fr-FR" w:eastAsia="en-US"/>
    </w:rPr>
  </w:style>
  <w:style w:type="paragraph" w:customStyle="1" w:styleId="844">
    <w:name w:val="列表1"/>
    <w:basedOn w:val="746"/>
    <w:qFormat/>
    <w:uiPriority w:val="0"/>
    <w:pPr>
      <w:tabs>
        <w:tab w:val="left" w:pos="425"/>
        <w:tab w:val="left" w:pos="900"/>
      </w:tabs>
      <w:spacing w:before="0" w:beforeAutospacing="0" w:after="0" w:afterAutospacing="0"/>
      <w:ind w:left="432" w:firstLine="0" w:firstLineChars="0"/>
    </w:pPr>
    <w:rPr>
      <w:kern w:val="0"/>
      <w:lang w:val="zh-CN"/>
    </w:rPr>
  </w:style>
  <w:style w:type="paragraph" w:customStyle="1" w:styleId="845">
    <w:name w:val="xl4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360" w:lineRule="auto"/>
      <w:ind w:firstLine="200" w:firstLineChars="200"/>
      <w:jc w:val="left"/>
      <w:textAlignment w:val="top"/>
    </w:pPr>
    <w:rPr>
      <w:rFonts w:eastAsia="Arial Unicode MS"/>
      <w:kern w:val="0"/>
      <w:sz w:val="20"/>
      <w:szCs w:val="20"/>
    </w:rPr>
  </w:style>
  <w:style w:type="paragraph" w:customStyle="1" w:styleId="846">
    <w:name w:val="四级条标题"/>
    <w:basedOn w:val="1"/>
    <w:qFormat/>
    <w:uiPriority w:val="0"/>
    <w:rPr>
      <w:szCs w:val="21"/>
    </w:rPr>
  </w:style>
  <w:style w:type="paragraph" w:customStyle="1" w:styleId="847">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仿宋_GB2312" w:hAnsi="宋体" w:eastAsia="仿宋_GB2312" w:cs="宋体"/>
      <w:kern w:val="0"/>
      <w:sz w:val="24"/>
      <w:szCs w:val="21"/>
    </w:rPr>
  </w:style>
  <w:style w:type="paragraph" w:customStyle="1" w:styleId="848">
    <w:name w:val="xl1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360" w:lineRule="auto"/>
      <w:ind w:firstLine="200" w:firstLineChars="200"/>
      <w:jc w:val="left"/>
    </w:pPr>
    <w:rPr>
      <w:rFonts w:ascii="仿宋_GB2312" w:hAnsi="宋体" w:eastAsia="仿宋_GB2312" w:cs="宋体"/>
      <w:color w:val="000000"/>
      <w:kern w:val="0"/>
      <w:sz w:val="24"/>
      <w:szCs w:val="21"/>
    </w:rPr>
  </w:style>
  <w:style w:type="paragraph" w:customStyle="1" w:styleId="849">
    <w:name w:val="正文（悬挂缩进-1）"/>
    <w:basedOn w:val="1"/>
    <w:qFormat/>
    <w:uiPriority w:val="0"/>
    <w:pPr>
      <w:spacing w:afterLines="50" w:line="360" w:lineRule="auto"/>
      <w:ind w:left="350" w:leftChars="200" w:hanging="150" w:hangingChars="150"/>
    </w:pPr>
    <w:rPr>
      <w:kern w:val="0"/>
      <w:sz w:val="24"/>
      <w:szCs w:val="20"/>
    </w:rPr>
  </w:style>
  <w:style w:type="paragraph" w:customStyle="1" w:styleId="850">
    <w:name w:val="xl13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360" w:lineRule="auto"/>
      <w:ind w:firstLine="200" w:firstLineChars="200"/>
      <w:jc w:val="center"/>
    </w:pPr>
    <w:rPr>
      <w:rFonts w:ascii="Arial Narrow" w:hAnsi="Arial Narrow" w:cs="宋体"/>
      <w:color w:val="000000"/>
      <w:kern w:val="0"/>
      <w:sz w:val="24"/>
      <w:szCs w:val="21"/>
    </w:rPr>
  </w:style>
  <w:style w:type="paragraph" w:customStyle="1" w:styleId="851">
    <w:name w:val="xl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360" w:lineRule="auto"/>
      <w:ind w:firstLine="200" w:firstLineChars="200"/>
      <w:jc w:val="center"/>
    </w:pPr>
    <w:rPr>
      <w:rFonts w:ascii="Arial Unicode MS" w:hAnsi="Arial Unicode MS" w:eastAsia="Arial Unicode MS"/>
      <w:color w:val="000000"/>
      <w:kern w:val="0"/>
      <w:sz w:val="22"/>
      <w:szCs w:val="20"/>
    </w:rPr>
  </w:style>
  <w:style w:type="paragraph" w:customStyle="1" w:styleId="852">
    <w:name w:val="标题 5（有编号）（2）"/>
    <w:basedOn w:val="1"/>
    <w:next w:val="1"/>
    <w:qFormat/>
    <w:uiPriority w:val="0"/>
    <w:pPr>
      <w:keepNext/>
      <w:keepLines/>
      <w:spacing w:before="280" w:after="156" w:line="377" w:lineRule="auto"/>
      <w:ind w:left="1134" w:hanging="1134"/>
      <w:jc w:val="left"/>
      <w:outlineLvl w:val="4"/>
    </w:pPr>
    <w:rPr>
      <w:rFonts w:ascii="Arial" w:hAnsi="Arial" w:eastAsia="黑体"/>
      <w:b/>
      <w:kern w:val="0"/>
      <w:sz w:val="24"/>
      <w:szCs w:val="28"/>
    </w:rPr>
  </w:style>
  <w:style w:type="paragraph" w:customStyle="1" w:styleId="853">
    <w:name w:val="样式6"/>
    <w:basedOn w:val="77"/>
    <w:qFormat/>
    <w:uiPriority w:val="0"/>
    <w:pPr>
      <w:tabs>
        <w:tab w:val="left" w:pos="1200"/>
      </w:tabs>
      <w:spacing w:line="240" w:lineRule="auto"/>
      <w:ind w:left="272" w:leftChars="100" w:right="120" w:hanging="172"/>
      <w:jc w:val="left"/>
    </w:pPr>
    <w:rPr>
      <w:rFonts w:eastAsia="宋体"/>
      <w:b w:val="0"/>
      <w:smallCaps/>
      <w:sz w:val="20"/>
      <w:szCs w:val="20"/>
    </w:rPr>
  </w:style>
  <w:style w:type="paragraph" w:customStyle="1" w:styleId="854">
    <w:name w:val="目录（1）"/>
    <w:basedOn w:val="316"/>
    <w:qFormat/>
    <w:uiPriority w:val="0"/>
    <w:pPr>
      <w:spacing w:after="156"/>
      <w:jc w:val="center"/>
    </w:pPr>
    <w:rPr>
      <w:rFonts w:eastAsia="黑体"/>
      <w:b/>
      <w:sz w:val="44"/>
    </w:rPr>
  </w:style>
  <w:style w:type="paragraph" w:customStyle="1" w:styleId="855">
    <w:name w:val="标书正文格式"/>
    <w:qFormat/>
    <w:uiPriority w:val="0"/>
    <w:pPr>
      <w:spacing w:line="360" w:lineRule="auto"/>
      <w:ind w:firstLine="200" w:firstLineChars="200"/>
    </w:pPr>
    <w:rPr>
      <w:rFonts w:ascii="Times New Roman" w:hAnsi="Times New Roman" w:eastAsia="楷体_GB2312" w:cs="Times New Roman"/>
      <w:kern w:val="2"/>
      <w:sz w:val="24"/>
      <w:lang w:val="en-US" w:eastAsia="zh-CN" w:bidi="ar-SA"/>
    </w:rPr>
  </w:style>
  <w:style w:type="paragraph" w:customStyle="1" w:styleId="856">
    <w:name w:val="文档属性（绿盟科技）"/>
    <w:basedOn w:val="655"/>
    <w:qFormat/>
    <w:uiPriority w:val="0"/>
    <w:pPr>
      <w:framePr w:wrap="around"/>
      <w:ind w:left="50" w:leftChars="50"/>
    </w:pPr>
    <w:rPr>
      <w:b w:val="0"/>
    </w:rPr>
  </w:style>
  <w:style w:type="paragraph" w:customStyle="1" w:styleId="857">
    <w:name w:val="正文文本缩进 21"/>
    <w:basedOn w:val="1"/>
    <w:qFormat/>
    <w:uiPriority w:val="0"/>
    <w:pPr>
      <w:spacing w:line="360" w:lineRule="auto"/>
      <w:ind w:firstLine="480" w:firstLineChars="200"/>
    </w:pPr>
    <w:rPr>
      <w:rFonts w:ascii="宋体" w:hAnsi="宋体"/>
      <w:kern w:val="0"/>
      <w:sz w:val="24"/>
    </w:rPr>
  </w:style>
  <w:style w:type="paragraph" w:customStyle="1" w:styleId="858">
    <w:name w:val="tabletext12"/>
    <w:basedOn w:val="1"/>
    <w:qFormat/>
    <w:uiPriority w:val="0"/>
    <w:pPr>
      <w:adjustRightInd w:val="0"/>
      <w:snapToGrid w:val="0"/>
      <w:spacing w:before="60" w:after="60"/>
      <w:textAlignment w:val="baseline"/>
    </w:pPr>
    <w:rPr>
      <w:rFonts w:ascii="Arial" w:hAnsi="Arial"/>
      <w:kern w:val="0"/>
      <w:sz w:val="20"/>
      <w:szCs w:val="20"/>
    </w:rPr>
  </w:style>
  <w:style w:type="paragraph" w:customStyle="1" w:styleId="859">
    <w:name w:val="样式 样式 正文首行缩进 2 + 左侧:  2 字符 首行缩进:  2 字符1 + 左侧:  2 字符 首行缩进:  2 字符"/>
    <w:basedOn w:val="749"/>
    <w:qFormat/>
    <w:uiPriority w:val="0"/>
    <w:pPr>
      <w:ind w:left="0" w:leftChars="0"/>
    </w:pPr>
  </w:style>
  <w:style w:type="paragraph" w:customStyle="1" w:styleId="860">
    <w:name w:val="MM Topic 1"/>
    <w:basedOn w:val="3"/>
    <w:qFormat/>
    <w:uiPriority w:val="0"/>
    <w:pPr>
      <w:keepLines/>
      <w:numPr>
        <w:ilvl w:val="0"/>
        <w:numId w:val="18"/>
      </w:numPr>
      <w:tabs>
        <w:tab w:val="left" w:pos="432"/>
        <w:tab w:val="left" w:pos="720"/>
      </w:tabs>
      <w:spacing w:before="340" w:after="330" w:line="578" w:lineRule="auto"/>
      <w:ind w:left="0" w:firstLine="0"/>
      <w:jc w:val="both"/>
    </w:pPr>
    <w:rPr>
      <w:rFonts w:ascii="Times New Roman" w:hAnsi="Times New Roman" w:eastAsia="宋体" w:cs="Times New Roman"/>
      <w:kern w:val="44"/>
      <w:sz w:val="44"/>
      <w:szCs w:val="44"/>
    </w:rPr>
  </w:style>
  <w:style w:type="paragraph" w:customStyle="1" w:styleId="861">
    <w:name w:val="xl13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360" w:lineRule="auto"/>
      <w:ind w:firstLine="200" w:firstLineChars="200"/>
      <w:jc w:val="left"/>
    </w:pPr>
    <w:rPr>
      <w:rFonts w:ascii="仿宋_GB2312" w:hAnsi="宋体" w:eastAsia="仿宋_GB2312" w:cs="宋体"/>
      <w:color w:val="000000"/>
      <w:kern w:val="0"/>
      <w:sz w:val="24"/>
      <w:szCs w:val="21"/>
    </w:rPr>
  </w:style>
  <w:style w:type="paragraph" w:customStyle="1" w:styleId="862">
    <w:name w:val="xl6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360" w:lineRule="auto"/>
      <w:ind w:firstLine="200" w:firstLineChars="200"/>
      <w:jc w:val="right"/>
      <w:textAlignment w:val="top"/>
    </w:pPr>
    <w:rPr>
      <w:rFonts w:ascii="Arial Unicode MS" w:hAnsi="Arial Unicode MS" w:eastAsia="Arial Unicode MS"/>
      <w:kern w:val="0"/>
      <w:sz w:val="20"/>
      <w:szCs w:val="20"/>
    </w:rPr>
  </w:style>
  <w:style w:type="paragraph" w:customStyle="1" w:styleId="863">
    <w:name w:val="font19"/>
    <w:basedOn w:val="1"/>
    <w:qFormat/>
    <w:uiPriority w:val="0"/>
    <w:pPr>
      <w:widowControl/>
      <w:spacing w:before="100" w:beforeAutospacing="1" w:after="100" w:afterAutospacing="1" w:line="360" w:lineRule="auto"/>
      <w:ind w:firstLine="200" w:firstLineChars="200"/>
      <w:jc w:val="left"/>
    </w:pPr>
    <w:rPr>
      <w:rFonts w:ascii="宋体" w:hAnsi="宋体" w:cs="宋体"/>
      <w:color w:val="000000"/>
      <w:kern w:val="0"/>
      <w:sz w:val="24"/>
      <w:szCs w:val="21"/>
    </w:rPr>
  </w:style>
  <w:style w:type="paragraph" w:customStyle="1" w:styleId="864">
    <w:name w:val="默认段落字体 Para Char"/>
    <w:basedOn w:val="1"/>
    <w:qFormat/>
    <w:uiPriority w:val="0"/>
    <w:rPr>
      <w:rFonts w:ascii="Tahoma" w:hAnsi="Tahoma"/>
      <w:sz w:val="24"/>
      <w:szCs w:val="20"/>
    </w:rPr>
  </w:style>
  <w:style w:type="paragraph" w:customStyle="1" w:styleId="865">
    <w:name w:val="段落正文 Char Char"/>
    <w:basedOn w:val="1"/>
    <w:qFormat/>
    <w:uiPriority w:val="0"/>
    <w:pPr>
      <w:spacing w:line="360" w:lineRule="auto"/>
      <w:ind w:firstLine="461" w:firstLineChars="192"/>
    </w:pPr>
    <w:rPr>
      <w:rFonts w:hAnsi="宋体"/>
      <w:sz w:val="24"/>
    </w:rPr>
  </w:style>
  <w:style w:type="paragraph" w:customStyle="1" w:styleId="866">
    <w:name w:val="样式 正文首行缩进 2 + 小四 首行缩进:  2 字符2"/>
    <w:basedOn w:val="89"/>
    <w:qFormat/>
    <w:uiPriority w:val="0"/>
    <w:pPr>
      <w:spacing w:line="360" w:lineRule="auto"/>
      <w:ind w:firstLine="480"/>
    </w:pPr>
    <w:rPr>
      <w:sz w:val="24"/>
      <w:szCs w:val="20"/>
    </w:rPr>
  </w:style>
  <w:style w:type="paragraph" w:customStyle="1" w:styleId="867">
    <w:name w:val="正文标准样式ty Char"/>
    <w:basedOn w:val="1"/>
    <w:qFormat/>
    <w:uiPriority w:val="0"/>
    <w:pPr>
      <w:spacing w:line="360" w:lineRule="auto"/>
      <w:ind w:firstLine="480" w:firstLineChars="200"/>
    </w:pPr>
    <w:rPr>
      <w:rFonts w:cs="宋体"/>
      <w:sz w:val="24"/>
      <w:szCs w:val="20"/>
    </w:rPr>
  </w:style>
  <w:style w:type="paragraph" w:customStyle="1" w:styleId="868">
    <w:name w:val="MM Topic 4"/>
    <w:basedOn w:val="6"/>
    <w:qFormat/>
    <w:uiPriority w:val="0"/>
    <w:pPr>
      <w:numPr>
        <w:ilvl w:val="3"/>
        <w:numId w:val="18"/>
      </w:numPr>
      <w:tabs>
        <w:tab w:val="left" w:pos="864"/>
        <w:tab w:val="left" w:pos="1680"/>
      </w:tabs>
      <w:ind w:left="0" w:firstLine="0"/>
    </w:pPr>
  </w:style>
  <w:style w:type="paragraph" w:customStyle="1" w:styleId="869">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870">
    <w:name w:val="Texte4"/>
    <w:basedOn w:val="6"/>
    <w:qFormat/>
    <w:uiPriority w:val="0"/>
    <w:pPr>
      <w:keepLines w:val="0"/>
      <w:widowControl/>
      <w:tabs>
        <w:tab w:val="left" w:pos="425"/>
        <w:tab w:val="left" w:pos="697"/>
        <w:tab w:val="left" w:pos="864"/>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ind w:left="1304" w:hanging="284" w:firstLineChars="200"/>
      <w:jc w:val="left"/>
      <w:outlineLvl w:val="9"/>
    </w:pPr>
    <w:rPr>
      <w:rFonts w:eastAsia="宋体"/>
      <w:bCs w:val="0"/>
      <w:spacing w:val="20"/>
      <w:kern w:val="0"/>
      <w:sz w:val="22"/>
      <w:szCs w:val="20"/>
      <w:lang w:val="fr-FR" w:eastAsia="en-US"/>
    </w:rPr>
  </w:style>
  <w:style w:type="paragraph" w:customStyle="1" w:styleId="871">
    <w:name w:val="正文左侧缩进（1）"/>
    <w:basedOn w:val="316"/>
    <w:qFormat/>
    <w:uiPriority w:val="0"/>
    <w:pPr>
      <w:spacing w:after="50"/>
      <w:ind w:left="200" w:leftChars="200"/>
    </w:pPr>
  </w:style>
  <w:style w:type="paragraph" w:customStyle="1" w:styleId="872">
    <w:name w:val="页脚页码（1）"/>
    <w:basedOn w:val="58"/>
    <w:qFormat/>
    <w:uiPriority w:val="0"/>
    <w:pPr>
      <w:framePr w:w="703" w:wrap="around" w:vAnchor="text" w:hAnchor="page" w:x="5598" w:y="247"/>
      <w:widowControl/>
      <w:jc w:val="center"/>
    </w:pPr>
    <w:rPr>
      <w:rFonts w:ascii="Arial" w:hAnsi="Arial"/>
      <w:kern w:val="0"/>
    </w:rPr>
  </w:style>
  <w:style w:type="paragraph" w:customStyle="1" w:styleId="873">
    <w:name w:val="a14"/>
    <w:basedOn w:val="1"/>
    <w:qFormat/>
    <w:uiPriority w:val="0"/>
    <w:pPr>
      <w:widowControl/>
      <w:spacing w:before="100" w:beforeAutospacing="1" w:after="100" w:afterAutospacing="1" w:line="300" w:lineRule="atLeast"/>
      <w:ind w:firstLine="375"/>
      <w:jc w:val="left"/>
    </w:pPr>
    <w:rPr>
      <w:rFonts w:ascii="宋体" w:hAnsi="宋体"/>
      <w:kern w:val="0"/>
      <w:szCs w:val="21"/>
    </w:rPr>
  </w:style>
  <w:style w:type="paragraph" w:customStyle="1" w:styleId="874">
    <w:name w:val="样式 样式 样式 首行缩进:  2.2 字符 + 首行缩进:  2.2 字符 + 居中 段前: 7.8 磅"/>
    <w:basedOn w:val="644"/>
    <w:qFormat/>
    <w:uiPriority w:val="0"/>
    <w:pPr>
      <w:spacing w:before="156"/>
      <w:ind w:firstLine="0" w:firstLineChars="0"/>
      <w:jc w:val="center"/>
    </w:pPr>
  </w:style>
  <w:style w:type="paragraph" w:customStyle="1" w:styleId="875">
    <w:name w:val="目录 2（1）"/>
    <w:basedOn w:val="77"/>
    <w:qFormat/>
    <w:uiPriority w:val="0"/>
    <w:pPr>
      <w:widowControl/>
      <w:tabs>
        <w:tab w:val="left" w:pos="840"/>
        <w:tab w:val="right" w:leader="dot" w:pos="8494"/>
      </w:tabs>
      <w:spacing w:after="156"/>
      <w:ind w:left="210" w:leftChars="0"/>
      <w:jc w:val="left"/>
    </w:pPr>
    <w:rPr>
      <w:rFonts w:ascii="Calibri" w:hAnsi="Calibri" w:eastAsia="宋体"/>
      <w:b w:val="0"/>
      <w:smallCaps/>
      <w:kern w:val="0"/>
      <w:sz w:val="20"/>
      <w:szCs w:val="20"/>
    </w:rPr>
  </w:style>
  <w:style w:type="paragraph" w:customStyle="1" w:styleId="876">
    <w:name w:val="样式 样式 正文首行缩进 2 + 首行缩进:  2 字符1 + 左侧:  2 字符 首行缩进:  2 字符"/>
    <w:basedOn w:val="1"/>
    <w:qFormat/>
    <w:uiPriority w:val="0"/>
    <w:pPr>
      <w:spacing w:after="120" w:line="360" w:lineRule="auto"/>
      <w:ind w:firstLine="200" w:firstLineChars="200"/>
    </w:pPr>
    <w:rPr>
      <w:sz w:val="24"/>
      <w:szCs w:val="20"/>
    </w:rPr>
  </w:style>
  <w:style w:type="paragraph" w:customStyle="1" w:styleId="877">
    <w:name w:val="插图标注（2）"/>
    <w:next w:val="1"/>
    <w:qFormat/>
    <w:uiPriority w:val="0"/>
    <w:pPr>
      <w:spacing w:after="156"/>
      <w:jc w:val="center"/>
    </w:pPr>
    <w:rPr>
      <w:rFonts w:ascii="Arial" w:hAnsi="Arial" w:eastAsia="宋体" w:cs="Arial"/>
      <w:sz w:val="21"/>
      <w:szCs w:val="21"/>
      <w:lang w:val="en-US" w:eastAsia="zh-CN" w:bidi="ar-SA"/>
    </w:rPr>
  </w:style>
  <w:style w:type="paragraph" w:customStyle="1" w:styleId="878">
    <w:name w:val="Char Char Char Char Char Char Char Char Char Char Char Char Char Char Char Char21"/>
    <w:basedOn w:val="1"/>
    <w:qFormat/>
    <w:uiPriority w:val="0"/>
    <w:pPr>
      <w:tabs>
        <w:tab w:val="left" w:pos="360"/>
      </w:tabs>
    </w:pPr>
    <w:rPr>
      <w:sz w:val="24"/>
    </w:rPr>
  </w:style>
  <w:style w:type="paragraph" w:customStyle="1" w:styleId="879">
    <w:name w:val="Heading 21"/>
    <w:basedOn w:val="1"/>
    <w:qFormat/>
    <w:uiPriority w:val="0"/>
    <w:pPr>
      <w:widowControl/>
      <w:tabs>
        <w:tab w:val="left" w:pos="720"/>
        <w:tab w:val="left" w:pos="1417"/>
        <w:tab w:val="left" w:pos="1616"/>
        <w:tab w:val="left" w:pos="1914"/>
        <w:tab w:val="left" w:pos="2162"/>
        <w:tab w:val="left" w:pos="2411"/>
        <w:tab w:val="left" w:pos="2880"/>
        <w:tab w:val="left" w:pos="3600"/>
        <w:tab w:val="left" w:pos="3685"/>
        <w:tab w:val="left" w:pos="4320"/>
        <w:tab w:val="right" w:pos="4536"/>
        <w:tab w:val="left" w:pos="4819"/>
        <w:tab w:val="left" w:pos="5040"/>
        <w:tab w:val="left" w:pos="5760"/>
        <w:tab w:val="left" w:pos="5952"/>
        <w:tab w:val="left" w:pos="6480"/>
        <w:tab w:val="left" w:pos="7177"/>
        <w:tab w:val="left" w:pos="7920"/>
        <w:tab w:val="left" w:pos="8220"/>
        <w:tab w:val="left" w:pos="864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360" w:line="280" w:lineRule="exact"/>
      <w:ind w:hanging="640" w:firstLineChars="200"/>
      <w:jc w:val="left"/>
    </w:pPr>
    <w:rPr>
      <w:rFonts w:ascii="Arial" w:hAnsi="Arial"/>
      <w:b/>
      <w:spacing w:val="20"/>
      <w:kern w:val="0"/>
      <w:sz w:val="22"/>
      <w:szCs w:val="20"/>
      <w:lang w:val="en-GB" w:eastAsia="en-US"/>
    </w:rPr>
  </w:style>
  <w:style w:type="paragraph" w:customStyle="1" w:styleId="880">
    <w:name w:val="xl53"/>
    <w:basedOn w:val="1"/>
    <w:qFormat/>
    <w:uiPriority w:val="0"/>
    <w:pPr>
      <w:widowControl/>
      <w:pBdr>
        <w:top w:val="single" w:color="auto" w:sz="4" w:space="0"/>
        <w:left w:val="single" w:color="auto" w:sz="8" w:space="0"/>
        <w:bottom w:val="single" w:color="auto" w:sz="4" w:space="0"/>
        <w:right w:val="single" w:color="auto" w:sz="4" w:space="0"/>
      </w:pBdr>
      <w:shd w:val="clear" w:color="auto" w:fill="FFFFFF"/>
      <w:spacing w:before="100" w:beforeAutospacing="1" w:after="100" w:afterAutospacing="1" w:line="360" w:lineRule="auto"/>
      <w:ind w:firstLine="200" w:firstLineChars="200"/>
      <w:jc w:val="center"/>
      <w:textAlignment w:val="top"/>
    </w:pPr>
    <w:rPr>
      <w:rFonts w:ascii="Arial Unicode MS" w:hAnsi="Arial Unicode MS" w:eastAsia="Arial Unicode MS"/>
      <w:kern w:val="0"/>
      <w:sz w:val="20"/>
      <w:szCs w:val="20"/>
    </w:rPr>
  </w:style>
  <w:style w:type="paragraph" w:customStyle="1" w:styleId="881">
    <w:name w:val="Style5"/>
    <w:basedOn w:val="669"/>
    <w:qFormat/>
    <w:uiPriority w:val="0"/>
  </w:style>
  <w:style w:type="paragraph" w:customStyle="1" w:styleId="882">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仿宋_GB2312" w:hAnsi="宋体" w:eastAsia="仿宋_GB2312" w:cs="宋体"/>
      <w:kern w:val="0"/>
      <w:sz w:val="24"/>
      <w:szCs w:val="21"/>
    </w:rPr>
  </w:style>
  <w:style w:type="paragraph" w:customStyle="1" w:styleId="883">
    <w:name w:val="xl5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360" w:lineRule="auto"/>
      <w:ind w:firstLine="200" w:firstLineChars="200"/>
      <w:jc w:val="right"/>
      <w:textAlignment w:val="top"/>
    </w:pPr>
    <w:rPr>
      <w:rFonts w:ascii="Arial Unicode MS" w:hAnsi="Arial Unicode MS" w:eastAsia="Arial Unicode MS"/>
      <w:kern w:val="0"/>
      <w:sz w:val="20"/>
      <w:szCs w:val="20"/>
    </w:rPr>
  </w:style>
  <w:style w:type="paragraph" w:customStyle="1" w:styleId="884">
    <w:name w:val="xl13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360" w:lineRule="auto"/>
      <w:ind w:firstLine="200" w:firstLineChars="200"/>
      <w:textAlignment w:val="bottom"/>
    </w:pPr>
    <w:rPr>
      <w:rFonts w:ascii="仿宋_GB2312" w:hAnsi="宋体" w:eastAsia="仿宋_GB2312" w:cs="宋体"/>
      <w:color w:val="000000"/>
      <w:kern w:val="0"/>
      <w:sz w:val="24"/>
      <w:szCs w:val="21"/>
    </w:rPr>
  </w:style>
  <w:style w:type="paragraph" w:customStyle="1" w:styleId="885">
    <w:name w:val="xl54"/>
    <w:basedOn w:val="1"/>
    <w:qFormat/>
    <w:uiPriority w:val="0"/>
    <w:pPr>
      <w:widowControl/>
      <w:pBdr>
        <w:top w:val="single" w:color="auto" w:sz="4" w:space="0"/>
        <w:left w:val="single" w:color="auto" w:sz="8" w:space="0"/>
        <w:right w:val="single" w:color="auto" w:sz="4" w:space="0"/>
      </w:pBdr>
      <w:shd w:val="clear" w:color="auto" w:fill="FFFFFF"/>
      <w:spacing w:before="100" w:beforeAutospacing="1" w:after="100" w:afterAutospacing="1" w:line="360" w:lineRule="auto"/>
      <w:ind w:firstLine="200" w:firstLineChars="200"/>
      <w:jc w:val="center"/>
      <w:textAlignment w:val="top"/>
    </w:pPr>
    <w:rPr>
      <w:rFonts w:ascii="Arial Unicode MS" w:hAnsi="Arial Unicode MS" w:eastAsia="Arial Unicode MS"/>
      <w:color w:val="000000"/>
      <w:kern w:val="0"/>
      <w:sz w:val="20"/>
      <w:szCs w:val="20"/>
    </w:rPr>
  </w:style>
  <w:style w:type="paragraph" w:customStyle="1" w:styleId="886">
    <w:name w:val="表"/>
    <w:basedOn w:val="1"/>
    <w:qFormat/>
    <w:uiPriority w:val="0"/>
    <w:pPr>
      <w:tabs>
        <w:tab w:val="left" w:pos="720"/>
        <w:tab w:val="left" w:pos="780"/>
      </w:tabs>
      <w:spacing w:line="360" w:lineRule="atLeast"/>
      <w:ind w:left="432" w:firstLine="200" w:firstLineChars="200"/>
      <w:jc w:val="center"/>
      <w:textAlignment w:val="baseline"/>
    </w:pPr>
    <w:rPr>
      <w:rFonts w:ascii="Abadi MT Condensed Light" w:hAnsi="Abadi MT Condensed Light"/>
      <w:b/>
      <w:color w:val="000000"/>
      <w:kern w:val="0"/>
      <w:sz w:val="24"/>
      <w:szCs w:val="20"/>
    </w:rPr>
  </w:style>
  <w:style w:type="paragraph" w:customStyle="1" w:styleId="887">
    <w:name w:val="xl144"/>
    <w:basedOn w:val="1"/>
    <w:qFormat/>
    <w:uiPriority w:val="0"/>
    <w:pPr>
      <w:widowControl/>
      <w:spacing w:before="100" w:beforeAutospacing="1" w:after="100" w:afterAutospacing="1" w:line="360" w:lineRule="auto"/>
      <w:ind w:firstLine="200" w:firstLineChars="200"/>
      <w:jc w:val="center"/>
    </w:pPr>
    <w:rPr>
      <w:rFonts w:ascii="宋体" w:hAnsi="宋体" w:cs="宋体"/>
      <w:kern w:val="0"/>
      <w:sz w:val="24"/>
    </w:rPr>
  </w:style>
  <w:style w:type="paragraph" w:customStyle="1" w:styleId="888">
    <w:name w:val="xl128"/>
    <w:basedOn w:val="1"/>
    <w:qFormat/>
    <w:uiPriority w:val="0"/>
    <w:pPr>
      <w:widowControl/>
      <w:pBdr>
        <w:top w:val="single" w:color="auto" w:sz="8" w:space="0"/>
        <w:left w:val="single" w:color="auto" w:sz="4" w:space="0"/>
        <w:bottom w:val="single" w:color="auto" w:sz="4" w:space="0"/>
        <w:right w:val="single" w:color="auto" w:sz="8" w:space="0"/>
      </w:pBdr>
      <w:shd w:val="clear" w:color="000000" w:fill="FFCC00"/>
      <w:spacing w:before="100" w:beforeAutospacing="1" w:after="100" w:afterAutospacing="1" w:line="360" w:lineRule="auto"/>
      <w:ind w:firstLine="200" w:firstLineChars="200"/>
      <w:jc w:val="center"/>
    </w:pPr>
    <w:rPr>
      <w:rFonts w:ascii="仿宋_GB2312" w:hAnsi="宋体" w:eastAsia="仿宋_GB2312" w:cs="宋体"/>
      <w:b/>
      <w:bCs/>
      <w:color w:val="000000"/>
      <w:kern w:val="0"/>
      <w:sz w:val="24"/>
      <w:szCs w:val="21"/>
    </w:rPr>
  </w:style>
  <w:style w:type="paragraph" w:customStyle="1" w:styleId="889">
    <w:name w:val="xl4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360" w:lineRule="auto"/>
      <w:ind w:firstLine="200" w:firstLineChars="200"/>
      <w:jc w:val="left"/>
    </w:pPr>
    <w:rPr>
      <w:rFonts w:eastAsia="Arial Unicode MS"/>
      <w:color w:val="000000"/>
      <w:kern w:val="0"/>
      <w:sz w:val="20"/>
      <w:szCs w:val="20"/>
    </w:rPr>
  </w:style>
  <w:style w:type="paragraph" w:customStyle="1" w:styleId="890">
    <w:name w:val="样式 标题 4 + 仿宋_GB2312 左侧:  0 厘米 首行缩进:  0 厘米"/>
    <w:basedOn w:val="6"/>
    <w:qFormat/>
    <w:uiPriority w:val="0"/>
    <w:pPr>
      <w:tabs>
        <w:tab w:val="left" w:pos="864"/>
      </w:tabs>
      <w:spacing w:after="280" w:line="240" w:lineRule="auto"/>
      <w:ind w:right="100" w:rightChars="100"/>
    </w:pPr>
    <w:rPr>
      <w:rFonts w:ascii="仿宋_GB2312" w:eastAsia="仿宋_GB2312"/>
      <w:bCs w:val="0"/>
      <w:sz w:val="32"/>
      <w:szCs w:val="20"/>
    </w:rPr>
  </w:style>
  <w:style w:type="paragraph" w:customStyle="1" w:styleId="891">
    <w:name w:val="附录4（1）"/>
    <w:basedOn w:val="626"/>
    <w:next w:val="316"/>
    <w:qFormat/>
    <w:uiPriority w:val="0"/>
    <w:pPr>
      <w:numPr>
        <w:ilvl w:val="0"/>
        <w:numId w:val="25"/>
      </w:numPr>
      <w:tabs>
        <w:tab w:val="left" w:pos="1134"/>
        <w:tab w:val="left" w:pos="1680"/>
        <w:tab w:val="clear" w:pos="420"/>
      </w:tabs>
      <w:spacing w:before="50" w:beforeLines="50" w:after="50" w:afterLines="50"/>
      <w:ind w:left="0" w:firstLine="0"/>
    </w:pPr>
    <w:rPr>
      <w:szCs w:val="28"/>
    </w:rPr>
  </w:style>
  <w:style w:type="paragraph" w:customStyle="1" w:styleId="892">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仿宋_GB2312" w:hAnsi="宋体" w:eastAsia="仿宋_GB2312" w:cs="宋体"/>
      <w:kern w:val="0"/>
      <w:sz w:val="24"/>
      <w:szCs w:val="21"/>
    </w:rPr>
  </w:style>
  <w:style w:type="paragraph" w:customStyle="1" w:styleId="893">
    <w:name w:val="前言、引言标题"/>
    <w:basedOn w:val="1"/>
    <w:qFormat/>
    <w:uiPriority w:val="0"/>
    <w:rPr>
      <w:szCs w:val="21"/>
    </w:rPr>
  </w:style>
  <w:style w:type="paragraph" w:customStyle="1" w:styleId="894">
    <w:name w:val="标题4a"/>
    <w:basedOn w:val="6"/>
    <w:qFormat/>
    <w:uiPriority w:val="0"/>
    <w:pPr>
      <w:tabs>
        <w:tab w:val="left" w:pos="864"/>
        <w:tab w:val="left" w:pos="2880"/>
      </w:tabs>
      <w:autoSpaceDE w:val="0"/>
      <w:autoSpaceDN w:val="0"/>
      <w:adjustRightInd w:val="0"/>
      <w:spacing w:before="0" w:afterLines="150" w:line="376" w:lineRule="atLeast"/>
      <w:textAlignment w:val="baseline"/>
    </w:pPr>
    <w:rPr>
      <w:rFonts w:ascii="宋体" w:hAnsi="宋体" w:eastAsia="宋体"/>
      <w:b w:val="0"/>
      <w:bCs w:val="0"/>
      <w:kern w:val="0"/>
      <w:szCs w:val="24"/>
      <w:lang w:val="zh-CN"/>
    </w:rPr>
  </w:style>
  <w:style w:type="paragraph" w:customStyle="1" w:styleId="895">
    <w:name w:val="Style4"/>
    <w:basedOn w:val="6"/>
    <w:qFormat/>
    <w:uiPriority w:val="0"/>
    <w:pPr>
      <w:keepNext w:val="0"/>
      <w:keepLines w:val="0"/>
      <w:widowControl/>
      <w:tabs>
        <w:tab w:val="left" w:pos="425"/>
        <w:tab w:val="left" w:pos="697"/>
        <w:tab w:val="left" w:pos="864"/>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eastAsia="宋体"/>
      <w:b w:val="0"/>
      <w:bCs w:val="0"/>
      <w:spacing w:val="20"/>
      <w:kern w:val="0"/>
      <w:sz w:val="22"/>
      <w:szCs w:val="20"/>
      <w:lang w:val="fr-FR" w:eastAsia="en-US"/>
    </w:rPr>
  </w:style>
  <w:style w:type="paragraph" w:customStyle="1" w:styleId="896">
    <w:name w:val="xl52"/>
    <w:basedOn w:val="1"/>
    <w:qFormat/>
    <w:uiPriority w:val="0"/>
    <w:pPr>
      <w:widowControl/>
      <w:pBdr>
        <w:top w:val="single" w:color="auto" w:sz="4" w:space="0"/>
        <w:left w:val="single" w:color="auto" w:sz="8" w:space="0"/>
        <w:bottom w:val="single" w:color="auto" w:sz="4" w:space="0"/>
        <w:right w:val="single" w:color="auto" w:sz="4" w:space="0"/>
      </w:pBdr>
      <w:shd w:val="clear" w:color="auto" w:fill="FFFFFF"/>
      <w:spacing w:before="100" w:beforeAutospacing="1" w:after="100" w:afterAutospacing="1" w:line="360" w:lineRule="auto"/>
      <w:ind w:firstLine="200" w:firstLineChars="200"/>
      <w:jc w:val="center"/>
      <w:textAlignment w:val="top"/>
    </w:pPr>
    <w:rPr>
      <w:rFonts w:ascii="Arial Unicode MS" w:hAnsi="Arial Unicode MS" w:eastAsia="Arial Unicode MS"/>
      <w:color w:val="000000"/>
      <w:kern w:val="0"/>
      <w:sz w:val="20"/>
      <w:szCs w:val="20"/>
    </w:rPr>
  </w:style>
  <w:style w:type="paragraph" w:customStyle="1" w:styleId="897">
    <w:name w:val="tytytyty"/>
    <w:basedOn w:val="1"/>
    <w:qFormat/>
    <w:uiPriority w:val="0"/>
    <w:pPr>
      <w:spacing w:line="360" w:lineRule="auto"/>
      <w:ind w:left="359" w:leftChars="171" w:firstLine="480" w:firstLineChars="200"/>
    </w:pPr>
    <w:rPr>
      <w:sz w:val="24"/>
    </w:rPr>
  </w:style>
  <w:style w:type="paragraph" w:customStyle="1" w:styleId="898">
    <w:name w:val="xl1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899">
    <w:name w:val="Char Char Char Char Char Char Char Char Char Char Char Char Char Char Char Char2"/>
    <w:basedOn w:val="1"/>
    <w:qFormat/>
    <w:uiPriority w:val="0"/>
    <w:pPr>
      <w:tabs>
        <w:tab w:val="left" w:pos="360"/>
      </w:tabs>
    </w:pPr>
    <w:rPr>
      <w:sz w:val="24"/>
    </w:rPr>
  </w:style>
  <w:style w:type="paragraph" w:customStyle="1" w:styleId="900">
    <w:name w:val="xl15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901">
    <w:name w:val="封面版权声明（1）"/>
    <w:basedOn w:val="655"/>
    <w:qFormat/>
    <w:uiPriority w:val="0"/>
    <w:pPr>
      <w:framePr w:wrap="around"/>
      <w:jc w:val="right"/>
    </w:pPr>
  </w:style>
  <w:style w:type="paragraph" w:customStyle="1" w:styleId="902">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Arial Narrow" w:hAnsi="Arial Narrow" w:cs="宋体"/>
      <w:kern w:val="0"/>
      <w:sz w:val="24"/>
      <w:szCs w:val="21"/>
    </w:rPr>
  </w:style>
  <w:style w:type="paragraph" w:customStyle="1" w:styleId="903">
    <w:name w:val="style33"/>
    <w:basedOn w:val="1"/>
    <w:qFormat/>
    <w:uiPriority w:val="0"/>
    <w:pPr>
      <w:widowControl/>
      <w:spacing w:before="100" w:beforeAutospacing="1" w:after="100" w:afterAutospacing="1" w:line="360" w:lineRule="auto"/>
      <w:ind w:firstLine="200" w:firstLineChars="200"/>
      <w:jc w:val="left"/>
    </w:pPr>
    <w:rPr>
      <w:rFonts w:hAnsi="宋体"/>
      <w:kern w:val="0"/>
      <w:sz w:val="24"/>
      <w:szCs w:val="20"/>
    </w:rPr>
  </w:style>
  <w:style w:type="paragraph" w:customStyle="1" w:styleId="904">
    <w:name w:val="正文缩进2"/>
    <w:basedOn w:val="21"/>
    <w:qFormat/>
    <w:uiPriority w:val="0"/>
    <w:pPr>
      <w:widowControl w:val="0"/>
      <w:spacing w:after="120" w:line="360" w:lineRule="auto"/>
      <w:ind w:left="425" w:firstLine="0"/>
      <w:jc w:val="both"/>
    </w:pPr>
    <w:rPr>
      <w:kern w:val="2"/>
      <w:sz w:val="24"/>
    </w:rPr>
  </w:style>
  <w:style w:type="paragraph" w:customStyle="1" w:styleId="905">
    <w:name w:val="Table Contents"/>
    <w:basedOn w:val="1"/>
    <w:qFormat/>
    <w:uiPriority w:val="0"/>
    <w:pPr>
      <w:suppressAutoHyphens/>
      <w:autoSpaceDE w:val="0"/>
      <w:spacing w:after="120" w:line="360" w:lineRule="auto"/>
      <w:ind w:firstLine="200" w:firstLineChars="200"/>
      <w:jc w:val="left"/>
    </w:pPr>
    <w:rPr>
      <w:rFonts w:ascii="Helvetica" w:hAnsi="Helvetica"/>
      <w:kern w:val="1"/>
      <w:sz w:val="20"/>
      <w:szCs w:val="20"/>
    </w:rPr>
  </w:style>
  <w:style w:type="paragraph" w:customStyle="1" w:styleId="906">
    <w:name w:val="项目1"/>
    <w:basedOn w:val="1"/>
    <w:qFormat/>
    <w:uiPriority w:val="0"/>
    <w:pPr>
      <w:widowControl/>
      <w:autoSpaceDE w:val="0"/>
      <w:autoSpaceDN w:val="0"/>
      <w:adjustRightInd w:val="0"/>
      <w:spacing w:before="120" w:line="300" w:lineRule="auto"/>
      <w:ind w:left="1152" w:hanging="432"/>
      <w:textAlignment w:val="bottom"/>
    </w:pPr>
    <w:rPr>
      <w:rFonts w:eastAsia="楷体"/>
      <w:kern w:val="0"/>
      <w:sz w:val="24"/>
      <w:szCs w:val="20"/>
    </w:rPr>
  </w:style>
  <w:style w:type="paragraph" w:customStyle="1" w:styleId="907">
    <w:name w:val="xl35"/>
    <w:basedOn w:val="1"/>
    <w:qFormat/>
    <w:uiPriority w:val="0"/>
    <w:pPr>
      <w:widowControl/>
      <w:pBdr>
        <w:top w:val="single" w:color="auto" w:sz="8" w:space="0"/>
        <w:bottom w:val="single" w:color="auto" w:sz="4" w:space="0"/>
        <w:right w:val="single" w:color="auto" w:sz="8" w:space="0"/>
      </w:pBdr>
      <w:shd w:val="clear" w:color="auto" w:fill="FFFF00"/>
      <w:spacing w:before="100" w:beforeAutospacing="1" w:after="100" w:afterAutospacing="1" w:line="360" w:lineRule="auto"/>
      <w:ind w:firstLine="200" w:firstLineChars="200"/>
      <w:jc w:val="center"/>
    </w:pPr>
    <w:rPr>
      <w:rFonts w:ascii="Arial Unicode MS" w:hAnsi="Arial Unicode MS" w:eastAsia="Arial Unicode MS"/>
      <w:color w:val="0000FF"/>
      <w:kern w:val="0"/>
      <w:sz w:val="36"/>
      <w:szCs w:val="20"/>
    </w:rPr>
  </w:style>
  <w:style w:type="paragraph" w:customStyle="1" w:styleId="908">
    <w:name w:val="政务样式 正文首行缩进"/>
    <w:basedOn w:val="1"/>
    <w:qFormat/>
    <w:uiPriority w:val="0"/>
    <w:pPr>
      <w:spacing w:line="360" w:lineRule="auto"/>
      <w:ind w:firstLine="480" w:firstLineChars="200"/>
    </w:pPr>
    <w:rPr>
      <w:sz w:val="24"/>
    </w:rPr>
  </w:style>
  <w:style w:type="paragraph" w:customStyle="1" w:styleId="909">
    <w:name w:val="文本段落引用（1）"/>
    <w:basedOn w:val="382"/>
    <w:next w:val="382"/>
    <w:qFormat/>
    <w:uiPriority w:val="0"/>
    <w:pPr>
      <w:pBdr>
        <w:top w:val="single" w:color="auto" w:sz="4" w:space="1"/>
        <w:bottom w:val="single" w:color="auto" w:sz="4" w:space="1"/>
      </w:pBdr>
      <w:shd w:val="clear" w:color="auto" w:fill="E6E6E6"/>
      <w:ind w:firstLine="420"/>
    </w:pPr>
  </w:style>
  <w:style w:type="paragraph" w:customStyle="1" w:styleId="910">
    <w:name w:val="xl28"/>
    <w:basedOn w:val="1"/>
    <w:qFormat/>
    <w:uiPriority w:val="0"/>
    <w:pPr>
      <w:widowControl/>
      <w:pBdr>
        <w:top w:val="single" w:color="auto" w:sz="4" w:space="0"/>
        <w:left w:val="single" w:color="auto" w:sz="4" w:space="0"/>
        <w:bottom w:val="single" w:color="auto" w:sz="4" w:space="0"/>
        <w:right w:val="single" w:color="auto" w:sz="8" w:space="0"/>
      </w:pBdr>
      <w:shd w:val="clear" w:color="auto" w:fill="FFFFFF"/>
      <w:spacing w:before="100" w:beforeAutospacing="1" w:after="100" w:afterAutospacing="1" w:line="360" w:lineRule="auto"/>
      <w:ind w:firstLine="200" w:firstLineChars="200"/>
      <w:jc w:val="center"/>
    </w:pPr>
    <w:rPr>
      <w:rFonts w:ascii="Arial Unicode MS" w:hAnsi="Arial Unicode MS" w:eastAsia="Arial Unicode MS"/>
      <w:color w:val="000000"/>
      <w:kern w:val="0"/>
      <w:sz w:val="22"/>
      <w:szCs w:val="20"/>
    </w:rPr>
  </w:style>
  <w:style w:type="paragraph" w:customStyle="1" w:styleId="911">
    <w:name w:val="xl4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360" w:lineRule="auto"/>
      <w:ind w:firstLine="200" w:firstLineChars="200"/>
      <w:jc w:val="left"/>
      <w:textAlignment w:val="top"/>
    </w:pPr>
    <w:rPr>
      <w:rFonts w:eastAsia="Arial Unicode MS"/>
      <w:color w:val="000000"/>
      <w:kern w:val="0"/>
      <w:sz w:val="20"/>
      <w:szCs w:val="20"/>
    </w:rPr>
  </w:style>
  <w:style w:type="paragraph" w:customStyle="1" w:styleId="912">
    <w:name w:val="Texte1"/>
    <w:basedOn w:val="3"/>
    <w:qFormat/>
    <w:uiPriority w:val="0"/>
    <w:pPr>
      <w:keepLines/>
      <w:tabs>
        <w:tab w:val="left" w:pos="425"/>
        <w:tab w:val="left" w:pos="432"/>
      </w:tabs>
      <w:spacing w:before="340" w:after="330" w:line="576" w:lineRule="auto"/>
      <w:ind w:left="397" w:hanging="397" w:firstLineChars="200"/>
      <w:outlineLvl w:val="9"/>
    </w:pPr>
    <w:rPr>
      <w:rFonts w:ascii="Times New Roman" w:hAnsi="Times New Roman" w:eastAsia="宋体" w:cs="Times New Roman"/>
      <w:bCs w:val="0"/>
      <w:smallCaps/>
      <w:spacing w:val="20"/>
      <w:kern w:val="24"/>
      <w:sz w:val="24"/>
    </w:rPr>
  </w:style>
  <w:style w:type="paragraph" w:customStyle="1" w:styleId="913">
    <w:name w:val="突出文字"/>
    <w:basedOn w:val="1"/>
    <w:qFormat/>
    <w:uiPriority w:val="0"/>
    <w:pPr>
      <w:spacing w:line="360" w:lineRule="auto"/>
    </w:pPr>
    <w:rPr>
      <w:rFonts w:eastAsia="黑体"/>
      <w:b/>
      <w:sz w:val="28"/>
      <w:szCs w:val="20"/>
    </w:rPr>
  </w:style>
  <w:style w:type="paragraph" w:customStyle="1" w:styleId="914">
    <w:name w:val="indent 2"/>
    <w:basedOn w:val="797"/>
    <w:qFormat/>
    <w:uiPriority w:val="0"/>
    <w:pPr>
      <w:tabs>
        <w:tab w:val="left" w:pos="840"/>
        <w:tab w:val="clear" w:pos="420"/>
        <w:tab w:val="clear" w:pos="720"/>
        <w:tab w:val="clear" w:pos="1417"/>
        <w:tab w:val="clear" w:pos="1616"/>
        <w:tab w:val="clear" w:pos="1914"/>
        <w:tab w:val="clear" w:pos="2162"/>
        <w:tab w:val="clear" w:pos="2411"/>
        <w:tab w:val="clear" w:pos="2880"/>
        <w:tab w:val="clear" w:pos="3600"/>
        <w:tab w:val="clear" w:pos="3685"/>
        <w:tab w:val="clear" w:pos="4320"/>
        <w:tab w:val="clear" w:pos="4536"/>
        <w:tab w:val="clear" w:pos="4819"/>
        <w:tab w:val="clear" w:pos="5040"/>
        <w:tab w:val="clear" w:pos="5760"/>
        <w:tab w:val="clear" w:pos="5952"/>
        <w:tab w:val="clear" w:pos="6480"/>
        <w:tab w:val="clear" w:pos="7177"/>
        <w:tab w:val="clear" w:pos="7920"/>
        <w:tab w:val="clear" w:pos="8220"/>
        <w:tab w:val="clear" w:pos="8640"/>
        <w:tab w:val="clear" w:pos="9337"/>
        <w:tab w:val="clear" w:pos="10488"/>
        <w:tab w:val="clear" w:pos="11622"/>
        <w:tab w:val="clear" w:pos="12756"/>
        <w:tab w:val="clear" w:pos="13890"/>
        <w:tab w:val="clear" w:pos="14377"/>
        <w:tab w:val="clear" w:pos="15097"/>
        <w:tab w:val="clear" w:pos="15817"/>
        <w:tab w:val="clear" w:pos="16537"/>
        <w:tab w:val="clear" w:pos="17257"/>
        <w:tab w:val="clear" w:pos="17977"/>
        <w:tab w:val="clear" w:pos="18697"/>
        <w:tab w:val="clear" w:pos="19417"/>
        <w:tab w:val="clear" w:pos="20137"/>
      </w:tabs>
      <w:ind w:left="840"/>
    </w:pPr>
  </w:style>
  <w:style w:type="paragraph" w:customStyle="1" w:styleId="915">
    <w:name w:val="封面副标题"/>
    <w:basedOn w:val="1"/>
    <w:qFormat/>
    <w:uiPriority w:val="0"/>
    <w:pPr>
      <w:tabs>
        <w:tab w:val="left" w:pos="432"/>
      </w:tabs>
      <w:spacing w:line="360" w:lineRule="auto"/>
      <w:jc w:val="center"/>
    </w:pPr>
    <w:rPr>
      <w:rFonts w:eastAsia="黑体"/>
      <w:b/>
      <w:sz w:val="32"/>
      <w:szCs w:val="20"/>
    </w:rPr>
  </w:style>
  <w:style w:type="paragraph" w:customStyle="1" w:styleId="916">
    <w:name w:val="样式4"/>
    <w:basedOn w:val="6"/>
    <w:next w:val="426"/>
    <w:qFormat/>
    <w:uiPriority w:val="0"/>
    <w:pPr>
      <w:spacing w:before="120" w:after="120" w:line="360" w:lineRule="auto"/>
    </w:pPr>
    <w:rPr>
      <w:rFonts w:ascii="楷体_GB2312" w:hAnsi="Times New Roman" w:eastAsia="楷体_GB2312"/>
      <w:kern w:val="0"/>
      <w:szCs w:val="24"/>
      <w:lang w:val="zh-CN"/>
    </w:rPr>
  </w:style>
  <w:style w:type="paragraph" w:customStyle="1" w:styleId="917">
    <w:name w:val="样式 样式 样式 样式 首行缩进:  2.2 字符 + 首行缩进:  2.2 字符 + 居中 段前: 7.8 磅 + 非加粗"/>
    <w:basedOn w:val="874"/>
    <w:qFormat/>
    <w:uiPriority w:val="0"/>
    <w:rPr>
      <w:b w:val="0"/>
      <w:bCs w:val="0"/>
    </w:rPr>
  </w:style>
  <w:style w:type="paragraph" w:customStyle="1" w:styleId="918">
    <w:name w:val="正文（首行缩进2字符）"/>
    <w:basedOn w:val="1"/>
    <w:qFormat/>
    <w:uiPriority w:val="0"/>
    <w:pPr>
      <w:spacing w:line="360" w:lineRule="auto"/>
      <w:ind w:firstLine="480" w:firstLineChars="200"/>
    </w:pPr>
    <w:rPr>
      <w:sz w:val="24"/>
    </w:rPr>
  </w:style>
  <w:style w:type="paragraph" w:customStyle="1" w:styleId="919">
    <w:name w:val="标题 0（1）"/>
    <w:basedOn w:val="23"/>
    <w:qFormat/>
    <w:uiPriority w:val="0"/>
    <w:pPr>
      <w:keepNext/>
      <w:keepLines/>
      <w:spacing w:line="300" w:lineRule="auto"/>
    </w:pPr>
    <w:rPr>
      <w:rFonts w:ascii="Times New Roman" w:hAnsi="Times New Roman" w:eastAsia="黑体" w:cs="Arial"/>
      <w:kern w:val="0"/>
      <w:sz w:val="52"/>
      <w:szCs w:val="32"/>
    </w:rPr>
  </w:style>
  <w:style w:type="paragraph" w:customStyle="1" w:styleId="920">
    <w:name w:val="项目列举"/>
    <w:basedOn w:val="1"/>
    <w:qFormat/>
    <w:uiPriority w:val="0"/>
    <w:pPr>
      <w:tabs>
        <w:tab w:val="left" w:pos="420"/>
        <w:tab w:val="left" w:pos="900"/>
      </w:tabs>
      <w:spacing w:line="360" w:lineRule="auto"/>
      <w:ind w:left="432"/>
      <w:jc w:val="left"/>
    </w:pPr>
    <w:rPr>
      <w:sz w:val="24"/>
      <w:szCs w:val="20"/>
    </w:rPr>
  </w:style>
  <w:style w:type="paragraph" w:customStyle="1" w:styleId="921">
    <w:name w:val="图1"/>
    <w:basedOn w:val="37"/>
    <w:qFormat/>
    <w:uiPriority w:val="0"/>
    <w:pPr>
      <w:spacing w:beforeLines="100" w:line="360" w:lineRule="auto"/>
      <w:jc w:val="center"/>
    </w:pPr>
    <w:rPr>
      <w:rFonts w:ascii="黑体"/>
      <w:b/>
      <w:sz w:val="24"/>
      <w:szCs w:val="20"/>
    </w:rPr>
  </w:style>
  <w:style w:type="paragraph" w:customStyle="1" w:styleId="922">
    <w:name w:val="xl122"/>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b/>
      <w:bCs/>
      <w:color w:val="000000"/>
      <w:kern w:val="0"/>
      <w:sz w:val="24"/>
      <w:szCs w:val="21"/>
    </w:rPr>
  </w:style>
  <w:style w:type="paragraph" w:customStyle="1" w:styleId="923">
    <w:name w:val="首行缩进:  0.74 厘米 行距: 多倍行距 1.3 字行"/>
    <w:basedOn w:val="1"/>
    <w:qFormat/>
    <w:uiPriority w:val="0"/>
    <w:pPr>
      <w:spacing w:line="312" w:lineRule="auto"/>
      <w:ind w:firstLine="420"/>
    </w:pPr>
    <w:rPr>
      <w:rFonts w:cs="宋体"/>
      <w:sz w:val="24"/>
      <w:szCs w:val="20"/>
    </w:rPr>
  </w:style>
  <w:style w:type="paragraph" w:customStyle="1" w:styleId="924">
    <w:name w:val="xl24"/>
    <w:basedOn w:val="1"/>
    <w:qFormat/>
    <w:uiPriority w:val="0"/>
    <w:pPr>
      <w:widowControl/>
      <w:pBdr>
        <w:left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center"/>
    </w:pPr>
    <w:rPr>
      <w:rFonts w:hint="eastAsia" w:ascii="华文中宋" w:hAnsi="华文中宋" w:eastAsia="华文中宋"/>
      <w:color w:val="000000"/>
      <w:kern w:val="0"/>
      <w:sz w:val="24"/>
      <w:szCs w:val="20"/>
    </w:rPr>
  </w:style>
  <w:style w:type="paragraph" w:customStyle="1" w:styleId="925">
    <w:name w:val="font16"/>
    <w:basedOn w:val="1"/>
    <w:qFormat/>
    <w:uiPriority w:val="0"/>
    <w:pPr>
      <w:widowControl/>
      <w:spacing w:before="100" w:beforeAutospacing="1" w:after="100" w:afterAutospacing="1" w:line="360" w:lineRule="auto"/>
      <w:ind w:firstLine="200" w:firstLineChars="200"/>
      <w:jc w:val="left"/>
    </w:pPr>
    <w:rPr>
      <w:rFonts w:ascii="宋体" w:hAnsi="宋体" w:cs="宋体"/>
      <w:kern w:val="0"/>
      <w:sz w:val="18"/>
      <w:szCs w:val="18"/>
    </w:rPr>
  </w:style>
  <w:style w:type="paragraph" w:customStyle="1" w:styleId="926">
    <w:name w:val="xl139"/>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line="360" w:lineRule="auto"/>
      <w:ind w:firstLine="200" w:firstLineChars="200"/>
      <w:jc w:val="center"/>
    </w:pPr>
    <w:rPr>
      <w:rFonts w:ascii="Arial Narrow" w:hAnsi="Arial Narrow" w:cs="宋体"/>
      <w:b/>
      <w:bCs/>
      <w:color w:val="000000"/>
      <w:kern w:val="0"/>
      <w:sz w:val="24"/>
      <w:szCs w:val="21"/>
    </w:rPr>
  </w:style>
  <w:style w:type="paragraph" w:customStyle="1" w:styleId="927">
    <w:name w:val="插图（1）"/>
    <w:next w:val="316"/>
    <w:qFormat/>
    <w:uiPriority w:val="0"/>
    <w:pPr>
      <w:spacing w:before="25" w:beforeLines="25" w:after="25" w:afterLines="25"/>
      <w:jc w:val="center"/>
    </w:pPr>
    <w:rPr>
      <w:rFonts w:ascii="Arial" w:hAnsi="Arial" w:eastAsia="宋体" w:cs="Times New Roman"/>
      <w:sz w:val="21"/>
      <w:szCs w:val="21"/>
      <w:lang w:val="en-US" w:eastAsia="zh-CN" w:bidi="ar-SA"/>
    </w:rPr>
  </w:style>
  <w:style w:type="paragraph" w:customStyle="1" w:styleId="928">
    <w:name w:val="内容"/>
    <w:basedOn w:val="1"/>
    <w:next w:val="1"/>
    <w:qFormat/>
    <w:uiPriority w:val="0"/>
    <w:pPr>
      <w:spacing w:before="40" w:after="40" w:line="360" w:lineRule="auto"/>
      <w:ind w:firstLine="536" w:firstLineChars="200"/>
    </w:pPr>
    <w:rPr>
      <w:rFonts w:ascii="仿宋_GB2312" w:hAnsi="宋体" w:eastAsia="仿宋_GB2312"/>
      <w:spacing w:val="-6"/>
      <w:sz w:val="28"/>
      <w:szCs w:val="28"/>
      <w:lang w:val="zh-CN"/>
    </w:rPr>
  </w:style>
  <w:style w:type="paragraph" w:customStyle="1" w:styleId="929">
    <w:name w:val="xl126"/>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line="360" w:lineRule="auto"/>
      <w:ind w:firstLine="200" w:firstLineChars="200"/>
      <w:jc w:val="center"/>
    </w:pPr>
    <w:rPr>
      <w:rFonts w:ascii="仿宋_GB2312" w:hAnsi="宋体" w:eastAsia="仿宋_GB2312" w:cs="宋体"/>
      <w:b/>
      <w:bCs/>
      <w:color w:val="000000"/>
      <w:kern w:val="0"/>
      <w:sz w:val="24"/>
      <w:szCs w:val="21"/>
    </w:rPr>
  </w:style>
  <w:style w:type="paragraph" w:customStyle="1" w:styleId="930">
    <w:name w:val="xl133"/>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360" w:lineRule="auto"/>
      <w:ind w:firstLine="200" w:firstLineChars="200"/>
      <w:jc w:val="center"/>
    </w:pPr>
    <w:rPr>
      <w:rFonts w:ascii="Arial Narrow" w:hAnsi="Arial Narrow" w:cs="宋体"/>
      <w:kern w:val="0"/>
      <w:sz w:val="24"/>
      <w:szCs w:val="21"/>
    </w:rPr>
  </w:style>
  <w:style w:type="paragraph" w:customStyle="1" w:styleId="931">
    <w:name w:val="xl16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360" w:lineRule="auto"/>
      <w:ind w:firstLine="200" w:firstLineChars="200"/>
      <w:jc w:val="left"/>
    </w:pPr>
    <w:rPr>
      <w:rFonts w:ascii="仿宋_GB2312" w:hAnsi="宋体" w:eastAsia="仿宋_GB2312" w:cs="宋体"/>
      <w:b/>
      <w:bCs/>
      <w:color w:val="000000"/>
      <w:kern w:val="0"/>
      <w:sz w:val="24"/>
      <w:szCs w:val="21"/>
    </w:rPr>
  </w:style>
  <w:style w:type="paragraph" w:customStyle="1" w:styleId="932">
    <w:name w:val="font18"/>
    <w:basedOn w:val="1"/>
    <w:qFormat/>
    <w:uiPriority w:val="0"/>
    <w:pPr>
      <w:widowControl/>
      <w:spacing w:before="100" w:beforeAutospacing="1" w:after="100" w:afterAutospacing="1" w:line="360" w:lineRule="auto"/>
      <w:ind w:firstLine="200" w:firstLineChars="200"/>
      <w:jc w:val="left"/>
    </w:pPr>
    <w:rPr>
      <w:rFonts w:ascii="Arial Narrow" w:hAnsi="Arial Narrow" w:cs="宋体"/>
      <w:color w:val="000000"/>
      <w:kern w:val="0"/>
      <w:sz w:val="24"/>
      <w:szCs w:val="21"/>
    </w:rPr>
  </w:style>
  <w:style w:type="paragraph" w:customStyle="1" w:styleId="933">
    <w:name w:val="xl32"/>
    <w:basedOn w:val="1"/>
    <w:qFormat/>
    <w:uiPriority w:val="0"/>
    <w:pPr>
      <w:widowControl/>
      <w:pBdr>
        <w:bottom w:val="single" w:color="auto" w:sz="4" w:space="0"/>
        <w:right w:val="single" w:color="auto" w:sz="4" w:space="0"/>
      </w:pBdr>
      <w:spacing w:before="100" w:beforeAutospacing="1" w:after="100" w:afterAutospacing="1" w:line="360" w:lineRule="auto"/>
      <w:ind w:firstLine="200" w:firstLineChars="200"/>
      <w:jc w:val="center"/>
    </w:pPr>
    <w:rPr>
      <w:rFonts w:eastAsia="Arial Unicode MS"/>
      <w:color w:val="000000"/>
      <w:kern w:val="0"/>
      <w:sz w:val="22"/>
      <w:szCs w:val="20"/>
    </w:rPr>
  </w:style>
  <w:style w:type="paragraph" w:customStyle="1" w:styleId="934">
    <w:name w:val="xl13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360" w:lineRule="auto"/>
      <w:ind w:firstLine="200" w:firstLineChars="200"/>
      <w:jc w:val="center"/>
    </w:pPr>
    <w:rPr>
      <w:rFonts w:ascii="Arial Narrow" w:hAnsi="Arial Narrow" w:cs="宋体"/>
      <w:kern w:val="0"/>
      <w:sz w:val="24"/>
      <w:szCs w:val="21"/>
    </w:rPr>
  </w:style>
  <w:style w:type="paragraph" w:customStyle="1" w:styleId="935">
    <w:name w:val="xl13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360" w:lineRule="auto"/>
      <w:ind w:firstLine="200" w:firstLineChars="200"/>
      <w:jc w:val="center"/>
    </w:pPr>
    <w:rPr>
      <w:rFonts w:ascii="仿宋_GB2312" w:hAnsi="宋体" w:eastAsia="仿宋_GB2312" w:cs="宋体"/>
      <w:kern w:val="0"/>
      <w:sz w:val="24"/>
      <w:szCs w:val="21"/>
    </w:rPr>
  </w:style>
  <w:style w:type="paragraph" w:customStyle="1" w:styleId="936">
    <w:name w:val="样式 文本 + 加粗 行距: 固定值 22 磅"/>
    <w:basedOn w:val="813"/>
    <w:qFormat/>
    <w:uiPriority w:val="0"/>
    <w:pPr>
      <w:tabs>
        <w:tab w:val="left" w:pos="767"/>
        <w:tab w:val="left" w:pos="1304"/>
      </w:tabs>
      <w:spacing w:line="440" w:lineRule="exact"/>
      <w:ind w:left="432" w:firstLine="482"/>
    </w:pPr>
    <w:rPr>
      <w:rFonts w:cs="宋体"/>
      <w:b/>
      <w:bCs/>
      <w:szCs w:val="20"/>
    </w:rPr>
  </w:style>
  <w:style w:type="paragraph" w:customStyle="1" w:styleId="937">
    <w:name w:val="xl1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938">
    <w:name w:val="Texte2"/>
    <w:basedOn w:val="4"/>
    <w:qFormat/>
    <w:uiPriority w:val="0"/>
    <w:pPr>
      <w:keepLines w:val="0"/>
      <w:widowControl/>
      <w:tabs>
        <w:tab w:val="left" w:pos="425"/>
        <w:tab w:val="left" w:pos="576"/>
        <w:tab w:val="left" w:pos="697"/>
        <w:tab w:val="left" w:pos="1417"/>
        <w:tab w:val="left" w:pos="2162"/>
        <w:tab w:val="left" w:pos="7177"/>
        <w:tab w:val="left" w:pos="9337"/>
      </w:tabs>
      <w:spacing w:after="60" w:line="480" w:lineRule="auto"/>
      <w:ind w:left="850" w:hanging="397" w:firstLineChars="200"/>
      <w:outlineLvl w:val="9"/>
    </w:pPr>
    <w:rPr>
      <w:rFonts w:ascii="Times New Roman"/>
      <w:b w:val="0"/>
      <w:bCs w:val="0"/>
      <w:spacing w:val="20"/>
      <w:kern w:val="0"/>
      <w:sz w:val="30"/>
      <w:szCs w:val="20"/>
      <w:lang w:val="en-GB"/>
    </w:rPr>
  </w:style>
  <w:style w:type="paragraph" w:customStyle="1" w:styleId="939">
    <w:name w:val="LJT正文"/>
    <w:basedOn w:val="38"/>
    <w:qFormat/>
    <w:uiPriority w:val="0"/>
    <w:pPr>
      <w:spacing w:before="120" w:after="0"/>
      <w:ind w:left="0" w:leftChars="0" w:firstLine="425"/>
    </w:pPr>
    <w:rPr>
      <w:sz w:val="24"/>
      <w:szCs w:val="20"/>
    </w:rPr>
  </w:style>
  <w:style w:type="paragraph" w:customStyle="1" w:styleId="940">
    <w:name w:val="xl34"/>
    <w:basedOn w:val="1"/>
    <w:qFormat/>
    <w:uiPriority w:val="0"/>
    <w:pPr>
      <w:widowControl/>
      <w:pBdr>
        <w:top w:val="single" w:color="auto" w:sz="8" w:space="0"/>
        <w:bottom w:val="single" w:color="auto" w:sz="4" w:space="0"/>
      </w:pBdr>
      <w:shd w:val="clear" w:color="auto" w:fill="FFFF00"/>
      <w:spacing w:before="100" w:beforeAutospacing="1" w:after="100" w:afterAutospacing="1" w:line="360" w:lineRule="auto"/>
      <w:ind w:firstLine="200" w:firstLineChars="200"/>
      <w:jc w:val="center"/>
    </w:pPr>
    <w:rPr>
      <w:rFonts w:ascii="Arial Unicode MS" w:hAnsi="Arial Unicode MS" w:eastAsia="Arial Unicode MS"/>
      <w:color w:val="0000FF"/>
      <w:kern w:val="0"/>
      <w:sz w:val="36"/>
      <w:szCs w:val="20"/>
    </w:rPr>
  </w:style>
  <w:style w:type="paragraph" w:customStyle="1" w:styleId="941">
    <w:name w:val="newtext"/>
    <w:basedOn w:val="1"/>
    <w:qFormat/>
    <w:uiPriority w:val="0"/>
    <w:pPr>
      <w:widowControl/>
      <w:spacing w:before="100" w:beforeAutospacing="1" w:after="100" w:afterAutospacing="1" w:line="360" w:lineRule="atLeast"/>
      <w:jc w:val="left"/>
    </w:pPr>
    <w:rPr>
      <w:rFonts w:ascii="宋体" w:hAnsi="宋体" w:cs="宋体"/>
      <w:kern w:val="0"/>
      <w:szCs w:val="21"/>
    </w:rPr>
  </w:style>
  <w:style w:type="paragraph" w:customStyle="1" w:styleId="942">
    <w:name w:val="xl65"/>
    <w:basedOn w:val="1"/>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line="360" w:lineRule="auto"/>
      <w:ind w:firstLine="200" w:firstLineChars="200"/>
      <w:jc w:val="right"/>
      <w:textAlignment w:val="top"/>
    </w:pPr>
    <w:rPr>
      <w:rFonts w:ascii="Arial Unicode MS" w:hAnsi="Arial Unicode MS" w:eastAsia="Arial Unicode MS"/>
      <w:kern w:val="0"/>
      <w:sz w:val="20"/>
      <w:szCs w:val="20"/>
    </w:rPr>
  </w:style>
  <w:style w:type="paragraph" w:customStyle="1" w:styleId="943">
    <w:name w:val="xl62"/>
    <w:basedOn w:val="1"/>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line="360" w:lineRule="auto"/>
      <w:ind w:firstLine="200" w:firstLineChars="200"/>
      <w:jc w:val="right"/>
      <w:textAlignment w:val="top"/>
    </w:pPr>
    <w:rPr>
      <w:rFonts w:ascii="Arial Unicode MS" w:hAnsi="Arial Unicode MS" w:eastAsia="Arial Unicode MS"/>
      <w:color w:val="000000"/>
      <w:kern w:val="0"/>
      <w:sz w:val="20"/>
      <w:szCs w:val="20"/>
    </w:rPr>
  </w:style>
  <w:style w:type="paragraph" w:customStyle="1" w:styleId="944">
    <w:name w:val="Char Char Char Char"/>
    <w:basedOn w:val="1"/>
    <w:qFormat/>
    <w:uiPriority w:val="0"/>
    <w:pPr>
      <w:spacing w:line="360" w:lineRule="auto"/>
      <w:ind w:firstLine="200" w:firstLineChars="200"/>
    </w:pPr>
    <w:rPr>
      <w:sz w:val="24"/>
    </w:rPr>
  </w:style>
  <w:style w:type="paragraph" w:customStyle="1" w:styleId="945">
    <w:name w:val="样式 样式 首行缩进:  2 字符 Char + 黑色 Char"/>
    <w:basedOn w:val="1"/>
    <w:qFormat/>
    <w:uiPriority w:val="0"/>
    <w:pPr>
      <w:tabs>
        <w:tab w:val="left" w:pos="420"/>
      </w:tabs>
      <w:spacing w:line="360" w:lineRule="auto"/>
      <w:ind w:left="432" w:hanging="432"/>
    </w:pPr>
    <w:rPr>
      <w:color w:val="000000"/>
      <w:kern w:val="0"/>
      <w:sz w:val="24"/>
      <w:szCs w:val="21"/>
    </w:rPr>
  </w:style>
  <w:style w:type="paragraph" w:customStyle="1" w:styleId="946">
    <w:name w:val="样式 标题 3h3H3sect1.2.3 + 五号 段前: 6 磅 段后: 6 磅 行距: 单倍行距"/>
    <w:basedOn w:val="5"/>
    <w:qFormat/>
    <w:uiPriority w:val="0"/>
    <w:pPr>
      <w:widowControl/>
      <w:tabs>
        <w:tab w:val="left" w:pos="720"/>
      </w:tabs>
      <w:spacing w:before="120" w:after="120" w:line="240" w:lineRule="auto"/>
      <w:jc w:val="left"/>
      <w:textAlignment w:val="baseline"/>
    </w:pPr>
    <w:rPr>
      <w:b/>
      <w:kern w:val="0"/>
      <w:sz w:val="21"/>
      <w:szCs w:val="20"/>
    </w:rPr>
  </w:style>
  <w:style w:type="paragraph" w:customStyle="1" w:styleId="947">
    <w:name w:val="目录2"/>
    <w:basedOn w:val="1"/>
    <w:qFormat/>
    <w:uiPriority w:val="0"/>
    <w:pPr>
      <w:spacing w:line="360" w:lineRule="exact"/>
    </w:pPr>
    <w:rPr>
      <w:sz w:val="28"/>
    </w:rPr>
  </w:style>
  <w:style w:type="paragraph" w:customStyle="1" w:styleId="948">
    <w:name w:val="章标题"/>
    <w:next w:val="1"/>
    <w:qFormat/>
    <w:uiPriority w:val="0"/>
    <w:pPr>
      <w:tabs>
        <w:tab w:val="left" w:pos="1320"/>
      </w:tabs>
      <w:spacing w:before="50" w:beforeLines="50" w:after="50" w:afterLines="50"/>
      <w:ind w:left="575" w:hanging="575"/>
      <w:outlineLvl w:val="1"/>
    </w:pPr>
    <w:rPr>
      <w:rFonts w:ascii="黑体" w:hAnsi="Times New Roman" w:eastAsia="黑体" w:cs="Times New Roman"/>
      <w:sz w:val="24"/>
      <w:lang w:val="en-US" w:eastAsia="zh-CN" w:bidi="ar-SA"/>
    </w:rPr>
  </w:style>
  <w:style w:type="paragraph" w:customStyle="1" w:styleId="949">
    <w:name w:val="Char2"/>
    <w:basedOn w:val="1"/>
    <w:qFormat/>
    <w:uiPriority w:val="0"/>
    <w:pPr>
      <w:tabs>
        <w:tab w:val="left" w:pos="975"/>
      </w:tabs>
      <w:spacing w:line="360" w:lineRule="auto"/>
      <w:ind w:firstLine="200" w:firstLineChars="200"/>
    </w:pPr>
    <w:rPr>
      <w:sz w:val="24"/>
      <w:szCs w:val="20"/>
    </w:rPr>
  </w:style>
  <w:style w:type="paragraph" w:customStyle="1" w:styleId="950">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4"/>
    </w:rPr>
  </w:style>
  <w:style w:type="paragraph" w:customStyle="1" w:styleId="951">
    <w:name w:val="itemlist"/>
    <w:basedOn w:val="1"/>
    <w:qFormat/>
    <w:uiPriority w:val="0"/>
    <w:pPr>
      <w:widowControl/>
      <w:spacing w:before="100" w:beforeAutospacing="1" w:after="100" w:afterAutospacing="1"/>
      <w:jc w:val="left"/>
    </w:pPr>
    <w:rPr>
      <w:rFonts w:ascii="Arial" w:hAnsi="宋体" w:eastAsia="文星仿宋" w:cs="宋体"/>
      <w:kern w:val="0"/>
      <w:sz w:val="28"/>
    </w:rPr>
  </w:style>
  <w:style w:type="paragraph" w:customStyle="1" w:styleId="952">
    <w:name w:val="需求书正文"/>
    <w:basedOn w:val="1"/>
    <w:qFormat/>
    <w:uiPriority w:val="0"/>
    <w:pPr>
      <w:adjustRightInd w:val="0"/>
      <w:spacing w:line="360" w:lineRule="auto"/>
      <w:ind w:firstLine="567"/>
    </w:pPr>
    <w:rPr>
      <w:sz w:val="28"/>
      <w:szCs w:val="20"/>
    </w:rPr>
  </w:style>
  <w:style w:type="paragraph" w:customStyle="1" w:styleId="953">
    <w:name w:val="样式 (中文) +中文正文 三号 黑色 首行缩进:  2 字符"/>
    <w:basedOn w:val="1"/>
    <w:qFormat/>
    <w:uiPriority w:val="0"/>
    <w:pPr>
      <w:tabs>
        <w:tab w:val="left" w:pos="1276"/>
      </w:tabs>
      <w:spacing w:line="480" w:lineRule="auto"/>
      <w:ind w:firstLine="560"/>
    </w:pPr>
    <w:rPr>
      <w:rFonts w:ascii="Calibri" w:hAnsi="Calibri" w:cs="宋体"/>
      <w:color w:val="000000"/>
      <w:sz w:val="28"/>
    </w:rPr>
  </w:style>
  <w:style w:type="paragraph" w:customStyle="1" w:styleId="954">
    <w:name w:val="xl57"/>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right"/>
      <w:textAlignment w:val="top"/>
    </w:pPr>
    <w:rPr>
      <w:rFonts w:ascii="Arial Unicode MS" w:hAnsi="Arial Unicode MS" w:eastAsia="Arial Unicode MS"/>
      <w:b/>
      <w:color w:val="000000"/>
      <w:kern w:val="0"/>
      <w:sz w:val="20"/>
      <w:szCs w:val="20"/>
    </w:rPr>
  </w:style>
  <w:style w:type="paragraph" w:customStyle="1" w:styleId="955">
    <w:name w:val="font22"/>
    <w:basedOn w:val="1"/>
    <w:qFormat/>
    <w:uiPriority w:val="0"/>
    <w:pPr>
      <w:widowControl/>
      <w:spacing w:before="100" w:beforeAutospacing="1" w:after="100" w:afterAutospacing="1" w:line="360" w:lineRule="auto"/>
      <w:ind w:firstLine="200" w:firstLineChars="200"/>
      <w:jc w:val="left"/>
    </w:pPr>
    <w:rPr>
      <w:rFonts w:ascii="宋体" w:hAnsi="宋体" w:cs="宋体"/>
      <w:kern w:val="0"/>
      <w:sz w:val="24"/>
      <w:szCs w:val="21"/>
    </w:rPr>
  </w:style>
  <w:style w:type="paragraph" w:customStyle="1" w:styleId="956">
    <w:name w:val="Char1 Char Char Char"/>
    <w:basedOn w:val="1"/>
    <w:qFormat/>
    <w:uiPriority w:val="0"/>
    <w:rPr>
      <w:rFonts w:ascii="Tahoma" w:hAnsi="Tahoma"/>
      <w:sz w:val="24"/>
      <w:szCs w:val="20"/>
    </w:rPr>
  </w:style>
  <w:style w:type="paragraph" w:customStyle="1" w:styleId="957">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4"/>
    </w:rPr>
  </w:style>
  <w:style w:type="paragraph" w:customStyle="1" w:styleId="958">
    <w:name w:val="xl61"/>
    <w:basedOn w:val="1"/>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line="360" w:lineRule="auto"/>
      <w:ind w:firstLine="200" w:firstLineChars="200"/>
      <w:jc w:val="right"/>
      <w:textAlignment w:val="top"/>
    </w:pPr>
    <w:rPr>
      <w:rFonts w:ascii="Arial Unicode MS" w:hAnsi="Arial Unicode MS" w:eastAsia="Arial Unicode MS"/>
      <w:color w:val="000000"/>
      <w:kern w:val="0"/>
      <w:sz w:val="20"/>
      <w:szCs w:val="20"/>
    </w:rPr>
  </w:style>
  <w:style w:type="paragraph" w:customStyle="1" w:styleId="959">
    <w:name w:val="正文页脚"/>
    <w:basedOn w:val="1"/>
    <w:qFormat/>
    <w:uiPriority w:val="0"/>
    <w:pPr>
      <w:pBdr>
        <w:top w:val="single" w:color="auto" w:sz="6" w:space="1"/>
      </w:pBdr>
      <w:tabs>
        <w:tab w:val="center" w:pos="4153"/>
        <w:tab w:val="right" w:pos="8306"/>
      </w:tabs>
      <w:snapToGrid w:val="0"/>
      <w:ind w:firstLine="200" w:firstLineChars="200"/>
      <w:jc w:val="left"/>
    </w:pPr>
    <w:rPr>
      <w:sz w:val="18"/>
      <w:szCs w:val="20"/>
    </w:rPr>
  </w:style>
  <w:style w:type="paragraph" w:customStyle="1" w:styleId="960">
    <w:name w:val="xl141"/>
    <w:basedOn w:val="1"/>
    <w:qFormat/>
    <w:uiPriority w:val="0"/>
    <w:pPr>
      <w:widowControl/>
      <w:pBdr>
        <w:top w:val="single" w:color="auto" w:sz="8" w:space="0"/>
        <w:left w:val="single" w:color="auto" w:sz="4" w:space="0"/>
        <w:bottom w:val="single" w:color="auto" w:sz="4" w:space="0"/>
        <w:right w:val="single" w:color="auto" w:sz="4" w:space="0"/>
      </w:pBdr>
      <w:shd w:val="clear" w:color="000000" w:fill="FFCC00"/>
      <w:spacing w:before="100" w:beforeAutospacing="1" w:after="100" w:afterAutospacing="1" w:line="360" w:lineRule="auto"/>
      <w:ind w:firstLine="200" w:firstLineChars="200"/>
      <w:jc w:val="center"/>
    </w:pPr>
    <w:rPr>
      <w:rFonts w:ascii="仿宋_GB2312" w:hAnsi="宋体" w:eastAsia="仿宋_GB2312" w:cs="宋体"/>
      <w:b/>
      <w:bCs/>
      <w:kern w:val="0"/>
      <w:sz w:val="24"/>
      <w:szCs w:val="21"/>
    </w:rPr>
  </w:style>
  <w:style w:type="paragraph" w:customStyle="1" w:styleId="961">
    <w:name w:val="内容正文"/>
    <w:basedOn w:val="1"/>
    <w:qFormat/>
    <w:uiPriority w:val="0"/>
    <w:pPr>
      <w:spacing w:line="312" w:lineRule="auto"/>
      <w:ind w:firstLine="425" w:firstLineChars="200"/>
    </w:pPr>
    <w:rPr>
      <w:sz w:val="24"/>
      <w:szCs w:val="20"/>
    </w:rPr>
  </w:style>
  <w:style w:type="paragraph" w:customStyle="1" w:styleId="962">
    <w:name w:val="表格文字（小号，居中）"/>
    <w:qFormat/>
    <w:uiPriority w:val="0"/>
    <w:pPr>
      <w:widowControl w:val="0"/>
      <w:jc w:val="center"/>
    </w:pPr>
    <w:rPr>
      <w:rFonts w:ascii="Times New Roman" w:hAnsi="Times New Roman" w:eastAsia="宋体" w:cs="Times New Roman"/>
      <w:kern w:val="2"/>
      <w:sz w:val="21"/>
      <w:szCs w:val="24"/>
      <w:lang w:val="en-US" w:eastAsia="zh-CN" w:bidi="ar-SA"/>
    </w:rPr>
  </w:style>
  <w:style w:type="paragraph" w:customStyle="1" w:styleId="963">
    <w:name w:val="三级条标题"/>
    <w:basedOn w:val="1"/>
    <w:qFormat/>
    <w:uiPriority w:val="0"/>
    <w:rPr>
      <w:szCs w:val="21"/>
    </w:rPr>
  </w:style>
  <w:style w:type="paragraph" w:customStyle="1" w:styleId="964">
    <w:name w:val="正文字缩1字"/>
    <w:basedOn w:val="1"/>
    <w:qFormat/>
    <w:uiPriority w:val="0"/>
    <w:pPr>
      <w:spacing w:before="60" w:after="60" w:line="360" w:lineRule="auto"/>
      <w:ind w:left="100" w:leftChars="100" w:firstLine="200" w:firstLineChars="200"/>
    </w:pPr>
    <w:rPr>
      <w:sz w:val="24"/>
    </w:rPr>
  </w:style>
  <w:style w:type="paragraph" w:customStyle="1" w:styleId="965">
    <w:name w:val="xl63"/>
    <w:basedOn w:val="1"/>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line="360" w:lineRule="auto"/>
      <w:ind w:firstLine="200" w:firstLineChars="200"/>
      <w:jc w:val="right"/>
      <w:textAlignment w:val="top"/>
    </w:pPr>
    <w:rPr>
      <w:rFonts w:ascii="Arial Unicode MS" w:hAnsi="Arial Unicode MS" w:eastAsia="Arial Unicode MS"/>
      <w:color w:val="000000"/>
      <w:kern w:val="0"/>
      <w:sz w:val="20"/>
      <w:szCs w:val="20"/>
    </w:rPr>
  </w:style>
  <w:style w:type="paragraph" w:customStyle="1" w:styleId="966">
    <w:name w:val="标题 4（2）"/>
    <w:basedOn w:val="6"/>
    <w:next w:val="1"/>
    <w:qFormat/>
    <w:uiPriority w:val="0"/>
    <w:pPr>
      <w:widowControl/>
      <w:tabs>
        <w:tab w:val="left" w:pos="864"/>
      </w:tabs>
      <w:spacing w:after="156"/>
      <w:ind w:left="1021" w:hanging="1021"/>
      <w:jc w:val="left"/>
    </w:pPr>
    <w:rPr>
      <w:bCs w:val="0"/>
      <w:kern w:val="0"/>
    </w:rPr>
  </w:style>
  <w:style w:type="paragraph" w:customStyle="1" w:styleId="967">
    <w:name w:val="17"/>
    <w:basedOn w:val="1"/>
    <w:next w:val="21"/>
    <w:qFormat/>
    <w:uiPriority w:val="0"/>
    <w:pPr>
      <w:spacing w:after="120" w:line="360" w:lineRule="auto"/>
      <w:ind w:firstLine="420"/>
    </w:pPr>
    <w:rPr>
      <w:sz w:val="24"/>
      <w:szCs w:val="20"/>
    </w:rPr>
  </w:style>
  <w:style w:type="paragraph" w:customStyle="1" w:styleId="968">
    <w:name w:val="图片题注"/>
    <w:basedOn w:val="25"/>
    <w:next w:val="1"/>
    <w:qFormat/>
    <w:uiPriority w:val="0"/>
    <w:pPr>
      <w:spacing w:before="152" w:after="160"/>
      <w:jc w:val="center"/>
    </w:pPr>
    <w:rPr>
      <w:rFonts w:ascii="宋体" w:hAnsi="宋体" w:eastAsia="宋体"/>
      <w:sz w:val="24"/>
    </w:rPr>
  </w:style>
  <w:style w:type="paragraph" w:customStyle="1" w:styleId="969">
    <w:name w:val="表内文字"/>
    <w:basedOn w:val="1"/>
    <w:qFormat/>
    <w:uiPriority w:val="0"/>
    <w:pPr>
      <w:spacing w:line="440" w:lineRule="exact"/>
      <w:ind w:firstLine="200" w:firstLineChars="200"/>
      <w:jc w:val="center"/>
    </w:pPr>
    <w:rPr>
      <w:rFonts w:ascii="楷体_GB2312" w:hAnsi="Arial" w:eastAsia="楷体_GB2312" w:cs="Arial"/>
      <w:b/>
      <w:bCs/>
      <w:sz w:val="30"/>
    </w:rPr>
  </w:style>
  <w:style w:type="paragraph" w:customStyle="1" w:styleId="970">
    <w:name w:val="41"/>
    <w:basedOn w:val="1"/>
    <w:next w:val="450"/>
    <w:qFormat/>
    <w:uiPriority w:val="0"/>
    <w:pPr>
      <w:tabs>
        <w:tab w:val="left" w:pos="540"/>
      </w:tabs>
      <w:spacing w:line="360" w:lineRule="auto"/>
      <w:ind w:firstLine="200" w:firstLineChars="200"/>
    </w:pPr>
    <w:rPr>
      <w:rFonts w:hAnsi="宋体"/>
      <w:sz w:val="24"/>
      <w:szCs w:val="20"/>
    </w:rPr>
  </w:style>
  <w:style w:type="paragraph" w:customStyle="1" w:styleId="971">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72">
    <w:name w:val="样式 标题 5H5口PIM 5h5Second Subheading5l4dsdd第四层条heading ...2"/>
    <w:basedOn w:val="7"/>
    <w:qFormat/>
    <w:uiPriority w:val="0"/>
    <w:pPr>
      <w:tabs>
        <w:tab w:val="left" w:pos="1008"/>
      </w:tabs>
      <w:adjustRightInd/>
      <w:spacing w:before="0" w:after="0" w:line="360" w:lineRule="auto"/>
      <w:ind w:left="1008" w:hanging="1008"/>
      <w:textAlignment w:val="auto"/>
    </w:pPr>
    <w:rPr>
      <w:rFonts w:eastAsia="方正隶书简体"/>
      <w:b w:val="0"/>
      <w:bCs w:val="0"/>
      <w:kern w:val="2"/>
      <w:sz w:val="24"/>
    </w:rPr>
  </w:style>
  <w:style w:type="paragraph" w:customStyle="1" w:styleId="973">
    <w:name w:val="表格标注（2）"/>
    <w:basedOn w:val="877"/>
    <w:next w:val="1"/>
    <w:qFormat/>
    <w:uiPriority w:val="0"/>
  </w:style>
  <w:style w:type="paragraph" w:customStyle="1" w:styleId="974">
    <w:name w:val="目录 1（1）"/>
    <w:basedOn w:val="62"/>
    <w:qFormat/>
    <w:uiPriority w:val="0"/>
    <w:pPr>
      <w:widowControl/>
      <w:tabs>
        <w:tab w:val="left" w:pos="630"/>
        <w:tab w:val="left" w:pos="840"/>
        <w:tab w:val="right" w:leader="dot" w:pos="8296"/>
        <w:tab w:val="right" w:leader="dot" w:pos="8494"/>
      </w:tabs>
      <w:spacing w:before="120" w:after="156"/>
      <w:jc w:val="left"/>
    </w:pPr>
    <w:rPr>
      <w:rFonts w:ascii="Calibri" w:hAnsi="Calibri" w:eastAsia="宋体"/>
      <w:b w:val="0"/>
      <w:bCs/>
      <w:caps/>
      <w:kern w:val="0"/>
      <w:sz w:val="20"/>
      <w:szCs w:val="20"/>
    </w:rPr>
  </w:style>
  <w:style w:type="paragraph" w:customStyle="1" w:styleId="975">
    <w:name w:val="样式 标题 1 + 四号 居中 段前: 12 磅 段后: 12 磅 行距: 单倍行距"/>
    <w:basedOn w:val="3"/>
    <w:qFormat/>
    <w:uiPriority w:val="0"/>
    <w:pPr>
      <w:keepLines/>
      <w:widowControl/>
      <w:tabs>
        <w:tab w:val="left" w:pos="432"/>
      </w:tabs>
      <w:spacing w:before="240" w:after="240"/>
      <w:ind w:left="792" w:firstLine="288"/>
      <w:textAlignment w:val="baseline"/>
    </w:pPr>
    <w:rPr>
      <w:rFonts w:ascii="Times New Roman" w:hAnsi="Times New Roman" w:eastAsia="宋体" w:cs="Times New Roman"/>
      <w:bCs w:val="0"/>
      <w:kern w:val="44"/>
      <w:sz w:val="28"/>
    </w:rPr>
  </w:style>
  <w:style w:type="paragraph" w:customStyle="1" w:styleId="976">
    <w:name w:val="样式 标题 1H1L1 Heading 1h11st levelh111st level1heading 11h..."/>
    <w:basedOn w:val="3"/>
    <w:qFormat/>
    <w:uiPriority w:val="0"/>
    <w:pPr>
      <w:keepLines/>
      <w:widowControl/>
      <w:tabs>
        <w:tab w:val="left" w:pos="432"/>
        <w:tab w:val="left" w:pos="567"/>
        <w:tab w:val="left" w:pos="964"/>
      </w:tabs>
      <w:spacing w:before="340" w:after="330" w:line="576" w:lineRule="auto"/>
      <w:ind w:left="432" w:right="100" w:rightChars="100" w:hanging="432"/>
      <w:jc w:val="left"/>
    </w:pPr>
    <w:rPr>
      <w:rFonts w:ascii="宋体" w:hAnsi="宋体" w:cs="Times New Roman"/>
      <w:bCs w:val="0"/>
      <w:kern w:val="44"/>
      <w:sz w:val="28"/>
    </w:rPr>
  </w:style>
  <w:style w:type="paragraph" w:customStyle="1" w:styleId="977">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Calibri" w:hAnsi="Calibri" w:cs="宋体"/>
      <w:kern w:val="0"/>
      <w:sz w:val="24"/>
      <w:szCs w:val="21"/>
    </w:rPr>
  </w:style>
  <w:style w:type="paragraph" w:customStyle="1" w:styleId="978">
    <w:name w:val="样式 正文首行缩进 2 + 左侧:  2 字符 首行缩进:  2 字符"/>
    <w:basedOn w:val="89"/>
    <w:qFormat/>
    <w:uiPriority w:val="0"/>
    <w:pPr>
      <w:spacing w:line="480" w:lineRule="exact"/>
      <w:ind w:left="200" w:firstLine="200"/>
    </w:pPr>
    <w:rPr>
      <w:rFonts w:ascii="Calibri" w:hAnsi="Calibri"/>
      <w:szCs w:val="20"/>
    </w:rPr>
  </w:style>
  <w:style w:type="paragraph" w:customStyle="1" w:styleId="979">
    <w:name w:val="样式 文本 + 加粗 行距: 固定值 22 磅1"/>
    <w:basedOn w:val="813"/>
    <w:qFormat/>
    <w:uiPriority w:val="0"/>
    <w:pPr>
      <w:spacing w:line="440" w:lineRule="exact"/>
      <w:ind w:left="92" w:firstLine="425" w:firstLineChars="177"/>
    </w:pPr>
    <w:rPr>
      <w:rFonts w:cs="宋体"/>
      <w:bCs/>
      <w:szCs w:val="20"/>
    </w:rPr>
  </w:style>
  <w:style w:type="paragraph" w:customStyle="1" w:styleId="980">
    <w:name w:val="突出显示"/>
    <w:basedOn w:val="426"/>
    <w:next w:val="426"/>
    <w:qFormat/>
    <w:uiPriority w:val="0"/>
    <w:rPr>
      <w:b/>
      <w:bCs/>
      <w:szCs w:val="20"/>
    </w:rPr>
  </w:style>
  <w:style w:type="paragraph" w:customStyle="1" w:styleId="981">
    <w:name w:val="默认段落字体 Para Char Char Char Char Char Char Char Char Char Char Char Char Char"/>
    <w:basedOn w:val="29"/>
    <w:qFormat/>
    <w:uiPriority w:val="0"/>
    <w:rPr>
      <w:rFonts w:ascii="Tahoma" w:hAnsi="Tahoma"/>
      <w:sz w:val="24"/>
    </w:rPr>
  </w:style>
  <w:style w:type="paragraph" w:customStyle="1" w:styleId="982">
    <w:name w:val="Char1 Char Char Char Char Char Char Char Char Char Char Char Char Char Char Char Char Char Char Char Char Char1 Char Char Char Char Char Char Char Char Char1 Char Char Char1 Char Char Char Char Char Char Char"/>
    <w:basedOn w:val="1"/>
    <w:qFormat/>
    <w:uiPriority w:val="0"/>
    <w:pPr>
      <w:widowControl/>
      <w:tabs>
        <w:tab w:val="left" w:pos="525"/>
      </w:tabs>
      <w:spacing w:after="160" w:line="240" w:lineRule="exact"/>
      <w:jc w:val="left"/>
    </w:pPr>
    <w:rPr>
      <w:rFonts w:ascii="Verdana" w:hAnsi="Verdana"/>
      <w:kern w:val="0"/>
      <w:sz w:val="20"/>
      <w:szCs w:val="20"/>
      <w:lang w:eastAsia="en-US"/>
    </w:rPr>
  </w:style>
  <w:style w:type="paragraph" w:customStyle="1" w:styleId="983">
    <w:name w:val="样式 标题 5H5口PIM 5h5Second Subheading5l4dsdd第四层条heading ..."/>
    <w:basedOn w:val="7"/>
    <w:qFormat/>
    <w:uiPriority w:val="0"/>
    <w:pPr>
      <w:tabs>
        <w:tab w:val="left" w:pos="1008"/>
      </w:tabs>
      <w:adjustRightInd/>
      <w:spacing w:before="120" w:after="120" w:line="240" w:lineRule="auto"/>
      <w:ind w:left="1008" w:hanging="1008"/>
      <w:textAlignment w:val="auto"/>
    </w:pPr>
    <w:rPr>
      <w:rFonts w:eastAsia="方正隶书简体" w:cs="宋体"/>
      <w:kern w:val="2"/>
      <w:szCs w:val="20"/>
    </w:rPr>
  </w:style>
  <w:style w:type="paragraph" w:customStyle="1" w:styleId="984">
    <w:name w:val="my标题 2"/>
    <w:basedOn w:val="4"/>
    <w:qFormat/>
    <w:uiPriority w:val="0"/>
    <w:pPr>
      <w:tabs>
        <w:tab w:val="left" w:pos="576"/>
      </w:tabs>
      <w:ind w:left="840" w:hanging="420"/>
    </w:pPr>
    <w:rPr>
      <w:rFonts w:eastAsia="黑体"/>
      <w:shadow/>
      <w:sz w:val="30"/>
      <w:szCs w:val="28"/>
    </w:rPr>
  </w:style>
  <w:style w:type="paragraph" w:customStyle="1" w:styleId="985">
    <w:name w:val="样式 标题 3sect1.2.3h33H3Heading 3 - oldCTLevel 3 Topic Headi...2"/>
    <w:basedOn w:val="5"/>
    <w:qFormat/>
    <w:uiPriority w:val="0"/>
    <w:pPr>
      <w:tabs>
        <w:tab w:val="left" w:pos="720"/>
      </w:tabs>
    </w:pPr>
    <w:rPr>
      <w:rFonts w:ascii="Calibri" w:hAnsi="Calibri" w:eastAsia="楷体_GB2312"/>
      <w:b/>
    </w:rPr>
  </w:style>
  <w:style w:type="paragraph" w:customStyle="1" w:styleId="986">
    <w:name w:val="段落缩进2 小四"/>
    <w:basedOn w:val="1"/>
    <w:qFormat/>
    <w:uiPriority w:val="0"/>
    <w:pPr>
      <w:spacing w:line="360" w:lineRule="auto"/>
      <w:ind w:firstLine="480" w:firstLineChars="200"/>
    </w:pPr>
    <w:rPr>
      <w:rFonts w:ascii="宋体" w:hAnsi="宋体"/>
      <w:sz w:val="24"/>
      <w:szCs w:val="20"/>
    </w:rPr>
  </w:style>
  <w:style w:type="paragraph" w:customStyle="1" w:styleId="987">
    <w:name w:val="cnfont"/>
    <w:basedOn w:val="1"/>
    <w:qFormat/>
    <w:uiPriority w:val="0"/>
    <w:pPr>
      <w:widowControl/>
      <w:spacing w:before="100" w:beforeAutospacing="1" w:after="100" w:afterAutospacing="1" w:line="210" w:lineRule="atLeast"/>
      <w:ind w:firstLine="200" w:firstLineChars="200"/>
      <w:jc w:val="left"/>
    </w:pPr>
    <w:rPr>
      <w:rFonts w:ascii="Arial" w:hAnsi="Arial" w:eastAsia="Arial Unicode MS"/>
      <w:color w:val="000000"/>
      <w:kern w:val="0"/>
      <w:sz w:val="20"/>
      <w:szCs w:val="20"/>
    </w:rPr>
  </w:style>
  <w:style w:type="paragraph" w:customStyle="1" w:styleId="988">
    <w:name w:val="图形索引"/>
    <w:basedOn w:val="11"/>
    <w:next w:val="1"/>
    <w:qFormat/>
    <w:uiPriority w:val="0"/>
    <w:pPr>
      <w:keepNext w:val="0"/>
      <w:widowControl/>
      <w:adjustRightInd/>
      <w:spacing w:beforeLines="50" w:afterLines="50" w:line="420" w:lineRule="auto"/>
      <w:jc w:val="center"/>
      <w:textAlignment w:val="auto"/>
      <w:outlineLvl w:val="9"/>
    </w:pPr>
    <w:rPr>
      <w:rFonts w:ascii="Times New Roman" w:eastAsia="宋体"/>
      <w:kern w:val="2"/>
      <w:sz w:val="24"/>
    </w:rPr>
  </w:style>
  <w:style w:type="paragraph" w:customStyle="1" w:styleId="989">
    <w:name w:val="Char Char1 Char"/>
    <w:basedOn w:val="1"/>
    <w:qFormat/>
    <w:uiPriority w:val="0"/>
    <w:pPr>
      <w:widowControl/>
      <w:snapToGrid w:val="0"/>
      <w:spacing w:before="120" w:after="160" w:line="360" w:lineRule="auto"/>
      <w:ind w:right="-360"/>
      <w:jc w:val="left"/>
    </w:pPr>
    <w:rPr>
      <w:rFonts w:eastAsia="Arial"/>
      <w:sz w:val="24"/>
    </w:rPr>
  </w:style>
  <w:style w:type="paragraph" w:customStyle="1" w:styleId="990">
    <w:name w:val="正文文本 31"/>
    <w:basedOn w:val="1"/>
    <w:qFormat/>
    <w:uiPriority w:val="0"/>
    <w:pPr>
      <w:widowControl/>
      <w:spacing w:after="120" w:line="360" w:lineRule="auto"/>
      <w:ind w:firstLine="200" w:firstLineChars="200"/>
      <w:jc w:val="left"/>
    </w:pPr>
    <w:rPr>
      <w:kern w:val="0"/>
      <w:sz w:val="16"/>
      <w:szCs w:val="16"/>
    </w:rPr>
  </w:style>
  <w:style w:type="paragraph" w:customStyle="1" w:styleId="991">
    <w:name w:val="图内文字5号居左"/>
    <w:qFormat/>
    <w:uiPriority w:val="0"/>
    <w:pPr>
      <w:spacing w:line="360" w:lineRule="auto"/>
      <w:jc w:val="both"/>
    </w:pPr>
    <w:rPr>
      <w:rFonts w:ascii="Times New Roman" w:hAnsi="Times New Roman" w:eastAsia="宋体" w:cs="Times New Roman"/>
      <w:sz w:val="21"/>
      <w:szCs w:val="24"/>
      <w:lang w:val="en-US" w:eastAsia="zh-CN" w:bidi="ar-SA"/>
    </w:rPr>
  </w:style>
  <w:style w:type="paragraph" w:customStyle="1" w:styleId="992">
    <w:name w:val="样式 样式 首行缩进:  2 字符 Char + 桔黄"/>
    <w:basedOn w:val="1"/>
    <w:qFormat/>
    <w:uiPriority w:val="0"/>
    <w:pPr>
      <w:spacing w:line="360" w:lineRule="auto"/>
      <w:ind w:firstLine="480" w:firstLineChars="200"/>
    </w:pPr>
    <w:rPr>
      <w:rFonts w:ascii="宋体" w:hAnsi="宋体"/>
      <w:color w:val="000000"/>
      <w:kern w:val="0"/>
      <w:sz w:val="24"/>
    </w:rPr>
  </w:style>
  <w:style w:type="paragraph" w:customStyle="1" w:styleId="993">
    <w:name w:val="Other|1"/>
    <w:basedOn w:val="1"/>
    <w:qFormat/>
    <w:uiPriority w:val="0"/>
    <w:pPr>
      <w:spacing w:after="200" w:line="422" w:lineRule="auto"/>
      <w:ind w:firstLine="400"/>
    </w:pPr>
    <w:rPr>
      <w:rFonts w:ascii="宋体" w:hAnsi="宋体" w:cs="宋体"/>
      <w:sz w:val="30"/>
      <w:szCs w:val="30"/>
      <w:lang w:val="zh-TW" w:eastAsia="zh-TW" w:bidi="zh-TW"/>
    </w:rPr>
  </w:style>
  <w:style w:type="paragraph" w:customStyle="1" w:styleId="994">
    <w:name w:val="Table caption|1"/>
    <w:basedOn w:val="1"/>
    <w:qFormat/>
    <w:uiPriority w:val="0"/>
    <w:pPr>
      <w:spacing w:after="30"/>
    </w:pPr>
    <w:rPr>
      <w:rFonts w:ascii="宋体" w:hAnsi="宋体" w:cs="宋体"/>
      <w:sz w:val="20"/>
      <w:szCs w:val="20"/>
      <w:lang w:val="zh-TW" w:eastAsia="zh-TW" w:bidi="zh-TW"/>
    </w:rPr>
  </w:style>
  <w:style w:type="paragraph" w:customStyle="1" w:styleId="995">
    <w:name w:val="ql-align-justify"/>
    <w:basedOn w:val="1"/>
    <w:qFormat/>
    <w:uiPriority w:val="0"/>
    <w:pPr>
      <w:widowControl/>
      <w:spacing w:before="100" w:beforeAutospacing="1" w:after="100" w:afterAutospacing="1"/>
      <w:jc w:val="left"/>
    </w:pPr>
    <w:rPr>
      <w:rFonts w:ascii="宋体" w:hAnsi="宋体" w:cs="宋体"/>
      <w:kern w:val="0"/>
      <w:sz w:val="24"/>
    </w:rPr>
  </w:style>
  <w:style w:type="paragraph" w:customStyle="1" w:styleId="996">
    <w:name w:val="正文首行缩进（2）"/>
    <w:basedOn w:val="1"/>
    <w:qFormat/>
    <w:uiPriority w:val="0"/>
    <w:pPr>
      <w:widowControl/>
      <w:spacing w:line="360" w:lineRule="auto"/>
      <w:ind w:firstLine="200" w:firstLineChars="200"/>
      <w:contextualSpacing/>
    </w:pPr>
    <w:rPr>
      <w:rFonts w:ascii="华文仿宋" w:hAnsi="华文仿宋"/>
      <w:kern w:val="0"/>
      <w:sz w:val="24"/>
      <w:szCs w:val="21"/>
    </w:rPr>
  </w:style>
  <w:style w:type="paragraph" w:customStyle="1" w:styleId="997">
    <w:name w:val="B-表正文"/>
    <w:qFormat/>
    <w:uiPriority w:val="99"/>
    <w:rPr>
      <w:rFonts w:ascii="等线" w:hAnsi="等线" w:eastAsia="宋体" w:cs="Times New Roman"/>
      <w:kern w:val="2"/>
      <w:sz w:val="21"/>
      <w:szCs w:val="30"/>
      <w:lang w:val="en-US" w:eastAsia="zh-CN" w:bidi="ar-SA"/>
    </w:rPr>
  </w:style>
  <w:style w:type="paragraph" w:customStyle="1" w:styleId="998">
    <w:name w:val="正文3"/>
    <w:qFormat/>
    <w:uiPriority w:val="0"/>
    <w:pPr>
      <w:jc w:val="both"/>
    </w:pPr>
    <w:rPr>
      <w:rFonts w:ascii="Calibri" w:hAnsi="Calibri" w:eastAsia="宋体" w:cs="Calibri"/>
      <w:kern w:val="2"/>
      <w:sz w:val="21"/>
      <w:szCs w:val="21"/>
      <w:lang w:val="en-US" w:eastAsia="zh-CN" w:bidi="ar-SA"/>
    </w:rPr>
  </w:style>
  <w:style w:type="paragraph" w:customStyle="1" w:styleId="999">
    <w:name w:val="列表段落2"/>
    <w:basedOn w:val="1"/>
    <w:qFormat/>
    <w:uiPriority w:val="0"/>
    <w:pPr>
      <w:spacing w:line="400" w:lineRule="exact"/>
      <w:ind w:firstLine="420" w:firstLineChars="200"/>
    </w:pPr>
    <w:rPr>
      <w:rFonts w:cs="Arial"/>
      <w:sz w:val="24"/>
    </w:rPr>
  </w:style>
  <w:style w:type="paragraph" w:customStyle="1" w:styleId="1000">
    <w:name w:val="font1"/>
    <w:basedOn w:val="1"/>
    <w:qFormat/>
    <w:uiPriority w:val="0"/>
    <w:pPr>
      <w:widowControl/>
      <w:spacing w:before="100" w:beforeAutospacing="1" w:after="100" w:afterAutospacing="1"/>
      <w:jc w:val="left"/>
    </w:pPr>
    <w:rPr>
      <w:rFonts w:ascii="宋体" w:hAnsi="宋体" w:cs="宋体"/>
      <w:b/>
      <w:bCs/>
      <w:color w:val="000000"/>
      <w:kern w:val="0"/>
      <w:sz w:val="22"/>
      <w:szCs w:val="22"/>
    </w:rPr>
  </w:style>
  <w:style w:type="paragraph" w:customStyle="1" w:styleId="1001">
    <w:name w:val="font2"/>
    <w:basedOn w:val="1"/>
    <w:qFormat/>
    <w:uiPriority w:val="0"/>
    <w:pPr>
      <w:widowControl/>
      <w:spacing w:before="100" w:beforeAutospacing="1" w:after="100" w:afterAutospacing="1"/>
      <w:jc w:val="left"/>
    </w:pPr>
    <w:rPr>
      <w:rFonts w:ascii="宋体" w:hAnsi="宋体" w:cs="宋体"/>
      <w:b/>
      <w:bCs/>
      <w:color w:val="000000"/>
      <w:kern w:val="0"/>
      <w:sz w:val="22"/>
      <w:szCs w:val="22"/>
    </w:rPr>
  </w:style>
  <w:style w:type="paragraph" w:customStyle="1" w:styleId="1002">
    <w:name w:val="font3"/>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1003">
    <w:name w:val="font4"/>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1004">
    <w:name w:val="et2"/>
    <w:basedOn w:val="1"/>
    <w:qFormat/>
    <w:uiPriority w:val="0"/>
    <w:pPr>
      <w:widowControl/>
      <w:spacing w:before="100" w:beforeAutospacing="1" w:after="100" w:afterAutospacing="1"/>
      <w:jc w:val="left"/>
    </w:pPr>
    <w:rPr>
      <w:rFonts w:ascii="宋体" w:hAnsi="宋体" w:cs="宋体"/>
      <w:kern w:val="0"/>
      <w:sz w:val="24"/>
    </w:rPr>
  </w:style>
  <w:style w:type="paragraph" w:customStyle="1" w:styleId="1005">
    <w:name w:val="et5"/>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1006">
    <w:name w:val="e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1007">
    <w:name w:val="et7"/>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1008">
    <w:name w:val="et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4"/>
    </w:rPr>
  </w:style>
  <w:style w:type="paragraph" w:customStyle="1" w:styleId="1009">
    <w:name w:val="et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4"/>
    </w:rPr>
  </w:style>
  <w:style w:type="paragraph" w:customStyle="1" w:styleId="1010">
    <w:name w:val="et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top"/>
    </w:pPr>
    <w:rPr>
      <w:rFonts w:ascii="宋体" w:hAnsi="宋体" w:cs="宋体"/>
      <w:color w:val="000000"/>
      <w:kern w:val="0"/>
      <w:sz w:val="24"/>
    </w:rPr>
  </w:style>
  <w:style w:type="paragraph" w:customStyle="1" w:styleId="1011">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textAlignment w:val="top"/>
    </w:pPr>
    <w:rPr>
      <w:rFonts w:ascii="宋体" w:hAnsi="宋体" w:cs="宋体"/>
      <w:color w:val="000000"/>
      <w:kern w:val="0"/>
      <w:sz w:val="24"/>
    </w:rPr>
  </w:style>
  <w:style w:type="paragraph" w:customStyle="1" w:styleId="1012">
    <w:name w:val="et13"/>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C000"/>
      <w:spacing w:before="100" w:beforeAutospacing="1" w:after="100" w:afterAutospacing="1"/>
      <w:textAlignment w:val="top"/>
    </w:pPr>
    <w:rPr>
      <w:rFonts w:ascii="宋体" w:hAnsi="宋体" w:cs="宋体"/>
      <w:color w:val="000000"/>
      <w:kern w:val="0"/>
      <w:sz w:val="24"/>
    </w:rPr>
  </w:style>
  <w:style w:type="paragraph" w:customStyle="1" w:styleId="1013">
    <w:name w:val="et1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FF0000"/>
      <w:kern w:val="0"/>
      <w:sz w:val="24"/>
    </w:rPr>
  </w:style>
  <w:style w:type="paragraph" w:customStyle="1" w:styleId="1014">
    <w:name w:val="et1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4"/>
    </w:rPr>
  </w:style>
  <w:style w:type="paragraph" w:customStyle="1" w:styleId="1015">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1016">
    <w:name w:val="et17"/>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C000"/>
      <w:spacing w:before="100" w:beforeAutospacing="1" w:after="100" w:afterAutospacing="1"/>
      <w:jc w:val="left"/>
    </w:pPr>
    <w:rPr>
      <w:rFonts w:ascii="宋体" w:hAnsi="宋体" w:cs="宋体"/>
      <w:color w:val="000000"/>
      <w:kern w:val="0"/>
      <w:sz w:val="24"/>
    </w:rPr>
  </w:style>
  <w:style w:type="paragraph" w:customStyle="1" w:styleId="1017">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4"/>
    </w:rPr>
  </w:style>
  <w:style w:type="paragraph" w:customStyle="1" w:styleId="1018">
    <w:name w:val="et1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1019">
    <w:name w:val="et2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C000"/>
      <w:spacing w:before="100" w:beforeAutospacing="1" w:after="100" w:afterAutospacing="1"/>
      <w:jc w:val="center"/>
    </w:pPr>
    <w:rPr>
      <w:rFonts w:ascii="宋体" w:hAnsi="宋体" w:cs="宋体"/>
      <w:color w:val="000000"/>
      <w:kern w:val="0"/>
      <w:sz w:val="24"/>
    </w:rPr>
  </w:style>
  <w:style w:type="paragraph" w:customStyle="1" w:styleId="1020">
    <w:name w:val="et21"/>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00"/>
      <w:spacing w:before="100" w:beforeAutospacing="1" w:after="100" w:afterAutospacing="1"/>
      <w:jc w:val="center"/>
    </w:pPr>
    <w:rPr>
      <w:rFonts w:ascii="宋体" w:hAnsi="宋体" w:cs="宋体"/>
      <w:color w:val="000000"/>
      <w:kern w:val="0"/>
      <w:sz w:val="24"/>
    </w:rPr>
  </w:style>
  <w:style w:type="paragraph" w:customStyle="1" w:styleId="1021">
    <w:name w:val="et22"/>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00"/>
      <w:spacing w:before="100" w:beforeAutospacing="1" w:after="100" w:afterAutospacing="1"/>
      <w:jc w:val="left"/>
    </w:pPr>
    <w:rPr>
      <w:rFonts w:ascii="宋体" w:hAnsi="宋体" w:cs="宋体"/>
      <w:color w:val="000000"/>
      <w:kern w:val="0"/>
      <w:sz w:val="24"/>
    </w:rPr>
  </w:style>
  <w:style w:type="paragraph" w:customStyle="1" w:styleId="1022">
    <w:name w:val="et2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4"/>
    </w:rPr>
  </w:style>
  <w:style w:type="paragraph" w:customStyle="1" w:styleId="1023">
    <w:name w:val="et24"/>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00"/>
      <w:spacing w:before="100" w:beforeAutospacing="1" w:after="100" w:afterAutospacing="1"/>
      <w:jc w:val="center"/>
    </w:pPr>
    <w:rPr>
      <w:rFonts w:ascii="宋体" w:hAnsi="宋体" w:cs="宋体"/>
      <w:color w:val="000000"/>
      <w:kern w:val="0"/>
      <w:sz w:val="24"/>
    </w:rPr>
  </w:style>
  <w:style w:type="paragraph" w:customStyle="1" w:styleId="1024">
    <w:name w:val="et25"/>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00"/>
      <w:spacing w:before="100" w:beforeAutospacing="1" w:after="100" w:afterAutospacing="1"/>
      <w:jc w:val="left"/>
    </w:pPr>
    <w:rPr>
      <w:rFonts w:ascii="宋体" w:hAnsi="宋体" w:cs="宋体"/>
      <w:color w:val="000000"/>
      <w:kern w:val="0"/>
      <w:sz w:val="24"/>
    </w:rPr>
  </w:style>
  <w:style w:type="paragraph" w:customStyle="1" w:styleId="1025">
    <w:name w:val="et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4"/>
    </w:rPr>
  </w:style>
  <w:style w:type="paragraph" w:customStyle="1" w:styleId="1026">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4"/>
    </w:rPr>
  </w:style>
  <w:style w:type="paragraph" w:customStyle="1" w:styleId="1027">
    <w:name w:val="et2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4"/>
    </w:rPr>
  </w:style>
  <w:style w:type="paragraph" w:customStyle="1" w:styleId="1028">
    <w:name w:val="et3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ind w:firstLine="200" w:firstLineChars="200"/>
    </w:pPr>
    <w:rPr>
      <w:rFonts w:ascii="宋体" w:hAnsi="宋体" w:cs="宋体"/>
      <w:kern w:val="0"/>
      <w:sz w:val="24"/>
    </w:rPr>
  </w:style>
  <w:style w:type="paragraph" w:customStyle="1" w:styleId="1029">
    <w:name w:val="et3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color w:val="000000"/>
      <w:kern w:val="0"/>
      <w:sz w:val="24"/>
    </w:rPr>
  </w:style>
  <w:style w:type="paragraph" w:customStyle="1" w:styleId="1030">
    <w:name w:val="et3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等线" w:hAnsi="等线" w:eastAsia="等线" w:cs="宋体"/>
      <w:kern w:val="0"/>
      <w:szCs w:val="21"/>
    </w:rPr>
  </w:style>
  <w:style w:type="paragraph" w:customStyle="1" w:styleId="1031">
    <w:name w:val="et3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4"/>
    </w:rPr>
  </w:style>
  <w:style w:type="paragraph" w:customStyle="1" w:styleId="1032">
    <w:name w:val="et3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4"/>
    </w:rPr>
  </w:style>
  <w:style w:type="paragraph" w:customStyle="1" w:styleId="1033">
    <w:name w:val="et3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4"/>
    </w:rPr>
  </w:style>
  <w:style w:type="paragraph" w:customStyle="1" w:styleId="1034">
    <w:name w:val="et37"/>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C000"/>
      <w:spacing w:before="100" w:beforeAutospacing="1" w:after="100" w:afterAutospacing="1"/>
      <w:jc w:val="left"/>
    </w:pPr>
    <w:rPr>
      <w:rFonts w:ascii="宋体" w:hAnsi="宋体" w:cs="宋体"/>
      <w:color w:val="000000"/>
      <w:kern w:val="0"/>
      <w:sz w:val="24"/>
    </w:rPr>
  </w:style>
  <w:style w:type="paragraph" w:customStyle="1" w:styleId="1035">
    <w:name w:val="et3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4"/>
    </w:rPr>
  </w:style>
  <w:style w:type="paragraph" w:customStyle="1" w:styleId="1036">
    <w:name w:val="et3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4"/>
    </w:rPr>
  </w:style>
  <w:style w:type="paragraph" w:customStyle="1" w:styleId="1037">
    <w:name w:val="et4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4"/>
    </w:rPr>
  </w:style>
  <w:style w:type="paragraph" w:customStyle="1" w:styleId="1038">
    <w:name w:val="et4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kern w:val="0"/>
      <w:sz w:val="24"/>
    </w:rPr>
  </w:style>
  <w:style w:type="paragraph" w:customStyle="1" w:styleId="1039">
    <w:name w:val="et42"/>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C000"/>
      <w:spacing w:before="100" w:beforeAutospacing="1" w:after="100" w:afterAutospacing="1"/>
      <w:jc w:val="left"/>
    </w:pPr>
    <w:rPr>
      <w:rFonts w:ascii="宋体" w:hAnsi="宋体" w:cs="宋体"/>
      <w:color w:val="000000"/>
      <w:kern w:val="0"/>
      <w:sz w:val="24"/>
    </w:rPr>
  </w:style>
  <w:style w:type="paragraph" w:customStyle="1" w:styleId="1040">
    <w:name w:val="et4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4"/>
    </w:rPr>
  </w:style>
  <w:style w:type="paragraph" w:customStyle="1" w:styleId="1041">
    <w:name w:val="et4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4"/>
    </w:rPr>
  </w:style>
  <w:style w:type="paragraph" w:customStyle="1" w:styleId="1042">
    <w:name w:val="et45"/>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C000"/>
      <w:spacing w:before="100" w:beforeAutospacing="1" w:after="100" w:afterAutospacing="1"/>
      <w:jc w:val="left"/>
    </w:pPr>
    <w:rPr>
      <w:rFonts w:ascii="宋体" w:hAnsi="宋体" w:cs="宋体"/>
      <w:color w:val="000000"/>
      <w:kern w:val="0"/>
      <w:sz w:val="24"/>
    </w:rPr>
  </w:style>
  <w:style w:type="paragraph" w:customStyle="1" w:styleId="1043">
    <w:name w:val="et46"/>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C000"/>
      <w:spacing w:before="100" w:beforeAutospacing="1" w:after="100" w:afterAutospacing="1"/>
      <w:jc w:val="left"/>
      <w:textAlignment w:val="top"/>
    </w:pPr>
    <w:rPr>
      <w:rFonts w:ascii="宋体" w:hAnsi="宋体" w:cs="宋体"/>
      <w:color w:val="000000"/>
      <w:kern w:val="0"/>
      <w:sz w:val="24"/>
    </w:rPr>
  </w:style>
  <w:style w:type="paragraph" w:customStyle="1" w:styleId="1044">
    <w:name w:val="正文首行缩进 21"/>
    <w:basedOn w:val="38"/>
    <w:next w:val="117"/>
    <w:semiHidden/>
    <w:qFormat/>
    <w:uiPriority w:val="0"/>
    <w:pPr>
      <w:spacing w:before="100" w:beforeAutospacing="1"/>
      <w:ind w:firstLine="420"/>
    </w:pPr>
    <w:rPr>
      <w:rFonts w:eastAsia="等线"/>
      <w:color w:val="0000FF"/>
      <w:szCs w:val="21"/>
    </w:rPr>
  </w:style>
  <w:style w:type="paragraph" w:customStyle="1" w:styleId="1045">
    <w:name w:val="列表段落3"/>
    <w:basedOn w:val="1"/>
    <w:qFormat/>
    <w:uiPriority w:val="0"/>
    <w:pPr>
      <w:ind w:firstLine="420" w:firstLineChars="200"/>
    </w:pPr>
    <w:rPr>
      <w:rFonts w:ascii="等线" w:hAnsi="等线" w:eastAsia="等线"/>
      <w:szCs w:val="21"/>
    </w:rPr>
  </w:style>
  <w:style w:type="paragraph" w:customStyle="1" w:styleId="1046">
    <w:name w:val="正文4"/>
    <w:qFormat/>
    <w:uiPriority w:val="0"/>
    <w:pPr>
      <w:jc w:val="both"/>
    </w:pPr>
    <w:rPr>
      <w:rFonts w:ascii="Calibri" w:hAnsi="Calibri" w:eastAsia="宋体" w:cs="Calibri"/>
      <w:kern w:val="2"/>
      <w:sz w:val="21"/>
      <w:szCs w:val="21"/>
      <w:lang w:val="en-US" w:eastAsia="zh-CN" w:bidi="ar-SA"/>
    </w:rPr>
  </w:style>
  <w:style w:type="paragraph" w:customStyle="1" w:styleId="1047">
    <w:name w:val="et3"/>
    <w:basedOn w:val="1"/>
    <w:qFormat/>
    <w:uiPriority w:val="0"/>
    <w:pPr>
      <w:widowControl/>
      <w:spacing w:before="100" w:beforeAutospacing="1" w:after="100" w:afterAutospacing="1"/>
      <w:jc w:val="left"/>
    </w:pPr>
    <w:rPr>
      <w:rFonts w:ascii="宋体" w:hAnsi="宋体" w:cs="宋体"/>
      <w:b/>
      <w:bCs/>
      <w:color w:val="000000"/>
      <w:kern w:val="0"/>
      <w:sz w:val="24"/>
    </w:rPr>
  </w:style>
  <w:style w:type="paragraph" w:customStyle="1" w:styleId="1048">
    <w:name w:val="et4"/>
    <w:basedOn w:val="1"/>
    <w:qFormat/>
    <w:uiPriority w:val="0"/>
    <w:pPr>
      <w:widowControl/>
      <w:spacing w:before="100" w:beforeAutospacing="1" w:after="100" w:afterAutospacing="1"/>
      <w:jc w:val="left"/>
    </w:pPr>
    <w:rPr>
      <w:rFonts w:ascii="宋体" w:hAnsi="宋体" w:cs="宋体"/>
      <w:b/>
      <w:bCs/>
      <w:color w:val="000000"/>
      <w:kern w:val="0"/>
      <w:sz w:val="24"/>
    </w:rPr>
  </w:style>
  <w:style w:type="paragraph" w:customStyle="1" w:styleId="1049">
    <w:name w:val="正文41"/>
    <w:qFormat/>
    <w:uiPriority w:val="0"/>
    <w:pPr>
      <w:jc w:val="both"/>
    </w:pPr>
    <w:rPr>
      <w:rFonts w:ascii="Calibri" w:hAnsi="Calibri" w:eastAsia="宋体" w:cs="Calibri"/>
      <w:kern w:val="2"/>
      <w:sz w:val="21"/>
      <w:szCs w:val="21"/>
      <w:lang w:val="en-US" w:eastAsia="zh-CN" w:bidi="ar-SA"/>
    </w:rPr>
  </w:style>
  <w:style w:type="paragraph" w:customStyle="1" w:styleId="1050">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051">
    <w:name w:val="ds-markdown-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052">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4"/>
    </w:rPr>
  </w:style>
  <w:style w:type="paragraph" w:customStyle="1" w:styleId="1053">
    <w:name w:val="大标题"/>
    <w:basedOn w:val="1"/>
    <w:next w:val="89"/>
    <w:qFormat/>
    <w:uiPriority w:val="99"/>
    <w:pPr>
      <w:widowControl/>
      <w:tabs>
        <w:tab w:val="left" w:pos="0"/>
        <w:tab w:val="left" w:pos="360"/>
      </w:tabs>
      <w:autoSpaceDE w:val="0"/>
      <w:autoSpaceDN w:val="0"/>
      <w:adjustRightInd w:val="0"/>
      <w:spacing w:before="100" w:beforeAutospacing="1" w:after="100" w:afterAutospacing="1" w:line="360" w:lineRule="auto"/>
      <w:ind w:firstLine="200" w:firstLineChars="200"/>
      <w:textAlignment w:val="center"/>
    </w:pPr>
    <w:rPr>
      <w:rFonts w:ascii="Arial" w:hAnsi="Arial" w:eastAsia="仿宋"/>
      <w:b/>
      <w:color w:val="000000"/>
      <w:spacing w:val="20"/>
      <w:kern w:val="0"/>
      <w:sz w:val="32"/>
      <w:szCs w:val="21"/>
    </w:rPr>
  </w:style>
  <w:style w:type="paragraph" w:customStyle="1" w:styleId="1054">
    <w:name w:val="表内文字居左"/>
    <w:qFormat/>
    <w:uiPriority w:val="0"/>
    <w:pPr>
      <w:widowControl w:val="0"/>
      <w:adjustRightInd w:val="0"/>
      <w:snapToGrid w:val="0"/>
      <w:spacing w:line="360" w:lineRule="auto"/>
      <w:jc w:val="both"/>
    </w:pPr>
    <w:rPr>
      <w:rFonts w:ascii="Times New Roman" w:hAnsi="Times New Roman" w:eastAsia="宋体-简" w:cs="Times New Roman"/>
      <w:kern w:val="2"/>
      <w:sz w:val="21"/>
      <w:szCs w:val="24"/>
      <w:lang w:val="en-US" w:eastAsia="zh-CN" w:bidi="ar-SA"/>
    </w:rPr>
  </w:style>
  <w:style w:type="paragraph" w:customStyle="1" w:styleId="1055">
    <w:name w:val="111表格"/>
    <w:qFormat/>
    <w:uiPriority w:val="0"/>
    <w:pPr>
      <w:jc w:val="center"/>
    </w:pPr>
    <w:rPr>
      <w:rFonts w:ascii="等线" w:hAnsi="等线" w:eastAsia="等线" w:cs="宋体"/>
      <w:bCs/>
      <w:color w:val="000000"/>
      <w:sz w:val="22"/>
      <w:szCs w:val="22"/>
      <w:lang w:val="en-US" w:eastAsia="zh-CN" w:bidi="ar-SA"/>
    </w:rPr>
  </w:style>
  <w:style w:type="paragraph" w:customStyle="1" w:styleId="1056">
    <w:name w:val="列出段落"/>
    <w:basedOn w:val="1"/>
    <w:qFormat/>
    <w:uiPriority w:val="0"/>
    <w:pPr>
      <w:widowControl/>
      <w:spacing w:line="360" w:lineRule="auto"/>
      <w:ind w:firstLine="420" w:firstLineChars="200"/>
      <w:textAlignment w:val="center"/>
    </w:pPr>
    <w:rPr>
      <w:rFonts w:ascii="等线" w:hAnsi="等线" w:eastAsia="等线" w:cs="宋体"/>
      <w:color w:val="000000"/>
      <w:kern w:val="0"/>
      <w:szCs w:val="21"/>
    </w:rPr>
  </w:style>
  <w:style w:type="paragraph" w:customStyle="1" w:styleId="1057">
    <w:name w:val="方案模板正文"/>
    <w:basedOn w:val="38"/>
    <w:qFormat/>
    <w:uiPriority w:val="0"/>
    <w:pPr>
      <w:widowControl/>
      <w:snapToGrid w:val="0"/>
      <w:spacing w:after="0" w:line="360" w:lineRule="auto"/>
      <w:ind w:left="0" w:leftChars="0" w:firstLine="552" w:firstLineChars="200"/>
      <w:textAlignment w:val="center"/>
    </w:pPr>
    <w:rPr>
      <w:rFonts w:ascii="Calibri" w:hAnsi="Calibri" w:eastAsia="仿宋"/>
      <w:color w:val="000000"/>
      <w:kern w:val="0"/>
      <w:szCs w:val="28"/>
    </w:rPr>
  </w:style>
  <w:style w:type="paragraph" w:customStyle="1" w:styleId="1058">
    <w:name w:val="**正文"/>
    <w:basedOn w:val="1"/>
    <w:qFormat/>
    <w:uiPriority w:val="0"/>
    <w:pPr>
      <w:widowControl/>
      <w:wordWrap w:val="0"/>
      <w:adjustRightInd w:val="0"/>
      <w:snapToGrid w:val="0"/>
      <w:spacing w:line="600" w:lineRule="exact"/>
      <w:ind w:firstLine="482" w:firstLineChars="200"/>
      <w:textAlignment w:val="center"/>
    </w:pPr>
    <w:rPr>
      <w:rFonts w:ascii="仿宋" w:hAnsi="仿宋" w:eastAsia="仿宋" w:cs="仿宋"/>
      <w:color w:val="000000"/>
      <w:kern w:val="0"/>
      <w:sz w:val="28"/>
    </w:rPr>
  </w:style>
  <w:style w:type="paragraph" w:customStyle="1" w:styleId="1059">
    <w:name w:val="正文 正文"/>
    <w:basedOn w:val="1"/>
    <w:qFormat/>
    <w:uiPriority w:val="0"/>
    <w:pPr>
      <w:widowControl/>
      <w:numPr>
        <w:ilvl w:val="0"/>
        <w:numId w:val="26"/>
      </w:numPr>
      <w:spacing w:line="360" w:lineRule="auto"/>
      <w:ind w:firstLine="0"/>
      <w:jc w:val="left"/>
      <w:textAlignment w:val="center"/>
    </w:pPr>
    <w:rPr>
      <w:rFonts w:ascii="仿宋" w:hAnsi="仿宋" w:eastAsia="仿宋" w:cs="仿宋"/>
      <w:color w:val="000000"/>
      <w:kern w:val="0"/>
      <w:szCs w:val="28"/>
    </w:rPr>
  </w:style>
  <w:style w:type="paragraph" w:customStyle="1" w:styleId="1060">
    <w:name w:val="正文表"/>
    <w:basedOn w:val="1"/>
    <w:qFormat/>
    <w:uiPriority w:val="0"/>
    <w:pPr>
      <w:widowControl/>
      <w:spacing w:line="360" w:lineRule="auto"/>
      <w:ind w:firstLine="420" w:firstLineChars="200"/>
      <w:textAlignment w:val="center"/>
    </w:pPr>
    <w:rPr>
      <w:rFonts w:ascii="仿宋" w:hAnsi="仿宋" w:eastAsia="仿宋"/>
      <w:color w:val="000000"/>
      <w:kern w:val="0"/>
    </w:rPr>
  </w:style>
  <w:style w:type="paragraph" w:customStyle="1" w:styleId="1061">
    <w:name w:val="l正文"/>
    <w:basedOn w:val="1"/>
    <w:qFormat/>
    <w:uiPriority w:val="0"/>
    <w:pPr>
      <w:widowControl/>
      <w:spacing w:line="360" w:lineRule="auto"/>
      <w:ind w:firstLine="200" w:firstLineChars="200"/>
      <w:textAlignment w:val="center"/>
    </w:pPr>
    <w:rPr>
      <w:rFonts w:eastAsia="仿宋_GB2312" w:asciiTheme="minorEastAsia" w:hAnsiTheme="minorEastAsia"/>
      <w:color w:val="000000"/>
      <w:kern w:val="0"/>
      <w:sz w:val="24"/>
    </w:rPr>
  </w:style>
  <w:style w:type="paragraph" w:customStyle="1" w:styleId="1062">
    <w:name w:val="图表名称"/>
    <w:basedOn w:val="1063"/>
    <w:qFormat/>
    <w:uiPriority w:val="0"/>
    <w:pPr>
      <w:spacing w:before="120" w:after="120"/>
      <w:jc w:val="center"/>
    </w:pPr>
    <w:rPr>
      <w:b/>
      <w:bCs w:val="0"/>
      <w:sz w:val="22"/>
      <w:szCs w:val="28"/>
    </w:rPr>
  </w:style>
  <w:style w:type="paragraph" w:customStyle="1" w:styleId="1063">
    <w:name w:val="pic"/>
    <w:basedOn w:val="1"/>
    <w:qFormat/>
    <w:uiPriority w:val="0"/>
    <w:pPr>
      <w:widowControl/>
      <w:spacing w:line="360" w:lineRule="auto"/>
      <w:ind w:firstLine="420" w:firstLineChars="200"/>
      <w:jc w:val="left"/>
      <w:textAlignment w:val="center"/>
    </w:pPr>
    <w:rPr>
      <w:rFonts w:asciiTheme="majorEastAsia" w:hAnsiTheme="majorHAnsi" w:eastAsiaTheme="majorEastAsia" w:cstheme="majorBidi"/>
      <w:bCs/>
      <w:color w:val="000000"/>
      <w:kern w:val="0"/>
      <w:sz w:val="24"/>
      <w:szCs w:val="32"/>
    </w:rPr>
  </w:style>
  <w:style w:type="paragraph" w:customStyle="1" w:styleId="1064">
    <w:name w:val="无间隔1"/>
    <w:qFormat/>
    <w:uiPriority w:val="1"/>
    <w:pPr>
      <w:widowControl w:val="0"/>
      <w:jc w:val="both"/>
    </w:pPr>
    <w:rPr>
      <w:rFonts w:ascii="仿宋" w:hAnsi="仿宋" w:eastAsia="仿宋" w:cs="Times New Roman"/>
      <w:kern w:val="2"/>
      <w:sz w:val="28"/>
      <w:szCs w:val="21"/>
      <w:lang w:val="en-US" w:eastAsia="zh-CN" w:bidi="ar-SA"/>
    </w:rPr>
  </w:style>
  <w:style w:type="paragraph" w:customStyle="1" w:styleId="1065">
    <w:name w:val="TOC 标题4"/>
    <w:basedOn w:val="3"/>
    <w:next w:val="1"/>
    <w:unhideWhenUsed/>
    <w:qFormat/>
    <w:uiPriority w:val="39"/>
    <w:pPr>
      <w:keepLines/>
      <w:widowControl/>
      <w:spacing w:before="240" w:line="259" w:lineRule="auto"/>
      <w:jc w:val="left"/>
      <w:outlineLvl w:val="9"/>
    </w:pPr>
    <w:rPr>
      <w:rFonts w:asciiTheme="majorHAnsi" w:hAnsiTheme="majorHAnsi" w:eastAsiaTheme="majorEastAsia" w:cstheme="majorBidi"/>
      <w:bCs w:val="0"/>
      <w:color w:val="376092" w:themeColor="accent1" w:themeShade="BF"/>
      <w:kern w:val="0"/>
      <w:sz w:val="32"/>
      <w:szCs w:val="32"/>
    </w:rPr>
  </w:style>
  <w:style w:type="character" w:customStyle="1" w:styleId="1066">
    <w:name w:val="Unresolved Mention"/>
    <w:basedOn w:val="92"/>
    <w:semiHidden/>
    <w:unhideWhenUsed/>
    <w:qFormat/>
    <w:uiPriority w:val="99"/>
    <w:rPr>
      <w:color w:val="605E5C"/>
      <w:shd w:val="clear" w:color="auto" w:fill="E1DFDD"/>
    </w:rPr>
  </w:style>
  <w:style w:type="paragraph" w:customStyle="1" w:styleId="1067">
    <w:name w:val="样式 正文文本缩进 + 左  0 字符"/>
    <w:basedOn w:val="38"/>
    <w:qFormat/>
    <w:uiPriority w:val="0"/>
    <w:pPr>
      <w:spacing w:after="0"/>
      <w:ind w:left="0" w:firstLine="200"/>
    </w:pPr>
    <w:rPr>
      <w:rFonts w:cs="宋体"/>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99</Pages>
  <Words>3920</Words>
  <Characters>4584</Characters>
  <Lines>5617</Lines>
  <Paragraphs>4984</Paragraphs>
  <TotalTime>9</TotalTime>
  <ScaleCrop>false</ScaleCrop>
  <LinksUpToDate>false</LinksUpToDate>
  <CharactersWithSpaces>4784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2025-12-25T04:11:00Z</dcterms:created>
  <dc:creator>admin</dc:creator>
  <cp:lastModifiedBy>平凡五哥</cp:lastModifiedBy>
  <cp:lastPrinted>2024-05-08T00:12:00Z</cp:lastPrinted>
  <dcterms:modified xsi:type="dcterms:W3CDTF">2026-08-18T04:33:21Z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C209C948D7DD48399A88344E58AD2AA6_13</vt:lpwstr>
  </property>
  <property fmtid="{D5CDD505-2E9C-101B-9397-08002B2CF9AE}" pid="4" name="KSOTemplateDocerSaveRecord">
    <vt:lpwstr>eyJoZGlkIjoiMjUyODc5YWQxNTViZWI5Y2Y4MGFiNTQwYTU0M2U2MTgiLCJ1c2VySWQiOiI0MzU5NDEwMjIifQ==</vt:lpwstr>
  </property>
</Properties>
</file>