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25F46">
      <w:pPr>
        <w:keepNext/>
        <w:widowControl w:val="0"/>
        <w:bidi w:val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21"/>
          <w:szCs w:val="21"/>
          <w:lang w:val="en-US" w:eastAsia="zh-CN" w:bidi="ar-SA"/>
        </w:rPr>
      </w:pPr>
      <w:bookmarkStart w:id="0" w:name="_Toc6884"/>
      <w:bookmarkStart w:id="1" w:name="_Toc72751776"/>
      <w:bookmarkStart w:id="2" w:name="_Toc23336"/>
      <w:r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  <w:t>采购需求</w:t>
      </w:r>
      <w:bookmarkEnd w:id="0"/>
      <w:bookmarkEnd w:id="1"/>
      <w:bookmarkEnd w:id="2"/>
    </w:p>
    <w:p w14:paraId="373115DF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2F0C8E41">
      <w:pPr>
        <w:widowControl w:val="0"/>
        <w:spacing w:after="120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一、项目基本信息</w:t>
      </w:r>
    </w:p>
    <w:p w14:paraId="22F8E43F">
      <w:pPr>
        <w:widowControl w:val="0"/>
        <w:spacing w:after="120" w:line="360" w:lineRule="auto"/>
        <w:ind w:firstLine="240" w:firstLineChars="100"/>
        <w:jc w:val="both"/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1.项目名称：临湘市林业科学技术研究所花木培育基础设施建设项目</w:t>
      </w:r>
    </w:p>
    <w:p w14:paraId="4FEE3819">
      <w:pPr>
        <w:widowControl w:val="0"/>
        <w:spacing w:after="120" w:line="360" w:lineRule="auto"/>
        <w:ind w:firstLine="240" w:firstLineChars="100"/>
        <w:jc w:val="both"/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2.项目概况及建设内容：本工程为临湘市林科所花木培育基础设施建设项目 ，主要内容包括：有病虫害监测室工程、100m³清水池工程、472㎡标准化花木钢架培育大棚工程、402米宽3.5米基地生产主干道硬化工程、配套设施专业工程、菊花种资源扩繁、技术服务与科普、项目前期与运维、珍稀树种苗木、花卉培育等基础设施。</w:t>
      </w:r>
    </w:p>
    <w:p w14:paraId="2FD11D1C">
      <w:pPr>
        <w:widowControl w:val="0"/>
        <w:spacing w:after="120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二、质量标准及技术要求</w:t>
      </w:r>
    </w:p>
    <w:p w14:paraId="3A0C7487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工程质量达到国家现行施工验收规范合格标准。严格按施工图、清单、规范及技术交底施工，所有材料、设备须合格并提供完整质保资料，不合格材料严禁进场。</w:t>
      </w:r>
    </w:p>
    <w:p w14:paraId="088FBE3F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三、工期要求：</w:t>
      </w:r>
      <w:r>
        <w:rPr>
          <w:rFonts w:hint="eastAsia" w:ascii="新宋体" w:hAnsi="新宋体" w:eastAsia="新宋体" w:cs="新宋体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60日历天</w:t>
      </w:r>
    </w:p>
    <w:p w14:paraId="0EB3A9CA">
      <w:pPr>
        <w:widowControl w:val="0"/>
        <w:numPr>
          <w:ilvl w:val="0"/>
          <w:numId w:val="0"/>
        </w:numPr>
        <w:spacing w:after="120" w:line="360" w:lineRule="auto"/>
        <w:ind w:left="360" w:leftChars="0" w:firstLine="241" w:firstLineChars="1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四、现场施工管理要求</w:t>
      </w:r>
    </w:p>
    <w:p w14:paraId="49EBF99E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成交供应商须严格落实安全文明施工、扬尘、降噪及现场防护措施，杜绝安全事故。施工全过程服从采购人、监理统一管理，做好成品保护，规范施工工序。</w:t>
      </w:r>
    </w:p>
    <w:p w14:paraId="76DF4C21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五、材料运输、保管及人员保险要求</w:t>
      </w:r>
    </w:p>
    <w:p w14:paraId="187BEA72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所有材料、设备的采购、运输、装卸、二次转运、现场保管、成品保护均由成交供应商负责，费用包含在包干报价内。施工期间所有进场人员须购买足额保险，发生安全事故、工伤纠纷及经济损失由供应商全权承担。</w:t>
      </w:r>
    </w:p>
    <w:p w14:paraId="0F8FDBBE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六、工程变更管理要求</w:t>
      </w:r>
    </w:p>
    <w:p w14:paraId="3903F33E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项目实施期间严禁擅自变更施工内容及工程量。确需变更的，须按程序报批，经采购人、监理及主管部门审核备案后方可实施，严格遵守政府采购变更管理规定。</w:t>
      </w:r>
    </w:p>
    <w:p w14:paraId="56EEB34F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七、项目验收要求</w:t>
      </w:r>
    </w:p>
    <w:p w14:paraId="62ECB5E8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default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工程完工后供应商自检合格，报请采购人、监理组织竣工验收。验收严格对照图纸、清单、变更资料逐项核验。验收不合格的，供应商须无偿限期整改，直至验收合格，验收结果作为付款依据。</w:t>
      </w:r>
    </w:p>
    <w:p w14:paraId="2C2337FA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八、质保保修要求</w:t>
      </w:r>
    </w:p>
    <w:p w14:paraId="4AD70E0C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整体质保按国家及行业现行标准执行，质保期自竣工验收合格之日起计算。质保期内因施工、材料、安装原因造成损坏、故障的，供应商须48小时内到场免费维修、更换。</w:t>
      </w:r>
    </w:p>
    <w:p w14:paraId="292107A3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九、报价及费用说明</w:t>
      </w:r>
    </w:p>
    <w:p w14:paraId="34415062">
      <w:pPr>
        <w:widowControl w:val="0"/>
        <w:numPr>
          <w:ilvl w:val="0"/>
          <w:numId w:val="0"/>
        </w:numPr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本项目为固定总价包干。供应商须自行踏勘现场，充分预判施工风险，报价包含人工、材料、机械、运输、安装、文明施工、保险、税费、质保、验收及所有隐性费用，采购人不另行追加任何费用。严禁低于成本恶意竞标。</w:t>
      </w:r>
    </w:p>
    <w:p w14:paraId="0D2A9F0A">
      <w:pPr>
        <w:widowControl w:val="0"/>
        <w:numPr>
          <w:ilvl w:val="0"/>
          <w:numId w:val="0"/>
        </w:numPr>
        <w:spacing w:after="120" w:line="360" w:lineRule="auto"/>
        <w:ind w:firstLine="482" w:firstLineChars="200"/>
        <w:jc w:val="both"/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十、付款方式</w:t>
      </w:r>
      <w:bookmarkStart w:id="3" w:name="_GoBack"/>
      <w:bookmarkEnd w:id="3"/>
    </w:p>
    <w:p w14:paraId="558A5CD6">
      <w:pPr>
        <w:widowControl w:val="0"/>
        <w:spacing w:after="120" w:line="360" w:lineRule="auto"/>
        <w:ind w:firstLine="480" w:firstLineChars="200"/>
        <w:jc w:val="both"/>
        <w:rPr>
          <w:rFonts w:hint="eastAsia" w:ascii="新宋体" w:hAnsi="新宋体" w:eastAsia="新宋体" w:cs="新宋体"/>
          <w:color w:val="auto"/>
          <w:ker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付款节点、比例及支付条件按政府采购合同及财政资金拨付规定执行，以最终合同约定为准。</w:t>
      </w:r>
    </w:p>
    <w:p w14:paraId="54EE9F27">
      <w:pPr>
        <w:spacing w:line="360" w:lineRule="auto"/>
        <w:rPr>
          <w:rFonts w:hint="eastAsia" w:ascii="新宋体" w:hAnsi="新宋体" w:eastAsia="新宋体" w:cs="新宋体"/>
          <w:i w:val="0"/>
          <w:iCs/>
          <w:color w:val="0000FF"/>
          <w:kern w:val="0"/>
          <w:sz w:val="24"/>
          <w:szCs w:val="24"/>
          <w:u w:val="none"/>
          <w:lang w:val="en-US" w:eastAsia="zh-CN"/>
        </w:rPr>
      </w:pPr>
    </w:p>
    <w:p w14:paraId="644B7323">
      <w:pPr>
        <w:widowControl w:val="0"/>
        <w:spacing w:after="12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6FCAA4E9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14CF3D4A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2F3AB16A">
      <w:pPr>
        <w:widowControl w:val="0"/>
        <w:spacing w:after="120" w:line="360" w:lineRule="auto"/>
        <w:jc w:val="both"/>
        <w:rPr>
          <w:rFonts w:hint="eastAsia" w:ascii="新宋体" w:hAnsi="新宋体" w:eastAsia="新宋体" w:cs="新宋体"/>
          <w:color w:val="auto"/>
          <w:ker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</w:pPr>
    </w:p>
    <w:p w14:paraId="3A65C895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4BFF9F19">
      <w:pPr>
        <w:keepNext/>
        <w:widowControl w:val="0"/>
        <w:bidi w:val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</w:pPr>
    </w:p>
    <w:p w14:paraId="2FF58232">
      <w:pPr>
        <w:keepNext/>
        <w:widowControl w:val="0"/>
        <w:bidi w:val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</w:pPr>
    </w:p>
    <w:p w14:paraId="235192D5">
      <w:pPr>
        <w:keepNext/>
        <w:widowControl w:val="0"/>
        <w:bidi w:val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</w:pPr>
    </w:p>
    <w:p w14:paraId="0B9FC032">
      <w:pPr>
        <w:keepNext/>
        <w:widowControl w:val="0"/>
        <w:bidi w:val="0"/>
        <w:jc w:val="both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</w:pPr>
    </w:p>
    <w:p w14:paraId="7795DE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0319B"/>
    <w:rsid w:val="7950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2026-10-10T06:42:00Z</dcterms:created>
  <dc:creator>Administrator</dc:creator>
  <cp:lastModifiedBy>Administrator</cp:lastModifiedBy>
  <dcterms:modified xsi:type="dcterms:W3CDTF">2026-10-10T06:42:59Z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D33A82273D7F4B828A90FF04DAF0579B_11</vt:lpwstr>
  </property>
  <property fmtid="{D5CDD505-2E9C-101B-9397-08002B2CF9AE}" pid="4" name="KSOTemplateDocerSaveRecord">
    <vt:lpwstr>eyJoZGlkIjoiOWJkNmZlZjkyZTU4YTA3YzJjYjIyNzZjNTZiMTY1NjMiLCJ1c2VySWQiOiIyNzgxNjMwIn0=</vt:lpwstr>
  </property>
</Properties>
</file>