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B6DDD3">
      <w:pPr>
        <w:pStyle w:val="19"/>
        <w:adjustRightInd w:val="0"/>
        <w:snapToGrid w:val="0"/>
        <w:spacing w:line="240" w:lineRule="atLeast"/>
        <w:jc w:val="center"/>
        <w:rPr>
          <w:rFonts w:hAnsi="宋体"/>
          <w:color w:val="auto"/>
          <w:highlight w:val="none"/>
        </w:rPr>
      </w:pPr>
    </w:p>
    <w:p w14:paraId="6D3049E4">
      <w:pPr>
        <w:pStyle w:val="19"/>
        <w:adjustRightInd w:val="0"/>
        <w:snapToGrid w:val="0"/>
        <w:spacing w:line="240" w:lineRule="atLeast"/>
        <w:jc w:val="center"/>
        <w:rPr>
          <w:rFonts w:hAnsi="宋体"/>
          <w:color w:val="auto"/>
          <w:highlight w:val="none"/>
        </w:rPr>
      </w:pPr>
    </w:p>
    <w:p w14:paraId="48784885">
      <w:pPr>
        <w:pStyle w:val="19"/>
        <w:adjustRightInd w:val="0"/>
        <w:snapToGrid w:val="0"/>
        <w:spacing w:line="240" w:lineRule="atLeast"/>
        <w:jc w:val="center"/>
        <w:rPr>
          <w:rFonts w:hAnsi="宋体"/>
          <w:color w:val="auto"/>
          <w:highlight w:val="none"/>
        </w:rPr>
      </w:pPr>
    </w:p>
    <w:p w14:paraId="65AE3121">
      <w:pPr>
        <w:pStyle w:val="19"/>
        <w:adjustRightInd w:val="0"/>
        <w:snapToGrid w:val="0"/>
        <w:spacing w:line="240" w:lineRule="atLeast"/>
        <w:jc w:val="center"/>
        <w:rPr>
          <w:rFonts w:hAnsi="宋体"/>
          <w:color w:val="auto"/>
          <w:highlight w:val="none"/>
        </w:rPr>
      </w:pPr>
    </w:p>
    <w:p w14:paraId="39276134">
      <w:pPr>
        <w:pStyle w:val="19"/>
        <w:adjustRightInd w:val="0"/>
        <w:snapToGrid w:val="0"/>
        <w:spacing w:line="240" w:lineRule="atLeast"/>
        <w:jc w:val="center"/>
        <w:rPr>
          <w:rFonts w:hint="eastAsia" w:ascii="黑体" w:hAnsi="黑体" w:eastAsia="黑体" w:cs="黑体"/>
          <w:bCs/>
          <w:color w:val="auto"/>
          <w:sz w:val="72"/>
          <w:szCs w:val="72"/>
          <w:highlight w:val="none"/>
        </w:rPr>
      </w:pPr>
      <w:r>
        <w:rPr>
          <w:rFonts w:hint="eastAsia" w:ascii="黑体" w:hAnsi="黑体" w:eastAsia="黑体" w:cs="黑体"/>
          <w:bCs/>
          <w:color w:val="auto"/>
          <w:sz w:val="72"/>
          <w:szCs w:val="72"/>
          <w:highlight w:val="none"/>
        </w:rPr>
        <w:t>政府采购</w:t>
      </w:r>
    </w:p>
    <w:p w14:paraId="5B219DAE">
      <w:pPr>
        <w:pStyle w:val="19"/>
        <w:adjustRightInd w:val="0"/>
        <w:snapToGrid w:val="0"/>
        <w:spacing w:line="240" w:lineRule="atLeast"/>
        <w:jc w:val="center"/>
        <w:rPr>
          <w:rFonts w:hint="eastAsia" w:ascii="黑体" w:hAnsi="黑体" w:eastAsia="黑体" w:cs="黑体"/>
          <w:bCs/>
          <w:color w:val="auto"/>
          <w:sz w:val="72"/>
          <w:szCs w:val="72"/>
          <w:highlight w:val="none"/>
        </w:rPr>
      </w:pPr>
      <w:r>
        <w:rPr>
          <w:rFonts w:hint="eastAsia" w:ascii="黑体" w:hAnsi="黑体" w:eastAsia="黑体" w:cs="黑体"/>
          <w:bCs/>
          <w:color w:val="auto"/>
          <w:sz w:val="72"/>
          <w:szCs w:val="72"/>
          <w:highlight w:val="none"/>
        </w:rPr>
        <w:t>货物项目招标文件</w:t>
      </w:r>
    </w:p>
    <w:p w14:paraId="435D6C38">
      <w:pPr>
        <w:pStyle w:val="19"/>
        <w:adjustRightInd w:val="0"/>
        <w:snapToGrid w:val="0"/>
        <w:spacing w:line="240" w:lineRule="atLeast"/>
        <w:jc w:val="center"/>
        <w:rPr>
          <w:rFonts w:ascii="华文中宋" w:hAnsi="华文中宋" w:eastAsia="华文中宋"/>
          <w:b/>
          <w:bCs/>
          <w:color w:val="auto"/>
          <w:sz w:val="44"/>
          <w:szCs w:val="44"/>
          <w:highlight w:val="none"/>
        </w:rPr>
      </w:pPr>
    </w:p>
    <w:p w14:paraId="6455E5A8">
      <w:pPr>
        <w:pStyle w:val="19"/>
        <w:adjustRightInd w:val="0"/>
        <w:snapToGrid w:val="0"/>
        <w:spacing w:line="240" w:lineRule="atLeast"/>
        <w:jc w:val="center"/>
        <w:rPr>
          <w:rFonts w:ascii="华文中宋" w:hAnsi="华文中宋" w:eastAsia="华文中宋"/>
          <w:b/>
          <w:bCs/>
          <w:color w:val="auto"/>
          <w:sz w:val="44"/>
          <w:szCs w:val="44"/>
          <w:highlight w:val="none"/>
        </w:rPr>
      </w:pPr>
    </w:p>
    <w:p w14:paraId="1A16C65D">
      <w:pPr>
        <w:pStyle w:val="19"/>
        <w:adjustRightInd w:val="0"/>
        <w:snapToGrid w:val="0"/>
        <w:spacing w:line="240" w:lineRule="atLeast"/>
        <w:jc w:val="center"/>
        <w:rPr>
          <w:rFonts w:ascii="华文中宋" w:hAnsi="华文中宋" w:eastAsia="华文中宋"/>
          <w:b/>
          <w:bCs/>
          <w:color w:val="auto"/>
          <w:sz w:val="44"/>
          <w:szCs w:val="44"/>
          <w:highlight w:val="none"/>
        </w:rPr>
      </w:pPr>
    </w:p>
    <w:p w14:paraId="274744F5">
      <w:pPr>
        <w:pStyle w:val="19"/>
        <w:adjustRightInd w:val="0"/>
        <w:snapToGrid w:val="0"/>
        <w:spacing w:line="240" w:lineRule="atLeast"/>
        <w:jc w:val="center"/>
        <w:rPr>
          <w:rFonts w:ascii="华文中宋" w:hAnsi="华文中宋" w:eastAsia="华文中宋"/>
          <w:b/>
          <w:bCs/>
          <w:color w:val="auto"/>
          <w:sz w:val="44"/>
          <w:szCs w:val="44"/>
          <w:highlight w:val="none"/>
        </w:rPr>
      </w:pPr>
    </w:p>
    <w:p w14:paraId="06D30C00">
      <w:pPr>
        <w:pStyle w:val="19"/>
        <w:adjustRightInd w:val="0"/>
        <w:snapToGrid w:val="0"/>
        <w:spacing w:line="240" w:lineRule="atLeast"/>
        <w:jc w:val="center"/>
        <w:rPr>
          <w:rFonts w:ascii="华文中宋" w:hAnsi="华文中宋" w:eastAsia="华文中宋"/>
          <w:b/>
          <w:bCs/>
          <w:color w:val="auto"/>
          <w:sz w:val="44"/>
          <w:szCs w:val="44"/>
          <w:highlight w:val="none"/>
        </w:rPr>
      </w:pPr>
    </w:p>
    <w:p w14:paraId="095682DD">
      <w:pPr>
        <w:pStyle w:val="19"/>
        <w:adjustRightInd w:val="0"/>
        <w:snapToGrid w:val="0"/>
        <w:spacing w:line="240" w:lineRule="atLeast"/>
        <w:jc w:val="center"/>
        <w:rPr>
          <w:rFonts w:ascii="华文中宋" w:hAnsi="华文中宋" w:eastAsia="华文中宋"/>
          <w:bCs/>
          <w:color w:val="auto"/>
          <w:highlight w:val="none"/>
        </w:rPr>
      </w:pPr>
    </w:p>
    <w:p w14:paraId="4F450821">
      <w:pPr>
        <w:adjustRightInd w:val="0"/>
        <w:snapToGrid w:val="0"/>
        <w:spacing w:line="360" w:lineRule="auto"/>
        <w:ind w:left="3300" w:hanging="2180"/>
        <w:rPr>
          <w:b/>
          <w:color w:val="auto"/>
          <w:szCs w:val="21"/>
          <w:highlight w:val="none"/>
        </w:rPr>
      </w:pPr>
      <w:r>
        <w:rPr>
          <w:rFonts w:hint="eastAsia" w:hAnsi="宋体"/>
          <w:b/>
          <w:color w:val="auto"/>
          <w:sz w:val="32"/>
          <w:szCs w:val="32"/>
          <w:highlight w:val="none"/>
        </w:rPr>
        <w:t>采购项目名称：</w:t>
      </w:r>
      <w:r>
        <w:rPr>
          <w:rStyle w:val="49"/>
          <w:rFonts w:hint="eastAsia" w:ascii="宋体"/>
          <w:b/>
          <w:color w:val="auto"/>
          <w:sz w:val="32"/>
          <w:szCs w:val="21"/>
          <w:highlight w:val="none"/>
          <w:u w:val="single" w:color="000000"/>
        </w:rPr>
        <w:t>2026年传染病实验室检测仪器设备</w:t>
      </w:r>
    </w:p>
    <w:p w14:paraId="19B5E5C3">
      <w:pPr>
        <w:snapToGrid w:val="0"/>
        <w:spacing w:line="360" w:lineRule="auto"/>
        <w:ind w:left="3526" w:leftChars="608" w:hanging="2249" w:hangingChars="700"/>
        <w:textAlignment w:val="baseline"/>
        <w:rPr>
          <w:rStyle w:val="49"/>
          <w:rFonts w:hAnsi="宋体"/>
          <w:b/>
          <w:color w:val="auto"/>
          <w:sz w:val="32"/>
          <w:szCs w:val="32"/>
          <w:highlight w:val="none"/>
        </w:rPr>
      </w:pPr>
      <w:r>
        <w:rPr>
          <w:rStyle w:val="49"/>
          <w:rFonts w:hAnsi="宋体"/>
          <w:b/>
          <w:color w:val="auto"/>
          <w:sz w:val="32"/>
          <w:szCs w:val="32"/>
          <w:highlight w:val="none"/>
        </w:rPr>
        <w:t>政府采购编号：</w:t>
      </w:r>
      <w:r>
        <w:rPr>
          <w:rStyle w:val="49"/>
          <w:rFonts w:hint="eastAsia" w:ascii="宋体"/>
          <w:b/>
          <w:color w:val="auto"/>
          <w:sz w:val="32"/>
          <w:szCs w:val="21"/>
          <w:highlight w:val="none"/>
          <w:u w:val="single" w:color="000000"/>
        </w:rPr>
        <w:t xml:space="preserve">（2026）430200000024-1、（2026）430200000024-2 </w:t>
      </w:r>
    </w:p>
    <w:p w14:paraId="5A3E72C4">
      <w:pPr>
        <w:snapToGrid w:val="0"/>
        <w:spacing w:line="360" w:lineRule="auto"/>
        <w:ind w:firstLine="1124" w:firstLineChars="350"/>
        <w:textAlignment w:val="baseline"/>
        <w:rPr>
          <w:rStyle w:val="49"/>
          <w:rFonts w:hAnsi="宋体"/>
          <w:b/>
          <w:color w:val="auto"/>
          <w:sz w:val="32"/>
          <w:szCs w:val="32"/>
          <w:highlight w:val="none"/>
          <w:u w:val="single" w:color="000000"/>
        </w:rPr>
      </w:pPr>
      <w:r>
        <w:rPr>
          <w:rStyle w:val="49"/>
          <w:rFonts w:hint="eastAsia" w:hAnsi="宋体"/>
          <w:b/>
          <w:color w:val="auto"/>
          <w:sz w:val="32"/>
          <w:szCs w:val="32"/>
          <w:highlight w:val="none"/>
        </w:rPr>
        <w:t>采购代理编号</w:t>
      </w:r>
      <w:r>
        <w:rPr>
          <w:rStyle w:val="49"/>
          <w:rFonts w:hAnsi="宋体"/>
          <w:b/>
          <w:color w:val="auto"/>
          <w:sz w:val="32"/>
          <w:szCs w:val="32"/>
          <w:highlight w:val="none"/>
        </w:rPr>
        <w:t>：</w:t>
      </w:r>
      <w:r>
        <w:rPr>
          <w:rStyle w:val="49"/>
          <w:rFonts w:hint="eastAsia" w:ascii="宋体"/>
          <w:b/>
          <w:color w:val="auto"/>
          <w:sz w:val="32"/>
          <w:szCs w:val="21"/>
          <w:highlight w:val="none"/>
          <w:u w:val="single" w:color="000000"/>
        </w:rPr>
        <w:t xml:space="preserve">HNHF-26017 </w:t>
      </w:r>
      <w:r>
        <w:rPr>
          <w:rStyle w:val="49"/>
          <w:rFonts w:ascii="宋体"/>
          <w:b/>
          <w:color w:val="auto"/>
          <w:sz w:val="32"/>
          <w:szCs w:val="21"/>
          <w:highlight w:val="none"/>
          <w:u w:val="single" w:color="000000"/>
        </w:rPr>
        <w:t xml:space="preserve">              </w:t>
      </w:r>
      <w:r>
        <w:rPr>
          <w:rStyle w:val="49"/>
          <w:rFonts w:hint="eastAsia" w:ascii="宋体"/>
          <w:b/>
          <w:color w:val="auto"/>
          <w:sz w:val="32"/>
          <w:szCs w:val="21"/>
          <w:highlight w:val="none"/>
          <w:u w:val="single" w:color="000000"/>
        </w:rPr>
        <w:t xml:space="preserve">  </w:t>
      </w:r>
      <w:r>
        <w:rPr>
          <w:rStyle w:val="49"/>
          <w:rFonts w:ascii="宋体"/>
          <w:b/>
          <w:color w:val="auto"/>
          <w:sz w:val="32"/>
          <w:szCs w:val="21"/>
          <w:highlight w:val="none"/>
          <w:u w:val="single" w:color="000000"/>
        </w:rPr>
        <w:t xml:space="preserve">  </w:t>
      </w:r>
      <w:r>
        <w:rPr>
          <w:rStyle w:val="49"/>
          <w:rFonts w:hint="eastAsia" w:ascii="宋体"/>
          <w:b/>
          <w:color w:val="auto"/>
          <w:sz w:val="32"/>
          <w:szCs w:val="21"/>
          <w:highlight w:val="none"/>
          <w:u w:val="single" w:color="000000"/>
        </w:rPr>
        <w:t xml:space="preserve"> </w:t>
      </w:r>
      <w:r>
        <w:rPr>
          <w:rStyle w:val="49"/>
          <w:rFonts w:ascii="宋体"/>
          <w:b/>
          <w:color w:val="auto"/>
          <w:sz w:val="32"/>
          <w:szCs w:val="21"/>
          <w:highlight w:val="none"/>
          <w:u w:val="single" w:color="000000"/>
        </w:rPr>
        <w:t xml:space="preserve"> </w:t>
      </w:r>
    </w:p>
    <w:p w14:paraId="1549F00C">
      <w:pPr>
        <w:snapToGrid w:val="0"/>
        <w:spacing w:line="360" w:lineRule="auto"/>
        <w:ind w:firstLine="1124" w:firstLineChars="350"/>
        <w:textAlignment w:val="baseline"/>
        <w:rPr>
          <w:rStyle w:val="49"/>
          <w:rFonts w:hint="default" w:ascii="宋体"/>
          <w:b/>
          <w:color w:val="auto"/>
          <w:sz w:val="32"/>
          <w:szCs w:val="21"/>
          <w:highlight w:val="none"/>
          <w:u w:val="single" w:color="000000"/>
        </w:rPr>
      </w:pPr>
      <w:r>
        <w:rPr>
          <w:rStyle w:val="49"/>
          <w:rFonts w:hAnsi="宋体"/>
          <w:b/>
          <w:color w:val="auto"/>
          <w:sz w:val="32"/>
          <w:szCs w:val="32"/>
          <w:highlight w:val="none"/>
        </w:rPr>
        <w:t>采   购   人：</w:t>
      </w:r>
      <w:r>
        <w:rPr>
          <w:rStyle w:val="49"/>
          <w:rFonts w:hint="default" w:ascii="宋体"/>
          <w:b/>
          <w:color w:val="auto"/>
          <w:sz w:val="32"/>
          <w:szCs w:val="21"/>
          <w:highlight w:val="none"/>
          <w:u w:val="single" w:color="000000"/>
        </w:rPr>
        <w:t>株洲市疾病预防控制中心（株洲市卫生</w:t>
      </w:r>
    </w:p>
    <w:p w14:paraId="29EA74D6">
      <w:pPr>
        <w:snapToGrid w:val="0"/>
        <w:spacing w:line="360" w:lineRule="auto"/>
        <w:ind w:firstLine="3373" w:firstLineChars="1050"/>
        <w:textAlignment w:val="baseline"/>
        <w:rPr>
          <w:rStyle w:val="49"/>
          <w:rFonts w:hAnsi="宋体"/>
          <w:bCs/>
          <w:color w:val="auto"/>
          <w:sz w:val="32"/>
          <w:szCs w:val="32"/>
          <w:highlight w:val="none"/>
        </w:rPr>
      </w:pPr>
      <w:r>
        <w:rPr>
          <w:rStyle w:val="49"/>
          <w:rFonts w:hint="default" w:ascii="宋体"/>
          <w:b/>
          <w:color w:val="auto"/>
          <w:sz w:val="32"/>
          <w:szCs w:val="21"/>
          <w:highlight w:val="none"/>
          <w:u w:val="single" w:color="000000"/>
        </w:rPr>
        <w:t>综合监督执法局）</w:t>
      </w:r>
    </w:p>
    <w:p w14:paraId="5159A65B">
      <w:pPr>
        <w:pStyle w:val="19"/>
        <w:adjustRightInd w:val="0"/>
        <w:snapToGrid w:val="0"/>
        <w:spacing w:line="360" w:lineRule="auto"/>
        <w:ind w:firstLine="1124" w:firstLineChars="350"/>
        <w:jc w:val="left"/>
        <w:rPr>
          <w:rFonts w:hAnsi="宋体"/>
          <w:bCs/>
          <w:color w:val="auto"/>
          <w:sz w:val="32"/>
          <w:szCs w:val="32"/>
          <w:highlight w:val="none"/>
          <w:u w:val="single" w:color="auto"/>
        </w:rPr>
      </w:pPr>
      <w:r>
        <w:rPr>
          <w:rStyle w:val="49"/>
          <w:rFonts w:ascii="宋体"/>
          <w:b/>
          <w:color w:val="auto"/>
          <w:sz w:val="32"/>
          <w:szCs w:val="21"/>
          <w:highlight w:val="none"/>
        </w:rPr>
        <w:t>采购代理机构：</w:t>
      </w:r>
      <w:r>
        <w:rPr>
          <w:rStyle w:val="49"/>
          <w:rFonts w:hint="eastAsia"/>
          <w:b/>
          <w:color w:val="auto"/>
          <w:sz w:val="32"/>
          <w:szCs w:val="21"/>
          <w:highlight w:val="none"/>
          <w:u w:val="single" w:color="auto"/>
        </w:rPr>
        <w:t>湖南宏飞工程咨询有限公司</w:t>
      </w:r>
    </w:p>
    <w:p w14:paraId="4BEC2168">
      <w:pPr>
        <w:pStyle w:val="19"/>
        <w:adjustRightInd w:val="0"/>
        <w:snapToGrid w:val="0"/>
        <w:spacing w:line="240" w:lineRule="atLeast"/>
        <w:jc w:val="center"/>
        <w:rPr>
          <w:rFonts w:hAnsi="宋体"/>
          <w:bCs/>
          <w:color w:val="auto"/>
          <w:sz w:val="32"/>
          <w:szCs w:val="32"/>
          <w:highlight w:val="none"/>
        </w:rPr>
      </w:pPr>
    </w:p>
    <w:p w14:paraId="528DC8A2">
      <w:pPr>
        <w:pStyle w:val="19"/>
        <w:adjustRightInd w:val="0"/>
        <w:snapToGrid w:val="0"/>
        <w:spacing w:line="240" w:lineRule="atLeast"/>
        <w:jc w:val="both"/>
        <w:rPr>
          <w:rFonts w:hAnsi="宋体"/>
          <w:bCs/>
          <w:color w:val="auto"/>
          <w:sz w:val="32"/>
          <w:szCs w:val="32"/>
          <w:highlight w:val="none"/>
        </w:rPr>
      </w:pPr>
    </w:p>
    <w:p w14:paraId="30597B07">
      <w:pPr>
        <w:pStyle w:val="19"/>
        <w:adjustRightInd w:val="0"/>
        <w:snapToGrid w:val="0"/>
        <w:spacing w:line="240" w:lineRule="atLeast"/>
        <w:jc w:val="center"/>
        <w:rPr>
          <w:rFonts w:hAnsi="宋体"/>
          <w:bCs/>
          <w:color w:val="auto"/>
          <w:sz w:val="32"/>
          <w:szCs w:val="32"/>
          <w:highlight w:val="none"/>
        </w:rPr>
      </w:pPr>
    </w:p>
    <w:p w14:paraId="65E72C04">
      <w:pPr>
        <w:pStyle w:val="19"/>
        <w:adjustRightInd w:val="0"/>
        <w:snapToGrid w:val="0"/>
        <w:spacing w:line="240" w:lineRule="atLeast"/>
        <w:jc w:val="center"/>
        <w:rPr>
          <w:rFonts w:hAnsi="宋体"/>
          <w:bCs/>
          <w:color w:val="auto"/>
          <w:sz w:val="32"/>
          <w:szCs w:val="32"/>
          <w:highlight w:val="none"/>
        </w:rPr>
      </w:pPr>
    </w:p>
    <w:p w14:paraId="5316A039">
      <w:pPr>
        <w:pStyle w:val="19"/>
        <w:adjustRightInd w:val="0"/>
        <w:snapToGrid w:val="0"/>
        <w:spacing w:line="240" w:lineRule="atLeast"/>
        <w:jc w:val="center"/>
        <w:rPr>
          <w:rFonts w:hAnsi="宋体"/>
          <w:bCs/>
          <w:color w:val="auto"/>
          <w:sz w:val="32"/>
          <w:szCs w:val="32"/>
          <w:highlight w:val="none"/>
        </w:rPr>
      </w:pPr>
    </w:p>
    <w:p w14:paraId="6F95E03B">
      <w:pPr>
        <w:pStyle w:val="19"/>
        <w:adjustRightInd w:val="0"/>
        <w:snapToGrid w:val="0"/>
        <w:spacing w:line="240" w:lineRule="atLeast"/>
        <w:jc w:val="center"/>
        <w:rPr>
          <w:rFonts w:hint="eastAsia" w:hAnsi="宋体"/>
          <w:b/>
          <w:color w:val="auto"/>
          <w:sz w:val="32"/>
          <w:highlight w:val="none"/>
        </w:rPr>
      </w:pPr>
      <w:r>
        <w:rPr>
          <w:rFonts w:hint="eastAsia" w:hAnsi="宋体"/>
          <w:b/>
          <w:color w:val="auto"/>
          <w:sz w:val="32"/>
          <w:highlight w:val="none"/>
        </w:rPr>
        <w:t xml:space="preserve"> </w:t>
      </w:r>
      <w:r>
        <w:rPr>
          <w:rFonts w:hint="eastAsia" w:hAnsi="宋体"/>
          <w:b/>
          <w:color w:val="auto"/>
          <w:sz w:val="32"/>
          <w:highlight w:val="none"/>
          <w:lang w:eastAsia="zh-CN"/>
        </w:rPr>
        <w:t>2026年8月</w:t>
      </w:r>
    </w:p>
    <w:p w14:paraId="373FDFDB">
      <w:pPr>
        <w:pStyle w:val="19"/>
        <w:adjustRightInd w:val="0"/>
        <w:snapToGrid w:val="0"/>
        <w:spacing w:line="240" w:lineRule="atLeast"/>
        <w:jc w:val="center"/>
        <w:rPr>
          <w:rFonts w:hint="eastAsia" w:hAnsi="宋体"/>
          <w:b/>
          <w:color w:val="auto"/>
          <w:sz w:val="32"/>
          <w:highlight w:val="none"/>
        </w:rPr>
      </w:pPr>
    </w:p>
    <w:p w14:paraId="38CF2F8D">
      <w:pPr>
        <w:pStyle w:val="19"/>
        <w:adjustRightInd w:val="0"/>
        <w:snapToGrid w:val="0"/>
        <w:spacing w:line="240" w:lineRule="atLeast"/>
        <w:jc w:val="center"/>
        <w:rPr>
          <w:rFonts w:hint="eastAsia" w:hAnsi="宋体"/>
          <w:b/>
          <w:color w:val="auto"/>
          <w:sz w:val="32"/>
          <w:highlight w:val="none"/>
        </w:rPr>
      </w:pPr>
    </w:p>
    <w:p w14:paraId="2DCE55C9">
      <w:pPr>
        <w:pStyle w:val="19"/>
        <w:adjustRightInd w:val="0"/>
        <w:snapToGrid w:val="0"/>
        <w:spacing w:line="360" w:lineRule="auto"/>
        <w:jc w:val="center"/>
        <w:rPr>
          <w:rFonts w:ascii="华文中宋" w:hAnsi="华文中宋" w:eastAsia="华文中宋"/>
          <w:b/>
          <w:color w:val="auto"/>
          <w:spacing w:val="160"/>
          <w:sz w:val="36"/>
          <w:szCs w:val="36"/>
          <w:highlight w:val="none"/>
        </w:rPr>
      </w:pPr>
      <w:r>
        <w:rPr>
          <w:rFonts w:hint="eastAsia" w:ascii="华文中宋" w:hAnsi="华文中宋" w:eastAsia="华文中宋"/>
          <w:b/>
          <w:color w:val="auto"/>
          <w:spacing w:val="160"/>
          <w:sz w:val="36"/>
          <w:szCs w:val="36"/>
          <w:highlight w:val="none"/>
        </w:rPr>
        <w:t>目录</w:t>
      </w:r>
    </w:p>
    <w:p w14:paraId="0ADBD14B">
      <w:pPr>
        <w:pStyle w:val="23"/>
        <w:tabs>
          <w:tab w:val="right" w:leader="dot" w:pos="8844"/>
        </w:tabs>
        <w:rPr>
          <w:color w:val="auto"/>
          <w:highlight w:val="none"/>
        </w:rPr>
      </w:pPr>
      <w:r>
        <w:rPr>
          <w:rStyle w:val="32"/>
          <w:b w:val="0"/>
          <w:color w:val="auto"/>
          <w:highlight w:val="none"/>
        </w:rPr>
        <w:fldChar w:fldCharType="begin"/>
      </w:r>
      <w:r>
        <w:rPr>
          <w:rStyle w:val="32"/>
          <w:b w:val="0"/>
          <w:color w:val="auto"/>
          <w:highlight w:val="none"/>
        </w:rPr>
        <w:instrText xml:space="preserve"> TOC \o "1-4" \h \z \u </w:instrText>
      </w:r>
      <w:r>
        <w:rPr>
          <w:rStyle w:val="32"/>
          <w:b w:val="0"/>
          <w:color w:val="auto"/>
          <w:highlight w:val="none"/>
        </w:rPr>
        <w:fldChar w:fldCharType="separate"/>
      </w:r>
      <w:r>
        <w:rPr>
          <w:color w:val="auto"/>
          <w:highlight w:val="none"/>
        </w:rPr>
        <w:fldChar w:fldCharType="begin"/>
      </w:r>
      <w:r>
        <w:rPr>
          <w:color w:val="auto"/>
          <w:highlight w:val="none"/>
        </w:rPr>
        <w:instrText xml:space="preserve"> HYPERLINK \l "_Toc42" </w:instrText>
      </w:r>
      <w:r>
        <w:rPr>
          <w:color w:val="auto"/>
          <w:highlight w:val="none"/>
        </w:rPr>
        <w:fldChar w:fldCharType="separate"/>
      </w:r>
      <w:r>
        <w:rPr>
          <w:rFonts w:hint="eastAsia" w:ascii="黑体" w:hAnsi="华文中宋" w:eastAsia="黑体"/>
          <w:color w:val="auto"/>
          <w:szCs w:val="32"/>
          <w:highlight w:val="none"/>
        </w:rPr>
        <w:t>第一章 投标邀请（公开招标）</w:t>
      </w:r>
      <w:r>
        <w:rPr>
          <w:color w:val="auto"/>
          <w:highlight w:val="none"/>
        </w:rPr>
        <w:tab/>
      </w:r>
      <w:r>
        <w:rPr>
          <w:color w:val="auto"/>
          <w:highlight w:val="none"/>
        </w:rPr>
        <w:fldChar w:fldCharType="begin"/>
      </w:r>
      <w:r>
        <w:rPr>
          <w:color w:val="auto"/>
          <w:highlight w:val="none"/>
        </w:rPr>
        <w:instrText xml:space="preserve"> PAGEREF _Toc42 \h </w:instrText>
      </w:r>
      <w:r>
        <w:rPr>
          <w:color w:val="auto"/>
          <w:highlight w:val="none"/>
        </w:rPr>
        <w:fldChar w:fldCharType="separate"/>
      </w:r>
      <w:r>
        <w:rPr>
          <w:color w:val="auto"/>
          <w:highlight w:val="none"/>
        </w:rPr>
        <w:t>1</w:t>
      </w:r>
      <w:r>
        <w:rPr>
          <w:color w:val="auto"/>
          <w:highlight w:val="none"/>
        </w:rPr>
        <w:fldChar w:fldCharType="end"/>
      </w:r>
      <w:r>
        <w:rPr>
          <w:color w:val="auto"/>
          <w:highlight w:val="none"/>
        </w:rPr>
        <w:fldChar w:fldCharType="end"/>
      </w:r>
    </w:p>
    <w:p w14:paraId="6A705124">
      <w:pPr>
        <w:pStyle w:val="23"/>
        <w:tabs>
          <w:tab w:val="right" w:leader="dot" w:pos="8844"/>
        </w:tabs>
        <w:rPr>
          <w:color w:val="auto"/>
          <w:highlight w:val="none"/>
        </w:rPr>
      </w:pPr>
      <w:r>
        <w:rPr>
          <w:color w:val="auto"/>
          <w:highlight w:val="none"/>
        </w:rPr>
        <w:fldChar w:fldCharType="begin"/>
      </w:r>
      <w:r>
        <w:rPr>
          <w:color w:val="auto"/>
          <w:highlight w:val="none"/>
        </w:rPr>
        <w:instrText xml:space="preserve"> HYPERLINK \l "_Toc13252" </w:instrText>
      </w:r>
      <w:r>
        <w:rPr>
          <w:color w:val="auto"/>
          <w:highlight w:val="none"/>
        </w:rPr>
        <w:fldChar w:fldCharType="separate"/>
      </w:r>
      <w:r>
        <w:rPr>
          <w:rFonts w:hint="eastAsia" w:ascii="黑体" w:hAnsi="华文中宋" w:eastAsia="黑体"/>
          <w:color w:val="auto"/>
          <w:szCs w:val="32"/>
          <w:highlight w:val="none"/>
        </w:rPr>
        <w:t>第二章 投标须知</w:t>
      </w:r>
      <w:r>
        <w:rPr>
          <w:color w:val="auto"/>
          <w:highlight w:val="none"/>
        </w:rPr>
        <w:tab/>
      </w:r>
      <w:r>
        <w:rPr>
          <w:color w:val="auto"/>
          <w:highlight w:val="none"/>
        </w:rPr>
        <w:fldChar w:fldCharType="begin"/>
      </w:r>
      <w:r>
        <w:rPr>
          <w:color w:val="auto"/>
          <w:highlight w:val="none"/>
        </w:rPr>
        <w:instrText xml:space="preserve"> PAGEREF _Toc13252 \h </w:instrText>
      </w:r>
      <w:r>
        <w:rPr>
          <w:color w:val="auto"/>
          <w:highlight w:val="none"/>
        </w:rPr>
        <w:fldChar w:fldCharType="separate"/>
      </w:r>
      <w:r>
        <w:rPr>
          <w:color w:val="auto"/>
          <w:highlight w:val="none"/>
        </w:rPr>
        <w:t>5</w:t>
      </w:r>
      <w:r>
        <w:rPr>
          <w:color w:val="auto"/>
          <w:highlight w:val="none"/>
        </w:rPr>
        <w:fldChar w:fldCharType="end"/>
      </w:r>
      <w:r>
        <w:rPr>
          <w:color w:val="auto"/>
          <w:highlight w:val="none"/>
        </w:rPr>
        <w:fldChar w:fldCharType="end"/>
      </w:r>
    </w:p>
    <w:p w14:paraId="08E60C5F">
      <w:pPr>
        <w:pStyle w:val="25"/>
        <w:tabs>
          <w:tab w:val="right" w:leader="dot" w:pos="8844"/>
        </w:tabs>
        <w:ind w:left="420"/>
        <w:rPr>
          <w:color w:val="auto"/>
          <w:highlight w:val="none"/>
        </w:rPr>
      </w:pPr>
      <w:r>
        <w:rPr>
          <w:color w:val="auto"/>
          <w:highlight w:val="none"/>
        </w:rPr>
        <w:fldChar w:fldCharType="begin"/>
      </w:r>
      <w:r>
        <w:rPr>
          <w:color w:val="auto"/>
          <w:highlight w:val="none"/>
        </w:rPr>
        <w:instrText xml:space="preserve"> HYPERLINK \l "_Toc27652" </w:instrText>
      </w:r>
      <w:r>
        <w:rPr>
          <w:color w:val="auto"/>
          <w:highlight w:val="none"/>
        </w:rPr>
        <w:fldChar w:fldCharType="separate"/>
      </w:r>
      <w:r>
        <w:rPr>
          <w:rFonts w:hint="eastAsia" w:ascii="黑体" w:hAnsi="华文中宋" w:eastAsia="黑体"/>
          <w:color w:val="auto"/>
          <w:szCs w:val="28"/>
          <w:highlight w:val="none"/>
        </w:rPr>
        <w:t>第一节 投标须知前附表</w:t>
      </w:r>
      <w:r>
        <w:rPr>
          <w:color w:val="auto"/>
          <w:highlight w:val="none"/>
        </w:rPr>
        <w:tab/>
      </w:r>
      <w:r>
        <w:rPr>
          <w:color w:val="auto"/>
          <w:highlight w:val="none"/>
        </w:rPr>
        <w:fldChar w:fldCharType="begin"/>
      </w:r>
      <w:r>
        <w:rPr>
          <w:color w:val="auto"/>
          <w:highlight w:val="none"/>
        </w:rPr>
        <w:instrText xml:space="preserve"> PAGEREF _Toc27652 \h </w:instrText>
      </w:r>
      <w:r>
        <w:rPr>
          <w:color w:val="auto"/>
          <w:highlight w:val="none"/>
        </w:rPr>
        <w:fldChar w:fldCharType="separate"/>
      </w:r>
      <w:r>
        <w:rPr>
          <w:color w:val="auto"/>
          <w:highlight w:val="none"/>
        </w:rPr>
        <w:t>5</w:t>
      </w:r>
      <w:r>
        <w:rPr>
          <w:color w:val="auto"/>
          <w:highlight w:val="none"/>
        </w:rPr>
        <w:fldChar w:fldCharType="end"/>
      </w:r>
      <w:r>
        <w:rPr>
          <w:color w:val="auto"/>
          <w:highlight w:val="none"/>
        </w:rPr>
        <w:fldChar w:fldCharType="end"/>
      </w:r>
    </w:p>
    <w:p w14:paraId="09626E14">
      <w:pPr>
        <w:pStyle w:val="25"/>
        <w:tabs>
          <w:tab w:val="right" w:leader="dot" w:pos="8844"/>
        </w:tabs>
        <w:ind w:left="420"/>
        <w:rPr>
          <w:color w:val="auto"/>
          <w:highlight w:val="none"/>
        </w:rPr>
      </w:pPr>
      <w:r>
        <w:rPr>
          <w:color w:val="auto"/>
          <w:highlight w:val="none"/>
        </w:rPr>
        <w:fldChar w:fldCharType="begin"/>
      </w:r>
      <w:r>
        <w:rPr>
          <w:color w:val="auto"/>
          <w:highlight w:val="none"/>
        </w:rPr>
        <w:instrText xml:space="preserve"> HYPERLINK \l "_Toc24589" </w:instrText>
      </w:r>
      <w:r>
        <w:rPr>
          <w:color w:val="auto"/>
          <w:highlight w:val="none"/>
        </w:rPr>
        <w:fldChar w:fldCharType="separate"/>
      </w:r>
      <w:r>
        <w:rPr>
          <w:rFonts w:hint="eastAsia" w:ascii="黑体" w:hAnsi="黑体" w:eastAsia="黑体"/>
          <w:color w:val="auto"/>
          <w:szCs w:val="28"/>
          <w:highlight w:val="none"/>
        </w:rPr>
        <w:t>第二节 投标须知</w:t>
      </w:r>
      <w:r>
        <w:rPr>
          <w:color w:val="auto"/>
          <w:highlight w:val="none"/>
        </w:rPr>
        <w:tab/>
      </w:r>
      <w:r>
        <w:rPr>
          <w:color w:val="auto"/>
          <w:highlight w:val="none"/>
        </w:rPr>
        <w:fldChar w:fldCharType="begin"/>
      </w:r>
      <w:r>
        <w:rPr>
          <w:color w:val="auto"/>
          <w:highlight w:val="none"/>
        </w:rPr>
        <w:instrText xml:space="preserve"> PAGEREF _Toc24589 \h </w:instrText>
      </w:r>
      <w:r>
        <w:rPr>
          <w:color w:val="auto"/>
          <w:highlight w:val="none"/>
        </w:rPr>
        <w:fldChar w:fldCharType="separate"/>
      </w:r>
      <w:r>
        <w:rPr>
          <w:color w:val="auto"/>
          <w:highlight w:val="none"/>
        </w:rPr>
        <w:t>12</w:t>
      </w:r>
      <w:r>
        <w:rPr>
          <w:color w:val="auto"/>
          <w:highlight w:val="none"/>
        </w:rPr>
        <w:fldChar w:fldCharType="end"/>
      </w:r>
      <w:r>
        <w:rPr>
          <w:color w:val="auto"/>
          <w:highlight w:val="none"/>
        </w:rPr>
        <w:fldChar w:fldCharType="end"/>
      </w:r>
    </w:p>
    <w:p w14:paraId="333C8DD4">
      <w:pPr>
        <w:pStyle w:val="18"/>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"_Toc11204" </w:instrText>
      </w:r>
      <w:r>
        <w:rPr>
          <w:color w:val="auto"/>
          <w:highlight w:val="none"/>
        </w:rPr>
        <w:fldChar w:fldCharType="separate"/>
      </w:r>
      <w:r>
        <w:rPr>
          <w:rFonts w:hint="eastAsia" w:ascii="黑体" w:hAnsi="黑体" w:eastAsia="黑体"/>
          <w:color w:val="auto"/>
          <w:szCs w:val="28"/>
          <w:highlight w:val="none"/>
        </w:rPr>
        <w:t>一、总则</w:t>
      </w:r>
      <w:r>
        <w:rPr>
          <w:color w:val="auto"/>
          <w:highlight w:val="none"/>
        </w:rPr>
        <w:tab/>
      </w:r>
      <w:r>
        <w:rPr>
          <w:color w:val="auto"/>
          <w:highlight w:val="none"/>
        </w:rPr>
        <w:fldChar w:fldCharType="begin"/>
      </w:r>
      <w:r>
        <w:rPr>
          <w:color w:val="auto"/>
          <w:highlight w:val="none"/>
        </w:rPr>
        <w:instrText xml:space="preserve"> PAGEREF _Toc11204 \h </w:instrText>
      </w:r>
      <w:r>
        <w:rPr>
          <w:color w:val="auto"/>
          <w:highlight w:val="none"/>
        </w:rPr>
        <w:fldChar w:fldCharType="separate"/>
      </w:r>
      <w:r>
        <w:rPr>
          <w:color w:val="auto"/>
          <w:highlight w:val="none"/>
        </w:rPr>
        <w:t>19</w:t>
      </w:r>
      <w:r>
        <w:rPr>
          <w:color w:val="auto"/>
          <w:highlight w:val="none"/>
        </w:rPr>
        <w:fldChar w:fldCharType="end"/>
      </w:r>
      <w:r>
        <w:rPr>
          <w:color w:val="auto"/>
          <w:highlight w:val="none"/>
        </w:rPr>
        <w:fldChar w:fldCharType="end"/>
      </w:r>
    </w:p>
    <w:p w14:paraId="783EB6E0">
      <w:pPr>
        <w:pStyle w:val="18"/>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"_Toc5784" </w:instrText>
      </w:r>
      <w:r>
        <w:rPr>
          <w:color w:val="auto"/>
          <w:highlight w:val="none"/>
        </w:rPr>
        <w:fldChar w:fldCharType="separate"/>
      </w:r>
      <w:r>
        <w:rPr>
          <w:rFonts w:hint="eastAsia" w:ascii="黑体" w:hAnsi="黑体" w:eastAsia="黑体"/>
          <w:color w:val="auto"/>
          <w:szCs w:val="28"/>
          <w:highlight w:val="none"/>
        </w:rPr>
        <w:t>二、招标文件</w:t>
      </w:r>
      <w:r>
        <w:rPr>
          <w:color w:val="auto"/>
          <w:highlight w:val="none"/>
        </w:rPr>
        <w:tab/>
      </w:r>
      <w:r>
        <w:rPr>
          <w:color w:val="auto"/>
          <w:highlight w:val="none"/>
        </w:rPr>
        <w:fldChar w:fldCharType="begin"/>
      </w:r>
      <w:r>
        <w:rPr>
          <w:color w:val="auto"/>
          <w:highlight w:val="none"/>
        </w:rPr>
        <w:instrText xml:space="preserve"> PAGEREF _Toc5784 \h </w:instrText>
      </w:r>
      <w:r>
        <w:rPr>
          <w:color w:val="auto"/>
          <w:highlight w:val="none"/>
        </w:rPr>
        <w:fldChar w:fldCharType="separate"/>
      </w:r>
      <w:r>
        <w:rPr>
          <w:color w:val="auto"/>
          <w:highlight w:val="none"/>
        </w:rPr>
        <w:t>20</w:t>
      </w:r>
      <w:r>
        <w:rPr>
          <w:color w:val="auto"/>
          <w:highlight w:val="none"/>
        </w:rPr>
        <w:fldChar w:fldCharType="end"/>
      </w:r>
      <w:r>
        <w:rPr>
          <w:color w:val="auto"/>
          <w:highlight w:val="none"/>
        </w:rPr>
        <w:fldChar w:fldCharType="end"/>
      </w:r>
    </w:p>
    <w:p w14:paraId="651E8140">
      <w:pPr>
        <w:pStyle w:val="18"/>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"_Toc23525" </w:instrText>
      </w:r>
      <w:r>
        <w:rPr>
          <w:color w:val="auto"/>
          <w:highlight w:val="none"/>
        </w:rPr>
        <w:fldChar w:fldCharType="separate"/>
      </w:r>
      <w:r>
        <w:rPr>
          <w:rFonts w:hint="eastAsia" w:ascii="黑体" w:hAnsi="黑体" w:eastAsia="黑体"/>
          <w:color w:val="auto"/>
          <w:szCs w:val="28"/>
          <w:highlight w:val="none"/>
        </w:rPr>
        <w:t>三、投标文件</w:t>
      </w:r>
      <w:bookmarkStart w:id="127" w:name="_GoBack"/>
      <w:bookmarkEnd w:id="127"/>
      <w:r>
        <w:rPr>
          <w:color w:val="auto"/>
          <w:highlight w:val="none"/>
        </w:rPr>
        <w:tab/>
      </w:r>
      <w:r>
        <w:rPr>
          <w:color w:val="auto"/>
          <w:highlight w:val="none"/>
        </w:rPr>
        <w:fldChar w:fldCharType="begin"/>
      </w:r>
      <w:r>
        <w:rPr>
          <w:color w:val="auto"/>
          <w:highlight w:val="none"/>
        </w:rPr>
        <w:instrText xml:space="preserve"> PAGEREF _Toc23525 \h </w:instrText>
      </w:r>
      <w:r>
        <w:rPr>
          <w:color w:val="auto"/>
          <w:highlight w:val="none"/>
        </w:rPr>
        <w:fldChar w:fldCharType="separate"/>
      </w:r>
      <w:r>
        <w:rPr>
          <w:color w:val="auto"/>
          <w:highlight w:val="none"/>
        </w:rPr>
        <w:t>21</w:t>
      </w:r>
      <w:r>
        <w:rPr>
          <w:color w:val="auto"/>
          <w:highlight w:val="none"/>
        </w:rPr>
        <w:fldChar w:fldCharType="end"/>
      </w:r>
      <w:r>
        <w:rPr>
          <w:color w:val="auto"/>
          <w:highlight w:val="none"/>
        </w:rPr>
        <w:fldChar w:fldCharType="end"/>
      </w:r>
    </w:p>
    <w:p w14:paraId="011BAE39">
      <w:pPr>
        <w:pStyle w:val="18"/>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"_Toc27543" </w:instrText>
      </w:r>
      <w:r>
        <w:rPr>
          <w:color w:val="auto"/>
          <w:highlight w:val="none"/>
        </w:rPr>
        <w:fldChar w:fldCharType="separate"/>
      </w:r>
      <w:r>
        <w:rPr>
          <w:rFonts w:hint="eastAsia" w:ascii="黑体" w:hAnsi="黑体" w:eastAsia="黑体"/>
          <w:color w:val="auto"/>
          <w:szCs w:val="28"/>
          <w:highlight w:val="none"/>
        </w:rPr>
        <w:t>四、投标</w:t>
      </w:r>
      <w:r>
        <w:rPr>
          <w:color w:val="auto"/>
          <w:highlight w:val="none"/>
        </w:rPr>
        <w:tab/>
      </w:r>
      <w:r>
        <w:rPr>
          <w:color w:val="auto"/>
          <w:highlight w:val="none"/>
        </w:rPr>
        <w:fldChar w:fldCharType="begin"/>
      </w:r>
      <w:r>
        <w:rPr>
          <w:color w:val="auto"/>
          <w:highlight w:val="none"/>
        </w:rPr>
        <w:instrText xml:space="preserve"> PAGEREF _Toc27543 \h </w:instrText>
      </w:r>
      <w:r>
        <w:rPr>
          <w:color w:val="auto"/>
          <w:highlight w:val="none"/>
        </w:rPr>
        <w:fldChar w:fldCharType="separate"/>
      </w:r>
      <w:r>
        <w:rPr>
          <w:color w:val="auto"/>
          <w:highlight w:val="none"/>
        </w:rPr>
        <w:t>25</w:t>
      </w:r>
      <w:r>
        <w:rPr>
          <w:color w:val="auto"/>
          <w:highlight w:val="none"/>
        </w:rPr>
        <w:fldChar w:fldCharType="end"/>
      </w:r>
      <w:r>
        <w:rPr>
          <w:color w:val="auto"/>
          <w:highlight w:val="none"/>
        </w:rPr>
        <w:fldChar w:fldCharType="end"/>
      </w:r>
    </w:p>
    <w:p w14:paraId="16DED95A">
      <w:pPr>
        <w:pStyle w:val="18"/>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"_Toc2788" </w:instrText>
      </w:r>
      <w:r>
        <w:rPr>
          <w:color w:val="auto"/>
          <w:highlight w:val="none"/>
        </w:rPr>
        <w:fldChar w:fldCharType="separate"/>
      </w:r>
      <w:r>
        <w:rPr>
          <w:rFonts w:hint="eastAsia" w:ascii="黑体" w:hAnsi="黑体" w:eastAsia="黑体"/>
          <w:color w:val="auto"/>
          <w:szCs w:val="28"/>
          <w:highlight w:val="none"/>
        </w:rPr>
        <w:t>五、开标，资格审查和评标</w:t>
      </w:r>
      <w:r>
        <w:rPr>
          <w:color w:val="auto"/>
          <w:highlight w:val="none"/>
        </w:rPr>
        <w:tab/>
      </w:r>
      <w:r>
        <w:rPr>
          <w:color w:val="auto"/>
          <w:highlight w:val="none"/>
        </w:rPr>
        <w:fldChar w:fldCharType="begin"/>
      </w:r>
      <w:r>
        <w:rPr>
          <w:color w:val="auto"/>
          <w:highlight w:val="none"/>
        </w:rPr>
        <w:instrText xml:space="preserve"> PAGEREF _Toc2788 \h </w:instrText>
      </w:r>
      <w:r>
        <w:rPr>
          <w:color w:val="auto"/>
          <w:highlight w:val="none"/>
        </w:rPr>
        <w:fldChar w:fldCharType="separate"/>
      </w:r>
      <w:r>
        <w:rPr>
          <w:color w:val="auto"/>
          <w:highlight w:val="none"/>
        </w:rPr>
        <w:t>26</w:t>
      </w:r>
      <w:r>
        <w:rPr>
          <w:color w:val="auto"/>
          <w:highlight w:val="none"/>
        </w:rPr>
        <w:fldChar w:fldCharType="end"/>
      </w:r>
      <w:r>
        <w:rPr>
          <w:color w:val="auto"/>
          <w:highlight w:val="none"/>
        </w:rPr>
        <w:fldChar w:fldCharType="end"/>
      </w:r>
    </w:p>
    <w:p w14:paraId="7880D45C">
      <w:pPr>
        <w:pStyle w:val="18"/>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"_Toc14915" </w:instrText>
      </w:r>
      <w:r>
        <w:rPr>
          <w:color w:val="auto"/>
          <w:highlight w:val="none"/>
        </w:rPr>
        <w:fldChar w:fldCharType="separate"/>
      </w:r>
      <w:r>
        <w:rPr>
          <w:rFonts w:hint="eastAsia" w:ascii="黑体" w:hAnsi="黑体" w:eastAsia="黑体"/>
          <w:color w:val="auto"/>
          <w:szCs w:val="28"/>
          <w:highlight w:val="none"/>
        </w:rPr>
        <w:t>六、中标信息公布</w:t>
      </w:r>
      <w:r>
        <w:rPr>
          <w:color w:val="auto"/>
          <w:highlight w:val="none"/>
        </w:rPr>
        <w:tab/>
      </w:r>
      <w:r>
        <w:rPr>
          <w:color w:val="auto"/>
          <w:highlight w:val="none"/>
        </w:rPr>
        <w:fldChar w:fldCharType="begin"/>
      </w:r>
      <w:r>
        <w:rPr>
          <w:color w:val="auto"/>
          <w:highlight w:val="none"/>
        </w:rPr>
        <w:instrText xml:space="preserve"> PAGEREF _Toc14915 \h </w:instrText>
      </w:r>
      <w:r>
        <w:rPr>
          <w:color w:val="auto"/>
          <w:highlight w:val="none"/>
        </w:rPr>
        <w:fldChar w:fldCharType="separate"/>
      </w:r>
      <w:r>
        <w:rPr>
          <w:color w:val="auto"/>
          <w:highlight w:val="none"/>
        </w:rPr>
        <w:t>29</w:t>
      </w:r>
      <w:r>
        <w:rPr>
          <w:color w:val="auto"/>
          <w:highlight w:val="none"/>
        </w:rPr>
        <w:fldChar w:fldCharType="end"/>
      </w:r>
      <w:r>
        <w:rPr>
          <w:color w:val="auto"/>
          <w:highlight w:val="none"/>
        </w:rPr>
        <w:fldChar w:fldCharType="end"/>
      </w:r>
    </w:p>
    <w:p w14:paraId="1DD97CBF">
      <w:pPr>
        <w:pStyle w:val="18"/>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"_Toc23299" </w:instrText>
      </w:r>
      <w:r>
        <w:rPr>
          <w:color w:val="auto"/>
          <w:highlight w:val="none"/>
        </w:rPr>
        <w:fldChar w:fldCharType="separate"/>
      </w:r>
      <w:r>
        <w:rPr>
          <w:rFonts w:hint="eastAsia" w:ascii="黑体" w:hAnsi="黑体" w:eastAsia="黑体"/>
          <w:color w:val="auto"/>
          <w:szCs w:val="28"/>
          <w:highlight w:val="none"/>
        </w:rPr>
        <w:t>七、合同签订</w:t>
      </w:r>
      <w:r>
        <w:rPr>
          <w:color w:val="auto"/>
          <w:highlight w:val="none"/>
        </w:rPr>
        <w:tab/>
      </w:r>
      <w:r>
        <w:rPr>
          <w:color w:val="auto"/>
          <w:highlight w:val="none"/>
        </w:rPr>
        <w:fldChar w:fldCharType="begin"/>
      </w:r>
      <w:r>
        <w:rPr>
          <w:color w:val="auto"/>
          <w:highlight w:val="none"/>
        </w:rPr>
        <w:instrText xml:space="preserve"> PAGEREF _Toc23299 \h </w:instrText>
      </w:r>
      <w:r>
        <w:rPr>
          <w:color w:val="auto"/>
          <w:highlight w:val="none"/>
        </w:rPr>
        <w:fldChar w:fldCharType="separate"/>
      </w:r>
      <w:r>
        <w:rPr>
          <w:color w:val="auto"/>
          <w:highlight w:val="none"/>
        </w:rPr>
        <w:t>30</w:t>
      </w:r>
      <w:r>
        <w:rPr>
          <w:color w:val="auto"/>
          <w:highlight w:val="none"/>
        </w:rPr>
        <w:fldChar w:fldCharType="end"/>
      </w:r>
      <w:r>
        <w:rPr>
          <w:color w:val="auto"/>
          <w:highlight w:val="none"/>
        </w:rPr>
        <w:fldChar w:fldCharType="end"/>
      </w:r>
    </w:p>
    <w:p w14:paraId="6539CE3A">
      <w:pPr>
        <w:pStyle w:val="18"/>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"_Toc10264" </w:instrText>
      </w:r>
      <w:r>
        <w:rPr>
          <w:color w:val="auto"/>
          <w:highlight w:val="none"/>
        </w:rPr>
        <w:fldChar w:fldCharType="separate"/>
      </w:r>
      <w:r>
        <w:rPr>
          <w:rFonts w:hint="eastAsia" w:ascii="黑体" w:hAnsi="黑体" w:eastAsia="黑体"/>
          <w:color w:val="auto"/>
          <w:szCs w:val="28"/>
          <w:highlight w:val="none"/>
        </w:rPr>
        <w:t>八、政府采购政策</w:t>
      </w:r>
      <w:r>
        <w:rPr>
          <w:color w:val="auto"/>
          <w:highlight w:val="none"/>
        </w:rPr>
        <w:tab/>
      </w:r>
      <w:r>
        <w:rPr>
          <w:color w:val="auto"/>
          <w:highlight w:val="none"/>
        </w:rPr>
        <w:fldChar w:fldCharType="begin"/>
      </w:r>
      <w:r>
        <w:rPr>
          <w:color w:val="auto"/>
          <w:highlight w:val="none"/>
        </w:rPr>
        <w:instrText xml:space="preserve"> PAGEREF _Toc10264 \h </w:instrText>
      </w:r>
      <w:r>
        <w:rPr>
          <w:color w:val="auto"/>
          <w:highlight w:val="none"/>
        </w:rPr>
        <w:fldChar w:fldCharType="separate"/>
      </w:r>
      <w:r>
        <w:rPr>
          <w:color w:val="auto"/>
          <w:highlight w:val="none"/>
        </w:rPr>
        <w:t>31</w:t>
      </w:r>
      <w:r>
        <w:rPr>
          <w:color w:val="auto"/>
          <w:highlight w:val="none"/>
        </w:rPr>
        <w:fldChar w:fldCharType="end"/>
      </w:r>
      <w:r>
        <w:rPr>
          <w:color w:val="auto"/>
          <w:highlight w:val="none"/>
        </w:rPr>
        <w:fldChar w:fldCharType="end"/>
      </w:r>
    </w:p>
    <w:p w14:paraId="471DC298">
      <w:pPr>
        <w:pStyle w:val="18"/>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"_Toc16139" </w:instrText>
      </w:r>
      <w:r>
        <w:rPr>
          <w:color w:val="auto"/>
          <w:highlight w:val="none"/>
        </w:rPr>
        <w:fldChar w:fldCharType="separate"/>
      </w:r>
      <w:r>
        <w:rPr>
          <w:rFonts w:hint="eastAsia" w:ascii="黑体" w:hAnsi="黑体" w:eastAsia="黑体"/>
          <w:color w:val="auto"/>
          <w:szCs w:val="28"/>
          <w:highlight w:val="none"/>
        </w:rPr>
        <w:t>九、其他规定</w:t>
      </w:r>
      <w:r>
        <w:rPr>
          <w:color w:val="auto"/>
          <w:highlight w:val="none"/>
        </w:rPr>
        <w:tab/>
      </w:r>
      <w:r>
        <w:rPr>
          <w:color w:val="auto"/>
          <w:highlight w:val="none"/>
        </w:rPr>
        <w:fldChar w:fldCharType="begin"/>
      </w:r>
      <w:r>
        <w:rPr>
          <w:color w:val="auto"/>
          <w:highlight w:val="none"/>
        </w:rPr>
        <w:instrText xml:space="preserve"> PAGEREF _Toc16139 \h </w:instrText>
      </w:r>
      <w:r>
        <w:rPr>
          <w:color w:val="auto"/>
          <w:highlight w:val="none"/>
        </w:rPr>
        <w:fldChar w:fldCharType="separate"/>
      </w:r>
      <w:r>
        <w:rPr>
          <w:color w:val="auto"/>
          <w:highlight w:val="none"/>
        </w:rPr>
        <w:t>33</w:t>
      </w:r>
      <w:r>
        <w:rPr>
          <w:color w:val="auto"/>
          <w:highlight w:val="none"/>
        </w:rPr>
        <w:fldChar w:fldCharType="end"/>
      </w:r>
      <w:r>
        <w:rPr>
          <w:color w:val="auto"/>
          <w:highlight w:val="none"/>
        </w:rPr>
        <w:fldChar w:fldCharType="end"/>
      </w:r>
    </w:p>
    <w:p w14:paraId="0A000360">
      <w:pPr>
        <w:pStyle w:val="23"/>
        <w:tabs>
          <w:tab w:val="right" w:leader="dot" w:pos="8844"/>
        </w:tabs>
        <w:rPr>
          <w:color w:val="auto"/>
          <w:highlight w:val="none"/>
        </w:rPr>
      </w:pPr>
      <w:r>
        <w:rPr>
          <w:color w:val="auto"/>
          <w:highlight w:val="none"/>
        </w:rPr>
        <w:fldChar w:fldCharType="begin"/>
      </w:r>
      <w:r>
        <w:rPr>
          <w:color w:val="auto"/>
          <w:highlight w:val="none"/>
        </w:rPr>
        <w:instrText xml:space="preserve"> HYPERLINK \l "_Toc6928" </w:instrText>
      </w:r>
      <w:r>
        <w:rPr>
          <w:color w:val="auto"/>
          <w:highlight w:val="none"/>
        </w:rPr>
        <w:fldChar w:fldCharType="separate"/>
      </w:r>
      <w:r>
        <w:rPr>
          <w:rFonts w:hint="eastAsia" w:ascii="黑体" w:hAnsi="黑体" w:eastAsia="黑体"/>
          <w:color w:val="auto"/>
          <w:szCs w:val="32"/>
          <w:highlight w:val="none"/>
        </w:rPr>
        <w:t>第三章 资格审查</w:t>
      </w:r>
      <w:r>
        <w:rPr>
          <w:color w:val="auto"/>
          <w:highlight w:val="none"/>
        </w:rPr>
        <w:tab/>
      </w:r>
      <w:r>
        <w:rPr>
          <w:color w:val="auto"/>
          <w:highlight w:val="none"/>
        </w:rPr>
        <w:fldChar w:fldCharType="begin"/>
      </w:r>
      <w:r>
        <w:rPr>
          <w:color w:val="auto"/>
          <w:highlight w:val="none"/>
        </w:rPr>
        <w:instrText xml:space="preserve"> PAGEREF _Toc6928 \h </w:instrText>
      </w:r>
      <w:r>
        <w:rPr>
          <w:color w:val="auto"/>
          <w:highlight w:val="none"/>
        </w:rPr>
        <w:fldChar w:fldCharType="separate"/>
      </w:r>
      <w:r>
        <w:rPr>
          <w:color w:val="auto"/>
          <w:highlight w:val="none"/>
        </w:rPr>
        <w:t>35</w:t>
      </w:r>
      <w:r>
        <w:rPr>
          <w:color w:val="auto"/>
          <w:highlight w:val="none"/>
        </w:rPr>
        <w:fldChar w:fldCharType="end"/>
      </w:r>
      <w:r>
        <w:rPr>
          <w:color w:val="auto"/>
          <w:highlight w:val="none"/>
        </w:rPr>
        <w:fldChar w:fldCharType="end"/>
      </w:r>
    </w:p>
    <w:p w14:paraId="17FD8F40">
      <w:pPr>
        <w:pStyle w:val="18"/>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"_Toc4626" </w:instrText>
      </w:r>
      <w:r>
        <w:rPr>
          <w:color w:val="auto"/>
          <w:highlight w:val="none"/>
        </w:rPr>
        <w:fldChar w:fldCharType="separate"/>
      </w:r>
      <w:r>
        <w:rPr>
          <w:rFonts w:hint="eastAsia" w:ascii="黑体" w:hAnsi="黑体" w:eastAsia="黑体"/>
          <w:color w:val="auto"/>
          <w:highlight w:val="none"/>
        </w:rPr>
        <w:t>1．资格审查主体</w:t>
      </w:r>
      <w:r>
        <w:rPr>
          <w:color w:val="auto"/>
          <w:highlight w:val="none"/>
        </w:rPr>
        <w:tab/>
      </w:r>
      <w:r>
        <w:rPr>
          <w:color w:val="auto"/>
          <w:highlight w:val="none"/>
        </w:rPr>
        <w:fldChar w:fldCharType="begin"/>
      </w:r>
      <w:r>
        <w:rPr>
          <w:color w:val="auto"/>
          <w:highlight w:val="none"/>
        </w:rPr>
        <w:instrText xml:space="preserve"> PAGEREF _Toc4626 \h </w:instrText>
      </w:r>
      <w:r>
        <w:rPr>
          <w:color w:val="auto"/>
          <w:highlight w:val="none"/>
        </w:rPr>
        <w:fldChar w:fldCharType="separate"/>
      </w:r>
      <w:r>
        <w:rPr>
          <w:color w:val="auto"/>
          <w:highlight w:val="none"/>
        </w:rPr>
        <w:t>35</w:t>
      </w:r>
      <w:r>
        <w:rPr>
          <w:color w:val="auto"/>
          <w:highlight w:val="none"/>
        </w:rPr>
        <w:fldChar w:fldCharType="end"/>
      </w:r>
      <w:r>
        <w:rPr>
          <w:color w:val="auto"/>
          <w:highlight w:val="none"/>
        </w:rPr>
        <w:fldChar w:fldCharType="end"/>
      </w:r>
    </w:p>
    <w:p w14:paraId="6FF6D374">
      <w:pPr>
        <w:pStyle w:val="18"/>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"_Toc715" </w:instrText>
      </w:r>
      <w:r>
        <w:rPr>
          <w:color w:val="auto"/>
          <w:highlight w:val="none"/>
        </w:rPr>
        <w:fldChar w:fldCharType="separate"/>
      </w:r>
      <w:r>
        <w:rPr>
          <w:rFonts w:hint="eastAsia" w:ascii="黑体" w:hAnsi="黑体" w:eastAsia="黑体"/>
          <w:color w:val="auto"/>
          <w:highlight w:val="none"/>
        </w:rPr>
        <w:t>2．资格审查</w:t>
      </w:r>
      <w:r>
        <w:rPr>
          <w:color w:val="auto"/>
          <w:highlight w:val="none"/>
        </w:rPr>
        <w:tab/>
      </w:r>
      <w:r>
        <w:rPr>
          <w:color w:val="auto"/>
          <w:highlight w:val="none"/>
        </w:rPr>
        <w:fldChar w:fldCharType="begin"/>
      </w:r>
      <w:r>
        <w:rPr>
          <w:color w:val="auto"/>
          <w:highlight w:val="none"/>
        </w:rPr>
        <w:instrText xml:space="preserve"> PAGEREF _Toc715 \h </w:instrText>
      </w:r>
      <w:r>
        <w:rPr>
          <w:color w:val="auto"/>
          <w:highlight w:val="none"/>
        </w:rPr>
        <w:fldChar w:fldCharType="separate"/>
      </w:r>
      <w:r>
        <w:rPr>
          <w:color w:val="auto"/>
          <w:highlight w:val="none"/>
        </w:rPr>
        <w:t>35</w:t>
      </w:r>
      <w:r>
        <w:rPr>
          <w:color w:val="auto"/>
          <w:highlight w:val="none"/>
        </w:rPr>
        <w:fldChar w:fldCharType="end"/>
      </w:r>
      <w:r>
        <w:rPr>
          <w:color w:val="auto"/>
          <w:highlight w:val="none"/>
        </w:rPr>
        <w:fldChar w:fldCharType="end"/>
      </w:r>
    </w:p>
    <w:p w14:paraId="7326644F">
      <w:pPr>
        <w:pStyle w:val="18"/>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"_Toc2712" </w:instrText>
      </w:r>
      <w:r>
        <w:rPr>
          <w:color w:val="auto"/>
          <w:highlight w:val="none"/>
        </w:rPr>
        <w:fldChar w:fldCharType="separate"/>
      </w:r>
      <w:r>
        <w:rPr>
          <w:rFonts w:hint="eastAsia" w:ascii="黑体" w:hAnsi="黑体" w:eastAsia="黑体"/>
          <w:color w:val="auto"/>
          <w:highlight w:val="none"/>
        </w:rPr>
        <w:t>3．资格审查结果</w:t>
      </w:r>
      <w:r>
        <w:rPr>
          <w:color w:val="auto"/>
          <w:highlight w:val="none"/>
        </w:rPr>
        <w:tab/>
      </w:r>
      <w:r>
        <w:rPr>
          <w:color w:val="auto"/>
          <w:highlight w:val="none"/>
        </w:rPr>
        <w:fldChar w:fldCharType="begin"/>
      </w:r>
      <w:r>
        <w:rPr>
          <w:color w:val="auto"/>
          <w:highlight w:val="none"/>
        </w:rPr>
        <w:instrText xml:space="preserve"> PAGEREF _Toc2712 \h </w:instrText>
      </w:r>
      <w:r>
        <w:rPr>
          <w:color w:val="auto"/>
          <w:highlight w:val="none"/>
        </w:rPr>
        <w:fldChar w:fldCharType="separate"/>
      </w:r>
      <w:r>
        <w:rPr>
          <w:color w:val="auto"/>
          <w:highlight w:val="none"/>
        </w:rPr>
        <w:t>36</w:t>
      </w:r>
      <w:r>
        <w:rPr>
          <w:color w:val="auto"/>
          <w:highlight w:val="none"/>
        </w:rPr>
        <w:fldChar w:fldCharType="end"/>
      </w:r>
      <w:r>
        <w:rPr>
          <w:color w:val="auto"/>
          <w:highlight w:val="none"/>
        </w:rPr>
        <w:fldChar w:fldCharType="end"/>
      </w:r>
    </w:p>
    <w:p w14:paraId="371D9CFA">
      <w:pPr>
        <w:pStyle w:val="24"/>
        <w:tabs>
          <w:tab w:val="right" w:leader="dot" w:pos="8844"/>
        </w:tabs>
        <w:ind w:left="1260"/>
        <w:rPr>
          <w:color w:val="auto"/>
          <w:highlight w:val="none"/>
        </w:rPr>
      </w:pPr>
      <w:r>
        <w:rPr>
          <w:color w:val="auto"/>
          <w:highlight w:val="none"/>
        </w:rPr>
        <w:fldChar w:fldCharType="begin"/>
      </w:r>
      <w:r>
        <w:rPr>
          <w:color w:val="auto"/>
          <w:highlight w:val="none"/>
        </w:rPr>
        <w:instrText xml:space="preserve"> HYPERLINK \l "_Toc5045" </w:instrText>
      </w:r>
      <w:r>
        <w:rPr>
          <w:color w:val="auto"/>
          <w:highlight w:val="none"/>
        </w:rPr>
        <w:fldChar w:fldCharType="separate"/>
      </w:r>
      <w:r>
        <w:rPr>
          <w:rFonts w:hint="eastAsia" w:ascii="黑体" w:hAnsi="黑体" w:eastAsia="黑体" w:cs="黑体"/>
          <w:color w:val="auto"/>
          <w:szCs w:val="21"/>
          <w:highlight w:val="none"/>
        </w:rPr>
        <w:t>附表1资格审查表</w:t>
      </w:r>
      <w:r>
        <w:rPr>
          <w:color w:val="auto"/>
          <w:highlight w:val="none"/>
        </w:rPr>
        <w:tab/>
      </w:r>
      <w:r>
        <w:rPr>
          <w:color w:val="auto"/>
          <w:highlight w:val="none"/>
        </w:rPr>
        <w:fldChar w:fldCharType="begin"/>
      </w:r>
      <w:r>
        <w:rPr>
          <w:color w:val="auto"/>
          <w:highlight w:val="none"/>
        </w:rPr>
        <w:instrText xml:space="preserve"> PAGEREF _Toc5045 \h </w:instrText>
      </w:r>
      <w:r>
        <w:rPr>
          <w:color w:val="auto"/>
          <w:highlight w:val="none"/>
        </w:rPr>
        <w:fldChar w:fldCharType="separate"/>
      </w:r>
      <w:r>
        <w:rPr>
          <w:color w:val="auto"/>
          <w:highlight w:val="none"/>
        </w:rPr>
        <w:t>37</w:t>
      </w:r>
      <w:r>
        <w:rPr>
          <w:color w:val="auto"/>
          <w:highlight w:val="none"/>
        </w:rPr>
        <w:fldChar w:fldCharType="end"/>
      </w:r>
      <w:r>
        <w:rPr>
          <w:color w:val="auto"/>
          <w:highlight w:val="none"/>
        </w:rPr>
        <w:fldChar w:fldCharType="end"/>
      </w:r>
    </w:p>
    <w:p w14:paraId="07526B2F">
      <w:pPr>
        <w:pStyle w:val="24"/>
        <w:tabs>
          <w:tab w:val="right" w:leader="dot" w:pos="8844"/>
        </w:tabs>
        <w:ind w:left="1260"/>
        <w:rPr>
          <w:rFonts w:ascii="黑体" w:hAnsi="黑体" w:eastAsia="黑体" w:cs="黑体"/>
          <w:color w:val="auto"/>
          <w:highlight w:val="none"/>
        </w:rPr>
      </w:pPr>
      <w:r>
        <w:rPr>
          <w:color w:val="auto"/>
          <w:highlight w:val="none"/>
        </w:rPr>
        <w:fldChar w:fldCharType="begin"/>
      </w:r>
      <w:r>
        <w:rPr>
          <w:color w:val="auto"/>
          <w:highlight w:val="none"/>
        </w:rPr>
        <w:instrText xml:space="preserve"> HYPERLINK \l "_Toc19327" </w:instrText>
      </w:r>
      <w:r>
        <w:rPr>
          <w:color w:val="auto"/>
          <w:highlight w:val="none"/>
        </w:rPr>
        <w:fldChar w:fldCharType="separate"/>
      </w:r>
      <w:r>
        <w:rPr>
          <w:rFonts w:hint="eastAsia" w:ascii="黑体" w:hAnsi="黑体" w:eastAsia="黑体" w:cs="黑体"/>
          <w:color w:val="auto"/>
          <w:szCs w:val="21"/>
          <w:highlight w:val="none"/>
        </w:rPr>
        <w:t>附表2 资格审查结果一览表</w:t>
      </w:r>
      <w:r>
        <w:rPr>
          <w:rFonts w:hint="eastAsia"/>
          <w:color w:val="auto"/>
          <w:highlight w:val="none"/>
        </w:rPr>
        <w:tab/>
      </w:r>
      <w:r>
        <w:rPr>
          <w:rFonts w:hint="eastAsia" w:ascii="黑体" w:hAnsi="黑体" w:eastAsia="黑体" w:cs="黑体"/>
          <w:color w:val="auto"/>
          <w:highlight w:val="none"/>
        </w:rPr>
        <w:fldChar w:fldCharType="begin"/>
      </w:r>
      <w:r>
        <w:rPr>
          <w:rFonts w:hint="eastAsia" w:ascii="黑体" w:hAnsi="黑体" w:eastAsia="黑体" w:cs="黑体"/>
          <w:color w:val="auto"/>
          <w:highlight w:val="none"/>
        </w:rPr>
        <w:instrText xml:space="preserve"> PAGEREF _Toc19327 \h </w:instrText>
      </w:r>
      <w:r>
        <w:rPr>
          <w:rFonts w:hint="eastAsia" w:ascii="黑体" w:hAnsi="黑体" w:eastAsia="黑体" w:cs="黑体"/>
          <w:color w:val="auto"/>
          <w:highlight w:val="none"/>
        </w:rPr>
        <w:fldChar w:fldCharType="separate"/>
      </w:r>
      <w:r>
        <w:rPr>
          <w:rFonts w:hint="eastAsia" w:ascii="黑体" w:hAnsi="黑体" w:eastAsia="黑体" w:cs="黑体"/>
          <w:color w:val="auto"/>
          <w:highlight w:val="none"/>
        </w:rPr>
        <w:t>38</w:t>
      </w:r>
      <w:r>
        <w:rPr>
          <w:rFonts w:hint="eastAsia" w:ascii="黑体" w:hAnsi="黑体" w:eastAsia="黑体" w:cs="黑体"/>
          <w:color w:val="auto"/>
          <w:highlight w:val="none"/>
        </w:rPr>
        <w:fldChar w:fldCharType="end"/>
      </w:r>
      <w:r>
        <w:rPr>
          <w:rFonts w:hint="eastAsia" w:ascii="黑体" w:hAnsi="黑体" w:eastAsia="黑体" w:cs="黑体"/>
          <w:color w:val="auto"/>
          <w:highlight w:val="none"/>
        </w:rPr>
        <w:fldChar w:fldCharType="end"/>
      </w:r>
    </w:p>
    <w:p w14:paraId="2E37E426">
      <w:pPr>
        <w:pStyle w:val="24"/>
        <w:tabs>
          <w:tab w:val="right" w:leader="dot" w:pos="8844"/>
        </w:tabs>
        <w:ind w:left="1260"/>
        <w:rPr>
          <w:rFonts w:ascii="黑体" w:hAnsi="黑体" w:eastAsia="黑体" w:cs="黑体"/>
          <w:color w:val="auto"/>
          <w:highlight w:val="none"/>
        </w:rPr>
      </w:pPr>
      <w:r>
        <w:rPr>
          <w:color w:val="auto"/>
          <w:highlight w:val="none"/>
        </w:rPr>
        <w:fldChar w:fldCharType="begin"/>
      </w:r>
      <w:r>
        <w:rPr>
          <w:color w:val="auto"/>
          <w:highlight w:val="none"/>
        </w:rPr>
        <w:instrText xml:space="preserve"> HYPERLINK \l "_Toc19633" </w:instrText>
      </w:r>
      <w:r>
        <w:rPr>
          <w:color w:val="auto"/>
          <w:highlight w:val="none"/>
        </w:rPr>
        <w:fldChar w:fldCharType="separate"/>
      </w:r>
      <w:r>
        <w:rPr>
          <w:rFonts w:hint="eastAsia" w:ascii="黑体" w:hAnsi="黑体" w:eastAsia="黑体" w:cs="黑体"/>
          <w:color w:val="auto"/>
          <w:szCs w:val="21"/>
          <w:highlight w:val="none"/>
        </w:rPr>
        <w:t>附表3 资格审查合格投标人名单</w:t>
      </w:r>
      <w:r>
        <w:rPr>
          <w:rFonts w:hint="eastAsia"/>
          <w:color w:val="auto"/>
          <w:highlight w:val="none"/>
        </w:rPr>
        <w:tab/>
      </w:r>
      <w:r>
        <w:rPr>
          <w:rFonts w:hint="eastAsia" w:ascii="黑体" w:hAnsi="黑体" w:eastAsia="黑体" w:cs="黑体"/>
          <w:color w:val="auto"/>
          <w:highlight w:val="none"/>
        </w:rPr>
        <w:fldChar w:fldCharType="begin"/>
      </w:r>
      <w:r>
        <w:rPr>
          <w:rFonts w:hint="eastAsia" w:ascii="黑体" w:hAnsi="黑体" w:eastAsia="黑体" w:cs="黑体"/>
          <w:color w:val="auto"/>
          <w:highlight w:val="none"/>
        </w:rPr>
        <w:instrText xml:space="preserve"> PAGEREF _Toc19633 \h </w:instrText>
      </w:r>
      <w:r>
        <w:rPr>
          <w:rFonts w:hint="eastAsia" w:ascii="黑体" w:hAnsi="黑体" w:eastAsia="黑体" w:cs="黑体"/>
          <w:color w:val="auto"/>
          <w:highlight w:val="none"/>
        </w:rPr>
        <w:fldChar w:fldCharType="separate"/>
      </w:r>
      <w:r>
        <w:rPr>
          <w:rFonts w:hint="eastAsia" w:ascii="黑体" w:hAnsi="黑体" w:eastAsia="黑体" w:cs="黑体"/>
          <w:color w:val="auto"/>
          <w:highlight w:val="none"/>
        </w:rPr>
        <w:t>39</w:t>
      </w:r>
      <w:r>
        <w:rPr>
          <w:rFonts w:hint="eastAsia" w:ascii="黑体" w:hAnsi="黑体" w:eastAsia="黑体" w:cs="黑体"/>
          <w:color w:val="auto"/>
          <w:highlight w:val="none"/>
        </w:rPr>
        <w:fldChar w:fldCharType="end"/>
      </w:r>
      <w:r>
        <w:rPr>
          <w:rFonts w:hint="eastAsia" w:ascii="黑体" w:hAnsi="黑体" w:eastAsia="黑体" w:cs="黑体"/>
          <w:color w:val="auto"/>
          <w:highlight w:val="none"/>
        </w:rPr>
        <w:fldChar w:fldCharType="end"/>
      </w:r>
    </w:p>
    <w:p w14:paraId="43FBEF56">
      <w:pPr>
        <w:pStyle w:val="23"/>
        <w:tabs>
          <w:tab w:val="right" w:leader="dot" w:pos="8844"/>
        </w:tabs>
        <w:rPr>
          <w:color w:val="auto"/>
          <w:highlight w:val="none"/>
        </w:rPr>
      </w:pPr>
      <w:r>
        <w:rPr>
          <w:color w:val="auto"/>
          <w:highlight w:val="none"/>
        </w:rPr>
        <w:fldChar w:fldCharType="begin"/>
      </w:r>
      <w:r>
        <w:rPr>
          <w:color w:val="auto"/>
          <w:highlight w:val="none"/>
        </w:rPr>
        <w:instrText xml:space="preserve"> HYPERLINK \l "_Toc10650" </w:instrText>
      </w:r>
      <w:r>
        <w:rPr>
          <w:color w:val="auto"/>
          <w:highlight w:val="none"/>
        </w:rPr>
        <w:fldChar w:fldCharType="separate"/>
      </w:r>
      <w:r>
        <w:rPr>
          <w:rFonts w:hint="eastAsia" w:ascii="黑体" w:hAnsi="华文中宋" w:eastAsia="黑体"/>
          <w:color w:val="auto"/>
          <w:szCs w:val="32"/>
          <w:highlight w:val="none"/>
        </w:rPr>
        <w:t>第四章 评标方法及标准</w:t>
      </w:r>
      <w:r>
        <w:rPr>
          <w:color w:val="auto"/>
          <w:highlight w:val="none"/>
        </w:rPr>
        <w:tab/>
      </w:r>
      <w:r>
        <w:rPr>
          <w:color w:val="auto"/>
          <w:highlight w:val="none"/>
        </w:rPr>
        <w:fldChar w:fldCharType="begin"/>
      </w:r>
      <w:r>
        <w:rPr>
          <w:color w:val="auto"/>
          <w:highlight w:val="none"/>
        </w:rPr>
        <w:instrText xml:space="preserve"> PAGEREF _Toc10650 \h </w:instrText>
      </w:r>
      <w:r>
        <w:rPr>
          <w:color w:val="auto"/>
          <w:highlight w:val="none"/>
        </w:rPr>
        <w:fldChar w:fldCharType="separate"/>
      </w:r>
      <w:r>
        <w:rPr>
          <w:color w:val="auto"/>
          <w:highlight w:val="none"/>
        </w:rPr>
        <w:t>40</w:t>
      </w:r>
      <w:r>
        <w:rPr>
          <w:color w:val="auto"/>
          <w:highlight w:val="none"/>
        </w:rPr>
        <w:fldChar w:fldCharType="end"/>
      </w:r>
      <w:r>
        <w:rPr>
          <w:color w:val="auto"/>
          <w:highlight w:val="none"/>
        </w:rPr>
        <w:fldChar w:fldCharType="end"/>
      </w:r>
    </w:p>
    <w:p w14:paraId="2959B9CC">
      <w:pPr>
        <w:pStyle w:val="25"/>
        <w:tabs>
          <w:tab w:val="right" w:leader="dot" w:pos="8844"/>
        </w:tabs>
        <w:ind w:left="420"/>
        <w:rPr>
          <w:color w:val="auto"/>
          <w:highlight w:val="none"/>
        </w:rPr>
      </w:pPr>
      <w:r>
        <w:rPr>
          <w:color w:val="auto"/>
          <w:highlight w:val="none"/>
        </w:rPr>
        <w:fldChar w:fldCharType="begin"/>
      </w:r>
      <w:r>
        <w:rPr>
          <w:color w:val="auto"/>
          <w:highlight w:val="none"/>
        </w:rPr>
        <w:instrText xml:space="preserve"> HYPERLINK \l "_Toc8917" </w:instrText>
      </w:r>
      <w:r>
        <w:rPr>
          <w:color w:val="auto"/>
          <w:highlight w:val="none"/>
        </w:rPr>
        <w:fldChar w:fldCharType="separate"/>
      </w:r>
      <w:r>
        <w:rPr>
          <w:rFonts w:hint="eastAsia" w:ascii="黑体" w:hAnsi="华文中宋" w:eastAsia="黑体"/>
          <w:color w:val="auto"/>
          <w:szCs w:val="28"/>
          <w:highlight w:val="none"/>
        </w:rPr>
        <w:t>第一节 评标方法及标准前附表</w:t>
      </w:r>
      <w:r>
        <w:rPr>
          <w:color w:val="auto"/>
          <w:highlight w:val="none"/>
        </w:rPr>
        <w:tab/>
      </w:r>
      <w:r>
        <w:rPr>
          <w:color w:val="auto"/>
          <w:highlight w:val="none"/>
        </w:rPr>
        <w:fldChar w:fldCharType="begin"/>
      </w:r>
      <w:r>
        <w:rPr>
          <w:color w:val="auto"/>
          <w:highlight w:val="none"/>
        </w:rPr>
        <w:instrText xml:space="preserve"> PAGEREF _Toc8917 \h </w:instrText>
      </w:r>
      <w:r>
        <w:rPr>
          <w:color w:val="auto"/>
          <w:highlight w:val="none"/>
        </w:rPr>
        <w:fldChar w:fldCharType="separate"/>
      </w:r>
      <w:r>
        <w:rPr>
          <w:color w:val="auto"/>
          <w:highlight w:val="none"/>
        </w:rPr>
        <w:t>40</w:t>
      </w:r>
      <w:r>
        <w:rPr>
          <w:color w:val="auto"/>
          <w:highlight w:val="none"/>
        </w:rPr>
        <w:fldChar w:fldCharType="end"/>
      </w:r>
      <w:r>
        <w:rPr>
          <w:color w:val="auto"/>
          <w:highlight w:val="none"/>
        </w:rPr>
        <w:fldChar w:fldCharType="end"/>
      </w:r>
    </w:p>
    <w:p w14:paraId="60E073DA">
      <w:pPr>
        <w:pStyle w:val="25"/>
        <w:tabs>
          <w:tab w:val="right" w:leader="dot" w:pos="8844"/>
        </w:tabs>
        <w:ind w:left="420"/>
        <w:rPr>
          <w:color w:val="auto"/>
          <w:highlight w:val="none"/>
        </w:rPr>
      </w:pPr>
      <w:r>
        <w:rPr>
          <w:color w:val="auto"/>
          <w:highlight w:val="none"/>
        </w:rPr>
        <w:fldChar w:fldCharType="begin"/>
      </w:r>
      <w:r>
        <w:rPr>
          <w:color w:val="auto"/>
          <w:highlight w:val="none"/>
        </w:rPr>
        <w:instrText xml:space="preserve"> HYPERLINK \l "_Toc13038" </w:instrText>
      </w:r>
      <w:r>
        <w:rPr>
          <w:color w:val="auto"/>
          <w:highlight w:val="none"/>
        </w:rPr>
        <w:fldChar w:fldCharType="separate"/>
      </w:r>
      <w:r>
        <w:rPr>
          <w:rFonts w:hint="eastAsia" w:ascii="黑体" w:hAnsi="华文中宋" w:eastAsia="黑体"/>
          <w:color w:val="auto"/>
          <w:szCs w:val="28"/>
          <w:highlight w:val="none"/>
        </w:rPr>
        <w:t>第二节 评标方法及标准</w:t>
      </w:r>
      <w:r>
        <w:rPr>
          <w:color w:val="auto"/>
          <w:highlight w:val="none"/>
        </w:rPr>
        <w:tab/>
      </w:r>
      <w:r>
        <w:rPr>
          <w:color w:val="auto"/>
          <w:highlight w:val="none"/>
        </w:rPr>
        <w:fldChar w:fldCharType="begin"/>
      </w:r>
      <w:r>
        <w:rPr>
          <w:color w:val="auto"/>
          <w:highlight w:val="none"/>
        </w:rPr>
        <w:instrText xml:space="preserve"> PAGEREF _Toc13038 \h </w:instrText>
      </w:r>
      <w:r>
        <w:rPr>
          <w:color w:val="auto"/>
          <w:highlight w:val="none"/>
        </w:rPr>
        <w:fldChar w:fldCharType="separate"/>
      </w:r>
      <w:r>
        <w:rPr>
          <w:color w:val="auto"/>
          <w:highlight w:val="none"/>
        </w:rPr>
        <w:t>43</w:t>
      </w:r>
      <w:r>
        <w:rPr>
          <w:color w:val="auto"/>
          <w:highlight w:val="none"/>
        </w:rPr>
        <w:fldChar w:fldCharType="end"/>
      </w:r>
      <w:r>
        <w:rPr>
          <w:color w:val="auto"/>
          <w:highlight w:val="none"/>
        </w:rPr>
        <w:fldChar w:fldCharType="end"/>
      </w:r>
    </w:p>
    <w:p w14:paraId="097896AD">
      <w:pPr>
        <w:pStyle w:val="18"/>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"_Toc19507" </w:instrText>
      </w:r>
      <w:r>
        <w:rPr>
          <w:color w:val="auto"/>
          <w:highlight w:val="none"/>
        </w:rPr>
        <w:fldChar w:fldCharType="separate"/>
      </w:r>
      <w:r>
        <w:rPr>
          <w:rFonts w:hint="eastAsia" w:ascii="黑体" w:hAnsi="黑体" w:eastAsia="黑体"/>
          <w:color w:val="auto"/>
          <w:highlight w:val="none"/>
        </w:rPr>
        <w:t>1．评标方法</w:t>
      </w:r>
      <w:r>
        <w:rPr>
          <w:color w:val="auto"/>
          <w:highlight w:val="none"/>
        </w:rPr>
        <w:tab/>
      </w:r>
      <w:r>
        <w:rPr>
          <w:color w:val="auto"/>
          <w:highlight w:val="none"/>
        </w:rPr>
        <w:fldChar w:fldCharType="begin"/>
      </w:r>
      <w:r>
        <w:rPr>
          <w:color w:val="auto"/>
          <w:highlight w:val="none"/>
        </w:rPr>
        <w:instrText xml:space="preserve"> PAGEREF _Toc19507 \h </w:instrText>
      </w:r>
      <w:r>
        <w:rPr>
          <w:color w:val="auto"/>
          <w:highlight w:val="none"/>
        </w:rPr>
        <w:fldChar w:fldCharType="separate"/>
      </w:r>
      <w:r>
        <w:rPr>
          <w:color w:val="auto"/>
          <w:highlight w:val="none"/>
        </w:rPr>
        <w:t>43</w:t>
      </w:r>
      <w:r>
        <w:rPr>
          <w:color w:val="auto"/>
          <w:highlight w:val="none"/>
        </w:rPr>
        <w:fldChar w:fldCharType="end"/>
      </w:r>
      <w:r>
        <w:rPr>
          <w:color w:val="auto"/>
          <w:highlight w:val="none"/>
        </w:rPr>
        <w:fldChar w:fldCharType="end"/>
      </w:r>
    </w:p>
    <w:p w14:paraId="609430F2">
      <w:pPr>
        <w:pStyle w:val="18"/>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"_Toc11491" </w:instrText>
      </w:r>
      <w:r>
        <w:rPr>
          <w:color w:val="auto"/>
          <w:highlight w:val="none"/>
        </w:rPr>
        <w:fldChar w:fldCharType="separate"/>
      </w:r>
      <w:r>
        <w:rPr>
          <w:rFonts w:hint="eastAsia" w:ascii="黑体" w:hAnsi="黑体" w:eastAsia="黑体"/>
          <w:color w:val="auto"/>
          <w:highlight w:val="none"/>
        </w:rPr>
        <w:t>2．评标程序</w:t>
      </w:r>
      <w:r>
        <w:rPr>
          <w:color w:val="auto"/>
          <w:highlight w:val="none"/>
        </w:rPr>
        <w:tab/>
      </w:r>
      <w:r>
        <w:rPr>
          <w:color w:val="auto"/>
          <w:highlight w:val="none"/>
        </w:rPr>
        <w:fldChar w:fldCharType="begin"/>
      </w:r>
      <w:r>
        <w:rPr>
          <w:color w:val="auto"/>
          <w:highlight w:val="none"/>
        </w:rPr>
        <w:instrText xml:space="preserve"> PAGEREF _Toc11491 \h </w:instrText>
      </w:r>
      <w:r>
        <w:rPr>
          <w:color w:val="auto"/>
          <w:highlight w:val="none"/>
        </w:rPr>
        <w:fldChar w:fldCharType="separate"/>
      </w:r>
      <w:r>
        <w:rPr>
          <w:color w:val="auto"/>
          <w:highlight w:val="none"/>
        </w:rPr>
        <w:t>43</w:t>
      </w:r>
      <w:r>
        <w:rPr>
          <w:color w:val="auto"/>
          <w:highlight w:val="none"/>
        </w:rPr>
        <w:fldChar w:fldCharType="end"/>
      </w:r>
      <w:r>
        <w:rPr>
          <w:color w:val="auto"/>
          <w:highlight w:val="none"/>
        </w:rPr>
        <w:fldChar w:fldCharType="end"/>
      </w:r>
    </w:p>
    <w:p w14:paraId="14B94862">
      <w:pPr>
        <w:pStyle w:val="18"/>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"_Toc10697" </w:instrText>
      </w:r>
      <w:r>
        <w:rPr>
          <w:color w:val="auto"/>
          <w:highlight w:val="none"/>
        </w:rPr>
        <w:fldChar w:fldCharType="separate"/>
      </w:r>
      <w:r>
        <w:rPr>
          <w:rFonts w:hint="eastAsia" w:ascii="黑体" w:hAnsi="黑体" w:eastAsia="黑体"/>
          <w:color w:val="auto"/>
          <w:highlight w:val="none"/>
        </w:rPr>
        <w:t>3．投标文件的符合性审查</w:t>
      </w:r>
      <w:r>
        <w:rPr>
          <w:color w:val="auto"/>
          <w:highlight w:val="none"/>
        </w:rPr>
        <w:tab/>
      </w:r>
      <w:r>
        <w:rPr>
          <w:color w:val="auto"/>
          <w:highlight w:val="none"/>
        </w:rPr>
        <w:fldChar w:fldCharType="begin"/>
      </w:r>
      <w:r>
        <w:rPr>
          <w:color w:val="auto"/>
          <w:highlight w:val="none"/>
        </w:rPr>
        <w:instrText xml:space="preserve"> PAGEREF _Toc10697 \h </w:instrText>
      </w:r>
      <w:r>
        <w:rPr>
          <w:color w:val="auto"/>
          <w:highlight w:val="none"/>
        </w:rPr>
        <w:fldChar w:fldCharType="separate"/>
      </w:r>
      <w:r>
        <w:rPr>
          <w:color w:val="auto"/>
          <w:highlight w:val="none"/>
        </w:rPr>
        <w:t>43</w:t>
      </w:r>
      <w:r>
        <w:rPr>
          <w:color w:val="auto"/>
          <w:highlight w:val="none"/>
        </w:rPr>
        <w:fldChar w:fldCharType="end"/>
      </w:r>
      <w:r>
        <w:rPr>
          <w:color w:val="auto"/>
          <w:highlight w:val="none"/>
        </w:rPr>
        <w:fldChar w:fldCharType="end"/>
      </w:r>
    </w:p>
    <w:p w14:paraId="38C7961C">
      <w:pPr>
        <w:pStyle w:val="18"/>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"_Toc10471" </w:instrText>
      </w:r>
      <w:r>
        <w:rPr>
          <w:color w:val="auto"/>
          <w:highlight w:val="none"/>
        </w:rPr>
        <w:fldChar w:fldCharType="separate"/>
      </w:r>
      <w:r>
        <w:rPr>
          <w:rFonts w:hint="eastAsia" w:ascii="黑体" w:hAnsi="黑体" w:eastAsia="黑体"/>
          <w:color w:val="auto"/>
          <w:highlight w:val="none"/>
        </w:rPr>
        <w:t>4．投标文件的澄清</w:t>
      </w:r>
      <w:r>
        <w:rPr>
          <w:color w:val="auto"/>
          <w:highlight w:val="none"/>
        </w:rPr>
        <w:tab/>
      </w:r>
      <w:r>
        <w:rPr>
          <w:color w:val="auto"/>
          <w:highlight w:val="none"/>
        </w:rPr>
        <w:fldChar w:fldCharType="begin"/>
      </w:r>
      <w:r>
        <w:rPr>
          <w:color w:val="auto"/>
          <w:highlight w:val="none"/>
        </w:rPr>
        <w:instrText xml:space="preserve"> PAGEREF _Toc10471 \h </w:instrText>
      </w:r>
      <w:r>
        <w:rPr>
          <w:color w:val="auto"/>
          <w:highlight w:val="none"/>
        </w:rPr>
        <w:fldChar w:fldCharType="separate"/>
      </w:r>
      <w:r>
        <w:rPr>
          <w:color w:val="auto"/>
          <w:highlight w:val="none"/>
        </w:rPr>
        <w:t>43</w:t>
      </w:r>
      <w:r>
        <w:rPr>
          <w:color w:val="auto"/>
          <w:highlight w:val="none"/>
        </w:rPr>
        <w:fldChar w:fldCharType="end"/>
      </w:r>
      <w:r>
        <w:rPr>
          <w:color w:val="auto"/>
          <w:highlight w:val="none"/>
        </w:rPr>
        <w:fldChar w:fldCharType="end"/>
      </w:r>
    </w:p>
    <w:p w14:paraId="07FDE25C">
      <w:pPr>
        <w:pStyle w:val="18"/>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"_Toc4618" </w:instrText>
      </w:r>
      <w:r>
        <w:rPr>
          <w:color w:val="auto"/>
          <w:highlight w:val="none"/>
        </w:rPr>
        <w:fldChar w:fldCharType="separate"/>
      </w:r>
      <w:r>
        <w:rPr>
          <w:rFonts w:hint="eastAsia" w:ascii="黑体" w:hAnsi="黑体" w:eastAsia="黑体"/>
          <w:color w:val="auto"/>
          <w:highlight w:val="none"/>
        </w:rPr>
        <w:t>5．投标文件的比较与评价</w:t>
      </w:r>
      <w:r>
        <w:rPr>
          <w:color w:val="auto"/>
          <w:highlight w:val="none"/>
        </w:rPr>
        <w:tab/>
      </w:r>
      <w:r>
        <w:rPr>
          <w:color w:val="auto"/>
          <w:highlight w:val="none"/>
        </w:rPr>
        <w:fldChar w:fldCharType="begin"/>
      </w:r>
      <w:r>
        <w:rPr>
          <w:color w:val="auto"/>
          <w:highlight w:val="none"/>
        </w:rPr>
        <w:instrText xml:space="preserve"> PAGEREF _Toc4618 \h </w:instrText>
      </w:r>
      <w:r>
        <w:rPr>
          <w:color w:val="auto"/>
          <w:highlight w:val="none"/>
        </w:rPr>
        <w:fldChar w:fldCharType="separate"/>
      </w:r>
      <w:r>
        <w:rPr>
          <w:color w:val="auto"/>
          <w:highlight w:val="none"/>
        </w:rPr>
        <w:t>44</w:t>
      </w:r>
      <w:r>
        <w:rPr>
          <w:color w:val="auto"/>
          <w:highlight w:val="none"/>
        </w:rPr>
        <w:fldChar w:fldCharType="end"/>
      </w:r>
      <w:r>
        <w:rPr>
          <w:color w:val="auto"/>
          <w:highlight w:val="none"/>
        </w:rPr>
        <w:fldChar w:fldCharType="end"/>
      </w:r>
    </w:p>
    <w:p w14:paraId="356D92F1">
      <w:pPr>
        <w:pStyle w:val="18"/>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"_Toc2910" </w:instrText>
      </w:r>
      <w:r>
        <w:rPr>
          <w:color w:val="auto"/>
          <w:highlight w:val="none"/>
        </w:rPr>
        <w:fldChar w:fldCharType="separate"/>
      </w:r>
      <w:r>
        <w:rPr>
          <w:rFonts w:hint="eastAsia" w:ascii="黑体" w:hAnsi="黑体" w:eastAsia="黑体"/>
          <w:color w:val="auto"/>
          <w:highlight w:val="none"/>
        </w:rPr>
        <w:t>6．推荐中标候选人</w:t>
      </w:r>
      <w:r>
        <w:rPr>
          <w:color w:val="auto"/>
          <w:highlight w:val="none"/>
        </w:rPr>
        <w:tab/>
      </w:r>
      <w:r>
        <w:rPr>
          <w:color w:val="auto"/>
          <w:highlight w:val="none"/>
        </w:rPr>
        <w:fldChar w:fldCharType="begin"/>
      </w:r>
      <w:r>
        <w:rPr>
          <w:color w:val="auto"/>
          <w:highlight w:val="none"/>
        </w:rPr>
        <w:instrText xml:space="preserve"> PAGEREF _Toc2910 \h </w:instrText>
      </w:r>
      <w:r>
        <w:rPr>
          <w:color w:val="auto"/>
          <w:highlight w:val="none"/>
        </w:rPr>
        <w:fldChar w:fldCharType="separate"/>
      </w:r>
      <w:r>
        <w:rPr>
          <w:color w:val="auto"/>
          <w:highlight w:val="none"/>
        </w:rPr>
        <w:t>45</w:t>
      </w:r>
      <w:r>
        <w:rPr>
          <w:color w:val="auto"/>
          <w:highlight w:val="none"/>
        </w:rPr>
        <w:fldChar w:fldCharType="end"/>
      </w:r>
      <w:r>
        <w:rPr>
          <w:color w:val="auto"/>
          <w:highlight w:val="none"/>
        </w:rPr>
        <w:fldChar w:fldCharType="end"/>
      </w:r>
    </w:p>
    <w:p w14:paraId="747485C2">
      <w:pPr>
        <w:pStyle w:val="18"/>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"_Toc2208" </w:instrText>
      </w:r>
      <w:r>
        <w:rPr>
          <w:color w:val="auto"/>
          <w:highlight w:val="none"/>
        </w:rPr>
        <w:fldChar w:fldCharType="separate"/>
      </w:r>
      <w:r>
        <w:rPr>
          <w:rFonts w:hint="eastAsia" w:ascii="黑体" w:hAnsi="黑体" w:eastAsia="黑体"/>
          <w:color w:val="auto"/>
          <w:highlight w:val="none"/>
        </w:rPr>
        <w:t>7．编写评标报告</w:t>
      </w:r>
      <w:r>
        <w:rPr>
          <w:color w:val="auto"/>
          <w:highlight w:val="none"/>
        </w:rPr>
        <w:tab/>
      </w:r>
      <w:r>
        <w:rPr>
          <w:color w:val="auto"/>
          <w:highlight w:val="none"/>
        </w:rPr>
        <w:fldChar w:fldCharType="begin"/>
      </w:r>
      <w:r>
        <w:rPr>
          <w:color w:val="auto"/>
          <w:highlight w:val="none"/>
        </w:rPr>
        <w:instrText xml:space="preserve"> PAGEREF _Toc2208 \h </w:instrText>
      </w:r>
      <w:r>
        <w:rPr>
          <w:color w:val="auto"/>
          <w:highlight w:val="none"/>
        </w:rPr>
        <w:fldChar w:fldCharType="separate"/>
      </w:r>
      <w:r>
        <w:rPr>
          <w:color w:val="auto"/>
          <w:highlight w:val="none"/>
        </w:rPr>
        <w:t>45</w:t>
      </w:r>
      <w:r>
        <w:rPr>
          <w:color w:val="auto"/>
          <w:highlight w:val="none"/>
        </w:rPr>
        <w:fldChar w:fldCharType="end"/>
      </w:r>
      <w:r>
        <w:rPr>
          <w:color w:val="auto"/>
          <w:highlight w:val="none"/>
        </w:rPr>
        <w:fldChar w:fldCharType="end"/>
      </w:r>
    </w:p>
    <w:p w14:paraId="02CCD4A2">
      <w:pPr>
        <w:pStyle w:val="18"/>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"_Toc32460" </w:instrText>
      </w:r>
      <w:r>
        <w:rPr>
          <w:color w:val="auto"/>
          <w:highlight w:val="none"/>
        </w:rPr>
        <w:fldChar w:fldCharType="separate"/>
      </w:r>
      <w:r>
        <w:rPr>
          <w:rFonts w:hint="eastAsia" w:ascii="黑体" w:hAnsi="黑体" w:eastAsia="黑体"/>
          <w:color w:val="auto"/>
          <w:highlight w:val="none"/>
        </w:rPr>
        <w:t>8．评标报告复核</w:t>
      </w:r>
      <w:r>
        <w:rPr>
          <w:color w:val="auto"/>
          <w:highlight w:val="none"/>
        </w:rPr>
        <w:tab/>
      </w:r>
      <w:r>
        <w:rPr>
          <w:color w:val="auto"/>
          <w:highlight w:val="none"/>
        </w:rPr>
        <w:fldChar w:fldCharType="begin"/>
      </w:r>
      <w:r>
        <w:rPr>
          <w:color w:val="auto"/>
          <w:highlight w:val="none"/>
        </w:rPr>
        <w:instrText xml:space="preserve"> PAGEREF _Toc32460 \h </w:instrText>
      </w:r>
      <w:r>
        <w:rPr>
          <w:color w:val="auto"/>
          <w:highlight w:val="none"/>
        </w:rPr>
        <w:fldChar w:fldCharType="separate"/>
      </w:r>
      <w:r>
        <w:rPr>
          <w:color w:val="auto"/>
          <w:highlight w:val="none"/>
        </w:rPr>
        <w:t>45</w:t>
      </w:r>
      <w:r>
        <w:rPr>
          <w:color w:val="auto"/>
          <w:highlight w:val="none"/>
        </w:rPr>
        <w:fldChar w:fldCharType="end"/>
      </w:r>
      <w:r>
        <w:rPr>
          <w:color w:val="auto"/>
          <w:highlight w:val="none"/>
        </w:rPr>
        <w:fldChar w:fldCharType="end"/>
      </w:r>
    </w:p>
    <w:p w14:paraId="5F3B29F2">
      <w:pPr>
        <w:pStyle w:val="18"/>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"_Toc5468" </w:instrText>
      </w:r>
      <w:r>
        <w:rPr>
          <w:color w:val="auto"/>
          <w:highlight w:val="none"/>
        </w:rPr>
        <w:fldChar w:fldCharType="separate"/>
      </w:r>
      <w:r>
        <w:rPr>
          <w:rFonts w:hint="eastAsia" w:ascii="黑体" w:hAnsi="黑体" w:eastAsia="黑体"/>
          <w:color w:val="auto"/>
          <w:highlight w:val="none"/>
        </w:rPr>
        <w:t>9．停止评标</w:t>
      </w:r>
      <w:r>
        <w:rPr>
          <w:color w:val="auto"/>
          <w:highlight w:val="none"/>
        </w:rPr>
        <w:tab/>
      </w:r>
      <w:r>
        <w:rPr>
          <w:color w:val="auto"/>
          <w:highlight w:val="none"/>
        </w:rPr>
        <w:fldChar w:fldCharType="begin"/>
      </w:r>
      <w:r>
        <w:rPr>
          <w:color w:val="auto"/>
          <w:highlight w:val="none"/>
        </w:rPr>
        <w:instrText xml:space="preserve"> PAGEREF _Toc5468 \h </w:instrText>
      </w:r>
      <w:r>
        <w:rPr>
          <w:color w:val="auto"/>
          <w:highlight w:val="none"/>
        </w:rPr>
        <w:fldChar w:fldCharType="separate"/>
      </w:r>
      <w:r>
        <w:rPr>
          <w:color w:val="auto"/>
          <w:highlight w:val="none"/>
        </w:rPr>
        <w:t>45</w:t>
      </w:r>
      <w:r>
        <w:rPr>
          <w:color w:val="auto"/>
          <w:highlight w:val="none"/>
        </w:rPr>
        <w:fldChar w:fldCharType="end"/>
      </w:r>
      <w:r>
        <w:rPr>
          <w:color w:val="auto"/>
          <w:highlight w:val="none"/>
        </w:rPr>
        <w:fldChar w:fldCharType="end"/>
      </w:r>
    </w:p>
    <w:p w14:paraId="37C0C7E5">
      <w:pPr>
        <w:pStyle w:val="18"/>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"_Toc23970" </w:instrText>
      </w:r>
      <w:r>
        <w:rPr>
          <w:color w:val="auto"/>
          <w:highlight w:val="none"/>
        </w:rPr>
        <w:fldChar w:fldCharType="separate"/>
      </w:r>
      <w:r>
        <w:rPr>
          <w:rFonts w:hint="eastAsia" w:ascii="黑体" w:hAnsi="黑体" w:eastAsia="黑体"/>
          <w:color w:val="auto"/>
          <w:highlight w:val="none"/>
        </w:rPr>
        <w:t>10</w:t>
      </w:r>
      <w:r>
        <w:rPr>
          <w:rFonts w:hint="eastAsia" w:ascii="黑体" w:hAnsi="黑体" w:eastAsia="黑体" w:cs="宋体"/>
          <w:color w:val="auto"/>
          <w:kern w:val="0"/>
          <w:highlight w:val="none"/>
        </w:rPr>
        <w:t>．</w:t>
      </w:r>
      <w:r>
        <w:rPr>
          <w:rFonts w:hint="eastAsia" w:ascii="黑体" w:hAnsi="黑体" w:eastAsia="黑体"/>
          <w:color w:val="auto"/>
          <w:highlight w:val="none"/>
        </w:rPr>
        <w:t>废标</w:t>
      </w:r>
      <w:r>
        <w:rPr>
          <w:color w:val="auto"/>
          <w:highlight w:val="none"/>
        </w:rPr>
        <w:tab/>
      </w:r>
      <w:r>
        <w:rPr>
          <w:color w:val="auto"/>
          <w:highlight w:val="none"/>
        </w:rPr>
        <w:fldChar w:fldCharType="begin"/>
      </w:r>
      <w:r>
        <w:rPr>
          <w:color w:val="auto"/>
          <w:highlight w:val="none"/>
        </w:rPr>
        <w:instrText xml:space="preserve"> PAGEREF _Toc23970 \h </w:instrText>
      </w:r>
      <w:r>
        <w:rPr>
          <w:color w:val="auto"/>
          <w:highlight w:val="none"/>
        </w:rPr>
        <w:fldChar w:fldCharType="separate"/>
      </w:r>
      <w:r>
        <w:rPr>
          <w:color w:val="auto"/>
          <w:highlight w:val="none"/>
        </w:rPr>
        <w:t>46</w:t>
      </w:r>
      <w:r>
        <w:rPr>
          <w:color w:val="auto"/>
          <w:highlight w:val="none"/>
        </w:rPr>
        <w:fldChar w:fldCharType="end"/>
      </w:r>
      <w:r>
        <w:rPr>
          <w:color w:val="auto"/>
          <w:highlight w:val="none"/>
        </w:rPr>
        <w:fldChar w:fldCharType="end"/>
      </w:r>
    </w:p>
    <w:p w14:paraId="4F9100AB">
      <w:pPr>
        <w:pStyle w:val="18"/>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"_Toc15204" </w:instrText>
      </w:r>
      <w:r>
        <w:rPr>
          <w:color w:val="auto"/>
          <w:highlight w:val="none"/>
        </w:rPr>
        <w:fldChar w:fldCharType="separate"/>
      </w:r>
      <w:r>
        <w:rPr>
          <w:rFonts w:hint="eastAsia" w:ascii="黑体" w:hAnsi="黑体" w:eastAsia="黑体" w:cs="宋体"/>
          <w:color w:val="auto"/>
          <w:kern w:val="0"/>
          <w:highlight w:val="none"/>
        </w:rPr>
        <w:t>11．重新组建评标委员会进行评标</w:t>
      </w:r>
      <w:r>
        <w:rPr>
          <w:color w:val="auto"/>
          <w:highlight w:val="none"/>
        </w:rPr>
        <w:tab/>
      </w:r>
      <w:r>
        <w:rPr>
          <w:color w:val="auto"/>
          <w:highlight w:val="none"/>
        </w:rPr>
        <w:fldChar w:fldCharType="begin"/>
      </w:r>
      <w:r>
        <w:rPr>
          <w:color w:val="auto"/>
          <w:highlight w:val="none"/>
        </w:rPr>
        <w:instrText xml:space="preserve"> PAGEREF _Toc15204 \h </w:instrText>
      </w:r>
      <w:r>
        <w:rPr>
          <w:color w:val="auto"/>
          <w:highlight w:val="none"/>
        </w:rPr>
        <w:fldChar w:fldCharType="separate"/>
      </w:r>
      <w:r>
        <w:rPr>
          <w:color w:val="auto"/>
          <w:highlight w:val="none"/>
        </w:rPr>
        <w:t>46</w:t>
      </w:r>
      <w:r>
        <w:rPr>
          <w:color w:val="auto"/>
          <w:highlight w:val="none"/>
        </w:rPr>
        <w:fldChar w:fldCharType="end"/>
      </w:r>
      <w:r>
        <w:rPr>
          <w:color w:val="auto"/>
          <w:highlight w:val="none"/>
        </w:rPr>
        <w:fldChar w:fldCharType="end"/>
      </w:r>
    </w:p>
    <w:p w14:paraId="76C3220F">
      <w:pPr>
        <w:pStyle w:val="25"/>
        <w:tabs>
          <w:tab w:val="right" w:leader="dot" w:pos="8844"/>
        </w:tabs>
        <w:ind w:left="420"/>
        <w:rPr>
          <w:color w:val="auto"/>
          <w:highlight w:val="none"/>
        </w:rPr>
      </w:pPr>
      <w:r>
        <w:rPr>
          <w:color w:val="auto"/>
          <w:highlight w:val="none"/>
        </w:rPr>
        <w:fldChar w:fldCharType="begin"/>
      </w:r>
      <w:r>
        <w:rPr>
          <w:color w:val="auto"/>
          <w:highlight w:val="none"/>
        </w:rPr>
        <w:instrText xml:space="preserve"> HYPERLINK \l "_Toc12047" </w:instrText>
      </w:r>
      <w:r>
        <w:rPr>
          <w:color w:val="auto"/>
          <w:highlight w:val="none"/>
        </w:rPr>
        <w:fldChar w:fldCharType="separate"/>
      </w:r>
      <w:r>
        <w:rPr>
          <w:rFonts w:hint="eastAsia" w:ascii="黑体" w:hAnsi="华文中宋" w:eastAsia="黑体"/>
          <w:color w:val="auto"/>
          <w:szCs w:val="28"/>
          <w:highlight w:val="none"/>
        </w:rPr>
        <w:t>第三节 投标文件的符合性审查</w:t>
      </w:r>
      <w:r>
        <w:rPr>
          <w:color w:val="auto"/>
          <w:highlight w:val="none"/>
        </w:rPr>
        <w:tab/>
      </w:r>
      <w:r>
        <w:rPr>
          <w:color w:val="auto"/>
          <w:highlight w:val="none"/>
        </w:rPr>
        <w:fldChar w:fldCharType="begin"/>
      </w:r>
      <w:r>
        <w:rPr>
          <w:color w:val="auto"/>
          <w:highlight w:val="none"/>
        </w:rPr>
        <w:instrText xml:space="preserve"> PAGEREF _Toc12047 \h </w:instrText>
      </w:r>
      <w:r>
        <w:rPr>
          <w:color w:val="auto"/>
          <w:highlight w:val="none"/>
        </w:rPr>
        <w:fldChar w:fldCharType="separate"/>
      </w:r>
      <w:r>
        <w:rPr>
          <w:color w:val="auto"/>
          <w:highlight w:val="none"/>
        </w:rPr>
        <w:t>47</w:t>
      </w:r>
      <w:r>
        <w:rPr>
          <w:color w:val="auto"/>
          <w:highlight w:val="none"/>
        </w:rPr>
        <w:fldChar w:fldCharType="end"/>
      </w:r>
      <w:r>
        <w:rPr>
          <w:color w:val="auto"/>
          <w:highlight w:val="none"/>
        </w:rPr>
        <w:fldChar w:fldCharType="end"/>
      </w:r>
    </w:p>
    <w:p w14:paraId="64951A5E">
      <w:pPr>
        <w:pStyle w:val="18"/>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"_Toc23335" </w:instrText>
      </w:r>
      <w:r>
        <w:rPr>
          <w:color w:val="auto"/>
          <w:highlight w:val="none"/>
        </w:rPr>
        <w:fldChar w:fldCharType="separate"/>
      </w:r>
      <w:r>
        <w:rPr>
          <w:rFonts w:hint="eastAsia" w:ascii="黑体" w:hAnsi="黑体" w:eastAsia="黑体" w:cs="黑体"/>
          <w:color w:val="auto"/>
          <w:szCs w:val="21"/>
          <w:highlight w:val="none"/>
        </w:rPr>
        <w:t>附表1 符合性审查表</w:t>
      </w:r>
      <w:r>
        <w:rPr>
          <w:color w:val="auto"/>
          <w:highlight w:val="none"/>
        </w:rPr>
        <w:tab/>
      </w:r>
      <w:r>
        <w:rPr>
          <w:color w:val="auto"/>
          <w:highlight w:val="none"/>
        </w:rPr>
        <w:fldChar w:fldCharType="begin"/>
      </w:r>
      <w:r>
        <w:rPr>
          <w:color w:val="auto"/>
          <w:highlight w:val="none"/>
        </w:rPr>
        <w:instrText xml:space="preserve"> PAGEREF _Toc23335 \h </w:instrText>
      </w:r>
      <w:r>
        <w:rPr>
          <w:color w:val="auto"/>
          <w:highlight w:val="none"/>
        </w:rPr>
        <w:fldChar w:fldCharType="separate"/>
      </w:r>
      <w:r>
        <w:rPr>
          <w:color w:val="auto"/>
          <w:highlight w:val="none"/>
        </w:rPr>
        <w:t>48</w:t>
      </w:r>
      <w:r>
        <w:rPr>
          <w:color w:val="auto"/>
          <w:highlight w:val="none"/>
        </w:rPr>
        <w:fldChar w:fldCharType="end"/>
      </w:r>
      <w:r>
        <w:rPr>
          <w:color w:val="auto"/>
          <w:highlight w:val="none"/>
        </w:rPr>
        <w:fldChar w:fldCharType="end"/>
      </w:r>
    </w:p>
    <w:p w14:paraId="3E0A6A4B">
      <w:pPr>
        <w:pStyle w:val="18"/>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"_Toc30662" </w:instrText>
      </w:r>
      <w:r>
        <w:rPr>
          <w:color w:val="auto"/>
          <w:highlight w:val="none"/>
        </w:rPr>
        <w:fldChar w:fldCharType="separate"/>
      </w:r>
      <w:r>
        <w:rPr>
          <w:rFonts w:hint="eastAsia" w:ascii="黑体" w:hAnsi="黑体" w:eastAsia="黑体" w:cs="黑体"/>
          <w:color w:val="auto"/>
          <w:szCs w:val="21"/>
          <w:highlight w:val="none"/>
        </w:rPr>
        <w:t>附表2 符合性审查结果一览表</w:t>
      </w:r>
      <w:r>
        <w:rPr>
          <w:color w:val="auto"/>
          <w:highlight w:val="none"/>
        </w:rPr>
        <w:tab/>
      </w:r>
      <w:r>
        <w:rPr>
          <w:color w:val="auto"/>
          <w:highlight w:val="none"/>
        </w:rPr>
        <w:fldChar w:fldCharType="begin"/>
      </w:r>
      <w:r>
        <w:rPr>
          <w:color w:val="auto"/>
          <w:highlight w:val="none"/>
        </w:rPr>
        <w:instrText xml:space="preserve"> PAGEREF _Toc30662 \h </w:instrText>
      </w:r>
      <w:r>
        <w:rPr>
          <w:color w:val="auto"/>
          <w:highlight w:val="none"/>
        </w:rPr>
        <w:fldChar w:fldCharType="separate"/>
      </w:r>
      <w:r>
        <w:rPr>
          <w:color w:val="auto"/>
          <w:highlight w:val="none"/>
        </w:rPr>
        <w:t>49</w:t>
      </w:r>
      <w:r>
        <w:rPr>
          <w:color w:val="auto"/>
          <w:highlight w:val="none"/>
        </w:rPr>
        <w:fldChar w:fldCharType="end"/>
      </w:r>
      <w:r>
        <w:rPr>
          <w:color w:val="auto"/>
          <w:highlight w:val="none"/>
        </w:rPr>
        <w:fldChar w:fldCharType="end"/>
      </w:r>
    </w:p>
    <w:p w14:paraId="788D9C18">
      <w:pPr>
        <w:pStyle w:val="18"/>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"_Toc23711" </w:instrText>
      </w:r>
      <w:r>
        <w:rPr>
          <w:color w:val="auto"/>
          <w:highlight w:val="none"/>
        </w:rPr>
        <w:fldChar w:fldCharType="separate"/>
      </w:r>
      <w:r>
        <w:rPr>
          <w:rFonts w:hint="eastAsia" w:ascii="黑体" w:hAnsi="黑体" w:eastAsia="黑体" w:cs="黑体"/>
          <w:color w:val="auto"/>
          <w:szCs w:val="21"/>
          <w:highlight w:val="none"/>
        </w:rPr>
        <w:t>附表3 符合性审查合格投标人名单</w:t>
      </w:r>
      <w:r>
        <w:rPr>
          <w:color w:val="auto"/>
          <w:highlight w:val="none"/>
        </w:rPr>
        <w:tab/>
      </w:r>
      <w:r>
        <w:rPr>
          <w:color w:val="auto"/>
          <w:highlight w:val="none"/>
        </w:rPr>
        <w:fldChar w:fldCharType="begin"/>
      </w:r>
      <w:r>
        <w:rPr>
          <w:color w:val="auto"/>
          <w:highlight w:val="none"/>
        </w:rPr>
        <w:instrText xml:space="preserve"> PAGEREF _Toc23711 \h </w:instrText>
      </w:r>
      <w:r>
        <w:rPr>
          <w:color w:val="auto"/>
          <w:highlight w:val="none"/>
        </w:rPr>
        <w:fldChar w:fldCharType="separate"/>
      </w:r>
      <w:r>
        <w:rPr>
          <w:color w:val="auto"/>
          <w:highlight w:val="none"/>
        </w:rPr>
        <w:t>50</w:t>
      </w:r>
      <w:r>
        <w:rPr>
          <w:color w:val="auto"/>
          <w:highlight w:val="none"/>
        </w:rPr>
        <w:fldChar w:fldCharType="end"/>
      </w:r>
      <w:r>
        <w:rPr>
          <w:color w:val="auto"/>
          <w:highlight w:val="none"/>
        </w:rPr>
        <w:fldChar w:fldCharType="end"/>
      </w:r>
    </w:p>
    <w:p w14:paraId="6B47720F">
      <w:pPr>
        <w:pStyle w:val="25"/>
        <w:tabs>
          <w:tab w:val="right" w:leader="dot" w:pos="8844"/>
        </w:tabs>
        <w:ind w:left="420"/>
        <w:rPr>
          <w:color w:val="auto"/>
          <w:highlight w:val="none"/>
        </w:rPr>
      </w:pPr>
      <w:r>
        <w:rPr>
          <w:color w:val="auto"/>
          <w:highlight w:val="none"/>
        </w:rPr>
        <w:fldChar w:fldCharType="begin"/>
      </w:r>
      <w:r>
        <w:rPr>
          <w:color w:val="auto"/>
          <w:highlight w:val="none"/>
        </w:rPr>
        <w:instrText xml:space="preserve"> HYPERLINK \l "_Toc26017" </w:instrText>
      </w:r>
      <w:r>
        <w:rPr>
          <w:color w:val="auto"/>
          <w:highlight w:val="none"/>
        </w:rPr>
        <w:fldChar w:fldCharType="separate"/>
      </w:r>
      <w:r>
        <w:rPr>
          <w:rFonts w:hint="eastAsia" w:ascii="黑体" w:hAnsi="华文中宋" w:eastAsia="黑体"/>
          <w:color w:val="auto"/>
          <w:szCs w:val="28"/>
          <w:highlight w:val="none"/>
        </w:rPr>
        <w:t>第四节 投标文件的比较与评价</w:t>
      </w:r>
      <w:r>
        <w:rPr>
          <w:color w:val="auto"/>
          <w:highlight w:val="none"/>
        </w:rPr>
        <w:tab/>
      </w:r>
      <w:r>
        <w:rPr>
          <w:color w:val="auto"/>
          <w:highlight w:val="none"/>
        </w:rPr>
        <w:fldChar w:fldCharType="begin"/>
      </w:r>
      <w:r>
        <w:rPr>
          <w:color w:val="auto"/>
          <w:highlight w:val="none"/>
        </w:rPr>
        <w:instrText xml:space="preserve"> PAGEREF _Toc26017 \h </w:instrText>
      </w:r>
      <w:r>
        <w:rPr>
          <w:color w:val="auto"/>
          <w:highlight w:val="none"/>
        </w:rPr>
        <w:fldChar w:fldCharType="separate"/>
      </w:r>
      <w:r>
        <w:rPr>
          <w:color w:val="auto"/>
          <w:highlight w:val="none"/>
        </w:rPr>
        <w:t>51</w:t>
      </w:r>
      <w:r>
        <w:rPr>
          <w:color w:val="auto"/>
          <w:highlight w:val="none"/>
        </w:rPr>
        <w:fldChar w:fldCharType="end"/>
      </w:r>
      <w:r>
        <w:rPr>
          <w:color w:val="auto"/>
          <w:highlight w:val="none"/>
        </w:rPr>
        <w:fldChar w:fldCharType="end"/>
      </w:r>
    </w:p>
    <w:p w14:paraId="42B418CA">
      <w:pPr>
        <w:pStyle w:val="18"/>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"_Toc21879" </w:instrText>
      </w:r>
      <w:r>
        <w:rPr>
          <w:color w:val="auto"/>
          <w:highlight w:val="none"/>
        </w:rPr>
        <w:fldChar w:fldCharType="separate"/>
      </w:r>
      <w:r>
        <w:rPr>
          <w:rFonts w:hint="eastAsia" w:ascii="黑体" w:hAnsi="黑体" w:eastAsia="黑体" w:cs="黑体"/>
          <w:color w:val="auto"/>
          <w:szCs w:val="21"/>
          <w:highlight w:val="none"/>
        </w:rPr>
        <w:t>附表1 评标方法及标准表</w:t>
      </w:r>
      <w:r>
        <w:rPr>
          <w:color w:val="auto"/>
          <w:highlight w:val="none"/>
        </w:rPr>
        <w:tab/>
      </w:r>
      <w:r>
        <w:rPr>
          <w:color w:val="auto"/>
          <w:highlight w:val="none"/>
        </w:rPr>
        <w:fldChar w:fldCharType="begin"/>
      </w:r>
      <w:r>
        <w:rPr>
          <w:color w:val="auto"/>
          <w:highlight w:val="none"/>
        </w:rPr>
        <w:instrText xml:space="preserve"> PAGEREF _Toc21879 \h </w:instrText>
      </w:r>
      <w:r>
        <w:rPr>
          <w:color w:val="auto"/>
          <w:highlight w:val="none"/>
        </w:rPr>
        <w:fldChar w:fldCharType="separate"/>
      </w:r>
      <w:r>
        <w:rPr>
          <w:color w:val="auto"/>
          <w:highlight w:val="none"/>
        </w:rPr>
        <w:t>53</w:t>
      </w:r>
      <w:r>
        <w:rPr>
          <w:color w:val="auto"/>
          <w:highlight w:val="none"/>
        </w:rPr>
        <w:fldChar w:fldCharType="end"/>
      </w:r>
      <w:r>
        <w:rPr>
          <w:color w:val="auto"/>
          <w:highlight w:val="none"/>
        </w:rPr>
        <w:fldChar w:fldCharType="end"/>
      </w:r>
    </w:p>
    <w:p w14:paraId="1830095E">
      <w:pPr>
        <w:pStyle w:val="23"/>
        <w:tabs>
          <w:tab w:val="right" w:leader="dot" w:pos="8844"/>
        </w:tabs>
        <w:rPr>
          <w:color w:val="auto"/>
          <w:highlight w:val="none"/>
        </w:rPr>
      </w:pPr>
      <w:r>
        <w:rPr>
          <w:color w:val="auto"/>
          <w:highlight w:val="none"/>
        </w:rPr>
        <w:fldChar w:fldCharType="begin"/>
      </w:r>
      <w:r>
        <w:rPr>
          <w:color w:val="auto"/>
          <w:highlight w:val="none"/>
        </w:rPr>
        <w:instrText xml:space="preserve"> HYPERLINK \l "_Toc12574" </w:instrText>
      </w:r>
      <w:r>
        <w:rPr>
          <w:color w:val="auto"/>
          <w:highlight w:val="none"/>
        </w:rPr>
        <w:fldChar w:fldCharType="separate"/>
      </w:r>
      <w:r>
        <w:rPr>
          <w:rFonts w:hint="eastAsia" w:ascii="黑体" w:hAnsi="华文中宋" w:eastAsia="黑体"/>
          <w:color w:val="auto"/>
          <w:szCs w:val="32"/>
          <w:highlight w:val="none"/>
        </w:rPr>
        <w:t>第五章 采购需求</w:t>
      </w:r>
      <w:r>
        <w:rPr>
          <w:color w:val="auto"/>
          <w:highlight w:val="none"/>
        </w:rPr>
        <w:tab/>
      </w:r>
      <w:r>
        <w:rPr>
          <w:color w:val="auto"/>
          <w:highlight w:val="none"/>
        </w:rPr>
        <w:fldChar w:fldCharType="begin"/>
      </w:r>
      <w:r>
        <w:rPr>
          <w:color w:val="auto"/>
          <w:highlight w:val="none"/>
        </w:rPr>
        <w:instrText xml:space="preserve"> PAGEREF _Toc12574 \h </w:instrText>
      </w:r>
      <w:r>
        <w:rPr>
          <w:color w:val="auto"/>
          <w:highlight w:val="none"/>
        </w:rPr>
        <w:fldChar w:fldCharType="separate"/>
      </w:r>
      <w:r>
        <w:rPr>
          <w:color w:val="auto"/>
          <w:highlight w:val="none"/>
        </w:rPr>
        <w:t>57</w:t>
      </w:r>
      <w:r>
        <w:rPr>
          <w:color w:val="auto"/>
          <w:highlight w:val="none"/>
        </w:rPr>
        <w:fldChar w:fldCharType="end"/>
      </w:r>
      <w:r>
        <w:rPr>
          <w:color w:val="auto"/>
          <w:highlight w:val="none"/>
        </w:rPr>
        <w:fldChar w:fldCharType="end"/>
      </w:r>
    </w:p>
    <w:p w14:paraId="48620286">
      <w:pPr>
        <w:pStyle w:val="25"/>
        <w:tabs>
          <w:tab w:val="right" w:leader="dot" w:pos="8844"/>
        </w:tabs>
        <w:ind w:left="420"/>
        <w:rPr>
          <w:color w:val="auto"/>
          <w:highlight w:val="none"/>
        </w:rPr>
      </w:pPr>
      <w:r>
        <w:rPr>
          <w:color w:val="auto"/>
          <w:highlight w:val="none"/>
        </w:rPr>
        <w:fldChar w:fldCharType="begin"/>
      </w:r>
      <w:r>
        <w:rPr>
          <w:color w:val="auto"/>
          <w:highlight w:val="none"/>
        </w:rPr>
        <w:instrText xml:space="preserve"> HYPERLINK \l "_Toc27822" </w:instrText>
      </w:r>
      <w:r>
        <w:rPr>
          <w:color w:val="auto"/>
          <w:highlight w:val="none"/>
        </w:rPr>
        <w:fldChar w:fldCharType="separate"/>
      </w:r>
      <w:r>
        <w:rPr>
          <w:rFonts w:hint="eastAsia" w:ascii="黑体" w:hAnsi="黑体" w:eastAsia="黑体"/>
          <w:color w:val="auto"/>
          <w:szCs w:val="28"/>
          <w:highlight w:val="none"/>
        </w:rPr>
        <w:t>第一节 采购清单一览表</w:t>
      </w:r>
      <w:r>
        <w:rPr>
          <w:color w:val="auto"/>
          <w:highlight w:val="none"/>
        </w:rPr>
        <w:tab/>
      </w:r>
      <w:r>
        <w:rPr>
          <w:color w:val="auto"/>
          <w:highlight w:val="none"/>
        </w:rPr>
        <w:fldChar w:fldCharType="begin"/>
      </w:r>
      <w:r>
        <w:rPr>
          <w:color w:val="auto"/>
          <w:highlight w:val="none"/>
        </w:rPr>
        <w:instrText xml:space="preserve"> PAGEREF _Toc27822 \h </w:instrText>
      </w:r>
      <w:r>
        <w:rPr>
          <w:color w:val="auto"/>
          <w:highlight w:val="none"/>
        </w:rPr>
        <w:fldChar w:fldCharType="separate"/>
      </w:r>
      <w:r>
        <w:rPr>
          <w:color w:val="auto"/>
          <w:highlight w:val="none"/>
        </w:rPr>
        <w:t>57</w:t>
      </w:r>
      <w:r>
        <w:rPr>
          <w:color w:val="auto"/>
          <w:highlight w:val="none"/>
        </w:rPr>
        <w:fldChar w:fldCharType="end"/>
      </w:r>
      <w:r>
        <w:rPr>
          <w:color w:val="auto"/>
          <w:highlight w:val="none"/>
        </w:rPr>
        <w:fldChar w:fldCharType="end"/>
      </w:r>
    </w:p>
    <w:p w14:paraId="42B16E3A">
      <w:pPr>
        <w:pStyle w:val="25"/>
        <w:tabs>
          <w:tab w:val="right" w:leader="dot" w:pos="8844"/>
        </w:tabs>
        <w:ind w:left="420"/>
        <w:rPr>
          <w:color w:val="auto"/>
          <w:highlight w:val="none"/>
        </w:rPr>
      </w:pPr>
      <w:r>
        <w:rPr>
          <w:color w:val="auto"/>
          <w:highlight w:val="none"/>
        </w:rPr>
        <w:fldChar w:fldCharType="begin"/>
      </w:r>
      <w:r>
        <w:rPr>
          <w:color w:val="auto"/>
          <w:highlight w:val="none"/>
        </w:rPr>
        <w:instrText xml:space="preserve"> HYPERLINK \l "_Toc8803" </w:instrText>
      </w:r>
      <w:r>
        <w:rPr>
          <w:color w:val="auto"/>
          <w:highlight w:val="none"/>
        </w:rPr>
        <w:fldChar w:fldCharType="separate"/>
      </w:r>
      <w:r>
        <w:rPr>
          <w:rFonts w:hint="eastAsia" w:ascii="黑体" w:hAnsi="黑体" w:eastAsia="黑体"/>
          <w:color w:val="auto"/>
          <w:szCs w:val="28"/>
          <w:highlight w:val="none"/>
        </w:rPr>
        <w:t xml:space="preserve">第二节 </w:t>
      </w:r>
      <w:r>
        <w:rPr>
          <w:rFonts w:ascii="黑体" w:hAnsi="黑体" w:eastAsia="黑体"/>
          <w:color w:val="auto"/>
          <w:szCs w:val="28"/>
          <w:highlight w:val="none"/>
        </w:rPr>
        <w:t>技术要求</w:t>
      </w:r>
      <w:r>
        <w:rPr>
          <w:color w:val="auto"/>
          <w:highlight w:val="none"/>
        </w:rPr>
        <w:tab/>
      </w:r>
      <w:r>
        <w:rPr>
          <w:color w:val="auto"/>
          <w:highlight w:val="none"/>
        </w:rPr>
        <w:fldChar w:fldCharType="begin"/>
      </w:r>
      <w:r>
        <w:rPr>
          <w:color w:val="auto"/>
          <w:highlight w:val="none"/>
        </w:rPr>
        <w:instrText xml:space="preserve"> PAGEREF _Toc8803 \h </w:instrText>
      </w:r>
      <w:r>
        <w:rPr>
          <w:color w:val="auto"/>
          <w:highlight w:val="none"/>
        </w:rPr>
        <w:fldChar w:fldCharType="separate"/>
      </w:r>
      <w:r>
        <w:rPr>
          <w:color w:val="auto"/>
          <w:highlight w:val="none"/>
        </w:rPr>
        <w:t>58</w:t>
      </w:r>
      <w:r>
        <w:rPr>
          <w:color w:val="auto"/>
          <w:highlight w:val="none"/>
        </w:rPr>
        <w:fldChar w:fldCharType="end"/>
      </w:r>
      <w:r>
        <w:rPr>
          <w:color w:val="auto"/>
          <w:highlight w:val="none"/>
        </w:rPr>
        <w:fldChar w:fldCharType="end"/>
      </w:r>
    </w:p>
    <w:p w14:paraId="2DC027FF">
      <w:pPr>
        <w:pStyle w:val="25"/>
        <w:tabs>
          <w:tab w:val="right" w:leader="dot" w:pos="8844"/>
        </w:tabs>
        <w:ind w:left="420"/>
        <w:rPr>
          <w:color w:val="auto"/>
          <w:highlight w:val="none"/>
        </w:rPr>
      </w:pPr>
      <w:r>
        <w:rPr>
          <w:color w:val="auto"/>
          <w:highlight w:val="none"/>
        </w:rPr>
        <w:fldChar w:fldCharType="begin"/>
      </w:r>
      <w:r>
        <w:rPr>
          <w:color w:val="auto"/>
          <w:highlight w:val="none"/>
        </w:rPr>
        <w:instrText xml:space="preserve"> HYPERLINK \l "_Toc3145" </w:instrText>
      </w:r>
      <w:r>
        <w:rPr>
          <w:color w:val="auto"/>
          <w:highlight w:val="none"/>
        </w:rPr>
        <w:fldChar w:fldCharType="separate"/>
      </w:r>
      <w:r>
        <w:rPr>
          <w:rFonts w:hint="eastAsia" w:ascii="黑体" w:hAnsi="黑体" w:eastAsia="黑体"/>
          <w:color w:val="auto"/>
          <w:szCs w:val="28"/>
          <w:highlight w:val="none"/>
        </w:rPr>
        <w:t>第三节 商务</w:t>
      </w:r>
      <w:r>
        <w:rPr>
          <w:rFonts w:ascii="黑体" w:hAnsi="黑体" w:eastAsia="黑体"/>
          <w:color w:val="auto"/>
          <w:szCs w:val="28"/>
          <w:highlight w:val="none"/>
        </w:rPr>
        <w:t>要求</w:t>
      </w:r>
      <w:r>
        <w:rPr>
          <w:color w:val="auto"/>
          <w:highlight w:val="none"/>
        </w:rPr>
        <w:tab/>
      </w:r>
      <w:r>
        <w:rPr>
          <w:color w:val="auto"/>
          <w:highlight w:val="none"/>
        </w:rPr>
        <w:fldChar w:fldCharType="begin"/>
      </w:r>
      <w:r>
        <w:rPr>
          <w:color w:val="auto"/>
          <w:highlight w:val="none"/>
        </w:rPr>
        <w:instrText xml:space="preserve"> PAGEREF _Toc3145 \h </w:instrText>
      </w:r>
      <w:r>
        <w:rPr>
          <w:color w:val="auto"/>
          <w:highlight w:val="none"/>
        </w:rPr>
        <w:fldChar w:fldCharType="separate"/>
      </w:r>
      <w:r>
        <w:rPr>
          <w:color w:val="auto"/>
          <w:highlight w:val="none"/>
        </w:rPr>
        <w:t>68</w:t>
      </w:r>
      <w:r>
        <w:rPr>
          <w:color w:val="auto"/>
          <w:highlight w:val="none"/>
        </w:rPr>
        <w:fldChar w:fldCharType="end"/>
      </w:r>
      <w:r>
        <w:rPr>
          <w:color w:val="auto"/>
          <w:highlight w:val="none"/>
        </w:rPr>
        <w:fldChar w:fldCharType="end"/>
      </w:r>
    </w:p>
    <w:p w14:paraId="149180FB">
      <w:pPr>
        <w:pStyle w:val="23"/>
        <w:tabs>
          <w:tab w:val="right" w:leader="dot" w:pos="8844"/>
        </w:tabs>
        <w:rPr>
          <w:color w:val="auto"/>
          <w:highlight w:val="none"/>
        </w:rPr>
      </w:pPr>
      <w:r>
        <w:rPr>
          <w:color w:val="auto"/>
          <w:highlight w:val="none"/>
        </w:rPr>
        <w:fldChar w:fldCharType="begin"/>
      </w:r>
      <w:r>
        <w:rPr>
          <w:color w:val="auto"/>
          <w:highlight w:val="none"/>
        </w:rPr>
        <w:instrText xml:space="preserve"> HYPERLINK \l "_Toc8437" </w:instrText>
      </w:r>
      <w:r>
        <w:rPr>
          <w:color w:val="auto"/>
          <w:highlight w:val="none"/>
        </w:rPr>
        <w:fldChar w:fldCharType="separate"/>
      </w:r>
      <w:r>
        <w:rPr>
          <w:rFonts w:hint="eastAsia" w:ascii="黑体" w:hAnsi="华文中宋" w:eastAsia="黑体"/>
          <w:color w:val="auto"/>
          <w:szCs w:val="32"/>
          <w:highlight w:val="none"/>
        </w:rPr>
        <w:t>第六章 政府采购合同</w:t>
      </w:r>
      <w:r>
        <w:rPr>
          <w:color w:val="auto"/>
          <w:highlight w:val="none"/>
        </w:rPr>
        <w:tab/>
      </w:r>
      <w:r>
        <w:rPr>
          <w:color w:val="auto"/>
          <w:highlight w:val="none"/>
        </w:rPr>
        <w:fldChar w:fldCharType="begin"/>
      </w:r>
      <w:r>
        <w:rPr>
          <w:color w:val="auto"/>
          <w:highlight w:val="none"/>
        </w:rPr>
        <w:instrText xml:space="preserve"> PAGEREF _Toc8437 \h </w:instrText>
      </w:r>
      <w:r>
        <w:rPr>
          <w:color w:val="auto"/>
          <w:highlight w:val="none"/>
        </w:rPr>
        <w:fldChar w:fldCharType="separate"/>
      </w:r>
      <w:r>
        <w:rPr>
          <w:color w:val="auto"/>
          <w:highlight w:val="none"/>
        </w:rPr>
        <w:t>71</w:t>
      </w:r>
      <w:r>
        <w:rPr>
          <w:color w:val="auto"/>
          <w:highlight w:val="none"/>
        </w:rPr>
        <w:fldChar w:fldCharType="end"/>
      </w:r>
      <w:r>
        <w:rPr>
          <w:color w:val="auto"/>
          <w:highlight w:val="none"/>
        </w:rPr>
        <w:fldChar w:fldCharType="end"/>
      </w:r>
    </w:p>
    <w:p w14:paraId="22DB0E8A">
      <w:pPr>
        <w:pStyle w:val="25"/>
        <w:tabs>
          <w:tab w:val="right" w:leader="dot" w:pos="8844"/>
        </w:tabs>
        <w:ind w:left="420"/>
        <w:rPr>
          <w:color w:val="auto"/>
          <w:highlight w:val="none"/>
        </w:rPr>
      </w:pPr>
      <w:r>
        <w:rPr>
          <w:color w:val="auto"/>
          <w:highlight w:val="none"/>
        </w:rPr>
        <w:fldChar w:fldCharType="begin"/>
      </w:r>
      <w:r>
        <w:rPr>
          <w:color w:val="auto"/>
          <w:highlight w:val="none"/>
        </w:rPr>
        <w:instrText xml:space="preserve"> HYPERLINK \l "_Toc20871" </w:instrText>
      </w:r>
      <w:r>
        <w:rPr>
          <w:color w:val="auto"/>
          <w:highlight w:val="none"/>
        </w:rPr>
        <w:fldChar w:fldCharType="separate"/>
      </w:r>
      <w:r>
        <w:rPr>
          <w:rFonts w:hint="eastAsia" w:ascii="黑体" w:hAnsi="华文中宋" w:eastAsia="黑体"/>
          <w:color w:val="auto"/>
          <w:szCs w:val="28"/>
          <w:highlight w:val="none"/>
        </w:rPr>
        <w:t>第一节 政府采购合同协议书</w:t>
      </w:r>
      <w:r>
        <w:rPr>
          <w:color w:val="auto"/>
          <w:highlight w:val="none"/>
        </w:rPr>
        <w:tab/>
      </w:r>
      <w:r>
        <w:rPr>
          <w:color w:val="auto"/>
          <w:highlight w:val="none"/>
        </w:rPr>
        <w:fldChar w:fldCharType="begin"/>
      </w:r>
      <w:r>
        <w:rPr>
          <w:color w:val="auto"/>
          <w:highlight w:val="none"/>
        </w:rPr>
        <w:instrText xml:space="preserve"> PAGEREF _Toc20871 \h </w:instrText>
      </w:r>
      <w:r>
        <w:rPr>
          <w:color w:val="auto"/>
          <w:highlight w:val="none"/>
        </w:rPr>
        <w:fldChar w:fldCharType="separate"/>
      </w:r>
      <w:r>
        <w:rPr>
          <w:color w:val="auto"/>
          <w:highlight w:val="none"/>
        </w:rPr>
        <w:t>71</w:t>
      </w:r>
      <w:r>
        <w:rPr>
          <w:color w:val="auto"/>
          <w:highlight w:val="none"/>
        </w:rPr>
        <w:fldChar w:fldCharType="end"/>
      </w:r>
      <w:r>
        <w:rPr>
          <w:color w:val="auto"/>
          <w:highlight w:val="none"/>
        </w:rPr>
        <w:fldChar w:fldCharType="end"/>
      </w:r>
    </w:p>
    <w:p w14:paraId="25054007">
      <w:pPr>
        <w:pStyle w:val="25"/>
        <w:tabs>
          <w:tab w:val="right" w:leader="dot" w:pos="8844"/>
        </w:tabs>
        <w:ind w:left="420"/>
        <w:rPr>
          <w:color w:val="auto"/>
          <w:highlight w:val="none"/>
        </w:rPr>
      </w:pPr>
      <w:r>
        <w:rPr>
          <w:color w:val="auto"/>
          <w:highlight w:val="none"/>
        </w:rPr>
        <w:fldChar w:fldCharType="begin"/>
      </w:r>
      <w:r>
        <w:rPr>
          <w:color w:val="auto"/>
          <w:highlight w:val="none"/>
        </w:rPr>
        <w:instrText xml:space="preserve"> HYPERLINK \l "_Toc765" </w:instrText>
      </w:r>
      <w:r>
        <w:rPr>
          <w:color w:val="auto"/>
          <w:highlight w:val="none"/>
        </w:rPr>
        <w:fldChar w:fldCharType="separate"/>
      </w:r>
      <w:r>
        <w:rPr>
          <w:rFonts w:hint="eastAsia" w:ascii="黑体" w:hAnsi="黑体" w:eastAsia="黑体"/>
          <w:color w:val="auto"/>
          <w:szCs w:val="28"/>
          <w:highlight w:val="none"/>
        </w:rPr>
        <w:t>第二节 政府采购合同通用条款</w:t>
      </w:r>
      <w:r>
        <w:rPr>
          <w:color w:val="auto"/>
          <w:highlight w:val="none"/>
        </w:rPr>
        <w:tab/>
      </w:r>
      <w:r>
        <w:rPr>
          <w:color w:val="auto"/>
          <w:highlight w:val="none"/>
        </w:rPr>
        <w:fldChar w:fldCharType="begin"/>
      </w:r>
      <w:r>
        <w:rPr>
          <w:color w:val="auto"/>
          <w:highlight w:val="none"/>
        </w:rPr>
        <w:instrText xml:space="preserve"> PAGEREF _Toc765 \h </w:instrText>
      </w:r>
      <w:r>
        <w:rPr>
          <w:color w:val="auto"/>
          <w:highlight w:val="none"/>
        </w:rPr>
        <w:fldChar w:fldCharType="separate"/>
      </w:r>
      <w:r>
        <w:rPr>
          <w:color w:val="auto"/>
          <w:highlight w:val="none"/>
        </w:rPr>
        <w:t>74</w:t>
      </w:r>
      <w:r>
        <w:rPr>
          <w:color w:val="auto"/>
          <w:highlight w:val="none"/>
        </w:rPr>
        <w:fldChar w:fldCharType="end"/>
      </w:r>
      <w:r>
        <w:rPr>
          <w:color w:val="auto"/>
          <w:highlight w:val="none"/>
        </w:rPr>
        <w:fldChar w:fldCharType="end"/>
      </w:r>
    </w:p>
    <w:p w14:paraId="3B2AA490">
      <w:pPr>
        <w:pStyle w:val="25"/>
        <w:tabs>
          <w:tab w:val="right" w:leader="dot" w:pos="8844"/>
        </w:tabs>
        <w:ind w:left="420"/>
        <w:rPr>
          <w:color w:val="auto"/>
          <w:highlight w:val="none"/>
        </w:rPr>
      </w:pPr>
      <w:r>
        <w:rPr>
          <w:color w:val="auto"/>
          <w:highlight w:val="none"/>
        </w:rPr>
        <w:fldChar w:fldCharType="begin"/>
      </w:r>
      <w:r>
        <w:rPr>
          <w:color w:val="auto"/>
          <w:highlight w:val="none"/>
        </w:rPr>
        <w:instrText xml:space="preserve"> HYPERLINK \l "_Toc14411" </w:instrText>
      </w:r>
      <w:r>
        <w:rPr>
          <w:color w:val="auto"/>
          <w:highlight w:val="none"/>
        </w:rPr>
        <w:fldChar w:fldCharType="separate"/>
      </w:r>
      <w:r>
        <w:rPr>
          <w:rFonts w:hint="eastAsia" w:ascii="黑体" w:hAnsi="华文中宋" w:eastAsia="黑体"/>
          <w:color w:val="auto"/>
          <w:szCs w:val="28"/>
          <w:highlight w:val="none"/>
        </w:rPr>
        <w:t>第三节 政府采购合同专用条款</w:t>
      </w:r>
      <w:r>
        <w:rPr>
          <w:color w:val="auto"/>
          <w:highlight w:val="none"/>
        </w:rPr>
        <w:tab/>
      </w:r>
      <w:r>
        <w:rPr>
          <w:color w:val="auto"/>
          <w:highlight w:val="none"/>
        </w:rPr>
        <w:fldChar w:fldCharType="begin"/>
      </w:r>
      <w:r>
        <w:rPr>
          <w:color w:val="auto"/>
          <w:highlight w:val="none"/>
        </w:rPr>
        <w:instrText xml:space="preserve"> PAGEREF _Toc14411 \h </w:instrText>
      </w:r>
      <w:r>
        <w:rPr>
          <w:color w:val="auto"/>
          <w:highlight w:val="none"/>
        </w:rPr>
        <w:fldChar w:fldCharType="separate"/>
      </w:r>
      <w:r>
        <w:rPr>
          <w:color w:val="auto"/>
          <w:highlight w:val="none"/>
        </w:rPr>
        <w:t>81</w:t>
      </w:r>
      <w:r>
        <w:rPr>
          <w:color w:val="auto"/>
          <w:highlight w:val="none"/>
        </w:rPr>
        <w:fldChar w:fldCharType="end"/>
      </w:r>
      <w:r>
        <w:rPr>
          <w:color w:val="auto"/>
          <w:highlight w:val="none"/>
        </w:rPr>
        <w:fldChar w:fldCharType="end"/>
      </w:r>
    </w:p>
    <w:p w14:paraId="0B8BFF03">
      <w:pPr>
        <w:pStyle w:val="23"/>
        <w:tabs>
          <w:tab w:val="right" w:leader="dot" w:pos="8844"/>
        </w:tabs>
        <w:rPr>
          <w:color w:val="auto"/>
          <w:highlight w:val="none"/>
        </w:rPr>
      </w:pPr>
      <w:r>
        <w:rPr>
          <w:color w:val="auto"/>
          <w:highlight w:val="none"/>
        </w:rPr>
        <w:fldChar w:fldCharType="begin"/>
      </w:r>
      <w:r>
        <w:rPr>
          <w:color w:val="auto"/>
          <w:highlight w:val="none"/>
        </w:rPr>
        <w:instrText xml:space="preserve"> HYPERLINK \l "_Toc16836" </w:instrText>
      </w:r>
      <w:r>
        <w:rPr>
          <w:color w:val="auto"/>
          <w:highlight w:val="none"/>
        </w:rPr>
        <w:fldChar w:fldCharType="separate"/>
      </w:r>
      <w:r>
        <w:rPr>
          <w:rFonts w:hint="eastAsia" w:ascii="黑体" w:hAnsi="华文中宋" w:eastAsia="黑体"/>
          <w:color w:val="auto"/>
          <w:szCs w:val="32"/>
          <w:highlight w:val="none"/>
        </w:rPr>
        <w:t>第七章 投标文件的组成</w:t>
      </w:r>
      <w:r>
        <w:rPr>
          <w:color w:val="auto"/>
          <w:highlight w:val="none"/>
        </w:rPr>
        <w:tab/>
      </w:r>
      <w:r>
        <w:rPr>
          <w:color w:val="auto"/>
          <w:highlight w:val="none"/>
        </w:rPr>
        <w:fldChar w:fldCharType="begin"/>
      </w:r>
      <w:r>
        <w:rPr>
          <w:color w:val="auto"/>
          <w:highlight w:val="none"/>
        </w:rPr>
        <w:instrText xml:space="preserve"> PAGEREF _Toc16836 \h </w:instrText>
      </w:r>
      <w:r>
        <w:rPr>
          <w:color w:val="auto"/>
          <w:highlight w:val="none"/>
        </w:rPr>
        <w:fldChar w:fldCharType="separate"/>
      </w:r>
      <w:r>
        <w:rPr>
          <w:color w:val="auto"/>
          <w:highlight w:val="none"/>
        </w:rPr>
        <w:t>82</w:t>
      </w:r>
      <w:r>
        <w:rPr>
          <w:color w:val="auto"/>
          <w:highlight w:val="none"/>
        </w:rPr>
        <w:fldChar w:fldCharType="end"/>
      </w:r>
      <w:r>
        <w:rPr>
          <w:color w:val="auto"/>
          <w:highlight w:val="none"/>
        </w:rPr>
        <w:fldChar w:fldCharType="end"/>
      </w:r>
    </w:p>
    <w:p w14:paraId="7C380A93">
      <w:pPr>
        <w:pStyle w:val="25"/>
        <w:tabs>
          <w:tab w:val="right" w:leader="dot" w:pos="8844"/>
        </w:tabs>
        <w:ind w:left="420"/>
        <w:rPr>
          <w:color w:val="auto"/>
          <w:highlight w:val="none"/>
        </w:rPr>
      </w:pPr>
      <w:r>
        <w:rPr>
          <w:color w:val="auto"/>
          <w:highlight w:val="none"/>
        </w:rPr>
        <w:fldChar w:fldCharType="begin"/>
      </w:r>
      <w:r>
        <w:rPr>
          <w:color w:val="auto"/>
          <w:highlight w:val="none"/>
        </w:rPr>
        <w:instrText xml:space="preserve"> HYPERLINK \l "_Toc21984" </w:instrText>
      </w:r>
      <w:r>
        <w:rPr>
          <w:color w:val="auto"/>
          <w:highlight w:val="none"/>
        </w:rPr>
        <w:fldChar w:fldCharType="separate"/>
      </w:r>
      <w:r>
        <w:rPr>
          <w:rFonts w:hint="eastAsia" w:ascii="黑体" w:hAnsi="黑体" w:eastAsia="黑体"/>
          <w:color w:val="auto"/>
          <w:szCs w:val="44"/>
          <w:highlight w:val="none"/>
        </w:rPr>
        <w:t>第一部分 资格证明文件</w:t>
      </w:r>
      <w:r>
        <w:rPr>
          <w:color w:val="auto"/>
          <w:highlight w:val="none"/>
        </w:rPr>
        <w:tab/>
      </w:r>
      <w:r>
        <w:rPr>
          <w:color w:val="auto"/>
          <w:highlight w:val="none"/>
        </w:rPr>
        <w:fldChar w:fldCharType="begin"/>
      </w:r>
      <w:r>
        <w:rPr>
          <w:color w:val="auto"/>
          <w:highlight w:val="none"/>
        </w:rPr>
        <w:instrText xml:space="preserve"> PAGEREF _Toc21984 \h </w:instrText>
      </w:r>
      <w:r>
        <w:rPr>
          <w:color w:val="auto"/>
          <w:highlight w:val="none"/>
        </w:rPr>
        <w:fldChar w:fldCharType="separate"/>
      </w:r>
      <w:r>
        <w:rPr>
          <w:color w:val="auto"/>
          <w:highlight w:val="none"/>
        </w:rPr>
        <w:t>83</w:t>
      </w:r>
      <w:r>
        <w:rPr>
          <w:color w:val="auto"/>
          <w:highlight w:val="none"/>
        </w:rPr>
        <w:fldChar w:fldCharType="end"/>
      </w:r>
      <w:r>
        <w:rPr>
          <w:color w:val="auto"/>
          <w:highlight w:val="none"/>
        </w:rPr>
        <w:fldChar w:fldCharType="end"/>
      </w:r>
    </w:p>
    <w:p w14:paraId="066C3EE3">
      <w:pPr>
        <w:pStyle w:val="18"/>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"_Toc16874" </w:instrText>
      </w:r>
      <w:r>
        <w:rPr>
          <w:color w:val="auto"/>
          <w:highlight w:val="none"/>
        </w:rPr>
        <w:fldChar w:fldCharType="separate"/>
      </w:r>
      <w:r>
        <w:rPr>
          <w:rFonts w:hint="eastAsia" w:ascii="黑体" w:hAnsi="宋体" w:eastAsia="黑体"/>
          <w:color w:val="auto"/>
          <w:szCs w:val="28"/>
          <w:highlight w:val="none"/>
        </w:rPr>
        <w:t>一、开标一览表</w:t>
      </w:r>
      <w:r>
        <w:rPr>
          <w:color w:val="auto"/>
          <w:highlight w:val="none"/>
        </w:rPr>
        <w:tab/>
      </w:r>
      <w:r>
        <w:rPr>
          <w:color w:val="auto"/>
          <w:highlight w:val="none"/>
        </w:rPr>
        <w:fldChar w:fldCharType="begin"/>
      </w:r>
      <w:r>
        <w:rPr>
          <w:color w:val="auto"/>
          <w:highlight w:val="none"/>
        </w:rPr>
        <w:instrText xml:space="preserve"> PAGEREF _Toc16874 \h </w:instrText>
      </w:r>
      <w:r>
        <w:rPr>
          <w:color w:val="auto"/>
          <w:highlight w:val="none"/>
        </w:rPr>
        <w:fldChar w:fldCharType="separate"/>
      </w:r>
      <w:r>
        <w:rPr>
          <w:color w:val="auto"/>
          <w:highlight w:val="none"/>
        </w:rPr>
        <w:t>84</w:t>
      </w:r>
      <w:r>
        <w:rPr>
          <w:color w:val="auto"/>
          <w:highlight w:val="none"/>
        </w:rPr>
        <w:fldChar w:fldCharType="end"/>
      </w:r>
      <w:r>
        <w:rPr>
          <w:color w:val="auto"/>
          <w:highlight w:val="none"/>
        </w:rPr>
        <w:fldChar w:fldCharType="end"/>
      </w:r>
    </w:p>
    <w:p w14:paraId="4DD2D8AE">
      <w:pPr>
        <w:pStyle w:val="18"/>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"_Toc5854" </w:instrText>
      </w:r>
      <w:r>
        <w:rPr>
          <w:color w:val="auto"/>
          <w:highlight w:val="none"/>
        </w:rPr>
        <w:fldChar w:fldCharType="separate"/>
      </w:r>
      <w:r>
        <w:rPr>
          <w:rFonts w:hint="eastAsia" w:ascii="黑体" w:hAnsi="宋体" w:eastAsia="黑体"/>
          <w:color w:val="auto"/>
          <w:szCs w:val="28"/>
          <w:highlight w:val="none"/>
        </w:rPr>
        <w:t>二、投标保证金</w:t>
      </w:r>
      <w:r>
        <w:rPr>
          <w:color w:val="auto"/>
          <w:highlight w:val="none"/>
        </w:rPr>
        <w:tab/>
      </w:r>
      <w:r>
        <w:rPr>
          <w:color w:val="auto"/>
          <w:highlight w:val="none"/>
        </w:rPr>
        <w:fldChar w:fldCharType="begin"/>
      </w:r>
      <w:r>
        <w:rPr>
          <w:color w:val="auto"/>
          <w:highlight w:val="none"/>
        </w:rPr>
        <w:instrText xml:space="preserve"> PAGEREF _Toc5854 \h </w:instrText>
      </w:r>
      <w:r>
        <w:rPr>
          <w:color w:val="auto"/>
          <w:highlight w:val="none"/>
        </w:rPr>
        <w:fldChar w:fldCharType="separate"/>
      </w:r>
      <w:r>
        <w:rPr>
          <w:color w:val="auto"/>
          <w:highlight w:val="none"/>
        </w:rPr>
        <w:t>85</w:t>
      </w:r>
      <w:r>
        <w:rPr>
          <w:color w:val="auto"/>
          <w:highlight w:val="none"/>
        </w:rPr>
        <w:fldChar w:fldCharType="end"/>
      </w:r>
      <w:r>
        <w:rPr>
          <w:color w:val="auto"/>
          <w:highlight w:val="none"/>
        </w:rPr>
        <w:fldChar w:fldCharType="end"/>
      </w:r>
    </w:p>
    <w:p w14:paraId="1364AC59">
      <w:pPr>
        <w:pStyle w:val="18"/>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"_Toc22072" </w:instrText>
      </w:r>
      <w:r>
        <w:rPr>
          <w:color w:val="auto"/>
          <w:highlight w:val="none"/>
        </w:rPr>
        <w:fldChar w:fldCharType="separate"/>
      </w:r>
      <w:r>
        <w:rPr>
          <w:rFonts w:hint="eastAsia" w:ascii="黑体" w:hAnsi="宋体" w:eastAsia="黑体"/>
          <w:color w:val="auto"/>
          <w:szCs w:val="28"/>
          <w:highlight w:val="none"/>
        </w:rPr>
        <w:t>三、授权委托书</w:t>
      </w:r>
      <w:r>
        <w:rPr>
          <w:color w:val="auto"/>
          <w:highlight w:val="none"/>
        </w:rPr>
        <w:tab/>
      </w:r>
      <w:r>
        <w:rPr>
          <w:color w:val="auto"/>
          <w:highlight w:val="none"/>
        </w:rPr>
        <w:fldChar w:fldCharType="begin"/>
      </w:r>
      <w:r>
        <w:rPr>
          <w:color w:val="auto"/>
          <w:highlight w:val="none"/>
        </w:rPr>
        <w:instrText xml:space="preserve"> PAGEREF _Toc22072 \h </w:instrText>
      </w:r>
      <w:r>
        <w:rPr>
          <w:color w:val="auto"/>
          <w:highlight w:val="none"/>
        </w:rPr>
        <w:fldChar w:fldCharType="separate"/>
      </w:r>
      <w:r>
        <w:rPr>
          <w:color w:val="auto"/>
          <w:highlight w:val="none"/>
        </w:rPr>
        <w:t>85</w:t>
      </w:r>
      <w:r>
        <w:rPr>
          <w:color w:val="auto"/>
          <w:highlight w:val="none"/>
        </w:rPr>
        <w:fldChar w:fldCharType="end"/>
      </w:r>
      <w:r>
        <w:rPr>
          <w:color w:val="auto"/>
          <w:highlight w:val="none"/>
        </w:rPr>
        <w:fldChar w:fldCharType="end"/>
      </w:r>
    </w:p>
    <w:p w14:paraId="562265E1">
      <w:pPr>
        <w:pStyle w:val="18"/>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"_Toc315" </w:instrText>
      </w:r>
      <w:r>
        <w:rPr>
          <w:color w:val="auto"/>
          <w:highlight w:val="none"/>
        </w:rPr>
        <w:fldChar w:fldCharType="separate"/>
      </w:r>
      <w:r>
        <w:rPr>
          <w:rFonts w:hint="eastAsia" w:ascii="黑体" w:hAnsi="宋体" w:eastAsia="黑体"/>
          <w:color w:val="auto"/>
          <w:szCs w:val="28"/>
          <w:highlight w:val="none"/>
        </w:rPr>
        <w:t>四、投标人提供的资格证明文件</w:t>
      </w:r>
      <w:r>
        <w:rPr>
          <w:color w:val="auto"/>
          <w:highlight w:val="none"/>
        </w:rPr>
        <w:tab/>
      </w:r>
      <w:r>
        <w:rPr>
          <w:color w:val="auto"/>
          <w:highlight w:val="none"/>
        </w:rPr>
        <w:fldChar w:fldCharType="begin"/>
      </w:r>
      <w:r>
        <w:rPr>
          <w:color w:val="auto"/>
          <w:highlight w:val="none"/>
        </w:rPr>
        <w:instrText xml:space="preserve"> PAGEREF _Toc315 \h </w:instrText>
      </w:r>
      <w:r>
        <w:rPr>
          <w:color w:val="auto"/>
          <w:highlight w:val="none"/>
        </w:rPr>
        <w:fldChar w:fldCharType="separate"/>
      </w:r>
      <w:r>
        <w:rPr>
          <w:color w:val="auto"/>
          <w:highlight w:val="none"/>
        </w:rPr>
        <w:t>88</w:t>
      </w:r>
      <w:r>
        <w:rPr>
          <w:color w:val="auto"/>
          <w:highlight w:val="none"/>
        </w:rPr>
        <w:fldChar w:fldCharType="end"/>
      </w:r>
      <w:r>
        <w:rPr>
          <w:color w:val="auto"/>
          <w:highlight w:val="none"/>
        </w:rPr>
        <w:fldChar w:fldCharType="end"/>
      </w:r>
    </w:p>
    <w:p w14:paraId="5F3F3D83">
      <w:pPr>
        <w:pStyle w:val="25"/>
        <w:tabs>
          <w:tab w:val="right" w:leader="dot" w:pos="8844"/>
        </w:tabs>
        <w:ind w:left="420"/>
        <w:rPr>
          <w:color w:val="auto"/>
          <w:highlight w:val="none"/>
        </w:rPr>
      </w:pPr>
      <w:r>
        <w:rPr>
          <w:color w:val="auto"/>
          <w:highlight w:val="none"/>
        </w:rPr>
        <w:fldChar w:fldCharType="begin"/>
      </w:r>
      <w:r>
        <w:rPr>
          <w:color w:val="auto"/>
          <w:highlight w:val="none"/>
        </w:rPr>
        <w:instrText xml:space="preserve"> HYPERLINK \l "_Toc19586" </w:instrText>
      </w:r>
      <w:r>
        <w:rPr>
          <w:color w:val="auto"/>
          <w:highlight w:val="none"/>
        </w:rPr>
        <w:fldChar w:fldCharType="separate"/>
      </w:r>
      <w:r>
        <w:rPr>
          <w:rFonts w:hint="eastAsia" w:ascii="黑体" w:hAnsi="黑体" w:eastAsia="黑体"/>
          <w:color w:val="auto"/>
          <w:szCs w:val="44"/>
          <w:highlight w:val="none"/>
        </w:rPr>
        <w:t>第二部分 商务技术文件</w:t>
      </w:r>
      <w:r>
        <w:rPr>
          <w:color w:val="auto"/>
          <w:highlight w:val="none"/>
        </w:rPr>
        <w:tab/>
      </w:r>
      <w:r>
        <w:rPr>
          <w:color w:val="auto"/>
          <w:highlight w:val="none"/>
        </w:rPr>
        <w:fldChar w:fldCharType="begin"/>
      </w:r>
      <w:r>
        <w:rPr>
          <w:color w:val="auto"/>
          <w:highlight w:val="none"/>
        </w:rPr>
        <w:instrText xml:space="preserve"> PAGEREF _Toc19586 \h </w:instrText>
      </w:r>
      <w:r>
        <w:rPr>
          <w:color w:val="auto"/>
          <w:highlight w:val="none"/>
        </w:rPr>
        <w:fldChar w:fldCharType="separate"/>
      </w:r>
      <w:r>
        <w:rPr>
          <w:color w:val="auto"/>
          <w:highlight w:val="none"/>
        </w:rPr>
        <w:t>97</w:t>
      </w:r>
      <w:r>
        <w:rPr>
          <w:color w:val="auto"/>
          <w:highlight w:val="none"/>
        </w:rPr>
        <w:fldChar w:fldCharType="end"/>
      </w:r>
      <w:r>
        <w:rPr>
          <w:color w:val="auto"/>
          <w:highlight w:val="none"/>
        </w:rPr>
        <w:fldChar w:fldCharType="end"/>
      </w:r>
    </w:p>
    <w:p w14:paraId="7DBB6E62">
      <w:pPr>
        <w:pStyle w:val="18"/>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"_Toc22513" </w:instrText>
      </w:r>
      <w:r>
        <w:rPr>
          <w:color w:val="auto"/>
          <w:highlight w:val="none"/>
        </w:rPr>
        <w:fldChar w:fldCharType="separate"/>
      </w:r>
      <w:r>
        <w:rPr>
          <w:rFonts w:hint="eastAsia" w:ascii="黑体" w:hAnsi="宋体" w:eastAsia="黑体"/>
          <w:color w:val="auto"/>
          <w:szCs w:val="28"/>
          <w:highlight w:val="none"/>
        </w:rPr>
        <w:t>五</w:t>
      </w:r>
      <w:r>
        <w:rPr>
          <w:rFonts w:ascii="黑体" w:hAnsi="宋体" w:eastAsia="黑体"/>
          <w:color w:val="auto"/>
          <w:szCs w:val="28"/>
          <w:highlight w:val="none"/>
        </w:rPr>
        <w:t>、</w:t>
      </w:r>
      <w:r>
        <w:rPr>
          <w:rFonts w:hint="eastAsia" w:ascii="黑体" w:hAnsi="宋体" w:eastAsia="黑体"/>
          <w:color w:val="auto"/>
          <w:szCs w:val="28"/>
          <w:highlight w:val="none"/>
        </w:rPr>
        <w:t>投标函</w:t>
      </w:r>
      <w:r>
        <w:rPr>
          <w:color w:val="auto"/>
          <w:highlight w:val="none"/>
        </w:rPr>
        <w:tab/>
      </w:r>
      <w:r>
        <w:rPr>
          <w:color w:val="auto"/>
          <w:highlight w:val="none"/>
        </w:rPr>
        <w:fldChar w:fldCharType="begin"/>
      </w:r>
      <w:r>
        <w:rPr>
          <w:color w:val="auto"/>
          <w:highlight w:val="none"/>
        </w:rPr>
        <w:instrText xml:space="preserve"> PAGEREF _Toc22513 \h </w:instrText>
      </w:r>
      <w:r>
        <w:rPr>
          <w:color w:val="auto"/>
          <w:highlight w:val="none"/>
        </w:rPr>
        <w:fldChar w:fldCharType="separate"/>
      </w:r>
      <w:r>
        <w:rPr>
          <w:color w:val="auto"/>
          <w:highlight w:val="none"/>
        </w:rPr>
        <w:t>98</w:t>
      </w:r>
      <w:r>
        <w:rPr>
          <w:color w:val="auto"/>
          <w:highlight w:val="none"/>
        </w:rPr>
        <w:fldChar w:fldCharType="end"/>
      </w:r>
      <w:r>
        <w:rPr>
          <w:color w:val="auto"/>
          <w:highlight w:val="none"/>
        </w:rPr>
        <w:fldChar w:fldCharType="end"/>
      </w:r>
    </w:p>
    <w:p w14:paraId="7FCCDFB7">
      <w:pPr>
        <w:pStyle w:val="18"/>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"_Toc29343" </w:instrText>
      </w:r>
      <w:r>
        <w:rPr>
          <w:color w:val="auto"/>
          <w:highlight w:val="none"/>
        </w:rPr>
        <w:fldChar w:fldCharType="separate"/>
      </w:r>
      <w:r>
        <w:rPr>
          <w:rFonts w:hint="eastAsia" w:ascii="黑体" w:hAnsi="宋体" w:eastAsia="黑体"/>
          <w:color w:val="auto"/>
          <w:szCs w:val="28"/>
          <w:highlight w:val="none"/>
        </w:rPr>
        <w:t>六、分项报价</w:t>
      </w:r>
      <w:r>
        <w:rPr>
          <w:color w:val="auto"/>
          <w:highlight w:val="none"/>
        </w:rPr>
        <w:tab/>
      </w:r>
      <w:r>
        <w:rPr>
          <w:color w:val="auto"/>
          <w:highlight w:val="none"/>
        </w:rPr>
        <w:fldChar w:fldCharType="begin"/>
      </w:r>
      <w:r>
        <w:rPr>
          <w:color w:val="auto"/>
          <w:highlight w:val="none"/>
        </w:rPr>
        <w:instrText xml:space="preserve"> PAGEREF _Toc29343 \h </w:instrText>
      </w:r>
      <w:r>
        <w:rPr>
          <w:color w:val="auto"/>
          <w:highlight w:val="none"/>
        </w:rPr>
        <w:fldChar w:fldCharType="separate"/>
      </w:r>
      <w:r>
        <w:rPr>
          <w:color w:val="auto"/>
          <w:highlight w:val="none"/>
        </w:rPr>
        <w:t>100</w:t>
      </w:r>
      <w:r>
        <w:rPr>
          <w:color w:val="auto"/>
          <w:highlight w:val="none"/>
        </w:rPr>
        <w:fldChar w:fldCharType="end"/>
      </w:r>
      <w:r>
        <w:rPr>
          <w:color w:val="auto"/>
          <w:highlight w:val="none"/>
        </w:rPr>
        <w:fldChar w:fldCharType="end"/>
      </w:r>
    </w:p>
    <w:p w14:paraId="5F7EC7EA">
      <w:pPr>
        <w:pStyle w:val="24"/>
        <w:tabs>
          <w:tab w:val="right" w:leader="dot" w:pos="8844"/>
        </w:tabs>
        <w:ind w:left="1260"/>
        <w:rPr>
          <w:color w:val="auto"/>
          <w:highlight w:val="none"/>
        </w:rPr>
      </w:pPr>
      <w:r>
        <w:rPr>
          <w:color w:val="auto"/>
          <w:highlight w:val="none"/>
        </w:rPr>
        <w:fldChar w:fldCharType="begin"/>
      </w:r>
      <w:r>
        <w:rPr>
          <w:color w:val="auto"/>
          <w:highlight w:val="none"/>
        </w:rPr>
        <w:instrText xml:space="preserve"> HYPERLINK \l "_Toc18071" </w:instrText>
      </w:r>
      <w:r>
        <w:rPr>
          <w:color w:val="auto"/>
          <w:highlight w:val="none"/>
        </w:rPr>
        <w:fldChar w:fldCharType="separate"/>
      </w:r>
      <w:r>
        <w:rPr>
          <w:rFonts w:hint="eastAsia" w:ascii="黑体" w:hAnsi="华文中宋" w:cs="宋体"/>
          <w:color w:val="auto"/>
          <w:spacing w:val="6"/>
          <w:kern w:val="0"/>
          <w:szCs w:val="21"/>
          <w:highlight w:val="none"/>
        </w:rPr>
        <w:t xml:space="preserve">附件6-1 </w:t>
      </w:r>
      <w:r>
        <w:rPr>
          <w:rFonts w:hint="eastAsia" w:ascii="黑体" w:hAnsi="宋体" w:cs="微软雅黑"/>
          <w:color w:val="auto"/>
          <w:spacing w:val="-2"/>
          <w:kern w:val="0"/>
          <w:szCs w:val="21"/>
          <w:highlight w:val="none"/>
        </w:rPr>
        <w:t>分</w:t>
      </w:r>
      <w:r>
        <w:rPr>
          <w:rFonts w:hint="eastAsia" w:ascii="黑体" w:hAnsi="宋体" w:cs="微软雅黑"/>
          <w:color w:val="auto"/>
          <w:kern w:val="0"/>
          <w:szCs w:val="21"/>
          <w:highlight w:val="none"/>
        </w:rPr>
        <w:t>项</w:t>
      </w:r>
      <w:r>
        <w:rPr>
          <w:rFonts w:hint="eastAsia" w:ascii="黑体" w:hAnsi="宋体" w:cs="微软雅黑"/>
          <w:color w:val="auto"/>
          <w:spacing w:val="-2"/>
          <w:kern w:val="0"/>
          <w:szCs w:val="21"/>
          <w:highlight w:val="none"/>
        </w:rPr>
        <w:t>报</w:t>
      </w:r>
      <w:r>
        <w:rPr>
          <w:rFonts w:hint="eastAsia" w:ascii="黑体" w:hAnsi="宋体" w:cs="微软雅黑"/>
          <w:color w:val="auto"/>
          <w:kern w:val="0"/>
          <w:szCs w:val="21"/>
          <w:highlight w:val="none"/>
        </w:rPr>
        <w:t>价说明</w:t>
      </w:r>
      <w:r>
        <w:rPr>
          <w:color w:val="auto"/>
          <w:highlight w:val="none"/>
        </w:rPr>
        <w:tab/>
      </w:r>
      <w:r>
        <w:rPr>
          <w:color w:val="auto"/>
          <w:highlight w:val="none"/>
        </w:rPr>
        <w:fldChar w:fldCharType="begin"/>
      </w:r>
      <w:r>
        <w:rPr>
          <w:color w:val="auto"/>
          <w:highlight w:val="none"/>
        </w:rPr>
        <w:instrText xml:space="preserve"> PAGEREF _Toc18071 \h </w:instrText>
      </w:r>
      <w:r>
        <w:rPr>
          <w:color w:val="auto"/>
          <w:highlight w:val="none"/>
        </w:rPr>
        <w:fldChar w:fldCharType="separate"/>
      </w:r>
      <w:r>
        <w:rPr>
          <w:color w:val="auto"/>
          <w:highlight w:val="none"/>
        </w:rPr>
        <w:t>100</w:t>
      </w:r>
      <w:r>
        <w:rPr>
          <w:color w:val="auto"/>
          <w:highlight w:val="none"/>
        </w:rPr>
        <w:fldChar w:fldCharType="end"/>
      </w:r>
      <w:r>
        <w:rPr>
          <w:color w:val="auto"/>
          <w:highlight w:val="none"/>
        </w:rPr>
        <w:fldChar w:fldCharType="end"/>
      </w:r>
    </w:p>
    <w:p w14:paraId="088EADDC">
      <w:pPr>
        <w:pStyle w:val="24"/>
        <w:tabs>
          <w:tab w:val="right" w:leader="dot" w:pos="8844"/>
        </w:tabs>
        <w:ind w:left="1260"/>
        <w:rPr>
          <w:color w:val="auto"/>
          <w:highlight w:val="none"/>
        </w:rPr>
      </w:pPr>
      <w:r>
        <w:rPr>
          <w:color w:val="auto"/>
          <w:highlight w:val="none"/>
        </w:rPr>
        <w:fldChar w:fldCharType="begin"/>
      </w:r>
      <w:r>
        <w:rPr>
          <w:color w:val="auto"/>
          <w:highlight w:val="none"/>
        </w:rPr>
        <w:instrText xml:space="preserve"> HYPERLINK \l "_Toc3545" </w:instrText>
      </w:r>
      <w:r>
        <w:rPr>
          <w:color w:val="auto"/>
          <w:highlight w:val="none"/>
        </w:rPr>
        <w:fldChar w:fldCharType="separate"/>
      </w:r>
      <w:r>
        <w:rPr>
          <w:rFonts w:hint="eastAsia" w:ascii="黑体" w:hAnsi="华文中宋" w:cs="宋体"/>
          <w:color w:val="auto"/>
          <w:spacing w:val="6"/>
          <w:kern w:val="0"/>
          <w:szCs w:val="21"/>
          <w:highlight w:val="none"/>
        </w:rPr>
        <w:t xml:space="preserve">附件6-2 </w:t>
      </w:r>
      <w:r>
        <w:rPr>
          <w:rFonts w:hint="eastAsia" w:ascii="黑体" w:hAnsi="宋体" w:cs="微软雅黑"/>
          <w:color w:val="auto"/>
          <w:spacing w:val="-2"/>
          <w:kern w:val="0"/>
          <w:position w:val="-3"/>
          <w:szCs w:val="21"/>
          <w:highlight w:val="none"/>
        </w:rPr>
        <w:t>分</w:t>
      </w:r>
      <w:r>
        <w:rPr>
          <w:rFonts w:hint="eastAsia" w:ascii="黑体" w:hAnsi="宋体" w:cs="微软雅黑"/>
          <w:color w:val="auto"/>
          <w:kern w:val="0"/>
          <w:position w:val="-3"/>
          <w:szCs w:val="21"/>
          <w:highlight w:val="none"/>
        </w:rPr>
        <w:t>项</w:t>
      </w:r>
      <w:r>
        <w:rPr>
          <w:rFonts w:hint="eastAsia" w:ascii="黑体" w:hAnsi="宋体" w:cs="微软雅黑"/>
          <w:color w:val="auto"/>
          <w:spacing w:val="-2"/>
          <w:kern w:val="0"/>
          <w:position w:val="-3"/>
          <w:szCs w:val="21"/>
          <w:highlight w:val="none"/>
        </w:rPr>
        <w:t>报</w:t>
      </w:r>
      <w:r>
        <w:rPr>
          <w:rFonts w:hint="eastAsia" w:ascii="黑体" w:hAnsi="宋体" w:cs="微软雅黑"/>
          <w:color w:val="auto"/>
          <w:kern w:val="0"/>
          <w:position w:val="-3"/>
          <w:szCs w:val="21"/>
          <w:highlight w:val="none"/>
        </w:rPr>
        <w:t>价明细表</w:t>
      </w:r>
      <w:r>
        <w:rPr>
          <w:color w:val="auto"/>
          <w:highlight w:val="none"/>
        </w:rPr>
        <w:tab/>
      </w:r>
      <w:r>
        <w:rPr>
          <w:color w:val="auto"/>
          <w:highlight w:val="none"/>
        </w:rPr>
        <w:fldChar w:fldCharType="begin"/>
      </w:r>
      <w:r>
        <w:rPr>
          <w:color w:val="auto"/>
          <w:highlight w:val="none"/>
        </w:rPr>
        <w:instrText xml:space="preserve"> PAGEREF _Toc3545 \h </w:instrText>
      </w:r>
      <w:r>
        <w:rPr>
          <w:color w:val="auto"/>
          <w:highlight w:val="none"/>
        </w:rPr>
        <w:fldChar w:fldCharType="separate"/>
      </w:r>
      <w:r>
        <w:rPr>
          <w:color w:val="auto"/>
          <w:highlight w:val="none"/>
        </w:rPr>
        <w:t>100</w:t>
      </w:r>
      <w:r>
        <w:rPr>
          <w:color w:val="auto"/>
          <w:highlight w:val="none"/>
        </w:rPr>
        <w:fldChar w:fldCharType="end"/>
      </w:r>
      <w:r>
        <w:rPr>
          <w:color w:val="auto"/>
          <w:highlight w:val="none"/>
        </w:rPr>
        <w:fldChar w:fldCharType="end"/>
      </w:r>
    </w:p>
    <w:p w14:paraId="4CED4E24">
      <w:pPr>
        <w:pStyle w:val="18"/>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"_Toc8451" </w:instrText>
      </w:r>
      <w:r>
        <w:rPr>
          <w:color w:val="auto"/>
          <w:highlight w:val="none"/>
        </w:rPr>
        <w:fldChar w:fldCharType="separate"/>
      </w:r>
      <w:r>
        <w:rPr>
          <w:rFonts w:hint="eastAsia" w:ascii="黑体" w:hAnsi="宋体" w:eastAsia="黑体"/>
          <w:color w:val="auto"/>
          <w:szCs w:val="28"/>
          <w:highlight w:val="none"/>
        </w:rPr>
        <w:t>七、采购需求响应</w:t>
      </w:r>
      <w:r>
        <w:rPr>
          <w:color w:val="auto"/>
          <w:highlight w:val="none"/>
        </w:rPr>
        <w:tab/>
      </w:r>
      <w:r>
        <w:rPr>
          <w:color w:val="auto"/>
          <w:highlight w:val="none"/>
        </w:rPr>
        <w:fldChar w:fldCharType="begin"/>
      </w:r>
      <w:r>
        <w:rPr>
          <w:color w:val="auto"/>
          <w:highlight w:val="none"/>
        </w:rPr>
        <w:instrText xml:space="preserve"> PAGEREF _Toc8451 \h </w:instrText>
      </w:r>
      <w:r>
        <w:rPr>
          <w:color w:val="auto"/>
          <w:highlight w:val="none"/>
        </w:rPr>
        <w:fldChar w:fldCharType="separate"/>
      </w:r>
      <w:r>
        <w:rPr>
          <w:color w:val="auto"/>
          <w:highlight w:val="none"/>
        </w:rPr>
        <w:t>101</w:t>
      </w:r>
      <w:r>
        <w:rPr>
          <w:color w:val="auto"/>
          <w:highlight w:val="none"/>
        </w:rPr>
        <w:fldChar w:fldCharType="end"/>
      </w:r>
      <w:r>
        <w:rPr>
          <w:color w:val="auto"/>
          <w:highlight w:val="none"/>
        </w:rPr>
        <w:fldChar w:fldCharType="end"/>
      </w:r>
    </w:p>
    <w:p w14:paraId="2B3C8D0E">
      <w:pPr>
        <w:pStyle w:val="24"/>
        <w:tabs>
          <w:tab w:val="right" w:leader="dot" w:pos="8844"/>
        </w:tabs>
        <w:ind w:left="1260"/>
        <w:rPr>
          <w:color w:val="auto"/>
          <w:highlight w:val="none"/>
        </w:rPr>
      </w:pPr>
      <w:r>
        <w:rPr>
          <w:color w:val="auto"/>
          <w:highlight w:val="none"/>
        </w:rPr>
        <w:fldChar w:fldCharType="begin"/>
      </w:r>
      <w:r>
        <w:rPr>
          <w:color w:val="auto"/>
          <w:highlight w:val="none"/>
        </w:rPr>
        <w:instrText xml:space="preserve"> HYPERLINK \l "_Toc21855" </w:instrText>
      </w:r>
      <w:r>
        <w:rPr>
          <w:color w:val="auto"/>
          <w:highlight w:val="none"/>
        </w:rPr>
        <w:fldChar w:fldCharType="separate"/>
      </w:r>
      <w:r>
        <w:rPr>
          <w:rFonts w:hint="eastAsia" w:ascii="黑体" w:hAnsi="黑体" w:cs="宋体"/>
          <w:color w:val="auto"/>
          <w:spacing w:val="6"/>
          <w:kern w:val="0"/>
          <w:szCs w:val="21"/>
          <w:highlight w:val="none"/>
        </w:rPr>
        <w:t>附件7-1 响应</w:t>
      </w:r>
      <w:r>
        <w:rPr>
          <w:rFonts w:hint="eastAsia" w:ascii="黑体" w:hAnsi="黑体"/>
          <w:color w:val="auto"/>
          <w:szCs w:val="21"/>
          <w:highlight w:val="none"/>
        </w:rPr>
        <w:t>一览表</w:t>
      </w:r>
      <w:r>
        <w:rPr>
          <w:color w:val="auto"/>
          <w:highlight w:val="none"/>
        </w:rPr>
        <w:tab/>
      </w:r>
      <w:r>
        <w:rPr>
          <w:color w:val="auto"/>
          <w:highlight w:val="none"/>
        </w:rPr>
        <w:fldChar w:fldCharType="begin"/>
      </w:r>
      <w:r>
        <w:rPr>
          <w:color w:val="auto"/>
          <w:highlight w:val="none"/>
        </w:rPr>
        <w:instrText xml:space="preserve"> PAGEREF _Toc21855 \h </w:instrText>
      </w:r>
      <w:r>
        <w:rPr>
          <w:color w:val="auto"/>
          <w:highlight w:val="none"/>
        </w:rPr>
        <w:fldChar w:fldCharType="separate"/>
      </w:r>
      <w:r>
        <w:rPr>
          <w:color w:val="auto"/>
          <w:highlight w:val="none"/>
        </w:rPr>
        <w:t>101</w:t>
      </w:r>
      <w:r>
        <w:rPr>
          <w:color w:val="auto"/>
          <w:highlight w:val="none"/>
        </w:rPr>
        <w:fldChar w:fldCharType="end"/>
      </w:r>
      <w:r>
        <w:rPr>
          <w:color w:val="auto"/>
          <w:highlight w:val="none"/>
        </w:rPr>
        <w:fldChar w:fldCharType="end"/>
      </w:r>
    </w:p>
    <w:p w14:paraId="7FB4D6B1">
      <w:pPr>
        <w:pStyle w:val="18"/>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"_Toc13490" </w:instrText>
      </w:r>
      <w:r>
        <w:rPr>
          <w:color w:val="auto"/>
          <w:highlight w:val="none"/>
        </w:rPr>
        <w:fldChar w:fldCharType="separate"/>
      </w:r>
      <w:r>
        <w:rPr>
          <w:rFonts w:hint="eastAsia" w:ascii="黑体" w:hAnsi="黑体" w:eastAsia="黑体"/>
          <w:color w:val="auto"/>
          <w:szCs w:val="28"/>
          <w:highlight w:val="none"/>
        </w:rPr>
        <w:t>八、合同条款偏离表</w:t>
      </w:r>
      <w:r>
        <w:rPr>
          <w:color w:val="auto"/>
          <w:highlight w:val="none"/>
        </w:rPr>
        <w:tab/>
      </w:r>
      <w:r>
        <w:rPr>
          <w:color w:val="auto"/>
          <w:highlight w:val="none"/>
        </w:rPr>
        <w:fldChar w:fldCharType="begin"/>
      </w:r>
      <w:r>
        <w:rPr>
          <w:color w:val="auto"/>
          <w:highlight w:val="none"/>
        </w:rPr>
        <w:instrText xml:space="preserve"> PAGEREF _Toc13490 \h </w:instrText>
      </w:r>
      <w:r>
        <w:rPr>
          <w:color w:val="auto"/>
          <w:highlight w:val="none"/>
        </w:rPr>
        <w:fldChar w:fldCharType="separate"/>
      </w:r>
      <w:r>
        <w:rPr>
          <w:color w:val="auto"/>
          <w:highlight w:val="none"/>
        </w:rPr>
        <w:t>102</w:t>
      </w:r>
      <w:r>
        <w:rPr>
          <w:color w:val="auto"/>
          <w:highlight w:val="none"/>
        </w:rPr>
        <w:fldChar w:fldCharType="end"/>
      </w:r>
      <w:r>
        <w:rPr>
          <w:color w:val="auto"/>
          <w:highlight w:val="none"/>
        </w:rPr>
        <w:fldChar w:fldCharType="end"/>
      </w:r>
    </w:p>
    <w:p w14:paraId="6279A8C1">
      <w:pPr>
        <w:pStyle w:val="18"/>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"_Toc4022" </w:instrText>
      </w:r>
      <w:r>
        <w:rPr>
          <w:color w:val="auto"/>
          <w:highlight w:val="none"/>
        </w:rPr>
        <w:fldChar w:fldCharType="separate"/>
      </w:r>
      <w:r>
        <w:rPr>
          <w:rFonts w:hint="eastAsia" w:ascii="黑体" w:hAnsi="宋体" w:eastAsia="黑体"/>
          <w:color w:val="auto"/>
          <w:szCs w:val="28"/>
          <w:highlight w:val="none"/>
        </w:rPr>
        <w:t>九、采购需求偏离表</w:t>
      </w:r>
      <w:r>
        <w:rPr>
          <w:color w:val="auto"/>
          <w:highlight w:val="none"/>
        </w:rPr>
        <w:tab/>
      </w:r>
      <w:r>
        <w:rPr>
          <w:color w:val="auto"/>
          <w:highlight w:val="none"/>
        </w:rPr>
        <w:fldChar w:fldCharType="begin"/>
      </w:r>
      <w:r>
        <w:rPr>
          <w:color w:val="auto"/>
          <w:highlight w:val="none"/>
        </w:rPr>
        <w:instrText xml:space="preserve"> PAGEREF _Toc4022 \h </w:instrText>
      </w:r>
      <w:r>
        <w:rPr>
          <w:color w:val="auto"/>
          <w:highlight w:val="none"/>
        </w:rPr>
        <w:fldChar w:fldCharType="separate"/>
      </w:r>
      <w:r>
        <w:rPr>
          <w:color w:val="auto"/>
          <w:highlight w:val="none"/>
        </w:rPr>
        <w:t>103</w:t>
      </w:r>
      <w:r>
        <w:rPr>
          <w:color w:val="auto"/>
          <w:highlight w:val="none"/>
        </w:rPr>
        <w:fldChar w:fldCharType="end"/>
      </w:r>
      <w:r>
        <w:rPr>
          <w:color w:val="auto"/>
          <w:highlight w:val="none"/>
        </w:rPr>
        <w:fldChar w:fldCharType="end"/>
      </w:r>
    </w:p>
    <w:p w14:paraId="3929DC39">
      <w:pPr>
        <w:pStyle w:val="18"/>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"_Toc2335" </w:instrText>
      </w:r>
      <w:r>
        <w:rPr>
          <w:color w:val="auto"/>
          <w:highlight w:val="none"/>
        </w:rPr>
        <w:fldChar w:fldCharType="separate"/>
      </w:r>
      <w:r>
        <w:rPr>
          <w:rFonts w:hint="eastAsia" w:ascii="宋体" w:hAnsi="宋体"/>
          <w:color w:val="auto"/>
          <w:szCs w:val="21"/>
          <w:highlight w:val="none"/>
        </w:rPr>
        <w:t>十</w:t>
      </w:r>
      <w:r>
        <w:rPr>
          <w:rFonts w:hint="eastAsia" w:ascii="黑体" w:hAnsi="宋体" w:eastAsia="黑体"/>
          <w:color w:val="auto"/>
          <w:szCs w:val="28"/>
          <w:highlight w:val="none"/>
        </w:rPr>
        <w:t>、享受政府采购政策优惠的证明资料</w:t>
      </w:r>
      <w:r>
        <w:rPr>
          <w:color w:val="auto"/>
          <w:highlight w:val="none"/>
        </w:rPr>
        <w:tab/>
      </w:r>
      <w:r>
        <w:rPr>
          <w:color w:val="auto"/>
          <w:highlight w:val="none"/>
        </w:rPr>
        <w:fldChar w:fldCharType="begin"/>
      </w:r>
      <w:r>
        <w:rPr>
          <w:color w:val="auto"/>
          <w:highlight w:val="none"/>
        </w:rPr>
        <w:instrText xml:space="preserve"> PAGEREF _Toc2335 \h </w:instrText>
      </w:r>
      <w:r>
        <w:rPr>
          <w:color w:val="auto"/>
          <w:highlight w:val="none"/>
        </w:rPr>
        <w:fldChar w:fldCharType="separate"/>
      </w:r>
      <w:r>
        <w:rPr>
          <w:color w:val="auto"/>
          <w:highlight w:val="none"/>
        </w:rPr>
        <w:t>104</w:t>
      </w:r>
      <w:r>
        <w:rPr>
          <w:color w:val="auto"/>
          <w:highlight w:val="none"/>
        </w:rPr>
        <w:fldChar w:fldCharType="end"/>
      </w:r>
      <w:r>
        <w:rPr>
          <w:color w:val="auto"/>
          <w:highlight w:val="none"/>
        </w:rPr>
        <w:fldChar w:fldCharType="end"/>
      </w:r>
    </w:p>
    <w:p w14:paraId="40074F59">
      <w:pPr>
        <w:pStyle w:val="24"/>
        <w:tabs>
          <w:tab w:val="right" w:leader="dot" w:pos="8844"/>
        </w:tabs>
        <w:ind w:left="1260"/>
        <w:rPr>
          <w:color w:val="auto"/>
          <w:highlight w:val="none"/>
        </w:rPr>
      </w:pPr>
      <w:r>
        <w:rPr>
          <w:color w:val="auto"/>
          <w:highlight w:val="none"/>
        </w:rPr>
        <w:fldChar w:fldCharType="begin"/>
      </w:r>
      <w:r>
        <w:rPr>
          <w:color w:val="auto"/>
          <w:highlight w:val="none"/>
        </w:rPr>
        <w:instrText xml:space="preserve"> HYPERLINK \l "_Toc23864" </w:instrText>
      </w:r>
      <w:r>
        <w:rPr>
          <w:color w:val="auto"/>
          <w:highlight w:val="none"/>
        </w:rPr>
        <w:fldChar w:fldCharType="separate"/>
      </w:r>
      <w:r>
        <w:rPr>
          <w:rFonts w:hint="eastAsia" w:ascii="黑体" w:hAnsi="华文中宋" w:cs="宋体"/>
          <w:color w:val="auto"/>
          <w:spacing w:val="6"/>
          <w:kern w:val="0"/>
          <w:szCs w:val="21"/>
          <w:highlight w:val="none"/>
        </w:rPr>
        <w:t xml:space="preserve">附件10-1 </w:t>
      </w:r>
      <w:r>
        <w:rPr>
          <w:rFonts w:hint="eastAsia" w:ascii="黑体" w:hAnsi="宋体"/>
          <w:color w:val="auto"/>
          <w:szCs w:val="21"/>
          <w:highlight w:val="none"/>
        </w:rPr>
        <w:t>中小企业声明函</w:t>
      </w:r>
      <w:r>
        <w:rPr>
          <w:color w:val="auto"/>
          <w:highlight w:val="none"/>
        </w:rPr>
        <w:tab/>
      </w:r>
      <w:r>
        <w:rPr>
          <w:color w:val="auto"/>
          <w:highlight w:val="none"/>
        </w:rPr>
        <w:fldChar w:fldCharType="begin"/>
      </w:r>
      <w:r>
        <w:rPr>
          <w:color w:val="auto"/>
          <w:highlight w:val="none"/>
        </w:rPr>
        <w:instrText xml:space="preserve"> PAGEREF _Toc23864 \h </w:instrText>
      </w:r>
      <w:r>
        <w:rPr>
          <w:color w:val="auto"/>
          <w:highlight w:val="none"/>
        </w:rPr>
        <w:fldChar w:fldCharType="separate"/>
      </w:r>
      <w:r>
        <w:rPr>
          <w:color w:val="auto"/>
          <w:highlight w:val="none"/>
        </w:rPr>
        <w:t>104</w:t>
      </w:r>
      <w:r>
        <w:rPr>
          <w:color w:val="auto"/>
          <w:highlight w:val="none"/>
        </w:rPr>
        <w:fldChar w:fldCharType="end"/>
      </w:r>
      <w:r>
        <w:rPr>
          <w:color w:val="auto"/>
          <w:highlight w:val="none"/>
        </w:rPr>
        <w:fldChar w:fldCharType="end"/>
      </w:r>
    </w:p>
    <w:p w14:paraId="59BAA346">
      <w:pPr>
        <w:pStyle w:val="24"/>
        <w:tabs>
          <w:tab w:val="right" w:leader="dot" w:pos="8844"/>
        </w:tabs>
        <w:ind w:left="1260"/>
        <w:rPr>
          <w:color w:val="auto"/>
          <w:highlight w:val="none"/>
        </w:rPr>
      </w:pPr>
      <w:r>
        <w:rPr>
          <w:color w:val="auto"/>
          <w:highlight w:val="none"/>
        </w:rPr>
        <w:fldChar w:fldCharType="begin"/>
      </w:r>
      <w:r>
        <w:rPr>
          <w:color w:val="auto"/>
          <w:highlight w:val="none"/>
        </w:rPr>
        <w:instrText xml:space="preserve"> HYPERLINK \l "_Toc16609" </w:instrText>
      </w:r>
      <w:r>
        <w:rPr>
          <w:color w:val="auto"/>
          <w:highlight w:val="none"/>
        </w:rPr>
        <w:fldChar w:fldCharType="separate"/>
      </w:r>
      <w:r>
        <w:rPr>
          <w:rFonts w:hint="eastAsia" w:ascii="黑体" w:hAnsi="黑体" w:cs="宋体"/>
          <w:color w:val="auto"/>
          <w:kern w:val="0"/>
          <w:szCs w:val="21"/>
          <w:highlight w:val="none"/>
        </w:rPr>
        <w:t xml:space="preserve">附件10-2 </w:t>
      </w:r>
      <w:r>
        <w:rPr>
          <w:rFonts w:hint="eastAsia" w:ascii="黑体" w:hAnsi="黑体"/>
          <w:color w:val="auto"/>
          <w:szCs w:val="21"/>
          <w:highlight w:val="none"/>
        </w:rPr>
        <w:t>残疾人福利性单位声明函</w:t>
      </w:r>
      <w:r>
        <w:rPr>
          <w:color w:val="auto"/>
          <w:highlight w:val="none"/>
        </w:rPr>
        <w:tab/>
      </w:r>
      <w:r>
        <w:rPr>
          <w:color w:val="auto"/>
          <w:highlight w:val="none"/>
        </w:rPr>
        <w:fldChar w:fldCharType="begin"/>
      </w:r>
      <w:r>
        <w:rPr>
          <w:color w:val="auto"/>
          <w:highlight w:val="none"/>
        </w:rPr>
        <w:instrText xml:space="preserve"> PAGEREF _Toc16609 \h </w:instrText>
      </w:r>
      <w:r>
        <w:rPr>
          <w:color w:val="auto"/>
          <w:highlight w:val="none"/>
        </w:rPr>
        <w:fldChar w:fldCharType="separate"/>
      </w:r>
      <w:r>
        <w:rPr>
          <w:color w:val="auto"/>
          <w:highlight w:val="none"/>
        </w:rPr>
        <w:t>105</w:t>
      </w:r>
      <w:r>
        <w:rPr>
          <w:color w:val="auto"/>
          <w:highlight w:val="none"/>
        </w:rPr>
        <w:fldChar w:fldCharType="end"/>
      </w:r>
      <w:r>
        <w:rPr>
          <w:color w:val="auto"/>
          <w:highlight w:val="none"/>
        </w:rPr>
        <w:fldChar w:fldCharType="end"/>
      </w:r>
    </w:p>
    <w:p w14:paraId="05153B04">
      <w:pPr>
        <w:pStyle w:val="24"/>
        <w:tabs>
          <w:tab w:val="right" w:leader="dot" w:pos="8844"/>
        </w:tabs>
        <w:ind w:left="1260"/>
        <w:rPr>
          <w:color w:val="auto"/>
          <w:highlight w:val="none"/>
        </w:rPr>
      </w:pPr>
      <w:r>
        <w:rPr>
          <w:color w:val="auto"/>
          <w:highlight w:val="none"/>
        </w:rPr>
        <w:fldChar w:fldCharType="begin"/>
      </w:r>
      <w:r>
        <w:rPr>
          <w:color w:val="auto"/>
          <w:highlight w:val="none"/>
        </w:rPr>
        <w:instrText xml:space="preserve"> HYPERLINK \l "_Toc21302" </w:instrText>
      </w:r>
      <w:r>
        <w:rPr>
          <w:color w:val="auto"/>
          <w:highlight w:val="none"/>
        </w:rPr>
        <w:fldChar w:fldCharType="separate"/>
      </w:r>
      <w:r>
        <w:rPr>
          <w:rFonts w:hint="eastAsia" w:ascii="黑体" w:hAnsi="黑体" w:cs="宋体"/>
          <w:color w:val="auto"/>
          <w:kern w:val="0"/>
          <w:szCs w:val="21"/>
          <w:highlight w:val="none"/>
        </w:rPr>
        <w:t xml:space="preserve">附件10-3 </w:t>
      </w:r>
      <w:r>
        <w:rPr>
          <w:rFonts w:hint="eastAsia" w:ascii="黑体" w:hAnsi="黑体"/>
          <w:color w:val="auto"/>
          <w:szCs w:val="21"/>
          <w:highlight w:val="none"/>
        </w:rPr>
        <w:t>监狱企业证明资料</w:t>
      </w:r>
      <w:r>
        <w:rPr>
          <w:color w:val="auto"/>
          <w:highlight w:val="none"/>
        </w:rPr>
        <w:tab/>
      </w:r>
      <w:r>
        <w:rPr>
          <w:color w:val="auto"/>
          <w:highlight w:val="none"/>
        </w:rPr>
        <w:fldChar w:fldCharType="begin"/>
      </w:r>
      <w:r>
        <w:rPr>
          <w:color w:val="auto"/>
          <w:highlight w:val="none"/>
        </w:rPr>
        <w:instrText xml:space="preserve"> PAGEREF _Toc21302 \h </w:instrText>
      </w:r>
      <w:r>
        <w:rPr>
          <w:color w:val="auto"/>
          <w:highlight w:val="none"/>
        </w:rPr>
        <w:fldChar w:fldCharType="separate"/>
      </w:r>
      <w:r>
        <w:rPr>
          <w:color w:val="auto"/>
          <w:highlight w:val="none"/>
        </w:rPr>
        <w:t>107</w:t>
      </w:r>
      <w:r>
        <w:rPr>
          <w:color w:val="auto"/>
          <w:highlight w:val="none"/>
        </w:rPr>
        <w:fldChar w:fldCharType="end"/>
      </w:r>
      <w:r>
        <w:rPr>
          <w:color w:val="auto"/>
          <w:highlight w:val="none"/>
        </w:rPr>
        <w:fldChar w:fldCharType="end"/>
      </w:r>
    </w:p>
    <w:p w14:paraId="103AD1B5">
      <w:pPr>
        <w:pStyle w:val="24"/>
        <w:tabs>
          <w:tab w:val="right" w:leader="dot" w:pos="8844"/>
        </w:tabs>
        <w:ind w:left="1260"/>
        <w:rPr>
          <w:color w:val="auto"/>
          <w:highlight w:val="none"/>
        </w:rPr>
      </w:pPr>
      <w:r>
        <w:rPr>
          <w:color w:val="auto"/>
          <w:highlight w:val="none"/>
        </w:rPr>
        <w:fldChar w:fldCharType="begin"/>
      </w:r>
      <w:r>
        <w:rPr>
          <w:color w:val="auto"/>
          <w:highlight w:val="none"/>
        </w:rPr>
        <w:instrText xml:space="preserve"> HYPERLINK \l "_Toc3258" </w:instrText>
      </w:r>
      <w:r>
        <w:rPr>
          <w:color w:val="auto"/>
          <w:highlight w:val="none"/>
        </w:rPr>
        <w:fldChar w:fldCharType="separate"/>
      </w:r>
      <w:r>
        <w:rPr>
          <w:rFonts w:hint="eastAsia" w:ascii="黑体" w:hAnsi="华文中宋" w:cs="宋体"/>
          <w:color w:val="auto"/>
          <w:spacing w:val="6"/>
          <w:kern w:val="0"/>
          <w:szCs w:val="21"/>
          <w:highlight w:val="none"/>
        </w:rPr>
        <w:t xml:space="preserve">附件10-4 </w:t>
      </w:r>
      <w:r>
        <w:rPr>
          <w:rFonts w:hint="eastAsia" w:ascii="黑体" w:hAnsi="宋体"/>
          <w:color w:val="auto"/>
          <w:szCs w:val="21"/>
          <w:highlight w:val="none"/>
        </w:rPr>
        <w:t>强制采购或者优先采购产品的证明材料</w:t>
      </w:r>
      <w:r>
        <w:rPr>
          <w:color w:val="auto"/>
          <w:highlight w:val="none"/>
        </w:rPr>
        <w:tab/>
      </w:r>
      <w:r>
        <w:rPr>
          <w:color w:val="auto"/>
          <w:highlight w:val="none"/>
        </w:rPr>
        <w:fldChar w:fldCharType="begin"/>
      </w:r>
      <w:r>
        <w:rPr>
          <w:color w:val="auto"/>
          <w:highlight w:val="none"/>
        </w:rPr>
        <w:instrText xml:space="preserve"> PAGEREF _Toc3258 \h </w:instrText>
      </w:r>
      <w:r>
        <w:rPr>
          <w:color w:val="auto"/>
          <w:highlight w:val="none"/>
        </w:rPr>
        <w:fldChar w:fldCharType="separate"/>
      </w:r>
      <w:r>
        <w:rPr>
          <w:color w:val="auto"/>
          <w:highlight w:val="none"/>
        </w:rPr>
        <w:t>108</w:t>
      </w:r>
      <w:r>
        <w:rPr>
          <w:color w:val="auto"/>
          <w:highlight w:val="none"/>
        </w:rPr>
        <w:fldChar w:fldCharType="end"/>
      </w:r>
      <w:r>
        <w:rPr>
          <w:color w:val="auto"/>
          <w:highlight w:val="none"/>
        </w:rPr>
        <w:fldChar w:fldCharType="end"/>
      </w:r>
    </w:p>
    <w:p w14:paraId="54E73F10">
      <w:pPr>
        <w:pStyle w:val="24"/>
        <w:tabs>
          <w:tab w:val="right" w:leader="dot" w:pos="8844"/>
        </w:tabs>
        <w:ind w:left="1260"/>
        <w:rPr>
          <w:color w:val="auto"/>
          <w:highlight w:val="none"/>
        </w:rPr>
      </w:pPr>
      <w:r>
        <w:rPr>
          <w:color w:val="auto"/>
          <w:highlight w:val="none"/>
        </w:rPr>
        <w:fldChar w:fldCharType="begin"/>
      </w:r>
      <w:r>
        <w:rPr>
          <w:color w:val="auto"/>
          <w:highlight w:val="none"/>
        </w:rPr>
        <w:instrText xml:space="preserve"> HYPERLINK \l "_Toc21847" </w:instrText>
      </w:r>
      <w:r>
        <w:rPr>
          <w:color w:val="auto"/>
          <w:highlight w:val="none"/>
        </w:rPr>
        <w:fldChar w:fldCharType="separate"/>
      </w:r>
      <w:r>
        <w:rPr>
          <w:rFonts w:hint="eastAsia" w:ascii="黑体" w:hAnsi="华文中宋" w:cs="宋体"/>
          <w:color w:val="auto"/>
          <w:spacing w:val="6"/>
          <w:kern w:val="0"/>
          <w:szCs w:val="21"/>
          <w:highlight w:val="none"/>
        </w:rPr>
        <w:t xml:space="preserve">附页 1 </w:t>
      </w:r>
      <w:r>
        <w:rPr>
          <w:rFonts w:hint="eastAsia" w:ascii="黑体" w:hAnsi="宋体"/>
          <w:color w:val="auto"/>
          <w:szCs w:val="21"/>
          <w:highlight w:val="none"/>
        </w:rPr>
        <w:t>优先采购产品清单</w:t>
      </w:r>
      <w:r>
        <w:rPr>
          <w:color w:val="auto"/>
          <w:highlight w:val="none"/>
        </w:rPr>
        <w:tab/>
      </w:r>
      <w:r>
        <w:rPr>
          <w:color w:val="auto"/>
          <w:highlight w:val="none"/>
        </w:rPr>
        <w:fldChar w:fldCharType="begin"/>
      </w:r>
      <w:r>
        <w:rPr>
          <w:color w:val="auto"/>
          <w:highlight w:val="none"/>
        </w:rPr>
        <w:instrText xml:space="preserve"> PAGEREF _Toc21847 \h </w:instrText>
      </w:r>
      <w:r>
        <w:rPr>
          <w:color w:val="auto"/>
          <w:highlight w:val="none"/>
        </w:rPr>
        <w:fldChar w:fldCharType="separate"/>
      </w:r>
      <w:r>
        <w:rPr>
          <w:color w:val="auto"/>
          <w:highlight w:val="none"/>
        </w:rPr>
        <w:t>109</w:t>
      </w:r>
      <w:r>
        <w:rPr>
          <w:color w:val="auto"/>
          <w:highlight w:val="none"/>
        </w:rPr>
        <w:fldChar w:fldCharType="end"/>
      </w:r>
      <w:r>
        <w:rPr>
          <w:color w:val="auto"/>
          <w:highlight w:val="none"/>
        </w:rPr>
        <w:fldChar w:fldCharType="end"/>
      </w:r>
    </w:p>
    <w:p w14:paraId="2CD4A062">
      <w:pPr>
        <w:pStyle w:val="18"/>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"_Toc2034" </w:instrText>
      </w:r>
      <w:r>
        <w:rPr>
          <w:color w:val="auto"/>
          <w:highlight w:val="none"/>
        </w:rPr>
        <w:fldChar w:fldCharType="separate"/>
      </w:r>
      <w:r>
        <w:rPr>
          <w:rFonts w:hint="eastAsia" w:ascii="黑体" w:hAnsi="宋体" w:eastAsia="黑体"/>
          <w:color w:val="auto"/>
          <w:szCs w:val="28"/>
          <w:highlight w:val="none"/>
        </w:rPr>
        <w:t>十一、投标货物符合招标文件规定的证明文件</w:t>
      </w:r>
      <w:r>
        <w:rPr>
          <w:color w:val="auto"/>
          <w:highlight w:val="none"/>
        </w:rPr>
        <w:tab/>
      </w:r>
      <w:r>
        <w:rPr>
          <w:color w:val="auto"/>
          <w:highlight w:val="none"/>
        </w:rPr>
        <w:fldChar w:fldCharType="begin"/>
      </w:r>
      <w:r>
        <w:rPr>
          <w:color w:val="auto"/>
          <w:highlight w:val="none"/>
        </w:rPr>
        <w:instrText xml:space="preserve"> PAGEREF _Toc2034 \h </w:instrText>
      </w:r>
      <w:r>
        <w:rPr>
          <w:color w:val="auto"/>
          <w:highlight w:val="none"/>
        </w:rPr>
        <w:fldChar w:fldCharType="separate"/>
      </w:r>
      <w:r>
        <w:rPr>
          <w:color w:val="auto"/>
          <w:highlight w:val="none"/>
        </w:rPr>
        <w:t>110</w:t>
      </w:r>
      <w:r>
        <w:rPr>
          <w:color w:val="auto"/>
          <w:highlight w:val="none"/>
        </w:rPr>
        <w:fldChar w:fldCharType="end"/>
      </w:r>
      <w:r>
        <w:rPr>
          <w:color w:val="auto"/>
          <w:highlight w:val="none"/>
        </w:rPr>
        <w:fldChar w:fldCharType="end"/>
      </w:r>
    </w:p>
    <w:p w14:paraId="61AACF0F">
      <w:pPr>
        <w:pStyle w:val="18"/>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"_Toc18174" </w:instrText>
      </w:r>
      <w:r>
        <w:rPr>
          <w:color w:val="auto"/>
          <w:highlight w:val="none"/>
        </w:rPr>
        <w:fldChar w:fldCharType="separate"/>
      </w:r>
      <w:r>
        <w:rPr>
          <w:rFonts w:hint="eastAsia" w:ascii="黑体" w:hAnsi="宋体" w:eastAsia="黑体"/>
          <w:color w:val="auto"/>
          <w:szCs w:val="28"/>
          <w:highlight w:val="none"/>
        </w:rPr>
        <w:t>十二、投标人认为需提供的其他资料</w:t>
      </w:r>
      <w:r>
        <w:rPr>
          <w:color w:val="auto"/>
          <w:highlight w:val="none"/>
        </w:rPr>
        <w:tab/>
      </w:r>
      <w:r>
        <w:rPr>
          <w:color w:val="auto"/>
          <w:highlight w:val="none"/>
        </w:rPr>
        <w:fldChar w:fldCharType="begin"/>
      </w:r>
      <w:r>
        <w:rPr>
          <w:color w:val="auto"/>
          <w:highlight w:val="none"/>
        </w:rPr>
        <w:instrText xml:space="preserve"> PAGEREF _Toc18174 \h </w:instrText>
      </w:r>
      <w:r>
        <w:rPr>
          <w:color w:val="auto"/>
          <w:highlight w:val="none"/>
        </w:rPr>
        <w:fldChar w:fldCharType="separate"/>
      </w:r>
      <w:r>
        <w:rPr>
          <w:color w:val="auto"/>
          <w:highlight w:val="none"/>
        </w:rPr>
        <w:t>111</w:t>
      </w:r>
      <w:r>
        <w:rPr>
          <w:color w:val="auto"/>
          <w:highlight w:val="none"/>
        </w:rPr>
        <w:fldChar w:fldCharType="end"/>
      </w:r>
      <w:r>
        <w:rPr>
          <w:color w:val="auto"/>
          <w:highlight w:val="none"/>
        </w:rPr>
        <w:fldChar w:fldCharType="end"/>
      </w:r>
    </w:p>
    <w:p w14:paraId="37AF2861">
      <w:pPr>
        <w:pStyle w:val="19"/>
        <w:adjustRightInd w:val="0"/>
        <w:snapToGrid w:val="0"/>
        <w:spacing w:line="360" w:lineRule="auto"/>
        <w:outlineLvl w:val="0"/>
        <w:rPr>
          <w:rFonts w:hAnsi="宋体"/>
          <w:color w:val="auto"/>
          <w:highlight w:val="none"/>
        </w:rPr>
      </w:pPr>
      <w:r>
        <w:rPr>
          <w:rFonts w:hAnsi="宋体" w:cs="Times New Roman"/>
          <w:color w:val="auto"/>
          <w:highlight w:val="none"/>
        </w:rPr>
        <w:fldChar w:fldCharType="end"/>
      </w:r>
      <w:r>
        <w:rPr>
          <w:rFonts w:hAnsi="宋体"/>
          <w:color w:val="auto"/>
          <w:highlight w:val="none"/>
        </w:rPr>
        <w:t xml:space="preserve"> </w:t>
      </w:r>
    </w:p>
    <w:p w14:paraId="0C137792">
      <w:pPr>
        <w:adjustRightInd w:val="0"/>
        <w:snapToGrid w:val="0"/>
        <w:spacing w:line="240" w:lineRule="atLeast"/>
        <w:ind w:firstLine="840" w:firstLineChars="400"/>
        <w:rPr>
          <w:rFonts w:ascii="宋体" w:hAnsi="宋体"/>
          <w:color w:val="auto"/>
          <w:szCs w:val="21"/>
          <w:highlight w:val="none"/>
        </w:rPr>
      </w:pPr>
    </w:p>
    <w:p w14:paraId="360231A2">
      <w:pPr>
        <w:pStyle w:val="9"/>
        <w:rPr>
          <w:color w:val="auto"/>
          <w:highlight w:val="none"/>
        </w:rPr>
        <w:sectPr>
          <w:footerReference r:id="rId3" w:type="default"/>
          <w:pgSz w:w="11906" w:h="16838"/>
          <w:pgMar w:top="1474" w:right="1474" w:bottom="1474" w:left="1588" w:header="851" w:footer="992" w:gutter="0"/>
          <w:pgBorders>
            <w:top w:val="none" w:sz="0" w:space="0"/>
            <w:left w:val="none" w:sz="0" w:space="0"/>
            <w:bottom w:val="none" w:sz="0" w:space="0"/>
            <w:right w:val="none" w:sz="0" w:space="0"/>
          </w:pgBorders>
          <w:pgNumType w:start="1"/>
          <w:cols w:space="720" w:num="1"/>
          <w:docGrid w:type="lines" w:linePitch="312" w:charSpace="0"/>
        </w:sectPr>
      </w:pPr>
      <w:bookmarkStart w:id="0" w:name="_Toc35421027"/>
      <w:bookmarkStart w:id="1" w:name="_Toc34720698"/>
      <w:bookmarkStart w:id="2" w:name="_Toc21001314"/>
      <w:bookmarkStart w:id="3" w:name="_Toc20988241"/>
      <w:bookmarkStart w:id="4" w:name="_Toc53472201"/>
      <w:bookmarkStart w:id="5" w:name="_Toc20816073"/>
      <w:bookmarkStart w:id="6" w:name="_Toc21000471"/>
      <w:bookmarkStart w:id="7" w:name="_Toc20642243"/>
    </w:p>
    <w:p w14:paraId="07E49B2A">
      <w:pPr>
        <w:pStyle w:val="9"/>
        <w:rPr>
          <w:rFonts w:ascii="黑体" w:hAnsi="华文中宋" w:eastAsia="黑体"/>
          <w:color w:val="auto"/>
          <w:sz w:val="32"/>
          <w:szCs w:val="32"/>
          <w:highlight w:val="none"/>
        </w:rPr>
      </w:pPr>
      <w:bookmarkStart w:id="8" w:name="_Toc42"/>
      <w:r>
        <w:rPr>
          <w:rFonts w:hint="eastAsia" w:ascii="黑体" w:hAnsi="华文中宋" w:eastAsia="黑体"/>
          <w:color w:val="auto"/>
          <w:sz w:val="32"/>
          <w:szCs w:val="32"/>
          <w:highlight w:val="none"/>
        </w:rPr>
        <w:t>第一章 投标邀请（公开招标）</w:t>
      </w:r>
      <w:bookmarkEnd w:id="8"/>
    </w:p>
    <w:p w14:paraId="7E94B65C">
      <w:pPr>
        <w:adjustRightInd w:val="0"/>
        <w:snapToGrid w:val="0"/>
        <w:spacing w:line="360" w:lineRule="auto"/>
        <w:ind w:firstLine="420" w:firstLineChars="200"/>
        <w:rPr>
          <w:rFonts w:ascii="宋体" w:hAnsi="宋体"/>
          <w:color w:val="auto"/>
          <w:szCs w:val="21"/>
          <w:highlight w:val="none"/>
          <w:u w:val="single"/>
        </w:rPr>
      </w:pPr>
    </w:p>
    <w:p w14:paraId="05DED2AC">
      <w:pPr>
        <w:adjustRightInd w:val="0"/>
        <w:snapToGrid w:val="0"/>
        <w:spacing w:line="360" w:lineRule="auto"/>
        <w:ind w:firstLine="420" w:firstLineChars="200"/>
        <w:rPr>
          <w:rFonts w:ascii="宋体" w:hAnsi="宋体"/>
          <w:color w:val="auto"/>
          <w:szCs w:val="21"/>
          <w:highlight w:val="none"/>
        </w:rPr>
      </w:pPr>
      <w:r>
        <w:rPr>
          <w:rFonts w:hint="default" w:ascii="宋体" w:hAnsi="宋体"/>
          <w:color w:val="auto"/>
          <w:szCs w:val="21"/>
          <w:highlight w:val="none"/>
          <w:u w:val="single"/>
          <w:lang w:val="en-US" w:eastAsia="zh-CN"/>
        </w:rPr>
        <w:t>株洲市疾病预防控制中心（株洲市卫生综合监督执法局）</w:t>
      </w:r>
      <w:r>
        <w:rPr>
          <w:rFonts w:hint="eastAsia" w:ascii="宋体" w:hAnsi="宋体"/>
          <w:color w:val="auto"/>
          <w:szCs w:val="21"/>
          <w:highlight w:val="none"/>
        </w:rPr>
        <w:t>的</w:t>
      </w:r>
      <w:r>
        <w:rPr>
          <w:rFonts w:hint="eastAsia" w:ascii="宋体" w:hAnsi="宋体"/>
          <w:color w:val="auto"/>
          <w:szCs w:val="21"/>
          <w:highlight w:val="none"/>
          <w:u w:val="single"/>
          <w:lang w:val="en-US" w:eastAsia="zh-CN"/>
        </w:rPr>
        <w:t>2026年传染病实验室检测仪器设备</w:t>
      </w:r>
      <w:r>
        <w:rPr>
          <w:rFonts w:hint="eastAsia" w:ascii="宋体" w:hAnsi="宋体"/>
          <w:color w:val="auto"/>
          <w:szCs w:val="21"/>
          <w:highlight w:val="none"/>
        </w:rPr>
        <w:t>进行公开招标采购，现邀请合格投标人参加投标。</w:t>
      </w:r>
    </w:p>
    <w:p w14:paraId="00CF8B4C">
      <w:pPr>
        <w:adjustRightInd w:val="0"/>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一、采购项目基本信息</w:t>
      </w:r>
    </w:p>
    <w:p w14:paraId="6FD3B832">
      <w:pPr>
        <w:adjustRightInd w:val="0"/>
        <w:snapToGrid w:val="0"/>
        <w:spacing w:line="360" w:lineRule="auto"/>
        <w:ind w:firstLine="420" w:firstLineChars="200"/>
        <w:rPr>
          <w:rFonts w:hint="default" w:ascii="宋体" w:hAnsi="宋体" w:eastAsia="宋体"/>
          <w:color w:val="auto"/>
          <w:szCs w:val="21"/>
          <w:highlight w:val="none"/>
          <w:lang w:val="en-US" w:eastAsia="zh-CN"/>
        </w:rPr>
      </w:pPr>
      <w:r>
        <w:rPr>
          <w:rFonts w:hint="eastAsia" w:ascii="宋体" w:hAnsi="宋体"/>
          <w:color w:val="auto"/>
          <w:szCs w:val="21"/>
          <w:highlight w:val="none"/>
        </w:rPr>
        <w:t>1、采购项目名称：</w:t>
      </w:r>
      <w:r>
        <w:rPr>
          <w:rFonts w:hint="eastAsia" w:ascii="宋体" w:hAnsi="宋体"/>
          <w:color w:val="auto"/>
          <w:szCs w:val="21"/>
          <w:highlight w:val="none"/>
          <w:u w:val="single"/>
          <w:lang w:val="en-US" w:eastAsia="zh-CN"/>
        </w:rPr>
        <w:t>2026年传染病实验室检测仪器设备</w:t>
      </w:r>
    </w:p>
    <w:p w14:paraId="7C31911E">
      <w:pPr>
        <w:adjustRightInd w:val="0"/>
        <w:snapToGrid w:val="0"/>
        <w:spacing w:line="360" w:lineRule="auto"/>
        <w:ind w:firstLine="420" w:firstLineChars="200"/>
        <w:rPr>
          <w:rFonts w:hint="eastAsia" w:ascii="宋体" w:hAnsi="宋体" w:eastAsia="宋体"/>
          <w:bCs/>
          <w:color w:val="auto"/>
          <w:szCs w:val="21"/>
          <w:highlight w:val="none"/>
          <w:lang w:eastAsia="zh-CN"/>
        </w:rPr>
      </w:pPr>
      <w:r>
        <w:rPr>
          <w:rFonts w:hint="eastAsia" w:ascii="宋体" w:hAnsi="宋体"/>
          <w:bCs/>
          <w:color w:val="auto"/>
          <w:szCs w:val="21"/>
          <w:highlight w:val="none"/>
        </w:rPr>
        <w:t>2、政府采购计划编号：</w:t>
      </w:r>
      <w:r>
        <w:rPr>
          <w:rFonts w:hint="eastAsia" w:ascii="宋体" w:hAnsi="宋体"/>
          <w:bCs/>
          <w:color w:val="auto"/>
          <w:szCs w:val="21"/>
          <w:highlight w:val="none"/>
          <w:u w:val="single"/>
          <w:lang w:eastAsia="zh-CN"/>
        </w:rPr>
        <w:t xml:space="preserve">（2026）430200000024-1、（2026）430200000024-2  </w:t>
      </w:r>
    </w:p>
    <w:p w14:paraId="73EB7EA2">
      <w:pPr>
        <w:adjustRightInd w:val="0"/>
        <w:snapToGrid w:val="0"/>
        <w:spacing w:line="360" w:lineRule="auto"/>
        <w:ind w:firstLine="420" w:firstLineChars="200"/>
        <w:rPr>
          <w:rFonts w:hint="eastAsia" w:ascii="宋体" w:hAnsi="宋体" w:eastAsia="宋体"/>
          <w:bCs/>
          <w:color w:val="auto"/>
          <w:szCs w:val="21"/>
          <w:highlight w:val="none"/>
          <w:lang w:eastAsia="zh-CN"/>
        </w:rPr>
      </w:pPr>
      <w:r>
        <w:rPr>
          <w:rFonts w:hint="eastAsia" w:ascii="宋体" w:hAnsi="宋体"/>
          <w:bCs/>
          <w:color w:val="auto"/>
          <w:szCs w:val="21"/>
          <w:highlight w:val="none"/>
        </w:rPr>
        <w:t>3、</w:t>
      </w:r>
      <w:r>
        <w:rPr>
          <w:rFonts w:hint="eastAsia" w:ascii="宋体" w:hAnsi="宋体"/>
          <w:bCs/>
          <w:color w:val="auto"/>
          <w:szCs w:val="21"/>
          <w:highlight w:val="none"/>
          <w:lang w:eastAsia="zh-CN"/>
        </w:rPr>
        <w:t>采购代理编号</w:t>
      </w:r>
      <w:r>
        <w:rPr>
          <w:rFonts w:hint="eastAsia" w:ascii="宋体" w:hAnsi="宋体"/>
          <w:bCs/>
          <w:color w:val="auto"/>
          <w:szCs w:val="21"/>
          <w:highlight w:val="none"/>
        </w:rPr>
        <w:t>：</w:t>
      </w:r>
      <w:r>
        <w:rPr>
          <w:rFonts w:hint="eastAsia" w:ascii="宋体" w:hAnsi="宋体"/>
          <w:bCs/>
          <w:color w:val="auto"/>
          <w:szCs w:val="21"/>
          <w:highlight w:val="none"/>
          <w:u w:val="single"/>
          <w:lang w:eastAsia="zh-CN"/>
        </w:rPr>
        <w:t xml:space="preserve">HNHF-26017 </w:t>
      </w:r>
    </w:p>
    <w:p w14:paraId="3D820E43">
      <w:pPr>
        <w:adjustRightInd w:val="0"/>
        <w:snapToGrid w:val="0"/>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4、采购项目预算：</w:t>
      </w:r>
      <w:r>
        <w:rPr>
          <w:rFonts w:hint="eastAsia" w:ascii="宋体" w:hAnsi="宋体"/>
          <w:bCs/>
          <w:color w:val="auto"/>
          <w:szCs w:val="21"/>
          <w:highlight w:val="none"/>
          <w:u w:val="single"/>
          <w:lang w:val="en-US" w:eastAsia="zh-CN"/>
        </w:rPr>
        <w:t>4300000.00</w:t>
      </w:r>
      <w:r>
        <w:rPr>
          <w:rFonts w:hint="eastAsia" w:ascii="宋体" w:hAnsi="宋体"/>
          <w:bCs/>
          <w:color w:val="auto"/>
          <w:szCs w:val="21"/>
          <w:highlight w:val="none"/>
          <w:u w:val="single"/>
        </w:rPr>
        <w:t>元</w:t>
      </w:r>
    </w:p>
    <w:p w14:paraId="17D2D823">
      <w:pPr>
        <w:adjustRightInd w:val="0"/>
        <w:snapToGrid w:val="0"/>
        <w:spacing w:line="360" w:lineRule="auto"/>
        <w:ind w:firstLine="630" w:firstLineChars="300"/>
        <w:rPr>
          <w:rFonts w:ascii="宋体" w:hAnsi="宋体"/>
          <w:bCs/>
          <w:color w:val="auto"/>
          <w:szCs w:val="21"/>
          <w:highlight w:val="none"/>
          <w:u w:val="single"/>
        </w:rPr>
      </w:pPr>
      <w:r>
        <w:rPr>
          <w:rFonts w:hint="eastAsia" w:ascii="宋体" w:hAnsi="宋体"/>
          <w:iCs/>
          <w:color w:val="auto"/>
          <w:szCs w:val="21"/>
          <w:highlight w:val="none"/>
        </w:rPr>
        <w:sym w:font="Wingdings" w:char="00A8"/>
      </w:r>
      <w:r>
        <w:rPr>
          <w:rFonts w:hint="eastAsia" w:ascii="宋体" w:hAnsi="宋体"/>
          <w:iCs/>
          <w:color w:val="auto"/>
          <w:szCs w:val="21"/>
          <w:highlight w:val="none"/>
        </w:rPr>
        <w:t>支持</w:t>
      </w:r>
      <w:r>
        <w:rPr>
          <w:rFonts w:hint="eastAsia" w:ascii="宋体" w:hAnsi="宋体"/>
          <w:bCs/>
          <w:color w:val="auto"/>
          <w:szCs w:val="21"/>
          <w:highlight w:val="none"/>
        </w:rPr>
        <w:t>预付款，预付比例：</w:t>
      </w:r>
      <w:r>
        <w:rPr>
          <w:rFonts w:hint="eastAsia" w:ascii="宋体" w:hAnsi="宋体"/>
          <w:bCs/>
          <w:color w:val="auto"/>
          <w:szCs w:val="21"/>
          <w:highlight w:val="none"/>
          <w:u w:val="single"/>
        </w:rPr>
        <w:t xml:space="preserve">     /      </w:t>
      </w:r>
    </w:p>
    <w:p w14:paraId="3A0292F6">
      <w:pPr>
        <w:adjustRightInd w:val="0"/>
        <w:snapToGrid w:val="0"/>
        <w:spacing w:line="360" w:lineRule="auto"/>
        <w:ind w:firstLine="420" w:firstLineChars="200"/>
        <w:rPr>
          <w:rFonts w:ascii="宋体" w:hAnsi="宋体"/>
          <w:color w:val="auto"/>
          <w:szCs w:val="21"/>
          <w:highlight w:val="none"/>
          <w:u w:val="single"/>
        </w:rPr>
      </w:pPr>
      <w:r>
        <w:rPr>
          <w:rFonts w:hint="eastAsia" w:ascii="宋体" w:hAnsi="宋体"/>
          <w:bCs/>
          <w:color w:val="auto"/>
          <w:szCs w:val="21"/>
          <w:highlight w:val="none"/>
        </w:rPr>
        <w:t>5、本项目</w:t>
      </w:r>
      <w:r>
        <w:rPr>
          <w:rFonts w:hint="eastAsia" w:ascii="宋体" w:hAnsi="宋体"/>
          <w:color w:val="auto"/>
          <w:szCs w:val="21"/>
          <w:highlight w:val="none"/>
        </w:rPr>
        <w:t>对应的中小企业划分标准所属行业：</w:t>
      </w:r>
      <w:r>
        <w:rPr>
          <w:rFonts w:hint="eastAsia" w:ascii="宋体" w:hAnsi="宋体"/>
          <w:color w:val="auto"/>
          <w:szCs w:val="21"/>
          <w:highlight w:val="none"/>
          <w:u w:val="single"/>
        </w:rPr>
        <w:t xml:space="preserve">  工业  </w:t>
      </w:r>
    </w:p>
    <w:p w14:paraId="3E111041">
      <w:pPr>
        <w:adjustRightInd w:val="0"/>
        <w:snapToGrid w:val="0"/>
        <w:spacing w:line="360" w:lineRule="auto"/>
        <w:ind w:firstLine="420" w:firstLineChars="200"/>
        <w:rPr>
          <w:rFonts w:ascii="宋体" w:hAnsi="宋体"/>
          <w:bCs/>
          <w:color w:val="auto"/>
          <w:szCs w:val="21"/>
          <w:highlight w:val="none"/>
          <w:u w:val="single"/>
        </w:rPr>
      </w:pPr>
      <w:r>
        <w:rPr>
          <w:rFonts w:hint="eastAsia" w:ascii="宋体" w:hAnsi="宋体"/>
          <w:bCs/>
          <w:color w:val="auto"/>
          <w:szCs w:val="21"/>
          <w:highlight w:val="none"/>
        </w:rPr>
        <w:t>6、评标方法：</w:t>
      </w:r>
      <w:r>
        <w:rPr>
          <w:rFonts w:hint="eastAsia" w:ascii="宋体" w:hAnsi="宋体"/>
          <w:iCs/>
          <w:color w:val="auto"/>
          <w:szCs w:val="21"/>
          <w:highlight w:val="none"/>
        </w:rPr>
        <w:sym w:font="Wingdings" w:char="00FE"/>
      </w:r>
      <w:r>
        <w:rPr>
          <w:rFonts w:hint="eastAsia" w:ascii="宋体" w:hAnsi="宋体"/>
          <w:iCs/>
          <w:color w:val="auto"/>
          <w:szCs w:val="21"/>
          <w:highlight w:val="none"/>
        </w:rPr>
        <w:t xml:space="preserve">综合评分法 </w:t>
      </w:r>
      <w:r>
        <w:rPr>
          <w:rFonts w:hint="eastAsia" w:ascii="宋体" w:hAnsi="宋体"/>
          <w:iCs/>
          <w:color w:val="auto"/>
          <w:szCs w:val="21"/>
          <w:highlight w:val="none"/>
        </w:rPr>
        <w:sym w:font="Wingdings" w:char="00A8"/>
      </w:r>
      <w:r>
        <w:rPr>
          <w:rFonts w:hint="eastAsia" w:ascii="宋体" w:hAnsi="宋体"/>
          <w:iCs/>
          <w:color w:val="auto"/>
          <w:szCs w:val="21"/>
          <w:highlight w:val="none"/>
        </w:rPr>
        <w:t>最低评标价法</w:t>
      </w:r>
    </w:p>
    <w:p w14:paraId="3394DDF7">
      <w:pPr>
        <w:adjustRightInd w:val="0"/>
        <w:snapToGrid w:val="0"/>
        <w:spacing w:line="360" w:lineRule="auto"/>
        <w:ind w:firstLine="420" w:firstLineChars="200"/>
        <w:rPr>
          <w:rFonts w:ascii="宋体" w:hAnsi="宋体"/>
          <w:bCs/>
          <w:color w:val="auto"/>
          <w:szCs w:val="21"/>
          <w:highlight w:val="none"/>
          <w:u w:val="single"/>
        </w:rPr>
      </w:pPr>
      <w:r>
        <w:rPr>
          <w:rFonts w:hint="eastAsia" w:ascii="宋体" w:hAnsi="宋体"/>
          <w:bCs/>
          <w:color w:val="auto"/>
          <w:szCs w:val="21"/>
          <w:highlight w:val="none"/>
        </w:rPr>
        <w:t>7、合同定价方式：</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固定总价 </w:t>
      </w:r>
      <w:r>
        <w:rPr>
          <w:rFonts w:hint="eastAsia" w:ascii="宋体" w:hAnsi="宋体"/>
          <w:iCs/>
          <w:color w:val="auto"/>
          <w:szCs w:val="21"/>
          <w:highlight w:val="none"/>
        </w:rPr>
        <w:sym w:font="Wingdings" w:char="00FE"/>
      </w:r>
      <w:r>
        <w:rPr>
          <w:rFonts w:hint="eastAsia" w:ascii="宋体" w:hAnsi="宋体"/>
          <w:iCs/>
          <w:color w:val="auto"/>
          <w:szCs w:val="21"/>
          <w:highlight w:val="none"/>
        </w:rPr>
        <w:t xml:space="preserve">固定单价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成本补偿 </w:t>
      </w:r>
      <w:r>
        <w:rPr>
          <w:rFonts w:hint="eastAsia" w:ascii="宋体" w:hAnsi="宋体"/>
          <w:iCs/>
          <w:color w:val="auto"/>
          <w:szCs w:val="21"/>
          <w:highlight w:val="none"/>
        </w:rPr>
        <w:sym w:font="Wingdings" w:char="00FE"/>
      </w:r>
      <w:r>
        <w:rPr>
          <w:rFonts w:hint="eastAsia" w:ascii="宋体" w:hAnsi="宋体"/>
          <w:iCs/>
          <w:color w:val="auto"/>
          <w:szCs w:val="21"/>
          <w:highlight w:val="none"/>
        </w:rPr>
        <w:t>绩效激励</w:t>
      </w:r>
    </w:p>
    <w:p w14:paraId="47AD43AD">
      <w:pPr>
        <w:keepNext w:val="0"/>
        <w:keepLines w:val="0"/>
        <w:pageBreakBefore w:val="0"/>
        <w:kinsoku/>
        <w:autoSpaceDE/>
        <w:autoSpaceDN/>
        <w:bidi w:val="0"/>
        <w:adjustRightInd/>
        <w:snapToGrid/>
        <w:spacing w:line="360" w:lineRule="auto"/>
        <w:ind w:firstLine="420" w:firstLineChars="200"/>
        <w:textAlignment w:val="baseline"/>
        <w:rPr>
          <w:rFonts w:ascii="宋体" w:hAnsi="宋体"/>
          <w:bCs/>
          <w:color w:val="auto"/>
          <w:szCs w:val="21"/>
          <w:highlight w:val="none"/>
          <w:u w:val="single"/>
        </w:rPr>
      </w:pPr>
      <w:r>
        <w:rPr>
          <w:rFonts w:hint="eastAsia" w:ascii="宋体" w:hAnsi="宋体"/>
          <w:bCs/>
          <w:color w:val="auto"/>
          <w:szCs w:val="21"/>
          <w:highlight w:val="none"/>
        </w:rPr>
        <w:t>8、合同履行期限：</w:t>
      </w:r>
      <w:r>
        <w:rPr>
          <w:rFonts w:hint="eastAsia" w:ascii="宋体" w:hAnsi="宋体"/>
          <w:bCs/>
          <w:color w:val="auto"/>
          <w:szCs w:val="21"/>
          <w:highlight w:val="none"/>
          <w:lang w:val="en-US" w:eastAsia="zh-CN"/>
        </w:rPr>
        <w:t>包1：30</w:t>
      </w:r>
      <w:r>
        <w:rPr>
          <w:rFonts w:hint="eastAsia" w:ascii="宋体" w:hAnsi="宋体"/>
          <w:bCs/>
          <w:color w:val="auto"/>
          <w:szCs w:val="21"/>
          <w:highlight w:val="none"/>
        </w:rPr>
        <w:t>天</w:t>
      </w:r>
      <w:r>
        <w:rPr>
          <w:rFonts w:hint="eastAsia" w:ascii="宋体" w:hAnsi="宋体"/>
          <w:bCs/>
          <w:color w:val="auto"/>
          <w:szCs w:val="21"/>
          <w:highlight w:val="none"/>
          <w:lang w:eastAsia="zh-CN"/>
        </w:rPr>
        <w:t>；</w:t>
      </w:r>
      <w:r>
        <w:rPr>
          <w:rFonts w:hint="eastAsia" w:ascii="宋体" w:hAnsi="宋体"/>
          <w:bCs/>
          <w:color w:val="auto"/>
          <w:szCs w:val="21"/>
          <w:highlight w:val="none"/>
          <w:lang w:val="en-US" w:eastAsia="zh-CN"/>
        </w:rPr>
        <w:t>包2：30</w:t>
      </w:r>
      <w:r>
        <w:rPr>
          <w:rFonts w:hint="eastAsia" w:ascii="宋体" w:hAnsi="宋体"/>
          <w:bCs/>
          <w:color w:val="auto"/>
          <w:szCs w:val="21"/>
          <w:highlight w:val="none"/>
        </w:rPr>
        <w:t>天。</w:t>
      </w:r>
    </w:p>
    <w:p w14:paraId="77160396">
      <w:pPr>
        <w:pStyle w:val="2"/>
        <w:rPr>
          <w:color w:val="auto"/>
          <w:highlight w:val="none"/>
        </w:rPr>
      </w:pPr>
      <w:r>
        <w:rPr>
          <w:rFonts w:hint="eastAsia" w:ascii="宋体" w:hAnsi="宋体"/>
          <w:bCs/>
          <w:color w:val="auto"/>
          <w:highlight w:val="none"/>
        </w:rPr>
        <w:t>9、</w:t>
      </w:r>
      <w:r>
        <w:rPr>
          <w:rFonts w:hint="eastAsia"/>
          <w:color w:val="auto"/>
          <w:highlight w:val="none"/>
        </w:rPr>
        <w:t>本项目分阶段要求投标人提供以下保证：</w:t>
      </w:r>
    </w:p>
    <w:p w14:paraId="4C26976F">
      <w:pPr>
        <w:pStyle w:val="2"/>
        <w:spacing w:line="360" w:lineRule="auto"/>
        <w:rPr>
          <w:rFonts w:ascii="宋体" w:hAnsi="宋体"/>
          <w:iCs/>
          <w:color w:val="auto"/>
          <w:highlight w:val="none"/>
        </w:rPr>
      </w:pPr>
      <w:r>
        <w:rPr>
          <w:rFonts w:hint="eastAsia" w:ascii="宋体" w:hAnsi="宋体"/>
          <w:iCs/>
          <w:color w:val="auto"/>
          <w:highlight w:val="none"/>
        </w:rPr>
        <w:sym w:font="Wingdings" w:char="00A8"/>
      </w:r>
      <w:r>
        <w:rPr>
          <w:rFonts w:hint="eastAsia" w:ascii="宋体" w:hAnsi="宋体"/>
          <w:color w:val="auto"/>
          <w:highlight w:val="none"/>
        </w:rPr>
        <w:t>投标保证金：</w:t>
      </w:r>
      <w:r>
        <w:rPr>
          <w:rFonts w:hint="eastAsia" w:ascii="宋体" w:hAnsi="宋体"/>
          <w:iCs/>
          <w:color w:val="auto"/>
          <w:highlight w:val="none"/>
        </w:rPr>
        <w:t>采购项目预算的</w:t>
      </w:r>
      <w:r>
        <w:rPr>
          <w:rFonts w:ascii="宋体" w:hAnsi="宋体"/>
          <w:iCs/>
          <w:color w:val="auto"/>
          <w:highlight w:val="none"/>
          <w:u w:val="single"/>
        </w:rPr>
        <w:t xml:space="preserve"> </w:t>
      </w:r>
      <w:r>
        <w:rPr>
          <w:rFonts w:hint="eastAsia" w:ascii="宋体" w:hAnsi="宋体"/>
          <w:iCs/>
          <w:color w:val="auto"/>
          <w:highlight w:val="none"/>
          <w:u w:val="single"/>
        </w:rPr>
        <w:t xml:space="preserve">/  </w:t>
      </w:r>
      <w:r>
        <w:rPr>
          <w:rFonts w:hint="eastAsia" w:ascii="宋体" w:hAnsi="宋体"/>
          <w:iCs/>
          <w:color w:val="auto"/>
          <w:highlight w:val="none"/>
        </w:rPr>
        <w:t>%</w:t>
      </w:r>
      <w:r>
        <w:rPr>
          <w:rFonts w:hint="eastAsia" w:ascii="宋体" w:hAnsi="宋体"/>
          <w:color w:val="auto"/>
          <w:highlight w:val="none"/>
        </w:rPr>
        <w:t>；</w:t>
      </w:r>
    </w:p>
    <w:p w14:paraId="6B886F50">
      <w:pPr>
        <w:pStyle w:val="2"/>
        <w:spacing w:line="360" w:lineRule="auto"/>
        <w:rPr>
          <w:rFonts w:ascii="宋体" w:hAnsi="宋体"/>
          <w:iCs/>
          <w:color w:val="auto"/>
          <w:highlight w:val="none"/>
        </w:rPr>
      </w:pPr>
      <w:r>
        <w:rPr>
          <w:rFonts w:hint="eastAsia" w:ascii="宋体" w:hAnsi="宋体"/>
          <w:iCs/>
          <w:color w:val="auto"/>
          <w:highlight w:val="none"/>
        </w:rPr>
        <w:sym w:font="Wingdings" w:char="00A8"/>
      </w:r>
      <w:r>
        <w:rPr>
          <w:rFonts w:hint="eastAsia" w:ascii="宋体" w:hAnsi="宋体"/>
          <w:color w:val="auto"/>
          <w:highlight w:val="none"/>
        </w:rPr>
        <w:t>履约保证金：</w:t>
      </w:r>
      <w:r>
        <w:rPr>
          <w:rFonts w:hint="eastAsia" w:ascii="宋体" w:hAnsi="宋体"/>
          <w:iCs/>
          <w:color w:val="auto"/>
          <w:highlight w:val="none"/>
        </w:rPr>
        <w:t>中标金额的</w:t>
      </w:r>
      <w:r>
        <w:rPr>
          <w:rFonts w:hint="eastAsia" w:ascii="宋体" w:hAnsi="宋体"/>
          <w:iCs/>
          <w:color w:val="auto"/>
          <w:highlight w:val="none"/>
          <w:u w:val="single"/>
        </w:rPr>
        <w:t xml:space="preserve">  /  </w:t>
      </w:r>
      <w:r>
        <w:rPr>
          <w:rFonts w:hint="eastAsia" w:ascii="宋体" w:hAnsi="宋体"/>
          <w:iCs/>
          <w:color w:val="auto"/>
          <w:highlight w:val="none"/>
        </w:rPr>
        <w:t>%</w:t>
      </w:r>
      <w:r>
        <w:rPr>
          <w:rFonts w:hint="eastAsia" w:ascii="宋体" w:hAnsi="宋体"/>
          <w:color w:val="auto"/>
          <w:highlight w:val="none"/>
        </w:rPr>
        <w:t>；</w:t>
      </w:r>
    </w:p>
    <w:p w14:paraId="6B86D989">
      <w:pPr>
        <w:pStyle w:val="2"/>
        <w:spacing w:line="360" w:lineRule="auto"/>
        <w:rPr>
          <w:rFonts w:ascii="宋体" w:hAnsi="宋体"/>
          <w:iCs/>
          <w:color w:val="auto"/>
          <w:highlight w:val="none"/>
        </w:rPr>
      </w:pPr>
      <w:r>
        <w:rPr>
          <w:rFonts w:hint="eastAsia" w:ascii="宋体" w:hAnsi="宋体"/>
          <w:iCs/>
          <w:color w:val="auto"/>
          <w:highlight w:val="none"/>
        </w:rPr>
        <w:sym w:font="Wingdings" w:char="00A8"/>
      </w:r>
      <w:r>
        <w:rPr>
          <w:rFonts w:hint="eastAsia" w:ascii="宋体" w:hAnsi="宋体"/>
          <w:iCs/>
          <w:color w:val="auto"/>
          <w:highlight w:val="none"/>
        </w:rPr>
        <w:t>预付款保证金：预付款的</w:t>
      </w:r>
      <w:r>
        <w:rPr>
          <w:rFonts w:hint="eastAsia" w:ascii="宋体" w:hAnsi="宋体"/>
          <w:iCs/>
          <w:color w:val="auto"/>
          <w:highlight w:val="none"/>
          <w:u w:val="single"/>
        </w:rPr>
        <w:t xml:space="preserve">  /  </w:t>
      </w:r>
      <w:r>
        <w:rPr>
          <w:rFonts w:hint="eastAsia" w:ascii="宋体" w:hAnsi="宋体"/>
          <w:iCs/>
          <w:color w:val="auto"/>
          <w:highlight w:val="none"/>
        </w:rPr>
        <w:t>%；</w:t>
      </w:r>
    </w:p>
    <w:p w14:paraId="3471F061">
      <w:pPr>
        <w:pStyle w:val="2"/>
        <w:spacing w:line="360" w:lineRule="auto"/>
        <w:rPr>
          <w:rFonts w:ascii="宋体" w:hAnsi="宋体"/>
          <w:iCs/>
          <w:color w:val="auto"/>
          <w:highlight w:val="none"/>
        </w:rPr>
      </w:pPr>
      <w:r>
        <w:rPr>
          <w:rFonts w:hint="eastAsia" w:ascii="宋体" w:hAnsi="宋体"/>
          <w:iCs/>
          <w:color w:val="auto"/>
          <w:highlight w:val="none"/>
        </w:rPr>
        <w:sym w:font="Wingdings" w:char="00A8"/>
      </w:r>
      <w:r>
        <w:rPr>
          <w:rFonts w:hint="eastAsia" w:ascii="宋体" w:hAnsi="宋体"/>
          <w:iCs/>
          <w:color w:val="auto"/>
          <w:highlight w:val="none"/>
        </w:rPr>
        <w:t>质量保证金：合同金额的</w:t>
      </w:r>
      <w:r>
        <w:rPr>
          <w:rFonts w:hint="eastAsia" w:ascii="宋体" w:hAnsi="宋体"/>
          <w:iCs/>
          <w:color w:val="auto"/>
          <w:highlight w:val="none"/>
          <w:u w:val="single"/>
        </w:rPr>
        <w:t xml:space="preserve">  /</w:t>
      </w:r>
      <w:r>
        <w:rPr>
          <w:rFonts w:hint="eastAsia" w:ascii="宋体" w:hAnsi="宋体"/>
          <w:iCs/>
          <w:color w:val="auto"/>
          <w:highlight w:val="none"/>
          <w:u w:val="single"/>
          <w:lang w:val="en-US" w:eastAsia="zh-CN"/>
        </w:rPr>
        <w:t xml:space="preserve"> </w:t>
      </w:r>
      <w:r>
        <w:rPr>
          <w:rFonts w:hint="eastAsia" w:ascii="宋体" w:hAnsi="宋体"/>
          <w:iCs/>
          <w:color w:val="auto"/>
          <w:highlight w:val="none"/>
          <w:u w:val="single"/>
        </w:rPr>
        <w:t xml:space="preserve"> </w:t>
      </w:r>
      <w:r>
        <w:rPr>
          <w:rFonts w:hint="eastAsia" w:ascii="宋体" w:hAnsi="宋体"/>
          <w:iCs/>
          <w:color w:val="auto"/>
          <w:highlight w:val="none"/>
        </w:rPr>
        <w:t>%。</w:t>
      </w:r>
    </w:p>
    <w:p w14:paraId="5374D714">
      <w:pPr>
        <w:adjustRightInd w:val="0"/>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二、采购人的采购需求</w:t>
      </w:r>
    </w:p>
    <w:tbl>
      <w:tblPr>
        <w:tblStyle w:val="29"/>
        <w:tblW w:w="9461"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53"/>
        <w:gridCol w:w="1258"/>
        <w:gridCol w:w="1260"/>
        <w:gridCol w:w="1530"/>
        <w:gridCol w:w="930"/>
        <w:gridCol w:w="1245"/>
        <w:gridCol w:w="1320"/>
        <w:gridCol w:w="660"/>
        <w:gridCol w:w="705"/>
      </w:tblGrid>
      <w:tr w14:paraId="73E380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39" w:hRule="atLeast"/>
        </w:trPr>
        <w:tc>
          <w:tcPr>
            <w:tcW w:w="553" w:type="dxa"/>
            <w:vAlign w:val="center"/>
          </w:tcPr>
          <w:p w14:paraId="31148B18">
            <w:pPr>
              <w:adjustRightInd w:val="0"/>
              <w:snapToGrid w:val="0"/>
              <w:jc w:val="center"/>
              <w:rPr>
                <w:color w:val="auto"/>
                <w:szCs w:val="21"/>
                <w:highlight w:val="none"/>
              </w:rPr>
            </w:pPr>
            <w:r>
              <w:rPr>
                <w:rFonts w:hint="eastAsia"/>
                <w:color w:val="auto"/>
                <w:szCs w:val="21"/>
                <w:highlight w:val="none"/>
              </w:rPr>
              <w:t xml:space="preserve">包号 </w:t>
            </w:r>
          </w:p>
        </w:tc>
        <w:tc>
          <w:tcPr>
            <w:tcW w:w="1258" w:type="dxa"/>
            <w:vAlign w:val="center"/>
          </w:tcPr>
          <w:p w14:paraId="47DB27E9">
            <w:pPr>
              <w:adjustRightInd w:val="0"/>
              <w:snapToGrid w:val="0"/>
              <w:jc w:val="center"/>
              <w:rPr>
                <w:color w:val="auto"/>
                <w:szCs w:val="21"/>
                <w:highlight w:val="none"/>
              </w:rPr>
            </w:pPr>
            <w:r>
              <w:rPr>
                <w:rFonts w:hint="eastAsia"/>
                <w:color w:val="auto"/>
                <w:szCs w:val="21"/>
                <w:highlight w:val="none"/>
              </w:rPr>
              <w:t>包名称</w:t>
            </w:r>
          </w:p>
        </w:tc>
        <w:tc>
          <w:tcPr>
            <w:tcW w:w="1260" w:type="dxa"/>
            <w:vAlign w:val="center"/>
          </w:tcPr>
          <w:p w14:paraId="5D71E2C0">
            <w:pPr>
              <w:adjustRightInd w:val="0"/>
              <w:snapToGrid w:val="0"/>
              <w:jc w:val="center"/>
              <w:rPr>
                <w:color w:val="auto"/>
                <w:szCs w:val="21"/>
                <w:highlight w:val="none"/>
              </w:rPr>
            </w:pPr>
            <w:r>
              <w:rPr>
                <w:rFonts w:hint="eastAsia"/>
                <w:color w:val="auto"/>
                <w:szCs w:val="21"/>
                <w:highlight w:val="none"/>
              </w:rPr>
              <w:t>标的名称</w:t>
            </w:r>
          </w:p>
        </w:tc>
        <w:tc>
          <w:tcPr>
            <w:tcW w:w="1530" w:type="dxa"/>
            <w:tcBorders>
              <w:left w:val="single" w:color="auto" w:sz="4" w:space="0"/>
            </w:tcBorders>
            <w:vAlign w:val="center"/>
          </w:tcPr>
          <w:p w14:paraId="43A3F90B">
            <w:pPr>
              <w:adjustRightInd w:val="0"/>
              <w:snapToGrid w:val="0"/>
              <w:jc w:val="center"/>
              <w:rPr>
                <w:color w:val="auto"/>
                <w:szCs w:val="21"/>
                <w:highlight w:val="none"/>
              </w:rPr>
            </w:pPr>
            <w:r>
              <w:rPr>
                <w:rFonts w:hint="eastAsia"/>
                <w:color w:val="auto"/>
                <w:szCs w:val="21"/>
                <w:highlight w:val="none"/>
              </w:rPr>
              <w:t>简要技术要求</w:t>
            </w:r>
          </w:p>
        </w:tc>
        <w:tc>
          <w:tcPr>
            <w:tcW w:w="930" w:type="dxa"/>
            <w:tcBorders>
              <w:left w:val="single" w:color="auto" w:sz="4" w:space="0"/>
            </w:tcBorders>
            <w:vAlign w:val="center"/>
          </w:tcPr>
          <w:p w14:paraId="6708C818">
            <w:pPr>
              <w:adjustRightInd w:val="0"/>
              <w:snapToGrid w:val="0"/>
              <w:jc w:val="center"/>
              <w:rPr>
                <w:rFonts w:ascii="宋体" w:hAnsi="宋体" w:cs="宋体"/>
                <w:color w:val="auto"/>
                <w:kern w:val="0"/>
                <w:szCs w:val="21"/>
                <w:highlight w:val="none"/>
              </w:rPr>
            </w:pPr>
            <w:r>
              <w:rPr>
                <w:rFonts w:hint="eastAsia"/>
                <w:color w:val="auto"/>
                <w:szCs w:val="21"/>
                <w:highlight w:val="none"/>
              </w:rPr>
              <w:t>数量</w:t>
            </w:r>
          </w:p>
        </w:tc>
        <w:tc>
          <w:tcPr>
            <w:tcW w:w="1245" w:type="dxa"/>
            <w:vAlign w:val="center"/>
          </w:tcPr>
          <w:p w14:paraId="3B1CFA91">
            <w:pPr>
              <w:adjustRightInd w:val="0"/>
              <w:snapToGrid w:val="0"/>
              <w:jc w:val="center"/>
              <w:rPr>
                <w:color w:val="auto"/>
                <w:szCs w:val="21"/>
                <w:highlight w:val="none"/>
              </w:rPr>
            </w:pPr>
            <w:r>
              <w:rPr>
                <w:rFonts w:hint="eastAsia"/>
                <w:color w:val="auto"/>
                <w:szCs w:val="21"/>
                <w:highlight w:val="none"/>
              </w:rPr>
              <w:t>标的预算</w:t>
            </w:r>
          </w:p>
        </w:tc>
        <w:tc>
          <w:tcPr>
            <w:tcW w:w="1320" w:type="dxa"/>
            <w:vAlign w:val="center"/>
          </w:tcPr>
          <w:p w14:paraId="3A33C025">
            <w:pPr>
              <w:adjustRightInd w:val="0"/>
              <w:snapToGrid w:val="0"/>
              <w:jc w:val="center"/>
              <w:rPr>
                <w:color w:val="auto"/>
                <w:szCs w:val="21"/>
                <w:highlight w:val="none"/>
              </w:rPr>
            </w:pPr>
            <w:r>
              <w:rPr>
                <w:rFonts w:hint="eastAsia"/>
                <w:color w:val="auto"/>
                <w:szCs w:val="21"/>
                <w:highlight w:val="none"/>
              </w:rPr>
              <w:t>最高限价</w:t>
            </w:r>
          </w:p>
        </w:tc>
        <w:tc>
          <w:tcPr>
            <w:tcW w:w="660" w:type="dxa"/>
            <w:vAlign w:val="center"/>
          </w:tcPr>
          <w:p w14:paraId="6DF4BD79">
            <w:pPr>
              <w:adjustRightInd w:val="0"/>
              <w:snapToGrid w:val="0"/>
              <w:jc w:val="center"/>
              <w:rPr>
                <w:color w:val="auto"/>
                <w:szCs w:val="21"/>
                <w:highlight w:val="none"/>
              </w:rPr>
            </w:pPr>
            <w:r>
              <w:rPr>
                <w:rFonts w:hint="eastAsia"/>
                <w:color w:val="auto"/>
                <w:szCs w:val="21"/>
                <w:highlight w:val="none"/>
              </w:rPr>
              <w:t>节能产品</w:t>
            </w:r>
          </w:p>
        </w:tc>
        <w:tc>
          <w:tcPr>
            <w:tcW w:w="705" w:type="dxa"/>
            <w:vAlign w:val="center"/>
          </w:tcPr>
          <w:p w14:paraId="3894C72B">
            <w:pPr>
              <w:adjustRightInd w:val="0"/>
              <w:snapToGrid w:val="0"/>
              <w:jc w:val="center"/>
              <w:rPr>
                <w:color w:val="auto"/>
                <w:szCs w:val="21"/>
                <w:highlight w:val="none"/>
              </w:rPr>
            </w:pPr>
            <w:r>
              <w:rPr>
                <w:rFonts w:hint="eastAsia"/>
                <w:color w:val="auto"/>
                <w:szCs w:val="21"/>
                <w:highlight w:val="none"/>
              </w:rPr>
              <w:t>进口产品</w:t>
            </w:r>
          </w:p>
        </w:tc>
      </w:tr>
      <w:tr w14:paraId="28946B1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7" w:hRule="atLeast"/>
        </w:trPr>
        <w:tc>
          <w:tcPr>
            <w:tcW w:w="553" w:type="dxa"/>
            <w:vAlign w:val="center"/>
          </w:tcPr>
          <w:p w14:paraId="4DF1865E">
            <w:pPr>
              <w:adjustRightInd w:val="0"/>
              <w:snapToGrid w:val="0"/>
              <w:spacing w:before="156" w:beforeLines="50"/>
              <w:jc w:val="center"/>
              <w:rPr>
                <w:color w:val="auto"/>
                <w:szCs w:val="21"/>
                <w:highlight w:val="none"/>
              </w:rPr>
            </w:pPr>
            <w:r>
              <w:rPr>
                <w:rFonts w:hint="eastAsia"/>
                <w:color w:val="auto"/>
                <w:szCs w:val="21"/>
                <w:highlight w:val="none"/>
              </w:rPr>
              <w:t>1</w:t>
            </w:r>
          </w:p>
        </w:tc>
        <w:tc>
          <w:tcPr>
            <w:tcW w:w="1258" w:type="dxa"/>
          </w:tcPr>
          <w:p w14:paraId="21B61411">
            <w:pPr>
              <w:adjustRightInd w:val="0"/>
              <w:snapToGrid w:val="0"/>
              <w:spacing w:before="156" w:beforeLines="50"/>
              <w:jc w:val="center"/>
              <w:rPr>
                <w:rFonts w:hint="default" w:eastAsia="宋体"/>
                <w:color w:val="auto"/>
                <w:szCs w:val="21"/>
                <w:highlight w:val="none"/>
                <w:u w:val="none"/>
                <w:lang w:val="en-US" w:eastAsia="zh-CN"/>
              </w:rPr>
            </w:pPr>
            <w:r>
              <w:rPr>
                <w:rFonts w:hint="eastAsia" w:ascii="宋体" w:hAnsi="宋体"/>
                <w:color w:val="auto"/>
                <w:szCs w:val="21"/>
                <w:highlight w:val="none"/>
                <w:u w:val="none"/>
                <w:lang w:val="en-US" w:eastAsia="zh-CN"/>
              </w:rPr>
              <w:t>测序检测相关仪器设备</w:t>
            </w:r>
          </w:p>
        </w:tc>
        <w:tc>
          <w:tcPr>
            <w:tcW w:w="1260" w:type="dxa"/>
          </w:tcPr>
          <w:p w14:paraId="2CA0B879">
            <w:pPr>
              <w:adjustRightInd w:val="0"/>
              <w:snapToGrid w:val="0"/>
              <w:spacing w:before="156" w:beforeLines="50"/>
              <w:jc w:val="center"/>
              <w:rPr>
                <w:color w:val="auto"/>
                <w:szCs w:val="21"/>
                <w:highlight w:val="none"/>
              </w:rPr>
            </w:pPr>
            <w:r>
              <w:rPr>
                <w:rFonts w:hint="eastAsia"/>
                <w:color w:val="auto"/>
                <w:szCs w:val="21"/>
                <w:highlight w:val="none"/>
                <w:lang w:val="en-US" w:eastAsia="zh-CN"/>
              </w:rPr>
              <w:t>测序检测相关仪器设备</w:t>
            </w:r>
          </w:p>
        </w:tc>
        <w:tc>
          <w:tcPr>
            <w:tcW w:w="1530" w:type="dxa"/>
            <w:tcBorders>
              <w:left w:val="single" w:color="auto" w:sz="4" w:space="0"/>
            </w:tcBorders>
            <w:vAlign w:val="center"/>
          </w:tcPr>
          <w:p w14:paraId="118D026D">
            <w:pPr>
              <w:adjustRightInd w:val="0"/>
              <w:snapToGrid w:val="0"/>
              <w:spacing w:before="156" w:beforeLines="50"/>
              <w:jc w:val="center"/>
              <w:rPr>
                <w:color w:val="auto"/>
                <w:szCs w:val="21"/>
                <w:highlight w:val="none"/>
              </w:rPr>
            </w:pPr>
            <w:r>
              <w:rPr>
                <w:rFonts w:hint="eastAsia"/>
                <w:color w:val="auto"/>
                <w:szCs w:val="21"/>
                <w:highlight w:val="none"/>
              </w:rPr>
              <w:t>详见采购需求</w:t>
            </w:r>
          </w:p>
        </w:tc>
        <w:tc>
          <w:tcPr>
            <w:tcW w:w="930" w:type="dxa"/>
            <w:tcBorders>
              <w:left w:val="single" w:color="auto" w:sz="4" w:space="0"/>
            </w:tcBorders>
            <w:vAlign w:val="center"/>
          </w:tcPr>
          <w:p w14:paraId="2D2206BC">
            <w:pPr>
              <w:adjustRightInd w:val="0"/>
              <w:snapToGrid w:val="0"/>
              <w:spacing w:before="156" w:beforeLines="50"/>
              <w:jc w:val="center"/>
              <w:rPr>
                <w:rFonts w:hint="eastAsia" w:eastAsia="宋体"/>
                <w:color w:val="auto"/>
                <w:szCs w:val="21"/>
                <w:highlight w:val="none"/>
                <w:lang w:eastAsia="zh-CN"/>
              </w:rPr>
            </w:pPr>
            <w:r>
              <w:rPr>
                <w:rFonts w:hint="eastAsia"/>
                <w:color w:val="auto"/>
                <w:szCs w:val="21"/>
                <w:highlight w:val="none"/>
              </w:rPr>
              <w:t>1</w:t>
            </w:r>
            <w:r>
              <w:rPr>
                <w:rFonts w:hint="eastAsia"/>
                <w:color w:val="auto"/>
                <w:szCs w:val="21"/>
                <w:highlight w:val="none"/>
                <w:lang w:val="en-US" w:eastAsia="zh-CN"/>
              </w:rPr>
              <w:t>批</w:t>
            </w:r>
          </w:p>
        </w:tc>
        <w:tc>
          <w:tcPr>
            <w:tcW w:w="1245" w:type="dxa"/>
            <w:vAlign w:val="center"/>
          </w:tcPr>
          <w:p w14:paraId="135C278B">
            <w:pPr>
              <w:adjustRightInd w:val="0"/>
              <w:snapToGrid w:val="0"/>
              <w:spacing w:before="156" w:beforeLines="50"/>
              <w:jc w:val="center"/>
              <w:rPr>
                <w:color w:val="auto"/>
                <w:szCs w:val="21"/>
                <w:highlight w:val="none"/>
              </w:rPr>
            </w:pPr>
            <w:r>
              <w:rPr>
                <w:rFonts w:hint="eastAsia"/>
                <w:color w:val="auto"/>
                <w:szCs w:val="21"/>
                <w:highlight w:val="none"/>
                <w:lang w:val="en-US" w:eastAsia="zh-CN"/>
              </w:rPr>
              <w:t>2750000.00</w:t>
            </w:r>
          </w:p>
        </w:tc>
        <w:tc>
          <w:tcPr>
            <w:tcW w:w="1320" w:type="dxa"/>
            <w:vAlign w:val="center"/>
          </w:tcPr>
          <w:p w14:paraId="62A254C0">
            <w:pPr>
              <w:adjustRightInd w:val="0"/>
              <w:snapToGrid w:val="0"/>
              <w:spacing w:before="156" w:beforeLines="50"/>
              <w:jc w:val="center"/>
              <w:rPr>
                <w:color w:val="auto"/>
                <w:szCs w:val="21"/>
                <w:highlight w:val="none"/>
              </w:rPr>
            </w:pPr>
            <w:r>
              <w:rPr>
                <w:rFonts w:hint="eastAsia"/>
                <w:color w:val="auto"/>
                <w:szCs w:val="21"/>
                <w:highlight w:val="none"/>
                <w:lang w:val="en-US" w:eastAsia="zh-CN"/>
              </w:rPr>
              <w:t>2750000.00</w:t>
            </w:r>
          </w:p>
        </w:tc>
        <w:tc>
          <w:tcPr>
            <w:tcW w:w="660" w:type="dxa"/>
            <w:vAlign w:val="center"/>
          </w:tcPr>
          <w:p w14:paraId="124C0707">
            <w:pPr>
              <w:adjustRightInd w:val="0"/>
              <w:snapToGrid w:val="0"/>
              <w:spacing w:before="156" w:beforeLines="50"/>
              <w:jc w:val="center"/>
              <w:rPr>
                <w:color w:val="auto"/>
                <w:szCs w:val="21"/>
                <w:highlight w:val="none"/>
              </w:rPr>
            </w:pPr>
            <w:r>
              <w:rPr>
                <w:rFonts w:hint="eastAsia" w:ascii="宋体" w:hAnsi="宋体"/>
                <w:iCs/>
                <w:color w:val="auto"/>
                <w:highlight w:val="none"/>
              </w:rPr>
              <w:sym w:font="Wingdings" w:char="00A8"/>
            </w:r>
          </w:p>
        </w:tc>
        <w:tc>
          <w:tcPr>
            <w:tcW w:w="705" w:type="dxa"/>
            <w:vAlign w:val="center"/>
          </w:tcPr>
          <w:p w14:paraId="4210BE17">
            <w:pPr>
              <w:adjustRightInd w:val="0"/>
              <w:snapToGrid w:val="0"/>
              <w:spacing w:before="156" w:beforeLines="50"/>
              <w:jc w:val="center"/>
              <w:rPr>
                <w:color w:val="auto"/>
                <w:szCs w:val="21"/>
                <w:highlight w:val="none"/>
              </w:rPr>
            </w:pPr>
            <w:r>
              <w:rPr>
                <w:rFonts w:hint="eastAsia" w:ascii="宋体" w:hAnsi="宋体"/>
                <w:iCs/>
                <w:color w:val="auto"/>
                <w:szCs w:val="21"/>
                <w:highlight w:val="none"/>
              </w:rPr>
              <w:sym w:font="Wingdings" w:char="00A8"/>
            </w:r>
          </w:p>
        </w:tc>
      </w:tr>
      <w:tr w14:paraId="7A4B9F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7" w:hRule="atLeast"/>
        </w:trPr>
        <w:tc>
          <w:tcPr>
            <w:tcW w:w="553" w:type="dxa"/>
            <w:vAlign w:val="center"/>
          </w:tcPr>
          <w:p w14:paraId="37A24984">
            <w:pPr>
              <w:adjustRightInd w:val="0"/>
              <w:snapToGrid w:val="0"/>
              <w:spacing w:before="156" w:beforeLines="50"/>
              <w:jc w:val="center"/>
              <w:rPr>
                <w:color w:val="auto"/>
                <w:szCs w:val="21"/>
                <w:highlight w:val="none"/>
              </w:rPr>
            </w:pPr>
            <w:r>
              <w:rPr>
                <w:rFonts w:hint="eastAsia"/>
                <w:color w:val="auto"/>
                <w:szCs w:val="21"/>
                <w:highlight w:val="none"/>
              </w:rPr>
              <w:t>2</w:t>
            </w:r>
          </w:p>
        </w:tc>
        <w:tc>
          <w:tcPr>
            <w:tcW w:w="1258" w:type="dxa"/>
          </w:tcPr>
          <w:p w14:paraId="31760222">
            <w:pPr>
              <w:adjustRightInd w:val="0"/>
              <w:snapToGrid w:val="0"/>
              <w:spacing w:before="156" w:beforeLines="50"/>
              <w:jc w:val="center"/>
              <w:rPr>
                <w:rFonts w:hint="default" w:ascii="宋体" w:hAnsi="宋体"/>
                <w:color w:val="auto"/>
                <w:szCs w:val="21"/>
                <w:highlight w:val="none"/>
                <w:u w:val="none"/>
                <w:lang w:val="en-US" w:eastAsia="zh-CN"/>
              </w:rPr>
            </w:pPr>
            <w:r>
              <w:rPr>
                <w:rFonts w:hint="eastAsia" w:ascii="宋体" w:hAnsi="宋体"/>
                <w:color w:val="auto"/>
                <w:szCs w:val="21"/>
                <w:highlight w:val="none"/>
                <w:u w:val="none"/>
                <w:lang w:val="en-US" w:eastAsia="zh-CN"/>
              </w:rPr>
              <w:t>传染病检测相关仪器设备</w:t>
            </w:r>
          </w:p>
        </w:tc>
        <w:tc>
          <w:tcPr>
            <w:tcW w:w="1260" w:type="dxa"/>
          </w:tcPr>
          <w:p w14:paraId="12700193">
            <w:pPr>
              <w:adjustRightInd w:val="0"/>
              <w:snapToGrid w:val="0"/>
              <w:spacing w:before="156" w:beforeLines="50"/>
              <w:jc w:val="center"/>
              <w:rPr>
                <w:rFonts w:hint="eastAsia" w:eastAsia="宋体"/>
                <w:color w:val="auto"/>
                <w:szCs w:val="21"/>
                <w:highlight w:val="none"/>
                <w:lang w:eastAsia="zh-CN"/>
              </w:rPr>
            </w:pPr>
            <w:r>
              <w:rPr>
                <w:rFonts w:hint="eastAsia"/>
                <w:color w:val="auto"/>
                <w:szCs w:val="21"/>
                <w:highlight w:val="none"/>
                <w:lang w:val="en-US" w:eastAsia="zh-CN"/>
              </w:rPr>
              <w:t>传染病检测相关仪器设备</w:t>
            </w:r>
          </w:p>
        </w:tc>
        <w:tc>
          <w:tcPr>
            <w:tcW w:w="1530" w:type="dxa"/>
            <w:tcBorders>
              <w:left w:val="single" w:color="auto" w:sz="4" w:space="0"/>
            </w:tcBorders>
            <w:vAlign w:val="center"/>
          </w:tcPr>
          <w:p w14:paraId="197C9F34">
            <w:pPr>
              <w:adjustRightInd w:val="0"/>
              <w:snapToGrid w:val="0"/>
              <w:spacing w:before="156" w:beforeLines="50"/>
              <w:jc w:val="center"/>
              <w:rPr>
                <w:color w:val="auto"/>
                <w:szCs w:val="21"/>
                <w:highlight w:val="none"/>
              </w:rPr>
            </w:pPr>
            <w:r>
              <w:rPr>
                <w:rFonts w:hint="eastAsia"/>
                <w:color w:val="auto"/>
                <w:szCs w:val="21"/>
                <w:highlight w:val="none"/>
              </w:rPr>
              <w:t>详见采购需求</w:t>
            </w:r>
          </w:p>
        </w:tc>
        <w:tc>
          <w:tcPr>
            <w:tcW w:w="930" w:type="dxa"/>
            <w:tcBorders>
              <w:left w:val="single" w:color="auto" w:sz="4" w:space="0"/>
            </w:tcBorders>
            <w:vAlign w:val="center"/>
          </w:tcPr>
          <w:p w14:paraId="1456B46A">
            <w:pPr>
              <w:adjustRightInd w:val="0"/>
              <w:snapToGrid w:val="0"/>
              <w:spacing w:before="156" w:beforeLines="50"/>
              <w:jc w:val="center"/>
              <w:rPr>
                <w:color w:val="auto"/>
                <w:szCs w:val="21"/>
                <w:highlight w:val="none"/>
              </w:rPr>
            </w:pPr>
            <w:r>
              <w:rPr>
                <w:rFonts w:hint="eastAsia"/>
                <w:color w:val="auto"/>
                <w:szCs w:val="21"/>
                <w:highlight w:val="none"/>
              </w:rPr>
              <w:t>1</w:t>
            </w:r>
            <w:r>
              <w:rPr>
                <w:rFonts w:hint="eastAsia"/>
                <w:color w:val="auto"/>
                <w:szCs w:val="21"/>
                <w:highlight w:val="none"/>
                <w:lang w:val="en-US" w:eastAsia="zh-CN"/>
              </w:rPr>
              <w:t>批</w:t>
            </w:r>
          </w:p>
        </w:tc>
        <w:tc>
          <w:tcPr>
            <w:tcW w:w="1245" w:type="dxa"/>
            <w:vAlign w:val="center"/>
          </w:tcPr>
          <w:p w14:paraId="48E863D6">
            <w:pPr>
              <w:adjustRightInd w:val="0"/>
              <w:snapToGrid w:val="0"/>
              <w:spacing w:before="156" w:beforeLines="50"/>
              <w:jc w:val="center"/>
              <w:rPr>
                <w:rFonts w:hint="default" w:eastAsia="宋体"/>
                <w:color w:val="auto"/>
                <w:szCs w:val="21"/>
                <w:highlight w:val="none"/>
                <w:lang w:val="en-US" w:eastAsia="zh-CN"/>
              </w:rPr>
            </w:pPr>
            <w:r>
              <w:rPr>
                <w:rFonts w:hint="eastAsia"/>
                <w:color w:val="auto"/>
                <w:szCs w:val="21"/>
                <w:highlight w:val="none"/>
                <w:lang w:val="en-US" w:eastAsia="zh-CN"/>
              </w:rPr>
              <w:t>1550000.00</w:t>
            </w:r>
          </w:p>
        </w:tc>
        <w:tc>
          <w:tcPr>
            <w:tcW w:w="1320" w:type="dxa"/>
            <w:vAlign w:val="center"/>
          </w:tcPr>
          <w:p w14:paraId="14CCCC2F">
            <w:pPr>
              <w:adjustRightInd w:val="0"/>
              <w:snapToGrid w:val="0"/>
              <w:spacing w:before="156" w:beforeLines="50"/>
              <w:jc w:val="center"/>
              <w:rPr>
                <w:color w:val="auto"/>
                <w:szCs w:val="21"/>
                <w:highlight w:val="none"/>
              </w:rPr>
            </w:pPr>
            <w:r>
              <w:rPr>
                <w:rFonts w:hint="eastAsia"/>
                <w:color w:val="auto"/>
                <w:szCs w:val="21"/>
                <w:highlight w:val="none"/>
                <w:lang w:val="en-US" w:eastAsia="zh-CN"/>
              </w:rPr>
              <w:t>1550000.00</w:t>
            </w:r>
          </w:p>
        </w:tc>
        <w:tc>
          <w:tcPr>
            <w:tcW w:w="660" w:type="dxa"/>
            <w:vAlign w:val="center"/>
          </w:tcPr>
          <w:p w14:paraId="69255CC1">
            <w:pPr>
              <w:adjustRightInd w:val="0"/>
              <w:snapToGrid w:val="0"/>
              <w:spacing w:before="156" w:beforeLines="50"/>
              <w:jc w:val="center"/>
              <w:rPr>
                <w:color w:val="auto"/>
                <w:szCs w:val="21"/>
                <w:highlight w:val="none"/>
              </w:rPr>
            </w:pPr>
            <w:r>
              <w:rPr>
                <w:rFonts w:hint="eastAsia" w:ascii="宋体" w:hAnsi="宋体"/>
                <w:iCs/>
                <w:color w:val="auto"/>
                <w:highlight w:val="none"/>
              </w:rPr>
              <w:sym w:font="Wingdings" w:char="00A8"/>
            </w:r>
          </w:p>
        </w:tc>
        <w:tc>
          <w:tcPr>
            <w:tcW w:w="705" w:type="dxa"/>
            <w:vAlign w:val="center"/>
          </w:tcPr>
          <w:p w14:paraId="36119C97">
            <w:pPr>
              <w:adjustRightInd w:val="0"/>
              <w:snapToGrid w:val="0"/>
              <w:spacing w:before="156" w:beforeLines="50"/>
              <w:jc w:val="center"/>
              <w:rPr>
                <w:color w:val="auto"/>
                <w:szCs w:val="21"/>
                <w:highlight w:val="none"/>
              </w:rPr>
            </w:pPr>
            <w:r>
              <w:rPr>
                <w:rFonts w:hint="eastAsia" w:ascii="宋体" w:hAnsi="宋体"/>
                <w:iCs/>
                <w:color w:val="auto"/>
                <w:szCs w:val="21"/>
                <w:highlight w:val="none"/>
              </w:rPr>
              <w:sym w:font="Wingdings" w:char="00A8"/>
            </w:r>
          </w:p>
        </w:tc>
      </w:tr>
    </w:tbl>
    <w:p w14:paraId="44DBA42C">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说明：</w:t>
      </w:r>
    </w:p>
    <w:p w14:paraId="5B94A193">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1.节能产品实行</w:t>
      </w:r>
      <w:r>
        <w:rPr>
          <w:rFonts w:hint="eastAsia" w:ascii="宋体" w:hAnsi="宋体"/>
          <w:iCs/>
          <w:color w:val="auto"/>
          <w:szCs w:val="21"/>
          <w:highlight w:val="none"/>
        </w:rPr>
        <w:t>强制采购的</w:t>
      </w:r>
      <w:r>
        <w:rPr>
          <w:rFonts w:hint="eastAsia" w:ascii="宋体" w:hAnsi="宋体"/>
          <w:color w:val="auto"/>
          <w:szCs w:val="21"/>
          <w:highlight w:val="none"/>
        </w:rPr>
        <w:t>，需提供国家认证机构出具的、处于有效期内的节能产品证书。</w:t>
      </w:r>
    </w:p>
    <w:p w14:paraId="0357D969">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2.同意购买进口产品的，不限制满足采购需求的国内产品参与投标。</w:t>
      </w:r>
    </w:p>
    <w:p w14:paraId="4198B7C3">
      <w:pPr>
        <w:adjustRightInd w:val="0"/>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三、采购项目需落实的政府采购政策</w:t>
      </w:r>
      <w:r>
        <w:rPr>
          <w:rFonts w:hint="eastAsia" w:ascii="宋体" w:hAnsi="宋体"/>
          <w:color w:val="auto"/>
          <w:szCs w:val="21"/>
          <w:highlight w:val="none"/>
        </w:rPr>
        <w:t>：</w:t>
      </w:r>
    </w:p>
    <w:p w14:paraId="06C4857D">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1、优先采购：节能产品、环境标志产品、两型产品享受加分或价格折扣。</w:t>
      </w:r>
    </w:p>
    <w:p w14:paraId="42DBE38A">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2、支持中小企业：中小企业享受预留采购份额或价格折扣。</w:t>
      </w:r>
    </w:p>
    <w:p w14:paraId="1ADED6E3">
      <w:pPr>
        <w:adjustRightInd w:val="0"/>
        <w:snapToGrid w:val="0"/>
        <w:spacing w:line="360" w:lineRule="auto"/>
        <w:ind w:firstLine="422" w:firstLineChars="200"/>
        <w:rPr>
          <w:rFonts w:ascii="宋体" w:hAnsi="宋体"/>
          <w:color w:val="auto"/>
          <w:szCs w:val="21"/>
          <w:highlight w:val="none"/>
        </w:rPr>
      </w:pPr>
      <w:r>
        <w:rPr>
          <w:rFonts w:hint="eastAsia" w:ascii="宋体" w:hAnsi="宋体"/>
          <w:b/>
          <w:color w:val="auto"/>
          <w:szCs w:val="21"/>
          <w:highlight w:val="none"/>
        </w:rPr>
        <w:t>四、投标人的资格要求</w:t>
      </w:r>
      <w:r>
        <w:rPr>
          <w:rFonts w:hint="eastAsia" w:ascii="宋体" w:hAnsi="宋体"/>
          <w:color w:val="auto"/>
          <w:szCs w:val="21"/>
          <w:highlight w:val="none"/>
        </w:rPr>
        <w:t>：</w:t>
      </w:r>
    </w:p>
    <w:p w14:paraId="50059D20">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1、投标人的基本资格条件：投标人必须是在中华人民共和国境内注册登记的法人、其他组织或者自然人，且应当符合《政府采购法》第二十二条第一款的规定。</w:t>
      </w:r>
    </w:p>
    <w:p w14:paraId="02A21952">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2、落实政府采购政策需满足的资格要求：</w:t>
      </w:r>
    </w:p>
    <w:p w14:paraId="2F3665B5">
      <w:pPr>
        <w:adjustRightInd w:val="0"/>
        <w:snapToGrid w:val="0"/>
        <w:spacing w:line="360" w:lineRule="auto"/>
        <w:ind w:firstLine="630" w:firstLineChars="300"/>
        <w:rPr>
          <w:rFonts w:ascii="宋体" w:hAnsi="宋体"/>
          <w:color w:val="auto"/>
          <w:szCs w:val="21"/>
          <w:highlight w:val="none"/>
        </w:rPr>
      </w:pPr>
      <w:r>
        <w:rPr>
          <w:rFonts w:hint="eastAsia" w:ascii="宋体" w:hAnsi="宋体"/>
          <w:iCs/>
          <w:color w:val="auto"/>
          <w:szCs w:val="21"/>
          <w:highlight w:val="none"/>
        </w:rPr>
        <w:sym w:font="Wingdings" w:char="00A8"/>
      </w:r>
      <w:r>
        <w:rPr>
          <w:rFonts w:hint="eastAsia" w:ascii="宋体" w:hAnsi="宋体"/>
          <w:iCs/>
          <w:color w:val="auto"/>
          <w:szCs w:val="21"/>
          <w:highlight w:val="none"/>
        </w:rPr>
        <w:t>专门面向</w:t>
      </w:r>
      <w:r>
        <w:rPr>
          <w:rFonts w:hint="eastAsia" w:ascii="宋体" w:hAnsi="宋体"/>
          <w:bCs/>
          <w:color w:val="auto"/>
          <w:szCs w:val="21"/>
          <w:highlight w:val="none"/>
        </w:rPr>
        <w:t>：</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中小企业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小微企业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监狱企业 </w:t>
      </w:r>
      <w:r>
        <w:rPr>
          <w:rFonts w:hint="eastAsia" w:ascii="宋体" w:hAnsi="宋体"/>
          <w:iCs/>
          <w:color w:val="auto"/>
          <w:szCs w:val="21"/>
          <w:highlight w:val="none"/>
        </w:rPr>
        <w:sym w:font="Wingdings" w:char="00A8"/>
      </w:r>
      <w:r>
        <w:rPr>
          <w:rFonts w:hint="eastAsia" w:ascii="宋体" w:hAnsi="宋体"/>
          <w:iCs/>
          <w:color w:val="auto"/>
          <w:szCs w:val="21"/>
          <w:highlight w:val="none"/>
        </w:rPr>
        <w:t>福利性单位。</w:t>
      </w:r>
    </w:p>
    <w:p w14:paraId="557288BA">
      <w:pPr>
        <w:adjustRightInd w:val="0"/>
        <w:snapToGrid w:val="0"/>
        <w:spacing w:line="360" w:lineRule="auto"/>
        <w:ind w:firstLine="630" w:firstLineChars="300"/>
        <w:rPr>
          <w:rFonts w:ascii="宋体" w:hAnsi="宋体"/>
          <w:bCs/>
          <w:color w:val="auto"/>
          <w:szCs w:val="21"/>
          <w:highlight w:val="none"/>
        </w:rPr>
      </w:pPr>
      <w:r>
        <w:rPr>
          <w:rFonts w:hint="eastAsia" w:ascii="宋体" w:hAnsi="宋体"/>
          <w:iCs/>
          <w:color w:val="auto"/>
          <w:szCs w:val="21"/>
          <w:highlight w:val="none"/>
        </w:rPr>
        <w:sym w:font="Wingdings" w:char="00A8"/>
      </w:r>
      <w:r>
        <w:rPr>
          <w:rFonts w:hint="eastAsia" w:ascii="宋体" w:hAnsi="宋体"/>
          <w:iCs/>
          <w:color w:val="auto"/>
          <w:szCs w:val="21"/>
          <w:highlight w:val="none"/>
        </w:rPr>
        <w:t>强制</w:t>
      </w:r>
      <w:r>
        <w:rPr>
          <w:rFonts w:hint="eastAsia" w:ascii="宋体" w:hAnsi="宋体"/>
          <w:bCs/>
          <w:color w:val="auto"/>
          <w:szCs w:val="21"/>
          <w:highlight w:val="none"/>
        </w:rPr>
        <w:t>分包：大型企业应将采购份额的</w:t>
      </w:r>
      <w:r>
        <w:rPr>
          <w:rFonts w:hint="eastAsia" w:ascii="宋体" w:hAnsi="宋体"/>
          <w:bCs/>
          <w:color w:val="auto"/>
          <w:szCs w:val="21"/>
          <w:highlight w:val="none"/>
          <w:u w:val="single"/>
        </w:rPr>
        <w:t xml:space="preserve">     /    </w:t>
      </w:r>
      <w:r>
        <w:rPr>
          <w:rFonts w:hint="eastAsia" w:ascii="宋体" w:hAnsi="宋体"/>
          <w:bCs/>
          <w:color w:val="auto"/>
          <w:szCs w:val="21"/>
          <w:highlight w:val="none"/>
        </w:rPr>
        <w:t>%分包给中小企业。</w:t>
      </w:r>
    </w:p>
    <w:p w14:paraId="3FA3E4E2">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3、采购项目的特定资格条件：</w:t>
      </w:r>
    </w:p>
    <w:p w14:paraId="237776CF">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包1：</w:t>
      </w:r>
      <w:r>
        <w:rPr>
          <w:rFonts w:hint="eastAsia" w:ascii="宋体" w:hAnsi="宋体" w:eastAsia="宋体" w:cs="宋体"/>
          <w:i w:val="0"/>
          <w:iCs w:val="0"/>
          <w:caps w:val="0"/>
          <w:color w:val="auto"/>
          <w:spacing w:val="0"/>
          <w:kern w:val="0"/>
          <w:sz w:val="21"/>
          <w:szCs w:val="21"/>
          <w:highlight w:val="none"/>
          <w:lang w:val="en-US" w:eastAsia="zh-CN" w:bidi="ar"/>
        </w:rPr>
        <w:t>具备食品药品监督管理部门颁发的医疗器械经营备案凭证（医疗器械经营许可证）</w:t>
      </w:r>
    </w:p>
    <w:p w14:paraId="256B34E7">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包</w:t>
      </w:r>
      <w:r>
        <w:rPr>
          <w:rFonts w:ascii="宋体" w:hAnsi="宋体"/>
          <w:color w:val="auto"/>
          <w:szCs w:val="21"/>
          <w:highlight w:val="none"/>
        </w:rPr>
        <w:t>2</w:t>
      </w:r>
      <w:r>
        <w:rPr>
          <w:rFonts w:hint="eastAsia" w:ascii="宋体" w:hAnsi="宋体"/>
          <w:color w:val="auto"/>
          <w:szCs w:val="21"/>
          <w:highlight w:val="none"/>
        </w:rPr>
        <w:t>：</w:t>
      </w:r>
      <w:r>
        <w:rPr>
          <w:rFonts w:hint="eastAsia" w:ascii="宋体" w:hAnsi="宋体" w:eastAsia="宋体" w:cs="宋体"/>
          <w:i w:val="0"/>
          <w:iCs w:val="0"/>
          <w:caps w:val="0"/>
          <w:color w:val="auto"/>
          <w:spacing w:val="0"/>
          <w:kern w:val="0"/>
          <w:sz w:val="21"/>
          <w:szCs w:val="21"/>
          <w:highlight w:val="none"/>
          <w:lang w:val="en-US" w:eastAsia="zh-CN" w:bidi="ar"/>
        </w:rPr>
        <w:t>具备食品药品监督管理部门颁发的医疗器械经营备案凭证（医疗器械经营许可证）</w:t>
      </w:r>
    </w:p>
    <w:p w14:paraId="4D21DBEE">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4、单位负责人为同一人或者存在直接控股、管理关系的不同投标人，不得参加同一合同项下的政府采购活动。</w:t>
      </w:r>
    </w:p>
    <w:p w14:paraId="23EF355F">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5、为本采购项目提供整体设计、规范编制或者项目管理、监理、检测等服务的，不得再参加此项目的其他采购活动。</w:t>
      </w:r>
    </w:p>
    <w:p w14:paraId="1AEEFABC">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6、列入失信被执行人、重大税收违法失信主体名单、政府采购严重违法失信行为记录名单的，拒绝其参与政府采购活动。</w:t>
      </w:r>
    </w:p>
    <w:p w14:paraId="561E33DC">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7、联合体投标。本次招标</w:t>
      </w:r>
      <w:r>
        <w:rPr>
          <w:rFonts w:hint="eastAsia" w:ascii="宋体" w:hAnsi="宋体"/>
          <w:color w:val="auto"/>
          <w:szCs w:val="21"/>
          <w:highlight w:val="none"/>
          <w:u w:val="single"/>
        </w:rPr>
        <w:t xml:space="preserve"> 不接受 </w:t>
      </w:r>
      <w:r>
        <w:rPr>
          <w:rFonts w:hint="eastAsia" w:ascii="宋体" w:hAnsi="宋体"/>
          <w:color w:val="auto"/>
          <w:szCs w:val="21"/>
          <w:highlight w:val="none"/>
        </w:rPr>
        <w:t>联合体投标。接受联合体投标的，联合体应当具备下列条件：</w:t>
      </w:r>
      <w:r>
        <w:rPr>
          <w:rFonts w:hint="eastAsia" w:ascii="宋体" w:hAnsi="宋体"/>
          <w:color w:val="auto"/>
          <w:szCs w:val="21"/>
          <w:highlight w:val="none"/>
          <w:u w:val="single"/>
        </w:rPr>
        <w:t xml:space="preserve">       /          </w:t>
      </w:r>
      <w:r>
        <w:rPr>
          <w:rFonts w:hint="eastAsia" w:ascii="宋体" w:hAnsi="宋体"/>
          <w:color w:val="auto"/>
          <w:szCs w:val="21"/>
          <w:highlight w:val="none"/>
        </w:rPr>
        <w:t>。</w:t>
      </w:r>
    </w:p>
    <w:p w14:paraId="15897EF6">
      <w:pPr>
        <w:adjustRightInd w:val="0"/>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五、获取招标文件的时间、期限、地点及方式</w:t>
      </w:r>
    </w:p>
    <w:p w14:paraId="11F82D99">
      <w:pPr>
        <w:keepNext w:val="0"/>
        <w:keepLines w:val="0"/>
        <w:pageBreakBefore w:val="0"/>
        <w:widowControl w:val="0"/>
        <w:tabs>
          <w:tab w:val="left" w:pos="4700"/>
          <w:tab w:val="left" w:pos="6000"/>
          <w:tab w:val="left" w:pos="7160"/>
          <w:tab w:val="left" w:pos="8520"/>
        </w:tabs>
        <w:kinsoku/>
        <w:wordWrap w:val="0"/>
        <w:overflowPunct/>
        <w:topLinePunct w:val="0"/>
        <w:autoSpaceDE w:val="0"/>
        <w:autoSpaceDN w:val="0"/>
        <w:bidi w:val="0"/>
        <w:adjustRightInd w:val="0"/>
        <w:snapToGrid w:val="0"/>
        <w:spacing w:line="360" w:lineRule="auto"/>
        <w:ind w:right="-23" w:firstLine="420" w:firstLineChars="200"/>
        <w:jc w:val="left"/>
        <w:textAlignment w:val="auto"/>
        <w:rPr>
          <w:rFonts w:hint="eastAsia" w:ascii="宋体" w:hAnsi="宋体" w:eastAsia="宋体" w:cs="宋体"/>
          <w:color w:val="auto"/>
          <w:spacing w:val="-14"/>
          <w:kern w:val="0"/>
          <w:szCs w:val="21"/>
          <w:highlight w:val="none"/>
        </w:rPr>
      </w:pPr>
      <w:r>
        <w:rPr>
          <w:rFonts w:hint="eastAsia" w:ascii="宋体" w:hAnsi="宋体" w:eastAsia="宋体" w:cs="宋体"/>
          <w:color w:val="auto"/>
          <w:kern w:val="0"/>
          <w:szCs w:val="21"/>
          <w:highlight w:val="none"/>
        </w:rPr>
        <w:t>有</w:t>
      </w:r>
      <w:r>
        <w:rPr>
          <w:rFonts w:hint="eastAsia" w:ascii="宋体" w:hAnsi="宋体" w:eastAsia="宋体" w:cs="宋体"/>
          <w:color w:val="auto"/>
          <w:spacing w:val="-2"/>
          <w:kern w:val="0"/>
          <w:szCs w:val="21"/>
          <w:highlight w:val="none"/>
        </w:rPr>
        <w:t>意</w:t>
      </w:r>
      <w:r>
        <w:rPr>
          <w:rFonts w:hint="eastAsia" w:ascii="宋体" w:hAnsi="宋体" w:eastAsia="宋体" w:cs="宋体"/>
          <w:color w:val="auto"/>
          <w:kern w:val="0"/>
          <w:szCs w:val="21"/>
          <w:highlight w:val="none"/>
        </w:rPr>
        <w:t>参</w:t>
      </w:r>
      <w:r>
        <w:rPr>
          <w:rFonts w:hint="eastAsia" w:ascii="宋体" w:hAnsi="宋体" w:eastAsia="宋体" w:cs="宋体"/>
          <w:color w:val="auto"/>
          <w:spacing w:val="-2"/>
          <w:kern w:val="0"/>
          <w:szCs w:val="21"/>
          <w:highlight w:val="none"/>
        </w:rPr>
        <w:t>加</w:t>
      </w:r>
      <w:r>
        <w:rPr>
          <w:rFonts w:hint="eastAsia" w:ascii="宋体" w:hAnsi="宋体" w:eastAsia="宋体" w:cs="宋体"/>
          <w:color w:val="auto"/>
          <w:kern w:val="0"/>
          <w:szCs w:val="21"/>
          <w:highlight w:val="none"/>
        </w:rPr>
        <w:t>投</w:t>
      </w:r>
      <w:r>
        <w:rPr>
          <w:rFonts w:hint="eastAsia" w:ascii="宋体" w:hAnsi="宋体" w:eastAsia="宋体" w:cs="宋体"/>
          <w:color w:val="auto"/>
          <w:spacing w:val="-2"/>
          <w:kern w:val="0"/>
          <w:szCs w:val="21"/>
          <w:highlight w:val="none"/>
        </w:rPr>
        <w:t>标</w:t>
      </w:r>
      <w:r>
        <w:rPr>
          <w:rFonts w:hint="eastAsia" w:ascii="宋体" w:hAnsi="宋体" w:eastAsia="宋体" w:cs="宋体"/>
          <w:color w:val="auto"/>
          <w:kern w:val="0"/>
          <w:szCs w:val="21"/>
          <w:highlight w:val="none"/>
        </w:rPr>
        <w:t>者，于</w:t>
      </w:r>
      <w:r>
        <w:rPr>
          <w:rFonts w:hint="eastAsia" w:ascii="宋体" w:hAnsi="宋体" w:eastAsia="宋体" w:cs="宋体"/>
          <w:color w:val="auto"/>
          <w:kern w:val="0"/>
          <w:szCs w:val="21"/>
          <w:highlight w:val="none"/>
          <w:u w:val="single"/>
          <w:lang w:val="en-US" w:eastAsia="zh-CN"/>
        </w:rPr>
        <w:t>202</w:t>
      </w:r>
      <w:r>
        <w:rPr>
          <w:rFonts w:hint="eastAsia" w:ascii="宋体" w:hAnsi="宋体" w:cs="宋体"/>
          <w:color w:val="auto"/>
          <w:kern w:val="0"/>
          <w:szCs w:val="21"/>
          <w:highlight w:val="none"/>
          <w:u w:val="single"/>
          <w:lang w:val="en-US" w:eastAsia="zh-CN"/>
        </w:rPr>
        <w:t>6</w:t>
      </w:r>
      <w:r>
        <w:rPr>
          <w:rFonts w:hint="eastAsia" w:ascii="宋体" w:hAnsi="宋体" w:eastAsia="宋体" w:cs="宋体"/>
          <w:color w:val="auto"/>
          <w:kern w:val="0"/>
          <w:szCs w:val="21"/>
          <w:highlight w:val="none"/>
        </w:rPr>
        <w:t>年</w:t>
      </w:r>
      <w:r>
        <w:rPr>
          <w:rFonts w:hint="eastAsia" w:ascii="宋体" w:hAnsi="宋体" w:cs="宋体"/>
          <w:color w:val="auto"/>
          <w:kern w:val="0"/>
          <w:szCs w:val="21"/>
          <w:highlight w:val="none"/>
          <w:u w:val="single"/>
          <w:lang w:val="en-US" w:eastAsia="zh-CN"/>
        </w:rPr>
        <w:t xml:space="preserve"> 8 </w:t>
      </w:r>
      <w:r>
        <w:rPr>
          <w:rFonts w:hint="eastAsia" w:ascii="宋体" w:hAnsi="宋体" w:eastAsia="宋体" w:cs="宋体"/>
          <w:color w:val="auto"/>
          <w:spacing w:val="-2"/>
          <w:kern w:val="0"/>
          <w:szCs w:val="21"/>
          <w:highlight w:val="none"/>
        </w:rPr>
        <w:t>月</w:t>
      </w:r>
      <w:r>
        <w:rPr>
          <w:rFonts w:hint="eastAsia" w:ascii="宋体" w:hAnsi="宋体" w:cs="宋体"/>
          <w:color w:val="auto"/>
          <w:spacing w:val="43"/>
          <w:kern w:val="0"/>
          <w:szCs w:val="21"/>
          <w:highlight w:val="none"/>
          <w:u w:val="single"/>
          <w:lang w:val="en-US" w:eastAsia="zh-CN"/>
        </w:rPr>
        <w:t>20</w:t>
      </w:r>
      <w:r>
        <w:rPr>
          <w:rFonts w:hint="eastAsia" w:ascii="宋体" w:hAnsi="宋体" w:eastAsia="宋体" w:cs="宋体"/>
          <w:color w:val="auto"/>
          <w:spacing w:val="-2"/>
          <w:kern w:val="0"/>
          <w:szCs w:val="21"/>
          <w:highlight w:val="none"/>
        </w:rPr>
        <w:t>日</w:t>
      </w:r>
      <w:r>
        <w:rPr>
          <w:rFonts w:hint="eastAsia" w:ascii="宋体" w:hAnsi="宋体" w:eastAsia="宋体" w:cs="宋体"/>
          <w:color w:val="auto"/>
          <w:kern w:val="0"/>
          <w:szCs w:val="21"/>
          <w:highlight w:val="none"/>
        </w:rPr>
        <w:t>至</w:t>
      </w:r>
      <w:r>
        <w:rPr>
          <w:rFonts w:hint="eastAsia" w:ascii="宋体" w:hAnsi="宋体" w:eastAsia="宋体" w:cs="宋体"/>
          <w:color w:val="auto"/>
          <w:kern w:val="0"/>
          <w:szCs w:val="21"/>
          <w:highlight w:val="none"/>
          <w:u w:val="single"/>
          <w:lang w:val="en-US" w:eastAsia="zh-CN"/>
        </w:rPr>
        <w:t>202</w:t>
      </w:r>
      <w:r>
        <w:rPr>
          <w:rFonts w:hint="eastAsia" w:ascii="宋体" w:hAnsi="宋体" w:cs="宋体"/>
          <w:color w:val="auto"/>
          <w:kern w:val="0"/>
          <w:szCs w:val="21"/>
          <w:highlight w:val="none"/>
          <w:u w:val="single"/>
          <w:lang w:val="en-US" w:eastAsia="zh-CN"/>
        </w:rPr>
        <w:t>6</w:t>
      </w:r>
      <w:r>
        <w:rPr>
          <w:rFonts w:hint="eastAsia" w:ascii="宋体" w:hAnsi="宋体" w:eastAsia="宋体" w:cs="宋体"/>
          <w:color w:val="auto"/>
          <w:kern w:val="0"/>
          <w:szCs w:val="21"/>
          <w:highlight w:val="none"/>
        </w:rPr>
        <w:t>年</w:t>
      </w:r>
      <w:r>
        <w:rPr>
          <w:rFonts w:hint="eastAsia" w:ascii="宋体" w:hAnsi="宋体" w:cs="宋体"/>
          <w:color w:val="auto"/>
          <w:kern w:val="0"/>
          <w:szCs w:val="21"/>
          <w:highlight w:val="none"/>
          <w:u w:val="single"/>
          <w:lang w:val="en-US" w:eastAsia="zh-CN"/>
        </w:rPr>
        <w:t xml:space="preserve">  8 </w:t>
      </w:r>
      <w:r>
        <w:rPr>
          <w:rFonts w:hint="eastAsia" w:ascii="宋体" w:hAnsi="宋体" w:eastAsia="宋体" w:cs="宋体"/>
          <w:color w:val="auto"/>
          <w:kern w:val="0"/>
          <w:szCs w:val="21"/>
          <w:highlight w:val="none"/>
        </w:rPr>
        <w:t>月</w:t>
      </w:r>
      <w:r>
        <w:rPr>
          <w:rFonts w:hint="eastAsia" w:ascii="宋体" w:hAnsi="宋体" w:cs="宋体"/>
          <w:color w:val="auto"/>
          <w:kern w:val="0"/>
          <w:szCs w:val="21"/>
          <w:highlight w:val="none"/>
          <w:u w:val="single"/>
          <w:lang w:val="en-US" w:eastAsia="zh-CN"/>
        </w:rPr>
        <w:t xml:space="preserve">  27 </w:t>
      </w:r>
      <w:r>
        <w:rPr>
          <w:rFonts w:hint="eastAsia" w:ascii="宋体" w:hAnsi="宋体" w:eastAsia="宋体" w:cs="宋体"/>
          <w:color w:val="auto"/>
          <w:spacing w:val="-2"/>
          <w:kern w:val="0"/>
          <w:szCs w:val="21"/>
          <w:highlight w:val="none"/>
        </w:rPr>
        <w:t>日</w:t>
      </w:r>
      <w:r>
        <w:rPr>
          <w:rFonts w:hint="eastAsia" w:ascii="宋体" w:hAnsi="宋体" w:eastAsia="宋体" w:cs="宋体"/>
          <w:color w:val="auto"/>
          <w:spacing w:val="-38"/>
          <w:kern w:val="0"/>
          <w:szCs w:val="21"/>
          <w:highlight w:val="none"/>
        </w:rPr>
        <w:t>，</w:t>
      </w:r>
      <w:r>
        <w:rPr>
          <w:rFonts w:hint="eastAsia" w:ascii="宋体" w:hAnsi="宋体" w:eastAsia="宋体" w:cs="宋体"/>
          <w:color w:val="auto"/>
          <w:kern w:val="0"/>
          <w:szCs w:val="21"/>
          <w:highlight w:val="none"/>
          <w:lang w:eastAsia="zh-CN"/>
        </w:rPr>
        <w:t>全天</w:t>
      </w:r>
      <w:r>
        <w:rPr>
          <w:rFonts w:hint="eastAsia" w:ascii="宋体" w:hAnsi="宋体" w:eastAsia="宋体" w:cs="宋体"/>
          <w:color w:val="auto"/>
          <w:kern w:val="0"/>
          <w:szCs w:val="21"/>
          <w:highlight w:val="none"/>
        </w:rPr>
        <w:t xml:space="preserve">在 </w:t>
      </w:r>
      <w:r>
        <w:rPr>
          <w:rFonts w:hint="eastAsia" w:ascii="宋体" w:hAnsi="宋体" w:eastAsia="宋体" w:cs="宋体"/>
          <w:color w:val="auto"/>
          <w:kern w:val="0"/>
          <w:szCs w:val="21"/>
          <w:highlight w:val="none"/>
          <w:u w:val="single"/>
        </w:rPr>
        <w:t xml:space="preserve"> </w:t>
      </w:r>
      <w:r>
        <w:rPr>
          <w:rFonts w:hint="eastAsia" w:ascii="宋体" w:hAnsi="宋体" w:cs="微软雅黑"/>
          <w:color w:val="auto"/>
          <w:kern w:val="0"/>
          <w:szCs w:val="21"/>
          <w:highlight w:val="none"/>
          <w:u w:val="single"/>
          <w:lang w:val="en-US" w:eastAsia="zh-CN"/>
        </w:rPr>
        <w:t>湖南省公共资源交易服务平台株洲分平台（https://zhuzhou.hnsggzy.com）</w:t>
      </w:r>
      <w:r>
        <w:rPr>
          <w:rFonts w:hint="eastAsia" w:ascii="宋体" w:hAnsi="宋体" w:eastAsia="宋体" w:cs="宋体"/>
          <w:color w:val="auto"/>
          <w:kern w:val="0"/>
          <w:szCs w:val="21"/>
          <w:highlight w:val="none"/>
          <w:u w:val="single"/>
        </w:rPr>
        <w:t>点击“我要投标”</w:t>
      </w:r>
      <w:r>
        <w:rPr>
          <w:rFonts w:hint="eastAsia" w:ascii="宋体" w:hAnsi="宋体" w:eastAsia="宋体" w:cs="宋体"/>
          <w:color w:val="auto"/>
          <w:kern w:val="0"/>
          <w:szCs w:val="21"/>
          <w:highlight w:val="none"/>
          <w:u w:val="single"/>
          <w:lang w:eastAsia="zh-CN"/>
        </w:rPr>
        <w:t>，</w:t>
      </w:r>
      <w:r>
        <w:rPr>
          <w:rFonts w:hint="eastAsia" w:ascii="宋体" w:hAnsi="宋体" w:eastAsia="宋体" w:cs="宋体"/>
          <w:color w:val="auto"/>
          <w:kern w:val="0"/>
          <w:szCs w:val="21"/>
          <w:highlight w:val="none"/>
          <w:u w:val="single"/>
          <w:lang w:val="en-US" w:eastAsia="zh-CN"/>
        </w:rPr>
        <w:t>并在“采购公告及文件下载”菜单中下载</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spacing w:val="-2"/>
          <w:kern w:val="0"/>
          <w:szCs w:val="21"/>
          <w:highlight w:val="none"/>
        </w:rPr>
        <w:t>获取</w:t>
      </w:r>
      <w:r>
        <w:rPr>
          <w:rFonts w:hint="eastAsia" w:ascii="宋体" w:hAnsi="宋体" w:eastAsia="宋体" w:cs="宋体"/>
          <w:color w:val="auto"/>
          <w:kern w:val="0"/>
          <w:szCs w:val="21"/>
          <w:highlight w:val="none"/>
        </w:rPr>
        <w:t>招标</w:t>
      </w:r>
      <w:r>
        <w:rPr>
          <w:rFonts w:hint="eastAsia" w:ascii="宋体" w:hAnsi="宋体" w:eastAsia="宋体" w:cs="宋体"/>
          <w:color w:val="auto"/>
          <w:spacing w:val="-2"/>
          <w:kern w:val="0"/>
          <w:szCs w:val="21"/>
          <w:highlight w:val="none"/>
        </w:rPr>
        <w:t>文件</w:t>
      </w:r>
      <w:r>
        <w:rPr>
          <w:rFonts w:hint="eastAsia" w:ascii="宋体" w:hAnsi="宋体" w:eastAsia="宋体" w:cs="宋体"/>
          <w:color w:val="auto"/>
          <w:spacing w:val="-14"/>
          <w:kern w:val="0"/>
          <w:szCs w:val="21"/>
          <w:highlight w:val="none"/>
        </w:rPr>
        <w:t>。</w:t>
      </w:r>
    </w:p>
    <w:p w14:paraId="2850E352">
      <w:pPr>
        <w:keepNext w:val="0"/>
        <w:keepLines w:val="0"/>
        <w:pageBreakBefore w:val="0"/>
        <w:widowControl w:val="0"/>
        <w:tabs>
          <w:tab w:val="left" w:pos="4700"/>
          <w:tab w:val="left" w:pos="6000"/>
          <w:tab w:val="left" w:pos="7160"/>
          <w:tab w:val="left" w:pos="8520"/>
        </w:tabs>
        <w:kinsoku/>
        <w:wordWrap w:val="0"/>
        <w:overflowPunct/>
        <w:topLinePunct w:val="0"/>
        <w:autoSpaceDE w:val="0"/>
        <w:autoSpaceDN w:val="0"/>
        <w:bidi w:val="0"/>
        <w:adjustRightInd w:val="0"/>
        <w:snapToGrid w:val="0"/>
        <w:spacing w:line="360" w:lineRule="auto"/>
        <w:ind w:right="-23" w:firstLine="420" w:firstLineChars="200"/>
        <w:jc w:val="left"/>
        <w:textAlignment w:val="auto"/>
        <w:rPr>
          <w:rFonts w:hint="eastAsia" w:ascii="宋体" w:hAnsi="宋体" w:eastAsia="宋体" w:cs="宋体"/>
          <w:color w:val="auto"/>
          <w:spacing w:val="-14"/>
          <w:kern w:val="0"/>
          <w:szCs w:val="21"/>
          <w:highlight w:val="none"/>
        </w:rPr>
      </w:pPr>
      <w:r>
        <w:rPr>
          <w:rFonts w:hint="eastAsia" w:ascii="宋体" w:hAnsi="宋体" w:eastAsia="宋体" w:cs="宋体"/>
          <w:iCs/>
          <w:color w:val="auto"/>
          <w:szCs w:val="21"/>
          <w:highlight w:val="none"/>
        </w:rPr>
        <w:t>■本项目</w:t>
      </w:r>
      <w:r>
        <w:rPr>
          <w:rFonts w:hint="eastAsia" w:ascii="宋体" w:hAnsi="宋体" w:eastAsia="宋体" w:cs="宋体"/>
          <w:color w:val="auto"/>
          <w:spacing w:val="-14"/>
          <w:kern w:val="0"/>
          <w:szCs w:val="21"/>
          <w:highlight w:val="none"/>
        </w:rPr>
        <w:t>实行电子交易，</w:t>
      </w:r>
      <w:r>
        <w:rPr>
          <w:rFonts w:hint="eastAsia" w:ascii="宋体" w:hAnsi="宋体" w:eastAsia="宋体" w:cs="宋体"/>
          <w:color w:val="auto"/>
          <w:kern w:val="0"/>
          <w:szCs w:val="21"/>
          <w:highlight w:val="none"/>
        </w:rPr>
        <w:t>有</w:t>
      </w:r>
      <w:r>
        <w:rPr>
          <w:rFonts w:hint="eastAsia" w:ascii="宋体" w:hAnsi="宋体" w:eastAsia="宋体" w:cs="宋体"/>
          <w:color w:val="auto"/>
          <w:spacing w:val="-2"/>
          <w:kern w:val="0"/>
          <w:szCs w:val="21"/>
          <w:highlight w:val="none"/>
        </w:rPr>
        <w:t>意</w:t>
      </w:r>
      <w:r>
        <w:rPr>
          <w:rFonts w:hint="eastAsia" w:ascii="宋体" w:hAnsi="宋体" w:eastAsia="宋体" w:cs="宋体"/>
          <w:color w:val="auto"/>
          <w:kern w:val="0"/>
          <w:szCs w:val="21"/>
          <w:highlight w:val="none"/>
        </w:rPr>
        <w:t>参</w:t>
      </w:r>
      <w:r>
        <w:rPr>
          <w:rFonts w:hint="eastAsia" w:ascii="宋体" w:hAnsi="宋体" w:eastAsia="宋体" w:cs="宋体"/>
          <w:color w:val="auto"/>
          <w:spacing w:val="-2"/>
          <w:kern w:val="0"/>
          <w:szCs w:val="21"/>
          <w:highlight w:val="none"/>
        </w:rPr>
        <w:t>加</w:t>
      </w:r>
      <w:r>
        <w:rPr>
          <w:rFonts w:hint="eastAsia" w:ascii="宋体" w:hAnsi="宋体" w:eastAsia="宋体" w:cs="宋体"/>
          <w:color w:val="auto"/>
          <w:kern w:val="0"/>
          <w:szCs w:val="21"/>
          <w:highlight w:val="none"/>
        </w:rPr>
        <w:t>投</w:t>
      </w:r>
      <w:r>
        <w:rPr>
          <w:rFonts w:hint="eastAsia" w:ascii="宋体" w:hAnsi="宋体" w:eastAsia="宋体" w:cs="宋体"/>
          <w:color w:val="auto"/>
          <w:spacing w:val="-2"/>
          <w:kern w:val="0"/>
          <w:szCs w:val="21"/>
          <w:highlight w:val="none"/>
        </w:rPr>
        <w:t>标</w:t>
      </w:r>
      <w:r>
        <w:rPr>
          <w:rFonts w:hint="eastAsia" w:ascii="宋体" w:hAnsi="宋体" w:eastAsia="宋体" w:cs="宋体"/>
          <w:color w:val="auto"/>
          <w:kern w:val="0"/>
          <w:szCs w:val="21"/>
          <w:highlight w:val="none"/>
        </w:rPr>
        <w:t>者，在</w:t>
      </w:r>
      <w:r>
        <w:rPr>
          <w:rFonts w:hint="eastAsia" w:ascii="宋体" w:hAnsi="宋体" w:cs="微软雅黑"/>
          <w:color w:val="auto"/>
          <w:kern w:val="0"/>
          <w:szCs w:val="21"/>
          <w:highlight w:val="none"/>
          <w:u w:val="single"/>
          <w:lang w:val="en-US" w:eastAsia="zh-CN"/>
        </w:rPr>
        <w:t>湖南省公共资源交易服务平台株洲分平台（https://zhuzhou.hnsggzy.com）</w:t>
      </w:r>
      <w:r>
        <w:rPr>
          <w:rFonts w:hint="eastAsia" w:ascii="宋体" w:hAnsi="宋体" w:eastAsia="宋体" w:cs="宋体"/>
          <w:color w:val="auto"/>
          <w:spacing w:val="-2"/>
          <w:kern w:val="0"/>
          <w:szCs w:val="21"/>
          <w:highlight w:val="none"/>
        </w:rPr>
        <w:t>获取电子版</w:t>
      </w:r>
      <w:r>
        <w:rPr>
          <w:rFonts w:hint="eastAsia" w:ascii="宋体" w:hAnsi="宋体" w:eastAsia="宋体" w:cs="宋体"/>
          <w:color w:val="auto"/>
          <w:kern w:val="0"/>
          <w:szCs w:val="21"/>
          <w:highlight w:val="none"/>
        </w:rPr>
        <w:t>招标</w:t>
      </w:r>
      <w:r>
        <w:rPr>
          <w:rFonts w:hint="eastAsia" w:ascii="宋体" w:hAnsi="宋体" w:eastAsia="宋体" w:cs="宋体"/>
          <w:color w:val="auto"/>
          <w:spacing w:val="-2"/>
          <w:kern w:val="0"/>
          <w:szCs w:val="21"/>
          <w:highlight w:val="none"/>
        </w:rPr>
        <w:t>文件</w:t>
      </w:r>
      <w:r>
        <w:rPr>
          <w:rFonts w:hint="eastAsia" w:ascii="宋体" w:hAnsi="宋体" w:eastAsia="宋体" w:cs="宋体"/>
          <w:color w:val="auto"/>
          <w:spacing w:val="-14"/>
          <w:kern w:val="0"/>
          <w:szCs w:val="21"/>
          <w:highlight w:val="none"/>
        </w:rPr>
        <w:t>。</w:t>
      </w:r>
    </w:p>
    <w:p w14:paraId="3A87C3F4">
      <w:pPr>
        <w:tabs>
          <w:tab w:val="left" w:pos="4700"/>
          <w:tab w:val="left" w:pos="6000"/>
          <w:tab w:val="left" w:pos="7160"/>
          <w:tab w:val="left" w:pos="8520"/>
        </w:tabs>
        <w:autoSpaceDE w:val="0"/>
        <w:autoSpaceDN w:val="0"/>
        <w:adjustRightInd w:val="0"/>
        <w:snapToGrid w:val="0"/>
        <w:spacing w:line="360" w:lineRule="auto"/>
        <w:ind w:right="-23" w:firstLine="420" w:firstLineChars="200"/>
        <w:jc w:val="left"/>
        <w:rPr>
          <w:rFonts w:hint="eastAsia" w:ascii="宋体" w:hAnsi="宋体" w:eastAsia="宋体" w:cs="宋体"/>
          <w:color w:val="auto"/>
          <w:highlight w:val="none"/>
        </w:rPr>
      </w:pP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rPr>
        <w:t>本项目进行资格预审，招标文件将向所有通过资格预审的供应商提供。</w:t>
      </w:r>
    </w:p>
    <w:p w14:paraId="6A35F1A1">
      <w:pPr>
        <w:adjustRightInd w:val="0"/>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六、投标截止时间、开标时间及地点</w:t>
      </w:r>
    </w:p>
    <w:p w14:paraId="67BD1D5D">
      <w:pPr>
        <w:adjustRightInd w:val="0"/>
        <w:snapToGrid w:val="0"/>
        <w:spacing w:line="360" w:lineRule="auto"/>
        <w:ind w:firstLine="420" w:firstLineChars="2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1</w:t>
      </w:r>
      <w:r>
        <w:rPr>
          <w:rFonts w:hint="eastAsia" w:ascii="宋体" w:hAnsi="宋体" w:eastAsia="宋体" w:cs="宋体"/>
          <w:b w:val="0"/>
          <w:bCs w:val="0"/>
          <w:color w:val="auto"/>
          <w:szCs w:val="21"/>
          <w:highlight w:val="none"/>
          <w:lang w:val="en-US" w:eastAsia="zh-CN"/>
        </w:rPr>
        <w:t>.</w:t>
      </w:r>
      <w:r>
        <w:rPr>
          <w:rFonts w:hint="eastAsia" w:ascii="宋体" w:hAnsi="宋体" w:eastAsia="宋体" w:cs="宋体"/>
          <w:b w:val="0"/>
          <w:bCs w:val="0"/>
          <w:color w:val="auto"/>
          <w:szCs w:val="21"/>
          <w:highlight w:val="none"/>
        </w:rPr>
        <w:t>提交投标文件的截止时间：</w:t>
      </w:r>
      <w:r>
        <w:rPr>
          <w:rFonts w:hint="eastAsia" w:ascii="宋体" w:hAnsi="宋体" w:eastAsia="宋体" w:cs="宋体"/>
          <w:b w:val="0"/>
          <w:bCs w:val="0"/>
          <w:color w:val="auto"/>
          <w:kern w:val="0"/>
          <w:szCs w:val="21"/>
          <w:highlight w:val="none"/>
          <w:u w:val="single"/>
          <w:lang w:val="en-US" w:eastAsia="zh-CN"/>
        </w:rPr>
        <w:t>202</w:t>
      </w:r>
      <w:r>
        <w:rPr>
          <w:rFonts w:hint="eastAsia" w:ascii="宋体" w:hAnsi="宋体" w:cs="宋体"/>
          <w:b w:val="0"/>
          <w:bCs w:val="0"/>
          <w:color w:val="auto"/>
          <w:kern w:val="0"/>
          <w:szCs w:val="21"/>
          <w:highlight w:val="none"/>
          <w:u w:val="single"/>
          <w:lang w:val="en-US" w:eastAsia="zh-CN"/>
        </w:rPr>
        <w:t>6</w:t>
      </w:r>
      <w:r>
        <w:rPr>
          <w:rFonts w:hint="eastAsia" w:ascii="宋体" w:hAnsi="宋体" w:eastAsia="宋体" w:cs="宋体"/>
          <w:b w:val="0"/>
          <w:bCs w:val="0"/>
          <w:color w:val="auto"/>
          <w:szCs w:val="21"/>
          <w:highlight w:val="none"/>
        </w:rPr>
        <w:t>年</w:t>
      </w:r>
      <w:r>
        <w:rPr>
          <w:rFonts w:hint="eastAsia" w:ascii="宋体" w:hAnsi="宋体" w:cs="宋体"/>
          <w:b w:val="0"/>
          <w:bCs w:val="0"/>
          <w:color w:val="auto"/>
          <w:szCs w:val="21"/>
          <w:highlight w:val="none"/>
          <w:u w:val="single"/>
          <w:lang w:val="en-US" w:eastAsia="zh-CN"/>
        </w:rPr>
        <w:t xml:space="preserve"> 9  </w:t>
      </w:r>
      <w:r>
        <w:rPr>
          <w:rFonts w:hint="eastAsia" w:ascii="宋体" w:hAnsi="宋体" w:eastAsia="宋体" w:cs="宋体"/>
          <w:b w:val="0"/>
          <w:bCs w:val="0"/>
          <w:color w:val="auto"/>
          <w:szCs w:val="21"/>
          <w:highlight w:val="none"/>
        </w:rPr>
        <w:t>月</w:t>
      </w:r>
      <w:r>
        <w:rPr>
          <w:rFonts w:hint="eastAsia" w:ascii="宋体" w:hAnsi="宋体" w:cs="宋体"/>
          <w:b w:val="0"/>
          <w:bCs w:val="0"/>
          <w:color w:val="auto"/>
          <w:szCs w:val="21"/>
          <w:highlight w:val="none"/>
          <w:u w:val="single"/>
          <w:lang w:val="en-US" w:eastAsia="zh-CN"/>
        </w:rPr>
        <w:t xml:space="preserve"> 10  </w:t>
      </w:r>
      <w:r>
        <w:rPr>
          <w:rFonts w:hint="eastAsia" w:ascii="宋体" w:hAnsi="宋体" w:eastAsia="宋体" w:cs="宋体"/>
          <w:b w:val="0"/>
          <w:bCs w:val="0"/>
          <w:color w:val="auto"/>
          <w:szCs w:val="21"/>
          <w:highlight w:val="none"/>
        </w:rPr>
        <w:t>日</w:t>
      </w:r>
      <w:r>
        <w:rPr>
          <w:rFonts w:hint="eastAsia" w:ascii="宋体" w:hAnsi="宋体" w:eastAsia="宋体" w:cs="宋体"/>
          <w:b w:val="0"/>
          <w:bCs w:val="0"/>
          <w:color w:val="auto"/>
          <w:szCs w:val="21"/>
          <w:highlight w:val="none"/>
          <w:u w:val="single"/>
          <w:lang w:val="en-US" w:eastAsia="zh-CN"/>
        </w:rPr>
        <w:t>09</w:t>
      </w:r>
      <w:r>
        <w:rPr>
          <w:rFonts w:hint="eastAsia" w:ascii="宋体" w:hAnsi="宋体" w:eastAsia="宋体" w:cs="宋体"/>
          <w:b w:val="0"/>
          <w:bCs w:val="0"/>
          <w:color w:val="auto"/>
          <w:szCs w:val="21"/>
          <w:highlight w:val="none"/>
        </w:rPr>
        <w:t>时</w:t>
      </w:r>
      <w:r>
        <w:rPr>
          <w:rFonts w:hint="eastAsia" w:ascii="宋体" w:hAnsi="宋体" w:eastAsia="宋体" w:cs="宋体"/>
          <w:b w:val="0"/>
          <w:bCs w:val="0"/>
          <w:color w:val="auto"/>
          <w:szCs w:val="21"/>
          <w:highlight w:val="none"/>
          <w:u w:val="single"/>
          <w:lang w:val="en-US" w:eastAsia="zh-CN"/>
        </w:rPr>
        <w:t>00</w:t>
      </w:r>
      <w:r>
        <w:rPr>
          <w:rFonts w:hint="eastAsia" w:ascii="宋体" w:hAnsi="宋体" w:eastAsia="宋体" w:cs="宋体"/>
          <w:b w:val="0"/>
          <w:bCs w:val="0"/>
          <w:color w:val="auto"/>
          <w:szCs w:val="21"/>
          <w:highlight w:val="none"/>
        </w:rPr>
        <w:t>分（北京时间）；</w:t>
      </w:r>
    </w:p>
    <w:p w14:paraId="7B3CE372">
      <w:pPr>
        <w:snapToGrid w:val="0"/>
        <w:spacing w:before="0" w:beforeAutospacing="0" w:after="0" w:afterAutospacing="0" w:line="360" w:lineRule="auto"/>
        <w:ind w:firstLine="420" w:firstLineChars="200"/>
        <w:jc w:val="both"/>
        <w:textAlignment w:val="baseline"/>
        <w:rPr>
          <w:rStyle w:val="49"/>
          <w:rFonts w:hint="eastAsia" w:ascii="宋体" w:hAnsi="宋体" w:eastAsia="宋体" w:cs="宋体"/>
          <w:b w:val="0"/>
          <w:bCs w:val="0"/>
          <w:i w:val="0"/>
          <w:caps w:val="0"/>
          <w:color w:val="auto"/>
          <w:spacing w:val="0"/>
          <w:w w:val="100"/>
          <w:kern w:val="2"/>
          <w:sz w:val="21"/>
          <w:szCs w:val="21"/>
          <w:highlight w:val="none"/>
          <w:lang w:val="en-US" w:eastAsia="zh-CN" w:bidi="ar-SA"/>
        </w:rPr>
      </w:pPr>
      <w:r>
        <w:rPr>
          <w:rFonts w:hint="eastAsia" w:ascii="宋体" w:hAnsi="宋体" w:eastAsia="宋体" w:cs="宋体"/>
          <w:b w:val="0"/>
          <w:bCs w:val="0"/>
          <w:color w:val="auto"/>
          <w:szCs w:val="21"/>
          <w:highlight w:val="none"/>
        </w:rPr>
        <w:t>2</w:t>
      </w:r>
      <w:r>
        <w:rPr>
          <w:rFonts w:hint="eastAsia" w:ascii="宋体" w:hAnsi="宋体" w:eastAsia="宋体" w:cs="宋体"/>
          <w:b w:val="0"/>
          <w:bCs w:val="0"/>
          <w:color w:val="auto"/>
          <w:szCs w:val="21"/>
          <w:highlight w:val="none"/>
          <w:lang w:val="en-US" w:eastAsia="zh-CN"/>
        </w:rPr>
        <w:t>.</w:t>
      </w:r>
      <w:r>
        <w:rPr>
          <w:rFonts w:hint="eastAsia" w:ascii="宋体" w:hAnsi="宋体" w:eastAsia="宋体" w:cs="宋体"/>
          <w:b w:val="0"/>
          <w:bCs w:val="0"/>
          <w:color w:val="auto"/>
          <w:szCs w:val="21"/>
          <w:highlight w:val="none"/>
        </w:rPr>
        <w:t>投标地点：</w:t>
      </w:r>
      <w:r>
        <w:rPr>
          <w:rStyle w:val="49"/>
          <w:rFonts w:hint="eastAsia" w:ascii="宋体" w:hAnsi="宋体" w:eastAsia="宋体" w:cs="宋体"/>
          <w:b w:val="0"/>
          <w:bCs w:val="0"/>
          <w:i w:val="0"/>
          <w:caps w:val="0"/>
          <w:color w:val="auto"/>
          <w:spacing w:val="0"/>
          <w:w w:val="100"/>
          <w:kern w:val="2"/>
          <w:sz w:val="21"/>
          <w:szCs w:val="21"/>
          <w:highlight w:val="none"/>
          <w:u w:val="single"/>
          <w:lang w:val="en-US" w:eastAsia="zh-CN" w:bidi="ar-SA"/>
        </w:rPr>
        <w:t>湖南省公共资源交易服务平台株洲分平台（https://zhuzhou.hnsggzy.com）——智慧服务大厅——开标与电子竞价直播。请投标人在湖南省公共资源交易服务平台株洲分平台——下载中心——政府采购栏目下载“交易系统操作手册”、“不见面开标操作手册”等编制投标文件，投标人应在投标截止时间前通过电子交易系统递交数据电文形式的投标文件。</w:t>
      </w:r>
      <w:r>
        <w:rPr>
          <w:rStyle w:val="49"/>
          <w:rFonts w:hint="eastAsia" w:ascii="宋体" w:hAnsi="宋体" w:eastAsia="宋体" w:cs="宋体"/>
          <w:b w:val="0"/>
          <w:bCs w:val="0"/>
          <w:i w:val="0"/>
          <w:caps w:val="0"/>
          <w:color w:val="auto"/>
          <w:spacing w:val="0"/>
          <w:w w:val="100"/>
          <w:kern w:val="2"/>
          <w:sz w:val="21"/>
          <w:szCs w:val="21"/>
          <w:highlight w:val="none"/>
          <w:lang w:val="en-US" w:eastAsia="zh-CN" w:bidi="ar-SA"/>
        </w:rPr>
        <w:t xml:space="preserve"> </w:t>
      </w:r>
    </w:p>
    <w:p w14:paraId="4AFF8129">
      <w:pPr>
        <w:adjustRightInd w:val="0"/>
        <w:snapToGrid w:val="0"/>
        <w:spacing w:line="360" w:lineRule="auto"/>
        <w:ind w:firstLine="420" w:firstLineChars="2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3</w:t>
      </w:r>
      <w:r>
        <w:rPr>
          <w:rFonts w:hint="eastAsia" w:ascii="宋体" w:hAnsi="宋体" w:eastAsia="宋体" w:cs="宋体"/>
          <w:b w:val="0"/>
          <w:bCs w:val="0"/>
          <w:color w:val="auto"/>
          <w:szCs w:val="21"/>
          <w:highlight w:val="none"/>
          <w:lang w:val="en-US" w:eastAsia="zh-CN"/>
        </w:rPr>
        <w:t>.</w:t>
      </w:r>
      <w:r>
        <w:rPr>
          <w:rFonts w:hint="eastAsia" w:ascii="宋体" w:hAnsi="宋体" w:eastAsia="宋体" w:cs="宋体"/>
          <w:b w:val="0"/>
          <w:bCs w:val="0"/>
          <w:color w:val="auto"/>
          <w:szCs w:val="21"/>
          <w:highlight w:val="none"/>
        </w:rPr>
        <w:t>开标时间：</w:t>
      </w:r>
      <w:r>
        <w:rPr>
          <w:rFonts w:hint="eastAsia" w:ascii="宋体" w:hAnsi="宋体" w:eastAsia="宋体" w:cs="宋体"/>
          <w:b w:val="0"/>
          <w:bCs w:val="0"/>
          <w:color w:val="auto"/>
          <w:kern w:val="0"/>
          <w:szCs w:val="21"/>
          <w:highlight w:val="none"/>
          <w:u w:val="single"/>
          <w:lang w:val="en-US" w:eastAsia="zh-CN"/>
        </w:rPr>
        <w:t>202</w:t>
      </w:r>
      <w:r>
        <w:rPr>
          <w:rFonts w:hint="eastAsia" w:ascii="宋体" w:hAnsi="宋体" w:cs="宋体"/>
          <w:b w:val="0"/>
          <w:bCs w:val="0"/>
          <w:color w:val="auto"/>
          <w:kern w:val="0"/>
          <w:szCs w:val="21"/>
          <w:highlight w:val="none"/>
          <w:u w:val="single"/>
          <w:lang w:val="en-US" w:eastAsia="zh-CN"/>
        </w:rPr>
        <w:t>6</w:t>
      </w:r>
      <w:r>
        <w:rPr>
          <w:rFonts w:hint="eastAsia" w:ascii="宋体" w:hAnsi="宋体" w:eastAsia="宋体" w:cs="宋体"/>
          <w:b w:val="0"/>
          <w:bCs w:val="0"/>
          <w:color w:val="auto"/>
          <w:szCs w:val="21"/>
          <w:highlight w:val="none"/>
        </w:rPr>
        <w:t>年</w:t>
      </w:r>
      <w:r>
        <w:rPr>
          <w:rFonts w:hint="eastAsia" w:ascii="宋体" w:hAnsi="宋体" w:cs="宋体"/>
          <w:b w:val="0"/>
          <w:bCs w:val="0"/>
          <w:color w:val="auto"/>
          <w:szCs w:val="21"/>
          <w:highlight w:val="none"/>
          <w:u w:val="single"/>
          <w:lang w:val="en-US" w:eastAsia="zh-CN"/>
        </w:rPr>
        <w:t xml:space="preserve"> 9 </w:t>
      </w:r>
      <w:r>
        <w:rPr>
          <w:rFonts w:hint="eastAsia" w:ascii="宋体" w:hAnsi="宋体" w:eastAsia="宋体" w:cs="宋体"/>
          <w:b w:val="0"/>
          <w:bCs w:val="0"/>
          <w:color w:val="auto"/>
          <w:szCs w:val="21"/>
          <w:highlight w:val="none"/>
        </w:rPr>
        <w:t>月</w:t>
      </w:r>
      <w:r>
        <w:rPr>
          <w:rFonts w:hint="eastAsia" w:ascii="宋体" w:hAnsi="宋体" w:cs="宋体"/>
          <w:b w:val="0"/>
          <w:bCs w:val="0"/>
          <w:color w:val="auto"/>
          <w:szCs w:val="21"/>
          <w:highlight w:val="none"/>
          <w:u w:val="single"/>
          <w:lang w:val="en-US" w:eastAsia="zh-CN"/>
        </w:rPr>
        <w:t xml:space="preserve"> 10 </w:t>
      </w:r>
      <w:r>
        <w:rPr>
          <w:rFonts w:hint="eastAsia" w:ascii="宋体" w:hAnsi="宋体" w:eastAsia="宋体" w:cs="宋体"/>
          <w:b w:val="0"/>
          <w:bCs w:val="0"/>
          <w:color w:val="auto"/>
          <w:szCs w:val="21"/>
          <w:highlight w:val="none"/>
        </w:rPr>
        <w:t>日</w:t>
      </w:r>
      <w:r>
        <w:rPr>
          <w:rFonts w:hint="eastAsia" w:ascii="宋体" w:hAnsi="宋体" w:eastAsia="宋体" w:cs="宋体"/>
          <w:b w:val="0"/>
          <w:bCs w:val="0"/>
          <w:color w:val="auto"/>
          <w:szCs w:val="21"/>
          <w:highlight w:val="none"/>
          <w:u w:val="single"/>
          <w:lang w:val="en-US" w:eastAsia="zh-CN"/>
        </w:rPr>
        <w:t>09</w:t>
      </w:r>
      <w:r>
        <w:rPr>
          <w:rFonts w:hint="eastAsia" w:ascii="宋体" w:hAnsi="宋体" w:eastAsia="宋体" w:cs="宋体"/>
          <w:b w:val="0"/>
          <w:bCs w:val="0"/>
          <w:color w:val="auto"/>
          <w:szCs w:val="21"/>
          <w:highlight w:val="none"/>
        </w:rPr>
        <w:t>时</w:t>
      </w:r>
      <w:r>
        <w:rPr>
          <w:rFonts w:hint="eastAsia" w:ascii="宋体" w:hAnsi="宋体" w:eastAsia="宋体" w:cs="宋体"/>
          <w:b w:val="0"/>
          <w:bCs w:val="0"/>
          <w:color w:val="auto"/>
          <w:szCs w:val="21"/>
          <w:highlight w:val="none"/>
          <w:u w:val="single"/>
          <w:lang w:val="en-US" w:eastAsia="zh-CN"/>
        </w:rPr>
        <w:t>00</w:t>
      </w:r>
      <w:r>
        <w:rPr>
          <w:rFonts w:hint="eastAsia" w:ascii="宋体" w:hAnsi="宋体" w:eastAsia="宋体" w:cs="宋体"/>
          <w:b w:val="0"/>
          <w:bCs w:val="0"/>
          <w:color w:val="auto"/>
          <w:szCs w:val="21"/>
          <w:highlight w:val="none"/>
        </w:rPr>
        <w:t xml:space="preserve">分（北京时间）。 </w:t>
      </w:r>
    </w:p>
    <w:p w14:paraId="1CD392AB">
      <w:pPr>
        <w:adjustRightInd w:val="0"/>
        <w:snapToGrid w:val="0"/>
        <w:spacing w:line="360" w:lineRule="auto"/>
        <w:ind w:firstLine="420" w:firstLineChars="200"/>
        <w:rPr>
          <w:rFonts w:hint="eastAsia" w:ascii="宋体" w:hAnsi="宋体" w:eastAsia="宋体" w:cs="宋体"/>
          <w:b/>
          <w:bCs/>
          <w:color w:val="auto"/>
          <w:szCs w:val="21"/>
          <w:highlight w:val="none"/>
        </w:rPr>
      </w:pPr>
      <w:r>
        <w:rPr>
          <w:rFonts w:hint="eastAsia" w:ascii="宋体" w:hAnsi="宋体" w:eastAsia="宋体" w:cs="宋体"/>
          <w:b w:val="0"/>
          <w:bCs w:val="0"/>
          <w:color w:val="auto"/>
          <w:szCs w:val="21"/>
          <w:highlight w:val="none"/>
        </w:rPr>
        <w:t>4</w:t>
      </w:r>
      <w:r>
        <w:rPr>
          <w:rFonts w:hint="eastAsia" w:ascii="宋体" w:hAnsi="宋体" w:eastAsia="宋体" w:cs="宋体"/>
          <w:b w:val="0"/>
          <w:bCs w:val="0"/>
          <w:color w:val="auto"/>
          <w:szCs w:val="21"/>
          <w:highlight w:val="none"/>
          <w:lang w:val="en-US" w:eastAsia="zh-CN"/>
        </w:rPr>
        <w:t>.</w:t>
      </w:r>
      <w:r>
        <w:rPr>
          <w:rFonts w:hint="eastAsia" w:ascii="宋体" w:hAnsi="宋体" w:eastAsia="宋体" w:cs="宋体"/>
          <w:b w:val="0"/>
          <w:bCs w:val="0"/>
          <w:color w:val="auto"/>
          <w:szCs w:val="21"/>
          <w:highlight w:val="none"/>
        </w:rPr>
        <w:t>开标地点：</w:t>
      </w:r>
      <w:r>
        <w:rPr>
          <w:rFonts w:hint="eastAsia" w:ascii="宋体" w:hAnsi="宋体" w:eastAsia="宋体" w:cs="宋体"/>
          <w:b w:val="0"/>
          <w:bCs w:val="0"/>
          <w:color w:val="auto"/>
          <w:szCs w:val="21"/>
          <w:highlight w:val="none"/>
          <w:u w:val="single"/>
        </w:rPr>
        <w:t xml:space="preserve"> </w:t>
      </w:r>
      <w:r>
        <w:rPr>
          <w:rStyle w:val="49"/>
          <w:rFonts w:hint="eastAsia" w:ascii="宋体" w:hAnsi="宋体" w:eastAsia="宋体" w:cs="宋体"/>
          <w:b w:val="0"/>
          <w:bCs w:val="0"/>
          <w:i w:val="0"/>
          <w:caps w:val="0"/>
          <w:color w:val="auto"/>
          <w:spacing w:val="0"/>
          <w:w w:val="100"/>
          <w:kern w:val="2"/>
          <w:sz w:val="21"/>
          <w:szCs w:val="21"/>
          <w:highlight w:val="none"/>
          <w:u w:val="single"/>
          <w:lang w:val="en-US" w:eastAsia="zh-CN" w:bidi="ar-SA"/>
        </w:rPr>
        <w:t>本项目实行“不见面开标”方式，投标人无需到开标现场，请投标人提前配置好解密电脑和软件环境，在规定时间内使用制作投标文件时的 CA 锁登录“开标与电子竞价直播”解密投标文件。电子投标文件的解密截止时间为</w:t>
      </w:r>
      <w:r>
        <w:rPr>
          <w:rFonts w:hint="eastAsia" w:ascii="宋体" w:hAnsi="宋体" w:eastAsia="宋体" w:cs="宋体"/>
          <w:b w:val="0"/>
          <w:bCs w:val="0"/>
          <w:color w:val="auto"/>
          <w:kern w:val="0"/>
          <w:szCs w:val="21"/>
          <w:highlight w:val="none"/>
          <w:u w:val="single"/>
          <w:lang w:val="en-US" w:eastAsia="zh-CN"/>
        </w:rPr>
        <w:t>202</w:t>
      </w:r>
      <w:r>
        <w:rPr>
          <w:rFonts w:hint="eastAsia" w:ascii="宋体" w:hAnsi="宋体" w:cs="宋体"/>
          <w:b w:val="0"/>
          <w:bCs w:val="0"/>
          <w:color w:val="auto"/>
          <w:kern w:val="0"/>
          <w:szCs w:val="21"/>
          <w:highlight w:val="none"/>
          <w:u w:val="single"/>
          <w:lang w:val="en-US" w:eastAsia="zh-CN"/>
        </w:rPr>
        <w:t>6</w:t>
      </w:r>
      <w:r>
        <w:rPr>
          <w:rStyle w:val="49"/>
          <w:rFonts w:hint="eastAsia" w:ascii="宋体" w:hAnsi="宋体" w:eastAsia="宋体" w:cs="宋体"/>
          <w:b w:val="0"/>
          <w:bCs w:val="0"/>
          <w:i w:val="0"/>
          <w:caps w:val="0"/>
          <w:color w:val="auto"/>
          <w:spacing w:val="0"/>
          <w:w w:val="100"/>
          <w:kern w:val="2"/>
          <w:sz w:val="21"/>
          <w:szCs w:val="21"/>
          <w:highlight w:val="none"/>
          <w:u w:val="single"/>
          <w:lang w:val="en-US" w:eastAsia="zh-CN" w:bidi="ar-SA"/>
        </w:rPr>
        <w:t>年</w:t>
      </w:r>
      <w:r>
        <w:rPr>
          <w:rStyle w:val="49"/>
          <w:rFonts w:hint="eastAsia" w:ascii="宋体" w:hAnsi="宋体" w:cs="宋体"/>
          <w:b w:val="0"/>
          <w:bCs w:val="0"/>
          <w:i w:val="0"/>
          <w:caps w:val="0"/>
          <w:color w:val="auto"/>
          <w:spacing w:val="0"/>
          <w:w w:val="100"/>
          <w:kern w:val="2"/>
          <w:sz w:val="21"/>
          <w:szCs w:val="21"/>
          <w:highlight w:val="none"/>
          <w:u w:val="single"/>
          <w:lang w:val="en-US" w:eastAsia="zh-CN" w:bidi="ar-SA"/>
        </w:rPr>
        <w:t xml:space="preserve"> 9 </w:t>
      </w:r>
      <w:r>
        <w:rPr>
          <w:rStyle w:val="49"/>
          <w:rFonts w:hint="eastAsia" w:ascii="宋体" w:hAnsi="宋体" w:eastAsia="宋体" w:cs="宋体"/>
          <w:b w:val="0"/>
          <w:bCs w:val="0"/>
          <w:i w:val="0"/>
          <w:caps w:val="0"/>
          <w:color w:val="auto"/>
          <w:spacing w:val="0"/>
          <w:w w:val="100"/>
          <w:kern w:val="2"/>
          <w:sz w:val="21"/>
          <w:szCs w:val="21"/>
          <w:highlight w:val="none"/>
          <w:u w:val="single"/>
          <w:lang w:val="en-US" w:eastAsia="zh-CN" w:bidi="ar-SA"/>
        </w:rPr>
        <w:t>月</w:t>
      </w:r>
      <w:r>
        <w:rPr>
          <w:rStyle w:val="49"/>
          <w:rFonts w:hint="eastAsia" w:ascii="宋体" w:hAnsi="宋体" w:cs="宋体"/>
          <w:b w:val="0"/>
          <w:bCs w:val="0"/>
          <w:i w:val="0"/>
          <w:caps w:val="0"/>
          <w:color w:val="auto"/>
          <w:spacing w:val="0"/>
          <w:w w:val="100"/>
          <w:kern w:val="2"/>
          <w:sz w:val="21"/>
          <w:szCs w:val="21"/>
          <w:highlight w:val="none"/>
          <w:u w:val="single"/>
          <w:lang w:val="en-US" w:eastAsia="zh-CN" w:bidi="ar-SA"/>
        </w:rPr>
        <w:t xml:space="preserve">10 </w:t>
      </w:r>
      <w:r>
        <w:rPr>
          <w:rStyle w:val="49"/>
          <w:rFonts w:hint="eastAsia" w:ascii="宋体" w:hAnsi="宋体" w:eastAsia="宋体" w:cs="宋体"/>
          <w:b w:val="0"/>
          <w:bCs w:val="0"/>
          <w:i w:val="0"/>
          <w:caps w:val="0"/>
          <w:color w:val="auto"/>
          <w:spacing w:val="0"/>
          <w:w w:val="100"/>
          <w:kern w:val="2"/>
          <w:sz w:val="21"/>
          <w:szCs w:val="21"/>
          <w:highlight w:val="none"/>
          <w:u w:val="single"/>
          <w:lang w:val="en-US" w:eastAsia="zh-CN" w:bidi="ar-SA"/>
        </w:rPr>
        <w:t>日10时00分（投标截止后60分钟），因投标人自身原因未在规定时间内完成解密或无法解密的投标文件视为撤销其投标文件，相应责任由投标人自行承担。</w:t>
      </w:r>
    </w:p>
    <w:p w14:paraId="70755056">
      <w:pPr>
        <w:adjustRightInd w:val="0"/>
        <w:snapToGrid w:val="0"/>
        <w:spacing w:line="360" w:lineRule="auto"/>
        <w:ind w:firstLine="422" w:firstLineChars="200"/>
        <w:rPr>
          <w:rFonts w:ascii="宋体" w:hAnsi="宋体"/>
          <w:color w:val="auto"/>
          <w:szCs w:val="21"/>
          <w:highlight w:val="none"/>
        </w:rPr>
      </w:pPr>
      <w:r>
        <w:rPr>
          <w:rFonts w:hint="eastAsia" w:ascii="宋体" w:hAnsi="宋体"/>
          <w:b/>
          <w:color w:val="auto"/>
          <w:szCs w:val="21"/>
          <w:highlight w:val="none"/>
        </w:rPr>
        <w:t>七、公告期限</w:t>
      </w:r>
      <w:r>
        <w:rPr>
          <w:rFonts w:hint="eastAsia" w:ascii="宋体" w:hAnsi="宋体"/>
          <w:color w:val="auto"/>
          <w:szCs w:val="21"/>
          <w:highlight w:val="none"/>
        </w:rPr>
        <w:t>：</w:t>
      </w:r>
    </w:p>
    <w:p w14:paraId="29EFF804">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1、本招标公告在中国湖南政府采购网（www.ccgp-hunan.gov.cn）发布。公告期限从本招标公告发布之日起5个工作日。</w:t>
      </w:r>
    </w:p>
    <w:p w14:paraId="51CF776E">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2、在其他媒体发布的招标公告，公告内容以本招标公告指定媒体发布的公告为准；公告期限自本招标公告指定媒体最先发布公告之日起算。</w:t>
      </w:r>
    </w:p>
    <w:p w14:paraId="39465F06">
      <w:pPr>
        <w:adjustRightInd w:val="0"/>
        <w:snapToGrid w:val="0"/>
        <w:spacing w:line="360" w:lineRule="auto"/>
        <w:ind w:firstLine="422" w:firstLineChars="200"/>
        <w:rPr>
          <w:rFonts w:ascii="宋体" w:hAnsi="宋体"/>
          <w:color w:val="auto"/>
          <w:szCs w:val="21"/>
          <w:highlight w:val="none"/>
        </w:rPr>
      </w:pPr>
      <w:r>
        <w:rPr>
          <w:rFonts w:hint="eastAsia" w:ascii="宋体" w:hAnsi="宋体"/>
          <w:b/>
          <w:color w:val="auto"/>
          <w:szCs w:val="21"/>
          <w:highlight w:val="none"/>
        </w:rPr>
        <w:t>八、询问及质疑</w:t>
      </w:r>
      <w:r>
        <w:rPr>
          <w:rFonts w:hint="eastAsia" w:ascii="宋体" w:hAnsi="宋体"/>
          <w:color w:val="auto"/>
          <w:szCs w:val="21"/>
          <w:highlight w:val="none"/>
        </w:rPr>
        <w:t>：</w:t>
      </w:r>
    </w:p>
    <w:p w14:paraId="311BCB41">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1、投标人对政府采购活动事项如有疑问的，可以向采购人、采购代理机构提出询问。采购人、采购代理机构将在3个工作日内作出答复。</w:t>
      </w:r>
    </w:p>
    <w:p w14:paraId="4C015731">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2、投标人对电子交易平台办理CA证书、操作等如有疑问，请咨询电子交易平台服务机构。</w:t>
      </w:r>
    </w:p>
    <w:p w14:paraId="33486FB7">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潜在投标人认为招标文件或招标公告使自己的合法权益受到损害的，可以在收到招标文件之日或招标公告期限届满之日起7个工作日内，按《湖南省财政厅关于印发＜政府采购质疑答复和投诉处理操作规程＞的通知》(湘财购〔2019〕20号)规定，以纸质书面形式向采购人、采购代理机构提出质疑。</w:t>
      </w:r>
    </w:p>
    <w:p w14:paraId="49C522B4">
      <w:pPr>
        <w:adjustRightInd w:val="0"/>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九、投标说明</w:t>
      </w:r>
    </w:p>
    <w:p w14:paraId="0D6949A6">
      <w:pPr>
        <w:tabs>
          <w:tab w:val="left" w:pos="4700"/>
          <w:tab w:val="left" w:pos="6000"/>
          <w:tab w:val="left" w:pos="7160"/>
          <w:tab w:val="left" w:pos="8520"/>
        </w:tabs>
        <w:autoSpaceDE w:val="0"/>
        <w:autoSpaceDN w:val="0"/>
        <w:adjustRightInd w:val="0"/>
        <w:snapToGrid w:val="0"/>
        <w:spacing w:line="360" w:lineRule="auto"/>
        <w:ind w:right="-23" w:firstLine="420" w:firstLineChars="200"/>
        <w:jc w:val="left"/>
        <w:rPr>
          <w:rFonts w:ascii="宋体" w:hAnsi="宋体"/>
          <w:color w:val="auto"/>
          <w:szCs w:val="21"/>
          <w:highlight w:val="none"/>
        </w:rPr>
      </w:pPr>
      <w:r>
        <w:rPr>
          <w:rFonts w:hint="eastAsia" w:ascii="宋体" w:hAnsi="宋体"/>
          <w:color w:val="auto"/>
          <w:szCs w:val="21"/>
          <w:highlight w:val="none"/>
        </w:rPr>
        <w:t>1、本公告选项：</w:t>
      </w:r>
      <w:r>
        <w:rPr>
          <w:rFonts w:hint="eastAsia" w:ascii="宋体" w:hAnsi="宋体"/>
          <w:color w:val="auto"/>
          <w:szCs w:val="21"/>
          <w:highlight w:val="none"/>
        </w:rPr>
        <w:sym w:font="Wingdings" w:char="00FE"/>
      </w:r>
      <w:r>
        <w:rPr>
          <w:rFonts w:hint="eastAsia" w:ascii="宋体" w:hAnsi="宋体"/>
          <w:color w:val="auto"/>
          <w:szCs w:val="21"/>
          <w:highlight w:val="none"/>
        </w:rPr>
        <w:t>表示选择，</w:t>
      </w:r>
      <w:r>
        <w:rPr>
          <w:rFonts w:hint="eastAsia" w:ascii="宋体" w:hAnsi="宋体"/>
          <w:color w:val="auto"/>
          <w:szCs w:val="21"/>
          <w:highlight w:val="none"/>
        </w:rPr>
        <w:sym w:font="Wingdings" w:char="00A8"/>
      </w:r>
      <w:r>
        <w:rPr>
          <w:rFonts w:hint="eastAsia" w:ascii="宋体" w:hAnsi="宋体"/>
          <w:color w:val="auto"/>
          <w:szCs w:val="21"/>
          <w:highlight w:val="none"/>
        </w:rPr>
        <w:t>表示未选择。</w:t>
      </w:r>
    </w:p>
    <w:p w14:paraId="7C76F8ED">
      <w:pPr>
        <w:tabs>
          <w:tab w:val="left" w:pos="4700"/>
          <w:tab w:val="left" w:pos="6000"/>
          <w:tab w:val="left" w:pos="7160"/>
          <w:tab w:val="left" w:pos="8520"/>
        </w:tabs>
        <w:autoSpaceDE w:val="0"/>
        <w:autoSpaceDN w:val="0"/>
        <w:adjustRightInd w:val="0"/>
        <w:snapToGrid w:val="0"/>
        <w:spacing w:line="360" w:lineRule="auto"/>
        <w:ind w:right="-23" w:firstLine="420" w:firstLineChars="200"/>
        <w:jc w:val="left"/>
        <w:rPr>
          <w:color w:val="auto"/>
          <w:highlight w:val="none"/>
        </w:rPr>
      </w:pPr>
      <w:r>
        <w:rPr>
          <w:rFonts w:hint="eastAsia" w:ascii="宋体" w:hAnsi="宋体"/>
          <w:color w:val="auto"/>
          <w:szCs w:val="21"/>
          <w:highlight w:val="none"/>
        </w:rPr>
        <w:t>2、投标人参与政府采购活动，无需向采购人、代理机构、交易平台缴纳任何费用。</w:t>
      </w:r>
    </w:p>
    <w:p w14:paraId="655B8696">
      <w:pPr>
        <w:adjustRightInd w:val="0"/>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十、采购项目联系人姓名和电话</w:t>
      </w:r>
    </w:p>
    <w:p w14:paraId="0BC5C396">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1、联系人姓名：</w:t>
      </w:r>
      <w:r>
        <w:rPr>
          <w:rFonts w:hint="eastAsia" w:ascii="宋体" w:hAnsi="宋体" w:cs="宋体"/>
          <w:i w:val="0"/>
          <w:iCs w:val="0"/>
          <w:caps w:val="0"/>
          <w:color w:val="auto"/>
          <w:spacing w:val="0"/>
          <w:kern w:val="0"/>
          <w:sz w:val="21"/>
          <w:szCs w:val="21"/>
          <w:highlight w:val="none"/>
          <w:lang w:val="en-US" w:eastAsia="zh-CN" w:bidi="ar"/>
        </w:rPr>
        <w:t>刘芳</w:t>
      </w:r>
      <w:r>
        <w:rPr>
          <w:rFonts w:hint="eastAsia" w:ascii="宋体" w:hAnsi="宋体"/>
          <w:color w:val="auto"/>
          <w:szCs w:val="21"/>
          <w:highlight w:val="none"/>
        </w:rPr>
        <w:t xml:space="preserve"> </w:t>
      </w:r>
    </w:p>
    <w:p w14:paraId="055381A4">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2、电话：</w:t>
      </w:r>
      <w:r>
        <w:rPr>
          <w:rFonts w:hint="eastAsia" w:ascii="宋体" w:hAnsi="宋体" w:cs="宋体"/>
          <w:i w:val="0"/>
          <w:iCs w:val="0"/>
          <w:caps w:val="0"/>
          <w:color w:val="auto"/>
          <w:spacing w:val="0"/>
          <w:kern w:val="0"/>
          <w:sz w:val="21"/>
          <w:szCs w:val="21"/>
          <w:highlight w:val="none"/>
          <w:lang w:val="en-US" w:eastAsia="zh-CN" w:bidi="ar"/>
        </w:rPr>
        <w:t>0731-22132327</w:t>
      </w:r>
    </w:p>
    <w:p w14:paraId="391481E3">
      <w:pPr>
        <w:adjustRightInd w:val="0"/>
        <w:snapToGrid w:val="0"/>
        <w:spacing w:line="360" w:lineRule="auto"/>
        <w:ind w:firstLine="413" w:firstLineChars="196"/>
        <w:rPr>
          <w:rFonts w:ascii="宋体" w:hAnsi="宋体"/>
          <w:b/>
          <w:bCs/>
          <w:color w:val="auto"/>
          <w:szCs w:val="21"/>
          <w:highlight w:val="none"/>
        </w:rPr>
      </w:pPr>
      <w:r>
        <w:rPr>
          <w:rFonts w:hint="eastAsia" w:ascii="宋体" w:hAnsi="宋体"/>
          <w:b/>
          <w:bCs/>
          <w:color w:val="auto"/>
          <w:szCs w:val="21"/>
          <w:highlight w:val="none"/>
        </w:rPr>
        <w:t>十一、采购人、采购代理机构的名称、地址和联系方法</w:t>
      </w:r>
    </w:p>
    <w:p w14:paraId="2DD4630A">
      <w:pPr>
        <w:adjustRightInd w:val="0"/>
        <w:snapToGrid w:val="0"/>
        <w:spacing w:line="360" w:lineRule="auto"/>
        <w:ind w:firstLine="413" w:firstLineChars="196"/>
        <w:rPr>
          <w:rFonts w:ascii="宋体" w:hAnsi="宋体"/>
          <w:b/>
          <w:bCs/>
          <w:color w:val="auto"/>
          <w:szCs w:val="21"/>
          <w:highlight w:val="none"/>
        </w:rPr>
      </w:pPr>
      <w:r>
        <w:rPr>
          <w:rFonts w:hint="eastAsia" w:ascii="宋体" w:hAnsi="宋体"/>
          <w:b/>
          <w:bCs/>
          <w:color w:val="auto"/>
          <w:szCs w:val="21"/>
          <w:highlight w:val="none"/>
        </w:rPr>
        <w:t>1</w:t>
      </w:r>
      <w:r>
        <w:rPr>
          <w:rFonts w:hint="eastAsia" w:ascii="宋体" w:hAnsi="宋体"/>
          <w:color w:val="auto"/>
          <w:szCs w:val="21"/>
          <w:highlight w:val="none"/>
        </w:rPr>
        <w:t>、</w:t>
      </w:r>
      <w:r>
        <w:rPr>
          <w:rFonts w:hint="eastAsia" w:ascii="宋体" w:hAnsi="宋体"/>
          <w:b/>
          <w:bCs/>
          <w:color w:val="auto"/>
          <w:szCs w:val="21"/>
          <w:highlight w:val="none"/>
        </w:rPr>
        <w:t>采购人信息</w:t>
      </w:r>
    </w:p>
    <w:p w14:paraId="282072F2">
      <w:pPr>
        <w:snapToGrid w:val="0"/>
        <w:spacing w:line="360" w:lineRule="auto"/>
        <w:ind w:firstLine="411" w:firstLineChars="196"/>
        <w:textAlignment w:val="baseline"/>
        <w:rPr>
          <w:rStyle w:val="49"/>
          <w:rFonts w:ascii="宋体" w:hAnsi="宋体"/>
          <w:color w:val="auto"/>
          <w:szCs w:val="21"/>
          <w:highlight w:val="none"/>
        </w:rPr>
      </w:pPr>
      <w:r>
        <w:rPr>
          <w:rStyle w:val="49"/>
          <w:rFonts w:ascii="宋体" w:hAnsi="宋体"/>
          <w:color w:val="auto"/>
          <w:szCs w:val="21"/>
          <w:highlight w:val="none"/>
        </w:rPr>
        <w:t>（1）名 称：</w:t>
      </w:r>
      <w:r>
        <w:rPr>
          <w:rStyle w:val="49"/>
          <w:rFonts w:hint="default" w:ascii="宋体" w:hAnsi="宋体"/>
          <w:color w:val="auto"/>
          <w:szCs w:val="21"/>
          <w:highlight w:val="none"/>
        </w:rPr>
        <w:t>株洲市疾病预防控制中心（株洲市卫生综合监督执法局）</w:t>
      </w:r>
      <w:r>
        <w:rPr>
          <w:rStyle w:val="49"/>
          <w:rFonts w:ascii="宋体" w:hAnsi="宋体"/>
          <w:color w:val="auto"/>
          <w:szCs w:val="21"/>
          <w:highlight w:val="none"/>
        </w:rPr>
        <w:t xml:space="preserve">                             </w:t>
      </w:r>
    </w:p>
    <w:p w14:paraId="4BD2BD2F">
      <w:pPr>
        <w:snapToGrid w:val="0"/>
        <w:spacing w:line="360" w:lineRule="auto"/>
        <w:ind w:firstLine="411" w:firstLineChars="196"/>
        <w:textAlignment w:val="baseline"/>
        <w:rPr>
          <w:rStyle w:val="49"/>
          <w:rFonts w:ascii="宋体" w:hAnsi="宋体"/>
          <w:color w:val="auto"/>
          <w:szCs w:val="21"/>
          <w:highlight w:val="none"/>
        </w:rPr>
      </w:pPr>
      <w:r>
        <w:rPr>
          <w:rStyle w:val="49"/>
          <w:rFonts w:ascii="宋体" w:hAnsi="宋体"/>
          <w:color w:val="auto"/>
          <w:szCs w:val="21"/>
          <w:highlight w:val="none"/>
        </w:rPr>
        <w:t>（2）地  址：</w:t>
      </w:r>
      <w:r>
        <w:rPr>
          <w:rStyle w:val="49"/>
          <w:rFonts w:hint="eastAsia" w:ascii="宋体" w:hAnsi="宋体" w:eastAsia="宋体" w:cs="Times New Roman"/>
          <w:color w:val="auto"/>
          <w:szCs w:val="21"/>
          <w:highlight w:val="none"/>
          <w:lang w:val="en-US" w:eastAsia="zh-CN"/>
        </w:rPr>
        <w:t>株洲市人民中路537号</w:t>
      </w:r>
      <w:r>
        <w:rPr>
          <w:rStyle w:val="49"/>
          <w:rFonts w:ascii="宋体" w:hAnsi="宋体"/>
          <w:color w:val="auto"/>
          <w:szCs w:val="21"/>
          <w:highlight w:val="none"/>
        </w:rPr>
        <w:t xml:space="preserve"> </w:t>
      </w:r>
    </w:p>
    <w:p w14:paraId="3D2EB469">
      <w:pPr>
        <w:snapToGrid w:val="0"/>
        <w:spacing w:line="360" w:lineRule="auto"/>
        <w:ind w:firstLine="420" w:firstLineChars="200"/>
        <w:textAlignment w:val="baseline"/>
        <w:rPr>
          <w:rStyle w:val="49"/>
          <w:rFonts w:ascii="宋体" w:hAnsi="宋体"/>
          <w:bCs/>
          <w:color w:val="auto"/>
          <w:szCs w:val="21"/>
          <w:highlight w:val="none"/>
        </w:rPr>
      </w:pPr>
      <w:r>
        <w:rPr>
          <w:rStyle w:val="49"/>
          <w:rFonts w:ascii="宋体" w:hAnsi="宋体"/>
          <w:color w:val="auto"/>
          <w:szCs w:val="21"/>
          <w:highlight w:val="none"/>
        </w:rPr>
        <w:t>（3）</w:t>
      </w:r>
      <w:r>
        <w:rPr>
          <w:rStyle w:val="49"/>
          <w:rFonts w:ascii="宋体" w:hAnsi="宋体"/>
          <w:bCs/>
          <w:color w:val="auto"/>
          <w:szCs w:val="21"/>
          <w:highlight w:val="none"/>
        </w:rPr>
        <w:t>联系人：</w:t>
      </w:r>
      <w:r>
        <w:rPr>
          <w:rFonts w:hint="eastAsia" w:ascii="宋体" w:hAnsi="宋体" w:cs="宋体"/>
          <w:i w:val="0"/>
          <w:iCs w:val="0"/>
          <w:caps w:val="0"/>
          <w:color w:val="auto"/>
          <w:spacing w:val="0"/>
          <w:kern w:val="0"/>
          <w:sz w:val="21"/>
          <w:szCs w:val="21"/>
          <w:highlight w:val="none"/>
          <w:lang w:val="en-US" w:eastAsia="zh-CN" w:bidi="ar"/>
        </w:rPr>
        <w:t>刘芳</w:t>
      </w:r>
    </w:p>
    <w:p w14:paraId="0F1081A6">
      <w:pPr>
        <w:snapToGrid w:val="0"/>
        <w:spacing w:line="360" w:lineRule="auto"/>
        <w:ind w:firstLine="420" w:firstLineChars="200"/>
        <w:textAlignment w:val="baseline"/>
        <w:rPr>
          <w:rStyle w:val="49"/>
          <w:rFonts w:ascii="宋体" w:hAnsi="宋体"/>
          <w:color w:val="auto"/>
          <w:szCs w:val="21"/>
          <w:highlight w:val="none"/>
        </w:rPr>
      </w:pPr>
      <w:r>
        <w:rPr>
          <w:rStyle w:val="49"/>
          <w:rFonts w:ascii="宋体" w:hAnsi="宋体"/>
          <w:color w:val="auto"/>
          <w:szCs w:val="21"/>
          <w:highlight w:val="none"/>
        </w:rPr>
        <w:t>（4）</w:t>
      </w:r>
      <w:r>
        <w:rPr>
          <w:rStyle w:val="49"/>
          <w:rFonts w:ascii="宋体" w:hAnsi="宋体"/>
          <w:bCs/>
          <w:color w:val="auto"/>
          <w:szCs w:val="21"/>
          <w:highlight w:val="none"/>
        </w:rPr>
        <w:t>电  话：</w:t>
      </w:r>
      <w:r>
        <w:rPr>
          <w:rFonts w:hint="eastAsia" w:ascii="宋体" w:hAnsi="宋体" w:cs="宋体"/>
          <w:i w:val="0"/>
          <w:iCs w:val="0"/>
          <w:caps w:val="0"/>
          <w:color w:val="auto"/>
          <w:spacing w:val="0"/>
          <w:kern w:val="0"/>
          <w:sz w:val="21"/>
          <w:szCs w:val="21"/>
          <w:highlight w:val="none"/>
          <w:lang w:val="en-US" w:eastAsia="zh-CN" w:bidi="ar"/>
        </w:rPr>
        <w:t>0731-22132327</w:t>
      </w:r>
    </w:p>
    <w:p w14:paraId="758D9EB9">
      <w:pPr>
        <w:snapToGrid w:val="0"/>
        <w:spacing w:line="360" w:lineRule="auto"/>
        <w:ind w:firstLine="411" w:firstLineChars="196"/>
        <w:textAlignment w:val="baseline"/>
        <w:rPr>
          <w:rStyle w:val="49"/>
          <w:rFonts w:ascii="宋体" w:hAnsi="宋体"/>
          <w:color w:val="auto"/>
          <w:szCs w:val="21"/>
          <w:highlight w:val="none"/>
        </w:rPr>
      </w:pPr>
      <w:r>
        <w:rPr>
          <w:rStyle w:val="49"/>
          <w:rFonts w:ascii="宋体" w:hAnsi="宋体"/>
          <w:color w:val="auto"/>
          <w:szCs w:val="21"/>
          <w:highlight w:val="none"/>
        </w:rPr>
        <w:t xml:space="preserve">（5）邮  编：412000 </w:t>
      </w:r>
    </w:p>
    <w:p w14:paraId="00B5B5A1">
      <w:pPr>
        <w:snapToGrid w:val="0"/>
        <w:spacing w:line="360" w:lineRule="auto"/>
        <w:ind w:firstLine="411" w:firstLineChars="196"/>
        <w:textAlignment w:val="baseline"/>
        <w:rPr>
          <w:rStyle w:val="49"/>
          <w:rFonts w:ascii="宋体" w:hAnsi="宋体"/>
          <w:color w:val="auto"/>
          <w:szCs w:val="21"/>
          <w:highlight w:val="none"/>
        </w:rPr>
      </w:pPr>
      <w:r>
        <w:rPr>
          <w:rStyle w:val="49"/>
          <w:rFonts w:ascii="宋体" w:hAnsi="宋体"/>
          <w:color w:val="auto"/>
          <w:szCs w:val="21"/>
          <w:highlight w:val="none"/>
        </w:rPr>
        <w:t>（6）电子邮箱：/</w:t>
      </w:r>
    </w:p>
    <w:p w14:paraId="665A1DD1">
      <w:pPr>
        <w:adjustRightInd w:val="0"/>
        <w:snapToGrid w:val="0"/>
        <w:spacing w:line="360" w:lineRule="auto"/>
        <w:ind w:firstLine="413" w:firstLineChars="196"/>
        <w:rPr>
          <w:rFonts w:ascii="宋体" w:hAnsi="宋体"/>
          <w:b/>
          <w:bCs/>
          <w:color w:val="auto"/>
          <w:szCs w:val="21"/>
          <w:highlight w:val="none"/>
        </w:rPr>
      </w:pPr>
      <w:r>
        <w:rPr>
          <w:rFonts w:hint="eastAsia" w:ascii="宋体" w:hAnsi="宋体"/>
          <w:b/>
          <w:bCs/>
          <w:color w:val="auto"/>
          <w:szCs w:val="21"/>
          <w:highlight w:val="none"/>
        </w:rPr>
        <w:t>2</w:t>
      </w:r>
      <w:r>
        <w:rPr>
          <w:rFonts w:hint="eastAsia" w:ascii="宋体" w:hAnsi="宋体"/>
          <w:color w:val="auto"/>
          <w:szCs w:val="21"/>
          <w:highlight w:val="none"/>
        </w:rPr>
        <w:t>、</w:t>
      </w:r>
      <w:r>
        <w:rPr>
          <w:rFonts w:hint="eastAsia" w:ascii="宋体" w:hAnsi="宋体"/>
          <w:b/>
          <w:bCs/>
          <w:color w:val="auto"/>
          <w:szCs w:val="21"/>
          <w:highlight w:val="none"/>
        </w:rPr>
        <w:t>采购代理机构信息</w:t>
      </w:r>
    </w:p>
    <w:p w14:paraId="23CD0A38">
      <w:pPr>
        <w:snapToGrid w:val="0"/>
        <w:spacing w:line="360" w:lineRule="auto"/>
        <w:ind w:firstLine="411" w:firstLineChars="196"/>
        <w:textAlignment w:val="baseline"/>
        <w:rPr>
          <w:rStyle w:val="49"/>
          <w:rFonts w:ascii="宋体" w:hAnsi="宋体"/>
          <w:color w:val="auto"/>
          <w:szCs w:val="21"/>
          <w:highlight w:val="none"/>
        </w:rPr>
      </w:pPr>
      <w:r>
        <w:rPr>
          <w:rStyle w:val="49"/>
          <w:rFonts w:ascii="宋体" w:hAnsi="宋体"/>
          <w:color w:val="auto"/>
          <w:szCs w:val="21"/>
          <w:highlight w:val="none"/>
        </w:rPr>
        <w:t>（1）</w:t>
      </w:r>
      <w:r>
        <w:rPr>
          <w:rStyle w:val="49"/>
          <w:rFonts w:ascii="宋体" w:hAnsi="宋体"/>
          <w:bCs/>
          <w:color w:val="auto"/>
          <w:szCs w:val="21"/>
          <w:highlight w:val="none"/>
        </w:rPr>
        <w:t>名  称：</w:t>
      </w:r>
      <w:r>
        <w:rPr>
          <w:rStyle w:val="49"/>
          <w:rFonts w:hint="eastAsia" w:ascii="宋体" w:hAnsi="宋体"/>
          <w:color w:val="auto"/>
          <w:szCs w:val="21"/>
          <w:highlight w:val="none"/>
        </w:rPr>
        <w:t>湖南宏飞工程咨询有限公司</w:t>
      </w:r>
    </w:p>
    <w:p w14:paraId="04AC3900">
      <w:pPr>
        <w:snapToGrid w:val="0"/>
        <w:spacing w:line="360" w:lineRule="auto"/>
        <w:ind w:firstLine="420" w:firstLineChars="200"/>
        <w:textAlignment w:val="baseline"/>
        <w:rPr>
          <w:rStyle w:val="49"/>
          <w:rFonts w:hint="default" w:ascii="宋体" w:hAnsi="宋体"/>
          <w:color w:val="auto"/>
          <w:szCs w:val="21"/>
          <w:highlight w:val="none"/>
        </w:rPr>
      </w:pPr>
      <w:r>
        <w:rPr>
          <w:rStyle w:val="49"/>
          <w:rFonts w:ascii="宋体" w:hAnsi="宋体"/>
          <w:color w:val="auto"/>
          <w:szCs w:val="21"/>
          <w:highlight w:val="none"/>
        </w:rPr>
        <w:t>（2）地  址：</w:t>
      </w:r>
      <w:r>
        <w:rPr>
          <w:rFonts w:hint="eastAsia" w:ascii="宋体" w:hAnsi="宋体" w:cs="宋体"/>
          <w:i w:val="0"/>
          <w:iCs w:val="0"/>
          <w:caps w:val="0"/>
          <w:color w:val="auto"/>
          <w:spacing w:val="0"/>
          <w:kern w:val="0"/>
          <w:sz w:val="21"/>
          <w:szCs w:val="21"/>
          <w:highlight w:val="none"/>
          <w:lang w:eastAsia="zh-CN" w:bidi="ar"/>
        </w:rPr>
        <w:t>株洲市天元区大汉信息产业园1栋1601</w:t>
      </w:r>
    </w:p>
    <w:p w14:paraId="6BA59C59">
      <w:pPr>
        <w:snapToGrid w:val="0"/>
        <w:spacing w:line="360" w:lineRule="auto"/>
        <w:ind w:firstLine="420" w:firstLineChars="200"/>
        <w:textAlignment w:val="baseline"/>
        <w:rPr>
          <w:rStyle w:val="49"/>
          <w:rFonts w:ascii="宋体" w:hAnsi="宋体"/>
          <w:color w:val="auto"/>
          <w:szCs w:val="21"/>
          <w:highlight w:val="none"/>
        </w:rPr>
      </w:pPr>
      <w:r>
        <w:rPr>
          <w:rStyle w:val="49"/>
          <w:rFonts w:ascii="宋体" w:hAnsi="宋体"/>
          <w:color w:val="auto"/>
          <w:szCs w:val="21"/>
          <w:highlight w:val="none"/>
        </w:rPr>
        <w:t>（3）联系人：</w:t>
      </w:r>
      <w:r>
        <w:rPr>
          <w:rFonts w:hint="eastAsia" w:ascii="宋体" w:hAnsi="宋体" w:cs="宋体"/>
          <w:i w:val="0"/>
          <w:iCs w:val="0"/>
          <w:caps w:val="0"/>
          <w:color w:val="auto"/>
          <w:spacing w:val="0"/>
          <w:kern w:val="0"/>
          <w:sz w:val="21"/>
          <w:szCs w:val="21"/>
          <w:highlight w:val="none"/>
          <w:lang w:val="en-US" w:eastAsia="zh-CN" w:bidi="ar"/>
        </w:rPr>
        <w:t>郭亚虎、冯雷、王春梅、胡超</w:t>
      </w:r>
      <w:r>
        <w:rPr>
          <w:rStyle w:val="49"/>
          <w:rFonts w:ascii="宋体" w:hAnsi="宋体"/>
          <w:color w:val="auto"/>
          <w:szCs w:val="21"/>
          <w:highlight w:val="none"/>
        </w:rPr>
        <w:t xml:space="preserve">  </w:t>
      </w:r>
    </w:p>
    <w:p w14:paraId="64236A72">
      <w:pPr>
        <w:snapToGrid w:val="0"/>
        <w:spacing w:line="360" w:lineRule="auto"/>
        <w:ind w:firstLine="420" w:firstLineChars="200"/>
        <w:textAlignment w:val="baseline"/>
        <w:rPr>
          <w:rStyle w:val="49"/>
          <w:rFonts w:ascii="宋体" w:hAnsi="宋体"/>
          <w:color w:val="auto"/>
          <w:szCs w:val="21"/>
          <w:highlight w:val="none"/>
        </w:rPr>
      </w:pPr>
      <w:r>
        <w:rPr>
          <w:rStyle w:val="49"/>
          <w:rFonts w:ascii="宋体" w:hAnsi="宋体"/>
          <w:color w:val="auto"/>
          <w:szCs w:val="21"/>
          <w:highlight w:val="none"/>
        </w:rPr>
        <w:t>（4）电  话：</w:t>
      </w:r>
      <w:r>
        <w:rPr>
          <w:rFonts w:hint="eastAsia" w:ascii="宋体" w:hAnsi="宋体" w:eastAsia="宋体" w:cs="宋体"/>
          <w:i w:val="0"/>
          <w:iCs w:val="0"/>
          <w:caps w:val="0"/>
          <w:color w:val="auto"/>
          <w:spacing w:val="0"/>
          <w:kern w:val="0"/>
          <w:sz w:val="21"/>
          <w:szCs w:val="21"/>
          <w:highlight w:val="none"/>
          <w:lang w:val="en-US" w:eastAsia="zh-CN" w:bidi="ar"/>
        </w:rPr>
        <w:t>15387333741、15173196798、13397336946</w:t>
      </w:r>
    </w:p>
    <w:p w14:paraId="18DD1568">
      <w:pPr>
        <w:snapToGrid w:val="0"/>
        <w:spacing w:line="360" w:lineRule="auto"/>
        <w:ind w:firstLine="420" w:firstLineChars="200"/>
        <w:textAlignment w:val="baseline"/>
        <w:rPr>
          <w:rStyle w:val="49"/>
          <w:rFonts w:ascii="宋体" w:hAnsi="宋体"/>
          <w:color w:val="auto"/>
          <w:szCs w:val="21"/>
          <w:highlight w:val="none"/>
        </w:rPr>
      </w:pPr>
      <w:r>
        <w:rPr>
          <w:rStyle w:val="49"/>
          <w:rFonts w:ascii="宋体" w:hAnsi="宋体"/>
          <w:color w:val="auto"/>
          <w:szCs w:val="21"/>
          <w:highlight w:val="none"/>
        </w:rPr>
        <w:t xml:space="preserve">（5）邮  编：412000 </w:t>
      </w:r>
    </w:p>
    <w:p w14:paraId="78C43874">
      <w:pPr>
        <w:snapToGrid w:val="0"/>
        <w:spacing w:line="360" w:lineRule="auto"/>
        <w:ind w:firstLine="420" w:firstLineChars="200"/>
        <w:textAlignment w:val="baseline"/>
        <w:rPr>
          <w:rStyle w:val="49"/>
          <w:rFonts w:hint="default"/>
          <w:color w:val="auto"/>
          <w:szCs w:val="21"/>
          <w:highlight w:val="none"/>
          <w:lang w:val="en-US"/>
        </w:rPr>
      </w:pPr>
      <w:r>
        <w:rPr>
          <w:rStyle w:val="49"/>
          <w:rFonts w:ascii="宋体" w:hAnsi="宋体"/>
          <w:color w:val="auto"/>
          <w:szCs w:val="21"/>
          <w:highlight w:val="none"/>
        </w:rPr>
        <w:t>（6）</w:t>
      </w:r>
      <w:r>
        <w:rPr>
          <w:rStyle w:val="49"/>
          <w:color w:val="auto"/>
          <w:szCs w:val="21"/>
          <w:highlight w:val="none"/>
        </w:rPr>
        <w:t>电子邮箱：</w:t>
      </w:r>
      <w:r>
        <w:rPr>
          <w:rStyle w:val="49"/>
          <w:rFonts w:hint="eastAsia" w:ascii="宋体" w:hAnsi="宋体"/>
          <w:color w:val="auto"/>
          <w:szCs w:val="21"/>
          <w:highlight w:val="none"/>
          <w:lang w:val="en-US"/>
        </w:rPr>
        <w:t>13180981@qq.com</w:t>
      </w:r>
    </w:p>
    <w:p w14:paraId="14F0526C">
      <w:pPr>
        <w:pStyle w:val="2"/>
        <w:spacing w:line="360" w:lineRule="auto"/>
        <w:ind w:firstLine="422"/>
        <w:rPr>
          <w:rFonts w:ascii="宋体" w:hAnsi="宋体" w:cs="微软雅黑"/>
          <w:b/>
          <w:bCs/>
          <w:color w:val="auto"/>
          <w:kern w:val="0"/>
          <w:position w:val="-1"/>
          <w:highlight w:val="none"/>
        </w:rPr>
      </w:pPr>
      <w:r>
        <w:rPr>
          <w:rFonts w:hint="eastAsia" w:ascii="宋体" w:hAnsi="宋体" w:cs="微软雅黑"/>
          <w:b/>
          <w:bCs/>
          <w:color w:val="auto"/>
          <w:kern w:val="0"/>
          <w:position w:val="-1"/>
          <w:highlight w:val="none"/>
        </w:rPr>
        <w:t>3、电子交易平台服务机构信息</w:t>
      </w:r>
    </w:p>
    <w:p w14:paraId="31FCF737">
      <w:pPr>
        <w:keepNext w:val="0"/>
        <w:keepLines w:val="0"/>
        <w:pageBreakBefore w:val="0"/>
        <w:widowControl w:val="0"/>
        <w:kinsoku/>
        <w:wordWrap/>
        <w:overflowPunct/>
        <w:topLinePunct w:val="0"/>
        <w:bidi w:val="0"/>
        <w:adjustRightInd/>
        <w:snapToGrid/>
        <w:spacing w:line="360" w:lineRule="auto"/>
        <w:ind w:right="0" w:firstLine="411" w:firstLineChars="196"/>
        <w:textAlignment w:val="auto"/>
        <w:rPr>
          <w:rFonts w:hint="eastAsia" w:ascii="宋体" w:hAnsi="宋体" w:eastAsia="宋体" w:cs="宋体"/>
          <w:color w:val="auto"/>
          <w:szCs w:val="21"/>
          <w:highlight w:val="none"/>
          <w:u w:val="none"/>
        </w:rPr>
      </w:pPr>
      <w:r>
        <w:rPr>
          <w:rFonts w:hint="eastAsia" w:ascii="宋体" w:hAnsi="宋体" w:eastAsia="宋体" w:cs="宋体"/>
          <w:color w:val="auto"/>
          <w:szCs w:val="21"/>
          <w:highlight w:val="none"/>
          <w:u w:val="none"/>
        </w:rPr>
        <w:t>（1）</w:t>
      </w:r>
      <w:r>
        <w:rPr>
          <w:rFonts w:hint="eastAsia" w:ascii="宋体" w:hAnsi="宋体" w:eastAsia="宋体" w:cs="宋体"/>
          <w:bCs/>
          <w:color w:val="auto"/>
          <w:szCs w:val="21"/>
          <w:highlight w:val="none"/>
          <w:u w:val="none"/>
        </w:rPr>
        <w:t>名  称：</w:t>
      </w:r>
      <w:r>
        <w:rPr>
          <w:rStyle w:val="49"/>
          <w:rFonts w:hint="eastAsia" w:ascii="宋体" w:hAnsi="宋体" w:eastAsia="宋体" w:cs="宋体"/>
          <w:color w:val="auto"/>
          <w:szCs w:val="21"/>
          <w:highlight w:val="none"/>
          <w:u w:val="none"/>
        </w:rPr>
        <w:t>湖南省公共服务平台株洲分平台</w:t>
      </w:r>
    </w:p>
    <w:p w14:paraId="442F0819">
      <w:pPr>
        <w:keepNext w:val="0"/>
        <w:keepLines w:val="0"/>
        <w:pageBreakBefore w:val="0"/>
        <w:widowControl w:val="0"/>
        <w:kinsoku/>
        <w:wordWrap/>
        <w:overflowPunct/>
        <w:topLinePunct w:val="0"/>
        <w:bidi w:val="0"/>
        <w:adjustRightInd/>
        <w:snapToGrid/>
        <w:spacing w:line="360" w:lineRule="auto"/>
        <w:ind w:right="0" w:firstLine="420" w:firstLineChars="200"/>
        <w:textAlignment w:val="auto"/>
        <w:rPr>
          <w:rFonts w:hint="eastAsia" w:ascii="宋体" w:hAnsi="宋体" w:eastAsia="宋体" w:cs="宋体"/>
          <w:color w:val="auto"/>
          <w:szCs w:val="21"/>
          <w:highlight w:val="none"/>
          <w:u w:val="none"/>
        </w:rPr>
      </w:pPr>
      <w:r>
        <w:rPr>
          <w:rFonts w:hint="eastAsia" w:ascii="宋体" w:hAnsi="宋体" w:eastAsia="宋体" w:cs="宋体"/>
          <w:color w:val="auto"/>
          <w:szCs w:val="21"/>
          <w:highlight w:val="none"/>
          <w:u w:val="none"/>
        </w:rPr>
        <w:t>（2）联系人：</w:t>
      </w:r>
      <w:r>
        <w:rPr>
          <w:rFonts w:hint="eastAsia" w:ascii="宋体" w:hAnsi="宋体" w:eastAsia="宋体" w:cs="宋体"/>
          <w:color w:val="auto"/>
          <w:szCs w:val="21"/>
          <w:highlight w:val="none"/>
          <w:u w:val="none"/>
          <w:lang w:val="en-US" w:eastAsia="zh-CN"/>
        </w:rPr>
        <w:t>技术支持/新点公司</w:t>
      </w:r>
    </w:p>
    <w:p w14:paraId="4F248843">
      <w:pPr>
        <w:keepNext w:val="0"/>
        <w:keepLines w:val="0"/>
        <w:pageBreakBefore w:val="0"/>
        <w:widowControl w:val="0"/>
        <w:kinsoku/>
        <w:wordWrap/>
        <w:overflowPunct/>
        <w:topLinePunct w:val="0"/>
        <w:bidi w:val="0"/>
        <w:adjustRightInd/>
        <w:snapToGrid/>
        <w:spacing w:line="360" w:lineRule="auto"/>
        <w:ind w:right="0" w:firstLine="420" w:firstLineChars="200"/>
        <w:textAlignment w:val="auto"/>
        <w:rPr>
          <w:rFonts w:hint="eastAsia" w:ascii="宋体" w:hAnsi="宋体" w:eastAsia="宋体" w:cs="宋体"/>
          <w:color w:val="auto"/>
          <w:szCs w:val="21"/>
          <w:highlight w:val="none"/>
          <w:u w:val="none"/>
        </w:rPr>
      </w:pPr>
      <w:r>
        <w:rPr>
          <w:rFonts w:hint="eastAsia" w:ascii="宋体" w:hAnsi="宋体" w:eastAsia="宋体" w:cs="宋体"/>
          <w:color w:val="auto"/>
          <w:szCs w:val="21"/>
          <w:highlight w:val="none"/>
          <w:u w:val="none"/>
        </w:rPr>
        <w:t xml:space="preserve">（3）电  话： </w:t>
      </w:r>
      <w:r>
        <w:rPr>
          <w:rFonts w:hint="eastAsia" w:ascii="宋体" w:hAnsi="宋体" w:eastAsia="宋体" w:cs="宋体"/>
          <w:color w:val="auto"/>
          <w:szCs w:val="21"/>
          <w:highlight w:val="none"/>
          <w:u w:val="none"/>
          <w:lang w:val="en-US" w:eastAsia="zh-CN"/>
        </w:rPr>
        <w:t>4009280095 ；4009980000 ；0731-28101310</w:t>
      </w:r>
    </w:p>
    <w:p w14:paraId="0BB80A86">
      <w:pPr>
        <w:adjustRightInd w:val="0"/>
        <w:snapToGrid w:val="0"/>
        <w:spacing w:line="360" w:lineRule="auto"/>
        <w:ind w:firstLine="420" w:firstLineChars="200"/>
        <w:rPr>
          <w:rFonts w:hint="eastAsia" w:ascii="宋体" w:hAnsi="宋体"/>
          <w:color w:val="auto"/>
          <w:szCs w:val="21"/>
          <w:highlight w:val="none"/>
          <w:u w:val="none"/>
          <w:lang w:val="en-US" w:eastAsia="zh-CN"/>
        </w:rPr>
      </w:pPr>
      <w:r>
        <w:rPr>
          <w:rFonts w:hint="eastAsia" w:ascii="宋体" w:hAnsi="宋体" w:eastAsia="宋体" w:cs="宋体"/>
          <w:color w:val="auto"/>
          <w:szCs w:val="21"/>
          <w:highlight w:val="none"/>
          <w:u w:val="none"/>
        </w:rPr>
        <w:t>（4）电子邮箱：</w:t>
      </w:r>
      <w:r>
        <w:rPr>
          <w:rFonts w:hint="eastAsia" w:ascii="宋体" w:hAnsi="宋体" w:eastAsia="宋体" w:cs="宋体"/>
          <w:color w:val="auto"/>
          <w:szCs w:val="21"/>
          <w:highlight w:val="none"/>
          <w:u w:val="none"/>
          <w:lang w:val="en-US" w:eastAsia="zh-CN"/>
        </w:rPr>
        <w:t>3562613576@qq.com、2496840774@qq.com</w:t>
      </w:r>
    </w:p>
    <w:p w14:paraId="678CABA1">
      <w:pPr>
        <w:adjustRightInd w:val="0"/>
        <w:snapToGrid w:val="0"/>
        <w:spacing w:line="360" w:lineRule="auto"/>
        <w:ind w:firstLine="420" w:firstLineChars="200"/>
        <w:rPr>
          <w:rFonts w:hint="eastAsia" w:ascii="宋体" w:hAnsi="宋体" w:eastAsia="宋体"/>
          <w:color w:val="auto"/>
          <w:szCs w:val="21"/>
          <w:highlight w:val="none"/>
          <w:u w:val="none"/>
          <w:lang w:val="en-US" w:eastAsia="zh-CN"/>
        </w:rPr>
      </w:pPr>
    </w:p>
    <w:p w14:paraId="422B5EC9">
      <w:pPr>
        <w:pStyle w:val="2"/>
        <w:rPr>
          <w:rFonts w:ascii="宋体" w:hAnsi="宋体"/>
          <w:color w:val="auto"/>
          <w:highlight w:val="none"/>
          <w:u w:val="single"/>
        </w:rPr>
      </w:pPr>
    </w:p>
    <w:p w14:paraId="253A0DCA">
      <w:pPr>
        <w:pStyle w:val="2"/>
        <w:rPr>
          <w:rFonts w:ascii="宋体" w:hAnsi="宋体"/>
          <w:color w:val="auto"/>
          <w:highlight w:val="none"/>
          <w:u w:val="single"/>
        </w:rPr>
      </w:pPr>
    </w:p>
    <w:p w14:paraId="69254578">
      <w:pPr>
        <w:pStyle w:val="2"/>
        <w:rPr>
          <w:rFonts w:ascii="宋体" w:hAnsi="宋体"/>
          <w:color w:val="auto"/>
          <w:highlight w:val="none"/>
          <w:u w:val="single"/>
        </w:rPr>
      </w:pPr>
    </w:p>
    <w:p w14:paraId="66248C46">
      <w:pPr>
        <w:tabs>
          <w:tab w:val="left" w:pos="5380"/>
          <w:tab w:val="left" w:pos="6520"/>
          <w:tab w:val="left" w:pos="7680"/>
        </w:tabs>
        <w:autoSpaceDE w:val="0"/>
        <w:autoSpaceDN w:val="0"/>
        <w:adjustRightInd w:val="0"/>
        <w:snapToGrid w:val="0"/>
        <w:spacing w:before="156" w:beforeLines="50"/>
        <w:ind w:left="4435" w:right="-20"/>
        <w:jc w:val="left"/>
        <w:rPr>
          <w:rFonts w:ascii="宋体" w:hAnsi="宋体" w:cs="微软雅黑"/>
          <w:strike/>
          <w:color w:val="auto"/>
          <w:kern w:val="0"/>
          <w:sz w:val="10"/>
          <w:szCs w:val="10"/>
          <w:highlight w:val="none"/>
        </w:rPr>
      </w:pPr>
      <w:r>
        <w:rPr>
          <w:rFonts w:hAnsi="华文中宋"/>
          <w:color w:val="auto"/>
          <w:highlight w:val="none"/>
        </w:rPr>
        <w:br w:type="page"/>
      </w:r>
    </w:p>
    <w:p w14:paraId="46FCD289">
      <w:pPr>
        <w:pStyle w:val="19"/>
        <w:adjustRightInd w:val="0"/>
        <w:snapToGrid w:val="0"/>
        <w:spacing w:line="360" w:lineRule="auto"/>
        <w:jc w:val="center"/>
        <w:outlineLvl w:val="0"/>
        <w:rPr>
          <w:rFonts w:ascii="黑体" w:hAnsi="华文中宋" w:eastAsia="黑体"/>
          <w:b/>
          <w:color w:val="auto"/>
          <w:spacing w:val="100"/>
          <w:sz w:val="32"/>
          <w:szCs w:val="32"/>
          <w:highlight w:val="none"/>
        </w:rPr>
      </w:pPr>
      <w:bookmarkStart w:id="9" w:name="_Toc13252"/>
      <w:r>
        <w:rPr>
          <w:rFonts w:hint="eastAsia" w:ascii="黑体" w:hAnsi="华文中宋" w:eastAsia="黑体"/>
          <w:b/>
          <w:color w:val="auto"/>
          <w:sz w:val="32"/>
          <w:szCs w:val="32"/>
          <w:highlight w:val="none"/>
        </w:rPr>
        <w:t>第二章 投标须知</w:t>
      </w:r>
      <w:bookmarkEnd w:id="0"/>
      <w:bookmarkEnd w:id="1"/>
      <w:bookmarkEnd w:id="2"/>
      <w:bookmarkEnd w:id="3"/>
      <w:bookmarkEnd w:id="4"/>
      <w:bookmarkEnd w:id="5"/>
      <w:bookmarkEnd w:id="6"/>
      <w:bookmarkEnd w:id="7"/>
      <w:bookmarkEnd w:id="9"/>
    </w:p>
    <w:p w14:paraId="7454A2D9">
      <w:pPr>
        <w:pStyle w:val="10"/>
        <w:adjustRightInd w:val="0"/>
        <w:snapToGrid w:val="0"/>
        <w:jc w:val="center"/>
        <w:rPr>
          <w:rFonts w:ascii="黑体" w:hAnsi="华文中宋" w:eastAsia="黑体"/>
          <w:color w:val="auto"/>
          <w:spacing w:val="100"/>
          <w:sz w:val="28"/>
          <w:szCs w:val="28"/>
          <w:highlight w:val="none"/>
        </w:rPr>
      </w:pPr>
      <w:bookmarkStart w:id="10" w:name="_Toc27652"/>
      <w:r>
        <w:rPr>
          <w:rFonts w:hint="eastAsia" w:ascii="黑体" w:hAnsi="华文中宋" w:eastAsia="黑体"/>
          <w:color w:val="auto"/>
          <w:sz w:val="28"/>
          <w:szCs w:val="28"/>
          <w:highlight w:val="none"/>
        </w:rPr>
        <w:t>第一节 投标须知前附表</w:t>
      </w:r>
      <w:bookmarkEnd w:id="10"/>
    </w:p>
    <w:p w14:paraId="5B662242">
      <w:pPr>
        <w:adjustRightInd w:val="0"/>
        <w:snapToGrid w:val="0"/>
        <w:spacing w:line="360" w:lineRule="auto"/>
        <w:ind w:right="31" w:rightChars="15"/>
        <w:jc w:val="right"/>
        <w:rPr>
          <w:rFonts w:ascii="宋体" w:hAnsi="宋体"/>
          <w:i/>
          <w:color w:val="auto"/>
          <w:szCs w:val="21"/>
          <w:highlight w:val="none"/>
        </w:rPr>
      </w:pPr>
      <w:r>
        <w:rPr>
          <w:rFonts w:hint="eastAsia" w:ascii="宋体" w:hAnsi="宋体"/>
          <w:i/>
          <w:color w:val="auto"/>
          <w:szCs w:val="21"/>
          <w:highlight w:val="none"/>
        </w:rPr>
        <w:t>注：本项目启用的条款在“编列内容规定”栏内以“</w:t>
      </w:r>
      <w:r>
        <w:rPr>
          <w:rFonts w:hint="eastAsia" w:ascii="宋体" w:hAnsi="宋体"/>
          <w:iCs/>
          <w:color w:val="auto"/>
          <w:szCs w:val="21"/>
          <w:highlight w:val="none"/>
        </w:rPr>
        <w:sym w:font="Wingdings" w:char="00FE"/>
      </w:r>
      <w:r>
        <w:rPr>
          <w:rFonts w:hint="eastAsia" w:ascii="宋体" w:hAnsi="宋体"/>
          <w:i/>
          <w:color w:val="auto"/>
          <w:szCs w:val="21"/>
          <w:highlight w:val="none"/>
        </w:rPr>
        <w:t>”标注。</w:t>
      </w:r>
    </w:p>
    <w:tbl>
      <w:tblPr>
        <w:tblStyle w:val="29"/>
        <w:tblW w:w="9488"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560"/>
        <w:gridCol w:w="2863"/>
        <w:gridCol w:w="5065"/>
      </w:tblGrid>
      <w:tr w14:paraId="242BD6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0" w:hRule="atLeast"/>
          <w:tblHeader/>
        </w:trPr>
        <w:tc>
          <w:tcPr>
            <w:tcW w:w="1560" w:type="dxa"/>
            <w:vAlign w:val="center"/>
          </w:tcPr>
          <w:p w14:paraId="35FF961E">
            <w:pPr>
              <w:adjustRightInd w:val="0"/>
              <w:snapToGrid w:val="0"/>
              <w:spacing w:line="400" w:lineRule="exact"/>
              <w:jc w:val="center"/>
              <w:rPr>
                <w:rFonts w:ascii="宋体" w:hAnsi="宋体"/>
                <w:b/>
                <w:color w:val="auto"/>
                <w:szCs w:val="21"/>
                <w:highlight w:val="none"/>
              </w:rPr>
            </w:pPr>
            <w:r>
              <w:rPr>
                <w:rFonts w:hint="eastAsia" w:ascii="宋体" w:hAnsi="宋体"/>
                <w:b/>
                <w:color w:val="auto"/>
                <w:szCs w:val="21"/>
                <w:highlight w:val="none"/>
              </w:rPr>
              <w:t>条款号</w:t>
            </w:r>
          </w:p>
        </w:tc>
        <w:tc>
          <w:tcPr>
            <w:tcW w:w="2863" w:type="dxa"/>
            <w:vAlign w:val="center"/>
          </w:tcPr>
          <w:p w14:paraId="3A2B1B92">
            <w:pPr>
              <w:adjustRightInd w:val="0"/>
              <w:snapToGrid w:val="0"/>
              <w:spacing w:line="400" w:lineRule="exact"/>
              <w:jc w:val="center"/>
              <w:rPr>
                <w:rFonts w:ascii="宋体" w:hAnsi="宋体"/>
                <w:b/>
                <w:color w:val="auto"/>
                <w:szCs w:val="21"/>
                <w:highlight w:val="none"/>
              </w:rPr>
            </w:pPr>
            <w:r>
              <w:rPr>
                <w:rFonts w:hint="eastAsia" w:ascii="宋体" w:hAnsi="宋体"/>
                <w:b/>
                <w:color w:val="auto"/>
                <w:szCs w:val="21"/>
                <w:highlight w:val="none"/>
              </w:rPr>
              <w:t>条款名称</w:t>
            </w:r>
          </w:p>
        </w:tc>
        <w:tc>
          <w:tcPr>
            <w:tcW w:w="5065" w:type="dxa"/>
            <w:vAlign w:val="center"/>
          </w:tcPr>
          <w:p w14:paraId="514C5A3F">
            <w:pPr>
              <w:adjustRightInd w:val="0"/>
              <w:snapToGrid w:val="0"/>
              <w:spacing w:line="400" w:lineRule="exact"/>
              <w:jc w:val="center"/>
              <w:rPr>
                <w:rFonts w:ascii="宋体" w:hAnsi="宋体"/>
                <w:b/>
                <w:color w:val="auto"/>
                <w:szCs w:val="21"/>
                <w:highlight w:val="none"/>
              </w:rPr>
            </w:pPr>
            <w:r>
              <w:rPr>
                <w:rFonts w:hint="eastAsia" w:ascii="宋体" w:hAnsi="宋体"/>
                <w:b/>
                <w:color w:val="auto"/>
                <w:szCs w:val="21"/>
                <w:highlight w:val="none"/>
              </w:rPr>
              <w:t>编列内容规定</w:t>
            </w:r>
          </w:p>
        </w:tc>
      </w:tr>
      <w:tr w14:paraId="53E51A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9488" w:type="dxa"/>
            <w:gridSpan w:val="3"/>
            <w:vAlign w:val="center"/>
          </w:tcPr>
          <w:p w14:paraId="7F0D1A9A">
            <w:pPr>
              <w:adjustRightInd w:val="0"/>
              <w:snapToGrid w:val="0"/>
              <w:spacing w:line="400" w:lineRule="exact"/>
              <w:rPr>
                <w:rFonts w:ascii="宋体" w:hAnsi="宋体"/>
                <w:color w:val="auto"/>
                <w:szCs w:val="21"/>
                <w:highlight w:val="none"/>
              </w:rPr>
            </w:pPr>
            <w:r>
              <w:rPr>
                <w:rFonts w:hint="eastAsia" w:ascii="宋体" w:hAnsi="宋体"/>
                <w:b/>
                <w:color w:val="auto"/>
                <w:szCs w:val="21"/>
                <w:highlight w:val="none"/>
              </w:rPr>
              <w:t>一、说明</w:t>
            </w:r>
          </w:p>
        </w:tc>
      </w:tr>
      <w:tr w14:paraId="556420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39A996A9">
            <w:pPr>
              <w:adjustRightInd w:val="0"/>
              <w:snapToGrid w:val="0"/>
              <w:spacing w:line="400" w:lineRule="exact"/>
              <w:jc w:val="center"/>
              <w:rPr>
                <w:rFonts w:ascii="宋体" w:hAnsi="宋体"/>
                <w:color w:val="auto"/>
                <w:szCs w:val="21"/>
                <w:highlight w:val="none"/>
              </w:rPr>
            </w:pPr>
            <w:r>
              <w:rPr>
                <w:rFonts w:hint="eastAsia" w:ascii="宋体" w:hAnsi="宋体"/>
                <w:color w:val="auto"/>
                <w:szCs w:val="21"/>
                <w:highlight w:val="none"/>
              </w:rPr>
              <w:t>第1.1款</w:t>
            </w:r>
          </w:p>
        </w:tc>
        <w:tc>
          <w:tcPr>
            <w:tcW w:w="2863" w:type="dxa"/>
            <w:vAlign w:val="center"/>
          </w:tcPr>
          <w:p w14:paraId="334B51F2">
            <w:pPr>
              <w:adjustRightInd w:val="0"/>
              <w:snapToGrid w:val="0"/>
              <w:spacing w:line="400" w:lineRule="exact"/>
              <w:rPr>
                <w:rFonts w:hAnsi="宋体"/>
                <w:color w:val="auto"/>
                <w:szCs w:val="21"/>
                <w:highlight w:val="none"/>
              </w:rPr>
            </w:pPr>
            <w:r>
              <w:rPr>
                <w:rFonts w:hint="eastAsia" w:hAnsi="宋体"/>
                <w:color w:val="auto"/>
                <w:szCs w:val="21"/>
                <w:highlight w:val="none"/>
              </w:rPr>
              <w:t>采购项目</w:t>
            </w:r>
          </w:p>
        </w:tc>
        <w:tc>
          <w:tcPr>
            <w:tcW w:w="5065" w:type="dxa"/>
            <w:vAlign w:val="center"/>
          </w:tcPr>
          <w:p w14:paraId="4A852523">
            <w:pPr>
              <w:adjustRightInd w:val="0"/>
              <w:snapToGrid w:val="0"/>
              <w:spacing w:line="400" w:lineRule="exact"/>
              <w:rPr>
                <w:rFonts w:hint="default" w:hAnsi="宋体" w:eastAsia="宋体"/>
                <w:color w:val="auto"/>
                <w:szCs w:val="21"/>
                <w:highlight w:val="none"/>
                <w:lang w:val="en-US" w:eastAsia="zh-CN"/>
              </w:rPr>
            </w:pPr>
            <w:r>
              <w:rPr>
                <w:rFonts w:hint="eastAsia" w:ascii="宋体" w:hAnsi="宋体"/>
                <w:color w:val="auto"/>
                <w:szCs w:val="21"/>
                <w:highlight w:val="none"/>
                <w:u w:val="none"/>
                <w:lang w:val="en-US" w:eastAsia="zh-CN"/>
              </w:rPr>
              <w:t>2026年传染病实验室检测仪器设备</w:t>
            </w:r>
          </w:p>
        </w:tc>
      </w:tr>
      <w:tr w14:paraId="1B10F9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7BF5E2E8">
            <w:pPr>
              <w:adjustRightInd w:val="0"/>
              <w:snapToGrid w:val="0"/>
              <w:spacing w:line="400" w:lineRule="exact"/>
              <w:jc w:val="center"/>
              <w:rPr>
                <w:rFonts w:ascii="宋体" w:hAnsi="宋体"/>
                <w:color w:val="auto"/>
                <w:szCs w:val="21"/>
                <w:highlight w:val="none"/>
              </w:rPr>
            </w:pPr>
            <w:r>
              <w:rPr>
                <w:rFonts w:hint="eastAsia" w:ascii="宋体" w:hAnsi="宋体"/>
                <w:color w:val="auto"/>
                <w:szCs w:val="21"/>
                <w:highlight w:val="none"/>
              </w:rPr>
              <w:t>第1.2款</w:t>
            </w:r>
          </w:p>
        </w:tc>
        <w:tc>
          <w:tcPr>
            <w:tcW w:w="2863" w:type="dxa"/>
            <w:vAlign w:val="center"/>
          </w:tcPr>
          <w:p w14:paraId="3C2C5A08">
            <w:pPr>
              <w:adjustRightInd w:val="0"/>
              <w:snapToGrid w:val="0"/>
              <w:spacing w:line="400" w:lineRule="exact"/>
              <w:rPr>
                <w:rFonts w:hAnsi="宋体"/>
                <w:color w:val="auto"/>
                <w:szCs w:val="21"/>
                <w:highlight w:val="none"/>
              </w:rPr>
            </w:pPr>
            <w:r>
              <w:rPr>
                <w:rFonts w:hint="eastAsia" w:ascii="宋体" w:hAnsi="宋体"/>
                <w:color w:val="auto"/>
                <w:szCs w:val="21"/>
                <w:highlight w:val="none"/>
              </w:rPr>
              <w:t>是否预留采购份额</w:t>
            </w:r>
          </w:p>
        </w:tc>
        <w:tc>
          <w:tcPr>
            <w:tcW w:w="5065" w:type="dxa"/>
            <w:vAlign w:val="center"/>
          </w:tcPr>
          <w:p w14:paraId="765BEC18">
            <w:pPr>
              <w:adjustRightInd w:val="0"/>
              <w:snapToGrid w:val="0"/>
              <w:spacing w:line="400" w:lineRule="exact"/>
              <w:rPr>
                <w:color w:val="auto"/>
                <w:highlight w:val="none"/>
                <w:u w:val="single"/>
              </w:rPr>
            </w:pPr>
            <w:r>
              <w:rPr>
                <w:rFonts w:hint="eastAsia"/>
                <w:color w:val="auto"/>
                <w:highlight w:val="none"/>
              </w:rPr>
              <w:sym w:font="Wingdings" w:char="00A8"/>
            </w:r>
            <w:r>
              <w:rPr>
                <w:rFonts w:hint="eastAsia"/>
                <w:color w:val="auto"/>
                <w:highlight w:val="none"/>
              </w:rPr>
              <w:t xml:space="preserve"> 是，预留方式：</w:t>
            </w:r>
            <w:r>
              <w:rPr>
                <w:rFonts w:hint="eastAsia"/>
                <w:color w:val="auto"/>
                <w:highlight w:val="none"/>
                <w:u w:val="single"/>
              </w:rPr>
              <w:t xml:space="preserve"> （整体项目专门面向中小/小微企业采购或强制分包采购）。</w:t>
            </w:r>
          </w:p>
          <w:p w14:paraId="40871490">
            <w:pPr>
              <w:pStyle w:val="48"/>
              <w:spacing w:line="400" w:lineRule="exact"/>
              <w:ind w:firstLine="0" w:firstLineChars="0"/>
              <w:rPr>
                <w:color w:val="auto"/>
                <w:highlight w:val="none"/>
              </w:rPr>
            </w:pPr>
            <w:r>
              <w:rPr>
                <w:rFonts w:hint="eastAsia" w:ascii="宋体" w:hAnsi="宋体"/>
                <w:iCs/>
                <w:color w:val="auto"/>
                <w:highlight w:val="none"/>
              </w:rPr>
              <w:sym w:font="Wingdings" w:char="00FE"/>
            </w:r>
            <w:r>
              <w:rPr>
                <w:rFonts w:hint="eastAsia" w:ascii="宋体" w:hAnsi="宋体"/>
                <w:iCs/>
                <w:color w:val="auto"/>
                <w:highlight w:val="none"/>
              </w:rPr>
              <w:t xml:space="preserve"> 否。</w:t>
            </w:r>
          </w:p>
        </w:tc>
      </w:tr>
      <w:tr w14:paraId="088D11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282D50FC">
            <w:pPr>
              <w:adjustRightInd w:val="0"/>
              <w:snapToGrid w:val="0"/>
              <w:spacing w:line="400" w:lineRule="exact"/>
              <w:jc w:val="center"/>
              <w:rPr>
                <w:rFonts w:ascii="宋体" w:hAnsi="宋体"/>
                <w:color w:val="auto"/>
                <w:szCs w:val="21"/>
                <w:highlight w:val="none"/>
              </w:rPr>
            </w:pPr>
            <w:r>
              <w:rPr>
                <w:rFonts w:hint="eastAsia" w:ascii="宋体" w:hAnsi="宋体"/>
                <w:color w:val="auto"/>
                <w:szCs w:val="21"/>
                <w:highlight w:val="none"/>
              </w:rPr>
              <w:t>第2.1</w:t>
            </w:r>
            <w:r>
              <w:rPr>
                <w:rFonts w:hint="eastAsia" w:ascii="宋体" w:hAnsi="宋体" w:cs="宋体"/>
                <w:color w:val="auto"/>
                <w:kern w:val="0"/>
                <w:szCs w:val="21"/>
                <w:highlight w:val="none"/>
                <w:lang w:val="zh-CN"/>
              </w:rPr>
              <w:t>款</w:t>
            </w:r>
          </w:p>
        </w:tc>
        <w:tc>
          <w:tcPr>
            <w:tcW w:w="2863" w:type="dxa"/>
          </w:tcPr>
          <w:p w14:paraId="543A39E6">
            <w:pPr>
              <w:adjustRightInd w:val="0"/>
              <w:snapToGrid w:val="0"/>
              <w:spacing w:line="400" w:lineRule="exact"/>
              <w:rPr>
                <w:rFonts w:ascii="宋体" w:hAnsi="宋体"/>
                <w:color w:val="auto"/>
                <w:szCs w:val="21"/>
                <w:highlight w:val="none"/>
              </w:rPr>
            </w:pPr>
            <w:r>
              <w:rPr>
                <w:rFonts w:hint="eastAsia" w:hAnsi="宋体"/>
                <w:color w:val="auto"/>
                <w:szCs w:val="21"/>
                <w:highlight w:val="none"/>
              </w:rPr>
              <w:t>采购项目联系人姓名和电话</w:t>
            </w:r>
          </w:p>
        </w:tc>
        <w:tc>
          <w:tcPr>
            <w:tcW w:w="5065" w:type="dxa"/>
            <w:vAlign w:val="center"/>
          </w:tcPr>
          <w:p w14:paraId="4789024E">
            <w:pPr>
              <w:snapToGrid w:val="0"/>
              <w:spacing w:line="400" w:lineRule="exact"/>
              <w:textAlignment w:val="baseline"/>
              <w:rPr>
                <w:rStyle w:val="49"/>
                <w:rFonts w:hAnsi="宋体"/>
                <w:color w:val="auto"/>
                <w:szCs w:val="21"/>
                <w:highlight w:val="none"/>
              </w:rPr>
            </w:pPr>
            <w:r>
              <w:rPr>
                <w:rStyle w:val="49"/>
                <w:rFonts w:hAnsi="宋体"/>
                <w:color w:val="auto"/>
                <w:szCs w:val="21"/>
                <w:highlight w:val="none"/>
              </w:rPr>
              <w:t>采购项目联系人：</w:t>
            </w:r>
            <w:r>
              <w:rPr>
                <w:rFonts w:hint="eastAsia" w:ascii="宋体" w:hAnsi="宋体" w:cs="宋体"/>
                <w:i w:val="0"/>
                <w:iCs w:val="0"/>
                <w:caps w:val="0"/>
                <w:color w:val="auto"/>
                <w:spacing w:val="0"/>
                <w:kern w:val="0"/>
                <w:sz w:val="21"/>
                <w:szCs w:val="21"/>
                <w:highlight w:val="none"/>
                <w:lang w:val="en-US" w:eastAsia="zh-CN" w:bidi="ar"/>
              </w:rPr>
              <w:t>刘芳</w:t>
            </w:r>
          </w:p>
          <w:p w14:paraId="05C7E8C5">
            <w:pPr>
              <w:snapToGrid w:val="0"/>
              <w:spacing w:line="400" w:lineRule="exact"/>
              <w:textAlignment w:val="baseline"/>
              <w:rPr>
                <w:rFonts w:hAnsi="宋体"/>
                <w:color w:val="auto"/>
                <w:szCs w:val="21"/>
                <w:highlight w:val="none"/>
              </w:rPr>
            </w:pPr>
            <w:r>
              <w:rPr>
                <w:rStyle w:val="49"/>
                <w:rFonts w:hint="eastAsia" w:ascii="宋体" w:hAnsi="宋体"/>
                <w:color w:val="auto"/>
                <w:szCs w:val="21"/>
                <w:highlight w:val="none"/>
              </w:rPr>
              <w:t>联系电话：</w:t>
            </w:r>
            <w:r>
              <w:rPr>
                <w:rFonts w:hint="eastAsia" w:ascii="宋体" w:hAnsi="宋体" w:cs="宋体"/>
                <w:i w:val="0"/>
                <w:iCs w:val="0"/>
                <w:caps w:val="0"/>
                <w:color w:val="auto"/>
                <w:spacing w:val="0"/>
                <w:kern w:val="0"/>
                <w:sz w:val="21"/>
                <w:szCs w:val="21"/>
                <w:highlight w:val="none"/>
                <w:lang w:val="en-US" w:eastAsia="zh-CN" w:bidi="ar"/>
              </w:rPr>
              <w:t>0731-22132327</w:t>
            </w:r>
          </w:p>
        </w:tc>
      </w:tr>
      <w:tr w14:paraId="78026A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72671C7E">
            <w:pPr>
              <w:adjustRightInd w:val="0"/>
              <w:snapToGrid w:val="0"/>
              <w:spacing w:line="400" w:lineRule="exact"/>
              <w:jc w:val="center"/>
              <w:rPr>
                <w:rFonts w:ascii="宋体" w:hAnsi="宋体"/>
                <w:color w:val="auto"/>
                <w:szCs w:val="21"/>
                <w:highlight w:val="none"/>
              </w:rPr>
            </w:pPr>
            <w:r>
              <w:rPr>
                <w:rFonts w:hint="eastAsia" w:ascii="宋体" w:hAnsi="宋体"/>
                <w:color w:val="auto"/>
                <w:szCs w:val="21"/>
                <w:highlight w:val="none"/>
              </w:rPr>
              <w:t>第2.2</w:t>
            </w:r>
            <w:r>
              <w:rPr>
                <w:rFonts w:hint="eastAsia" w:ascii="宋体" w:hAnsi="宋体" w:cs="宋体"/>
                <w:color w:val="auto"/>
                <w:kern w:val="0"/>
                <w:szCs w:val="21"/>
                <w:highlight w:val="none"/>
                <w:lang w:val="zh-CN"/>
              </w:rPr>
              <w:t>款</w:t>
            </w:r>
          </w:p>
        </w:tc>
        <w:tc>
          <w:tcPr>
            <w:tcW w:w="2863" w:type="dxa"/>
            <w:vAlign w:val="center"/>
          </w:tcPr>
          <w:p w14:paraId="52458D8D">
            <w:pPr>
              <w:adjustRightInd w:val="0"/>
              <w:snapToGrid w:val="0"/>
              <w:spacing w:line="400" w:lineRule="exact"/>
              <w:jc w:val="left"/>
              <w:rPr>
                <w:rFonts w:ascii="宋体" w:hAnsi="宋体"/>
                <w:color w:val="auto"/>
                <w:szCs w:val="21"/>
                <w:highlight w:val="none"/>
              </w:rPr>
            </w:pPr>
            <w:r>
              <w:rPr>
                <w:rFonts w:hint="eastAsia" w:hAnsi="宋体"/>
                <w:color w:val="auto"/>
                <w:szCs w:val="21"/>
                <w:highlight w:val="none"/>
              </w:rPr>
              <w:t>采购人名称、地址、电话、联系人</w:t>
            </w:r>
          </w:p>
        </w:tc>
        <w:tc>
          <w:tcPr>
            <w:tcW w:w="5065" w:type="dxa"/>
            <w:vAlign w:val="center"/>
          </w:tcPr>
          <w:p w14:paraId="0A250F3F">
            <w:pPr>
              <w:snapToGrid w:val="0"/>
              <w:spacing w:line="400" w:lineRule="exact"/>
              <w:textAlignment w:val="baseline"/>
              <w:rPr>
                <w:rStyle w:val="49"/>
                <w:rFonts w:ascii="宋体" w:hAnsi="宋体"/>
                <w:color w:val="auto"/>
                <w:szCs w:val="21"/>
                <w:highlight w:val="none"/>
              </w:rPr>
            </w:pPr>
            <w:r>
              <w:rPr>
                <w:rStyle w:val="49"/>
                <w:rFonts w:ascii="宋体" w:hAnsi="宋体"/>
                <w:color w:val="auto"/>
                <w:szCs w:val="21"/>
                <w:highlight w:val="none"/>
              </w:rPr>
              <w:t>采购人：</w:t>
            </w:r>
            <w:r>
              <w:rPr>
                <w:rStyle w:val="49"/>
                <w:rFonts w:hint="default" w:ascii="宋体" w:hAnsi="宋体"/>
                <w:color w:val="auto"/>
                <w:szCs w:val="21"/>
                <w:highlight w:val="none"/>
              </w:rPr>
              <w:t>株洲市疾病预防控制中心（株洲市卫生综合监督执法局）</w:t>
            </w:r>
          </w:p>
          <w:p w14:paraId="32E994AA">
            <w:pPr>
              <w:snapToGrid w:val="0"/>
              <w:spacing w:line="400" w:lineRule="exact"/>
              <w:textAlignment w:val="baseline"/>
              <w:rPr>
                <w:rStyle w:val="49"/>
                <w:rFonts w:ascii="宋体" w:hAnsi="宋体"/>
                <w:color w:val="auto"/>
                <w:szCs w:val="21"/>
                <w:highlight w:val="none"/>
              </w:rPr>
            </w:pPr>
            <w:r>
              <w:rPr>
                <w:rStyle w:val="49"/>
                <w:rFonts w:ascii="宋体" w:hAnsi="宋体"/>
                <w:color w:val="auto"/>
                <w:szCs w:val="21"/>
                <w:highlight w:val="none"/>
              </w:rPr>
              <w:t>地址：</w:t>
            </w:r>
            <w:r>
              <w:rPr>
                <w:rFonts w:hint="eastAsia" w:ascii="宋体" w:hAnsi="宋体" w:eastAsia="宋体" w:cs="宋体"/>
                <w:i w:val="0"/>
                <w:iCs w:val="0"/>
                <w:caps w:val="0"/>
                <w:color w:val="auto"/>
                <w:spacing w:val="0"/>
                <w:kern w:val="0"/>
                <w:sz w:val="21"/>
                <w:szCs w:val="21"/>
                <w:highlight w:val="none"/>
                <w:lang w:val="en-US" w:eastAsia="zh-CN" w:bidi="ar"/>
              </w:rPr>
              <w:t>株洲市人民中路537号</w:t>
            </w:r>
          </w:p>
          <w:p w14:paraId="6DD7C580">
            <w:pPr>
              <w:snapToGrid w:val="0"/>
              <w:spacing w:line="400" w:lineRule="exact"/>
              <w:textAlignment w:val="baseline"/>
              <w:rPr>
                <w:rStyle w:val="49"/>
                <w:rFonts w:ascii="宋体" w:hAnsi="宋体"/>
                <w:color w:val="auto"/>
                <w:szCs w:val="21"/>
                <w:highlight w:val="none"/>
              </w:rPr>
            </w:pPr>
            <w:r>
              <w:rPr>
                <w:rStyle w:val="49"/>
                <w:rFonts w:ascii="宋体" w:hAnsi="宋体"/>
                <w:color w:val="auto"/>
                <w:szCs w:val="21"/>
                <w:highlight w:val="none"/>
              </w:rPr>
              <w:t>联系人：</w:t>
            </w:r>
            <w:r>
              <w:rPr>
                <w:rFonts w:hint="eastAsia" w:ascii="宋体" w:hAnsi="宋体" w:cs="宋体"/>
                <w:i w:val="0"/>
                <w:iCs w:val="0"/>
                <w:caps w:val="0"/>
                <w:color w:val="auto"/>
                <w:spacing w:val="0"/>
                <w:kern w:val="0"/>
                <w:sz w:val="21"/>
                <w:szCs w:val="21"/>
                <w:highlight w:val="none"/>
                <w:lang w:val="en-US" w:eastAsia="zh-CN" w:bidi="ar"/>
              </w:rPr>
              <w:t>刘芳</w:t>
            </w:r>
          </w:p>
          <w:p w14:paraId="0754A27A">
            <w:pPr>
              <w:snapToGrid w:val="0"/>
              <w:spacing w:line="400" w:lineRule="exact"/>
              <w:textAlignment w:val="baseline"/>
              <w:rPr>
                <w:rFonts w:hAnsi="宋体"/>
                <w:color w:val="auto"/>
                <w:szCs w:val="21"/>
                <w:highlight w:val="none"/>
              </w:rPr>
            </w:pPr>
            <w:r>
              <w:rPr>
                <w:rStyle w:val="49"/>
                <w:rFonts w:ascii="宋体" w:hAnsi="宋体"/>
                <w:color w:val="auto"/>
                <w:szCs w:val="21"/>
                <w:highlight w:val="none"/>
              </w:rPr>
              <w:t>电  话：</w:t>
            </w:r>
            <w:r>
              <w:rPr>
                <w:rFonts w:hint="eastAsia" w:ascii="宋体" w:hAnsi="宋体" w:cs="宋体"/>
                <w:i w:val="0"/>
                <w:iCs w:val="0"/>
                <w:caps w:val="0"/>
                <w:color w:val="auto"/>
                <w:spacing w:val="0"/>
                <w:kern w:val="0"/>
                <w:sz w:val="21"/>
                <w:szCs w:val="21"/>
                <w:highlight w:val="none"/>
                <w:lang w:val="en-US" w:eastAsia="zh-CN" w:bidi="ar"/>
              </w:rPr>
              <w:t>0731-22132327</w:t>
            </w:r>
          </w:p>
        </w:tc>
      </w:tr>
      <w:tr w14:paraId="0354BFD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73B59B23">
            <w:pPr>
              <w:adjustRightInd w:val="0"/>
              <w:snapToGrid w:val="0"/>
              <w:spacing w:line="400" w:lineRule="exact"/>
              <w:jc w:val="center"/>
              <w:rPr>
                <w:rFonts w:ascii="宋体" w:hAnsi="宋体"/>
                <w:color w:val="auto"/>
                <w:szCs w:val="21"/>
                <w:highlight w:val="none"/>
              </w:rPr>
            </w:pPr>
            <w:r>
              <w:rPr>
                <w:rFonts w:hint="eastAsia" w:ascii="宋体" w:hAnsi="宋体"/>
                <w:color w:val="auto"/>
                <w:szCs w:val="21"/>
                <w:highlight w:val="none"/>
              </w:rPr>
              <w:t>第2.3</w:t>
            </w:r>
            <w:r>
              <w:rPr>
                <w:rFonts w:hint="eastAsia" w:ascii="宋体" w:hAnsi="宋体" w:cs="宋体"/>
                <w:color w:val="auto"/>
                <w:kern w:val="0"/>
                <w:szCs w:val="21"/>
                <w:highlight w:val="none"/>
                <w:lang w:val="zh-CN"/>
              </w:rPr>
              <w:t>款</w:t>
            </w:r>
          </w:p>
        </w:tc>
        <w:tc>
          <w:tcPr>
            <w:tcW w:w="2863" w:type="dxa"/>
            <w:vAlign w:val="center"/>
          </w:tcPr>
          <w:p w14:paraId="321B6CCC">
            <w:pPr>
              <w:adjustRightInd w:val="0"/>
              <w:snapToGrid w:val="0"/>
              <w:spacing w:line="400" w:lineRule="exact"/>
              <w:jc w:val="left"/>
              <w:rPr>
                <w:rFonts w:ascii="宋体" w:hAnsi="宋体"/>
                <w:color w:val="auto"/>
                <w:szCs w:val="21"/>
                <w:highlight w:val="none"/>
              </w:rPr>
            </w:pPr>
            <w:r>
              <w:rPr>
                <w:rFonts w:hint="eastAsia" w:hAnsi="宋体"/>
                <w:color w:val="auto"/>
                <w:szCs w:val="21"/>
                <w:highlight w:val="none"/>
              </w:rPr>
              <w:t>采购代理机构名称、地址、电话、联系人</w:t>
            </w:r>
          </w:p>
        </w:tc>
        <w:tc>
          <w:tcPr>
            <w:tcW w:w="5065" w:type="dxa"/>
            <w:vAlign w:val="center"/>
          </w:tcPr>
          <w:p w14:paraId="6488311E">
            <w:pPr>
              <w:snapToGrid w:val="0"/>
              <w:spacing w:line="400" w:lineRule="exact"/>
              <w:textAlignment w:val="baseline"/>
              <w:rPr>
                <w:rStyle w:val="49"/>
                <w:rFonts w:ascii="宋体" w:hAnsi="宋体"/>
                <w:color w:val="auto"/>
                <w:szCs w:val="21"/>
                <w:highlight w:val="none"/>
              </w:rPr>
            </w:pPr>
            <w:r>
              <w:rPr>
                <w:rStyle w:val="49"/>
                <w:rFonts w:ascii="宋体" w:hAnsi="宋体"/>
                <w:color w:val="auto"/>
                <w:szCs w:val="21"/>
                <w:highlight w:val="none"/>
              </w:rPr>
              <w:t>采购代理机构：</w:t>
            </w:r>
            <w:r>
              <w:rPr>
                <w:rStyle w:val="49"/>
                <w:rFonts w:hint="eastAsia" w:ascii="宋体" w:hAnsi="宋体"/>
                <w:color w:val="auto"/>
                <w:szCs w:val="21"/>
                <w:highlight w:val="none"/>
              </w:rPr>
              <w:t>湖南宏飞工程咨询有限公司</w:t>
            </w:r>
          </w:p>
          <w:p w14:paraId="21E658FB">
            <w:pPr>
              <w:snapToGrid w:val="0"/>
              <w:spacing w:line="400" w:lineRule="exact"/>
              <w:textAlignment w:val="baseline"/>
              <w:rPr>
                <w:rStyle w:val="49"/>
                <w:rFonts w:hint="default" w:ascii="宋体" w:hAnsi="宋体"/>
                <w:color w:val="auto"/>
                <w:szCs w:val="21"/>
                <w:highlight w:val="none"/>
              </w:rPr>
            </w:pPr>
            <w:r>
              <w:rPr>
                <w:rStyle w:val="49"/>
                <w:rFonts w:ascii="宋体" w:hAnsi="宋体"/>
                <w:color w:val="auto"/>
                <w:szCs w:val="21"/>
                <w:highlight w:val="none"/>
              </w:rPr>
              <w:t>地址：</w:t>
            </w:r>
            <w:r>
              <w:rPr>
                <w:rFonts w:hint="eastAsia" w:ascii="宋体" w:hAnsi="宋体" w:cs="宋体"/>
                <w:i w:val="0"/>
                <w:iCs w:val="0"/>
                <w:caps w:val="0"/>
                <w:color w:val="auto"/>
                <w:spacing w:val="0"/>
                <w:kern w:val="0"/>
                <w:sz w:val="21"/>
                <w:szCs w:val="21"/>
                <w:highlight w:val="none"/>
                <w:lang w:eastAsia="zh-CN" w:bidi="ar"/>
              </w:rPr>
              <w:t>株洲市天元区大汉信息产业园1栋1601</w:t>
            </w:r>
          </w:p>
          <w:p w14:paraId="411A427C">
            <w:pPr>
              <w:snapToGrid w:val="0"/>
              <w:spacing w:line="400" w:lineRule="exact"/>
              <w:textAlignment w:val="baseline"/>
              <w:rPr>
                <w:rStyle w:val="49"/>
                <w:rFonts w:ascii="宋体" w:hAnsi="宋体"/>
                <w:color w:val="auto"/>
                <w:szCs w:val="21"/>
                <w:highlight w:val="none"/>
              </w:rPr>
            </w:pPr>
            <w:r>
              <w:rPr>
                <w:rStyle w:val="49"/>
                <w:rFonts w:ascii="宋体" w:hAnsi="宋体"/>
                <w:color w:val="auto"/>
                <w:szCs w:val="21"/>
                <w:highlight w:val="none"/>
              </w:rPr>
              <w:t>联系人：</w:t>
            </w:r>
            <w:r>
              <w:rPr>
                <w:rFonts w:hint="eastAsia" w:ascii="宋体" w:hAnsi="宋体" w:cs="宋体"/>
                <w:i w:val="0"/>
                <w:iCs w:val="0"/>
                <w:caps w:val="0"/>
                <w:color w:val="auto"/>
                <w:spacing w:val="0"/>
                <w:kern w:val="0"/>
                <w:sz w:val="21"/>
                <w:szCs w:val="21"/>
                <w:highlight w:val="none"/>
                <w:lang w:val="en-US" w:eastAsia="zh-CN" w:bidi="ar"/>
              </w:rPr>
              <w:t>郭亚虎、冯雷、王春梅、胡超</w:t>
            </w:r>
            <w:r>
              <w:rPr>
                <w:rStyle w:val="49"/>
                <w:rFonts w:ascii="宋体" w:hAnsi="宋体"/>
                <w:color w:val="auto"/>
                <w:szCs w:val="21"/>
                <w:highlight w:val="none"/>
              </w:rPr>
              <w:t xml:space="preserve">  </w:t>
            </w:r>
          </w:p>
          <w:p w14:paraId="3BF339A8">
            <w:pPr>
              <w:snapToGrid w:val="0"/>
              <w:spacing w:line="400" w:lineRule="exact"/>
              <w:textAlignment w:val="baseline"/>
              <w:rPr>
                <w:rStyle w:val="49"/>
                <w:rFonts w:ascii="宋体" w:hAnsi="宋体"/>
                <w:color w:val="auto"/>
                <w:szCs w:val="21"/>
                <w:highlight w:val="none"/>
              </w:rPr>
            </w:pPr>
            <w:r>
              <w:rPr>
                <w:rStyle w:val="49"/>
                <w:rFonts w:ascii="宋体" w:hAnsi="宋体"/>
                <w:color w:val="auto"/>
                <w:szCs w:val="21"/>
                <w:highlight w:val="none"/>
              </w:rPr>
              <w:t>联系电话：</w:t>
            </w:r>
            <w:r>
              <w:rPr>
                <w:rFonts w:hint="eastAsia" w:ascii="宋体" w:hAnsi="宋体" w:eastAsia="宋体" w:cs="宋体"/>
                <w:i w:val="0"/>
                <w:iCs w:val="0"/>
                <w:caps w:val="0"/>
                <w:color w:val="auto"/>
                <w:spacing w:val="0"/>
                <w:kern w:val="0"/>
                <w:sz w:val="21"/>
                <w:szCs w:val="21"/>
                <w:highlight w:val="none"/>
                <w:lang w:val="en-US" w:eastAsia="zh-CN" w:bidi="ar"/>
              </w:rPr>
              <w:t>15387333741、15173196798、13397336946</w:t>
            </w:r>
          </w:p>
        </w:tc>
      </w:tr>
      <w:tr w14:paraId="16BA95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3E9C9EC6">
            <w:pPr>
              <w:adjustRightInd w:val="0"/>
              <w:snapToGrid w:val="0"/>
              <w:spacing w:line="400" w:lineRule="exact"/>
              <w:jc w:val="center"/>
              <w:rPr>
                <w:rFonts w:ascii="宋体" w:hAnsi="宋体"/>
                <w:color w:val="auto"/>
                <w:szCs w:val="21"/>
                <w:highlight w:val="none"/>
              </w:rPr>
            </w:pPr>
            <w:r>
              <w:rPr>
                <w:rFonts w:hint="eastAsia" w:ascii="宋体" w:hAnsi="宋体"/>
                <w:color w:val="auto"/>
                <w:szCs w:val="21"/>
                <w:highlight w:val="none"/>
              </w:rPr>
              <w:t>第3.1</w:t>
            </w:r>
            <w:r>
              <w:rPr>
                <w:rFonts w:hint="eastAsia" w:ascii="宋体" w:hAnsi="宋体" w:cs="宋体"/>
                <w:color w:val="auto"/>
                <w:kern w:val="0"/>
                <w:szCs w:val="21"/>
                <w:highlight w:val="none"/>
                <w:lang w:val="zh-CN"/>
              </w:rPr>
              <w:t>款</w:t>
            </w:r>
          </w:p>
        </w:tc>
        <w:tc>
          <w:tcPr>
            <w:tcW w:w="2863" w:type="dxa"/>
            <w:vAlign w:val="center"/>
          </w:tcPr>
          <w:p w14:paraId="23AC68F6">
            <w:pPr>
              <w:adjustRightInd w:val="0"/>
              <w:snapToGrid w:val="0"/>
              <w:spacing w:line="400" w:lineRule="exact"/>
              <w:jc w:val="left"/>
              <w:rPr>
                <w:rFonts w:hAnsi="宋体"/>
                <w:color w:val="auto"/>
                <w:szCs w:val="21"/>
                <w:highlight w:val="none"/>
              </w:rPr>
            </w:pPr>
            <w:r>
              <w:rPr>
                <w:rFonts w:hint="eastAsia" w:ascii="宋体" w:hAnsi="宋体"/>
                <w:color w:val="auto"/>
                <w:szCs w:val="21"/>
                <w:highlight w:val="none"/>
              </w:rPr>
              <w:t>投标人资格条件</w:t>
            </w:r>
          </w:p>
        </w:tc>
        <w:tc>
          <w:tcPr>
            <w:tcW w:w="5065" w:type="dxa"/>
            <w:vAlign w:val="center"/>
          </w:tcPr>
          <w:p w14:paraId="7A57DAE9">
            <w:pPr>
              <w:snapToGrid w:val="0"/>
              <w:spacing w:line="400" w:lineRule="exact"/>
              <w:textAlignment w:val="baseline"/>
              <w:rPr>
                <w:color w:val="auto"/>
                <w:highlight w:val="none"/>
              </w:rPr>
            </w:pPr>
            <w:r>
              <w:rPr>
                <w:rFonts w:hint="eastAsia"/>
                <w:color w:val="auto"/>
                <w:highlight w:val="none"/>
              </w:rPr>
              <w:t xml:space="preserve">1、投标人的基本资格条件：投标人必须是在中华人民共和国境内注册登记的法人、其他组织或者自然人，且应当符合《政府采购法》第二十二条第一款的规定，即： </w:t>
            </w:r>
          </w:p>
          <w:p w14:paraId="2A2E455B">
            <w:pPr>
              <w:snapToGrid w:val="0"/>
              <w:spacing w:line="400" w:lineRule="exact"/>
              <w:textAlignment w:val="baseline"/>
              <w:rPr>
                <w:color w:val="auto"/>
                <w:highlight w:val="none"/>
              </w:rPr>
            </w:pPr>
            <w:r>
              <w:rPr>
                <w:rFonts w:hint="eastAsia"/>
                <w:color w:val="auto"/>
                <w:highlight w:val="none"/>
              </w:rPr>
              <w:t>（1）具有独立承担民事责任的能力；</w:t>
            </w:r>
          </w:p>
          <w:p w14:paraId="6D8B5225">
            <w:pPr>
              <w:snapToGrid w:val="0"/>
              <w:spacing w:line="400" w:lineRule="exact"/>
              <w:textAlignment w:val="baseline"/>
              <w:rPr>
                <w:color w:val="auto"/>
                <w:highlight w:val="none"/>
              </w:rPr>
            </w:pPr>
            <w:r>
              <w:rPr>
                <w:rFonts w:hint="eastAsia"/>
                <w:color w:val="auto"/>
                <w:highlight w:val="none"/>
              </w:rPr>
              <w:t>（2）具有良好的商业信誉和健全的财务会计制度；</w:t>
            </w:r>
          </w:p>
          <w:p w14:paraId="750A2469">
            <w:pPr>
              <w:snapToGrid w:val="0"/>
              <w:spacing w:line="400" w:lineRule="exact"/>
              <w:textAlignment w:val="baseline"/>
              <w:rPr>
                <w:color w:val="auto"/>
                <w:highlight w:val="none"/>
              </w:rPr>
            </w:pPr>
            <w:r>
              <w:rPr>
                <w:rFonts w:hint="eastAsia"/>
                <w:color w:val="auto"/>
                <w:highlight w:val="none"/>
              </w:rPr>
              <w:t>（3）具有履行合同所必需的设备和专业技术能力；</w:t>
            </w:r>
          </w:p>
          <w:p w14:paraId="72F43976">
            <w:pPr>
              <w:snapToGrid w:val="0"/>
              <w:spacing w:line="400" w:lineRule="exact"/>
              <w:textAlignment w:val="baseline"/>
              <w:rPr>
                <w:color w:val="auto"/>
                <w:highlight w:val="none"/>
              </w:rPr>
            </w:pPr>
            <w:r>
              <w:rPr>
                <w:rFonts w:hint="eastAsia"/>
                <w:color w:val="auto"/>
                <w:highlight w:val="none"/>
              </w:rPr>
              <w:t>（4）有依法缴纳税收和社会保障资金的良好记录；</w:t>
            </w:r>
          </w:p>
          <w:p w14:paraId="32325FA1">
            <w:pPr>
              <w:snapToGrid w:val="0"/>
              <w:spacing w:line="400" w:lineRule="exact"/>
              <w:textAlignment w:val="baseline"/>
              <w:rPr>
                <w:color w:val="auto"/>
                <w:highlight w:val="none"/>
              </w:rPr>
            </w:pPr>
            <w:r>
              <w:rPr>
                <w:rFonts w:hint="eastAsia"/>
                <w:color w:val="auto"/>
                <w:highlight w:val="none"/>
              </w:rPr>
              <w:t>（5）参加政府采购活动前三年内，在经营活动中没有重大违法记录；</w:t>
            </w:r>
          </w:p>
          <w:p w14:paraId="1D842358">
            <w:pPr>
              <w:snapToGrid w:val="0"/>
              <w:spacing w:line="400" w:lineRule="exact"/>
              <w:textAlignment w:val="baseline"/>
              <w:rPr>
                <w:color w:val="auto"/>
                <w:highlight w:val="none"/>
              </w:rPr>
            </w:pPr>
            <w:r>
              <w:rPr>
                <w:rFonts w:hint="eastAsia"/>
                <w:color w:val="auto"/>
                <w:highlight w:val="none"/>
              </w:rPr>
              <w:t>（6）法律、行政法规规定的其他条件。</w:t>
            </w:r>
          </w:p>
          <w:p w14:paraId="69BEA356">
            <w:pPr>
              <w:snapToGrid w:val="0"/>
              <w:spacing w:line="400" w:lineRule="exact"/>
              <w:textAlignment w:val="baseline"/>
              <w:rPr>
                <w:rFonts w:hint="eastAsia"/>
                <w:color w:val="auto"/>
                <w:highlight w:val="none"/>
              </w:rPr>
            </w:pPr>
            <w:r>
              <w:rPr>
                <w:rFonts w:hint="eastAsia"/>
                <w:color w:val="auto"/>
                <w:highlight w:val="none"/>
              </w:rPr>
              <w:t>2、采购项目的特定资格条件：</w:t>
            </w:r>
          </w:p>
          <w:p w14:paraId="1AF9EFC4">
            <w:pPr>
              <w:snapToGrid w:val="0"/>
              <w:spacing w:line="400" w:lineRule="exact"/>
              <w:textAlignment w:val="baseline"/>
              <w:rPr>
                <w:rFonts w:hint="default"/>
                <w:color w:val="auto"/>
                <w:highlight w:val="none"/>
                <w:lang w:val="en-US"/>
              </w:rPr>
            </w:pPr>
            <w:r>
              <w:rPr>
                <w:rFonts w:hint="eastAsia"/>
                <w:color w:val="auto"/>
                <w:highlight w:val="none"/>
                <w:lang w:val="en-US"/>
              </w:rPr>
              <w:t>包1：</w:t>
            </w:r>
          </w:p>
          <w:p w14:paraId="08FAC9B0">
            <w:pPr>
              <w:snapToGrid w:val="0"/>
              <w:spacing w:line="400" w:lineRule="exact"/>
              <w:textAlignment w:val="baseline"/>
              <w:rPr>
                <w:rFonts w:hint="eastAsia"/>
                <w:color w:val="auto"/>
                <w:highlight w:val="none"/>
                <w:lang w:val="en-US" w:eastAsia="zh-CN"/>
              </w:rPr>
            </w:pPr>
            <w:r>
              <w:rPr>
                <w:rFonts w:hint="eastAsia" w:ascii="宋体" w:hAnsi="宋体" w:eastAsia="宋体" w:cs="宋体"/>
                <w:i w:val="0"/>
                <w:iCs w:val="0"/>
                <w:caps w:val="0"/>
                <w:color w:val="auto"/>
                <w:spacing w:val="0"/>
                <w:kern w:val="0"/>
                <w:sz w:val="21"/>
                <w:szCs w:val="21"/>
                <w:highlight w:val="none"/>
                <w:lang w:val="en-US" w:eastAsia="zh-CN" w:bidi="ar"/>
              </w:rPr>
              <w:t>具备食品药品监督管理部门颁发的医疗器械经营备案凭证（医疗器械经营许可证）</w:t>
            </w:r>
          </w:p>
          <w:p w14:paraId="1D6382A6">
            <w:pPr>
              <w:snapToGrid w:val="0"/>
              <w:spacing w:line="400" w:lineRule="exact"/>
              <w:textAlignment w:val="baseline"/>
              <w:rPr>
                <w:rFonts w:hint="eastAsia"/>
                <w:color w:val="auto"/>
                <w:highlight w:val="none"/>
                <w:lang w:val="en-US"/>
              </w:rPr>
            </w:pPr>
            <w:r>
              <w:rPr>
                <w:rFonts w:hint="eastAsia"/>
                <w:color w:val="auto"/>
                <w:highlight w:val="none"/>
                <w:lang w:val="en-US"/>
              </w:rPr>
              <w:t>包2：</w:t>
            </w:r>
          </w:p>
          <w:p w14:paraId="7A475F91">
            <w:pPr>
              <w:adjustRightInd w:val="0"/>
              <w:snapToGrid w:val="0"/>
              <w:spacing w:line="360" w:lineRule="auto"/>
              <w:rPr>
                <w:rFonts w:hint="eastAsia" w:ascii="宋体" w:hAnsi="宋体" w:eastAsia="宋体" w:cs="宋体"/>
                <w:i w:val="0"/>
                <w:iCs w:val="0"/>
                <w:caps w:val="0"/>
                <w:color w:val="auto"/>
                <w:spacing w:val="0"/>
                <w:kern w:val="0"/>
                <w:sz w:val="21"/>
                <w:szCs w:val="21"/>
                <w:highlight w:val="none"/>
                <w:lang w:val="en-US" w:eastAsia="zh-CN" w:bidi="ar"/>
              </w:rPr>
            </w:pPr>
            <w:r>
              <w:rPr>
                <w:rFonts w:hint="eastAsia" w:ascii="宋体" w:hAnsi="宋体" w:eastAsia="宋体" w:cs="宋体"/>
                <w:i w:val="0"/>
                <w:iCs w:val="0"/>
                <w:caps w:val="0"/>
                <w:color w:val="auto"/>
                <w:spacing w:val="0"/>
                <w:kern w:val="0"/>
                <w:sz w:val="21"/>
                <w:szCs w:val="21"/>
                <w:highlight w:val="none"/>
                <w:lang w:val="en-US" w:eastAsia="zh-CN" w:bidi="ar"/>
              </w:rPr>
              <w:t>具备食品药品监督管理部门颁发的医疗器械经营备案凭证（医疗器械经营许可证）</w:t>
            </w:r>
          </w:p>
          <w:p w14:paraId="71185FD2">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lang w:val="en-US" w:eastAsia="zh-CN"/>
              </w:rPr>
              <w:t>3</w:t>
            </w:r>
            <w:r>
              <w:rPr>
                <w:rFonts w:hint="eastAsia" w:ascii="宋体" w:hAnsi="宋体"/>
                <w:color w:val="auto"/>
                <w:szCs w:val="21"/>
                <w:highlight w:val="none"/>
              </w:rPr>
              <w:t>、单位负责人为同一人或者存在直接控股、管理关系的不同投标人，不得参加同一合同项下的政府采购活动。</w:t>
            </w:r>
          </w:p>
          <w:p w14:paraId="1BD4B1CB">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lang w:val="en-US" w:eastAsia="zh-CN"/>
              </w:rPr>
              <w:t>4</w:t>
            </w:r>
            <w:r>
              <w:rPr>
                <w:rFonts w:hint="eastAsia" w:ascii="宋体" w:hAnsi="宋体"/>
                <w:color w:val="auto"/>
                <w:szCs w:val="21"/>
                <w:highlight w:val="none"/>
              </w:rPr>
              <w:t>、为本采购项目提供整体设计、规范编制或者项目管理、监理、检测等服务的，不得再参加此项目的其他采购活动。</w:t>
            </w:r>
          </w:p>
          <w:p w14:paraId="7272108A">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、列入失信被执行人、重大税收违法失信主体名单、政府采购严重违法失信行为记录名单的，拒绝其参与政府采购活动。</w:t>
            </w:r>
          </w:p>
          <w:p w14:paraId="09F9F241">
            <w:pPr>
              <w:adjustRightInd w:val="0"/>
              <w:snapToGrid w:val="0"/>
              <w:spacing w:line="360" w:lineRule="auto"/>
              <w:rPr>
                <w:rFonts w:hint="default"/>
                <w:color w:val="auto"/>
                <w:highlight w:val="none"/>
                <w:lang w:val="en-US"/>
              </w:rPr>
            </w:pPr>
            <w:r>
              <w:rPr>
                <w:rFonts w:hint="eastAsia" w:ascii="宋体" w:hAnsi="宋体"/>
                <w:color w:val="auto"/>
                <w:szCs w:val="21"/>
                <w:highlight w:val="none"/>
                <w:lang w:val="en-US" w:eastAsia="zh-CN"/>
              </w:rPr>
              <w:t>6</w:t>
            </w:r>
            <w:r>
              <w:rPr>
                <w:rFonts w:hint="eastAsia" w:ascii="宋体" w:hAnsi="宋体"/>
                <w:color w:val="auto"/>
                <w:szCs w:val="21"/>
                <w:highlight w:val="none"/>
              </w:rPr>
              <w:t>、联合体投标。本次招标</w:t>
            </w:r>
            <w:r>
              <w:rPr>
                <w:rFonts w:hint="eastAsia" w:ascii="宋体" w:hAnsi="宋体"/>
                <w:color w:val="auto"/>
                <w:szCs w:val="21"/>
                <w:highlight w:val="none"/>
                <w:u w:val="single"/>
              </w:rPr>
              <w:t xml:space="preserve"> 不接受 </w:t>
            </w:r>
            <w:r>
              <w:rPr>
                <w:rFonts w:hint="eastAsia" w:ascii="宋体" w:hAnsi="宋体"/>
                <w:color w:val="auto"/>
                <w:szCs w:val="21"/>
                <w:highlight w:val="none"/>
              </w:rPr>
              <w:t>联合体投标。接受联合体投标的，联合体应当具备下列条件：</w:t>
            </w:r>
            <w:r>
              <w:rPr>
                <w:rFonts w:hint="eastAsia" w:ascii="宋体" w:hAnsi="宋体"/>
                <w:color w:val="auto"/>
                <w:szCs w:val="21"/>
                <w:highlight w:val="none"/>
                <w:u w:val="single"/>
              </w:rPr>
              <w:t xml:space="preserve">       /  </w:t>
            </w:r>
            <w:r>
              <w:rPr>
                <w:rFonts w:hint="eastAsia" w:ascii="宋体" w:hAnsi="宋体"/>
                <w:color w:val="auto"/>
                <w:szCs w:val="21"/>
                <w:highlight w:val="none"/>
              </w:rPr>
              <w:t>。</w:t>
            </w:r>
          </w:p>
        </w:tc>
      </w:tr>
      <w:tr w14:paraId="565D96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40E45F23">
            <w:pPr>
              <w:adjustRightInd w:val="0"/>
              <w:snapToGrid w:val="0"/>
              <w:spacing w:line="400" w:lineRule="exact"/>
              <w:jc w:val="center"/>
              <w:rPr>
                <w:rFonts w:ascii="宋体" w:hAnsi="宋体"/>
                <w:color w:val="auto"/>
                <w:szCs w:val="21"/>
                <w:highlight w:val="none"/>
              </w:rPr>
            </w:pPr>
            <w:r>
              <w:rPr>
                <w:rFonts w:hint="eastAsia" w:ascii="宋体" w:hAnsi="宋体"/>
                <w:color w:val="auto"/>
                <w:szCs w:val="21"/>
                <w:highlight w:val="none"/>
              </w:rPr>
              <w:t>第3.2</w:t>
            </w:r>
            <w:r>
              <w:rPr>
                <w:rFonts w:hint="eastAsia" w:ascii="宋体" w:hAnsi="宋体" w:cs="宋体"/>
                <w:color w:val="auto"/>
                <w:kern w:val="0"/>
                <w:szCs w:val="21"/>
                <w:highlight w:val="none"/>
                <w:lang w:val="zh-CN"/>
              </w:rPr>
              <w:t>款</w:t>
            </w:r>
          </w:p>
        </w:tc>
        <w:tc>
          <w:tcPr>
            <w:tcW w:w="2863" w:type="dxa"/>
            <w:vAlign w:val="center"/>
          </w:tcPr>
          <w:p w14:paraId="2B0CFC07">
            <w:pPr>
              <w:adjustRightInd w:val="0"/>
              <w:snapToGrid w:val="0"/>
              <w:spacing w:line="400" w:lineRule="exact"/>
              <w:jc w:val="left"/>
              <w:rPr>
                <w:rFonts w:hAnsi="宋体"/>
                <w:color w:val="auto"/>
                <w:szCs w:val="21"/>
                <w:highlight w:val="none"/>
              </w:rPr>
            </w:pPr>
            <w:r>
              <w:rPr>
                <w:rFonts w:hint="eastAsia" w:hAnsi="宋体"/>
                <w:color w:val="auto"/>
                <w:szCs w:val="21"/>
                <w:highlight w:val="none"/>
              </w:rPr>
              <w:t>接受联合体形式投标</w:t>
            </w:r>
          </w:p>
        </w:tc>
        <w:tc>
          <w:tcPr>
            <w:tcW w:w="5065" w:type="dxa"/>
            <w:vAlign w:val="center"/>
          </w:tcPr>
          <w:p w14:paraId="144EDDBB">
            <w:pPr>
              <w:adjustRightInd w:val="0"/>
              <w:snapToGrid w:val="0"/>
              <w:spacing w:line="400" w:lineRule="exact"/>
              <w:rPr>
                <w:color w:val="auto"/>
                <w:highlight w:val="none"/>
                <w:u w:val="single"/>
              </w:rPr>
            </w:pPr>
            <w:r>
              <w:rPr>
                <w:rFonts w:hint="eastAsia"/>
                <w:color w:val="auto"/>
                <w:highlight w:val="none"/>
              </w:rPr>
              <w:sym w:font="Wingdings" w:char="00A8"/>
            </w:r>
            <w:r>
              <w:rPr>
                <w:rFonts w:hint="eastAsia"/>
                <w:color w:val="auto"/>
                <w:highlight w:val="none"/>
              </w:rPr>
              <w:t xml:space="preserve"> 接受，联合体应当具备下列条件：</w:t>
            </w:r>
            <w:r>
              <w:rPr>
                <w:rFonts w:hint="eastAsia"/>
                <w:color w:val="auto"/>
                <w:highlight w:val="none"/>
                <w:u w:val="single"/>
              </w:rPr>
              <w:t xml:space="preserve">         。</w:t>
            </w:r>
          </w:p>
          <w:p w14:paraId="4DACD18B">
            <w:pPr>
              <w:adjustRightInd w:val="0"/>
              <w:snapToGrid w:val="0"/>
              <w:spacing w:line="400" w:lineRule="exact"/>
              <w:rPr>
                <w:rFonts w:hAnsi="宋体"/>
                <w:color w:val="auto"/>
                <w:szCs w:val="21"/>
                <w:highlight w:val="none"/>
              </w:rPr>
            </w:pPr>
            <w:r>
              <w:rPr>
                <w:rFonts w:hint="eastAsia" w:ascii="宋体" w:hAnsi="宋体"/>
                <w:iCs/>
                <w:color w:val="auto"/>
                <w:szCs w:val="21"/>
                <w:highlight w:val="none"/>
              </w:rPr>
              <w:sym w:font="Wingdings" w:char="00FE"/>
            </w:r>
            <w:r>
              <w:rPr>
                <w:rFonts w:hint="eastAsia" w:ascii="宋体" w:hAnsi="宋体"/>
                <w:iCs/>
                <w:color w:val="auto"/>
                <w:szCs w:val="21"/>
                <w:highlight w:val="none"/>
              </w:rPr>
              <w:t xml:space="preserve"> 不接受。</w:t>
            </w:r>
          </w:p>
        </w:tc>
      </w:tr>
      <w:tr w14:paraId="5478C3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25673EFC">
            <w:pPr>
              <w:adjustRightInd w:val="0"/>
              <w:snapToGrid w:val="0"/>
              <w:spacing w:line="400" w:lineRule="exact"/>
              <w:jc w:val="center"/>
              <w:rPr>
                <w:rFonts w:ascii="宋体" w:hAnsi="宋体"/>
                <w:color w:val="auto"/>
                <w:szCs w:val="21"/>
                <w:highlight w:val="none"/>
              </w:rPr>
            </w:pPr>
            <w:r>
              <w:rPr>
                <w:rFonts w:hint="eastAsia" w:ascii="宋体" w:hAnsi="宋体"/>
                <w:color w:val="auto"/>
                <w:szCs w:val="21"/>
                <w:highlight w:val="none"/>
              </w:rPr>
              <w:t>第5.1</w:t>
            </w:r>
            <w:r>
              <w:rPr>
                <w:rFonts w:hint="eastAsia" w:ascii="宋体" w:hAnsi="宋体" w:cs="宋体"/>
                <w:color w:val="auto"/>
                <w:kern w:val="0"/>
                <w:szCs w:val="21"/>
                <w:highlight w:val="none"/>
                <w:lang w:val="zh-CN"/>
              </w:rPr>
              <w:t>款</w:t>
            </w:r>
          </w:p>
        </w:tc>
        <w:tc>
          <w:tcPr>
            <w:tcW w:w="2863" w:type="dxa"/>
            <w:vAlign w:val="center"/>
          </w:tcPr>
          <w:p w14:paraId="5295EBF9">
            <w:pPr>
              <w:adjustRightInd w:val="0"/>
              <w:snapToGrid w:val="0"/>
              <w:spacing w:line="400" w:lineRule="exact"/>
              <w:jc w:val="left"/>
              <w:rPr>
                <w:rFonts w:hAnsi="宋体"/>
                <w:color w:val="auto"/>
                <w:szCs w:val="21"/>
                <w:highlight w:val="none"/>
              </w:rPr>
            </w:pPr>
            <w:r>
              <w:rPr>
                <w:rFonts w:hint="eastAsia" w:ascii="宋体" w:hAnsi="宋体"/>
                <w:color w:val="auto"/>
                <w:szCs w:val="21"/>
                <w:highlight w:val="none"/>
              </w:rPr>
              <w:t>招标文件提供期限</w:t>
            </w:r>
          </w:p>
        </w:tc>
        <w:tc>
          <w:tcPr>
            <w:tcW w:w="5065" w:type="dxa"/>
            <w:vAlign w:val="center"/>
          </w:tcPr>
          <w:p w14:paraId="1F353A91">
            <w:pPr>
              <w:adjustRightInd w:val="0"/>
              <w:snapToGrid w:val="0"/>
              <w:spacing w:line="400" w:lineRule="exact"/>
              <w:rPr>
                <w:rFonts w:hAnsi="宋体"/>
                <w:color w:val="auto"/>
                <w:szCs w:val="21"/>
                <w:highlight w:val="none"/>
              </w:rPr>
            </w:pPr>
            <w:r>
              <w:rPr>
                <w:rStyle w:val="49"/>
                <w:rFonts w:hint="eastAsia"/>
                <w:color w:val="auto"/>
                <w:highlight w:val="none"/>
              </w:rPr>
              <w:t>2026年8月</w:t>
            </w:r>
            <w:r>
              <w:rPr>
                <w:rStyle w:val="49"/>
                <w:rFonts w:hint="eastAsia"/>
                <w:color w:val="auto"/>
                <w:highlight w:val="none"/>
                <w:lang w:val="en-US"/>
              </w:rPr>
              <w:t>20</w:t>
            </w:r>
            <w:r>
              <w:rPr>
                <w:rStyle w:val="49"/>
                <w:color w:val="auto"/>
                <w:highlight w:val="none"/>
              </w:rPr>
              <w:t>日至</w:t>
            </w:r>
            <w:r>
              <w:rPr>
                <w:rStyle w:val="49"/>
                <w:rFonts w:hint="eastAsia"/>
                <w:color w:val="auto"/>
                <w:highlight w:val="none"/>
              </w:rPr>
              <w:t>202</w:t>
            </w:r>
            <w:r>
              <w:rPr>
                <w:rStyle w:val="49"/>
                <w:rFonts w:hint="eastAsia"/>
                <w:color w:val="auto"/>
                <w:highlight w:val="none"/>
                <w:lang w:val="en-US"/>
              </w:rPr>
              <w:t>6</w:t>
            </w:r>
            <w:r>
              <w:rPr>
                <w:rStyle w:val="49"/>
                <w:rFonts w:hint="eastAsia"/>
                <w:color w:val="auto"/>
                <w:highlight w:val="none"/>
              </w:rPr>
              <w:t>年</w:t>
            </w:r>
            <w:r>
              <w:rPr>
                <w:rStyle w:val="49"/>
                <w:rFonts w:hint="eastAsia"/>
                <w:color w:val="auto"/>
                <w:highlight w:val="none"/>
                <w:lang w:val="en-US"/>
              </w:rPr>
              <w:t>8</w:t>
            </w:r>
            <w:r>
              <w:rPr>
                <w:rStyle w:val="49"/>
                <w:color w:val="auto"/>
                <w:highlight w:val="none"/>
              </w:rPr>
              <w:t>月</w:t>
            </w:r>
            <w:r>
              <w:rPr>
                <w:rStyle w:val="49"/>
                <w:rFonts w:hint="eastAsia"/>
                <w:color w:val="auto"/>
                <w:highlight w:val="none"/>
                <w:lang w:val="en-US"/>
              </w:rPr>
              <w:t>27</w:t>
            </w:r>
            <w:r>
              <w:rPr>
                <w:rStyle w:val="49"/>
                <w:color w:val="auto"/>
                <w:highlight w:val="none"/>
              </w:rPr>
              <w:t>日</w:t>
            </w:r>
          </w:p>
        </w:tc>
      </w:tr>
      <w:tr w14:paraId="047339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59E82FD0">
            <w:pPr>
              <w:adjustRightInd w:val="0"/>
              <w:snapToGrid w:val="0"/>
              <w:spacing w:line="400" w:lineRule="exact"/>
              <w:jc w:val="center"/>
              <w:rPr>
                <w:rFonts w:ascii="宋体" w:hAnsi="宋体"/>
                <w:color w:val="auto"/>
                <w:szCs w:val="21"/>
                <w:highlight w:val="none"/>
              </w:rPr>
            </w:pPr>
            <w:r>
              <w:rPr>
                <w:rFonts w:hint="eastAsia" w:ascii="宋体" w:hAnsi="宋体"/>
                <w:color w:val="auto"/>
                <w:szCs w:val="21"/>
                <w:highlight w:val="none"/>
              </w:rPr>
              <w:t>第5.2</w:t>
            </w:r>
            <w:r>
              <w:rPr>
                <w:rFonts w:hint="eastAsia" w:ascii="宋体" w:hAnsi="宋体" w:cs="宋体"/>
                <w:color w:val="auto"/>
                <w:kern w:val="0"/>
                <w:szCs w:val="21"/>
                <w:highlight w:val="none"/>
                <w:lang w:val="zh-CN"/>
              </w:rPr>
              <w:t>款</w:t>
            </w:r>
          </w:p>
        </w:tc>
        <w:tc>
          <w:tcPr>
            <w:tcW w:w="2863" w:type="dxa"/>
            <w:vAlign w:val="center"/>
          </w:tcPr>
          <w:p w14:paraId="74C0F0F4">
            <w:pPr>
              <w:adjustRightInd w:val="0"/>
              <w:snapToGrid w:val="0"/>
              <w:spacing w:line="400" w:lineRule="exact"/>
              <w:jc w:val="left"/>
              <w:rPr>
                <w:rFonts w:ascii="宋体" w:hAnsi="宋体"/>
                <w:color w:val="auto"/>
                <w:szCs w:val="21"/>
                <w:highlight w:val="none"/>
              </w:rPr>
            </w:pPr>
            <w:r>
              <w:rPr>
                <w:rFonts w:hint="eastAsia" w:ascii="宋体" w:hAnsi="宋体"/>
                <w:color w:val="auto"/>
                <w:szCs w:val="21"/>
                <w:highlight w:val="none"/>
              </w:rPr>
              <w:t>组织现场考察或者召开答疑会</w:t>
            </w:r>
          </w:p>
        </w:tc>
        <w:tc>
          <w:tcPr>
            <w:tcW w:w="5065" w:type="dxa"/>
            <w:vAlign w:val="center"/>
          </w:tcPr>
          <w:p w14:paraId="67C4495E">
            <w:pPr>
              <w:snapToGrid w:val="0"/>
              <w:spacing w:line="400" w:lineRule="exact"/>
              <w:textAlignment w:val="baseline"/>
              <w:rPr>
                <w:rFonts w:ascii="宋体" w:hAnsi="宋体"/>
                <w:iCs/>
                <w:color w:val="auto"/>
                <w:szCs w:val="21"/>
                <w:highlight w:val="none"/>
              </w:rPr>
            </w:pPr>
            <w:r>
              <w:rPr>
                <w:rFonts w:hint="eastAsia" w:ascii="宋体" w:hAnsi="宋体"/>
                <w:iCs/>
                <w:color w:val="auto"/>
                <w:szCs w:val="21"/>
                <w:highlight w:val="none"/>
              </w:rPr>
              <w:sym w:font="Wingdings" w:char="00FE"/>
            </w:r>
            <w:r>
              <w:rPr>
                <w:rFonts w:hint="eastAsia" w:ascii="宋体" w:hAnsi="宋体"/>
                <w:iCs/>
                <w:color w:val="auto"/>
                <w:szCs w:val="21"/>
                <w:highlight w:val="none"/>
              </w:rPr>
              <w:t xml:space="preserve"> 不组织。</w:t>
            </w:r>
          </w:p>
          <w:p w14:paraId="1BC2FE7D">
            <w:pPr>
              <w:snapToGrid w:val="0"/>
              <w:spacing w:line="400" w:lineRule="exact"/>
              <w:textAlignment w:val="baseline"/>
              <w:rPr>
                <w:rStyle w:val="49"/>
                <w:rFonts w:ascii="宋体" w:hAnsi="宋体"/>
                <w:iCs/>
                <w:color w:val="auto"/>
                <w:szCs w:val="21"/>
                <w:highlight w:val="none"/>
              </w:rPr>
            </w:pPr>
            <w:r>
              <w:rPr>
                <w:rFonts w:hint="eastAsia"/>
                <w:color w:val="auto"/>
                <w:highlight w:val="none"/>
              </w:rPr>
              <w:sym w:font="Wingdings" w:char="00A8"/>
            </w:r>
            <w:r>
              <w:rPr>
                <w:rFonts w:hint="eastAsia"/>
                <w:color w:val="auto"/>
                <w:highlight w:val="none"/>
              </w:rPr>
              <w:t xml:space="preserve"> </w:t>
            </w:r>
            <w:r>
              <w:rPr>
                <w:rStyle w:val="49"/>
                <w:rFonts w:ascii="宋体" w:hAnsi="宋体"/>
                <w:iCs/>
                <w:color w:val="auto"/>
                <w:szCs w:val="21"/>
                <w:highlight w:val="none"/>
              </w:rPr>
              <w:t>组织</w:t>
            </w:r>
            <w:r>
              <w:rPr>
                <w:rStyle w:val="49"/>
                <w:rFonts w:hint="eastAsia" w:ascii="宋体" w:hAnsi="宋体"/>
                <w:iCs/>
                <w:color w:val="auto"/>
                <w:szCs w:val="21"/>
                <w:highlight w:val="none"/>
              </w:rPr>
              <w:t>，</w:t>
            </w:r>
            <w:r>
              <w:rPr>
                <w:rStyle w:val="49"/>
                <w:rFonts w:ascii="宋体" w:hAnsi="宋体"/>
                <w:iCs/>
                <w:color w:val="auto"/>
                <w:szCs w:val="21"/>
                <w:highlight w:val="none"/>
              </w:rPr>
              <w:t>现场考察或者召开答疑会时间：</w:t>
            </w:r>
            <w:r>
              <w:rPr>
                <w:rStyle w:val="49"/>
                <w:rFonts w:ascii="宋体" w:hAnsi="宋体"/>
                <w:iCs/>
                <w:color w:val="auto"/>
                <w:szCs w:val="21"/>
                <w:highlight w:val="none"/>
                <w:u w:val="single" w:color="000000"/>
              </w:rPr>
              <w:t xml:space="preserve">             </w:t>
            </w:r>
          </w:p>
          <w:p w14:paraId="39BF257E">
            <w:pPr>
              <w:adjustRightInd w:val="0"/>
              <w:snapToGrid w:val="0"/>
              <w:spacing w:line="400" w:lineRule="exact"/>
              <w:rPr>
                <w:rFonts w:ascii="宋体" w:hAnsi="宋体"/>
                <w:color w:val="auto"/>
                <w:szCs w:val="21"/>
                <w:highlight w:val="none"/>
              </w:rPr>
            </w:pPr>
            <w:r>
              <w:rPr>
                <w:rStyle w:val="49"/>
                <w:rFonts w:ascii="宋体" w:hAnsi="宋体"/>
                <w:iCs/>
                <w:color w:val="auto"/>
                <w:szCs w:val="21"/>
                <w:highlight w:val="none"/>
              </w:rPr>
              <w:t>地点：</w:t>
            </w:r>
            <w:r>
              <w:rPr>
                <w:rStyle w:val="49"/>
                <w:rFonts w:ascii="宋体" w:hAnsi="宋体"/>
                <w:iCs/>
                <w:color w:val="auto"/>
                <w:szCs w:val="21"/>
                <w:highlight w:val="none"/>
                <w:u w:val="single" w:color="000000"/>
              </w:rPr>
              <w:t xml:space="preserve">  </w:t>
            </w:r>
            <w:r>
              <w:rPr>
                <w:rStyle w:val="49"/>
                <w:rFonts w:hint="eastAsia" w:ascii="宋体" w:hAnsi="宋体"/>
                <w:iCs/>
                <w:color w:val="auto"/>
                <w:szCs w:val="21"/>
                <w:highlight w:val="none"/>
                <w:u w:val="single" w:color="000000"/>
                <w:lang w:val="en-US"/>
              </w:rPr>
              <w:t xml:space="preserve">    </w:t>
            </w:r>
            <w:r>
              <w:rPr>
                <w:rStyle w:val="49"/>
                <w:rFonts w:ascii="宋体" w:hAnsi="宋体"/>
                <w:iCs/>
                <w:color w:val="auto"/>
                <w:szCs w:val="21"/>
                <w:highlight w:val="none"/>
                <w:u w:val="single" w:color="000000"/>
              </w:rPr>
              <w:t xml:space="preserve"> </w:t>
            </w:r>
          </w:p>
        </w:tc>
      </w:tr>
      <w:tr w14:paraId="2CA029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488" w:type="dxa"/>
            <w:gridSpan w:val="3"/>
            <w:vAlign w:val="center"/>
          </w:tcPr>
          <w:p w14:paraId="02D98990">
            <w:pPr>
              <w:adjustRightInd w:val="0"/>
              <w:snapToGrid w:val="0"/>
              <w:spacing w:line="400" w:lineRule="exact"/>
              <w:rPr>
                <w:rFonts w:ascii="宋体" w:hAnsi="宋体"/>
                <w:b/>
                <w:color w:val="auto"/>
                <w:szCs w:val="21"/>
                <w:highlight w:val="none"/>
              </w:rPr>
            </w:pPr>
            <w:r>
              <w:rPr>
                <w:rFonts w:hint="eastAsia" w:ascii="宋体" w:hAnsi="宋体"/>
                <w:b/>
                <w:color w:val="auto"/>
                <w:szCs w:val="21"/>
                <w:highlight w:val="none"/>
              </w:rPr>
              <w:t>二、招标文件</w:t>
            </w:r>
          </w:p>
        </w:tc>
      </w:tr>
      <w:tr w14:paraId="398E54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4A2F49FD">
            <w:pPr>
              <w:adjustRightInd w:val="0"/>
              <w:snapToGrid w:val="0"/>
              <w:spacing w:line="400" w:lineRule="exact"/>
              <w:jc w:val="center"/>
              <w:rPr>
                <w:rFonts w:ascii="宋体" w:hAnsi="宋体"/>
                <w:color w:val="auto"/>
                <w:szCs w:val="21"/>
                <w:highlight w:val="none"/>
              </w:rPr>
            </w:pPr>
            <w:r>
              <w:rPr>
                <w:rFonts w:hint="eastAsia" w:ascii="宋体" w:hAnsi="宋体"/>
                <w:color w:val="auto"/>
                <w:szCs w:val="21"/>
                <w:highlight w:val="none"/>
              </w:rPr>
              <w:t>第7.4</w:t>
            </w:r>
            <w:r>
              <w:rPr>
                <w:rFonts w:hint="eastAsia" w:ascii="宋体" w:hAnsi="宋体" w:cs="宋体"/>
                <w:color w:val="auto"/>
                <w:kern w:val="0"/>
                <w:szCs w:val="21"/>
                <w:highlight w:val="none"/>
                <w:lang w:val="zh-CN"/>
              </w:rPr>
              <w:t>款</w:t>
            </w:r>
          </w:p>
        </w:tc>
        <w:tc>
          <w:tcPr>
            <w:tcW w:w="2863" w:type="dxa"/>
            <w:vAlign w:val="center"/>
          </w:tcPr>
          <w:p w14:paraId="764E3195">
            <w:pPr>
              <w:adjustRightInd w:val="0"/>
              <w:snapToGrid w:val="0"/>
              <w:spacing w:line="400" w:lineRule="exact"/>
              <w:jc w:val="left"/>
              <w:rPr>
                <w:rFonts w:ascii="宋体" w:hAnsi="宋体"/>
                <w:color w:val="auto"/>
                <w:szCs w:val="21"/>
                <w:highlight w:val="none"/>
              </w:rPr>
            </w:pPr>
            <w:r>
              <w:rPr>
                <w:rFonts w:hint="eastAsia" w:ascii="宋体" w:hAnsi="宋体"/>
                <w:color w:val="auto"/>
                <w:szCs w:val="21"/>
                <w:highlight w:val="none"/>
              </w:rPr>
              <w:t>非实质性偏离的范围和幅度</w:t>
            </w:r>
          </w:p>
        </w:tc>
        <w:tc>
          <w:tcPr>
            <w:tcW w:w="5065" w:type="dxa"/>
            <w:vAlign w:val="center"/>
          </w:tcPr>
          <w:p w14:paraId="0998C17C">
            <w:pPr>
              <w:snapToGrid w:val="0"/>
              <w:jc w:val="left"/>
              <w:textAlignment w:val="baseline"/>
              <w:rPr>
                <w:rFonts w:ascii="宋体" w:hAnsi="宋体"/>
                <w:color w:val="auto"/>
                <w:szCs w:val="21"/>
                <w:highlight w:val="none"/>
                <w:u w:val="single"/>
              </w:rPr>
            </w:pPr>
            <w:r>
              <w:rPr>
                <w:rStyle w:val="49"/>
                <w:rFonts w:ascii="宋体" w:hAnsi="宋体"/>
                <w:color w:val="auto"/>
                <w:spacing w:val="-4"/>
                <w:szCs w:val="21"/>
                <w:highlight w:val="none"/>
              </w:rPr>
              <w:t>一般商务和技术条款负偏离项数之和≥</w:t>
            </w:r>
            <w:r>
              <w:rPr>
                <w:rStyle w:val="49"/>
                <w:rFonts w:ascii="宋体" w:hAnsi="宋体"/>
                <w:color w:val="auto"/>
                <w:spacing w:val="-4"/>
                <w:szCs w:val="21"/>
                <w:highlight w:val="none"/>
                <w:u w:val="single" w:color="000000"/>
              </w:rPr>
              <w:t xml:space="preserve"> 10 </w:t>
            </w:r>
            <w:r>
              <w:rPr>
                <w:rStyle w:val="49"/>
                <w:rFonts w:ascii="宋体" w:hAnsi="宋体"/>
                <w:color w:val="auto"/>
                <w:spacing w:val="-4"/>
                <w:szCs w:val="21"/>
                <w:highlight w:val="none"/>
              </w:rPr>
              <w:t>项，其投标无效。</w:t>
            </w:r>
          </w:p>
        </w:tc>
      </w:tr>
      <w:tr w14:paraId="5DC49F3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51FABE22">
            <w:pPr>
              <w:adjustRightInd w:val="0"/>
              <w:snapToGrid w:val="0"/>
              <w:spacing w:line="400" w:lineRule="exact"/>
              <w:jc w:val="center"/>
              <w:rPr>
                <w:rFonts w:ascii="宋体" w:hAnsi="宋体"/>
                <w:color w:val="auto"/>
                <w:szCs w:val="21"/>
                <w:highlight w:val="none"/>
              </w:rPr>
            </w:pPr>
            <w:r>
              <w:rPr>
                <w:rFonts w:hint="eastAsia" w:ascii="宋体" w:hAnsi="宋体"/>
                <w:color w:val="auto"/>
                <w:szCs w:val="21"/>
                <w:highlight w:val="none"/>
              </w:rPr>
              <w:t>第9.1</w:t>
            </w:r>
            <w:r>
              <w:rPr>
                <w:rFonts w:hint="eastAsia" w:ascii="宋体" w:hAnsi="宋体" w:cs="宋体"/>
                <w:color w:val="auto"/>
                <w:kern w:val="0"/>
                <w:szCs w:val="21"/>
                <w:highlight w:val="none"/>
                <w:lang w:val="zh-CN"/>
              </w:rPr>
              <w:t>款</w:t>
            </w:r>
          </w:p>
        </w:tc>
        <w:tc>
          <w:tcPr>
            <w:tcW w:w="2863" w:type="dxa"/>
            <w:vAlign w:val="center"/>
          </w:tcPr>
          <w:p w14:paraId="63BF2295">
            <w:pPr>
              <w:adjustRightInd w:val="0"/>
              <w:snapToGrid w:val="0"/>
              <w:spacing w:line="400" w:lineRule="exact"/>
              <w:jc w:val="left"/>
              <w:rPr>
                <w:rFonts w:ascii="宋体" w:hAnsi="宋体"/>
                <w:color w:val="auto"/>
                <w:szCs w:val="21"/>
                <w:highlight w:val="none"/>
              </w:rPr>
            </w:pPr>
            <w:r>
              <w:rPr>
                <w:rFonts w:hint="eastAsia" w:ascii="宋体" w:hAnsi="宋体"/>
                <w:color w:val="auto"/>
                <w:szCs w:val="21"/>
                <w:highlight w:val="none"/>
              </w:rPr>
              <w:t>招标公告指定媒体</w:t>
            </w:r>
          </w:p>
        </w:tc>
        <w:tc>
          <w:tcPr>
            <w:tcW w:w="5065" w:type="dxa"/>
            <w:vAlign w:val="center"/>
          </w:tcPr>
          <w:p w14:paraId="2FF3B4F3">
            <w:pPr>
              <w:keepNext w:val="0"/>
              <w:keepLines w:val="0"/>
              <w:pageBreakBefore w:val="0"/>
              <w:widowControl w:val="0"/>
              <w:kinsoku/>
              <w:wordWrap w:val="0"/>
              <w:overflowPunct/>
              <w:topLinePunct/>
              <w:autoSpaceDE/>
              <w:autoSpaceDN/>
              <w:bidi w:val="0"/>
              <w:adjustRightInd/>
              <w:snapToGrid w:val="0"/>
              <w:ind w:left="108" w:hanging="108"/>
              <w:textAlignment w:val="baseline"/>
              <w:rPr>
                <w:rStyle w:val="49"/>
                <w:rFonts w:ascii="宋体" w:hAnsi="宋体"/>
                <w:color w:val="auto"/>
                <w:szCs w:val="21"/>
                <w:highlight w:val="none"/>
              </w:rPr>
            </w:pPr>
            <w:r>
              <w:rPr>
                <w:rStyle w:val="49"/>
                <w:rFonts w:ascii="宋体" w:hAnsi="宋体"/>
                <w:color w:val="auto"/>
                <w:szCs w:val="21"/>
                <w:highlight w:val="none"/>
              </w:rPr>
              <w:t>中国湖南政府采购网(www.ccgp-hunan.gov.cn)、</w:t>
            </w:r>
          </w:p>
          <w:p w14:paraId="17CC6902">
            <w:pPr>
              <w:keepNext w:val="0"/>
              <w:keepLines w:val="0"/>
              <w:pageBreakBefore w:val="0"/>
              <w:widowControl w:val="0"/>
              <w:kinsoku/>
              <w:wordWrap w:val="0"/>
              <w:overflowPunct/>
              <w:topLinePunct/>
              <w:autoSpaceDE/>
              <w:autoSpaceDN/>
              <w:bidi w:val="0"/>
              <w:adjustRightInd/>
              <w:snapToGrid w:val="0"/>
              <w:ind w:left="108" w:hanging="108"/>
              <w:textAlignment w:val="baseline"/>
              <w:rPr>
                <w:rFonts w:hAnsi="宋体"/>
                <w:color w:val="auto"/>
                <w:szCs w:val="21"/>
                <w:highlight w:val="none"/>
              </w:rPr>
            </w:pPr>
            <w:r>
              <w:rPr>
                <w:rStyle w:val="49"/>
                <w:rFonts w:hint="eastAsia" w:ascii="宋体" w:hAnsi="宋体"/>
                <w:color w:val="auto"/>
                <w:szCs w:val="21"/>
                <w:highlight w:val="none"/>
              </w:rPr>
              <w:t>湖南省公共服务平台株洲分平台（https://zhuzhou.hnsggzy.com）</w:t>
            </w:r>
          </w:p>
        </w:tc>
      </w:tr>
      <w:tr w14:paraId="383C51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9488" w:type="dxa"/>
            <w:gridSpan w:val="3"/>
            <w:vAlign w:val="center"/>
          </w:tcPr>
          <w:p w14:paraId="4FBE9714">
            <w:pPr>
              <w:adjustRightInd w:val="0"/>
              <w:snapToGrid w:val="0"/>
              <w:spacing w:line="400" w:lineRule="exact"/>
              <w:rPr>
                <w:rFonts w:ascii="宋体" w:hAnsi="宋体"/>
                <w:color w:val="auto"/>
                <w:szCs w:val="21"/>
                <w:highlight w:val="none"/>
              </w:rPr>
            </w:pPr>
            <w:r>
              <w:rPr>
                <w:rFonts w:hint="eastAsia" w:ascii="宋体" w:hAnsi="宋体"/>
                <w:b/>
                <w:color w:val="auto"/>
                <w:szCs w:val="21"/>
                <w:highlight w:val="none"/>
              </w:rPr>
              <w:t>三、投标文件</w:t>
            </w:r>
          </w:p>
        </w:tc>
      </w:tr>
      <w:tr w14:paraId="425972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Merge w:val="restart"/>
            <w:vAlign w:val="center"/>
          </w:tcPr>
          <w:p w14:paraId="78B0E111">
            <w:pPr>
              <w:adjustRightInd w:val="0"/>
              <w:snapToGrid w:val="0"/>
              <w:spacing w:line="400" w:lineRule="exact"/>
              <w:jc w:val="center"/>
              <w:rPr>
                <w:rFonts w:ascii="宋体" w:hAnsi="宋体"/>
                <w:color w:val="auto"/>
                <w:szCs w:val="21"/>
                <w:highlight w:val="none"/>
              </w:rPr>
            </w:pPr>
            <w:r>
              <w:rPr>
                <w:rFonts w:hint="eastAsia" w:ascii="宋体" w:hAnsi="宋体"/>
                <w:color w:val="auto"/>
                <w:szCs w:val="21"/>
                <w:highlight w:val="none"/>
              </w:rPr>
              <w:t>第13.2</w:t>
            </w:r>
            <w:r>
              <w:rPr>
                <w:rFonts w:hint="eastAsia" w:ascii="宋体" w:hAnsi="宋体" w:cs="宋体"/>
                <w:color w:val="auto"/>
                <w:kern w:val="0"/>
                <w:szCs w:val="21"/>
                <w:highlight w:val="none"/>
                <w:lang w:val="zh-CN"/>
              </w:rPr>
              <w:t>款</w:t>
            </w:r>
          </w:p>
        </w:tc>
        <w:tc>
          <w:tcPr>
            <w:tcW w:w="2863" w:type="dxa"/>
            <w:vAlign w:val="center"/>
          </w:tcPr>
          <w:p w14:paraId="4C401F11">
            <w:pPr>
              <w:adjustRightInd w:val="0"/>
              <w:snapToGrid w:val="0"/>
              <w:spacing w:line="400" w:lineRule="exact"/>
              <w:rPr>
                <w:rFonts w:ascii="宋体" w:hAnsi="宋体"/>
                <w:color w:val="auto"/>
                <w:szCs w:val="21"/>
                <w:highlight w:val="none"/>
              </w:rPr>
            </w:pPr>
            <w:r>
              <w:rPr>
                <w:rFonts w:hint="eastAsia" w:ascii="宋体" w:hAnsi="宋体"/>
                <w:color w:val="auto"/>
                <w:szCs w:val="21"/>
                <w:highlight w:val="none"/>
              </w:rPr>
              <w:t>采购项目预算</w:t>
            </w:r>
          </w:p>
        </w:tc>
        <w:tc>
          <w:tcPr>
            <w:tcW w:w="5065" w:type="dxa"/>
            <w:vAlign w:val="center"/>
          </w:tcPr>
          <w:p w14:paraId="63F23311">
            <w:pPr>
              <w:adjustRightInd w:val="0"/>
              <w:snapToGrid w:val="0"/>
              <w:rPr>
                <w:rFonts w:hint="eastAsia" w:ascii="宋体" w:hAnsi="宋体" w:cs="宋体"/>
                <w:color w:val="auto"/>
                <w:szCs w:val="21"/>
                <w:highlight w:val="none"/>
              </w:rPr>
            </w:pPr>
            <w:r>
              <w:rPr>
                <w:rFonts w:hint="eastAsia" w:ascii="宋体" w:hAnsi="宋体" w:cs="宋体"/>
                <w:color w:val="auto"/>
                <w:szCs w:val="21"/>
                <w:highlight w:val="none"/>
                <w:lang w:val="en-US" w:eastAsia="zh-CN"/>
              </w:rPr>
              <w:t>采购项目预算：</w:t>
            </w:r>
            <w:r>
              <w:rPr>
                <w:rFonts w:hint="eastAsia" w:ascii="宋体" w:hAnsi="宋体" w:cs="宋体"/>
                <w:color w:val="auto"/>
                <w:szCs w:val="21"/>
                <w:highlight w:val="none"/>
              </w:rPr>
              <w:t>人民币</w:t>
            </w:r>
            <w:r>
              <w:rPr>
                <w:rFonts w:hint="eastAsia" w:ascii="宋体" w:hAnsi="宋体" w:cs="宋体"/>
                <w:color w:val="auto"/>
                <w:szCs w:val="21"/>
                <w:highlight w:val="none"/>
                <w:lang w:val="en-US" w:eastAsia="zh-CN"/>
              </w:rPr>
              <w:t>4300000.00</w:t>
            </w:r>
            <w:r>
              <w:rPr>
                <w:rFonts w:hint="eastAsia" w:ascii="宋体" w:hAnsi="宋体" w:cs="宋体"/>
                <w:color w:val="auto"/>
                <w:szCs w:val="21"/>
                <w:highlight w:val="none"/>
              </w:rPr>
              <w:t>元</w:t>
            </w:r>
          </w:p>
          <w:p w14:paraId="5596B5D2">
            <w:pPr>
              <w:adjustRightInd w:val="0"/>
              <w:snapToGrid w:val="0"/>
              <w:rPr>
                <w:rFonts w:hint="eastAsia" w:ascii="宋体" w:hAnsi="宋体" w:eastAsia="宋体" w:cs="宋体"/>
                <w:b/>
                <w:bCs/>
                <w:color w:val="auto"/>
                <w:szCs w:val="21"/>
                <w:highlight w:val="none"/>
                <w:lang w:eastAsia="zh-CN"/>
              </w:rPr>
            </w:pPr>
            <w:r>
              <w:rPr>
                <w:rFonts w:hint="eastAsia" w:ascii="宋体" w:hAnsi="宋体" w:cs="宋体"/>
                <w:b/>
                <w:bCs/>
                <w:color w:val="auto"/>
                <w:szCs w:val="21"/>
                <w:highlight w:val="none"/>
              </w:rPr>
              <w:t>其中</w:t>
            </w:r>
            <w:r>
              <w:rPr>
                <w:rFonts w:hint="eastAsia" w:ascii="宋体" w:hAnsi="宋体" w:cs="宋体"/>
                <w:b/>
                <w:bCs/>
                <w:color w:val="auto"/>
                <w:szCs w:val="21"/>
                <w:highlight w:val="none"/>
                <w:lang w:eastAsia="zh-CN"/>
              </w:rPr>
              <w:t>：</w:t>
            </w:r>
          </w:p>
          <w:p w14:paraId="340489F9">
            <w:pPr>
              <w:adjustRightInd w:val="0"/>
              <w:snapToGrid w:val="0"/>
              <w:rPr>
                <w:rFonts w:hint="eastAsia" w:ascii="宋体" w:hAnsi="宋体" w:cs="宋体"/>
                <w:color w:val="auto"/>
                <w:szCs w:val="21"/>
                <w:highlight w:val="none"/>
              </w:rPr>
            </w:pPr>
            <w:r>
              <w:rPr>
                <w:rFonts w:hint="eastAsia" w:ascii="宋体" w:hAnsi="宋体" w:cs="宋体"/>
                <w:color w:val="auto"/>
                <w:szCs w:val="21"/>
                <w:highlight w:val="none"/>
              </w:rPr>
              <w:t>包1:</w:t>
            </w:r>
            <w:r>
              <w:rPr>
                <w:rFonts w:hint="eastAsia" w:ascii="宋体" w:hAnsi="宋体" w:cs="宋体"/>
                <w:color w:val="auto"/>
                <w:szCs w:val="21"/>
                <w:highlight w:val="none"/>
                <w:lang w:val="en-US" w:eastAsia="zh-CN"/>
              </w:rPr>
              <w:t>人民币2750000.00</w:t>
            </w:r>
            <w:r>
              <w:rPr>
                <w:rFonts w:hint="eastAsia" w:ascii="宋体" w:hAnsi="宋体" w:cs="宋体"/>
                <w:color w:val="auto"/>
                <w:szCs w:val="21"/>
                <w:highlight w:val="none"/>
              </w:rPr>
              <w:t>元；</w:t>
            </w:r>
          </w:p>
          <w:p w14:paraId="1F05ED49">
            <w:pPr>
              <w:adjustRightInd w:val="0"/>
              <w:snapToGrid w:val="0"/>
              <w:rPr>
                <w:rFonts w:ascii="宋体" w:hAnsi="宋体" w:eastAsia="宋体" w:cs="Times New Roman"/>
                <w:color w:val="auto"/>
                <w:kern w:val="2"/>
                <w:sz w:val="21"/>
                <w:szCs w:val="21"/>
                <w:highlight w:val="none"/>
                <w:lang w:val="en-US" w:eastAsia="zh-CN" w:bidi="ar-SA"/>
              </w:rPr>
            </w:pPr>
            <w:r>
              <w:rPr>
                <w:rFonts w:hint="eastAsia" w:ascii="宋体" w:hAnsi="宋体" w:cs="宋体"/>
                <w:color w:val="auto"/>
                <w:szCs w:val="21"/>
                <w:highlight w:val="none"/>
              </w:rPr>
              <w:t>包2:</w:t>
            </w:r>
            <w:r>
              <w:rPr>
                <w:rFonts w:hint="eastAsia" w:ascii="宋体" w:hAnsi="宋体" w:cs="宋体"/>
                <w:color w:val="auto"/>
                <w:szCs w:val="21"/>
                <w:highlight w:val="none"/>
                <w:lang w:val="en-US" w:eastAsia="zh-CN"/>
              </w:rPr>
              <w:t>人民币1550000.00</w:t>
            </w:r>
            <w:r>
              <w:rPr>
                <w:rFonts w:hint="eastAsia" w:ascii="宋体" w:hAnsi="宋体" w:cs="宋体"/>
                <w:color w:val="auto"/>
                <w:szCs w:val="21"/>
                <w:highlight w:val="none"/>
              </w:rPr>
              <w:t>元。</w:t>
            </w:r>
            <w:r>
              <w:rPr>
                <w:rFonts w:ascii="宋体" w:hAnsi="宋体" w:cs="宋体"/>
                <w:color w:val="auto"/>
                <w:szCs w:val="21"/>
                <w:highlight w:val="none"/>
              </w:rPr>
              <w:t xml:space="preserve"> </w:t>
            </w:r>
          </w:p>
        </w:tc>
      </w:tr>
      <w:tr w14:paraId="6611A9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99" w:hRule="atLeast"/>
        </w:trPr>
        <w:tc>
          <w:tcPr>
            <w:tcW w:w="1560" w:type="dxa"/>
            <w:vMerge w:val="continue"/>
            <w:vAlign w:val="center"/>
          </w:tcPr>
          <w:p w14:paraId="35A0B6F4">
            <w:pPr>
              <w:adjustRightInd w:val="0"/>
              <w:snapToGrid w:val="0"/>
              <w:spacing w:line="400" w:lineRule="exact"/>
              <w:jc w:val="center"/>
              <w:rPr>
                <w:rFonts w:ascii="宋体" w:hAnsi="宋体"/>
                <w:color w:val="auto"/>
                <w:szCs w:val="21"/>
                <w:highlight w:val="none"/>
              </w:rPr>
            </w:pPr>
          </w:p>
        </w:tc>
        <w:tc>
          <w:tcPr>
            <w:tcW w:w="2863" w:type="dxa"/>
            <w:vAlign w:val="center"/>
          </w:tcPr>
          <w:p w14:paraId="762BD8F1">
            <w:pPr>
              <w:adjustRightInd w:val="0"/>
              <w:snapToGrid w:val="0"/>
              <w:spacing w:line="400" w:lineRule="exact"/>
              <w:rPr>
                <w:rFonts w:ascii="宋体" w:hAnsi="宋体"/>
                <w:color w:val="auto"/>
                <w:szCs w:val="21"/>
                <w:highlight w:val="none"/>
              </w:rPr>
            </w:pPr>
            <w:r>
              <w:rPr>
                <w:rFonts w:hint="eastAsia" w:ascii="宋体" w:hAnsi="宋体"/>
                <w:color w:val="auto"/>
                <w:szCs w:val="21"/>
                <w:highlight w:val="none"/>
              </w:rPr>
              <w:t>最高限价</w:t>
            </w:r>
          </w:p>
        </w:tc>
        <w:tc>
          <w:tcPr>
            <w:tcW w:w="5065" w:type="dxa"/>
            <w:vAlign w:val="center"/>
          </w:tcPr>
          <w:p w14:paraId="4F56545F">
            <w:pPr>
              <w:adjustRightInd w:val="0"/>
              <w:snapToGrid w:val="0"/>
              <w:rPr>
                <w:rFonts w:hint="eastAsia" w:ascii="宋体" w:hAnsi="宋体" w:cs="宋体"/>
                <w:color w:val="auto"/>
                <w:szCs w:val="21"/>
                <w:highlight w:val="none"/>
              </w:rPr>
            </w:pPr>
            <w:r>
              <w:rPr>
                <w:rFonts w:hint="eastAsia" w:ascii="宋体" w:hAnsi="宋体" w:cs="宋体"/>
                <w:color w:val="auto"/>
                <w:szCs w:val="21"/>
                <w:highlight w:val="none"/>
                <w:lang w:val="en-US" w:eastAsia="zh-CN"/>
              </w:rPr>
              <w:t>采购项目预算：</w:t>
            </w:r>
            <w:r>
              <w:rPr>
                <w:rFonts w:hint="eastAsia" w:ascii="宋体" w:hAnsi="宋体" w:cs="宋体"/>
                <w:color w:val="auto"/>
                <w:szCs w:val="21"/>
                <w:highlight w:val="none"/>
              </w:rPr>
              <w:t>人民币</w:t>
            </w:r>
            <w:r>
              <w:rPr>
                <w:rFonts w:hint="eastAsia" w:ascii="宋体" w:hAnsi="宋体" w:cs="宋体"/>
                <w:color w:val="auto"/>
                <w:szCs w:val="21"/>
                <w:highlight w:val="none"/>
                <w:lang w:val="en-US" w:eastAsia="zh-CN"/>
              </w:rPr>
              <w:t>4300000.00</w:t>
            </w:r>
            <w:r>
              <w:rPr>
                <w:rFonts w:hint="eastAsia" w:ascii="宋体" w:hAnsi="宋体" w:cs="宋体"/>
                <w:color w:val="auto"/>
                <w:szCs w:val="21"/>
                <w:highlight w:val="none"/>
              </w:rPr>
              <w:t>元</w:t>
            </w:r>
          </w:p>
          <w:p w14:paraId="0A57B411">
            <w:pPr>
              <w:adjustRightInd w:val="0"/>
              <w:snapToGrid w:val="0"/>
              <w:rPr>
                <w:rFonts w:hint="eastAsia" w:ascii="宋体" w:hAnsi="宋体" w:eastAsia="宋体" w:cs="宋体"/>
                <w:b/>
                <w:bCs/>
                <w:color w:val="auto"/>
                <w:szCs w:val="21"/>
                <w:highlight w:val="none"/>
                <w:lang w:eastAsia="zh-CN"/>
              </w:rPr>
            </w:pPr>
            <w:r>
              <w:rPr>
                <w:rFonts w:hint="eastAsia" w:ascii="宋体" w:hAnsi="宋体" w:cs="宋体"/>
                <w:b/>
                <w:bCs/>
                <w:color w:val="auto"/>
                <w:szCs w:val="21"/>
                <w:highlight w:val="none"/>
              </w:rPr>
              <w:t>其中</w:t>
            </w:r>
            <w:r>
              <w:rPr>
                <w:rFonts w:hint="eastAsia" w:ascii="宋体" w:hAnsi="宋体" w:cs="宋体"/>
                <w:b/>
                <w:bCs/>
                <w:color w:val="auto"/>
                <w:szCs w:val="21"/>
                <w:highlight w:val="none"/>
                <w:lang w:eastAsia="zh-CN"/>
              </w:rPr>
              <w:t>：</w:t>
            </w:r>
          </w:p>
          <w:p w14:paraId="136BAD58">
            <w:pPr>
              <w:adjustRightInd w:val="0"/>
              <w:snapToGrid w:val="0"/>
              <w:rPr>
                <w:rFonts w:hint="eastAsia" w:ascii="宋体" w:hAnsi="宋体" w:cs="宋体"/>
                <w:color w:val="auto"/>
                <w:szCs w:val="21"/>
                <w:highlight w:val="none"/>
              </w:rPr>
            </w:pPr>
            <w:r>
              <w:rPr>
                <w:rFonts w:hint="eastAsia" w:ascii="宋体" w:hAnsi="宋体" w:cs="宋体"/>
                <w:color w:val="auto"/>
                <w:szCs w:val="21"/>
                <w:highlight w:val="none"/>
              </w:rPr>
              <w:t>包1:</w:t>
            </w:r>
            <w:r>
              <w:rPr>
                <w:rFonts w:hint="eastAsia" w:ascii="宋体" w:hAnsi="宋体" w:cs="宋体"/>
                <w:color w:val="auto"/>
                <w:szCs w:val="21"/>
                <w:highlight w:val="none"/>
                <w:lang w:val="en-US" w:eastAsia="zh-CN"/>
              </w:rPr>
              <w:t>人民币2750000.00</w:t>
            </w:r>
            <w:r>
              <w:rPr>
                <w:rFonts w:hint="eastAsia" w:ascii="宋体" w:hAnsi="宋体" w:cs="宋体"/>
                <w:color w:val="auto"/>
                <w:szCs w:val="21"/>
                <w:highlight w:val="none"/>
              </w:rPr>
              <w:t>元；</w:t>
            </w:r>
          </w:p>
          <w:p w14:paraId="54375D6D">
            <w:pPr>
              <w:adjustRightInd w:val="0"/>
              <w:snapToGrid w:val="0"/>
              <w:rPr>
                <w:rFonts w:ascii="宋体" w:hAnsi="宋体"/>
                <w:color w:val="auto"/>
                <w:highlight w:val="none"/>
              </w:rPr>
            </w:pPr>
            <w:r>
              <w:rPr>
                <w:rFonts w:hint="eastAsia" w:ascii="宋体" w:hAnsi="宋体" w:cs="宋体"/>
                <w:color w:val="auto"/>
                <w:szCs w:val="21"/>
                <w:highlight w:val="none"/>
              </w:rPr>
              <w:t>包2:</w:t>
            </w:r>
            <w:r>
              <w:rPr>
                <w:rFonts w:hint="eastAsia" w:ascii="宋体" w:hAnsi="宋体" w:cs="宋体"/>
                <w:color w:val="auto"/>
                <w:szCs w:val="21"/>
                <w:highlight w:val="none"/>
                <w:lang w:val="en-US" w:eastAsia="zh-CN"/>
              </w:rPr>
              <w:t>人民币1550000.00</w:t>
            </w:r>
            <w:r>
              <w:rPr>
                <w:rFonts w:hint="eastAsia" w:ascii="宋体" w:hAnsi="宋体" w:cs="宋体"/>
                <w:color w:val="auto"/>
                <w:szCs w:val="21"/>
                <w:highlight w:val="none"/>
              </w:rPr>
              <w:t>元。</w:t>
            </w:r>
          </w:p>
        </w:tc>
      </w:tr>
      <w:tr w14:paraId="712D34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277D6DD5">
            <w:pPr>
              <w:adjustRightInd w:val="0"/>
              <w:snapToGrid w:val="0"/>
              <w:spacing w:line="400" w:lineRule="exact"/>
              <w:jc w:val="center"/>
              <w:rPr>
                <w:rFonts w:ascii="宋体" w:hAnsi="宋体"/>
                <w:color w:val="auto"/>
                <w:szCs w:val="21"/>
                <w:highlight w:val="none"/>
              </w:rPr>
            </w:pPr>
            <w:r>
              <w:rPr>
                <w:rFonts w:hint="eastAsia" w:ascii="宋体" w:hAnsi="宋体"/>
                <w:color w:val="auto"/>
                <w:szCs w:val="21"/>
                <w:highlight w:val="none"/>
              </w:rPr>
              <w:t>第13.8款</w:t>
            </w:r>
          </w:p>
        </w:tc>
        <w:tc>
          <w:tcPr>
            <w:tcW w:w="2863" w:type="dxa"/>
            <w:vAlign w:val="center"/>
          </w:tcPr>
          <w:p w14:paraId="6E849EF3">
            <w:pPr>
              <w:adjustRightInd w:val="0"/>
              <w:snapToGrid w:val="0"/>
              <w:spacing w:line="400" w:lineRule="exact"/>
              <w:rPr>
                <w:rFonts w:ascii="宋体" w:hAnsi="宋体"/>
                <w:color w:val="auto"/>
                <w:szCs w:val="21"/>
                <w:highlight w:val="none"/>
              </w:rPr>
            </w:pPr>
            <w:r>
              <w:rPr>
                <w:rFonts w:hint="eastAsia" w:ascii="宋体" w:hAnsi="宋体"/>
                <w:color w:val="auto"/>
                <w:szCs w:val="21"/>
                <w:highlight w:val="none"/>
              </w:rPr>
              <w:t>投标报价的其他要求</w:t>
            </w:r>
          </w:p>
        </w:tc>
        <w:tc>
          <w:tcPr>
            <w:tcW w:w="5065" w:type="dxa"/>
            <w:vAlign w:val="center"/>
          </w:tcPr>
          <w:p w14:paraId="2C65CD9F">
            <w:pPr>
              <w:adjustRightInd w:val="0"/>
              <w:snapToGrid w:val="0"/>
              <w:spacing w:line="400" w:lineRule="exact"/>
              <w:rPr>
                <w:rFonts w:ascii="宋体" w:hAnsi="宋体"/>
                <w:color w:val="auto"/>
                <w:szCs w:val="21"/>
                <w:highlight w:val="none"/>
              </w:rPr>
            </w:pPr>
            <w:r>
              <w:rPr>
                <w:rFonts w:hint="eastAsia" w:ascii="宋体" w:hAnsi="宋体"/>
                <w:color w:val="auto"/>
                <w:szCs w:val="21"/>
                <w:highlight w:val="none"/>
              </w:rPr>
              <w:t>无</w:t>
            </w:r>
          </w:p>
        </w:tc>
      </w:tr>
      <w:tr w14:paraId="5B474C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46299D46">
            <w:pPr>
              <w:adjustRightInd w:val="0"/>
              <w:snapToGrid w:val="0"/>
              <w:spacing w:line="400" w:lineRule="exact"/>
              <w:jc w:val="center"/>
              <w:rPr>
                <w:rFonts w:ascii="宋体" w:hAnsi="宋体"/>
                <w:color w:val="auto"/>
                <w:szCs w:val="21"/>
                <w:highlight w:val="none"/>
              </w:rPr>
            </w:pPr>
            <w:r>
              <w:rPr>
                <w:rFonts w:hint="eastAsia" w:ascii="宋体" w:hAnsi="宋体"/>
                <w:color w:val="auto"/>
                <w:szCs w:val="21"/>
                <w:highlight w:val="none"/>
              </w:rPr>
              <w:t>第14.1款</w:t>
            </w:r>
          </w:p>
        </w:tc>
        <w:tc>
          <w:tcPr>
            <w:tcW w:w="2863" w:type="dxa"/>
            <w:vAlign w:val="center"/>
          </w:tcPr>
          <w:p w14:paraId="7A980E10">
            <w:pPr>
              <w:adjustRightInd w:val="0"/>
              <w:snapToGrid w:val="0"/>
              <w:spacing w:line="400" w:lineRule="exact"/>
              <w:rPr>
                <w:rFonts w:ascii="宋体" w:hAnsi="宋体"/>
                <w:bCs/>
                <w:color w:val="auto"/>
                <w:szCs w:val="21"/>
                <w:highlight w:val="none"/>
              </w:rPr>
            </w:pPr>
            <w:r>
              <w:rPr>
                <w:rFonts w:hint="eastAsia" w:ascii="宋体" w:hAnsi="宋体"/>
                <w:color w:val="auto"/>
                <w:szCs w:val="21"/>
                <w:highlight w:val="none"/>
              </w:rPr>
              <w:t>投标人应提供资格审查资料</w:t>
            </w:r>
          </w:p>
        </w:tc>
        <w:tc>
          <w:tcPr>
            <w:tcW w:w="5065" w:type="dxa"/>
            <w:vAlign w:val="center"/>
          </w:tcPr>
          <w:p w14:paraId="6056E9B6">
            <w:pPr>
              <w:keepNext w:val="0"/>
              <w:keepLines w:val="0"/>
              <w:pageBreakBefore w:val="0"/>
              <w:kinsoku/>
              <w:wordWrap/>
              <w:overflowPunct/>
              <w:topLinePunct w:val="0"/>
              <w:autoSpaceDE/>
              <w:autoSpaceDN/>
              <w:bidi w:val="0"/>
              <w:spacing w:line="340" w:lineRule="exact"/>
              <w:textAlignment w:val="auto"/>
              <w:rPr>
                <w:rFonts w:hint="eastAsia"/>
                <w:color w:val="auto"/>
                <w:highlight w:val="none"/>
              </w:rPr>
            </w:pPr>
            <w:r>
              <w:rPr>
                <w:rFonts w:hint="eastAsia"/>
                <w:color w:val="auto"/>
                <w:highlight w:val="none"/>
              </w:rPr>
              <w:t xml:space="preserve">1、开标一览表； </w:t>
            </w:r>
          </w:p>
          <w:p w14:paraId="0C555C5A">
            <w:pPr>
              <w:keepNext w:val="0"/>
              <w:keepLines w:val="0"/>
              <w:pageBreakBefore w:val="0"/>
              <w:kinsoku/>
              <w:wordWrap/>
              <w:overflowPunct/>
              <w:topLinePunct w:val="0"/>
              <w:autoSpaceDE/>
              <w:autoSpaceDN/>
              <w:bidi w:val="0"/>
              <w:spacing w:line="340" w:lineRule="exact"/>
              <w:textAlignment w:val="auto"/>
              <w:rPr>
                <w:rFonts w:hint="eastAsia"/>
                <w:color w:val="auto"/>
                <w:highlight w:val="none"/>
              </w:rPr>
            </w:pPr>
            <w:r>
              <w:rPr>
                <w:rFonts w:hint="eastAsia"/>
                <w:color w:val="auto"/>
                <w:highlight w:val="none"/>
              </w:rPr>
              <w:t>2、投标保证金付款凭证（复印件加盖单位章）</w:t>
            </w:r>
            <w:r>
              <w:rPr>
                <w:rFonts w:hint="eastAsia"/>
                <w:color w:val="auto"/>
                <w:highlight w:val="none"/>
                <w:lang w:eastAsia="zh-CN"/>
              </w:rPr>
              <w:t>（</w:t>
            </w:r>
            <w:r>
              <w:rPr>
                <w:rFonts w:hint="eastAsia"/>
                <w:color w:val="auto"/>
                <w:highlight w:val="none"/>
                <w:lang w:val="en-US" w:eastAsia="zh-CN"/>
              </w:rPr>
              <w:t>如有</w:t>
            </w:r>
            <w:r>
              <w:rPr>
                <w:rFonts w:hint="eastAsia"/>
                <w:color w:val="auto"/>
                <w:highlight w:val="none"/>
                <w:lang w:eastAsia="zh-CN"/>
              </w:rPr>
              <w:t>）</w:t>
            </w:r>
            <w:r>
              <w:rPr>
                <w:rFonts w:hint="eastAsia"/>
                <w:color w:val="auto"/>
                <w:highlight w:val="none"/>
              </w:rPr>
              <w:t xml:space="preserve">； </w:t>
            </w:r>
          </w:p>
          <w:p w14:paraId="59986595">
            <w:pPr>
              <w:keepNext w:val="0"/>
              <w:keepLines w:val="0"/>
              <w:pageBreakBefore w:val="0"/>
              <w:kinsoku/>
              <w:wordWrap/>
              <w:overflowPunct/>
              <w:topLinePunct w:val="0"/>
              <w:autoSpaceDE/>
              <w:autoSpaceDN/>
              <w:bidi w:val="0"/>
              <w:spacing w:line="340" w:lineRule="exact"/>
              <w:textAlignment w:val="auto"/>
              <w:rPr>
                <w:rFonts w:hint="eastAsia"/>
                <w:color w:val="auto"/>
                <w:highlight w:val="none"/>
              </w:rPr>
            </w:pPr>
            <w:r>
              <w:rPr>
                <w:rFonts w:hint="eastAsia"/>
                <w:color w:val="auto"/>
                <w:highlight w:val="none"/>
              </w:rPr>
              <w:t xml:space="preserve">3、法定代表人（单位负责人）身份证明（代理人投标须提供授权委托书并附法定代表人（单位负责人）身份证明）； </w:t>
            </w:r>
          </w:p>
          <w:p w14:paraId="1E3E1A50">
            <w:pPr>
              <w:keepNext w:val="0"/>
              <w:keepLines w:val="0"/>
              <w:pageBreakBefore w:val="0"/>
              <w:kinsoku/>
              <w:wordWrap/>
              <w:overflowPunct/>
              <w:topLinePunct w:val="0"/>
              <w:autoSpaceDE/>
              <w:autoSpaceDN/>
              <w:bidi w:val="0"/>
              <w:spacing w:line="340" w:lineRule="exact"/>
              <w:textAlignment w:val="auto"/>
              <w:rPr>
                <w:rFonts w:hint="eastAsia"/>
                <w:color w:val="auto"/>
                <w:highlight w:val="none"/>
              </w:rPr>
            </w:pPr>
            <w:r>
              <w:rPr>
                <w:rFonts w:hint="eastAsia"/>
                <w:color w:val="auto"/>
                <w:highlight w:val="none"/>
              </w:rPr>
              <w:t xml:space="preserve">4、投标人营业执照（复印件加盖单位章）； </w:t>
            </w:r>
          </w:p>
          <w:p w14:paraId="78CA4885">
            <w:pPr>
              <w:keepNext w:val="0"/>
              <w:keepLines w:val="0"/>
              <w:pageBreakBefore w:val="0"/>
              <w:kinsoku/>
              <w:wordWrap/>
              <w:overflowPunct/>
              <w:topLinePunct w:val="0"/>
              <w:autoSpaceDE/>
              <w:autoSpaceDN/>
              <w:bidi w:val="0"/>
              <w:spacing w:line="340" w:lineRule="exact"/>
              <w:textAlignment w:val="auto"/>
              <w:rPr>
                <w:rFonts w:hint="eastAsia"/>
                <w:color w:val="auto"/>
                <w:highlight w:val="none"/>
              </w:rPr>
            </w:pPr>
            <w:r>
              <w:rPr>
                <w:rFonts w:hint="eastAsia"/>
                <w:color w:val="auto"/>
                <w:highlight w:val="none"/>
              </w:rPr>
              <w:t xml:space="preserve">5、投标人资格声明； </w:t>
            </w:r>
          </w:p>
          <w:p w14:paraId="1C82715F">
            <w:pPr>
              <w:keepNext w:val="0"/>
              <w:keepLines w:val="0"/>
              <w:pageBreakBefore w:val="0"/>
              <w:kinsoku/>
              <w:wordWrap/>
              <w:overflowPunct/>
              <w:topLinePunct w:val="0"/>
              <w:autoSpaceDE/>
              <w:autoSpaceDN/>
              <w:bidi w:val="0"/>
              <w:spacing w:line="340" w:lineRule="exact"/>
              <w:textAlignment w:val="auto"/>
              <w:rPr>
                <w:rFonts w:hint="eastAsia"/>
                <w:color w:val="auto"/>
                <w:highlight w:val="none"/>
              </w:rPr>
            </w:pPr>
            <w:r>
              <w:rPr>
                <w:rFonts w:hint="eastAsia"/>
                <w:color w:val="auto"/>
                <w:highlight w:val="none"/>
              </w:rPr>
              <w:t xml:space="preserve">6、投标人信用查询记录； </w:t>
            </w:r>
          </w:p>
          <w:p w14:paraId="5A296A98">
            <w:pPr>
              <w:keepNext w:val="0"/>
              <w:keepLines w:val="0"/>
              <w:pageBreakBefore w:val="0"/>
              <w:kinsoku/>
              <w:wordWrap/>
              <w:overflowPunct/>
              <w:topLinePunct w:val="0"/>
              <w:autoSpaceDE/>
              <w:autoSpaceDN/>
              <w:bidi w:val="0"/>
              <w:spacing w:line="340" w:lineRule="exact"/>
              <w:textAlignment w:val="auto"/>
              <w:rPr>
                <w:rFonts w:hint="eastAsia"/>
                <w:color w:val="auto"/>
                <w:highlight w:val="none"/>
                <w:lang w:val="en-US" w:eastAsia="zh-CN"/>
              </w:rPr>
            </w:pPr>
            <w:r>
              <w:rPr>
                <w:rFonts w:hint="eastAsia"/>
                <w:color w:val="auto"/>
                <w:highlight w:val="none"/>
              </w:rPr>
              <w:t>7、符合特定资格条件证明材料复印件或者情况说明</w:t>
            </w:r>
            <w:r>
              <w:rPr>
                <w:rFonts w:hint="eastAsia"/>
                <w:color w:val="auto"/>
                <w:highlight w:val="none"/>
                <w:lang w:eastAsia="zh-CN"/>
              </w:rPr>
              <w:t>；</w:t>
            </w:r>
          </w:p>
          <w:p w14:paraId="7B8B6681">
            <w:pPr>
              <w:keepNext w:val="0"/>
              <w:keepLines w:val="0"/>
              <w:pageBreakBefore w:val="0"/>
              <w:kinsoku/>
              <w:wordWrap/>
              <w:overflowPunct/>
              <w:topLinePunct w:val="0"/>
              <w:autoSpaceDE/>
              <w:autoSpaceDN/>
              <w:bidi w:val="0"/>
              <w:spacing w:line="340" w:lineRule="exact"/>
              <w:textAlignment w:val="auto"/>
              <w:rPr>
                <w:rFonts w:hint="eastAsia"/>
                <w:color w:val="auto"/>
                <w:highlight w:val="none"/>
                <w:lang w:eastAsia="zh-CN"/>
              </w:rPr>
            </w:pPr>
            <w:r>
              <w:rPr>
                <w:rFonts w:hint="eastAsia"/>
                <w:color w:val="auto"/>
                <w:highlight w:val="none"/>
                <w:lang w:val="en-US" w:eastAsia="zh-CN"/>
              </w:rPr>
              <w:t>8、</w:t>
            </w:r>
            <w:r>
              <w:rPr>
                <w:rFonts w:hint="eastAsia"/>
                <w:color w:val="auto"/>
                <w:highlight w:val="none"/>
              </w:rPr>
              <w:t>联合体</w:t>
            </w:r>
            <w:r>
              <w:rPr>
                <w:rFonts w:hint="eastAsia"/>
                <w:color w:val="auto"/>
                <w:highlight w:val="none"/>
                <w:lang w:eastAsia="zh-CN"/>
              </w:rPr>
              <w:t>参与投标的</w:t>
            </w:r>
            <w:r>
              <w:rPr>
                <w:rFonts w:hint="eastAsia"/>
                <w:color w:val="auto"/>
                <w:highlight w:val="none"/>
              </w:rPr>
              <w:t>，</w:t>
            </w:r>
            <w:r>
              <w:rPr>
                <w:rFonts w:hint="eastAsia"/>
                <w:color w:val="auto"/>
                <w:highlight w:val="none"/>
                <w:lang w:eastAsia="zh-CN"/>
              </w:rPr>
              <w:t>还</w:t>
            </w:r>
            <w:r>
              <w:rPr>
                <w:rFonts w:hint="eastAsia"/>
                <w:color w:val="auto"/>
                <w:highlight w:val="none"/>
              </w:rPr>
              <w:t>需提供联合体协议书</w:t>
            </w:r>
            <w:r>
              <w:rPr>
                <w:rFonts w:hint="eastAsia"/>
                <w:color w:val="auto"/>
                <w:highlight w:val="none"/>
                <w:lang w:eastAsia="zh-CN"/>
              </w:rPr>
              <w:t>。</w:t>
            </w:r>
          </w:p>
          <w:p w14:paraId="352107E4">
            <w:pPr>
              <w:adjustRightInd w:val="0"/>
              <w:snapToGrid w:val="0"/>
              <w:spacing w:line="400" w:lineRule="exact"/>
              <w:rPr>
                <w:rFonts w:ascii="宋体" w:hAnsi="宋体"/>
                <w:color w:val="auto"/>
                <w:szCs w:val="21"/>
                <w:highlight w:val="none"/>
              </w:rPr>
            </w:pPr>
            <w:r>
              <w:rPr>
                <w:rFonts w:hint="eastAsia" w:ascii="宋体" w:hAnsi="宋体" w:eastAsia="宋体"/>
                <w:color w:val="auto"/>
                <w:szCs w:val="21"/>
                <w:highlight w:val="none"/>
              </w:rPr>
              <w:t>说明：具体详见招标文件资格审查表</w:t>
            </w:r>
            <w:r>
              <w:rPr>
                <w:rFonts w:hint="eastAsia" w:ascii="宋体" w:hAnsi="宋体" w:eastAsia="宋体"/>
                <w:color w:val="auto"/>
                <w:szCs w:val="21"/>
                <w:highlight w:val="none"/>
                <w:lang w:eastAsia="zh-CN"/>
              </w:rPr>
              <w:t>。</w:t>
            </w:r>
          </w:p>
        </w:tc>
      </w:tr>
      <w:tr w14:paraId="503FC9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7F58AABF">
            <w:pPr>
              <w:adjustRightInd w:val="0"/>
              <w:snapToGrid w:val="0"/>
              <w:spacing w:line="400" w:lineRule="exact"/>
              <w:jc w:val="center"/>
              <w:rPr>
                <w:rFonts w:ascii="宋体" w:hAnsi="宋体"/>
                <w:color w:val="auto"/>
                <w:szCs w:val="21"/>
                <w:highlight w:val="none"/>
              </w:rPr>
            </w:pPr>
            <w:r>
              <w:rPr>
                <w:rFonts w:hint="eastAsia" w:ascii="宋体" w:hAnsi="宋体"/>
                <w:color w:val="auto"/>
                <w:szCs w:val="21"/>
                <w:highlight w:val="none"/>
              </w:rPr>
              <w:t>第16.1</w:t>
            </w:r>
            <w:r>
              <w:rPr>
                <w:rFonts w:hint="eastAsia" w:ascii="宋体" w:hAnsi="宋体" w:cs="宋体"/>
                <w:color w:val="auto"/>
                <w:kern w:val="0"/>
                <w:szCs w:val="21"/>
                <w:highlight w:val="none"/>
                <w:lang w:val="zh-CN"/>
              </w:rPr>
              <w:t>款</w:t>
            </w:r>
          </w:p>
        </w:tc>
        <w:tc>
          <w:tcPr>
            <w:tcW w:w="2863" w:type="dxa"/>
            <w:vAlign w:val="center"/>
          </w:tcPr>
          <w:p w14:paraId="14A6B37D">
            <w:pPr>
              <w:adjustRightInd w:val="0"/>
              <w:snapToGrid w:val="0"/>
              <w:spacing w:line="400" w:lineRule="exact"/>
              <w:jc w:val="left"/>
              <w:rPr>
                <w:rFonts w:ascii="宋体" w:hAnsi="宋体"/>
                <w:bCs/>
                <w:color w:val="auto"/>
                <w:szCs w:val="21"/>
                <w:highlight w:val="none"/>
              </w:rPr>
            </w:pPr>
            <w:r>
              <w:rPr>
                <w:rFonts w:hint="eastAsia" w:ascii="宋体" w:hAnsi="宋体"/>
                <w:bCs/>
                <w:color w:val="auto"/>
                <w:szCs w:val="21"/>
                <w:highlight w:val="none"/>
              </w:rPr>
              <w:t>投标有效期</w:t>
            </w:r>
          </w:p>
        </w:tc>
        <w:tc>
          <w:tcPr>
            <w:tcW w:w="5065" w:type="dxa"/>
            <w:vAlign w:val="center"/>
          </w:tcPr>
          <w:p w14:paraId="209E5B8F">
            <w:pPr>
              <w:snapToGrid w:val="0"/>
              <w:spacing w:line="400" w:lineRule="exact"/>
              <w:textAlignment w:val="baseline"/>
              <w:rPr>
                <w:rFonts w:ascii="宋体" w:hAnsi="宋体"/>
                <w:bCs/>
                <w:color w:val="auto"/>
                <w:szCs w:val="21"/>
                <w:highlight w:val="none"/>
              </w:rPr>
            </w:pPr>
            <w:r>
              <w:rPr>
                <w:rStyle w:val="49"/>
                <w:rFonts w:ascii="宋体" w:hAnsi="宋体"/>
                <w:bCs/>
                <w:color w:val="auto"/>
                <w:szCs w:val="21"/>
                <w:highlight w:val="none"/>
                <w:u w:val="single" w:color="000000"/>
              </w:rPr>
              <w:t>90</w:t>
            </w:r>
            <w:r>
              <w:rPr>
                <w:rStyle w:val="49"/>
                <w:rFonts w:ascii="宋体" w:hAnsi="宋体"/>
                <w:bCs/>
                <w:color w:val="auto"/>
                <w:szCs w:val="21"/>
                <w:highlight w:val="none"/>
              </w:rPr>
              <w:t>日历天</w:t>
            </w:r>
          </w:p>
        </w:tc>
      </w:tr>
      <w:tr w14:paraId="3A46BD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51DA1088">
            <w:pPr>
              <w:adjustRightInd w:val="0"/>
              <w:snapToGrid w:val="0"/>
              <w:spacing w:line="400" w:lineRule="exact"/>
              <w:jc w:val="center"/>
              <w:rPr>
                <w:rFonts w:ascii="宋体" w:hAnsi="宋体"/>
                <w:color w:val="auto"/>
                <w:szCs w:val="21"/>
                <w:highlight w:val="none"/>
              </w:rPr>
            </w:pPr>
            <w:r>
              <w:rPr>
                <w:rFonts w:hint="eastAsia" w:ascii="宋体" w:hAnsi="宋体"/>
                <w:color w:val="auto"/>
                <w:szCs w:val="21"/>
                <w:highlight w:val="none"/>
              </w:rPr>
              <w:t>第17.1</w:t>
            </w:r>
            <w:r>
              <w:rPr>
                <w:rFonts w:hint="eastAsia" w:ascii="宋体" w:hAnsi="宋体" w:cs="宋体"/>
                <w:color w:val="auto"/>
                <w:kern w:val="0"/>
                <w:szCs w:val="21"/>
                <w:highlight w:val="none"/>
                <w:lang w:val="zh-CN"/>
              </w:rPr>
              <w:t>款</w:t>
            </w:r>
          </w:p>
        </w:tc>
        <w:tc>
          <w:tcPr>
            <w:tcW w:w="2863" w:type="dxa"/>
            <w:vAlign w:val="center"/>
          </w:tcPr>
          <w:p w14:paraId="0E82879E">
            <w:pPr>
              <w:adjustRightInd w:val="0"/>
              <w:snapToGrid w:val="0"/>
              <w:spacing w:line="400" w:lineRule="exact"/>
              <w:ind w:left="-533" w:leftChars="-254" w:firstLine="533" w:firstLineChars="254"/>
              <w:jc w:val="left"/>
              <w:rPr>
                <w:rFonts w:ascii="宋体" w:hAnsi="宋体"/>
                <w:color w:val="auto"/>
                <w:szCs w:val="21"/>
                <w:highlight w:val="none"/>
              </w:rPr>
            </w:pPr>
            <w:r>
              <w:rPr>
                <w:rFonts w:hint="eastAsia" w:ascii="宋体" w:hAnsi="宋体"/>
                <w:color w:val="auto"/>
                <w:szCs w:val="21"/>
                <w:highlight w:val="none"/>
              </w:rPr>
              <w:t>投标保证金</w:t>
            </w:r>
          </w:p>
        </w:tc>
        <w:tc>
          <w:tcPr>
            <w:tcW w:w="5065" w:type="dxa"/>
            <w:vAlign w:val="center"/>
          </w:tcPr>
          <w:p w14:paraId="09BA999B">
            <w:pPr>
              <w:snapToGrid w:val="0"/>
              <w:spacing w:line="400" w:lineRule="exact"/>
              <w:textAlignment w:val="baseline"/>
              <w:rPr>
                <w:rStyle w:val="49"/>
                <w:rFonts w:ascii="宋体" w:hAnsi="宋体"/>
                <w:color w:val="auto"/>
                <w:szCs w:val="21"/>
                <w:highlight w:val="none"/>
              </w:rPr>
            </w:pPr>
            <w:r>
              <w:rPr>
                <w:rFonts w:hint="eastAsia" w:ascii="宋体" w:hAnsi="宋体"/>
                <w:iCs/>
                <w:color w:val="auto"/>
                <w:szCs w:val="21"/>
                <w:highlight w:val="none"/>
              </w:rPr>
              <w:sym w:font="Wingdings" w:char="00FE"/>
            </w:r>
            <w:r>
              <w:rPr>
                <w:rFonts w:hint="eastAsia" w:ascii="宋体" w:hAnsi="宋体"/>
                <w:iCs/>
                <w:color w:val="auto"/>
                <w:szCs w:val="21"/>
                <w:highlight w:val="none"/>
              </w:rPr>
              <w:t xml:space="preserve"> </w:t>
            </w:r>
            <w:r>
              <w:rPr>
                <w:rStyle w:val="49"/>
                <w:rFonts w:ascii="宋体" w:hAnsi="宋体"/>
                <w:color w:val="auto"/>
                <w:szCs w:val="21"/>
                <w:highlight w:val="none"/>
              </w:rPr>
              <w:t>不要求提供</w:t>
            </w:r>
          </w:p>
          <w:p w14:paraId="26264C2D">
            <w:pPr>
              <w:snapToGrid w:val="0"/>
              <w:spacing w:line="400" w:lineRule="exact"/>
              <w:textAlignment w:val="baseline"/>
              <w:rPr>
                <w:rFonts w:ascii="宋体" w:hAnsi="宋体"/>
                <w:color w:val="auto"/>
                <w:szCs w:val="21"/>
                <w:highlight w:val="none"/>
              </w:rPr>
            </w:pP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 </w:t>
            </w:r>
            <w:r>
              <w:rPr>
                <w:rStyle w:val="49"/>
                <w:rFonts w:ascii="宋体" w:hAnsi="宋体"/>
                <w:color w:val="auto"/>
                <w:szCs w:val="21"/>
                <w:highlight w:val="none"/>
              </w:rPr>
              <w:t>要求提供</w:t>
            </w:r>
          </w:p>
        </w:tc>
      </w:tr>
      <w:tr w14:paraId="4133C1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6C4DEE8E">
            <w:pPr>
              <w:adjustRightInd w:val="0"/>
              <w:snapToGrid w:val="0"/>
              <w:spacing w:line="400" w:lineRule="exact"/>
              <w:jc w:val="center"/>
              <w:rPr>
                <w:rFonts w:ascii="宋体" w:hAnsi="宋体"/>
                <w:color w:val="auto"/>
                <w:szCs w:val="21"/>
                <w:highlight w:val="none"/>
              </w:rPr>
            </w:pPr>
            <w:r>
              <w:rPr>
                <w:rFonts w:hint="eastAsia" w:ascii="宋体" w:hAnsi="宋体"/>
                <w:color w:val="auto"/>
                <w:szCs w:val="21"/>
                <w:highlight w:val="none"/>
              </w:rPr>
              <w:t>第18.1</w:t>
            </w:r>
            <w:r>
              <w:rPr>
                <w:rFonts w:hint="eastAsia" w:ascii="宋体" w:hAnsi="宋体" w:cs="宋体"/>
                <w:color w:val="auto"/>
                <w:kern w:val="0"/>
                <w:szCs w:val="21"/>
                <w:highlight w:val="none"/>
                <w:lang w:val="zh-CN"/>
              </w:rPr>
              <w:t>款</w:t>
            </w:r>
          </w:p>
        </w:tc>
        <w:tc>
          <w:tcPr>
            <w:tcW w:w="2863" w:type="dxa"/>
            <w:vAlign w:val="center"/>
          </w:tcPr>
          <w:p w14:paraId="1374F4E4">
            <w:pPr>
              <w:adjustRightInd w:val="0"/>
              <w:snapToGrid w:val="0"/>
              <w:spacing w:line="400" w:lineRule="exact"/>
              <w:jc w:val="left"/>
              <w:rPr>
                <w:rFonts w:ascii="宋体" w:hAnsi="宋体"/>
                <w:color w:val="auto"/>
                <w:szCs w:val="21"/>
                <w:highlight w:val="none"/>
              </w:rPr>
            </w:pPr>
            <w:r>
              <w:rPr>
                <w:rFonts w:hint="eastAsia" w:ascii="宋体" w:hAnsi="宋体"/>
                <w:bCs/>
                <w:color w:val="auto"/>
                <w:szCs w:val="21"/>
                <w:highlight w:val="none"/>
              </w:rPr>
              <w:t>分包</w:t>
            </w:r>
          </w:p>
        </w:tc>
        <w:tc>
          <w:tcPr>
            <w:tcW w:w="5065" w:type="dxa"/>
            <w:vAlign w:val="center"/>
          </w:tcPr>
          <w:p w14:paraId="4203E1D9">
            <w:pPr>
              <w:snapToGrid w:val="0"/>
              <w:spacing w:line="400" w:lineRule="exact"/>
              <w:textAlignment w:val="baseline"/>
              <w:rPr>
                <w:rFonts w:ascii="宋体" w:hAnsi="宋体"/>
                <w:iCs/>
                <w:color w:val="auto"/>
                <w:szCs w:val="21"/>
                <w:highlight w:val="none"/>
              </w:rPr>
            </w:pPr>
            <w:r>
              <w:rPr>
                <w:rFonts w:hint="eastAsia" w:ascii="宋体" w:hAnsi="宋体"/>
                <w:iCs/>
                <w:color w:val="auto"/>
                <w:szCs w:val="21"/>
                <w:highlight w:val="none"/>
              </w:rPr>
              <w:sym w:font="Wingdings" w:char="00FE"/>
            </w:r>
            <w:r>
              <w:rPr>
                <w:rFonts w:hint="eastAsia" w:ascii="宋体" w:hAnsi="宋体"/>
                <w:iCs/>
                <w:color w:val="auto"/>
                <w:szCs w:val="21"/>
                <w:highlight w:val="none"/>
              </w:rPr>
              <w:t xml:space="preserve"> 不允许。</w:t>
            </w:r>
          </w:p>
          <w:p w14:paraId="24395769">
            <w:pPr>
              <w:snapToGrid w:val="0"/>
              <w:spacing w:line="400" w:lineRule="exact"/>
              <w:textAlignment w:val="baseline"/>
              <w:rPr>
                <w:rFonts w:ascii="宋体" w:hAnsi="宋体"/>
                <w:b/>
                <w:bCs/>
                <w:color w:val="auto"/>
                <w:szCs w:val="21"/>
                <w:highlight w:val="none"/>
              </w:rPr>
            </w:pPr>
            <w:r>
              <w:rPr>
                <w:rFonts w:hint="eastAsia"/>
                <w:color w:val="auto"/>
                <w:highlight w:val="none"/>
              </w:rPr>
              <w:sym w:font="Wingdings" w:char="00A8"/>
            </w:r>
            <w:r>
              <w:rPr>
                <w:rFonts w:hint="eastAsia"/>
                <w:color w:val="auto"/>
                <w:highlight w:val="none"/>
              </w:rPr>
              <w:t xml:space="preserve"> </w:t>
            </w:r>
            <w:r>
              <w:rPr>
                <w:rStyle w:val="49"/>
                <w:rFonts w:hint="eastAsia" w:ascii="宋体" w:hAnsi="宋体"/>
                <w:iCs/>
                <w:color w:val="auto"/>
                <w:szCs w:val="21"/>
                <w:highlight w:val="none"/>
              </w:rPr>
              <w:t>允许，分包要求</w:t>
            </w:r>
            <w:r>
              <w:rPr>
                <w:rStyle w:val="49"/>
                <w:rFonts w:ascii="宋体" w:hAnsi="宋体"/>
                <w:iCs/>
                <w:color w:val="auto"/>
                <w:szCs w:val="21"/>
                <w:highlight w:val="none"/>
              </w:rPr>
              <w:t>：</w:t>
            </w:r>
            <w:r>
              <w:rPr>
                <w:rStyle w:val="49"/>
                <w:rFonts w:ascii="宋体" w:hAnsi="宋体"/>
                <w:iCs/>
                <w:color w:val="auto"/>
                <w:szCs w:val="21"/>
                <w:highlight w:val="none"/>
                <w:u w:val="single" w:color="000000"/>
              </w:rPr>
              <w:t xml:space="preserve">             </w:t>
            </w:r>
            <w:r>
              <w:rPr>
                <w:rStyle w:val="49"/>
                <w:rFonts w:hint="eastAsia" w:ascii="宋体" w:hAnsi="宋体"/>
                <w:iCs/>
                <w:color w:val="auto"/>
                <w:szCs w:val="21"/>
                <w:highlight w:val="none"/>
                <w:u w:val="single" w:color="000000"/>
              </w:rPr>
              <w:t>。</w:t>
            </w:r>
          </w:p>
        </w:tc>
      </w:tr>
      <w:tr w14:paraId="12C28AD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49FD159C">
            <w:pPr>
              <w:adjustRightInd w:val="0"/>
              <w:snapToGrid w:val="0"/>
              <w:spacing w:line="400" w:lineRule="exact"/>
              <w:jc w:val="center"/>
              <w:rPr>
                <w:rFonts w:ascii="宋体" w:hAnsi="宋体"/>
                <w:color w:val="auto"/>
                <w:szCs w:val="21"/>
                <w:highlight w:val="none"/>
              </w:rPr>
            </w:pPr>
            <w:r>
              <w:rPr>
                <w:rFonts w:hint="eastAsia" w:ascii="宋体" w:hAnsi="宋体"/>
                <w:color w:val="auto"/>
                <w:szCs w:val="21"/>
                <w:highlight w:val="none"/>
              </w:rPr>
              <w:t>第19.1</w:t>
            </w:r>
            <w:r>
              <w:rPr>
                <w:rFonts w:hint="eastAsia" w:ascii="宋体" w:hAnsi="宋体" w:cs="宋体"/>
                <w:color w:val="auto"/>
                <w:kern w:val="0"/>
                <w:szCs w:val="21"/>
                <w:highlight w:val="none"/>
                <w:lang w:val="zh-CN"/>
              </w:rPr>
              <w:t>款</w:t>
            </w:r>
          </w:p>
        </w:tc>
        <w:tc>
          <w:tcPr>
            <w:tcW w:w="2863" w:type="dxa"/>
            <w:vAlign w:val="center"/>
          </w:tcPr>
          <w:p w14:paraId="1C708E61">
            <w:pPr>
              <w:adjustRightInd w:val="0"/>
              <w:snapToGrid w:val="0"/>
              <w:spacing w:line="400" w:lineRule="exact"/>
              <w:jc w:val="left"/>
              <w:rPr>
                <w:rFonts w:ascii="宋体" w:hAnsi="宋体"/>
                <w:bCs/>
                <w:color w:val="auto"/>
                <w:szCs w:val="21"/>
                <w:highlight w:val="none"/>
              </w:rPr>
            </w:pPr>
            <w:r>
              <w:rPr>
                <w:rFonts w:hint="eastAsia" w:ascii="宋体" w:hAnsi="宋体"/>
                <w:bCs/>
                <w:color w:val="auto"/>
                <w:szCs w:val="21"/>
                <w:highlight w:val="none"/>
              </w:rPr>
              <w:t>投标文件份数</w:t>
            </w:r>
          </w:p>
        </w:tc>
        <w:tc>
          <w:tcPr>
            <w:tcW w:w="5065" w:type="dxa"/>
            <w:vAlign w:val="center"/>
          </w:tcPr>
          <w:p w14:paraId="46247649">
            <w:pPr>
              <w:snapToGrid w:val="0"/>
              <w:spacing w:line="400" w:lineRule="exact"/>
              <w:textAlignment w:val="baseline"/>
              <w:rPr>
                <w:rStyle w:val="49"/>
                <w:rFonts w:ascii="宋体" w:hAnsi="宋体" w:cs="宋体"/>
                <w:bCs/>
                <w:color w:val="auto"/>
                <w:highlight w:val="none"/>
              </w:rPr>
            </w:pPr>
            <w:r>
              <w:rPr>
                <w:rStyle w:val="49"/>
                <w:rFonts w:hint="eastAsia" w:ascii="宋体" w:hAnsi="宋体" w:cs="宋体"/>
                <w:bCs/>
                <w:color w:val="auto"/>
                <w:highlight w:val="none"/>
              </w:rPr>
              <w:t>提供电子版投标文件1份（系统上传）。</w:t>
            </w:r>
          </w:p>
          <w:p w14:paraId="07432C9F">
            <w:pPr>
              <w:snapToGrid w:val="0"/>
              <w:spacing w:line="400" w:lineRule="exact"/>
              <w:textAlignment w:val="baseline"/>
              <w:rPr>
                <w:rFonts w:ascii="宋体" w:hAnsi="宋体"/>
                <w:b/>
                <w:bCs/>
                <w:color w:val="auto"/>
                <w:szCs w:val="21"/>
                <w:highlight w:val="none"/>
              </w:rPr>
            </w:pPr>
            <w:r>
              <w:rPr>
                <w:rStyle w:val="49"/>
                <w:rFonts w:hint="eastAsia" w:ascii="宋体" w:hAnsi="宋体" w:cs="宋体"/>
                <w:bCs/>
                <w:color w:val="auto"/>
                <w:highlight w:val="none"/>
              </w:rPr>
              <w:t>说明：中标公告发布之后，中标单位必须递交与电子文件完全一致的纸质文件一正</w:t>
            </w:r>
            <w:r>
              <w:rPr>
                <w:rStyle w:val="49"/>
                <w:rFonts w:hint="eastAsia" w:ascii="宋体" w:hAnsi="宋体" w:cs="宋体"/>
                <w:bCs/>
                <w:color w:val="auto"/>
                <w:highlight w:val="none"/>
                <w:lang w:val="en-US"/>
              </w:rPr>
              <w:t>二</w:t>
            </w:r>
            <w:r>
              <w:rPr>
                <w:rStyle w:val="49"/>
                <w:rFonts w:hint="eastAsia" w:ascii="宋体" w:hAnsi="宋体" w:cs="宋体"/>
                <w:bCs/>
                <w:color w:val="auto"/>
                <w:highlight w:val="none"/>
              </w:rPr>
              <w:t>副共</w:t>
            </w:r>
            <w:r>
              <w:rPr>
                <w:rStyle w:val="49"/>
                <w:rFonts w:hint="eastAsia" w:ascii="宋体" w:hAnsi="宋体" w:cs="宋体"/>
                <w:bCs/>
                <w:color w:val="auto"/>
                <w:highlight w:val="none"/>
                <w:lang w:val="en-US"/>
              </w:rPr>
              <w:t>三</w:t>
            </w:r>
            <w:r>
              <w:rPr>
                <w:rStyle w:val="49"/>
                <w:rFonts w:hint="eastAsia" w:ascii="宋体" w:hAnsi="宋体" w:cs="宋体"/>
                <w:bCs/>
                <w:color w:val="auto"/>
                <w:highlight w:val="none"/>
              </w:rPr>
              <w:t>套至招标代理机构。</w:t>
            </w:r>
          </w:p>
        </w:tc>
      </w:tr>
      <w:tr w14:paraId="743322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488" w:type="dxa"/>
            <w:gridSpan w:val="3"/>
            <w:vAlign w:val="center"/>
          </w:tcPr>
          <w:p w14:paraId="22F096BF">
            <w:pPr>
              <w:adjustRightInd w:val="0"/>
              <w:snapToGrid w:val="0"/>
              <w:spacing w:line="400" w:lineRule="exact"/>
              <w:rPr>
                <w:rFonts w:ascii="宋体" w:hAnsi="宋体"/>
                <w:b/>
                <w:bCs/>
                <w:color w:val="auto"/>
                <w:szCs w:val="21"/>
                <w:highlight w:val="none"/>
              </w:rPr>
            </w:pPr>
            <w:r>
              <w:rPr>
                <w:rFonts w:hint="eastAsia" w:ascii="宋体" w:hAnsi="宋体"/>
                <w:b/>
                <w:color w:val="auto"/>
                <w:szCs w:val="21"/>
                <w:highlight w:val="none"/>
              </w:rPr>
              <w:t>四、投标</w:t>
            </w:r>
          </w:p>
        </w:tc>
      </w:tr>
      <w:tr w14:paraId="638017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0AA136F1">
            <w:pPr>
              <w:adjustRightInd w:val="0"/>
              <w:snapToGrid w:val="0"/>
              <w:spacing w:line="400" w:lineRule="exact"/>
              <w:jc w:val="center"/>
              <w:rPr>
                <w:rFonts w:ascii="宋体" w:hAnsi="宋体"/>
                <w:color w:val="auto"/>
                <w:szCs w:val="21"/>
                <w:highlight w:val="none"/>
              </w:rPr>
            </w:pPr>
            <w:r>
              <w:rPr>
                <w:rFonts w:hint="eastAsia" w:ascii="宋体" w:hAnsi="宋体"/>
                <w:color w:val="auto"/>
                <w:szCs w:val="21"/>
                <w:highlight w:val="none"/>
              </w:rPr>
              <w:t>第21.1</w:t>
            </w:r>
            <w:r>
              <w:rPr>
                <w:rFonts w:hint="eastAsia" w:ascii="宋体" w:hAnsi="宋体" w:cs="宋体"/>
                <w:color w:val="auto"/>
                <w:kern w:val="0"/>
                <w:szCs w:val="21"/>
                <w:highlight w:val="none"/>
                <w:lang w:val="zh-CN"/>
              </w:rPr>
              <w:t>款</w:t>
            </w:r>
          </w:p>
        </w:tc>
        <w:tc>
          <w:tcPr>
            <w:tcW w:w="2863" w:type="dxa"/>
            <w:vAlign w:val="center"/>
          </w:tcPr>
          <w:p w14:paraId="3D09A294">
            <w:pPr>
              <w:adjustRightInd w:val="0"/>
              <w:snapToGrid w:val="0"/>
              <w:spacing w:line="400" w:lineRule="exact"/>
              <w:jc w:val="left"/>
              <w:rPr>
                <w:rFonts w:ascii="宋体" w:hAnsi="宋体"/>
                <w:color w:val="auto"/>
                <w:szCs w:val="21"/>
                <w:highlight w:val="none"/>
              </w:rPr>
            </w:pPr>
            <w:r>
              <w:rPr>
                <w:rFonts w:hint="eastAsia" w:ascii="宋体" w:hAnsi="宋体"/>
                <w:color w:val="auto"/>
                <w:szCs w:val="21"/>
                <w:highlight w:val="none"/>
              </w:rPr>
              <w:t>投标截止时间</w:t>
            </w:r>
          </w:p>
        </w:tc>
        <w:tc>
          <w:tcPr>
            <w:tcW w:w="5065" w:type="dxa"/>
            <w:vAlign w:val="center"/>
          </w:tcPr>
          <w:p w14:paraId="5B71775D">
            <w:pPr>
              <w:snapToGrid w:val="0"/>
              <w:spacing w:line="400" w:lineRule="exact"/>
              <w:textAlignment w:val="baseline"/>
              <w:rPr>
                <w:rFonts w:ascii="宋体" w:hAnsi="宋体"/>
                <w:bCs/>
                <w:color w:val="auto"/>
                <w:szCs w:val="21"/>
                <w:highlight w:val="none"/>
              </w:rPr>
            </w:pPr>
            <w:r>
              <w:rPr>
                <w:rStyle w:val="49"/>
                <w:rFonts w:hint="eastAsia" w:ascii="宋体" w:hAnsi="宋体" w:cs="宋体"/>
                <w:bCs/>
                <w:color w:val="auto"/>
                <w:highlight w:val="none"/>
              </w:rPr>
              <w:t>投标截止时间：202</w:t>
            </w:r>
            <w:r>
              <w:rPr>
                <w:rStyle w:val="49"/>
                <w:rFonts w:hint="eastAsia" w:ascii="宋体" w:hAnsi="宋体" w:cs="宋体"/>
                <w:bCs/>
                <w:color w:val="auto"/>
                <w:highlight w:val="none"/>
                <w:lang w:val="en-US"/>
              </w:rPr>
              <w:t>6</w:t>
            </w:r>
            <w:r>
              <w:rPr>
                <w:rStyle w:val="49"/>
                <w:rFonts w:hint="eastAsia" w:ascii="宋体" w:hAnsi="宋体" w:cs="宋体"/>
                <w:bCs/>
                <w:color w:val="auto"/>
                <w:highlight w:val="none"/>
              </w:rPr>
              <w:t>年</w:t>
            </w:r>
            <w:r>
              <w:rPr>
                <w:rStyle w:val="49"/>
                <w:rFonts w:hint="eastAsia" w:ascii="宋体" w:hAnsi="宋体" w:cs="宋体"/>
                <w:bCs/>
                <w:color w:val="auto"/>
                <w:highlight w:val="none"/>
                <w:lang w:val="en-US"/>
              </w:rPr>
              <w:t>9</w:t>
            </w:r>
            <w:r>
              <w:rPr>
                <w:rStyle w:val="49"/>
                <w:rFonts w:hint="eastAsia" w:ascii="宋体" w:hAnsi="宋体" w:cs="宋体"/>
                <w:bCs/>
                <w:color w:val="auto"/>
                <w:highlight w:val="none"/>
              </w:rPr>
              <w:t>月</w:t>
            </w:r>
            <w:r>
              <w:rPr>
                <w:rStyle w:val="49"/>
                <w:rFonts w:hint="eastAsia" w:ascii="宋体" w:hAnsi="宋体" w:cs="宋体"/>
                <w:bCs/>
                <w:color w:val="auto"/>
                <w:highlight w:val="none"/>
                <w:lang w:val="en-US"/>
              </w:rPr>
              <w:t>10</w:t>
            </w:r>
            <w:r>
              <w:rPr>
                <w:rStyle w:val="49"/>
                <w:rFonts w:hint="eastAsia" w:ascii="宋体" w:hAnsi="宋体" w:cs="宋体"/>
                <w:bCs/>
                <w:color w:val="auto"/>
                <w:highlight w:val="none"/>
              </w:rPr>
              <w:t>日</w:t>
            </w:r>
            <w:r>
              <w:rPr>
                <w:rStyle w:val="49"/>
                <w:rFonts w:hint="eastAsia" w:ascii="宋体" w:hAnsi="宋体" w:cs="宋体"/>
                <w:bCs/>
                <w:color w:val="auto"/>
                <w:highlight w:val="none"/>
                <w:lang w:val="en-US"/>
              </w:rPr>
              <w:t>09</w:t>
            </w:r>
            <w:r>
              <w:rPr>
                <w:rStyle w:val="49"/>
                <w:rFonts w:hint="eastAsia" w:ascii="宋体" w:hAnsi="宋体" w:cs="宋体"/>
                <w:bCs/>
                <w:color w:val="auto"/>
                <w:highlight w:val="none"/>
              </w:rPr>
              <w:t>时00分（北京时间）。</w:t>
            </w:r>
          </w:p>
        </w:tc>
      </w:tr>
      <w:tr w14:paraId="65AA98F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488" w:type="dxa"/>
            <w:gridSpan w:val="3"/>
            <w:vAlign w:val="center"/>
          </w:tcPr>
          <w:p w14:paraId="5F043946">
            <w:pPr>
              <w:adjustRightInd w:val="0"/>
              <w:snapToGrid w:val="0"/>
              <w:spacing w:line="400" w:lineRule="exact"/>
              <w:rPr>
                <w:rFonts w:ascii="宋体" w:hAnsi="宋体"/>
                <w:color w:val="auto"/>
                <w:szCs w:val="21"/>
                <w:highlight w:val="none"/>
              </w:rPr>
            </w:pPr>
            <w:r>
              <w:rPr>
                <w:rFonts w:hint="eastAsia" w:ascii="宋体" w:hAnsi="宋体"/>
                <w:b/>
                <w:bCs/>
                <w:color w:val="auto"/>
                <w:szCs w:val="21"/>
                <w:highlight w:val="none"/>
              </w:rPr>
              <w:t>五、开标、资格审查和评标</w:t>
            </w:r>
          </w:p>
        </w:tc>
      </w:tr>
      <w:tr w14:paraId="740C5D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42A7E1E1">
            <w:pPr>
              <w:keepNext w:val="0"/>
              <w:keepLines w:val="0"/>
              <w:pageBreakBefore w:val="0"/>
              <w:kinsoku/>
              <w:overflowPunct/>
              <w:topLinePunct w:val="0"/>
              <w:bidi w:val="0"/>
              <w:adjustRightInd/>
              <w:snapToGrid/>
              <w:spacing w:line="288" w:lineRule="auto"/>
              <w:ind w:right="0" w:rightChars="0" w:firstLine="0" w:firstLineChars="0"/>
              <w:jc w:val="center"/>
              <w:textAlignment w:val="auto"/>
              <w:rPr>
                <w:rFonts w:ascii="宋体" w:hAnsi="宋体"/>
                <w:color w:val="auto"/>
                <w:szCs w:val="21"/>
                <w:highlight w:val="none"/>
              </w:rPr>
            </w:pPr>
            <w:r>
              <w:rPr>
                <w:rFonts w:hint="eastAsia" w:ascii="宋体" w:hAnsi="宋体" w:eastAsia="宋体" w:cs="宋体"/>
                <w:color w:val="auto"/>
                <w:sz w:val="21"/>
                <w:szCs w:val="21"/>
                <w:highlight w:val="none"/>
              </w:rPr>
              <w:t>第24.1</w:t>
            </w:r>
            <w:r>
              <w:rPr>
                <w:rFonts w:hint="eastAsia" w:ascii="宋体" w:hAnsi="宋体" w:eastAsia="宋体" w:cs="宋体"/>
                <w:color w:val="auto"/>
                <w:kern w:val="0"/>
                <w:sz w:val="21"/>
                <w:szCs w:val="21"/>
                <w:highlight w:val="none"/>
                <w:lang w:val="zh-CN"/>
              </w:rPr>
              <w:t>款</w:t>
            </w:r>
          </w:p>
        </w:tc>
        <w:tc>
          <w:tcPr>
            <w:tcW w:w="2863" w:type="dxa"/>
            <w:vAlign w:val="center"/>
          </w:tcPr>
          <w:p w14:paraId="642DB52C">
            <w:pPr>
              <w:keepNext w:val="0"/>
              <w:keepLines w:val="0"/>
              <w:pageBreakBefore w:val="0"/>
              <w:kinsoku/>
              <w:overflowPunct/>
              <w:topLinePunct w:val="0"/>
              <w:bidi w:val="0"/>
              <w:adjustRightInd/>
              <w:snapToGrid/>
              <w:spacing w:line="288" w:lineRule="auto"/>
              <w:ind w:right="0" w:rightChars="0" w:firstLine="0" w:firstLineChars="0"/>
              <w:jc w:val="left"/>
              <w:textAlignment w:val="auto"/>
              <w:rPr>
                <w:rFonts w:ascii="宋体" w:hAnsi="宋体"/>
                <w:color w:val="auto"/>
                <w:szCs w:val="21"/>
                <w:highlight w:val="none"/>
              </w:rPr>
            </w:pPr>
            <w:r>
              <w:rPr>
                <w:rFonts w:hint="eastAsia" w:ascii="宋体" w:hAnsi="宋体" w:eastAsia="宋体" w:cs="宋体"/>
                <w:bCs/>
                <w:color w:val="auto"/>
                <w:sz w:val="21"/>
                <w:szCs w:val="21"/>
                <w:highlight w:val="none"/>
              </w:rPr>
              <w:t>开标地点</w:t>
            </w:r>
          </w:p>
        </w:tc>
        <w:tc>
          <w:tcPr>
            <w:tcW w:w="5065" w:type="dxa"/>
            <w:vAlign w:val="center"/>
          </w:tcPr>
          <w:p w14:paraId="37E67911">
            <w:pPr>
              <w:keepNext w:val="0"/>
              <w:keepLines w:val="0"/>
              <w:pageBreakBefore w:val="0"/>
              <w:widowControl/>
              <w:kinsoku/>
              <w:overflowPunct/>
              <w:topLinePunct w:val="0"/>
              <w:bidi w:val="0"/>
              <w:adjustRightInd/>
              <w:snapToGrid/>
              <w:spacing w:line="288" w:lineRule="auto"/>
              <w:ind w:right="0" w:rightChars="0" w:firstLine="0" w:firstLineChars="0"/>
              <w:jc w:val="left"/>
              <w:textAlignment w:val="auto"/>
              <w:rPr>
                <w:rFonts w:ascii="宋体" w:hAnsi="宋体"/>
                <w:color w:val="auto"/>
                <w:szCs w:val="21"/>
                <w:highlight w:val="none"/>
              </w:rPr>
            </w:pPr>
            <w:r>
              <w:rPr>
                <w:rStyle w:val="49"/>
                <w:rFonts w:hint="eastAsia" w:ascii="宋体" w:hAnsi="宋体" w:eastAsia="宋体" w:cs="宋体"/>
                <w:color w:val="auto"/>
                <w:sz w:val="21"/>
                <w:szCs w:val="21"/>
                <w:highlight w:val="none"/>
                <w:u w:val="none"/>
              </w:rPr>
              <w:t>本项目实行“不见面开标”方式，投标人无需到开标现场，请投标人提前配置好解密电脑和软件环境，在规定时间内使用制作投标文件时的 CA 锁登录“网上开标系统”解密投标文件。电子投标文件的解密截止时间为投标截止时间后</w:t>
            </w:r>
            <w:r>
              <w:rPr>
                <w:rStyle w:val="49"/>
                <w:rFonts w:hint="eastAsia" w:ascii="宋体" w:hAnsi="宋体" w:eastAsia="宋体" w:cs="宋体"/>
                <w:color w:val="auto"/>
                <w:sz w:val="21"/>
                <w:szCs w:val="21"/>
                <w:highlight w:val="none"/>
                <w:u w:val="none"/>
                <w:lang w:val="en-US"/>
              </w:rPr>
              <w:t>60</w:t>
            </w:r>
            <w:r>
              <w:rPr>
                <w:rStyle w:val="49"/>
                <w:rFonts w:hint="eastAsia" w:ascii="宋体" w:hAnsi="宋体" w:eastAsia="宋体" w:cs="宋体"/>
                <w:color w:val="auto"/>
                <w:sz w:val="21"/>
                <w:szCs w:val="21"/>
                <w:highlight w:val="none"/>
                <w:u w:val="none"/>
              </w:rPr>
              <w:t>分钟内，因投标人自身原因未在规定时间内完成解密或无法解密的投标文件视为撤销其投标文件，相应责任由投标人自行承担。</w:t>
            </w:r>
          </w:p>
        </w:tc>
      </w:tr>
      <w:tr w14:paraId="15BE5D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0BE145DE">
            <w:pPr>
              <w:adjustRightInd w:val="0"/>
              <w:snapToGrid w:val="0"/>
              <w:spacing w:line="400" w:lineRule="exact"/>
              <w:jc w:val="center"/>
              <w:rPr>
                <w:rFonts w:hint="eastAsia" w:ascii="宋体" w:hAnsi="宋体"/>
                <w:color w:val="auto"/>
                <w:szCs w:val="21"/>
                <w:highlight w:val="none"/>
              </w:rPr>
            </w:pPr>
            <w:r>
              <w:rPr>
                <w:rFonts w:hint="eastAsia" w:ascii="宋体" w:hAnsi="宋体"/>
                <w:color w:val="auto"/>
                <w:szCs w:val="21"/>
                <w:highlight w:val="none"/>
              </w:rPr>
              <w:t>第24.4</w:t>
            </w:r>
            <w:r>
              <w:rPr>
                <w:rFonts w:hint="eastAsia" w:ascii="宋体" w:hAnsi="宋体" w:cs="宋体"/>
                <w:color w:val="auto"/>
                <w:kern w:val="0"/>
                <w:szCs w:val="21"/>
                <w:highlight w:val="none"/>
                <w:lang w:val="zh-CN"/>
              </w:rPr>
              <w:t>款</w:t>
            </w:r>
          </w:p>
        </w:tc>
        <w:tc>
          <w:tcPr>
            <w:tcW w:w="2863" w:type="dxa"/>
            <w:vAlign w:val="center"/>
          </w:tcPr>
          <w:p w14:paraId="1E28BE0B">
            <w:pPr>
              <w:adjustRightInd w:val="0"/>
              <w:snapToGrid w:val="0"/>
              <w:spacing w:line="400" w:lineRule="exact"/>
              <w:jc w:val="left"/>
              <w:rPr>
                <w:rFonts w:hint="eastAsia" w:ascii="宋体" w:hAnsi="宋体"/>
                <w:color w:val="auto"/>
                <w:szCs w:val="21"/>
                <w:highlight w:val="none"/>
              </w:rPr>
            </w:pPr>
            <w:r>
              <w:rPr>
                <w:rFonts w:hint="eastAsia" w:ascii="宋体" w:hAnsi="宋体"/>
                <w:color w:val="auto"/>
                <w:szCs w:val="21"/>
                <w:highlight w:val="none"/>
              </w:rPr>
              <w:t>需要宣布的其他内容</w:t>
            </w:r>
          </w:p>
        </w:tc>
        <w:tc>
          <w:tcPr>
            <w:tcW w:w="5065" w:type="dxa"/>
            <w:vAlign w:val="center"/>
          </w:tcPr>
          <w:p w14:paraId="10041032">
            <w:pPr>
              <w:adjustRightInd w:val="0"/>
              <w:snapToGrid w:val="0"/>
              <w:spacing w:line="400" w:lineRule="exact"/>
              <w:rPr>
                <w:rFonts w:hint="eastAsia" w:ascii="宋体" w:hAnsi="宋体"/>
                <w:color w:val="auto"/>
                <w:szCs w:val="21"/>
                <w:highlight w:val="none"/>
              </w:rPr>
            </w:pPr>
            <w:r>
              <w:rPr>
                <w:rFonts w:hint="eastAsia" w:ascii="宋体" w:hAnsi="宋体"/>
                <w:color w:val="auto"/>
                <w:szCs w:val="21"/>
                <w:highlight w:val="none"/>
              </w:rPr>
              <w:t>无</w:t>
            </w:r>
          </w:p>
        </w:tc>
      </w:tr>
      <w:tr w14:paraId="7F5E1A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488" w:type="dxa"/>
            <w:gridSpan w:val="3"/>
            <w:vAlign w:val="center"/>
          </w:tcPr>
          <w:p w14:paraId="5A569FF2">
            <w:pPr>
              <w:adjustRightInd w:val="0"/>
              <w:snapToGrid w:val="0"/>
              <w:spacing w:line="400" w:lineRule="exact"/>
              <w:rPr>
                <w:rFonts w:ascii="宋体" w:hAnsi="宋体"/>
                <w:b/>
                <w:color w:val="auto"/>
                <w:szCs w:val="21"/>
                <w:highlight w:val="none"/>
              </w:rPr>
            </w:pPr>
            <w:r>
              <w:rPr>
                <w:rFonts w:hint="eastAsia" w:ascii="宋体" w:hAnsi="宋体"/>
                <w:b/>
                <w:color w:val="auto"/>
                <w:szCs w:val="21"/>
                <w:highlight w:val="none"/>
              </w:rPr>
              <w:t>六、中标信息公布</w:t>
            </w:r>
          </w:p>
        </w:tc>
      </w:tr>
      <w:tr w14:paraId="32FCFC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20CEC8D9">
            <w:pPr>
              <w:adjustRightInd w:val="0"/>
              <w:snapToGrid w:val="0"/>
              <w:spacing w:line="400" w:lineRule="exact"/>
              <w:jc w:val="center"/>
              <w:rPr>
                <w:rFonts w:ascii="宋体" w:hAnsi="宋体"/>
                <w:color w:val="auto"/>
                <w:szCs w:val="21"/>
                <w:highlight w:val="none"/>
              </w:rPr>
            </w:pPr>
            <w:r>
              <w:rPr>
                <w:rFonts w:hint="eastAsia" w:ascii="宋体" w:hAnsi="宋体"/>
                <w:color w:val="auto"/>
                <w:szCs w:val="21"/>
                <w:highlight w:val="none"/>
              </w:rPr>
              <w:t>第28.2</w:t>
            </w:r>
            <w:r>
              <w:rPr>
                <w:rFonts w:hint="eastAsia" w:ascii="宋体" w:hAnsi="宋体" w:cs="宋体"/>
                <w:color w:val="auto"/>
                <w:kern w:val="0"/>
                <w:szCs w:val="21"/>
                <w:highlight w:val="none"/>
                <w:lang w:val="zh-CN"/>
              </w:rPr>
              <w:t>款</w:t>
            </w:r>
          </w:p>
        </w:tc>
        <w:tc>
          <w:tcPr>
            <w:tcW w:w="2863" w:type="dxa"/>
            <w:vAlign w:val="center"/>
          </w:tcPr>
          <w:p w14:paraId="54951C7D">
            <w:pPr>
              <w:adjustRightInd w:val="0"/>
              <w:snapToGrid w:val="0"/>
              <w:spacing w:line="400" w:lineRule="exact"/>
              <w:jc w:val="left"/>
              <w:rPr>
                <w:rFonts w:ascii="宋体" w:hAnsi="宋体"/>
                <w:color w:val="auto"/>
                <w:szCs w:val="21"/>
                <w:highlight w:val="none"/>
              </w:rPr>
            </w:pPr>
            <w:r>
              <w:rPr>
                <w:rFonts w:hint="eastAsia" w:ascii="宋体" w:hAnsi="宋体"/>
                <w:color w:val="auto"/>
                <w:szCs w:val="21"/>
                <w:highlight w:val="none"/>
              </w:rPr>
              <w:t>中标候选人并列时确定中标人的方式</w:t>
            </w:r>
          </w:p>
        </w:tc>
        <w:tc>
          <w:tcPr>
            <w:tcW w:w="5065" w:type="dxa"/>
            <w:vAlign w:val="center"/>
          </w:tcPr>
          <w:p w14:paraId="6BBC4C92">
            <w:pPr>
              <w:snapToGrid w:val="0"/>
              <w:textAlignment w:val="baseline"/>
              <w:rPr>
                <w:rFonts w:ascii="宋体" w:hAnsi="宋体"/>
                <w:color w:val="auto"/>
                <w:szCs w:val="21"/>
                <w:highlight w:val="none"/>
              </w:rPr>
            </w:pPr>
            <w:r>
              <w:rPr>
                <w:rStyle w:val="49"/>
                <w:rFonts w:ascii="宋体" w:hAnsi="宋体"/>
                <w:color w:val="auto"/>
                <w:szCs w:val="21"/>
                <w:highlight w:val="none"/>
              </w:rPr>
              <w:t>按投标报价从低到高确定排序，投标报价相同的按技术总分从高至低确定排序，技术总分相同的由评标组长现场随机抽签确定排序。</w:t>
            </w:r>
          </w:p>
        </w:tc>
      </w:tr>
      <w:tr w14:paraId="2272BD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1EC9A851">
            <w:pPr>
              <w:adjustRightInd w:val="0"/>
              <w:snapToGrid w:val="0"/>
              <w:spacing w:line="400" w:lineRule="exact"/>
              <w:jc w:val="center"/>
              <w:rPr>
                <w:rFonts w:ascii="宋体" w:hAnsi="宋体"/>
                <w:color w:val="auto"/>
                <w:szCs w:val="21"/>
                <w:highlight w:val="none"/>
              </w:rPr>
            </w:pPr>
            <w:r>
              <w:rPr>
                <w:rFonts w:hint="eastAsia" w:ascii="宋体" w:hAnsi="宋体"/>
                <w:color w:val="auto"/>
                <w:szCs w:val="21"/>
                <w:highlight w:val="none"/>
              </w:rPr>
              <w:t>第29.3</w:t>
            </w:r>
            <w:r>
              <w:rPr>
                <w:rFonts w:hint="eastAsia" w:ascii="宋体" w:hAnsi="宋体" w:cs="宋体"/>
                <w:color w:val="auto"/>
                <w:kern w:val="0"/>
                <w:szCs w:val="21"/>
                <w:highlight w:val="none"/>
                <w:lang w:val="zh-CN"/>
              </w:rPr>
              <w:t>款</w:t>
            </w:r>
          </w:p>
        </w:tc>
        <w:tc>
          <w:tcPr>
            <w:tcW w:w="2863" w:type="dxa"/>
            <w:vAlign w:val="center"/>
          </w:tcPr>
          <w:p w14:paraId="7CFDF892">
            <w:pPr>
              <w:adjustRightInd w:val="0"/>
              <w:snapToGrid w:val="0"/>
              <w:spacing w:line="400" w:lineRule="exact"/>
              <w:jc w:val="left"/>
              <w:rPr>
                <w:rFonts w:ascii="宋体" w:hAnsi="宋体"/>
                <w:color w:val="auto"/>
                <w:szCs w:val="21"/>
                <w:highlight w:val="none"/>
              </w:rPr>
            </w:pPr>
            <w:r>
              <w:rPr>
                <w:rFonts w:hint="eastAsia" w:ascii="宋体" w:hAnsi="宋体"/>
                <w:color w:val="auto"/>
                <w:szCs w:val="21"/>
                <w:highlight w:val="none"/>
              </w:rPr>
              <w:t>接收质疑函的联系部门、联系电话和通讯地址</w:t>
            </w:r>
          </w:p>
        </w:tc>
        <w:tc>
          <w:tcPr>
            <w:tcW w:w="5065" w:type="dxa"/>
            <w:vAlign w:val="center"/>
          </w:tcPr>
          <w:p w14:paraId="79D28B7F">
            <w:pPr>
              <w:textAlignment w:val="baseline"/>
              <w:rPr>
                <w:rStyle w:val="49"/>
                <w:color w:val="auto"/>
                <w:highlight w:val="none"/>
              </w:rPr>
            </w:pPr>
            <w:r>
              <w:rPr>
                <w:rStyle w:val="49"/>
                <w:color w:val="auto"/>
                <w:highlight w:val="none"/>
              </w:rPr>
              <w:t>1、采购人：</w:t>
            </w:r>
            <w:r>
              <w:rPr>
                <w:rStyle w:val="49"/>
                <w:rFonts w:hint="default"/>
                <w:color w:val="auto"/>
                <w:highlight w:val="none"/>
              </w:rPr>
              <w:t>株洲市疾病预防控制中心（株洲市卫生综合监督执法局）</w:t>
            </w:r>
          </w:p>
          <w:p w14:paraId="2DDCF46A">
            <w:pPr>
              <w:textAlignment w:val="baseline"/>
              <w:rPr>
                <w:rStyle w:val="49"/>
                <w:color w:val="auto"/>
                <w:highlight w:val="none"/>
              </w:rPr>
            </w:pPr>
            <w:r>
              <w:rPr>
                <w:rStyle w:val="49"/>
                <w:color w:val="auto"/>
                <w:highlight w:val="none"/>
              </w:rPr>
              <w:t>地址：</w:t>
            </w:r>
            <w:r>
              <w:rPr>
                <w:rFonts w:hint="eastAsia" w:ascii="宋体" w:hAnsi="宋体" w:eastAsia="宋体" w:cs="宋体"/>
                <w:i w:val="0"/>
                <w:iCs w:val="0"/>
                <w:caps w:val="0"/>
                <w:color w:val="auto"/>
                <w:spacing w:val="0"/>
                <w:kern w:val="0"/>
                <w:sz w:val="21"/>
                <w:szCs w:val="21"/>
                <w:highlight w:val="none"/>
                <w:lang w:val="en-US" w:eastAsia="zh-CN" w:bidi="ar"/>
              </w:rPr>
              <w:t>株洲市人民中路537号</w:t>
            </w:r>
          </w:p>
          <w:p w14:paraId="5B927816">
            <w:pPr>
              <w:snapToGrid w:val="0"/>
              <w:textAlignment w:val="baseline"/>
              <w:rPr>
                <w:rStyle w:val="49"/>
                <w:rFonts w:ascii="宋体" w:hAnsi="宋体"/>
                <w:color w:val="auto"/>
                <w:szCs w:val="21"/>
                <w:highlight w:val="none"/>
              </w:rPr>
            </w:pPr>
            <w:r>
              <w:rPr>
                <w:rStyle w:val="49"/>
                <w:rFonts w:ascii="宋体" w:hAnsi="宋体"/>
                <w:color w:val="auto"/>
                <w:szCs w:val="21"/>
                <w:highlight w:val="none"/>
              </w:rPr>
              <w:t>联系人：</w:t>
            </w:r>
            <w:r>
              <w:rPr>
                <w:rFonts w:hint="eastAsia" w:ascii="宋体" w:hAnsi="宋体" w:cs="宋体"/>
                <w:i w:val="0"/>
                <w:iCs w:val="0"/>
                <w:caps w:val="0"/>
                <w:color w:val="auto"/>
                <w:spacing w:val="0"/>
                <w:kern w:val="0"/>
                <w:sz w:val="21"/>
                <w:szCs w:val="21"/>
                <w:highlight w:val="none"/>
                <w:lang w:val="en-US" w:eastAsia="zh-CN" w:bidi="ar"/>
              </w:rPr>
              <w:t>刘芳</w:t>
            </w:r>
          </w:p>
          <w:p w14:paraId="64F5E06C">
            <w:pPr>
              <w:textAlignment w:val="baseline"/>
              <w:rPr>
                <w:rStyle w:val="49"/>
                <w:rFonts w:ascii="宋体" w:hAnsi="宋体"/>
                <w:color w:val="auto"/>
                <w:szCs w:val="21"/>
                <w:highlight w:val="none"/>
              </w:rPr>
            </w:pPr>
            <w:r>
              <w:rPr>
                <w:rStyle w:val="49"/>
                <w:rFonts w:ascii="宋体" w:hAnsi="宋体"/>
                <w:color w:val="auto"/>
                <w:szCs w:val="21"/>
                <w:highlight w:val="none"/>
              </w:rPr>
              <w:t>电  话：</w:t>
            </w:r>
            <w:r>
              <w:rPr>
                <w:rFonts w:hint="eastAsia" w:ascii="宋体" w:hAnsi="宋体" w:cs="宋体"/>
                <w:i w:val="0"/>
                <w:iCs w:val="0"/>
                <w:caps w:val="0"/>
                <w:color w:val="auto"/>
                <w:spacing w:val="0"/>
                <w:kern w:val="0"/>
                <w:sz w:val="21"/>
                <w:szCs w:val="21"/>
                <w:highlight w:val="none"/>
                <w:lang w:val="en-US" w:eastAsia="zh-CN" w:bidi="ar"/>
              </w:rPr>
              <w:t>0731-22132327</w:t>
            </w:r>
          </w:p>
          <w:p w14:paraId="787E2BDC">
            <w:pPr>
              <w:textAlignment w:val="baseline"/>
              <w:rPr>
                <w:rStyle w:val="49"/>
                <w:color w:val="auto"/>
                <w:highlight w:val="none"/>
              </w:rPr>
            </w:pPr>
            <w:r>
              <w:rPr>
                <w:rStyle w:val="49"/>
                <w:color w:val="auto"/>
                <w:highlight w:val="none"/>
              </w:rPr>
              <w:t>2、采购代理机构：</w:t>
            </w:r>
            <w:r>
              <w:rPr>
                <w:rStyle w:val="49"/>
                <w:rFonts w:hint="eastAsia"/>
                <w:color w:val="auto"/>
                <w:highlight w:val="none"/>
              </w:rPr>
              <w:t>湖南宏飞工程咨询有限公司</w:t>
            </w:r>
          </w:p>
          <w:p w14:paraId="4FBF27DB">
            <w:pPr>
              <w:textAlignment w:val="baseline"/>
              <w:rPr>
                <w:rStyle w:val="49"/>
                <w:rFonts w:hint="default"/>
                <w:color w:val="auto"/>
                <w:highlight w:val="none"/>
              </w:rPr>
            </w:pPr>
            <w:r>
              <w:rPr>
                <w:rStyle w:val="49"/>
                <w:color w:val="auto"/>
                <w:highlight w:val="none"/>
              </w:rPr>
              <w:t>地址：</w:t>
            </w:r>
            <w:r>
              <w:rPr>
                <w:rFonts w:hint="eastAsia" w:ascii="宋体" w:hAnsi="宋体" w:cs="宋体"/>
                <w:i w:val="0"/>
                <w:iCs w:val="0"/>
                <w:caps w:val="0"/>
                <w:color w:val="auto"/>
                <w:spacing w:val="0"/>
                <w:kern w:val="0"/>
                <w:sz w:val="21"/>
                <w:szCs w:val="21"/>
                <w:highlight w:val="none"/>
                <w:lang w:eastAsia="zh-CN" w:bidi="ar"/>
              </w:rPr>
              <w:t>株洲市天元区大汉信息产业园1栋1601</w:t>
            </w:r>
          </w:p>
          <w:p w14:paraId="40419A2F">
            <w:pPr>
              <w:textAlignment w:val="baseline"/>
              <w:rPr>
                <w:rStyle w:val="49"/>
                <w:color w:val="auto"/>
                <w:highlight w:val="none"/>
              </w:rPr>
            </w:pPr>
            <w:r>
              <w:rPr>
                <w:rStyle w:val="49"/>
                <w:color w:val="auto"/>
                <w:highlight w:val="none"/>
              </w:rPr>
              <w:t>联系人：</w:t>
            </w:r>
            <w:r>
              <w:rPr>
                <w:rFonts w:hint="eastAsia" w:ascii="宋体" w:hAnsi="宋体" w:cs="宋体"/>
                <w:i w:val="0"/>
                <w:iCs w:val="0"/>
                <w:caps w:val="0"/>
                <w:color w:val="auto"/>
                <w:spacing w:val="0"/>
                <w:kern w:val="0"/>
                <w:sz w:val="21"/>
                <w:szCs w:val="21"/>
                <w:highlight w:val="none"/>
                <w:lang w:val="en-US" w:eastAsia="zh-CN" w:bidi="ar"/>
              </w:rPr>
              <w:t>郭亚虎、冯雷、王春梅、胡超</w:t>
            </w:r>
          </w:p>
          <w:p w14:paraId="6F3E4919">
            <w:pPr>
              <w:textAlignment w:val="baseline"/>
              <w:rPr>
                <w:rFonts w:ascii="宋体" w:hAnsi="宋体"/>
                <w:color w:val="auto"/>
                <w:szCs w:val="21"/>
                <w:highlight w:val="none"/>
              </w:rPr>
            </w:pPr>
            <w:r>
              <w:rPr>
                <w:rStyle w:val="49"/>
                <w:color w:val="auto"/>
                <w:highlight w:val="none"/>
              </w:rPr>
              <w:t>联系电话：</w:t>
            </w:r>
            <w:r>
              <w:rPr>
                <w:rFonts w:hint="eastAsia" w:ascii="宋体" w:hAnsi="宋体" w:eastAsia="宋体" w:cs="宋体"/>
                <w:i w:val="0"/>
                <w:iCs w:val="0"/>
                <w:caps w:val="0"/>
                <w:color w:val="auto"/>
                <w:spacing w:val="0"/>
                <w:kern w:val="0"/>
                <w:sz w:val="21"/>
                <w:szCs w:val="21"/>
                <w:highlight w:val="none"/>
                <w:lang w:val="en-US" w:eastAsia="zh-CN" w:bidi="ar"/>
              </w:rPr>
              <w:t>15387333741、15173196798、13397336946</w:t>
            </w:r>
          </w:p>
        </w:tc>
      </w:tr>
      <w:tr w14:paraId="69B425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488" w:type="dxa"/>
            <w:gridSpan w:val="3"/>
            <w:vAlign w:val="center"/>
          </w:tcPr>
          <w:p w14:paraId="0FF16CDF">
            <w:pPr>
              <w:adjustRightInd w:val="0"/>
              <w:snapToGrid w:val="0"/>
              <w:spacing w:line="400" w:lineRule="exact"/>
              <w:rPr>
                <w:rFonts w:ascii="宋体" w:hAnsi="宋体"/>
                <w:color w:val="auto"/>
                <w:szCs w:val="21"/>
                <w:highlight w:val="none"/>
              </w:rPr>
            </w:pPr>
            <w:r>
              <w:rPr>
                <w:rFonts w:hint="eastAsia" w:ascii="宋体" w:hAnsi="宋体"/>
                <w:b/>
                <w:color w:val="auto"/>
                <w:szCs w:val="21"/>
                <w:highlight w:val="none"/>
              </w:rPr>
              <w:t>七、合同签订</w:t>
            </w:r>
          </w:p>
        </w:tc>
      </w:tr>
      <w:tr w14:paraId="3C9133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4E2F0C00">
            <w:pPr>
              <w:adjustRightInd w:val="0"/>
              <w:snapToGrid w:val="0"/>
              <w:spacing w:line="400" w:lineRule="exact"/>
              <w:jc w:val="center"/>
              <w:rPr>
                <w:rFonts w:ascii="宋体" w:hAnsi="宋体"/>
                <w:color w:val="auto"/>
                <w:szCs w:val="21"/>
                <w:highlight w:val="none"/>
              </w:rPr>
            </w:pPr>
            <w:r>
              <w:rPr>
                <w:rFonts w:hint="eastAsia" w:ascii="宋体" w:hAnsi="宋体"/>
                <w:color w:val="auto"/>
                <w:szCs w:val="21"/>
                <w:highlight w:val="none"/>
              </w:rPr>
              <w:t>第31.1</w:t>
            </w:r>
            <w:r>
              <w:rPr>
                <w:rFonts w:hint="eastAsia" w:ascii="宋体" w:hAnsi="宋体" w:cs="宋体"/>
                <w:color w:val="auto"/>
                <w:kern w:val="0"/>
                <w:szCs w:val="21"/>
                <w:highlight w:val="none"/>
                <w:lang w:val="zh-CN"/>
              </w:rPr>
              <w:t>款</w:t>
            </w:r>
          </w:p>
        </w:tc>
        <w:tc>
          <w:tcPr>
            <w:tcW w:w="2863" w:type="dxa"/>
            <w:vAlign w:val="center"/>
          </w:tcPr>
          <w:p w14:paraId="684E6B8E">
            <w:pPr>
              <w:adjustRightInd w:val="0"/>
              <w:snapToGrid w:val="0"/>
              <w:spacing w:line="400" w:lineRule="exact"/>
              <w:jc w:val="left"/>
              <w:rPr>
                <w:rFonts w:ascii="宋体" w:hAnsi="宋体"/>
                <w:color w:val="auto"/>
                <w:szCs w:val="21"/>
                <w:highlight w:val="none"/>
              </w:rPr>
            </w:pPr>
            <w:r>
              <w:rPr>
                <w:rFonts w:hint="eastAsia" w:ascii="宋体" w:hAnsi="宋体"/>
                <w:color w:val="auto"/>
                <w:szCs w:val="21"/>
                <w:highlight w:val="none"/>
              </w:rPr>
              <w:t>履约担保</w:t>
            </w:r>
          </w:p>
        </w:tc>
        <w:tc>
          <w:tcPr>
            <w:tcW w:w="5065" w:type="dxa"/>
            <w:vAlign w:val="center"/>
          </w:tcPr>
          <w:p w14:paraId="45289DC8">
            <w:pPr>
              <w:adjustRightInd w:val="0"/>
              <w:snapToGrid w:val="0"/>
              <w:spacing w:line="400" w:lineRule="exact"/>
              <w:rPr>
                <w:color w:val="auto"/>
                <w:highlight w:val="none"/>
                <w:u w:val="single"/>
              </w:rPr>
            </w:pPr>
            <w:r>
              <w:rPr>
                <w:rFonts w:hint="eastAsia"/>
                <w:color w:val="auto"/>
                <w:highlight w:val="none"/>
              </w:rPr>
              <w:sym w:font="Wingdings" w:char="00FE"/>
            </w:r>
            <w:r>
              <w:rPr>
                <w:rFonts w:hint="eastAsia"/>
                <w:color w:val="auto"/>
                <w:highlight w:val="none"/>
              </w:rPr>
              <w:t xml:space="preserve"> 不要求提供。</w:t>
            </w:r>
          </w:p>
          <w:p w14:paraId="7451B950">
            <w:pPr>
              <w:adjustRightInd w:val="0"/>
              <w:snapToGrid w:val="0"/>
              <w:spacing w:line="400" w:lineRule="exact"/>
              <w:rPr>
                <w:rFonts w:ascii="宋体" w:hAnsi="宋体"/>
                <w:strike/>
                <w:color w:val="auto"/>
                <w:szCs w:val="21"/>
                <w:highlight w:val="none"/>
              </w:rPr>
            </w:pP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 要求提供</w:t>
            </w:r>
            <w:r>
              <w:rPr>
                <w:rFonts w:hint="eastAsia"/>
                <w:color w:val="auto"/>
                <w:highlight w:val="none"/>
              </w:rPr>
              <w:t>，履约担保的金额为</w:t>
            </w:r>
            <w:r>
              <w:rPr>
                <w:rFonts w:hint="eastAsia"/>
                <w:color w:val="auto"/>
                <w:highlight w:val="none"/>
                <w:u w:val="single"/>
              </w:rPr>
              <w:t xml:space="preserve">        。</w:t>
            </w:r>
          </w:p>
        </w:tc>
      </w:tr>
      <w:tr w14:paraId="4BA33C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488" w:type="dxa"/>
            <w:gridSpan w:val="3"/>
            <w:vAlign w:val="center"/>
          </w:tcPr>
          <w:p w14:paraId="437F29CB">
            <w:pPr>
              <w:adjustRightInd w:val="0"/>
              <w:snapToGrid w:val="0"/>
              <w:spacing w:line="400" w:lineRule="exact"/>
              <w:rPr>
                <w:rFonts w:ascii="宋体" w:hAnsi="宋体"/>
                <w:color w:val="auto"/>
                <w:szCs w:val="21"/>
                <w:highlight w:val="none"/>
              </w:rPr>
            </w:pPr>
            <w:r>
              <w:rPr>
                <w:rFonts w:hint="eastAsia" w:ascii="宋体" w:hAnsi="宋体"/>
                <w:b/>
                <w:bCs/>
                <w:color w:val="auto"/>
                <w:szCs w:val="21"/>
                <w:highlight w:val="none"/>
              </w:rPr>
              <w:t>八、政府采购政策</w:t>
            </w:r>
          </w:p>
        </w:tc>
      </w:tr>
      <w:tr w14:paraId="4B3B7F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4E44CD80">
            <w:pPr>
              <w:adjustRightInd w:val="0"/>
              <w:snapToGrid w:val="0"/>
              <w:spacing w:line="400" w:lineRule="exact"/>
              <w:jc w:val="center"/>
              <w:rPr>
                <w:rFonts w:ascii="宋体" w:hAnsi="宋体"/>
                <w:color w:val="auto"/>
                <w:szCs w:val="21"/>
                <w:highlight w:val="none"/>
              </w:rPr>
            </w:pPr>
            <w:r>
              <w:rPr>
                <w:rFonts w:hint="eastAsia" w:ascii="宋体" w:hAnsi="宋体"/>
                <w:color w:val="auto"/>
                <w:szCs w:val="21"/>
                <w:highlight w:val="none"/>
              </w:rPr>
              <w:t>第33.8款</w:t>
            </w:r>
          </w:p>
        </w:tc>
        <w:tc>
          <w:tcPr>
            <w:tcW w:w="2863" w:type="dxa"/>
            <w:vAlign w:val="center"/>
          </w:tcPr>
          <w:p w14:paraId="0C58FFCD">
            <w:pPr>
              <w:adjustRightInd w:val="0"/>
              <w:snapToGrid w:val="0"/>
              <w:spacing w:line="400" w:lineRule="exact"/>
              <w:jc w:val="left"/>
              <w:rPr>
                <w:rFonts w:ascii="宋体" w:hAnsi="宋体"/>
                <w:color w:val="auto"/>
                <w:szCs w:val="21"/>
                <w:highlight w:val="none"/>
              </w:rPr>
            </w:pPr>
            <w:r>
              <w:rPr>
                <w:rFonts w:hint="eastAsia" w:ascii="宋体" w:hAnsi="宋体"/>
                <w:color w:val="auto"/>
                <w:szCs w:val="21"/>
                <w:highlight w:val="none"/>
              </w:rPr>
              <w:t>采购进口产品</w:t>
            </w:r>
          </w:p>
        </w:tc>
        <w:tc>
          <w:tcPr>
            <w:tcW w:w="5065" w:type="dxa"/>
            <w:vAlign w:val="center"/>
          </w:tcPr>
          <w:p w14:paraId="2DB4B17F">
            <w:pPr>
              <w:adjustRightInd w:val="0"/>
              <w:snapToGrid w:val="0"/>
              <w:spacing w:line="400" w:lineRule="exact"/>
              <w:rPr>
                <w:color w:val="auto"/>
                <w:highlight w:val="none"/>
                <w:u w:val="single"/>
              </w:rPr>
            </w:pPr>
            <w:r>
              <w:rPr>
                <w:rFonts w:hint="eastAsia"/>
                <w:color w:val="auto"/>
                <w:highlight w:val="none"/>
              </w:rPr>
              <w:sym w:font="Wingdings" w:char="00FE"/>
            </w:r>
            <w:r>
              <w:rPr>
                <w:rFonts w:hint="eastAsia"/>
                <w:color w:val="auto"/>
                <w:highlight w:val="none"/>
              </w:rPr>
              <w:t xml:space="preserve"> </w:t>
            </w:r>
            <w:r>
              <w:rPr>
                <w:rStyle w:val="49"/>
                <w:rFonts w:ascii="宋体" w:hAnsi="宋体"/>
                <w:color w:val="auto"/>
                <w:szCs w:val="21"/>
                <w:highlight w:val="none"/>
              </w:rPr>
              <w:t>本采购项目拒绝进口产品参加投标</w:t>
            </w:r>
            <w:r>
              <w:rPr>
                <w:rStyle w:val="49"/>
                <w:rFonts w:hint="eastAsia" w:ascii="宋体" w:hAnsi="宋体"/>
                <w:color w:val="auto"/>
                <w:szCs w:val="21"/>
                <w:highlight w:val="none"/>
              </w:rPr>
              <w:t>。</w:t>
            </w:r>
          </w:p>
          <w:p w14:paraId="54DC7AF3">
            <w:pPr>
              <w:adjustRightInd w:val="0"/>
              <w:snapToGrid w:val="0"/>
              <w:spacing w:line="400" w:lineRule="exact"/>
              <w:rPr>
                <w:rFonts w:ascii="宋体" w:hAnsi="宋体"/>
                <w:color w:val="auto"/>
                <w:szCs w:val="21"/>
                <w:highlight w:val="none"/>
              </w:rPr>
            </w:pP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 </w:t>
            </w:r>
            <w:r>
              <w:rPr>
                <w:rStyle w:val="49"/>
                <w:rFonts w:ascii="宋体" w:hAnsi="宋体"/>
                <w:iCs/>
                <w:color w:val="auto"/>
                <w:szCs w:val="21"/>
                <w:highlight w:val="none"/>
              </w:rPr>
              <w:t>本采购项目已经财政部门审核同意购买进口产品</w:t>
            </w:r>
            <w:r>
              <w:rPr>
                <w:rStyle w:val="49"/>
                <w:rFonts w:hint="eastAsia" w:ascii="宋体" w:hAnsi="宋体"/>
                <w:iCs/>
                <w:color w:val="auto"/>
                <w:szCs w:val="21"/>
                <w:highlight w:val="none"/>
              </w:rPr>
              <w:t>。</w:t>
            </w:r>
          </w:p>
        </w:tc>
      </w:tr>
      <w:tr w14:paraId="071F54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488" w:type="dxa"/>
            <w:gridSpan w:val="3"/>
            <w:vAlign w:val="center"/>
          </w:tcPr>
          <w:p w14:paraId="482F544F">
            <w:pPr>
              <w:adjustRightInd w:val="0"/>
              <w:snapToGrid w:val="0"/>
              <w:spacing w:line="400" w:lineRule="exact"/>
              <w:rPr>
                <w:rFonts w:ascii="宋体" w:hAnsi="宋体"/>
                <w:color w:val="auto"/>
                <w:szCs w:val="21"/>
                <w:highlight w:val="none"/>
              </w:rPr>
            </w:pPr>
            <w:r>
              <w:rPr>
                <w:rFonts w:hint="eastAsia" w:ascii="宋体" w:hAnsi="宋体"/>
                <w:b/>
                <w:color w:val="auto"/>
                <w:szCs w:val="21"/>
                <w:highlight w:val="none"/>
              </w:rPr>
              <w:t>九、其他规定</w:t>
            </w:r>
          </w:p>
        </w:tc>
      </w:tr>
      <w:tr w14:paraId="2669CF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1DE2C74A">
            <w:pPr>
              <w:adjustRightInd w:val="0"/>
              <w:snapToGrid w:val="0"/>
              <w:spacing w:line="400" w:lineRule="exact"/>
              <w:jc w:val="center"/>
              <w:rPr>
                <w:rFonts w:ascii="宋体" w:hAnsi="宋体"/>
                <w:color w:val="auto"/>
                <w:szCs w:val="21"/>
                <w:highlight w:val="none"/>
              </w:rPr>
            </w:pPr>
            <w:r>
              <w:rPr>
                <w:rFonts w:hint="eastAsia" w:ascii="宋体" w:hAnsi="宋体"/>
                <w:color w:val="auto"/>
                <w:szCs w:val="21"/>
                <w:highlight w:val="none"/>
              </w:rPr>
              <w:t>第35.1</w:t>
            </w:r>
            <w:r>
              <w:rPr>
                <w:rFonts w:hint="eastAsia" w:ascii="宋体" w:hAnsi="宋体" w:cs="宋体"/>
                <w:color w:val="auto"/>
                <w:kern w:val="0"/>
                <w:szCs w:val="21"/>
                <w:highlight w:val="none"/>
                <w:lang w:val="zh-CN"/>
              </w:rPr>
              <w:t>（</w:t>
            </w:r>
            <w:r>
              <w:rPr>
                <w:rFonts w:hint="eastAsia" w:ascii="宋体" w:hAnsi="宋体" w:cs="宋体"/>
                <w:color w:val="auto"/>
                <w:kern w:val="0"/>
                <w:szCs w:val="21"/>
                <w:highlight w:val="none"/>
              </w:rPr>
              <w:t>1</w:t>
            </w:r>
            <w:r>
              <w:rPr>
                <w:rFonts w:hint="eastAsia" w:ascii="宋体" w:hAnsi="宋体" w:cs="宋体"/>
                <w:color w:val="auto"/>
                <w:kern w:val="0"/>
                <w:szCs w:val="21"/>
                <w:highlight w:val="none"/>
                <w:lang w:val="zh-CN"/>
              </w:rPr>
              <w:t>）</w:t>
            </w:r>
            <w:r>
              <w:rPr>
                <w:rFonts w:hint="eastAsia" w:ascii="宋体" w:hAnsi="宋体" w:cs="宋体"/>
                <w:color w:val="auto"/>
                <w:kern w:val="0"/>
                <w:szCs w:val="21"/>
                <w:highlight w:val="none"/>
              </w:rPr>
              <w:t>项</w:t>
            </w:r>
          </w:p>
        </w:tc>
        <w:tc>
          <w:tcPr>
            <w:tcW w:w="2863" w:type="dxa"/>
            <w:vAlign w:val="center"/>
          </w:tcPr>
          <w:p w14:paraId="71298E3B">
            <w:pPr>
              <w:adjustRightInd w:val="0"/>
              <w:snapToGrid w:val="0"/>
              <w:spacing w:line="400" w:lineRule="exact"/>
              <w:jc w:val="left"/>
              <w:rPr>
                <w:rFonts w:ascii="宋体" w:hAnsi="宋体"/>
                <w:color w:val="auto"/>
                <w:szCs w:val="21"/>
                <w:highlight w:val="none"/>
              </w:rPr>
            </w:pPr>
            <w:r>
              <w:rPr>
                <w:rFonts w:hint="eastAsia" w:ascii="宋体" w:hAnsi="宋体"/>
                <w:color w:val="auto"/>
                <w:szCs w:val="21"/>
                <w:highlight w:val="none"/>
              </w:rPr>
              <w:t>合同预付款的支付比例和支付条件</w:t>
            </w:r>
          </w:p>
        </w:tc>
        <w:tc>
          <w:tcPr>
            <w:tcW w:w="5065" w:type="dxa"/>
            <w:vAlign w:val="center"/>
          </w:tcPr>
          <w:p w14:paraId="6D1BF624">
            <w:pPr>
              <w:adjustRightInd w:val="0"/>
              <w:snapToGrid w:val="0"/>
              <w:spacing w:line="400" w:lineRule="exact"/>
              <w:rPr>
                <w:color w:val="auto"/>
                <w:highlight w:val="none"/>
                <w:u w:val="single"/>
              </w:rPr>
            </w:pPr>
            <w:r>
              <w:rPr>
                <w:rFonts w:hint="eastAsia"/>
                <w:color w:val="auto"/>
                <w:highlight w:val="none"/>
              </w:rPr>
              <w:t>支付比例：</w:t>
            </w:r>
            <w:r>
              <w:rPr>
                <w:rFonts w:hint="eastAsia"/>
                <w:color w:val="auto"/>
                <w:highlight w:val="none"/>
                <w:u w:val="single"/>
              </w:rPr>
              <w:t xml:space="preserve">           /         ；</w:t>
            </w:r>
          </w:p>
          <w:p w14:paraId="77528204">
            <w:pPr>
              <w:adjustRightInd w:val="0"/>
              <w:snapToGrid w:val="0"/>
              <w:spacing w:line="400" w:lineRule="exact"/>
              <w:rPr>
                <w:rFonts w:ascii="宋体" w:hAnsi="宋体"/>
                <w:color w:val="auto"/>
                <w:szCs w:val="21"/>
                <w:highlight w:val="none"/>
              </w:rPr>
            </w:pPr>
            <w:r>
              <w:rPr>
                <w:rFonts w:hint="eastAsia"/>
                <w:color w:val="auto"/>
                <w:highlight w:val="none"/>
              </w:rPr>
              <w:t>支付条件：</w:t>
            </w:r>
            <w:r>
              <w:rPr>
                <w:rFonts w:hint="eastAsia"/>
                <w:color w:val="auto"/>
                <w:highlight w:val="none"/>
                <w:u w:val="single"/>
              </w:rPr>
              <w:t xml:space="preserve">          /          。</w:t>
            </w:r>
          </w:p>
        </w:tc>
      </w:tr>
      <w:tr w14:paraId="34DCD4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53B48587">
            <w:pPr>
              <w:adjustRightInd w:val="0"/>
              <w:snapToGrid w:val="0"/>
              <w:spacing w:line="400" w:lineRule="exact"/>
              <w:jc w:val="center"/>
              <w:rPr>
                <w:rFonts w:ascii="宋体" w:hAnsi="宋体"/>
                <w:color w:val="auto"/>
                <w:szCs w:val="21"/>
                <w:highlight w:val="none"/>
              </w:rPr>
            </w:pPr>
            <w:r>
              <w:rPr>
                <w:rFonts w:hint="eastAsia" w:ascii="宋体" w:hAnsi="宋体"/>
                <w:color w:val="auto"/>
                <w:szCs w:val="21"/>
                <w:highlight w:val="none"/>
              </w:rPr>
              <w:t>第35.1</w:t>
            </w:r>
            <w:r>
              <w:rPr>
                <w:rFonts w:hint="eastAsia" w:ascii="宋体" w:hAnsi="宋体" w:cs="宋体"/>
                <w:color w:val="auto"/>
                <w:kern w:val="0"/>
                <w:szCs w:val="21"/>
                <w:highlight w:val="none"/>
                <w:lang w:val="zh-CN"/>
              </w:rPr>
              <w:t>（</w:t>
            </w:r>
            <w:r>
              <w:rPr>
                <w:rFonts w:hint="eastAsia" w:ascii="宋体" w:hAnsi="宋体" w:cs="宋体"/>
                <w:color w:val="auto"/>
                <w:kern w:val="0"/>
                <w:szCs w:val="21"/>
                <w:highlight w:val="none"/>
              </w:rPr>
              <w:t>2</w:t>
            </w:r>
            <w:r>
              <w:rPr>
                <w:rFonts w:hint="eastAsia" w:ascii="宋体" w:hAnsi="宋体" w:cs="宋体"/>
                <w:color w:val="auto"/>
                <w:kern w:val="0"/>
                <w:szCs w:val="21"/>
                <w:highlight w:val="none"/>
                <w:lang w:val="zh-CN"/>
              </w:rPr>
              <w:t>）</w:t>
            </w:r>
            <w:r>
              <w:rPr>
                <w:rFonts w:hint="eastAsia" w:ascii="宋体" w:hAnsi="宋体" w:cs="宋体"/>
                <w:color w:val="auto"/>
                <w:kern w:val="0"/>
                <w:szCs w:val="21"/>
                <w:highlight w:val="none"/>
              </w:rPr>
              <w:t>项</w:t>
            </w:r>
          </w:p>
        </w:tc>
        <w:tc>
          <w:tcPr>
            <w:tcW w:w="2863" w:type="dxa"/>
            <w:vAlign w:val="center"/>
          </w:tcPr>
          <w:p w14:paraId="70DFBEFC">
            <w:pPr>
              <w:adjustRightInd w:val="0"/>
              <w:snapToGrid w:val="0"/>
              <w:spacing w:line="400" w:lineRule="exact"/>
              <w:jc w:val="left"/>
              <w:rPr>
                <w:rFonts w:ascii="宋体" w:hAnsi="宋体"/>
                <w:color w:val="auto"/>
                <w:szCs w:val="21"/>
                <w:highlight w:val="none"/>
              </w:rPr>
            </w:pPr>
            <w:r>
              <w:rPr>
                <w:rFonts w:hint="eastAsia" w:ascii="宋体" w:hAnsi="宋体"/>
                <w:color w:val="auto"/>
                <w:szCs w:val="21"/>
                <w:highlight w:val="none"/>
              </w:rPr>
              <w:t>质量保证金</w:t>
            </w:r>
          </w:p>
        </w:tc>
        <w:tc>
          <w:tcPr>
            <w:tcW w:w="5065" w:type="dxa"/>
            <w:vAlign w:val="center"/>
          </w:tcPr>
          <w:p w14:paraId="7E1D5B7A">
            <w:pPr>
              <w:adjustRightInd w:val="0"/>
              <w:snapToGrid w:val="0"/>
              <w:spacing w:line="400" w:lineRule="exact"/>
              <w:rPr>
                <w:rFonts w:hint="default" w:ascii="宋体" w:hAnsi="宋体" w:eastAsia="宋体"/>
                <w:color w:val="auto"/>
                <w:szCs w:val="21"/>
                <w:highlight w:val="none"/>
                <w:lang w:val="en-US" w:eastAsia="zh-CN"/>
              </w:rPr>
            </w:pPr>
            <w:r>
              <w:rPr>
                <w:rStyle w:val="49"/>
                <w:rFonts w:hint="eastAsia" w:ascii="宋体" w:hAnsi="宋体"/>
                <w:color w:val="auto"/>
                <w:szCs w:val="21"/>
                <w:highlight w:val="none"/>
              </w:rPr>
              <w:t>合同总价3%作为质量保证金，自质保起算日届满 12 个月且无质量问题的，采购人将无息全额支付质量保证金；质量保证金支付后，中标人仍需完整履行剩余 1 年质保服务义务（具体以合同签订为准）。</w:t>
            </w:r>
          </w:p>
        </w:tc>
      </w:tr>
      <w:tr w14:paraId="41F69A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2630789A">
            <w:pPr>
              <w:adjustRightInd w:val="0"/>
              <w:snapToGrid w:val="0"/>
              <w:spacing w:line="400" w:lineRule="exact"/>
              <w:jc w:val="center"/>
              <w:rPr>
                <w:rFonts w:ascii="宋体" w:hAnsi="宋体"/>
                <w:color w:val="auto"/>
                <w:szCs w:val="21"/>
                <w:highlight w:val="none"/>
              </w:rPr>
            </w:pPr>
            <w:r>
              <w:rPr>
                <w:rFonts w:hint="eastAsia" w:ascii="宋体" w:hAnsi="宋体"/>
                <w:color w:val="auto"/>
                <w:szCs w:val="21"/>
                <w:highlight w:val="none"/>
              </w:rPr>
              <w:t>第35.2</w:t>
            </w:r>
            <w:r>
              <w:rPr>
                <w:rFonts w:hint="eastAsia" w:ascii="宋体" w:hAnsi="宋体" w:cs="宋体"/>
                <w:color w:val="auto"/>
                <w:kern w:val="0"/>
                <w:szCs w:val="21"/>
                <w:highlight w:val="none"/>
                <w:lang w:val="zh-CN"/>
              </w:rPr>
              <w:t>款</w:t>
            </w:r>
          </w:p>
        </w:tc>
        <w:tc>
          <w:tcPr>
            <w:tcW w:w="2863" w:type="dxa"/>
            <w:vAlign w:val="center"/>
          </w:tcPr>
          <w:p w14:paraId="1C1DB8B5">
            <w:pPr>
              <w:adjustRightInd w:val="0"/>
              <w:snapToGrid w:val="0"/>
              <w:spacing w:line="400" w:lineRule="exact"/>
              <w:jc w:val="left"/>
              <w:rPr>
                <w:rFonts w:ascii="宋体" w:hAnsi="宋体"/>
                <w:color w:val="auto"/>
                <w:szCs w:val="21"/>
                <w:highlight w:val="none"/>
              </w:rPr>
            </w:pPr>
            <w:r>
              <w:rPr>
                <w:rFonts w:hint="eastAsia" w:ascii="宋体" w:hAnsi="宋体"/>
                <w:color w:val="auto"/>
                <w:szCs w:val="21"/>
                <w:highlight w:val="none"/>
              </w:rPr>
              <w:t>其他规定</w:t>
            </w:r>
          </w:p>
        </w:tc>
        <w:tc>
          <w:tcPr>
            <w:tcW w:w="5065" w:type="dxa"/>
            <w:vAlign w:val="center"/>
          </w:tcPr>
          <w:p w14:paraId="325DF98B">
            <w:pPr>
              <w:keepNext w:val="0"/>
              <w:keepLines w:val="0"/>
              <w:pageBreakBefore w:val="0"/>
              <w:kinsoku/>
              <w:overflowPunct/>
              <w:topLinePunct w:val="0"/>
              <w:bidi w:val="0"/>
              <w:adjustRightInd w:val="0"/>
              <w:snapToGrid w:val="0"/>
              <w:spacing w:line="288" w:lineRule="auto"/>
              <w:jc w:val="left"/>
              <w:rPr>
                <w:rFonts w:hint="eastAsia" w:ascii="宋体" w:hAnsi="宋体" w:eastAsia="宋体" w:cs="宋体"/>
                <w:b/>
                <w:bCs/>
                <w:color w:val="auto"/>
                <w:szCs w:val="21"/>
                <w:highlight w:val="none"/>
                <w:lang w:eastAsia="zh-CN"/>
              </w:rPr>
            </w:pPr>
            <w:r>
              <w:rPr>
                <w:rFonts w:hint="eastAsia" w:ascii="宋体" w:hAnsi="宋体" w:eastAsia="宋体" w:cs="宋体"/>
                <w:b/>
                <w:bCs/>
                <w:color w:val="auto"/>
                <w:szCs w:val="21"/>
                <w:highlight w:val="none"/>
              </w:rPr>
              <w:t>1、本招标项目采用电子招标投标方式，投标人应当在</w:t>
            </w:r>
            <w:r>
              <w:rPr>
                <w:rFonts w:hint="eastAsia" w:ascii="宋体" w:hAnsi="宋体" w:eastAsia="宋体" w:cs="宋体"/>
                <w:b/>
                <w:bCs/>
                <w:color w:val="auto"/>
                <w:szCs w:val="21"/>
                <w:highlight w:val="none"/>
                <w:lang w:val="ru-RU"/>
              </w:rPr>
              <w:t>湖南省公共服务平台株洲分平台</w:t>
            </w:r>
            <w:r>
              <w:rPr>
                <w:rFonts w:hint="eastAsia" w:ascii="宋体" w:hAnsi="宋体" w:eastAsia="宋体" w:cs="宋体"/>
                <w:b/>
                <w:bCs/>
                <w:color w:val="auto"/>
                <w:szCs w:val="21"/>
                <w:highlight w:val="none"/>
              </w:rPr>
              <w:t>电子交易系统进行注册登记和CA认证，在下载电子版招标文件的同时，请投标人下载《电子招投标相关程序规定（株洲）》。</w:t>
            </w:r>
          </w:p>
          <w:p w14:paraId="674E5FBC">
            <w:pPr>
              <w:keepNext w:val="0"/>
              <w:keepLines w:val="0"/>
              <w:pageBreakBefore w:val="0"/>
              <w:widowControl w:val="0"/>
              <w:kinsoku/>
              <w:wordWrap/>
              <w:overflowPunct/>
              <w:topLinePunct w:val="0"/>
              <w:autoSpaceDE/>
              <w:autoSpaceDN/>
              <w:bidi w:val="0"/>
              <w:adjustRightInd/>
              <w:snapToGrid/>
              <w:spacing w:line="288" w:lineRule="auto"/>
              <w:ind w:left="0" w:leftChars="0" w:right="0" w:firstLine="0" w:firstLineChars="0"/>
              <w:jc w:val="left"/>
              <w:textAlignment w:val="auto"/>
              <w:rPr>
                <w:rFonts w:hint="eastAsia" w:ascii="宋体" w:hAnsi="宋体" w:eastAsia="宋体" w:cs="宋体"/>
                <w:b/>
                <w:bCs/>
                <w:color w:val="auto"/>
                <w:spacing w:val="0"/>
                <w:w w:val="100"/>
                <w:kern w:val="0"/>
                <w:sz w:val="21"/>
                <w:szCs w:val="21"/>
                <w:highlight w:val="none"/>
                <w:lang w:eastAsia="zh-CN"/>
              </w:rPr>
            </w:pPr>
            <w:r>
              <w:rPr>
                <w:rFonts w:hint="eastAsia" w:ascii="宋体" w:hAnsi="宋体" w:eastAsia="宋体" w:cs="宋体"/>
                <w:b/>
                <w:bCs/>
                <w:color w:val="auto"/>
                <w:szCs w:val="21"/>
                <w:highlight w:val="none"/>
                <w:lang w:val="en-US" w:eastAsia="zh-CN"/>
              </w:rPr>
              <w:t>2</w:t>
            </w:r>
            <w:r>
              <w:rPr>
                <w:rFonts w:hint="eastAsia" w:ascii="宋体" w:hAnsi="宋体" w:eastAsia="宋体" w:cs="宋体"/>
                <w:b/>
                <w:bCs/>
                <w:color w:val="auto"/>
                <w:szCs w:val="21"/>
                <w:highlight w:val="none"/>
              </w:rPr>
              <w:t>、</w:t>
            </w:r>
            <w:r>
              <w:rPr>
                <w:rFonts w:hint="eastAsia" w:ascii="宋体" w:hAnsi="宋体" w:eastAsia="宋体" w:cs="宋体"/>
                <w:b/>
                <w:bCs/>
                <w:color w:val="auto"/>
                <w:spacing w:val="0"/>
                <w:w w:val="100"/>
                <w:kern w:val="0"/>
                <w:sz w:val="21"/>
                <w:szCs w:val="21"/>
                <w:highlight w:val="none"/>
                <w:lang w:eastAsia="zh-CN"/>
              </w:rPr>
              <w:t>政府采购电子标项目报名程序：湖南省公共资源交易服务平台株洲分平台</w:t>
            </w:r>
            <w:r>
              <w:rPr>
                <w:rFonts w:hint="eastAsia" w:ascii="宋体" w:hAnsi="宋体" w:eastAsia="宋体" w:cs="宋体"/>
                <w:b/>
                <w:bCs/>
                <w:color w:val="auto"/>
                <w:highlight w:val="none"/>
              </w:rPr>
              <w:t>（https://zhuzhou.hnsggzy.com）</w:t>
            </w:r>
            <w:r>
              <w:rPr>
                <w:rFonts w:hint="eastAsia" w:ascii="宋体" w:hAnsi="宋体" w:eastAsia="宋体" w:cs="宋体"/>
                <w:b/>
                <w:bCs/>
                <w:color w:val="auto"/>
                <w:spacing w:val="0"/>
                <w:w w:val="100"/>
                <w:kern w:val="0"/>
                <w:sz w:val="21"/>
                <w:szCs w:val="21"/>
                <w:highlight w:val="none"/>
                <w:lang w:eastAsia="zh-CN"/>
              </w:rPr>
              <w:t>——交易快速通道——政府采购——株洲市公共资源交易中心电子交易平台——填写投标信息——选择对应项目报名。也可直接登陆株洲市公共资源交易中心电子交易平台（http://www.zzzyjy.cn:89/TPBidderSJZS/memberLogin）报名。</w:t>
            </w:r>
          </w:p>
          <w:p w14:paraId="6A7C8D70">
            <w:pPr>
              <w:keepNext w:val="0"/>
              <w:keepLines w:val="0"/>
              <w:pageBreakBefore w:val="0"/>
              <w:widowControl w:val="0"/>
              <w:kinsoku/>
              <w:wordWrap/>
              <w:overflowPunct/>
              <w:topLinePunct w:val="0"/>
              <w:autoSpaceDE/>
              <w:autoSpaceDN/>
              <w:bidi w:val="0"/>
              <w:adjustRightInd/>
              <w:snapToGrid/>
              <w:spacing w:line="288" w:lineRule="auto"/>
              <w:ind w:left="0" w:leftChars="0" w:right="0" w:firstLine="0" w:firstLineChars="0"/>
              <w:jc w:val="left"/>
              <w:textAlignment w:val="auto"/>
              <w:rPr>
                <w:rFonts w:hint="eastAsia" w:ascii="宋体" w:hAnsi="宋体" w:eastAsia="宋体" w:cs="宋体"/>
                <w:b/>
                <w:bCs/>
                <w:color w:val="auto"/>
                <w:spacing w:val="0"/>
                <w:w w:val="100"/>
                <w:kern w:val="0"/>
                <w:sz w:val="21"/>
                <w:szCs w:val="21"/>
                <w:highlight w:val="none"/>
                <w:lang w:val="en-US" w:eastAsia="zh-CN"/>
              </w:rPr>
            </w:pPr>
            <w:r>
              <w:rPr>
                <w:rFonts w:hint="eastAsia" w:ascii="宋体" w:hAnsi="宋体" w:eastAsia="宋体" w:cs="宋体"/>
                <w:b/>
                <w:bCs/>
                <w:color w:val="auto"/>
                <w:spacing w:val="0"/>
                <w:w w:val="100"/>
                <w:kern w:val="0"/>
                <w:sz w:val="21"/>
                <w:szCs w:val="21"/>
                <w:highlight w:val="none"/>
                <w:lang w:val="en-US" w:eastAsia="zh-CN"/>
              </w:rPr>
              <w:t>3、</w:t>
            </w:r>
            <w:r>
              <w:rPr>
                <w:rFonts w:hint="eastAsia" w:ascii="宋体" w:hAnsi="宋体" w:eastAsia="宋体" w:cs="宋体"/>
                <w:b/>
                <w:bCs/>
                <w:color w:val="auto"/>
                <w:spacing w:val="0"/>
                <w:w w:val="100"/>
                <w:kern w:val="0"/>
                <w:sz w:val="21"/>
                <w:szCs w:val="21"/>
                <w:highlight w:val="none"/>
                <w:lang w:eastAsia="zh-CN"/>
              </w:rPr>
              <w:t>获取招标（采购）文件：各类采购项目（政采电子标、纸质标及其他采购），供应商均可登陆株洲市公共资源交易中心电子交易平台——交易文件下载——选择对应项目获取。</w:t>
            </w:r>
          </w:p>
          <w:p w14:paraId="7895FA3A">
            <w:pPr>
              <w:keepNext w:val="0"/>
              <w:keepLines w:val="0"/>
              <w:pageBreakBefore w:val="0"/>
              <w:kinsoku/>
              <w:overflowPunct/>
              <w:topLinePunct w:val="0"/>
              <w:bidi w:val="0"/>
              <w:adjustRightInd w:val="0"/>
              <w:snapToGrid w:val="0"/>
              <w:spacing w:line="288" w:lineRule="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4</w:t>
            </w:r>
            <w:r>
              <w:rPr>
                <w:rFonts w:hint="eastAsia" w:ascii="宋体" w:hAnsi="宋体" w:eastAsia="宋体" w:cs="宋体"/>
                <w:b/>
                <w:bCs/>
                <w:color w:val="auto"/>
                <w:szCs w:val="21"/>
                <w:highlight w:val="none"/>
              </w:rPr>
              <w:t>、招标文件及澄清答疑采用网上发布方式。采购人对招标文件、招标文件的澄清答疑均采用在湖南省政府采购网（网址：http://www.ccgp-hunan.gov.cn/#）和湖南省公共资源交易服务平台株洲分平台上发布，</w:t>
            </w:r>
            <w:r>
              <w:rPr>
                <w:rFonts w:hint="eastAsia" w:ascii="宋体" w:hAnsi="宋体" w:eastAsia="宋体" w:cs="宋体"/>
                <w:b/>
                <w:bCs/>
                <w:color w:val="auto"/>
                <w:szCs w:val="21"/>
                <w:highlight w:val="none"/>
                <w:u w:val="single"/>
              </w:rPr>
              <w:t>投标人应登录湖南省公共资源交易服务平台株洲分平台系统下载最新答疑文件，并按照最新的答疑文件制作投标文件。</w:t>
            </w:r>
            <w:r>
              <w:rPr>
                <w:rFonts w:hint="eastAsia" w:ascii="宋体" w:hAnsi="宋体" w:eastAsia="宋体" w:cs="宋体"/>
                <w:b/>
                <w:bCs/>
                <w:color w:val="auto"/>
                <w:szCs w:val="21"/>
                <w:highlight w:val="none"/>
              </w:rPr>
              <w:t>投标人应及时关注网上相关招标信息，如有遗漏，采购人与采购代理机构概不负责。</w:t>
            </w:r>
          </w:p>
          <w:p w14:paraId="168AA339">
            <w:pPr>
              <w:pStyle w:val="26"/>
              <w:ind w:left="0" w:leftChars="0" w:firstLine="0" w:firstLineChars="0"/>
              <w:rPr>
                <w:rFonts w:hint="eastAsia"/>
                <w:color w:val="auto"/>
                <w:highlight w:val="none"/>
                <w:lang w:val="en-US" w:eastAsia="zh-CN"/>
              </w:rPr>
            </w:pPr>
            <w:r>
              <w:rPr>
                <w:rFonts w:hint="eastAsia" w:ascii="宋体" w:hAnsi="宋体" w:eastAsia="宋体" w:cs="宋体"/>
                <w:b/>
                <w:bCs/>
                <w:color w:val="auto"/>
                <w:spacing w:val="0"/>
                <w:w w:val="100"/>
                <w:kern w:val="0"/>
                <w:sz w:val="21"/>
                <w:szCs w:val="21"/>
                <w:highlight w:val="none"/>
                <w:lang w:val="en-US" w:eastAsia="zh-CN"/>
              </w:rPr>
              <w:t>5、</w:t>
            </w:r>
            <w:r>
              <w:rPr>
                <w:rFonts w:hint="eastAsia" w:ascii="宋体" w:hAnsi="宋体" w:eastAsia="宋体" w:cs="宋体"/>
                <w:b/>
                <w:bCs/>
                <w:color w:val="auto"/>
                <w:spacing w:val="0"/>
                <w:w w:val="100"/>
                <w:kern w:val="0"/>
                <w:sz w:val="21"/>
                <w:szCs w:val="21"/>
                <w:highlight w:val="none"/>
                <w:lang w:eastAsia="zh-CN"/>
              </w:rPr>
              <w:t>系统操作手册下载：湖南省公共资源交易服务平台株洲分平台（https://zhuzhou.hnsggzy.com）——下载中心——政府采购栏目下载“交易系统操作手册”、“不见面开标操作手册”等。</w:t>
            </w:r>
          </w:p>
          <w:p w14:paraId="3D3709D1">
            <w:pPr>
              <w:pStyle w:val="26"/>
              <w:ind w:left="0" w:leftChars="0" w:firstLine="0" w:firstLineChars="0"/>
              <w:rPr>
                <w:rFonts w:hint="eastAsia"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6</w:t>
            </w:r>
            <w:r>
              <w:rPr>
                <w:rFonts w:hint="eastAsia" w:ascii="宋体" w:hAnsi="宋体" w:eastAsia="宋体" w:cs="宋体"/>
                <w:color w:val="auto"/>
                <w:kern w:val="0"/>
                <w:sz w:val="21"/>
                <w:szCs w:val="21"/>
                <w:highlight w:val="none"/>
                <w:lang w:val="en-US" w:eastAsia="zh-CN" w:bidi="ar"/>
              </w:rPr>
              <w:t>、对列入失信被执行人、税收违法黑名单、政府采购严重违法失信行为记录名单的供应商，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 信用信息查询的查询渠道：“信用中国”网站（www.creditchina.gov.cn）、中国政府采购网（www.ccgp.gov.cn）。</w:t>
            </w:r>
          </w:p>
          <w:p w14:paraId="7EC8FCAA">
            <w:pPr>
              <w:pStyle w:val="26"/>
              <w:ind w:left="0" w:leftChars="0" w:firstLine="0" w:firstLineChars="0"/>
              <w:rPr>
                <w:rFonts w:hint="eastAsia"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7</w:t>
            </w:r>
            <w:r>
              <w:rPr>
                <w:rFonts w:hint="eastAsia" w:ascii="宋体" w:hAnsi="宋体" w:eastAsia="宋体" w:cs="宋体"/>
                <w:color w:val="auto"/>
                <w:kern w:val="0"/>
                <w:sz w:val="21"/>
                <w:szCs w:val="21"/>
                <w:highlight w:val="none"/>
                <w:lang w:val="en-US" w:eastAsia="zh-CN" w:bidi="ar"/>
              </w:rPr>
              <w:t>、信用信息查询的截止时点：至本项目投标截止时间止。</w:t>
            </w:r>
          </w:p>
          <w:p w14:paraId="36D475C4">
            <w:pPr>
              <w:pStyle w:val="26"/>
              <w:ind w:left="0" w:leftChars="0" w:firstLine="0" w:firstLineChars="0"/>
              <w:rPr>
                <w:rFonts w:hint="eastAsia"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8</w:t>
            </w:r>
            <w:r>
              <w:rPr>
                <w:rFonts w:hint="eastAsia" w:ascii="宋体" w:hAnsi="宋体" w:eastAsia="宋体" w:cs="宋体"/>
                <w:color w:val="auto"/>
                <w:kern w:val="0"/>
                <w:sz w:val="21"/>
                <w:szCs w:val="21"/>
                <w:highlight w:val="none"/>
                <w:lang w:val="en-US" w:eastAsia="zh-CN" w:bidi="ar"/>
              </w:rPr>
              <w:t>、信用信息查询记录的具体方式：采购人或采购代理机构在开标后在规定的查询渠道进行查询。</w:t>
            </w:r>
          </w:p>
          <w:p w14:paraId="6D99707A">
            <w:pPr>
              <w:pStyle w:val="26"/>
              <w:ind w:left="0" w:leftChars="0" w:firstLine="0" w:firstLineChars="0"/>
              <w:rPr>
                <w:rFonts w:hint="eastAsia"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9</w:t>
            </w:r>
            <w:r>
              <w:rPr>
                <w:rFonts w:hint="eastAsia" w:ascii="宋体" w:hAnsi="宋体" w:eastAsia="宋体" w:cs="宋体"/>
                <w:color w:val="auto"/>
                <w:kern w:val="0"/>
                <w:sz w:val="21"/>
                <w:szCs w:val="21"/>
                <w:highlight w:val="none"/>
                <w:lang w:val="en-US" w:eastAsia="zh-CN" w:bidi="ar"/>
              </w:rPr>
              <w:t>、信用信息查询记录证据留存的具体方式：查询记录的网上打印件。</w:t>
            </w:r>
          </w:p>
          <w:p w14:paraId="29B27C11">
            <w:pPr>
              <w:adjustRightInd w:val="0"/>
              <w:snapToGrid w:val="0"/>
              <w:spacing w:line="400" w:lineRule="exact"/>
              <w:rPr>
                <w:rFonts w:ascii="宋体" w:hAnsi="宋体"/>
                <w:color w:val="auto"/>
                <w:szCs w:val="21"/>
                <w:highlight w:val="none"/>
              </w:rPr>
            </w:pPr>
            <w:r>
              <w:rPr>
                <w:rFonts w:hint="eastAsia" w:ascii="宋体" w:hAnsi="宋体" w:cs="宋体"/>
                <w:b w:val="0"/>
                <w:bCs w:val="0"/>
                <w:color w:val="auto"/>
                <w:sz w:val="21"/>
                <w:szCs w:val="21"/>
                <w:highlight w:val="none"/>
                <w:lang w:val="en-US" w:eastAsia="zh-CN"/>
              </w:rPr>
              <w:t>10、</w:t>
            </w:r>
            <w:r>
              <w:rPr>
                <w:rFonts w:hint="eastAsia" w:ascii="宋体" w:hAnsi="宋体" w:eastAsia="宋体" w:cs="宋体"/>
                <w:b w:val="0"/>
                <w:bCs w:val="0"/>
                <w:color w:val="auto"/>
                <w:sz w:val="21"/>
                <w:szCs w:val="21"/>
                <w:highlight w:val="none"/>
                <w:lang w:val="en-US" w:eastAsia="zh-CN"/>
              </w:rPr>
              <w:t>投标人在投标文件中有隐瞒事实、弄虚作假的行为，或有不按招标文件的要求如实提供有关情况、文件、证明等资料的行为，或有所提供的有关情况、文件、证明等资料与经查实的事实不符的行为，且上述行为对该投标人有利的，按照不合格投标人处理。已被列为中标候选人的，取消其中标候选人资格。已中标的，依据相关文件规定执行。</w:t>
            </w:r>
          </w:p>
        </w:tc>
      </w:tr>
      <w:tr w14:paraId="1632813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537AFD5F">
            <w:pPr>
              <w:adjustRightInd w:val="0"/>
              <w:snapToGrid w:val="0"/>
              <w:spacing w:line="400" w:lineRule="exact"/>
              <w:jc w:val="center"/>
              <w:rPr>
                <w:rFonts w:hint="eastAsia" w:ascii="宋体" w:hAnsi="宋体"/>
                <w:color w:val="auto"/>
                <w:szCs w:val="21"/>
                <w:highlight w:val="none"/>
              </w:rPr>
            </w:pPr>
          </w:p>
        </w:tc>
        <w:tc>
          <w:tcPr>
            <w:tcW w:w="2863" w:type="dxa"/>
            <w:shd w:val="clear" w:color="auto" w:fill="auto"/>
            <w:vAlign w:val="center"/>
          </w:tcPr>
          <w:p w14:paraId="5C749A28">
            <w:pPr>
              <w:keepNext w:val="0"/>
              <w:keepLines w:val="0"/>
              <w:pageBreakBefore w:val="0"/>
              <w:kinsoku/>
              <w:overflowPunct/>
              <w:topLinePunct w:val="0"/>
              <w:bidi w:val="0"/>
              <w:adjustRightInd/>
              <w:snapToGrid/>
              <w:spacing w:line="264" w:lineRule="auto"/>
              <w:ind w:right="0" w:rightChars="0" w:firstLine="0" w:firstLineChars="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spacing w:val="21"/>
                <w:sz w:val="21"/>
                <w:szCs w:val="21"/>
                <w:highlight w:val="none"/>
              </w:rPr>
              <w:t>投</w:t>
            </w:r>
            <w:r>
              <w:rPr>
                <w:rFonts w:hint="eastAsia" w:ascii="宋体" w:hAnsi="宋体" w:eastAsia="宋体" w:cs="宋体"/>
                <w:color w:val="auto"/>
                <w:spacing w:val="16"/>
                <w:sz w:val="21"/>
                <w:szCs w:val="21"/>
                <w:highlight w:val="none"/>
              </w:rPr>
              <w:t>标报价的其他要</w:t>
            </w:r>
            <w:r>
              <w:rPr>
                <w:rFonts w:hint="eastAsia" w:ascii="宋体" w:hAnsi="宋体" w:eastAsia="宋体" w:cs="宋体"/>
                <w:color w:val="auto"/>
                <w:sz w:val="21"/>
                <w:szCs w:val="21"/>
                <w:highlight w:val="none"/>
              </w:rPr>
              <w:t>求</w:t>
            </w:r>
          </w:p>
        </w:tc>
        <w:tc>
          <w:tcPr>
            <w:tcW w:w="5065" w:type="dxa"/>
            <w:shd w:val="clear" w:color="auto" w:fill="auto"/>
            <w:vAlign w:val="center"/>
          </w:tcPr>
          <w:p w14:paraId="45B92927">
            <w:pPr>
              <w:spacing w:before="76" w:line="221" w:lineRule="auto"/>
              <w:rPr>
                <w:rFonts w:hint="eastAsia" w:ascii="宋体" w:hAnsi="宋体" w:eastAsia="宋体" w:cs="宋体"/>
                <w:b w:val="0"/>
                <w:bCs w:val="0"/>
                <w:color w:val="auto"/>
                <w:spacing w:val="-1"/>
                <w:sz w:val="21"/>
                <w:szCs w:val="21"/>
                <w:highlight w:val="none"/>
              </w:rPr>
            </w:pPr>
            <w:r>
              <w:rPr>
                <w:rFonts w:hint="eastAsia" w:ascii="宋体" w:hAnsi="宋体" w:eastAsia="宋体" w:cs="宋体"/>
                <w:b w:val="0"/>
                <w:bCs w:val="0"/>
                <w:color w:val="auto"/>
                <w:spacing w:val="-1"/>
                <w:sz w:val="21"/>
                <w:szCs w:val="21"/>
                <w:highlight w:val="none"/>
              </w:rPr>
              <w:t>(1) 不得填写“免费”或“赠与”，也不得进行“零”报价， 否则投标无效。</w:t>
            </w:r>
          </w:p>
          <w:p w14:paraId="3F79FB18">
            <w:pPr>
              <w:spacing w:before="76" w:line="221" w:lineRule="auto"/>
              <w:rPr>
                <w:rFonts w:hint="eastAsia" w:ascii="宋体" w:hAnsi="宋体" w:eastAsia="宋体" w:cs="宋体"/>
                <w:b w:val="0"/>
                <w:bCs w:val="0"/>
                <w:color w:val="auto"/>
                <w:spacing w:val="-1"/>
                <w:sz w:val="21"/>
                <w:szCs w:val="21"/>
                <w:highlight w:val="none"/>
              </w:rPr>
            </w:pPr>
            <w:r>
              <w:rPr>
                <w:rFonts w:hint="eastAsia" w:ascii="宋体" w:hAnsi="宋体" w:eastAsia="宋体" w:cs="宋体"/>
                <w:b w:val="0"/>
                <w:bCs w:val="0"/>
                <w:color w:val="auto"/>
                <w:spacing w:val="-1"/>
                <w:sz w:val="21"/>
                <w:szCs w:val="21"/>
                <w:highlight w:val="none"/>
              </w:rPr>
              <w:t>(2) 投标人对采购项目内容只允许有一个投标报价，否则其投标无效。本招标文件第七章投标文件组成中的《开标一览表》所填投标报价应与交易平台上的电子“开标一览表”所填投标报价保持一致。</w:t>
            </w:r>
          </w:p>
          <w:p w14:paraId="3E1152E0">
            <w:pPr>
              <w:spacing w:before="76" w:line="221" w:lineRule="auto"/>
              <w:rPr>
                <w:rFonts w:hint="eastAsia" w:ascii="宋体" w:hAnsi="宋体" w:eastAsia="宋体" w:cs="宋体"/>
                <w:b w:val="0"/>
                <w:bCs w:val="0"/>
                <w:color w:val="auto"/>
                <w:spacing w:val="-1"/>
                <w:sz w:val="21"/>
                <w:szCs w:val="21"/>
                <w:highlight w:val="none"/>
              </w:rPr>
            </w:pPr>
            <w:r>
              <w:rPr>
                <w:rFonts w:hint="eastAsia" w:ascii="宋体" w:hAnsi="宋体" w:eastAsia="宋体" w:cs="宋体"/>
                <w:b w:val="0"/>
                <w:bCs w:val="0"/>
                <w:color w:val="auto"/>
                <w:spacing w:val="-1"/>
                <w:sz w:val="21"/>
                <w:szCs w:val="21"/>
                <w:highlight w:val="none"/>
              </w:rPr>
              <w:t>(3) 投标人提交两个以上投标报价不同的“开标一览表”，且未按第二章第 22.1 款要求注明“修改”字样，以及修改的时间或未书面声明哪个有效的，其投标无效。</w:t>
            </w:r>
          </w:p>
          <w:p w14:paraId="53BF3F6E">
            <w:pPr>
              <w:snapToGrid w:val="0"/>
              <w:spacing w:line="360" w:lineRule="auto"/>
              <w:ind w:firstLine="0" w:firstLineChars="0"/>
              <w:rPr>
                <w:rFonts w:hint="eastAsia" w:ascii="宋体" w:hAnsi="宋体" w:eastAsia="宋体" w:cs="宋体"/>
                <w:b/>
                <w:bCs/>
                <w:i w:val="0"/>
                <w:iCs w:val="0"/>
                <w:caps w:val="0"/>
                <w:color w:val="auto"/>
                <w:spacing w:val="0"/>
                <w:sz w:val="21"/>
                <w:szCs w:val="21"/>
                <w:highlight w:val="none"/>
                <w:shd w:val="clear" w:color="auto" w:fill="FFFFFF"/>
                <w:lang w:eastAsia="zh-CN"/>
              </w:rPr>
            </w:pPr>
            <w:r>
              <w:rPr>
                <w:rFonts w:hint="eastAsia" w:ascii="宋体" w:hAnsi="宋体" w:eastAsia="宋体" w:cs="宋体"/>
                <w:b/>
                <w:bCs/>
                <w:color w:val="auto"/>
                <w:spacing w:val="-1"/>
                <w:sz w:val="21"/>
                <w:szCs w:val="21"/>
                <w:highlight w:val="none"/>
              </w:rPr>
              <w:t xml:space="preserve">(4) </w:t>
            </w:r>
            <w:r>
              <w:rPr>
                <w:rFonts w:hint="eastAsia" w:ascii="宋体" w:hAnsi="宋体" w:eastAsia="宋体" w:cs="宋体"/>
                <w:b/>
                <w:bCs/>
                <w:i w:val="0"/>
                <w:iCs w:val="0"/>
                <w:caps w:val="0"/>
                <w:color w:val="auto"/>
                <w:spacing w:val="0"/>
                <w:sz w:val="21"/>
                <w:szCs w:val="21"/>
                <w:highlight w:val="none"/>
                <w:shd w:val="clear" w:color="auto" w:fill="FFFFFF"/>
              </w:rPr>
              <w:t>异常低价审查</w:t>
            </w:r>
            <w:r>
              <w:rPr>
                <w:rFonts w:hint="eastAsia" w:ascii="宋体" w:hAnsi="宋体" w:eastAsia="宋体" w:cs="宋体"/>
                <w:b/>
                <w:bCs/>
                <w:i w:val="0"/>
                <w:iCs w:val="0"/>
                <w:caps w:val="0"/>
                <w:color w:val="auto"/>
                <w:spacing w:val="0"/>
                <w:sz w:val="21"/>
                <w:szCs w:val="21"/>
                <w:highlight w:val="none"/>
                <w:shd w:val="clear" w:color="auto" w:fill="FFFFFF"/>
                <w:lang w:eastAsia="zh-CN"/>
              </w:rPr>
              <w:t>：</w:t>
            </w:r>
          </w:p>
          <w:p w14:paraId="4B1A8F20">
            <w:pPr>
              <w:keepNext w:val="0"/>
              <w:keepLines w:val="0"/>
              <w:pageBreakBefore w:val="0"/>
              <w:kinsoku/>
              <w:overflowPunct/>
              <w:topLinePunct w:val="0"/>
              <w:bidi w:val="0"/>
              <w:adjustRightInd/>
              <w:snapToGrid/>
              <w:spacing w:line="264" w:lineRule="auto"/>
              <w:ind w:right="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（一）政府采购评审中出现下列情形之一的，评审委员会应当启动异常低价投标（响应）审查程序：</w:t>
            </w:r>
          </w:p>
          <w:p w14:paraId="65213CD4">
            <w:pPr>
              <w:keepNext w:val="0"/>
              <w:keepLines w:val="0"/>
              <w:pageBreakBefore w:val="0"/>
              <w:kinsoku/>
              <w:overflowPunct/>
              <w:topLinePunct w:val="0"/>
              <w:bidi w:val="0"/>
              <w:adjustRightInd/>
              <w:snapToGrid/>
              <w:spacing w:line="264" w:lineRule="auto"/>
              <w:ind w:right="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（1）投标（响应）报价低于全部通过符合性审查供应商投标（响应）报价平均值65%的，即投标（响应）报价&lt;全部通过符合性审查供应商投标（响应）报价平均值×65%；</w:t>
            </w:r>
          </w:p>
          <w:p w14:paraId="54E650C3">
            <w:pPr>
              <w:keepNext w:val="0"/>
              <w:keepLines w:val="0"/>
              <w:pageBreakBefore w:val="0"/>
              <w:kinsoku/>
              <w:overflowPunct/>
              <w:topLinePunct w:val="0"/>
              <w:bidi w:val="0"/>
              <w:adjustRightInd/>
              <w:snapToGrid/>
              <w:spacing w:line="264" w:lineRule="auto"/>
              <w:ind w:right="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（2）投标（响应）报价低于通过符合性审查的次低报价供应商投标（响应）报价65%的，即投标（响应）报价&lt;通过符合性审查的次低报价供应商投标（响应）报价×65%；</w:t>
            </w:r>
          </w:p>
          <w:p w14:paraId="306BF418">
            <w:pPr>
              <w:keepNext w:val="0"/>
              <w:keepLines w:val="0"/>
              <w:pageBreakBefore w:val="0"/>
              <w:kinsoku/>
              <w:overflowPunct/>
              <w:topLinePunct w:val="0"/>
              <w:bidi w:val="0"/>
              <w:adjustRightInd/>
              <w:snapToGrid/>
              <w:spacing w:line="264" w:lineRule="auto"/>
              <w:ind w:right="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（3）投标（响应）报价低于采购项目最高限价65%的，即投标（响应）报价&lt;采购项目最高限价×65%；</w:t>
            </w:r>
          </w:p>
          <w:p w14:paraId="4214BE82">
            <w:pPr>
              <w:keepNext w:val="0"/>
              <w:keepLines w:val="0"/>
              <w:pageBreakBefore w:val="0"/>
              <w:kinsoku/>
              <w:overflowPunct/>
              <w:topLinePunct w:val="0"/>
              <w:bidi w:val="0"/>
              <w:adjustRightInd/>
              <w:snapToGrid/>
              <w:spacing w:line="264" w:lineRule="auto"/>
              <w:ind w:right="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（4）评审委员会基于专业判断，认为供应商报价过低，有可能影响产品质量或者不能诚信履约的其他情形。</w:t>
            </w:r>
          </w:p>
          <w:p w14:paraId="7614343A">
            <w:pPr>
              <w:keepNext w:val="0"/>
              <w:keepLines w:val="0"/>
              <w:pageBreakBefore w:val="0"/>
              <w:kinsoku/>
              <w:overflowPunct/>
              <w:topLinePunct w:val="0"/>
              <w:bidi w:val="0"/>
              <w:adjustRightInd/>
              <w:snapToGrid/>
              <w:spacing w:line="264" w:lineRule="auto"/>
              <w:ind w:right="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二）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投标人提交证明材料的时间不得超过60分钟。其中，属于第3项情形，供应商已随投标（响应）文件一并提交相关书面说明及必要的证明材料的，在评审现场可不再重复提交。</w:t>
            </w:r>
          </w:p>
          <w:p w14:paraId="0E0C4DA2">
            <w:pPr>
              <w:keepNext w:val="0"/>
              <w:keepLines w:val="0"/>
              <w:pageBreakBefore w:val="0"/>
              <w:kinsoku/>
              <w:overflowPunct/>
              <w:topLinePunct w:val="0"/>
              <w:bidi w:val="0"/>
              <w:adjustRightInd/>
              <w:snapToGrid/>
              <w:spacing w:line="264" w:lineRule="auto"/>
              <w:ind w:right="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567AF888">
            <w:pPr>
              <w:keepNext w:val="0"/>
              <w:keepLines w:val="0"/>
              <w:pageBreakBefore w:val="0"/>
              <w:kinsoku/>
              <w:wordWrap w:val="0"/>
              <w:overflowPunct/>
              <w:topLinePunct w:val="0"/>
              <w:bidi w:val="0"/>
              <w:adjustRightInd/>
              <w:snapToGrid/>
              <w:spacing w:line="264" w:lineRule="auto"/>
              <w:ind w:right="0" w:rightChars="0" w:firstLine="0" w:firstLineChars="0"/>
              <w:jc w:val="left"/>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b/>
                <w:bCs/>
                <w:color w:val="auto"/>
                <w:sz w:val="21"/>
                <w:szCs w:val="21"/>
                <w:highlight w:val="none"/>
                <w:lang w:val="en-US" w:eastAsia="zh-CN"/>
              </w:rPr>
              <w:t>注：</w:t>
            </w:r>
            <w:r>
              <w:rPr>
                <w:rFonts w:hint="eastAsia" w:ascii="宋体" w:hAnsi="宋体" w:eastAsia="宋体" w:cs="宋体"/>
                <w:b/>
                <w:bCs/>
                <w:color w:val="auto"/>
                <w:sz w:val="21"/>
                <w:szCs w:val="21"/>
                <w:highlight w:val="none"/>
              </w:rPr>
              <w:t>本项目采用全流程电子交易系统，投标报价的澄清由评标委员会通过电子交易系统发起，投标人应及时关注电子交易系统的信息提示，采购人或采购代理机构不再另行通知。因投标人自身原因未能在规定时限内提交澄清材料的，由此带来的不利后果，由投标人自行承担。</w:t>
            </w:r>
          </w:p>
        </w:tc>
      </w:tr>
    </w:tbl>
    <w:p w14:paraId="328E32C9">
      <w:pPr>
        <w:adjustRightInd w:val="0"/>
        <w:snapToGrid w:val="0"/>
        <w:spacing w:line="360" w:lineRule="auto"/>
        <w:rPr>
          <w:rFonts w:ascii="宋体" w:hAnsi="宋体"/>
          <w:b/>
          <w:color w:val="auto"/>
          <w:sz w:val="10"/>
          <w:szCs w:val="10"/>
          <w:highlight w:val="none"/>
        </w:rPr>
      </w:pPr>
      <w:r>
        <w:rPr>
          <w:rFonts w:ascii="宋体" w:hAnsi="宋体"/>
          <w:b/>
          <w:color w:val="auto"/>
          <w:szCs w:val="21"/>
          <w:highlight w:val="none"/>
        </w:rPr>
        <w:br w:type="page"/>
      </w:r>
    </w:p>
    <w:p w14:paraId="583942F1">
      <w:pPr>
        <w:widowControl/>
        <w:jc w:val="left"/>
        <w:rPr>
          <w:rFonts w:hint="eastAsia" w:ascii="宋体" w:hAnsi="宋体" w:eastAsia="宋体" w:cs="宋体"/>
          <w:b/>
          <w:bCs/>
          <w:color w:val="auto"/>
          <w:sz w:val="32"/>
          <w:szCs w:val="32"/>
          <w:highlight w:val="none"/>
        </w:rPr>
      </w:pPr>
      <w:bookmarkStart w:id="11" w:name="_Toc24589"/>
      <w:r>
        <w:rPr>
          <w:rFonts w:hint="eastAsia" w:ascii="宋体" w:hAnsi="宋体" w:eastAsia="宋体" w:cs="宋体"/>
          <w:b/>
          <w:bCs/>
          <w:color w:val="auto"/>
          <w:sz w:val="32"/>
          <w:szCs w:val="32"/>
          <w:highlight w:val="none"/>
        </w:rPr>
        <w:t>附件1：</w:t>
      </w:r>
    </w:p>
    <w:p w14:paraId="083D6CE2">
      <w:pPr>
        <w:adjustRightInd w:val="0"/>
        <w:snapToGrid w:val="0"/>
        <w:spacing w:line="360" w:lineRule="auto"/>
        <w:jc w:val="left"/>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ab/>
      </w:r>
      <w:r>
        <w:rPr>
          <w:rFonts w:hint="eastAsia" w:ascii="宋体" w:hAnsi="宋体" w:eastAsia="宋体" w:cs="宋体"/>
          <w:b/>
          <w:bCs/>
          <w:color w:val="auto"/>
          <w:sz w:val="32"/>
          <w:szCs w:val="32"/>
          <w:highlight w:val="none"/>
        </w:rPr>
        <w:t xml:space="preserve">         株洲市政府采购合同线上融资流程</w:t>
      </w:r>
    </w:p>
    <w:p w14:paraId="3D0A75EE">
      <w:pPr>
        <w:spacing w:line="560" w:lineRule="exact"/>
        <w:ind w:left="4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（一）、融资申请 </w:t>
      </w:r>
    </w:p>
    <w:p w14:paraId="33A4FA6B">
      <w:pPr>
        <w:spacing w:line="5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有融资需求的供应商取得《中标通知书》后，在签订采购合同前，通过“株洲市政府采购网”的“政府采购合同融资”链接进入“中征应收账款融资服务平台”，直接向参与金融机构推送融资需求。</w:t>
      </w:r>
    </w:p>
    <w:p w14:paraId="4D9BB8F7">
      <w:pPr>
        <w:spacing w:line="560" w:lineRule="exact"/>
        <w:ind w:firstLine="316" w:firstLineChars="15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（二）、资料审查 </w:t>
      </w:r>
    </w:p>
    <w:p w14:paraId="12FE8A6D">
      <w:pPr>
        <w:spacing w:line="5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参与金融机构登录平台查看融资需求及中标（或成交）详情，进行贷前评审，确定融资方案和回款账户，签订《政府采购合同》，确定合同收款账户。</w:t>
      </w:r>
    </w:p>
    <w:p w14:paraId="6B7EB489">
      <w:pPr>
        <w:spacing w:line="560" w:lineRule="exact"/>
        <w:ind w:left="4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（三）、签订贷款协议</w:t>
      </w:r>
    </w:p>
    <w:p w14:paraId="2CD393BB">
      <w:pPr>
        <w:spacing w:line="5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参与金融机构登录平台查看采购合同信息，与供应商签订贷款协议，在线填写融资成交单，推送融资成交信息，系统自动将回款账户锁定为银行监管账户。</w:t>
      </w:r>
    </w:p>
    <w:p w14:paraId="6CAAFA44">
      <w:pPr>
        <w:spacing w:line="560" w:lineRule="exact"/>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（四）、贷款发放</w:t>
      </w:r>
    </w:p>
    <w:p w14:paraId="3B1AD352">
      <w:pPr>
        <w:spacing w:line="5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融资银行核实回款账户无误后，根据贷款协议向供应商发放贷款。</w:t>
      </w:r>
    </w:p>
    <w:p w14:paraId="3E28898B">
      <w:pPr>
        <w:spacing w:line="560" w:lineRule="exact"/>
        <w:ind w:left="4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（五）、按期还款</w:t>
      </w:r>
    </w:p>
    <w:p w14:paraId="1ACC204A">
      <w:pPr>
        <w:spacing w:line="5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合同履行完毕后，采购单位根据合同约定时间和账户在线填写支付申请，向财政部门发送支付指令，财政部门严格按照相关规定将资金支付到采购合同收款账户。</w:t>
      </w:r>
    </w:p>
    <w:p w14:paraId="012ECB1F">
      <w:pPr>
        <w:spacing w:line="560" w:lineRule="exact"/>
        <w:ind w:left="4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（六 ）、业务终止</w:t>
      </w:r>
    </w:p>
    <w:p w14:paraId="2E5A9411">
      <w:pPr>
        <w:spacing w:line="560" w:lineRule="exact"/>
        <w:ind w:left="4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贷款偿清后，融资银行解除质押，业务终止。</w:t>
      </w:r>
    </w:p>
    <w:p w14:paraId="71E3358B">
      <w:pPr>
        <w:outlineLvl w:val="0"/>
        <w:rPr>
          <w:rFonts w:hint="eastAsia" w:ascii="宋体" w:hAnsi="宋体" w:eastAsia="宋体" w:cs="宋体"/>
          <w:color w:val="auto"/>
          <w:highlight w:val="none"/>
        </w:rPr>
      </w:pPr>
      <w:r>
        <w:rPr>
          <w:rFonts w:hint="eastAsia" w:ascii="宋体" w:hAnsi="宋体" w:eastAsia="宋体" w:cs="宋体"/>
          <w:color w:val="auto"/>
          <w:highlight w:val="none"/>
        </w:rPr>
        <w:br w:type="page"/>
      </w:r>
      <w:r>
        <w:rPr>
          <w:rFonts w:hint="eastAsia" w:ascii="宋体" w:hAnsi="宋体" w:eastAsia="宋体" w:cs="宋体"/>
          <w:b/>
          <w:bCs/>
          <w:color w:val="auto"/>
          <w:kern w:val="0"/>
          <w:sz w:val="28"/>
          <w:szCs w:val="22"/>
          <w:highlight w:val="none"/>
        </w:rPr>
        <w:t>附件2：株洲市政府采购合同线上融资业务流程图</w:t>
      </w:r>
    </w:p>
    <w:p w14:paraId="0871AE5A">
      <w:pPr>
        <w:rPr>
          <w:rFonts w:hint="eastAsia" w:ascii="宋体" w:hAnsi="宋体" w:eastAsia="宋体" w:cs="宋体"/>
          <w:color w:val="auto"/>
          <w:highlight w:val="none"/>
        </w:rPr>
      </w:pPr>
      <w:r>
        <w:rPr>
          <w:rFonts w:hint="eastAsia" w:ascii="宋体" w:hAnsi="宋体" w:eastAsia="宋体" w:cs="宋体"/>
          <w:color w:val="auto"/>
          <w:highlight w:val="none"/>
        </w:rPr>
        <w:drawing>
          <wp:inline distT="0" distB="0" distL="114300" distR="114300">
            <wp:extent cx="5762625" cy="3609975"/>
            <wp:effectExtent l="0" t="0" r="9525" b="952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7"/>
                    <a:stretch>
                      <a:fillRect/>
                    </a:stretch>
                  </pic:blipFill>
                  <pic:spPr>
                    <a:xfrm>
                      <a:off x="0" y="0"/>
                      <a:ext cx="5762625" cy="3609975"/>
                    </a:xfrm>
                    <a:prstGeom prst="rect">
                      <a:avLst/>
                    </a:prstGeom>
                    <a:noFill/>
                    <a:ln>
                      <a:noFill/>
                    </a:ln>
                  </pic:spPr>
                </pic:pic>
              </a:graphicData>
            </a:graphic>
          </wp:inline>
        </w:drawing>
      </w:r>
    </w:p>
    <w:p w14:paraId="5044FBA9">
      <w:pPr>
        <w:pStyle w:val="28"/>
        <w:shd w:val="clear" w:color="auto" w:fill="FFFFFF"/>
        <w:spacing w:before="0" w:beforeAutospacing="0" w:after="156" w:afterAutospacing="0" w:line="0" w:lineRule="atLeast"/>
        <w:jc w:val="both"/>
        <w:textAlignment w:val="baseline"/>
        <w:outlineLvl w:val="0"/>
        <w:rPr>
          <w:rFonts w:hint="eastAsia" w:ascii="宋体" w:hAnsi="宋体" w:eastAsia="宋体" w:cs="宋体"/>
          <w:b/>
          <w:bCs/>
          <w:color w:val="auto"/>
          <w:sz w:val="28"/>
          <w:szCs w:val="22"/>
          <w:highlight w:val="none"/>
        </w:rPr>
      </w:pPr>
      <w:r>
        <w:rPr>
          <w:rFonts w:hint="eastAsia" w:ascii="宋体" w:hAnsi="宋体" w:eastAsia="宋体" w:cs="宋体"/>
          <w:b/>
          <w:bCs/>
          <w:color w:val="auto"/>
          <w:sz w:val="28"/>
          <w:szCs w:val="22"/>
          <w:highlight w:val="none"/>
        </w:rPr>
        <w:br w:type="page"/>
      </w:r>
      <w:r>
        <w:rPr>
          <w:rFonts w:hint="eastAsia" w:ascii="宋体" w:hAnsi="宋体" w:eastAsia="宋体" w:cs="宋体"/>
          <w:b/>
          <w:bCs/>
          <w:color w:val="auto"/>
          <w:sz w:val="28"/>
          <w:szCs w:val="22"/>
          <w:highlight w:val="none"/>
        </w:rPr>
        <w:t>附件3:</w:t>
      </w:r>
    </w:p>
    <w:p w14:paraId="49C32E0B">
      <w:pPr>
        <w:adjustRightInd w:val="0"/>
        <w:snapToGrid w:val="0"/>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株洲市政府采购合同线上融资业务办理银行联系表</w:t>
      </w:r>
    </w:p>
    <w:tbl>
      <w:tblPr>
        <w:tblStyle w:val="29"/>
        <w:tblW w:w="0" w:type="auto"/>
        <w:jc w:val="center"/>
        <w:tblLayout w:type="fixed"/>
        <w:tblCellMar>
          <w:top w:w="0" w:type="dxa"/>
          <w:left w:w="108" w:type="dxa"/>
          <w:bottom w:w="0" w:type="dxa"/>
          <w:right w:w="108" w:type="dxa"/>
        </w:tblCellMar>
      </w:tblPr>
      <w:tblGrid>
        <w:gridCol w:w="953"/>
        <w:gridCol w:w="3290"/>
        <w:gridCol w:w="1414"/>
        <w:gridCol w:w="2759"/>
      </w:tblGrid>
      <w:tr w14:paraId="176293C7">
        <w:tblPrEx>
          <w:tblCellMar>
            <w:top w:w="0" w:type="dxa"/>
            <w:left w:w="108" w:type="dxa"/>
            <w:bottom w:w="0" w:type="dxa"/>
            <w:right w:w="108" w:type="dxa"/>
          </w:tblCellMar>
        </w:tblPrEx>
        <w:trPr>
          <w:trHeight w:val="596" w:hRule="atLeast"/>
          <w:jc w:val="center"/>
        </w:trPr>
        <w:tc>
          <w:tcPr>
            <w:tcW w:w="953" w:type="dxa"/>
            <w:tcBorders>
              <w:top w:val="single" w:color="auto" w:sz="4" w:space="0"/>
              <w:left w:val="single" w:color="auto" w:sz="4" w:space="0"/>
              <w:bottom w:val="single" w:color="auto" w:sz="4" w:space="0"/>
              <w:right w:val="single" w:color="auto" w:sz="4" w:space="0"/>
            </w:tcBorders>
            <w:noWrap/>
            <w:vAlign w:val="center"/>
          </w:tcPr>
          <w:p w14:paraId="2F511347">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3290" w:type="dxa"/>
            <w:tcBorders>
              <w:top w:val="single" w:color="auto" w:sz="4" w:space="0"/>
              <w:left w:val="nil"/>
              <w:bottom w:val="single" w:color="auto" w:sz="4" w:space="0"/>
              <w:right w:val="single" w:color="auto" w:sz="4" w:space="0"/>
            </w:tcBorders>
            <w:noWrap/>
            <w:vAlign w:val="center"/>
          </w:tcPr>
          <w:p w14:paraId="6148E3B1">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银行名称</w:t>
            </w:r>
          </w:p>
        </w:tc>
        <w:tc>
          <w:tcPr>
            <w:tcW w:w="1414" w:type="dxa"/>
            <w:tcBorders>
              <w:top w:val="single" w:color="auto" w:sz="4" w:space="0"/>
              <w:left w:val="nil"/>
              <w:bottom w:val="single" w:color="auto" w:sz="4" w:space="0"/>
              <w:right w:val="single" w:color="auto" w:sz="4" w:space="0"/>
            </w:tcBorders>
            <w:noWrap/>
            <w:vAlign w:val="center"/>
          </w:tcPr>
          <w:p w14:paraId="2CBF2468">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联系人</w:t>
            </w:r>
          </w:p>
        </w:tc>
        <w:tc>
          <w:tcPr>
            <w:tcW w:w="2759" w:type="dxa"/>
            <w:tcBorders>
              <w:top w:val="single" w:color="auto" w:sz="4" w:space="0"/>
              <w:left w:val="nil"/>
              <w:bottom w:val="single" w:color="auto" w:sz="4" w:space="0"/>
              <w:right w:val="single" w:color="auto" w:sz="4" w:space="0"/>
            </w:tcBorders>
            <w:noWrap w:val="0"/>
            <w:vAlign w:val="center"/>
          </w:tcPr>
          <w:p w14:paraId="6E5ED799">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手机号码</w:t>
            </w:r>
          </w:p>
        </w:tc>
      </w:tr>
      <w:tr w14:paraId="77AA1E26">
        <w:tblPrEx>
          <w:tblCellMar>
            <w:top w:w="0" w:type="dxa"/>
            <w:left w:w="108" w:type="dxa"/>
            <w:bottom w:w="0" w:type="dxa"/>
            <w:right w:w="108" w:type="dxa"/>
          </w:tblCellMar>
        </w:tblPrEx>
        <w:trPr>
          <w:trHeight w:val="596" w:hRule="atLeast"/>
          <w:jc w:val="center"/>
        </w:trPr>
        <w:tc>
          <w:tcPr>
            <w:tcW w:w="953" w:type="dxa"/>
            <w:tcBorders>
              <w:top w:val="nil"/>
              <w:left w:val="single" w:color="auto" w:sz="4" w:space="0"/>
              <w:bottom w:val="single" w:color="auto" w:sz="4" w:space="0"/>
              <w:right w:val="nil"/>
            </w:tcBorders>
            <w:noWrap/>
            <w:vAlign w:val="center"/>
          </w:tcPr>
          <w:p w14:paraId="31700114">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3290" w:type="dxa"/>
            <w:tcBorders>
              <w:top w:val="nil"/>
              <w:left w:val="single" w:color="auto" w:sz="4" w:space="0"/>
              <w:bottom w:val="single" w:color="auto" w:sz="4" w:space="0"/>
              <w:right w:val="single" w:color="auto" w:sz="4" w:space="0"/>
            </w:tcBorders>
            <w:noWrap/>
            <w:vAlign w:val="center"/>
          </w:tcPr>
          <w:p w14:paraId="6620B67B">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交通银行株洲分行</w:t>
            </w:r>
          </w:p>
        </w:tc>
        <w:tc>
          <w:tcPr>
            <w:tcW w:w="1414" w:type="dxa"/>
            <w:tcBorders>
              <w:top w:val="nil"/>
              <w:left w:val="nil"/>
              <w:bottom w:val="single" w:color="auto" w:sz="4" w:space="0"/>
              <w:right w:val="single" w:color="auto" w:sz="4" w:space="0"/>
            </w:tcBorders>
            <w:noWrap/>
            <w:vAlign w:val="center"/>
          </w:tcPr>
          <w:p w14:paraId="0B642FB6">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蒋宁</w:t>
            </w:r>
          </w:p>
        </w:tc>
        <w:tc>
          <w:tcPr>
            <w:tcW w:w="2759" w:type="dxa"/>
            <w:tcBorders>
              <w:top w:val="nil"/>
              <w:left w:val="nil"/>
              <w:bottom w:val="single" w:color="auto" w:sz="4" w:space="0"/>
              <w:right w:val="single" w:color="auto" w:sz="4" w:space="0"/>
            </w:tcBorders>
            <w:noWrap w:val="0"/>
            <w:vAlign w:val="center"/>
          </w:tcPr>
          <w:p w14:paraId="452641D1">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15873361819</w:t>
            </w:r>
          </w:p>
        </w:tc>
      </w:tr>
      <w:tr w14:paraId="5138D8C5">
        <w:tblPrEx>
          <w:tblCellMar>
            <w:top w:w="0" w:type="dxa"/>
            <w:left w:w="108" w:type="dxa"/>
            <w:bottom w:w="0" w:type="dxa"/>
            <w:right w:w="108" w:type="dxa"/>
          </w:tblCellMar>
        </w:tblPrEx>
        <w:trPr>
          <w:trHeight w:val="596" w:hRule="atLeast"/>
          <w:jc w:val="center"/>
        </w:trPr>
        <w:tc>
          <w:tcPr>
            <w:tcW w:w="953" w:type="dxa"/>
            <w:tcBorders>
              <w:top w:val="nil"/>
              <w:left w:val="single" w:color="auto" w:sz="4" w:space="0"/>
              <w:bottom w:val="single" w:color="auto" w:sz="4" w:space="0"/>
              <w:right w:val="nil"/>
            </w:tcBorders>
            <w:noWrap/>
            <w:vAlign w:val="center"/>
          </w:tcPr>
          <w:p w14:paraId="3BCE1E10">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3290" w:type="dxa"/>
            <w:tcBorders>
              <w:top w:val="nil"/>
              <w:left w:val="single" w:color="auto" w:sz="4" w:space="0"/>
              <w:bottom w:val="single" w:color="auto" w:sz="4" w:space="0"/>
              <w:right w:val="single" w:color="auto" w:sz="4" w:space="0"/>
            </w:tcBorders>
            <w:noWrap/>
            <w:vAlign w:val="center"/>
          </w:tcPr>
          <w:p w14:paraId="2CDACD41">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长沙银行株洲分行</w:t>
            </w:r>
          </w:p>
        </w:tc>
        <w:tc>
          <w:tcPr>
            <w:tcW w:w="1414" w:type="dxa"/>
            <w:tcBorders>
              <w:top w:val="nil"/>
              <w:left w:val="nil"/>
              <w:bottom w:val="single" w:color="auto" w:sz="4" w:space="0"/>
              <w:right w:val="single" w:color="auto" w:sz="4" w:space="0"/>
            </w:tcBorders>
            <w:noWrap/>
            <w:vAlign w:val="center"/>
          </w:tcPr>
          <w:p w14:paraId="367C112C">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曾名志</w:t>
            </w:r>
          </w:p>
        </w:tc>
        <w:tc>
          <w:tcPr>
            <w:tcW w:w="2759" w:type="dxa"/>
            <w:tcBorders>
              <w:top w:val="nil"/>
              <w:left w:val="nil"/>
              <w:bottom w:val="single" w:color="auto" w:sz="4" w:space="0"/>
              <w:right w:val="single" w:color="auto" w:sz="4" w:space="0"/>
            </w:tcBorders>
            <w:noWrap w:val="0"/>
            <w:vAlign w:val="center"/>
          </w:tcPr>
          <w:p w14:paraId="34A1EDE8">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13786360080</w:t>
            </w:r>
          </w:p>
        </w:tc>
      </w:tr>
      <w:tr w14:paraId="70D9600D">
        <w:tblPrEx>
          <w:tblCellMar>
            <w:top w:w="0" w:type="dxa"/>
            <w:left w:w="108" w:type="dxa"/>
            <w:bottom w:w="0" w:type="dxa"/>
            <w:right w:w="108" w:type="dxa"/>
          </w:tblCellMar>
        </w:tblPrEx>
        <w:trPr>
          <w:trHeight w:val="596" w:hRule="atLeast"/>
          <w:jc w:val="center"/>
        </w:trPr>
        <w:tc>
          <w:tcPr>
            <w:tcW w:w="953" w:type="dxa"/>
            <w:tcBorders>
              <w:top w:val="nil"/>
              <w:left w:val="single" w:color="auto" w:sz="4" w:space="0"/>
              <w:bottom w:val="single" w:color="auto" w:sz="4" w:space="0"/>
              <w:right w:val="nil"/>
            </w:tcBorders>
            <w:noWrap/>
            <w:vAlign w:val="center"/>
          </w:tcPr>
          <w:p w14:paraId="30817115">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3290" w:type="dxa"/>
            <w:tcBorders>
              <w:top w:val="nil"/>
              <w:left w:val="single" w:color="auto" w:sz="4" w:space="0"/>
              <w:bottom w:val="single" w:color="auto" w:sz="4" w:space="0"/>
              <w:right w:val="single" w:color="auto" w:sz="4" w:space="0"/>
            </w:tcBorders>
            <w:noWrap/>
            <w:vAlign w:val="center"/>
          </w:tcPr>
          <w:p w14:paraId="16A15131">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光大银行株洲分行</w:t>
            </w:r>
          </w:p>
        </w:tc>
        <w:tc>
          <w:tcPr>
            <w:tcW w:w="1414" w:type="dxa"/>
            <w:tcBorders>
              <w:top w:val="nil"/>
              <w:left w:val="nil"/>
              <w:bottom w:val="single" w:color="auto" w:sz="4" w:space="0"/>
              <w:right w:val="single" w:color="auto" w:sz="4" w:space="0"/>
            </w:tcBorders>
            <w:noWrap/>
            <w:vAlign w:val="center"/>
          </w:tcPr>
          <w:p w14:paraId="09888E17">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马文胜</w:t>
            </w:r>
          </w:p>
        </w:tc>
        <w:tc>
          <w:tcPr>
            <w:tcW w:w="2759" w:type="dxa"/>
            <w:tcBorders>
              <w:top w:val="nil"/>
              <w:left w:val="nil"/>
              <w:bottom w:val="single" w:color="auto" w:sz="4" w:space="0"/>
              <w:right w:val="single" w:color="auto" w:sz="4" w:space="0"/>
            </w:tcBorders>
            <w:noWrap w:val="0"/>
            <w:vAlign w:val="center"/>
          </w:tcPr>
          <w:p w14:paraId="5B215283">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13907334569</w:t>
            </w:r>
          </w:p>
        </w:tc>
      </w:tr>
      <w:tr w14:paraId="6797E9C7">
        <w:tblPrEx>
          <w:tblCellMar>
            <w:top w:w="0" w:type="dxa"/>
            <w:left w:w="108" w:type="dxa"/>
            <w:bottom w:w="0" w:type="dxa"/>
            <w:right w:w="108" w:type="dxa"/>
          </w:tblCellMar>
        </w:tblPrEx>
        <w:trPr>
          <w:trHeight w:val="596" w:hRule="atLeast"/>
          <w:jc w:val="center"/>
        </w:trPr>
        <w:tc>
          <w:tcPr>
            <w:tcW w:w="953" w:type="dxa"/>
            <w:tcBorders>
              <w:top w:val="nil"/>
              <w:left w:val="single" w:color="auto" w:sz="4" w:space="0"/>
              <w:bottom w:val="single" w:color="auto" w:sz="4" w:space="0"/>
              <w:right w:val="nil"/>
            </w:tcBorders>
            <w:noWrap/>
            <w:vAlign w:val="center"/>
          </w:tcPr>
          <w:p w14:paraId="6BF22837">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4</w:t>
            </w:r>
          </w:p>
        </w:tc>
        <w:tc>
          <w:tcPr>
            <w:tcW w:w="3290" w:type="dxa"/>
            <w:tcBorders>
              <w:top w:val="nil"/>
              <w:left w:val="single" w:color="auto" w:sz="4" w:space="0"/>
              <w:bottom w:val="single" w:color="auto" w:sz="4" w:space="0"/>
              <w:right w:val="single" w:color="auto" w:sz="4" w:space="0"/>
            </w:tcBorders>
            <w:noWrap/>
            <w:vAlign w:val="center"/>
          </w:tcPr>
          <w:p w14:paraId="42774D76">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华融湘江银行株洲分行</w:t>
            </w:r>
          </w:p>
        </w:tc>
        <w:tc>
          <w:tcPr>
            <w:tcW w:w="1414" w:type="dxa"/>
            <w:tcBorders>
              <w:top w:val="nil"/>
              <w:left w:val="nil"/>
              <w:bottom w:val="single" w:color="auto" w:sz="4" w:space="0"/>
              <w:right w:val="single" w:color="auto" w:sz="4" w:space="0"/>
            </w:tcBorders>
            <w:noWrap/>
            <w:vAlign w:val="center"/>
          </w:tcPr>
          <w:p w14:paraId="7B28595D">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泰莹</w:t>
            </w:r>
          </w:p>
        </w:tc>
        <w:tc>
          <w:tcPr>
            <w:tcW w:w="2759" w:type="dxa"/>
            <w:tcBorders>
              <w:top w:val="nil"/>
              <w:left w:val="nil"/>
              <w:bottom w:val="single" w:color="auto" w:sz="4" w:space="0"/>
              <w:right w:val="single" w:color="auto" w:sz="4" w:space="0"/>
            </w:tcBorders>
            <w:noWrap w:val="0"/>
            <w:vAlign w:val="center"/>
          </w:tcPr>
          <w:p w14:paraId="53F4E4F2">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18073365299</w:t>
            </w:r>
          </w:p>
        </w:tc>
      </w:tr>
      <w:tr w14:paraId="15BF7C78">
        <w:tblPrEx>
          <w:tblCellMar>
            <w:top w:w="0" w:type="dxa"/>
            <w:left w:w="108" w:type="dxa"/>
            <w:bottom w:w="0" w:type="dxa"/>
            <w:right w:w="108" w:type="dxa"/>
          </w:tblCellMar>
        </w:tblPrEx>
        <w:trPr>
          <w:trHeight w:val="596" w:hRule="atLeast"/>
          <w:jc w:val="center"/>
        </w:trPr>
        <w:tc>
          <w:tcPr>
            <w:tcW w:w="953" w:type="dxa"/>
            <w:tcBorders>
              <w:top w:val="nil"/>
              <w:left w:val="single" w:color="auto" w:sz="4" w:space="0"/>
              <w:bottom w:val="single" w:color="auto" w:sz="4" w:space="0"/>
              <w:right w:val="nil"/>
            </w:tcBorders>
            <w:noWrap/>
            <w:vAlign w:val="center"/>
          </w:tcPr>
          <w:p w14:paraId="311403E0">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p>
        </w:tc>
        <w:tc>
          <w:tcPr>
            <w:tcW w:w="3290" w:type="dxa"/>
            <w:tcBorders>
              <w:top w:val="nil"/>
              <w:left w:val="single" w:color="auto" w:sz="4" w:space="0"/>
              <w:bottom w:val="single" w:color="auto" w:sz="4" w:space="0"/>
              <w:right w:val="single" w:color="auto" w:sz="4" w:space="0"/>
            </w:tcBorders>
            <w:noWrap/>
            <w:vAlign w:val="center"/>
          </w:tcPr>
          <w:p w14:paraId="1D15AEDA">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工商银行株洲分行</w:t>
            </w:r>
          </w:p>
        </w:tc>
        <w:tc>
          <w:tcPr>
            <w:tcW w:w="1414" w:type="dxa"/>
            <w:tcBorders>
              <w:top w:val="nil"/>
              <w:left w:val="nil"/>
              <w:bottom w:val="single" w:color="auto" w:sz="4" w:space="0"/>
              <w:right w:val="single" w:color="auto" w:sz="4" w:space="0"/>
            </w:tcBorders>
            <w:noWrap/>
            <w:vAlign w:val="center"/>
          </w:tcPr>
          <w:p w14:paraId="6A0FE9A9">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易铁建</w:t>
            </w:r>
          </w:p>
        </w:tc>
        <w:tc>
          <w:tcPr>
            <w:tcW w:w="2759" w:type="dxa"/>
            <w:tcBorders>
              <w:top w:val="nil"/>
              <w:left w:val="nil"/>
              <w:bottom w:val="single" w:color="auto" w:sz="4" w:space="0"/>
              <w:right w:val="single" w:color="auto" w:sz="4" w:space="0"/>
            </w:tcBorders>
            <w:noWrap w:val="0"/>
            <w:vAlign w:val="center"/>
          </w:tcPr>
          <w:p w14:paraId="4A4DF89B">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18673383317 28295851</w:t>
            </w:r>
          </w:p>
        </w:tc>
      </w:tr>
      <w:tr w14:paraId="3A4F7D8C">
        <w:tblPrEx>
          <w:tblCellMar>
            <w:top w:w="0" w:type="dxa"/>
            <w:left w:w="108" w:type="dxa"/>
            <w:bottom w:w="0" w:type="dxa"/>
            <w:right w:w="108" w:type="dxa"/>
          </w:tblCellMar>
        </w:tblPrEx>
        <w:trPr>
          <w:trHeight w:val="596" w:hRule="atLeast"/>
          <w:jc w:val="center"/>
        </w:trPr>
        <w:tc>
          <w:tcPr>
            <w:tcW w:w="953" w:type="dxa"/>
            <w:tcBorders>
              <w:top w:val="nil"/>
              <w:left w:val="single" w:color="auto" w:sz="4" w:space="0"/>
              <w:bottom w:val="single" w:color="auto" w:sz="4" w:space="0"/>
              <w:right w:val="nil"/>
            </w:tcBorders>
            <w:noWrap/>
            <w:vAlign w:val="center"/>
          </w:tcPr>
          <w:p w14:paraId="08FDF694">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6</w:t>
            </w:r>
          </w:p>
        </w:tc>
        <w:tc>
          <w:tcPr>
            <w:tcW w:w="3290" w:type="dxa"/>
            <w:tcBorders>
              <w:top w:val="nil"/>
              <w:left w:val="single" w:color="auto" w:sz="4" w:space="0"/>
              <w:bottom w:val="single" w:color="auto" w:sz="4" w:space="0"/>
              <w:right w:val="single" w:color="auto" w:sz="4" w:space="0"/>
            </w:tcBorders>
            <w:noWrap/>
            <w:vAlign w:val="center"/>
          </w:tcPr>
          <w:p w14:paraId="0F6A5D99">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农业银行株洲分行</w:t>
            </w:r>
          </w:p>
        </w:tc>
        <w:tc>
          <w:tcPr>
            <w:tcW w:w="1414" w:type="dxa"/>
            <w:tcBorders>
              <w:top w:val="nil"/>
              <w:left w:val="nil"/>
              <w:bottom w:val="single" w:color="auto" w:sz="4" w:space="0"/>
              <w:right w:val="single" w:color="auto" w:sz="4" w:space="0"/>
            </w:tcBorders>
            <w:noWrap/>
            <w:vAlign w:val="center"/>
          </w:tcPr>
          <w:p w14:paraId="1C76BABA">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张亚虹</w:t>
            </w:r>
          </w:p>
        </w:tc>
        <w:tc>
          <w:tcPr>
            <w:tcW w:w="2759" w:type="dxa"/>
            <w:tcBorders>
              <w:top w:val="nil"/>
              <w:left w:val="nil"/>
              <w:bottom w:val="single" w:color="auto" w:sz="4" w:space="0"/>
              <w:right w:val="single" w:color="auto" w:sz="4" w:space="0"/>
            </w:tcBorders>
            <w:noWrap w:val="0"/>
            <w:vAlign w:val="center"/>
          </w:tcPr>
          <w:p w14:paraId="7BAEF4ED">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15873378583</w:t>
            </w:r>
          </w:p>
        </w:tc>
      </w:tr>
      <w:tr w14:paraId="3F0413C4">
        <w:tblPrEx>
          <w:tblCellMar>
            <w:top w:w="0" w:type="dxa"/>
            <w:left w:w="108" w:type="dxa"/>
            <w:bottom w:w="0" w:type="dxa"/>
            <w:right w:w="108" w:type="dxa"/>
          </w:tblCellMar>
        </w:tblPrEx>
        <w:trPr>
          <w:trHeight w:val="596" w:hRule="atLeast"/>
          <w:jc w:val="center"/>
        </w:trPr>
        <w:tc>
          <w:tcPr>
            <w:tcW w:w="953" w:type="dxa"/>
            <w:tcBorders>
              <w:top w:val="nil"/>
              <w:left w:val="single" w:color="auto" w:sz="4" w:space="0"/>
              <w:bottom w:val="single" w:color="auto" w:sz="4" w:space="0"/>
              <w:right w:val="nil"/>
            </w:tcBorders>
            <w:noWrap/>
            <w:vAlign w:val="center"/>
          </w:tcPr>
          <w:p w14:paraId="431A16EE">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7</w:t>
            </w:r>
          </w:p>
        </w:tc>
        <w:tc>
          <w:tcPr>
            <w:tcW w:w="3290" w:type="dxa"/>
            <w:tcBorders>
              <w:top w:val="nil"/>
              <w:left w:val="single" w:color="auto" w:sz="4" w:space="0"/>
              <w:bottom w:val="single" w:color="auto" w:sz="4" w:space="0"/>
              <w:right w:val="single" w:color="auto" w:sz="4" w:space="0"/>
            </w:tcBorders>
            <w:noWrap/>
            <w:vAlign w:val="center"/>
          </w:tcPr>
          <w:p w14:paraId="5CDB26A6">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中国银行株洲分行</w:t>
            </w:r>
          </w:p>
        </w:tc>
        <w:tc>
          <w:tcPr>
            <w:tcW w:w="1414" w:type="dxa"/>
            <w:tcBorders>
              <w:top w:val="nil"/>
              <w:left w:val="nil"/>
              <w:bottom w:val="single" w:color="auto" w:sz="4" w:space="0"/>
              <w:right w:val="single" w:color="auto" w:sz="4" w:space="0"/>
            </w:tcBorders>
            <w:noWrap/>
            <w:vAlign w:val="center"/>
          </w:tcPr>
          <w:p w14:paraId="62195078">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陈向红</w:t>
            </w:r>
          </w:p>
        </w:tc>
        <w:tc>
          <w:tcPr>
            <w:tcW w:w="2759" w:type="dxa"/>
            <w:tcBorders>
              <w:top w:val="nil"/>
              <w:left w:val="nil"/>
              <w:bottom w:val="single" w:color="auto" w:sz="4" w:space="0"/>
              <w:right w:val="single" w:color="auto" w:sz="4" w:space="0"/>
            </w:tcBorders>
            <w:noWrap w:val="0"/>
            <w:vAlign w:val="center"/>
          </w:tcPr>
          <w:p w14:paraId="0907C935">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15096360998   28817118</w:t>
            </w:r>
          </w:p>
        </w:tc>
      </w:tr>
      <w:tr w14:paraId="5FBCDA07">
        <w:tblPrEx>
          <w:tblCellMar>
            <w:top w:w="0" w:type="dxa"/>
            <w:left w:w="108" w:type="dxa"/>
            <w:bottom w:w="0" w:type="dxa"/>
            <w:right w:w="108" w:type="dxa"/>
          </w:tblCellMar>
        </w:tblPrEx>
        <w:trPr>
          <w:trHeight w:val="596" w:hRule="atLeast"/>
          <w:jc w:val="center"/>
        </w:trPr>
        <w:tc>
          <w:tcPr>
            <w:tcW w:w="953" w:type="dxa"/>
            <w:tcBorders>
              <w:top w:val="nil"/>
              <w:left w:val="single" w:color="auto" w:sz="4" w:space="0"/>
              <w:bottom w:val="single" w:color="auto" w:sz="4" w:space="0"/>
              <w:right w:val="nil"/>
            </w:tcBorders>
            <w:noWrap/>
            <w:vAlign w:val="center"/>
          </w:tcPr>
          <w:p w14:paraId="5A578FEB">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8</w:t>
            </w:r>
          </w:p>
        </w:tc>
        <w:tc>
          <w:tcPr>
            <w:tcW w:w="3290" w:type="dxa"/>
            <w:tcBorders>
              <w:top w:val="nil"/>
              <w:left w:val="single" w:color="auto" w:sz="4" w:space="0"/>
              <w:bottom w:val="single" w:color="auto" w:sz="4" w:space="0"/>
              <w:right w:val="single" w:color="auto" w:sz="4" w:space="0"/>
            </w:tcBorders>
            <w:noWrap/>
            <w:vAlign w:val="center"/>
          </w:tcPr>
          <w:p w14:paraId="2E23D318">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邮储银行株洲分行</w:t>
            </w:r>
          </w:p>
        </w:tc>
        <w:tc>
          <w:tcPr>
            <w:tcW w:w="1414" w:type="dxa"/>
            <w:tcBorders>
              <w:top w:val="nil"/>
              <w:left w:val="nil"/>
              <w:bottom w:val="single" w:color="auto" w:sz="4" w:space="0"/>
              <w:right w:val="single" w:color="auto" w:sz="4" w:space="0"/>
            </w:tcBorders>
            <w:noWrap/>
            <w:vAlign w:val="center"/>
          </w:tcPr>
          <w:p w14:paraId="674BE790">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李燕京</w:t>
            </w:r>
          </w:p>
        </w:tc>
        <w:tc>
          <w:tcPr>
            <w:tcW w:w="2759" w:type="dxa"/>
            <w:tcBorders>
              <w:top w:val="nil"/>
              <w:left w:val="nil"/>
              <w:bottom w:val="single" w:color="auto" w:sz="4" w:space="0"/>
              <w:right w:val="single" w:color="auto" w:sz="4" w:space="0"/>
            </w:tcBorders>
            <w:noWrap w:val="0"/>
            <w:vAlign w:val="center"/>
          </w:tcPr>
          <w:p w14:paraId="40A2094F">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18673322433</w:t>
            </w:r>
          </w:p>
        </w:tc>
      </w:tr>
      <w:tr w14:paraId="0624E163">
        <w:tblPrEx>
          <w:tblCellMar>
            <w:top w:w="0" w:type="dxa"/>
            <w:left w:w="108" w:type="dxa"/>
            <w:bottom w:w="0" w:type="dxa"/>
            <w:right w:w="108" w:type="dxa"/>
          </w:tblCellMar>
        </w:tblPrEx>
        <w:trPr>
          <w:trHeight w:val="596" w:hRule="atLeast"/>
          <w:jc w:val="center"/>
        </w:trPr>
        <w:tc>
          <w:tcPr>
            <w:tcW w:w="953" w:type="dxa"/>
            <w:tcBorders>
              <w:top w:val="nil"/>
              <w:left w:val="single" w:color="auto" w:sz="4" w:space="0"/>
              <w:bottom w:val="single" w:color="auto" w:sz="4" w:space="0"/>
              <w:right w:val="nil"/>
            </w:tcBorders>
            <w:noWrap/>
            <w:vAlign w:val="center"/>
          </w:tcPr>
          <w:p w14:paraId="0DC729A9">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9</w:t>
            </w:r>
          </w:p>
        </w:tc>
        <w:tc>
          <w:tcPr>
            <w:tcW w:w="3290" w:type="dxa"/>
            <w:tcBorders>
              <w:top w:val="nil"/>
              <w:left w:val="single" w:color="auto" w:sz="4" w:space="0"/>
              <w:bottom w:val="single" w:color="auto" w:sz="4" w:space="0"/>
              <w:right w:val="single" w:color="auto" w:sz="4" w:space="0"/>
            </w:tcBorders>
            <w:noWrap/>
            <w:vAlign w:val="center"/>
          </w:tcPr>
          <w:p w14:paraId="0DAF2222">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兴业银行株洲分行</w:t>
            </w:r>
          </w:p>
        </w:tc>
        <w:tc>
          <w:tcPr>
            <w:tcW w:w="1414" w:type="dxa"/>
            <w:tcBorders>
              <w:top w:val="nil"/>
              <w:left w:val="nil"/>
              <w:bottom w:val="single" w:color="auto" w:sz="4" w:space="0"/>
              <w:right w:val="single" w:color="auto" w:sz="4" w:space="0"/>
            </w:tcBorders>
            <w:noWrap/>
            <w:vAlign w:val="center"/>
          </w:tcPr>
          <w:p w14:paraId="0A65143F">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张维</w:t>
            </w:r>
          </w:p>
        </w:tc>
        <w:tc>
          <w:tcPr>
            <w:tcW w:w="2759" w:type="dxa"/>
            <w:tcBorders>
              <w:top w:val="nil"/>
              <w:left w:val="nil"/>
              <w:bottom w:val="single" w:color="auto" w:sz="4" w:space="0"/>
              <w:right w:val="single" w:color="auto" w:sz="4" w:space="0"/>
            </w:tcBorders>
            <w:noWrap w:val="0"/>
            <w:vAlign w:val="center"/>
          </w:tcPr>
          <w:p w14:paraId="6449ECE0">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13807312821</w:t>
            </w:r>
          </w:p>
        </w:tc>
      </w:tr>
      <w:tr w14:paraId="7E532369">
        <w:tblPrEx>
          <w:tblCellMar>
            <w:top w:w="0" w:type="dxa"/>
            <w:left w:w="108" w:type="dxa"/>
            <w:bottom w:w="0" w:type="dxa"/>
            <w:right w:w="108" w:type="dxa"/>
          </w:tblCellMar>
        </w:tblPrEx>
        <w:trPr>
          <w:trHeight w:val="596" w:hRule="atLeast"/>
          <w:jc w:val="center"/>
        </w:trPr>
        <w:tc>
          <w:tcPr>
            <w:tcW w:w="953" w:type="dxa"/>
            <w:tcBorders>
              <w:top w:val="nil"/>
              <w:left w:val="single" w:color="auto" w:sz="4" w:space="0"/>
              <w:bottom w:val="single" w:color="auto" w:sz="4" w:space="0"/>
              <w:right w:val="nil"/>
            </w:tcBorders>
            <w:noWrap/>
            <w:vAlign w:val="center"/>
          </w:tcPr>
          <w:p w14:paraId="662A82D4">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10</w:t>
            </w:r>
          </w:p>
        </w:tc>
        <w:tc>
          <w:tcPr>
            <w:tcW w:w="3290" w:type="dxa"/>
            <w:tcBorders>
              <w:top w:val="nil"/>
              <w:left w:val="single" w:color="auto" w:sz="4" w:space="0"/>
              <w:bottom w:val="single" w:color="auto" w:sz="4" w:space="0"/>
              <w:right w:val="single" w:color="auto" w:sz="4" w:space="0"/>
            </w:tcBorders>
            <w:noWrap/>
            <w:vAlign w:val="center"/>
          </w:tcPr>
          <w:p w14:paraId="6971FCA3">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渤海银行株洲分行</w:t>
            </w:r>
          </w:p>
        </w:tc>
        <w:tc>
          <w:tcPr>
            <w:tcW w:w="1414" w:type="dxa"/>
            <w:tcBorders>
              <w:top w:val="nil"/>
              <w:left w:val="nil"/>
              <w:bottom w:val="single" w:color="auto" w:sz="4" w:space="0"/>
              <w:right w:val="single" w:color="auto" w:sz="4" w:space="0"/>
            </w:tcBorders>
            <w:noWrap/>
            <w:vAlign w:val="center"/>
          </w:tcPr>
          <w:p w14:paraId="520A8643">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何习之</w:t>
            </w:r>
          </w:p>
        </w:tc>
        <w:tc>
          <w:tcPr>
            <w:tcW w:w="2759" w:type="dxa"/>
            <w:tcBorders>
              <w:top w:val="nil"/>
              <w:left w:val="nil"/>
              <w:bottom w:val="single" w:color="auto" w:sz="4" w:space="0"/>
              <w:right w:val="single" w:color="auto" w:sz="4" w:space="0"/>
            </w:tcBorders>
            <w:noWrap w:val="0"/>
            <w:vAlign w:val="center"/>
          </w:tcPr>
          <w:p w14:paraId="3535B8DC">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18975347745 22987119</w:t>
            </w:r>
          </w:p>
        </w:tc>
      </w:tr>
      <w:tr w14:paraId="37E6584B">
        <w:tblPrEx>
          <w:tblCellMar>
            <w:top w:w="0" w:type="dxa"/>
            <w:left w:w="108" w:type="dxa"/>
            <w:bottom w:w="0" w:type="dxa"/>
            <w:right w:w="108" w:type="dxa"/>
          </w:tblCellMar>
        </w:tblPrEx>
        <w:trPr>
          <w:trHeight w:val="596" w:hRule="atLeast"/>
          <w:jc w:val="center"/>
        </w:trPr>
        <w:tc>
          <w:tcPr>
            <w:tcW w:w="953" w:type="dxa"/>
            <w:tcBorders>
              <w:top w:val="nil"/>
              <w:left w:val="single" w:color="auto" w:sz="4" w:space="0"/>
              <w:bottom w:val="single" w:color="auto" w:sz="4" w:space="0"/>
              <w:right w:val="nil"/>
            </w:tcBorders>
            <w:noWrap/>
            <w:vAlign w:val="center"/>
          </w:tcPr>
          <w:p w14:paraId="16ECF2E3">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11</w:t>
            </w:r>
          </w:p>
        </w:tc>
        <w:tc>
          <w:tcPr>
            <w:tcW w:w="3290" w:type="dxa"/>
            <w:tcBorders>
              <w:top w:val="nil"/>
              <w:left w:val="single" w:color="auto" w:sz="4" w:space="0"/>
              <w:bottom w:val="single" w:color="auto" w:sz="4" w:space="0"/>
              <w:right w:val="single" w:color="auto" w:sz="4" w:space="0"/>
            </w:tcBorders>
            <w:noWrap/>
            <w:vAlign w:val="center"/>
          </w:tcPr>
          <w:p w14:paraId="771FB50F">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浦发银行株洲分行</w:t>
            </w:r>
          </w:p>
        </w:tc>
        <w:tc>
          <w:tcPr>
            <w:tcW w:w="1414" w:type="dxa"/>
            <w:tcBorders>
              <w:top w:val="nil"/>
              <w:left w:val="nil"/>
              <w:bottom w:val="single" w:color="auto" w:sz="4" w:space="0"/>
              <w:right w:val="single" w:color="auto" w:sz="4" w:space="0"/>
            </w:tcBorders>
            <w:noWrap/>
            <w:vAlign w:val="center"/>
          </w:tcPr>
          <w:p w14:paraId="022C27A0">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言磊</w:t>
            </w:r>
          </w:p>
        </w:tc>
        <w:tc>
          <w:tcPr>
            <w:tcW w:w="2759" w:type="dxa"/>
            <w:tcBorders>
              <w:top w:val="nil"/>
              <w:left w:val="nil"/>
              <w:bottom w:val="single" w:color="auto" w:sz="4" w:space="0"/>
              <w:right w:val="single" w:color="auto" w:sz="4" w:space="0"/>
            </w:tcBorders>
            <w:noWrap w:val="0"/>
            <w:vAlign w:val="center"/>
          </w:tcPr>
          <w:p w14:paraId="662EA2EC">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13973319893</w:t>
            </w:r>
          </w:p>
        </w:tc>
      </w:tr>
      <w:tr w14:paraId="4833BA09">
        <w:tblPrEx>
          <w:tblCellMar>
            <w:top w:w="0" w:type="dxa"/>
            <w:left w:w="108" w:type="dxa"/>
            <w:bottom w:w="0" w:type="dxa"/>
            <w:right w:w="108" w:type="dxa"/>
          </w:tblCellMar>
        </w:tblPrEx>
        <w:trPr>
          <w:trHeight w:val="596" w:hRule="atLeast"/>
          <w:jc w:val="center"/>
        </w:trPr>
        <w:tc>
          <w:tcPr>
            <w:tcW w:w="953" w:type="dxa"/>
            <w:tcBorders>
              <w:top w:val="nil"/>
              <w:left w:val="single" w:color="auto" w:sz="4" w:space="0"/>
              <w:bottom w:val="single" w:color="auto" w:sz="4" w:space="0"/>
              <w:right w:val="nil"/>
            </w:tcBorders>
            <w:noWrap/>
            <w:vAlign w:val="center"/>
          </w:tcPr>
          <w:p w14:paraId="6ADE955B">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13</w:t>
            </w:r>
          </w:p>
        </w:tc>
        <w:tc>
          <w:tcPr>
            <w:tcW w:w="3290" w:type="dxa"/>
            <w:tcBorders>
              <w:top w:val="nil"/>
              <w:left w:val="single" w:color="auto" w:sz="4" w:space="0"/>
              <w:bottom w:val="single" w:color="auto" w:sz="4" w:space="0"/>
              <w:right w:val="single" w:color="auto" w:sz="4" w:space="0"/>
            </w:tcBorders>
            <w:noWrap/>
            <w:vAlign w:val="center"/>
          </w:tcPr>
          <w:p w14:paraId="45223690">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广发银行株洲分行</w:t>
            </w:r>
          </w:p>
        </w:tc>
        <w:tc>
          <w:tcPr>
            <w:tcW w:w="1414" w:type="dxa"/>
            <w:tcBorders>
              <w:top w:val="nil"/>
              <w:left w:val="nil"/>
              <w:bottom w:val="single" w:color="auto" w:sz="4" w:space="0"/>
              <w:right w:val="single" w:color="auto" w:sz="4" w:space="0"/>
            </w:tcBorders>
            <w:noWrap/>
            <w:vAlign w:val="center"/>
          </w:tcPr>
          <w:p w14:paraId="2BD1F2F8">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张琳</w:t>
            </w:r>
          </w:p>
        </w:tc>
        <w:tc>
          <w:tcPr>
            <w:tcW w:w="2759" w:type="dxa"/>
            <w:tcBorders>
              <w:top w:val="nil"/>
              <w:left w:val="nil"/>
              <w:bottom w:val="single" w:color="auto" w:sz="4" w:space="0"/>
              <w:right w:val="single" w:color="auto" w:sz="4" w:space="0"/>
            </w:tcBorders>
            <w:noWrap w:val="0"/>
            <w:vAlign w:val="center"/>
          </w:tcPr>
          <w:p w14:paraId="35721783">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18565608267 28868158</w:t>
            </w:r>
          </w:p>
        </w:tc>
      </w:tr>
      <w:tr w14:paraId="2109DB28">
        <w:tblPrEx>
          <w:tblCellMar>
            <w:top w:w="0" w:type="dxa"/>
            <w:left w:w="108" w:type="dxa"/>
            <w:bottom w:w="0" w:type="dxa"/>
            <w:right w:w="108" w:type="dxa"/>
          </w:tblCellMar>
        </w:tblPrEx>
        <w:trPr>
          <w:trHeight w:val="596" w:hRule="atLeast"/>
          <w:jc w:val="center"/>
        </w:trPr>
        <w:tc>
          <w:tcPr>
            <w:tcW w:w="953" w:type="dxa"/>
            <w:tcBorders>
              <w:top w:val="nil"/>
              <w:left w:val="single" w:color="auto" w:sz="4" w:space="0"/>
              <w:bottom w:val="single" w:color="auto" w:sz="4" w:space="0"/>
              <w:right w:val="nil"/>
            </w:tcBorders>
            <w:noWrap/>
            <w:vAlign w:val="center"/>
          </w:tcPr>
          <w:p w14:paraId="59E84BBD">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14</w:t>
            </w:r>
          </w:p>
        </w:tc>
        <w:tc>
          <w:tcPr>
            <w:tcW w:w="3290" w:type="dxa"/>
            <w:tcBorders>
              <w:top w:val="nil"/>
              <w:left w:val="single" w:color="auto" w:sz="4" w:space="0"/>
              <w:bottom w:val="single" w:color="auto" w:sz="4" w:space="0"/>
              <w:right w:val="single" w:color="auto" w:sz="4" w:space="0"/>
            </w:tcBorders>
            <w:noWrap/>
            <w:vAlign w:val="center"/>
          </w:tcPr>
          <w:p w14:paraId="1F4BBC19">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华夏银行株洲分行</w:t>
            </w:r>
          </w:p>
        </w:tc>
        <w:tc>
          <w:tcPr>
            <w:tcW w:w="1414" w:type="dxa"/>
            <w:tcBorders>
              <w:top w:val="nil"/>
              <w:left w:val="nil"/>
              <w:bottom w:val="single" w:color="auto" w:sz="4" w:space="0"/>
              <w:right w:val="single" w:color="auto" w:sz="4" w:space="0"/>
            </w:tcBorders>
            <w:noWrap/>
            <w:vAlign w:val="center"/>
          </w:tcPr>
          <w:p w14:paraId="329744AA">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程玥瑄</w:t>
            </w:r>
          </w:p>
        </w:tc>
        <w:tc>
          <w:tcPr>
            <w:tcW w:w="2759" w:type="dxa"/>
            <w:tcBorders>
              <w:top w:val="nil"/>
              <w:left w:val="nil"/>
              <w:bottom w:val="single" w:color="auto" w:sz="4" w:space="0"/>
              <w:right w:val="single" w:color="auto" w:sz="4" w:space="0"/>
            </w:tcBorders>
            <w:noWrap w:val="0"/>
            <w:vAlign w:val="center"/>
          </w:tcPr>
          <w:p w14:paraId="5FD07A77">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18673301515  28868595</w:t>
            </w:r>
          </w:p>
        </w:tc>
      </w:tr>
      <w:tr w14:paraId="673D4E32">
        <w:tblPrEx>
          <w:tblCellMar>
            <w:top w:w="0" w:type="dxa"/>
            <w:left w:w="108" w:type="dxa"/>
            <w:bottom w:w="0" w:type="dxa"/>
            <w:right w:w="108" w:type="dxa"/>
          </w:tblCellMar>
        </w:tblPrEx>
        <w:trPr>
          <w:trHeight w:val="596" w:hRule="atLeast"/>
          <w:jc w:val="center"/>
        </w:trPr>
        <w:tc>
          <w:tcPr>
            <w:tcW w:w="953" w:type="dxa"/>
            <w:tcBorders>
              <w:top w:val="nil"/>
              <w:left w:val="single" w:color="auto" w:sz="4" w:space="0"/>
              <w:bottom w:val="single" w:color="auto" w:sz="4" w:space="0"/>
              <w:right w:val="nil"/>
            </w:tcBorders>
            <w:noWrap/>
            <w:vAlign w:val="center"/>
          </w:tcPr>
          <w:p w14:paraId="0958E525">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15</w:t>
            </w:r>
          </w:p>
        </w:tc>
        <w:tc>
          <w:tcPr>
            <w:tcW w:w="3290" w:type="dxa"/>
            <w:tcBorders>
              <w:top w:val="nil"/>
              <w:left w:val="single" w:color="auto" w:sz="4" w:space="0"/>
              <w:bottom w:val="single" w:color="auto" w:sz="4" w:space="0"/>
              <w:right w:val="single" w:color="auto" w:sz="4" w:space="0"/>
            </w:tcBorders>
            <w:noWrap/>
            <w:vAlign w:val="center"/>
          </w:tcPr>
          <w:p w14:paraId="7AA9604D">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民生银行株洲分行</w:t>
            </w:r>
          </w:p>
        </w:tc>
        <w:tc>
          <w:tcPr>
            <w:tcW w:w="1414" w:type="dxa"/>
            <w:tcBorders>
              <w:top w:val="nil"/>
              <w:left w:val="nil"/>
              <w:bottom w:val="single" w:color="auto" w:sz="4" w:space="0"/>
              <w:right w:val="single" w:color="auto" w:sz="4" w:space="0"/>
            </w:tcBorders>
            <w:noWrap/>
            <w:vAlign w:val="center"/>
          </w:tcPr>
          <w:p w14:paraId="0F3C45FA">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刘海峰</w:t>
            </w:r>
          </w:p>
        </w:tc>
        <w:tc>
          <w:tcPr>
            <w:tcW w:w="2759" w:type="dxa"/>
            <w:tcBorders>
              <w:top w:val="nil"/>
              <w:left w:val="nil"/>
              <w:bottom w:val="single" w:color="auto" w:sz="4" w:space="0"/>
              <w:right w:val="single" w:color="auto" w:sz="4" w:space="0"/>
            </w:tcBorders>
            <w:noWrap w:val="0"/>
            <w:vAlign w:val="center"/>
          </w:tcPr>
          <w:p w14:paraId="47F90B58">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18273272755  28861002</w:t>
            </w:r>
          </w:p>
        </w:tc>
      </w:tr>
      <w:tr w14:paraId="664F5BA7">
        <w:tblPrEx>
          <w:tblCellMar>
            <w:top w:w="0" w:type="dxa"/>
            <w:left w:w="108" w:type="dxa"/>
            <w:bottom w:w="0" w:type="dxa"/>
            <w:right w:w="108" w:type="dxa"/>
          </w:tblCellMar>
        </w:tblPrEx>
        <w:trPr>
          <w:trHeight w:val="596" w:hRule="atLeast"/>
          <w:jc w:val="center"/>
        </w:trPr>
        <w:tc>
          <w:tcPr>
            <w:tcW w:w="953" w:type="dxa"/>
            <w:tcBorders>
              <w:top w:val="nil"/>
              <w:left w:val="single" w:color="auto" w:sz="4" w:space="0"/>
              <w:bottom w:val="single" w:color="auto" w:sz="4" w:space="0"/>
              <w:right w:val="nil"/>
            </w:tcBorders>
            <w:noWrap/>
            <w:vAlign w:val="center"/>
          </w:tcPr>
          <w:p w14:paraId="3C9A3DA0">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16</w:t>
            </w:r>
          </w:p>
        </w:tc>
        <w:tc>
          <w:tcPr>
            <w:tcW w:w="3290" w:type="dxa"/>
            <w:tcBorders>
              <w:top w:val="nil"/>
              <w:left w:val="single" w:color="auto" w:sz="4" w:space="0"/>
              <w:bottom w:val="single" w:color="auto" w:sz="4" w:space="0"/>
              <w:right w:val="single" w:color="auto" w:sz="4" w:space="0"/>
            </w:tcBorders>
            <w:noWrap/>
            <w:vAlign w:val="center"/>
          </w:tcPr>
          <w:p w14:paraId="33B01CA8">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北京银行株洲分行</w:t>
            </w:r>
          </w:p>
        </w:tc>
        <w:tc>
          <w:tcPr>
            <w:tcW w:w="1414" w:type="dxa"/>
            <w:tcBorders>
              <w:top w:val="nil"/>
              <w:left w:val="nil"/>
              <w:bottom w:val="single" w:color="auto" w:sz="4" w:space="0"/>
              <w:right w:val="single" w:color="auto" w:sz="4" w:space="0"/>
            </w:tcBorders>
            <w:noWrap/>
            <w:vAlign w:val="center"/>
          </w:tcPr>
          <w:p w14:paraId="01CE9E96">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曾艳</w:t>
            </w:r>
          </w:p>
        </w:tc>
        <w:tc>
          <w:tcPr>
            <w:tcW w:w="2759" w:type="dxa"/>
            <w:tcBorders>
              <w:top w:val="nil"/>
              <w:left w:val="nil"/>
              <w:bottom w:val="single" w:color="auto" w:sz="4" w:space="0"/>
              <w:right w:val="single" w:color="auto" w:sz="4" w:space="0"/>
            </w:tcBorders>
            <w:noWrap w:val="0"/>
            <w:vAlign w:val="center"/>
          </w:tcPr>
          <w:p w14:paraId="6A3173A0">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13087339502  25885569</w:t>
            </w:r>
          </w:p>
        </w:tc>
      </w:tr>
      <w:tr w14:paraId="58F69B86">
        <w:tblPrEx>
          <w:tblCellMar>
            <w:top w:w="0" w:type="dxa"/>
            <w:left w:w="108" w:type="dxa"/>
            <w:bottom w:w="0" w:type="dxa"/>
            <w:right w:w="108" w:type="dxa"/>
          </w:tblCellMar>
        </w:tblPrEx>
        <w:trPr>
          <w:trHeight w:val="607" w:hRule="atLeast"/>
          <w:jc w:val="center"/>
        </w:trPr>
        <w:tc>
          <w:tcPr>
            <w:tcW w:w="953" w:type="dxa"/>
            <w:tcBorders>
              <w:top w:val="nil"/>
              <w:left w:val="single" w:color="auto" w:sz="4" w:space="0"/>
              <w:bottom w:val="single" w:color="auto" w:sz="4" w:space="0"/>
              <w:right w:val="nil"/>
            </w:tcBorders>
            <w:noWrap/>
            <w:vAlign w:val="center"/>
          </w:tcPr>
          <w:p w14:paraId="134008B5">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17</w:t>
            </w:r>
          </w:p>
        </w:tc>
        <w:tc>
          <w:tcPr>
            <w:tcW w:w="3290" w:type="dxa"/>
            <w:tcBorders>
              <w:top w:val="nil"/>
              <w:left w:val="single" w:color="auto" w:sz="4" w:space="0"/>
              <w:bottom w:val="single" w:color="auto" w:sz="4" w:space="0"/>
              <w:right w:val="single" w:color="auto" w:sz="4" w:space="0"/>
            </w:tcBorders>
            <w:noWrap/>
            <w:vAlign w:val="center"/>
          </w:tcPr>
          <w:p w14:paraId="25109FFE">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招商银行株洲分行</w:t>
            </w:r>
          </w:p>
        </w:tc>
        <w:tc>
          <w:tcPr>
            <w:tcW w:w="1414" w:type="dxa"/>
            <w:tcBorders>
              <w:top w:val="nil"/>
              <w:left w:val="nil"/>
              <w:bottom w:val="single" w:color="auto" w:sz="4" w:space="0"/>
              <w:right w:val="single" w:color="auto" w:sz="4" w:space="0"/>
            </w:tcBorders>
            <w:noWrap/>
            <w:vAlign w:val="center"/>
          </w:tcPr>
          <w:p w14:paraId="4EB25C5B">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董经纬</w:t>
            </w:r>
          </w:p>
        </w:tc>
        <w:tc>
          <w:tcPr>
            <w:tcW w:w="2759" w:type="dxa"/>
            <w:tcBorders>
              <w:top w:val="nil"/>
              <w:left w:val="nil"/>
              <w:bottom w:val="single" w:color="auto" w:sz="4" w:space="0"/>
              <w:right w:val="single" w:color="auto" w:sz="4" w:space="0"/>
            </w:tcBorders>
            <w:noWrap w:val="0"/>
            <w:vAlign w:val="center"/>
          </w:tcPr>
          <w:p w14:paraId="481BED28">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18273331270   22753977</w:t>
            </w:r>
          </w:p>
        </w:tc>
      </w:tr>
    </w:tbl>
    <w:p w14:paraId="0A7ED512">
      <w:pPr>
        <w:rPr>
          <w:rFonts w:hint="eastAsia" w:ascii="宋体" w:hAnsi="宋体" w:eastAsia="宋体" w:cs="宋体"/>
          <w:color w:val="auto"/>
          <w:highlight w:val="none"/>
        </w:rPr>
      </w:pPr>
    </w:p>
    <w:p w14:paraId="6BF85500">
      <w:pPr>
        <w:pStyle w:val="10"/>
        <w:pageBreakBefore w:val="0"/>
        <w:widowControl w:val="0"/>
        <w:kinsoku/>
        <w:wordWrap/>
        <w:overflowPunct/>
        <w:topLinePunct w:val="0"/>
        <w:bidi w:val="0"/>
        <w:adjustRightInd/>
        <w:snapToGrid/>
        <w:spacing w:line="360" w:lineRule="auto"/>
        <w:jc w:val="center"/>
        <w:textAlignment w:val="auto"/>
        <w:rPr>
          <w:rFonts w:hint="eastAsia" w:ascii="宋体" w:hAnsi="宋体" w:eastAsia="宋体" w:cs="宋体"/>
          <w:color w:val="auto"/>
          <w:sz w:val="28"/>
          <w:szCs w:val="28"/>
          <w:highlight w:val="none"/>
        </w:rPr>
        <w:sectPr>
          <w:headerReference r:id="rId4" w:type="default"/>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p w14:paraId="33027E4B">
      <w:pPr>
        <w:adjustRightInd w:val="0"/>
        <w:snapToGrid w:val="0"/>
        <w:spacing w:line="360" w:lineRule="auto"/>
        <w:jc w:val="left"/>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附件4</w:t>
      </w:r>
    </w:p>
    <w:p w14:paraId="712C9BE3">
      <w:pPr>
        <w:adjustRightInd w:val="0"/>
        <w:snapToGrid w:val="0"/>
        <w:spacing w:line="360" w:lineRule="auto"/>
        <w:jc w:val="center"/>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政府采购投标担保函</w:t>
      </w:r>
    </w:p>
    <w:p w14:paraId="38C4E6FF">
      <w:pPr>
        <w:adjustRightInd w:val="0"/>
        <w:snapToGrid w:val="0"/>
        <w:spacing w:line="360" w:lineRule="auto"/>
        <w:ind w:firstLine="5670" w:firstLineChars="2700"/>
        <w:rPr>
          <w:rFonts w:hint="eastAsia" w:ascii="宋体" w:hAnsi="宋体" w:cs="宋体"/>
          <w:color w:val="auto"/>
          <w:kern w:val="0"/>
          <w:szCs w:val="21"/>
          <w:highlight w:val="none"/>
        </w:rPr>
      </w:pPr>
    </w:p>
    <w:p w14:paraId="07747495">
      <w:pPr>
        <w:adjustRightInd w:val="0"/>
        <w:snapToGrid w:val="0"/>
        <w:spacing w:line="360" w:lineRule="auto"/>
        <w:ind w:firstLine="5670" w:firstLineChars="2700"/>
        <w:rPr>
          <w:rFonts w:hint="eastAsia" w:ascii="宋体" w:hAnsi="宋体" w:cs="宋体"/>
          <w:color w:val="auto"/>
          <w:kern w:val="0"/>
          <w:szCs w:val="21"/>
          <w:highlight w:val="none"/>
          <w:u w:val="single"/>
        </w:rPr>
      </w:pPr>
      <w:r>
        <w:rPr>
          <w:rFonts w:hint="eastAsia" w:ascii="宋体" w:hAnsi="宋体" w:cs="宋体"/>
          <w:color w:val="auto"/>
          <w:kern w:val="0"/>
          <w:szCs w:val="21"/>
          <w:highlight w:val="none"/>
        </w:rPr>
        <w:t>编号：</w:t>
      </w:r>
    </w:p>
    <w:p w14:paraId="2204CC9B">
      <w:pPr>
        <w:adjustRightInd w:val="0"/>
        <w:snapToGrid w:val="0"/>
        <w:spacing w:line="360" w:lineRule="auto"/>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（采购代理机构）： </w:t>
      </w:r>
    </w:p>
    <w:p w14:paraId="483A2591">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鉴于（以下简称投标人）拟参加编号为的</w:t>
      </w:r>
    </w:p>
    <w:p w14:paraId="2542EE92">
      <w:pPr>
        <w:adjustRightInd w:val="0"/>
        <w:snapToGrid w:val="0"/>
        <w:spacing w:line="360" w:lineRule="auto"/>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项目（以下简称“本项目”）投标，根据本项目招标文件，供应商参加投标时应向你方交纳投标保证金，且可以投标担保函的形式交纳投标保证金。应供应商的申请，我方以保证的方式向你方提供如下投标保证金担保： </w:t>
      </w:r>
    </w:p>
    <w:p w14:paraId="0B570158">
      <w:pPr>
        <w:adjustRightInd w:val="0"/>
        <w:snapToGrid w:val="0"/>
        <w:spacing w:line="360" w:lineRule="auto"/>
        <w:ind w:firstLine="422" w:firstLineChars="200"/>
        <w:rPr>
          <w:rFonts w:hint="eastAsia" w:ascii="宋体" w:hAnsi="宋体" w:cs="宋体"/>
          <w:b/>
          <w:color w:val="auto"/>
          <w:kern w:val="0"/>
          <w:szCs w:val="21"/>
          <w:highlight w:val="none"/>
        </w:rPr>
      </w:pPr>
      <w:bookmarkStart w:id="12" w:name="_Toc23185_WPSOffice_Level2"/>
      <w:r>
        <w:rPr>
          <w:rFonts w:hint="eastAsia" w:ascii="宋体" w:hAnsi="宋体" w:cs="宋体"/>
          <w:b/>
          <w:color w:val="auto"/>
          <w:kern w:val="0"/>
          <w:szCs w:val="21"/>
          <w:highlight w:val="none"/>
        </w:rPr>
        <w:t>一、保证责任的情形及保证金额</w:t>
      </w:r>
      <w:bookmarkEnd w:id="12"/>
    </w:p>
    <w:p w14:paraId="010185E7">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（一）在投标人出现下列情形之一时，我方承担保证责任：</w:t>
      </w:r>
    </w:p>
    <w:p w14:paraId="71C31BD1">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1．中标后投标人无正当理由不与采购人或者采购代理机构签订《政府采购合同》；</w:t>
      </w:r>
    </w:p>
    <w:p w14:paraId="0699A27A">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2．招标文件规定的投标人应当缴纳保证金的其他情形。</w:t>
      </w:r>
    </w:p>
    <w:p w14:paraId="0BA7A9BC">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（二）我方承担保证责任的最高金额为人民币元（大写），即本项目的投标保证金金额。</w:t>
      </w:r>
    </w:p>
    <w:p w14:paraId="343CE91E">
      <w:pPr>
        <w:adjustRightInd w:val="0"/>
        <w:snapToGrid w:val="0"/>
        <w:spacing w:line="360" w:lineRule="auto"/>
        <w:ind w:firstLine="422" w:firstLineChars="200"/>
        <w:rPr>
          <w:rFonts w:hint="eastAsia" w:ascii="宋体" w:hAnsi="宋体" w:cs="宋体"/>
          <w:color w:val="auto"/>
          <w:kern w:val="0"/>
          <w:szCs w:val="21"/>
          <w:highlight w:val="none"/>
        </w:rPr>
      </w:pPr>
      <w:bookmarkStart w:id="13" w:name="_Toc19868_WPSOffice_Level2"/>
      <w:r>
        <w:rPr>
          <w:rFonts w:hint="eastAsia" w:ascii="宋体" w:hAnsi="宋体" w:cs="宋体"/>
          <w:b/>
          <w:color w:val="auto"/>
          <w:kern w:val="0"/>
          <w:szCs w:val="21"/>
          <w:highlight w:val="none"/>
        </w:rPr>
        <w:t>二、保证的方式及保证期间</w:t>
      </w:r>
      <w:bookmarkEnd w:id="13"/>
    </w:p>
    <w:p w14:paraId="2D7D1BA2">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我方保证的方式为：连带责任保证。 </w:t>
      </w:r>
    </w:p>
    <w:p w14:paraId="7EB185BB">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我方的保证期间为：自本保函生效之日起个月止。</w:t>
      </w:r>
    </w:p>
    <w:p w14:paraId="38BC4E23">
      <w:pPr>
        <w:adjustRightInd w:val="0"/>
        <w:snapToGrid w:val="0"/>
        <w:spacing w:line="360" w:lineRule="auto"/>
        <w:ind w:firstLine="422" w:firstLineChars="200"/>
        <w:rPr>
          <w:rFonts w:hint="eastAsia" w:ascii="宋体" w:hAnsi="宋体" w:cs="宋体"/>
          <w:b/>
          <w:color w:val="auto"/>
          <w:kern w:val="0"/>
          <w:szCs w:val="21"/>
          <w:highlight w:val="none"/>
        </w:rPr>
      </w:pPr>
      <w:bookmarkStart w:id="14" w:name="_Toc26036_WPSOffice_Level2"/>
      <w:r>
        <w:rPr>
          <w:rFonts w:hint="eastAsia" w:ascii="宋体" w:hAnsi="宋体" w:cs="宋体"/>
          <w:b/>
          <w:color w:val="auto"/>
          <w:kern w:val="0"/>
          <w:szCs w:val="21"/>
          <w:highlight w:val="none"/>
        </w:rPr>
        <w:t>三、承担保证责任的程序</w:t>
      </w:r>
      <w:bookmarkEnd w:id="14"/>
    </w:p>
    <w:p w14:paraId="05A9D753">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1．你方要求我方承担保证责任的，应在本保函保证期间内向我方发出书面索赔通知。索赔通知应写明要求索赔的金额，支付款项应到达的账号，并附有证明投标人发生我方应承担保证责任情形的事实材料。 </w:t>
      </w:r>
    </w:p>
    <w:p w14:paraId="2249EEB3">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2．我方在收到索赔通知及相关证明材料后，在个工作日内进行审查，符合应承担保证责任情形的，我方应按照你方的要求代投标人向你方支付投标保证金。 </w:t>
      </w:r>
    </w:p>
    <w:p w14:paraId="42B8D020">
      <w:pPr>
        <w:adjustRightInd w:val="0"/>
        <w:snapToGrid w:val="0"/>
        <w:spacing w:line="360" w:lineRule="auto"/>
        <w:ind w:firstLine="422" w:firstLineChars="200"/>
        <w:rPr>
          <w:rFonts w:hint="eastAsia" w:ascii="宋体" w:hAnsi="宋体" w:cs="宋体"/>
          <w:b/>
          <w:color w:val="auto"/>
          <w:kern w:val="0"/>
          <w:szCs w:val="21"/>
          <w:highlight w:val="none"/>
        </w:rPr>
      </w:pPr>
      <w:bookmarkStart w:id="15" w:name="_Toc22067_WPSOffice_Level2"/>
      <w:r>
        <w:rPr>
          <w:rFonts w:hint="eastAsia" w:ascii="宋体" w:hAnsi="宋体" w:cs="宋体"/>
          <w:b/>
          <w:color w:val="auto"/>
          <w:kern w:val="0"/>
          <w:szCs w:val="21"/>
          <w:highlight w:val="none"/>
        </w:rPr>
        <w:t>四、保证责任的终止</w:t>
      </w:r>
      <w:bookmarkEnd w:id="15"/>
    </w:p>
    <w:p w14:paraId="6CF7711C">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1．保证期间届满你方未向我方书面主张保证责任的，自保证期间届满次日起，我方保证责任自动终止。 </w:t>
      </w:r>
    </w:p>
    <w:p w14:paraId="19393F1C">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2．我方按照本保函向你方履行了保证责任后，自我方向你方支付款项（支付款项从我方账户划出）之日起，保证责任终止。 </w:t>
      </w:r>
    </w:p>
    <w:p w14:paraId="69A1E8F5">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3．按照法律法规的规定或出现我方保证责任终止的其它情形的，我方在本保函项下的保证责任亦终止。 </w:t>
      </w:r>
    </w:p>
    <w:p w14:paraId="2042825D">
      <w:pPr>
        <w:adjustRightInd w:val="0"/>
        <w:snapToGrid w:val="0"/>
        <w:spacing w:line="360" w:lineRule="auto"/>
        <w:ind w:firstLine="422" w:firstLineChars="200"/>
        <w:rPr>
          <w:rFonts w:hint="eastAsia" w:ascii="宋体" w:hAnsi="宋体" w:cs="宋体"/>
          <w:b/>
          <w:color w:val="auto"/>
          <w:kern w:val="0"/>
          <w:szCs w:val="21"/>
          <w:highlight w:val="none"/>
        </w:rPr>
      </w:pPr>
      <w:bookmarkStart w:id="16" w:name="_Toc29968_WPSOffice_Level2"/>
      <w:r>
        <w:rPr>
          <w:rFonts w:hint="eastAsia" w:ascii="宋体" w:hAnsi="宋体" w:cs="宋体"/>
          <w:b/>
          <w:color w:val="auto"/>
          <w:kern w:val="0"/>
          <w:szCs w:val="21"/>
          <w:highlight w:val="none"/>
        </w:rPr>
        <w:t>五、免责条款</w:t>
      </w:r>
      <w:bookmarkEnd w:id="16"/>
    </w:p>
    <w:p w14:paraId="4B947C13">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1．依照法律规定或你方与投标人的另行约定，全部或者部分免除投标人投标保证金义务时，我方亦免除相应的保证责任。</w:t>
      </w:r>
    </w:p>
    <w:p w14:paraId="66D68D07">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2．因你方原因致使投标人发生本保函第一条第（一）款约定情形的，我方不承担保证责任。</w:t>
      </w:r>
    </w:p>
    <w:p w14:paraId="6974B846">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3．因不可抗力造成投标人发生本保函第一条约定情形的，我方不承担保证责任。</w:t>
      </w:r>
    </w:p>
    <w:p w14:paraId="129DACB2">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4．你方或其他有权机关对招标文件进行任何澄清或修改，加重我方保证责任的，我方对加重部分不承担保证责任，但该澄清或修改经我方事先书面同意的除外。 </w:t>
      </w:r>
    </w:p>
    <w:p w14:paraId="49A72D5E">
      <w:pPr>
        <w:adjustRightInd w:val="0"/>
        <w:snapToGrid w:val="0"/>
        <w:spacing w:line="360" w:lineRule="auto"/>
        <w:ind w:firstLine="422" w:firstLineChars="200"/>
        <w:rPr>
          <w:rFonts w:hint="eastAsia" w:ascii="宋体" w:hAnsi="宋体" w:cs="宋体"/>
          <w:b/>
          <w:color w:val="auto"/>
          <w:kern w:val="0"/>
          <w:szCs w:val="21"/>
          <w:highlight w:val="none"/>
        </w:rPr>
      </w:pPr>
      <w:bookmarkStart w:id="17" w:name="_Toc14168_WPSOffice_Level2"/>
      <w:r>
        <w:rPr>
          <w:rFonts w:hint="eastAsia" w:ascii="宋体" w:hAnsi="宋体" w:cs="宋体"/>
          <w:b/>
          <w:color w:val="auto"/>
          <w:kern w:val="0"/>
          <w:szCs w:val="21"/>
          <w:highlight w:val="none"/>
        </w:rPr>
        <w:t>六、争议的解决</w:t>
      </w:r>
      <w:bookmarkEnd w:id="17"/>
    </w:p>
    <w:p w14:paraId="3A36E7C1">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因本保函发生的纠纷，由你我双方协商解决，如果协商不成的，通过诉讼程序解决，诉讼管辖地的法院为法院。</w:t>
      </w:r>
    </w:p>
    <w:p w14:paraId="033B768D">
      <w:pPr>
        <w:adjustRightInd w:val="0"/>
        <w:snapToGrid w:val="0"/>
        <w:spacing w:line="360" w:lineRule="auto"/>
        <w:ind w:firstLine="422" w:firstLineChars="200"/>
        <w:rPr>
          <w:rFonts w:hint="eastAsia" w:ascii="宋体" w:hAnsi="宋体" w:cs="宋体"/>
          <w:b/>
          <w:color w:val="auto"/>
          <w:kern w:val="0"/>
          <w:szCs w:val="21"/>
          <w:highlight w:val="none"/>
        </w:rPr>
      </w:pPr>
      <w:bookmarkStart w:id="18" w:name="_Toc1045_WPSOffice_Level2"/>
      <w:r>
        <w:rPr>
          <w:rFonts w:hint="eastAsia" w:ascii="宋体" w:hAnsi="宋体" w:cs="宋体"/>
          <w:b/>
          <w:color w:val="auto"/>
          <w:kern w:val="0"/>
          <w:szCs w:val="21"/>
          <w:highlight w:val="none"/>
        </w:rPr>
        <w:t>七、保函的生效</w:t>
      </w:r>
      <w:bookmarkEnd w:id="18"/>
    </w:p>
    <w:p w14:paraId="5981021B">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本保函自我方加盖公章之日起生效。</w:t>
      </w:r>
    </w:p>
    <w:p w14:paraId="65333505">
      <w:pPr>
        <w:adjustRightInd w:val="0"/>
        <w:snapToGrid w:val="0"/>
        <w:spacing w:line="360" w:lineRule="auto"/>
        <w:rPr>
          <w:rFonts w:hint="eastAsia" w:ascii="宋体" w:hAnsi="宋体" w:cs="宋体"/>
          <w:color w:val="auto"/>
          <w:kern w:val="0"/>
          <w:szCs w:val="21"/>
          <w:highlight w:val="none"/>
        </w:rPr>
      </w:pPr>
    </w:p>
    <w:p w14:paraId="4688E6F4">
      <w:pPr>
        <w:adjustRightInd w:val="0"/>
        <w:snapToGrid w:val="0"/>
        <w:spacing w:line="360" w:lineRule="auto"/>
        <w:ind w:firstLine="3780" w:firstLineChars="1800"/>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保证人：（公章）       </w:t>
      </w:r>
    </w:p>
    <w:p w14:paraId="5C1F3BBB">
      <w:pPr>
        <w:adjustRightInd w:val="0"/>
        <w:snapToGrid w:val="0"/>
        <w:spacing w:line="360" w:lineRule="auto"/>
        <w:jc w:val="righ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 年</w:t>
      </w:r>
      <w:r>
        <w:rPr>
          <w:rFonts w:hint="eastAsia" w:ascii="宋体" w:hAnsi="宋体" w:cs="宋体"/>
          <w:color w:val="auto"/>
          <w:kern w:val="0"/>
          <w:szCs w:val="21"/>
          <w:highlight w:val="none"/>
          <w:lang w:val="en-US" w:eastAsia="zh-CN"/>
        </w:rPr>
        <w:t xml:space="preserve"> </w:t>
      </w:r>
      <w:r>
        <w:rPr>
          <w:rFonts w:hint="eastAsia" w:ascii="宋体" w:hAnsi="宋体" w:cs="宋体"/>
          <w:color w:val="auto"/>
          <w:kern w:val="0"/>
          <w:szCs w:val="21"/>
          <w:highlight w:val="none"/>
        </w:rPr>
        <w:t>月</w:t>
      </w:r>
      <w:r>
        <w:rPr>
          <w:rFonts w:hint="eastAsia" w:ascii="宋体" w:hAnsi="宋体" w:cs="宋体"/>
          <w:color w:val="auto"/>
          <w:kern w:val="0"/>
          <w:szCs w:val="21"/>
          <w:highlight w:val="none"/>
          <w:lang w:val="en-US" w:eastAsia="zh-CN"/>
        </w:rPr>
        <w:t xml:space="preserve"> </w:t>
      </w:r>
      <w:r>
        <w:rPr>
          <w:rFonts w:hint="eastAsia" w:ascii="宋体" w:hAnsi="宋体" w:cs="宋体"/>
          <w:color w:val="auto"/>
          <w:kern w:val="0"/>
          <w:szCs w:val="21"/>
          <w:highlight w:val="none"/>
        </w:rPr>
        <w:t>日</w:t>
      </w:r>
    </w:p>
    <w:p w14:paraId="28257E9B">
      <w:pPr>
        <w:adjustRightInd w:val="0"/>
        <w:snapToGrid w:val="0"/>
        <w:spacing w:line="360" w:lineRule="auto"/>
        <w:rPr>
          <w:rFonts w:hint="eastAsia" w:ascii="宋体" w:hAnsi="宋体" w:cs="宋体"/>
          <w:color w:val="auto"/>
          <w:kern w:val="0"/>
          <w:szCs w:val="21"/>
          <w:highlight w:val="none"/>
        </w:rPr>
      </w:pPr>
    </w:p>
    <w:p w14:paraId="6D5BEC56">
      <w:pPr>
        <w:adjustRightInd w:val="0"/>
        <w:snapToGrid w:val="0"/>
        <w:spacing w:line="360" w:lineRule="auto"/>
        <w:rPr>
          <w:rFonts w:hint="eastAsia" w:ascii="宋体" w:hAnsi="宋体" w:cs="宋体"/>
          <w:color w:val="auto"/>
          <w:kern w:val="0"/>
          <w:szCs w:val="21"/>
          <w:highlight w:val="none"/>
        </w:rPr>
      </w:pPr>
    </w:p>
    <w:p w14:paraId="2532CF80">
      <w:pPr>
        <w:adjustRightInd w:val="0"/>
        <w:snapToGrid w:val="0"/>
        <w:spacing w:line="360" w:lineRule="auto"/>
        <w:rPr>
          <w:rFonts w:hint="eastAsia" w:ascii="宋体" w:hAnsi="宋体" w:cs="宋体"/>
          <w:color w:val="auto"/>
          <w:kern w:val="0"/>
          <w:szCs w:val="21"/>
          <w:highlight w:val="none"/>
        </w:rPr>
      </w:pPr>
    </w:p>
    <w:p w14:paraId="1CF0B680">
      <w:pPr>
        <w:rPr>
          <w:rFonts w:hint="eastAsia" w:ascii="宋体" w:hAnsi="宋体" w:cs="宋体"/>
          <w:color w:val="auto"/>
          <w:kern w:val="0"/>
          <w:szCs w:val="21"/>
          <w:highlight w:val="none"/>
        </w:rPr>
      </w:pPr>
      <w:r>
        <w:rPr>
          <w:rFonts w:hint="eastAsia" w:ascii="宋体" w:hAnsi="宋体" w:cs="宋体"/>
          <w:color w:val="auto"/>
          <w:kern w:val="0"/>
          <w:szCs w:val="21"/>
          <w:highlight w:val="none"/>
        </w:rPr>
        <w:t>备注：招标文件规定接受“投标担保函”形式递交投标保证金的可以按上述格式递交，否则，按招标文件规定其他方式递交。</w:t>
      </w:r>
    </w:p>
    <w:p w14:paraId="207C3B43">
      <w:pPr>
        <w:rPr>
          <w:rFonts w:hint="eastAsia" w:ascii="宋体" w:hAnsi="宋体" w:cs="宋体"/>
          <w:color w:val="auto"/>
          <w:kern w:val="0"/>
          <w:szCs w:val="21"/>
          <w:highlight w:val="none"/>
        </w:rPr>
      </w:pPr>
    </w:p>
    <w:p w14:paraId="4399F45C">
      <w:pPr>
        <w:rPr>
          <w:rFonts w:hint="eastAsia" w:ascii="宋体" w:hAnsi="宋体" w:cs="宋体"/>
          <w:color w:val="auto"/>
          <w:kern w:val="0"/>
          <w:szCs w:val="21"/>
          <w:highlight w:val="none"/>
        </w:rPr>
      </w:pPr>
    </w:p>
    <w:p w14:paraId="19BE82D9">
      <w:pPr>
        <w:rPr>
          <w:rFonts w:hint="eastAsia" w:ascii="宋体" w:hAnsi="宋体" w:cs="宋体"/>
          <w:color w:val="auto"/>
          <w:kern w:val="0"/>
          <w:szCs w:val="21"/>
          <w:highlight w:val="none"/>
        </w:rPr>
      </w:pPr>
    </w:p>
    <w:p w14:paraId="0F0A4A8A">
      <w:pPr>
        <w:adjustRightInd w:val="0"/>
        <w:snapToGrid w:val="0"/>
        <w:spacing w:line="360" w:lineRule="auto"/>
        <w:rPr>
          <w:rFonts w:hint="eastAsia" w:ascii="宋体" w:hAnsi="宋体" w:cs="宋体"/>
          <w:bCs/>
          <w:color w:val="auto"/>
          <w:szCs w:val="21"/>
          <w:highlight w:val="none"/>
        </w:rPr>
      </w:pPr>
      <w:r>
        <w:rPr>
          <w:rFonts w:hint="eastAsia" w:ascii="宋体" w:hAnsi="宋体" w:cs="宋体"/>
          <w:color w:val="auto"/>
          <w:szCs w:val="21"/>
          <w:highlight w:val="none"/>
        </w:rPr>
        <w:br w:type="page"/>
      </w:r>
      <w:r>
        <w:rPr>
          <w:rFonts w:hint="eastAsia" w:ascii="宋体" w:hAnsi="宋体" w:cs="宋体"/>
          <w:b/>
          <w:bCs/>
          <w:color w:val="auto"/>
          <w:sz w:val="32"/>
          <w:szCs w:val="32"/>
          <w:highlight w:val="none"/>
        </w:rPr>
        <w:t>附件5</w:t>
      </w:r>
    </w:p>
    <w:p w14:paraId="4499C519">
      <w:pPr>
        <w:adjustRightInd w:val="0"/>
        <w:snapToGrid w:val="0"/>
        <w:spacing w:line="360" w:lineRule="auto"/>
        <w:jc w:val="center"/>
        <w:rPr>
          <w:rFonts w:hint="eastAsia" w:ascii="宋体" w:hAnsi="宋体" w:cs="宋体"/>
          <w:color w:val="auto"/>
          <w:kern w:val="0"/>
          <w:szCs w:val="21"/>
          <w:highlight w:val="none"/>
        </w:rPr>
      </w:pPr>
      <w:r>
        <w:rPr>
          <w:rFonts w:hint="eastAsia" w:ascii="宋体" w:hAnsi="宋体" w:cs="宋体"/>
          <w:color w:val="auto"/>
          <w:kern w:val="0"/>
          <w:sz w:val="28"/>
          <w:szCs w:val="28"/>
          <w:highlight w:val="none"/>
        </w:rPr>
        <w:t>政府采购履约担保函</w:t>
      </w:r>
    </w:p>
    <w:p w14:paraId="516C349D">
      <w:pPr>
        <w:adjustRightInd w:val="0"/>
        <w:snapToGrid w:val="0"/>
        <w:spacing w:line="360" w:lineRule="auto"/>
        <w:ind w:firstLine="5040" w:firstLineChars="2400"/>
        <w:rPr>
          <w:rFonts w:hint="eastAsia" w:ascii="宋体" w:hAnsi="宋体" w:cs="宋体"/>
          <w:b/>
          <w:color w:val="auto"/>
          <w:kern w:val="0"/>
          <w:szCs w:val="21"/>
          <w:highlight w:val="none"/>
        </w:rPr>
      </w:pPr>
      <w:r>
        <w:rPr>
          <w:rFonts w:hint="eastAsia" w:ascii="宋体" w:hAnsi="宋体" w:cs="宋体"/>
          <w:color w:val="auto"/>
          <w:kern w:val="0"/>
          <w:szCs w:val="21"/>
          <w:highlight w:val="none"/>
        </w:rPr>
        <w:t xml:space="preserve">              编号：</w:t>
      </w:r>
    </w:p>
    <w:p w14:paraId="45BBBD3C">
      <w:pPr>
        <w:adjustRightInd w:val="0"/>
        <w:snapToGrid w:val="0"/>
        <w:spacing w:line="360" w:lineRule="auto"/>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（采购人）： </w:t>
      </w:r>
    </w:p>
    <w:p w14:paraId="2DC59751">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鉴于你方与（以下简称供应商）于年月日签定编号为的《政府采购合同》（以下简称主合同），且依据该合同的约定，供应商应在年月日前向你方交纳履约保证金，且可以履约担保函的形式交纳履约保证金。应供应商的申请，我方以保证的方式向你方提供如下履约保证金担保：</w:t>
      </w:r>
    </w:p>
    <w:p w14:paraId="0A324B32">
      <w:pPr>
        <w:adjustRightInd w:val="0"/>
        <w:snapToGrid w:val="0"/>
        <w:spacing w:line="360" w:lineRule="auto"/>
        <w:ind w:firstLine="422" w:firstLineChars="200"/>
        <w:rPr>
          <w:rFonts w:hint="eastAsia" w:ascii="宋体" w:hAnsi="宋体" w:cs="宋体"/>
          <w:b/>
          <w:color w:val="auto"/>
          <w:kern w:val="0"/>
          <w:szCs w:val="21"/>
          <w:highlight w:val="none"/>
        </w:rPr>
      </w:pPr>
      <w:bookmarkStart w:id="19" w:name="_Toc21137_WPSOffice_Level2"/>
      <w:r>
        <w:rPr>
          <w:rFonts w:hint="eastAsia" w:ascii="宋体" w:hAnsi="宋体" w:cs="宋体"/>
          <w:b/>
          <w:color w:val="auto"/>
          <w:kern w:val="0"/>
          <w:szCs w:val="21"/>
          <w:highlight w:val="none"/>
        </w:rPr>
        <w:t>一、保证责任的情形及保证金额</w:t>
      </w:r>
      <w:bookmarkEnd w:id="19"/>
    </w:p>
    <w:p w14:paraId="37805BCB">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（一）在供应商出现下列情形之一时，我方承担保证责任：</w:t>
      </w:r>
    </w:p>
    <w:p w14:paraId="54EE54FA">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1．将中标项目转让给他人，或者在投标文件中未说明，且未经采购人同意，将中标项目分包给他人的；</w:t>
      </w:r>
    </w:p>
    <w:p w14:paraId="750BD32C">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2．主合同约定的应当缴纳履约保证金的情形: </w:t>
      </w:r>
    </w:p>
    <w:p w14:paraId="42B3D8E5">
      <w:pPr>
        <w:adjustRightInd w:val="0"/>
        <w:snapToGrid w:val="0"/>
        <w:spacing w:line="360" w:lineRule="auto"/>
        <w:ind w:firstLine="420" w:firstLineChars="200"/>
        <w:rPr>
          <w:rFonts w:hint="eastAsia" w:ascii="宋体" w:hAnsi="宋体" w:cs="宋体"/>
          <w:b/>
          <w:color w:val="auto"/>
          <w:kern w:val="0"/>
          <w:szCs w:val="21"/>
          <w:highlight w:val="none"/>
        </w:rPr>
      </w:pPr>
      <w:r>
        <w:rPr>
          <w:rFonts w:hint="eastAsia" w:ascii="宋体" w:hAnsi="宋体" w:cs="宋体"/>
          <w:color w:val="auto"/>
          <w:kern w:val="0"/>
          <w:szCs w:val="21"/>
          <w:highlight w:val="none"/>
        </w:rPr>
        <w:t xml:space="preserve">（1）未按主合同约定的质量、数量和期限供应产品/提供服务/完成工程的； </w:t>
      </w:r>
    </w:p>
    <w:p w14:paraId="3A80D13F">
      <w:pPr>
        <w:adjustRightInd w:val="0"/>
        <w:snapToGrid w:val="0"/>
        <w:spacing w:line="360" w:lineRule="auto"/>
        <w:ind w:firstLine="420" w:firstLineChars="200"/>
        <w:rPr>
          <w:rFonts w:hint="eastAsia" w:ascii="宋体" w:hAnsi="宋体" w:cs="宋体"/>
          <w:color w:val="auto"/>
          <w:kern w:val="0"/>
          <w:szCs w:val="21"/>
          <w:highlight w:val="none"/>
          <w:u w:val="single"/>
        </w:rPr>
      </w:pPr>
      <w:r>
        <w:rPr>
          <w:rFonts w:hint="eastAsia" w:ascii="宋体" w:hAnsi="宋体" w:cs="宋体"/>
          <w:color w:val="auto"/>
          <w:kern w:val="0"/>
          <w:szCs w:val="21"/>
          <w:highlight w:val="none"/>
        </w:rPr>
        <w:t xml:space="preserve">（2）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w:t>
      </w:r>
    </w:p>
    <w:p w14:paraId="58EF0D94">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（二）我方的保证范围是主合同约定的合同价款总额的</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%数额为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元（大写），币种为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。（即主合同履约保证金金额）</w:t>
      </w:r>
    </w:p>
    <w:p w14:paraId="000AA363">
      <w:pPr>
        <w:adjustRightInd w:val="0"/>
        <w:snapToGrid w:val="0"/>
        <w:spacing w:line="360" w:lineRule="auto"/>
        <w:ind w:firstLine="422" w:firstLineChars="200"/>
        <w:rPr>
          <w:rFonts w:hint="eastAsia" w:ascii="宋体" w:hAnsi="宋体" w:cs="宋体"/>
          <w:b/>
          <w:color w:val="auto"/>
          <w:kern w:val="0"/>
          <w:szCs w:val="21"/>
          <w:highlight w:val="none"/>
        </w:rPr>
      </w:pPr>
      <w:bookmarkStart w:id="20" w:name="_Toc15035_WPSOffice_Level2"/>
      <w:r>
        <w:rPr>
          <w:rFonts w:hint="eastAsia" w:ascii="宋体" w:hAnsi="宋体" w:cs="宋体"/>
          <w:b/>
          <w:color w:val="auto"/>
          <w:kern w:val="0"/>
          <w:szCs w:val="21"/>
          <w:highlight w:val="none"/>
        </w:rPr>
        <w:t>二、保证的方式及保证期间</w:t>
      </w:r>
      <w:bookmarkEnd w:id="20"/>
    </w:p>
    <w:p w14:paraId="79971ACD">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我方保证的方式为：连带责任保证。 </w:t>
      </w:r>
    </w:p>
    <w:p w14:paraId="4A916261">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我方保证的期间为：自本合同生效之日起至供应商按照主合同约定的供货/完工期限届满后日内。</w:t>
      </w:r>
    </w:p>
    <w:p w14:paraId="4C95CFD0">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如果供应商未按主合同约定向贵方供应产品/提供服务/完成工程的，由我方在保证金额内向你方支付上述款项。</w:t>
      </w:r>
    </w:p>
    <w:p w14:paraId="5EFF088A">
      <w:pPr>
        <w:adjustRightInd w:val="0"/>
        <w:snapToGrid w:val="0"/>
        <w:spacing w:line="360" w:lineRule="auto"/>
        <w:ind w:firstLine="422" w:firstLineChars="200"/>
        <w:rPr>
          <w:rFonts w:hint="eastAsia" w:ascii="宋体" w:hAnsi="宋体" w:cs="宋体"/>
          <w:b/>
          <w:color w:val="auto"/>
          <w:kern w:val="0"/>
          <w:szCs w:val="21"/>
          <w:highlight w:val="none"/>
        </w:rPr>
      </w:pPr>
      <w:bookmarkStart w:id="21" w:name="_Toc29266_WPSOffice_Level2"/>
      <w:r>
        <w:rPr>
          <w:rFonts w:hint="eastAsia" w:ascii="宋体" w:hAnsi="宋体" w:cs="宋体"/>
          <w:b/>
          <w:color w:val="auto"/>
          <w:kern w:val="0"/>
          <w:szCs w:val="21"/>
          <w:highlight w:val="none"/>
        </w:rPr>
        <w:t>三、承担保证责任的程序</w:t>
      </w:r>
      <w:bookmarkEnd w:id="21"/>
    </w:p>
    <w:p w14:paraId="75F99D59">
      <w:pPr>
        <w:adjustRightInd w:val="0"/>
        <w:snapToGrid w:val="0"/>
        <w:spacing w:line="360" w:lineRule="auto"/>
        <w:ind w:firstLine="420" w:firstLineChars="200"/>
        <w:rPr>
          <w:rFonts w:hint="eastAsia" w:ascii="宋体" w:hAnsi="宋体" w:cs="宋体"/>
          <w:b/>
          <w:color w:val="auto"/>
          <w:kern w:val="0"/>
          <w:szCs w:val="21"/>
          <w:highlight w:val="none"/>
        </w:rPr>
      </w:pPr>
      <w:r>
        <w:rPr>
          <w:rFonts w:hint="eastAsia" w:ascii="宋体" w:hAnsi="宋体" w:cs="宋体"/>
          <w:color w:val="auto"/>
          <w:kern w:val="0"/>
          <w:szCs w:val="21"/>
          <w:highlight w:val="none"/>
        </w:rPr>
        <w:t xml:space="preserve">1．你方要求我方承担保证责任的，应在本保函保证期间内向我方发出书面索赔通知。索赔通知应写明要求索赔的金额，支付款项应到达的账号。并附有证明供应商违约事实的证明材料。 </w:t>
      </w:r>
    </w:p>
    <w:p w14:paraId="4D959DA0">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如果你方与供应商因产品质量问题产生争议，你方还需同时提供部门出具的质量检测报告，或经诉讼（仲裁）程序裁决后的裁决书、调解书，本保证人即按照检测结果或裁决书、调解书决定是否承担保证责任。</w:t>
      </w:r>
    </w:p>
    <w:p w14:paraId="3C1C02F6">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2．我方收到你方的书面索赔通知及相应证明材料，在工作日内进行核定后按照本保函的承诺承担保证责任。</w:t>
      </w:r>
    </w:p>
    <w:p w14:paraId="3BAFE304">
      <w:pPr>
        <w:adjustRightInd w:val="0"/>
        <w:snapToGrid w:val="0"/>
        <w:spacing w:line="360" w:lineRule="auto"/>
        <w:ind w:firstLine="422" w:firstLineChars="200"/>
        <w:rPr>
          <w:rFonts w:hint="eastAsia" w:ascii="宋体" w:hAnsi="宋体" w:cs="宋体"/>
          <w:b/>
          <w:color w:val="auto"/>
          <w:kern w:val="0"/>
          <w:szCs w:val="21"/>
          <w:highlight w:val="none"/>
        </w:rPr>
      </w:pPr>
      <w:bookmarkStart w:id="22" w:name="_Toc31353_WPSOffice_Level2"/>
      <w:r>
        <w:rPr>
          <w:rFonts w:hint="eastAsia" w:ascii="宋体" w:hAnsi="宋体" w:cs="宋体"/>
          <w:b/>
          <w:color w:val="auto"/>
          <w:kern w:val="0"/>
          <w:szCs w:val="21"/>
          <w:highlight w:val="none"/>
        </w:rPr>
        <w:t>四、保证责任的终止</w:t>
      </w:r>
      <w:bookmarkEnd w:id="22"/>
    </w:p>
    <w:p w14:paraId="64A07DBD">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1．保证期间届满你方未向我方书面主张保证责任的，自保证期间届满次日起，我方保证责任自动终止。保证期间届满前，主合同约定的产品\工程\服务全部验收合格的，自验收合格日起，我方保证责任自动终止。</w:t>
      </w:r>
    </w:p>
    <w:p w14:paraId="46D28C92">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2．我方按照本保函向你方履行了保证责任后，自我方向你方支付款项（支付款项从我方账户划出）之日起，保证责任即终止。</w:t>
      </w:r>
    </w:p>
    <w:p w14:paraId="277EC2C4">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3．按照法律法规的规定或出现应终止我方保证责任的其它情形的，我方在本保函项下的保证责任亦终止。</w:t>
      </w:r>
    </w:p>
    <w:p w14:paraId="361BAA83">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3154AD0F">
      <w:pPr>
        <w:adjustRightInd w:val="0"/>
        <w:snapToGrid w:val="0"/>
        <w:spacing w:line="360" w:lineRule="auto"/>
        <w:ind w:firstLine="422" w:firstLineChars="200"/>
        <w:rPr>
          <w:rFonts w:hint="eastAsia" w:ascii="宋体" w:hAnsi="宋体" w:cs="宋体"/>
          <w:b/>
          <w:color w:val="auto"/>
          <w:kern w:val="0"/>
          <w:szCs w:val="21"/>
          <w:highlight w:val="none"/>
        </w:rPr>
      </w:pPr>
      <w:bookmarkStart w:id="23" w:name="_Toc6060_WPSOffice_Level2"/>
      <w:r>
        <w:rPr>
          <w:rFonts w:hint="eastAsia" w:ascii="宋体" w:hAnsi="宋体" w:cs="宋体"/>
          <w:b/>
          <w:color w:val="auto"/>
          <w:kern w:val="0"/>
          <w:szCs w:val="21"/>
          <w:highlight w:val="none"/>
        </w:rPr>
        <w:t>五、免责条款</w:t>
      </w:r>
      <w:bookmarkEnd w:id="23"/>
    </w:p>
    <w:p w14:paraId="597FBD94">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1．因你方违反主合同约定致使供应商不能履行义务的，我方不承担保证责任。</w:t>
      </w:r>
    </w:p>
    <w:p w14:paraId="1D7748CA">
      <w:pPr>
        <w:adjustRightInd w:val="0"/>
        <w:snapToGrid w:val="0"/>
        <w:spacing w:line="360" w:lineRule="auto"/>
        <w:ind w:firstLine="420" w:firstLineChars="200"/>
        <w:rPr>
          <w:rFonts w:hint="eastAsia" w:ascii="宋体" w:hAnsi="宋体" w:cs="宋体"/>
          <w:b/>
          <w:color w:val="auto"/>
          <w:kern w:val="0"/>
          <w:szCs w:val="21"/>
          <w:highlight w:val="none"/>
        </w:rPr>
      </w:pPr>
      <w:r>
        <w:rPr>
          <w:rFonts w:hint="eastAsia" w:ascii="宋体" w:hAnsi="宋体" w:cs="宋体"/>
          <w:color w:val="auto"/>
          <w:kern w:val="0"/>
          <w:szCs w:val="21"/>
          <w:highlight w:val="none"/>
        </w:rPr>
        <w:t>2．依照法律法规的规定或你方与供应商的另行约定，全部或者部分免除供应商应缴纳的保证金义务的，我方亦免除相应的保证责任。</w:t>
      </w:r>
    </w:p>
    <w:p w14:paraId="5720CDE2">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3．因不可抗力造成供应商不能履行供货义务的，我方不承担保证责任。</w:t>
      </w:r>
    </w:p>
    <w:p w14:paraId="5A7CE475">
      <w:pPr>
        <w:adjustRightInd w:val="0"/>
        <w:snapToGrid w:val="0"/>
        <w:spacing w:line="360" w:lineRule="auto"/>
        <w:ind w:firstLine="422" w:firstLineChars="200"/>
        <w:rPr>
          <w:rFonts w:hint="eastAsia" w:ascii="宋体" w:hAnsi="宋体" w:cs="宋体"/>
          <w:b/>
          <w:color w:val="auto"/>
          <w:kern w:val="0"/>
          <w:szCs w:val="21"/>
          <w:highlight w:val="none"/>
        </w:rPr>
      </w:pPr>
      <w:bookmarkStart w:id="24" w:name="_Toc6096_WPSOffice_Level2"/>
      <w:r>
        <w:rPr>
          <w:rFonts w:hint="eastAsia" w:ascii="宋体" w:hAnsi="宋体" w:cs="宋体"/>
          <w:b/>
          <w:color w:val="auto"/>
          <w:kern w:val="0"/>
          <w:szCs w:val="21"/>
          <w:highlight w:val="none"/>
        </w:rPr>
        <w:t>六、争议的解决</w:t>
      </w:r>
      <w:bookmarkEnd w:id="24"/>
    </w:p>
    <w:p w14:paraId="1A3104A3">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因本保函发生的纠纷，由你我双方协商解决，协商不成的，通过诉讼程序解决，诉讼管辖地法院为法院。</w:t>
      </w:r>
    </w:p>
    <w:p w14:paraId="78E67599">
      <w:pPr>
        <w:adjustRightInd w:val="0"/>
        <w:snapToGrid w:val="0"/>
        <w:spacing w:line="360" w:lineRule="auto"/>
        <w:ind w:firstLine="422" w:firstLineChars="200"/>
        <w:rPr>
          <w:rFonts w:hint="eastAsia" w:ascii="宋体" w:hAnsi="宋体" w:cs="宋体"/>
          <w:b/>
          <w:color w:val="auto"/>
          <w:kern w:val="0"/>
          <w:szCs w:val="21"/>
          <w:highlight w:val="none"/>
        </w:rPr>
      </w:pPr>
      <w:bookmarkStart w:id="25" w:name="_Toc26142_WPSOffice_Level2"/>
      <w:r>
        <w:rPr>
          <w:rFonts w:hint="eastAsia" w:ascii="宋体" w:hAnsi="宋体" w:cs="宋体"/>
          <w:b/>
          <w:color w:val="auto"/>
          <w:kern w:val="0"/>
          <w:szCs w:val="21"/>
          <w:highlight w:val="none"/>
        </w:rPr>
        <w:t>七、保函的生效</w:t>
      </w:r>
      <w:bookmarkEnd w:id="25"/>
    </w:p>
    <w:p w14:paraId="19A2EF72">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本保函自我方加盖公章之日起生效。 </w:t>
      </w:r>
    </w:p>
    <w:p w14:paraId="65AE25F6">
      <w:pPr>
        <w:adjustRightInd w:val="0"/>
        <w:snapToGrid w:val="0"/>
        <w:spacing w:line="360" w:lineRule="auto"/>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                                                      保证人：（公章） </w:t>
      </w:r>
    </w:p>
    <w:p w14:paraId="34B711FF">
      <w:pPr>
        <w:adjustRightInd w:val="0"/>
        <w:snapToGrid w:val="0"/>
        <w:spacing w:line="360" w:lineRule="auto"/>
        <w:rPr>
          <w:rFonts w:hint="eastAsia" w:ascii="宋体" w:hAnsi="宋体" w:cs="宋体"/>
          <w:color w:val="auto"/>
          <w:kern w:val="0"/>
          <w:szCs w:val="21"/>
          <w:highlight w:val="none"/>
        </w:rPr>
      </w:pPr>
    </w:p>
    <w:p w14:paraId="5109D431">
      <w:pPr>
        <w:adjustRightInd w:val="0"/>
        <w:snapToGrid w:val="0"/>
        <w:spacing w:line="360" w:lineRule="auto"/>
        <w:ind w:firstLine="6090" w:firstLineChars="2900"/>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 年月 日 </w:t>
      </w:r>
    </w:p>
    <w:p w14:paraId="19DB9782">
      <w:pPr>
        <w:adjustRightInd w:val="0"/>
        <w:snapToGrid w:val="0"/>
        <w:spacing w:line="360" w:lineRule="auto"/>
        <w:ind w:firstLine="1050" w:firstLineChars="500"/>
        <w:rPr>
          <w:rFonts w:hint="eastAsia" w:ascii="宋体" w:hAnsi="宋体" w:cs="宋体"/>
          <w:color w:val="auto"/>
          <w:kern w:val="0"/>
          <w:szCs w:val="21"/>
          <w:highlight w:val="none"/>
        </w:rPr>
      </w:pPr>
    </w:p>
    <w:p w14:paraId="68D10A20">
      <w:pPr>
        <w:adjustRightInd w:val="0"/>
        <w:snapToGrid w:val="0"/>
        <w:spacing w:line="360" w:lineRule="auto"/>
        <w:ind w:left="420" w:leftChars="200"/>
        <w:jc w:val="left"/>
        <w:rPr>
          <w:rFonts w:hint="eastAsia" w:ascii="宋体" w:hAnsi="宋体" w:cs="宋体"/>
          <w:color w:val="auto"/>
          <w:szCs w:val="21"/>
          <w:highlight w:val="none"/>
        </w:rPr>
      </w:pPr>
    </w:p>
    <w:p w14:paraId="4289534F">
      <w:pPr>
        <w:rPr>
          <w:rFonts w:hint="eastAsia" w:ascii="宋体" w:hAnsi="宋体" w:cs="宋体"/>
          <w:color w:val="auto"/>
          <w:szCs w:val="21"/>
          <w:highlight w:val="none"/>
        </w:rPr>
      </w:pPr>
      <w:r>
        <w:rPr>
          <w:rFonts w:hint="eastAsia" w:ascii="宋体" w:hAnsi="宋体" w:cs="宋体"/>
          <w:color w:val="auto"/>
          <w:szCs w:val="21"/>
          <w:highlight w:val="none"/>
        </w:rPr>
        <w:br w:type="page"/>
      </w:r>
    </w:p>
    <w:p w14:paraId="75B3CE1C">
      <w:pPr>
        <w:pStyle w:val="10"/>
        <w:adjustRightInd w:val="0"/>
        <w:snapToGrid w:val="0"/>
        <w:spacing w:before="156" w:beforeLines="50"/>
        <w:jc w:val="center"/>
        <w:rPr>
          <w:rFonts w:ascii="黑体" w:hAnsi="黑体" w:eastAsia="黑体"/>
          <w:color w:val="auto"/>
          <w:sz w:val="28"/>
          <w:szCs w:val="28"/>
          <w:highlight w:val="none"/>
        </w:rPr>
      </w:pPr>
      <w:r>
        <w:rPr>
          <w:rFonts w:hint="eastAsia" w:ascii="黑体" w:hAnsi="黑体" w:eastAsia="黑体"/>
          <w:color w:val="auto"/>
          <w:sz w:val="28"/>
          <w:szCs w:val="28"/>
          <w:highlight w:val="none"/>
        </w:rPr>
        <w:t>第二节 投标须知</w:t>
      </w:r>
      <w:bookmarkEnd w:id="11"/>
    </w:p>
    <w:p w14:paraId="39EC1B3D">
      <w:pPr>
        <w:pStyle w:val="11"/>
        <w:adjustRightInd w:val="0"/>
        <w:snapToGrid w:val="0"/>
        <w:spacing w:before="156" w:beforeLines="50" w:after="0" w:line="360" w:lineRule="auto"/>
        <w:jc w:val="center"/>
        <w:rPr>
          <w:rFonts w:ascii="黑体" w:hAnsi="黑体" w:eastAsia="黑体"/>
          <w:b w:val="0"/>
          <w:color w:val="auto"/>
          <w:sz w:val="28"/>
          <w:szCs w:val="28"/>
          <w:highlight w:val="none"/>
        </w:rPr>
      </w:pPr>
      <w:bookmarkStart w:id="26" w:name="_Toc11204"/>
      <w:r>
        <w:rPr>
          <w:rFonts w:hint="eastAsia" w:ascii="黑体" w:hAnsi="黑体" w:eastAsia="黑体"/>
          <w:color w:val="auto"/>
          <w:sz w:val="28"/>
          <w:szCs w:val="28"/>
          <w:highlight w:val="none"/>
        </w:rPr>
        <w:t>一、总则</w:t>
      </w:r>
      <w:bookmarkEnd w:id="26"/>
    </w:p>
    <w:p w14:paraId="3CB873CF">
      <w:pPr>
        <w:adjustRightInd w:val="0"/>
        <w:snapToGrid w:val="0"/>
        <w:spacing w:before="156" w:beforeLines="50" w:line="360" w:lineRule="auto"/>
        <w:jc w:val="left"/>
        <w:rPr>
          <w:rFonts w:ascii="宋体" w:hAnsi="宋体"/>
          <w:b/>
          <w:bCs/>
          <w:color w:val="auto"/>
          <w:sz w:val="24"/>
          <w:highlight w:val="none"/>
        </w:rPr>
      </w:pPr>
      <w:r>
        <w:rPr>
          <w:rFonts w:hint="eastAsia" w:ascii="宋体" w:hAnsi="宋体"/>
          <w:b/>
          <w:bCs/>
          <w:color w:val="auto"/>
          <w:sz w:val="24"/>
          <w:highlight w:val="none"/>
        </w:rPr>
        <w:t>1. 适用范围</w:t>
      </w:r>
    </w:p>
    <w:p w14:paraId="14BC2583">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1.1本招标文件仅适用于本章第一节</w:t>
      </w:r>
      <w:r>
        <w:rPr>
          <w:rFonts w:hint="eastAsia" w:ascii="宋体" w:hAnsi="宋体"/>
          <w:b/>
          <w:bCs/>
          <w:color w:val="auto"/>
          <w:szCs w:val="21"/>
          <w:highlight w:val="none"/>
        </w:rPr>
        <w:t>【投标须知前附表】</w:t>
      </w:r>
      <w:r>
        <w:rPr>
          <w:rFonts w:hint="eastAsia" w:ascii="宋体" w:hAnsi="宋体"/>
          <w:color w:val="auto"/>
          <w:szCs w:val="21"/>
          <w:highlight w:val="none"/>
        </w:rPr>
        <w:t>中所叙述的采购项目。</w:t>
      </w:r>
    </w:p>
    <w:p w14:paraId="51B7BCAF">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1.2</w:t>
      </w:r>
      <w:r>
        <w:rPr>
          <w:rFonts w:hint="eastAsia" w:ascii="宋体" w:hAnsi="宋体"/>
          <w:b/>
          <w:color w:val="auto"/>
          <w:szCs w:val="21"/>
          <w:highlight w:val="none"/>
        </w:rPr>
        <w:t>【投标须知前附表】</w:t>
      </w:r>
      <w:r>
        <w:rPr>
          <w:rFonts w:hint="eastAsia" w:ascii="宋体" w:hAnsi="宋体"/>
          <w:color w:val="auto"/>
          <w:szCs w:val="21"/>
          <w:highlight w:val="none"/>
        </w:rPr>
        <w:t>规定采购项目或者采购包属于“预留采购份额”的，投标人应当符合本章第33.7款规定，否则，其</w:t>
      </w:r>
      <w:r>
        <w:rPr>
          <w:rFonts w:hint="eastAsia" w:ascii="宋体" w:hAnsi="宋体"/>
          <w:b/>
          <w:color w:val="auto"/>
          <w:szCs w:val="21"/>
          <w:highlight w:val="none"/>
        </w:rPr>
        <w:t>投标无效</w:t>
      </w:r>
      <w:r>
        <w:rPr>
          <w:rFonts w:hint="eastAsia" w:ascii="宋体" w:hAnsi="宋体"/>
          <w:color w:val="auto"/>
          <w:szCs w:val="21"/>
          <w:highlight w:val="none"/>
        </w:rPr>
        <w:t>。</w:t>
      </w:r>
    </w:p>
    <w:p w14:paraId="6EAD06D3">
      <w:pPr>
        <w:adjustRightInd w:val="0"/>
        <w:snapToGrid w:val="0"/>
        <w:spacing w:before="156" w:beforeLines="50" w:line="360" w:lineRule="auto"/>
        <w:jc w:val="left"/>
        <w:rPr>
          <w:rFonts w:ascii="宋体" w:hAnsi="宋体"/>
          <w:b/>
          <w:bCs/>
          <w:color w:val="auto"/>
          <w:sz w:val="24"/>
          <w:highlight w:val="none"/>
        </w:rPr>
      </w:pPr>
      <w:r>
        <w:rPr>
          <w:rFonts w:hint="eastAsia" w:ascii="宋体" w:hAnsi="宋体"/>
          <w:b/>
          <w:bCs/>
          <w:color w:val="auto"/>
          <w:sz w:val="24"/>
          <w:highlight w:val="none"/>
        </w:rPr>
        <w:t>2. 定义</w:t>
      </w:r>
    </w:p>
    <w:p w14:paraId="7C86FC95">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2.1采购项目联系人姓名和电话见</w:t>
      </w:r>
      <w:r>
        <w:rPr>
          <w:rFonts w:hint="eastAsia" w:ascii="宋体" w:hAnsi="宋体"/>
          <w:b/>
          <w:color w:val="auto"/>
          <w:szCs w:val="21"/>
          <w:highlight w:val="none"/>
        </w:rPr>
        <w:t>【投标须知前附表】</w:t>
      </w:r>
      <w:r>
        <w:rPr>
          <w:rFonts w:hint="eastAsia" w:ascii="宋体" w:hAnsi="宋体"/>
          <w:color w:val="auto"/>
          <w:szCs w:val="21"/>
          <w:highlight w:val="none"/>
        </w:rPr>
        <w:t>。</w:t>
      </w:r>
    </w:p>
    <w:p w14:paraId="0E97B84A">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2.2采购人名称、地址、电话、联系人见</w:t>
      </w:r>
      <w:r>
        <w:rPr>
          <w:rFonts w:hint="eastAsia" w:ascii="宋体" w:hAnsi="宋体"/>
          <w:b/>
          <w:color w:val="auto"/>
          <w:szCs w:val="21"/>
          <w:highlight w:val="none"/>
        </w:rPr>
        <w:t>【投标须知前附表】</w:t>
      </w:r>
      <w:r>
        <w:rPr>
          <w:rFonts w:hint="eastAsia" w:ascii="宋体" w:hAnsi="宋体"/>
          <w:color w:val="auto"/>
          <w:szCs w:val="21"/>
          <w:highlight w:val="none"/>
        </w:rPr>
        <w:t>。</w:t>
      </w:r>
    </w:p>
    <w:p w14:paraId="540B5A6E">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2.3采购代理机构名称、地址、电话、联系人见</w:t>
      </w:r>
      <w:r>
        <w:rPr>
          <w:rFonts w:hint="eastAsia" w:ascii="宋体" w:hAnsi="宋体"/>
          <w:b/>
          <w:color w:val="auto"/>
          <w:szCs w:val="21"/>
          <w:highlight w:val="none"/>
        </w:rPr>
        <w:t>【投标须知前附表】。</w:t>
      </w:r>
    </w:p>
    <w:p w14:paraId="7431A4CD">
      <w:pPr>
        <w:adjustRightInd w:val="0"/>
        <w:snapToGrid w:val="0"/>
        <w:spacing w:before="156" w:beforeLines="50" w:line="360" w:lineRule="auto"/>
        <w:ind w:firstLine="420" w:firstLineChars="200"/>
        <w:jc w:val="left"/>
        <w:rPr>
          <w:rFonts w:ascii="宋体" w:hAnsi="宋体"/>
          <w:b/>
          <w:color w:val="auto"/>
          <w:szCs w:val="21"/>
          <w:highlight w:val="none"/>
        </w:rPr>
      </w:pPr>
      <w:r>
        <w:rPr>
          <w:rFonts w:hint="eastAsia" w:ascii="宋体" w:hAnsi="宋体"/>
          <w:color w:val="auto"/>
          <w:szCs w:val="21"/>
          <w:highlight w:val="none"/>
        </w:rPr>
        <w:t>2.4投标人系指响应招标、参加投标竞争的法人、其他组织或自然人。</w:t>
      </w:r>
    </w:p>
    <w:p w14:paraId="56D12BF0">
      <w:pPr>
        <w:adjustRightInd w:val="0"/>
        <w:snapToGrid w:val="0"/>
        <w:spacing w:before="156" w:beforeLines="50" w:line="360" w:lineRule="auto"/>
        <w:jc w:val="left"/>
        <w:rPr>
          <w:rFonts w:ascii="宋体" w:hAnsi="宋体"/>
          <w:b/>
          <w:bCs/>
          <w:color w:val="auto"/>
          <w:sz w:val="24"/>
          <w:highlight w:val="none"/>
        </w:rPr>
      </w:pPr>
      <w:r>
        <w:rPr>
          <w:rFonts w:hint="eastAsia" w:ascii="宋体" w:hAnsi="宋体"/>
          <w:b/>
          <w:bCs/>
          <w:color w:val="auto"/>
          <w:sz w:val="24"/>
          <w:highlight w:val="none"/>
        </w:rPr>
        <w:t>3. 投标人的资格要求</w:t>
      </w:r>
    </w:p>
    <w:p w14:paraId="1004F508">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3.1投标人应当符合</w:t>
      </w:r>
      <w:r>
        <w:rPr>
          <w:rFonts w:hint="eastAsia" w:ascii="宋体" w:hAnsi="宋体"/>
          <w:b/>
          <w:color w:val="auto"/>
          <w:szCs w:val="21"/>
          <w:highlight w:val="none"/>
        </w:rPr>
        <w:t>【投标须知前附表】</w:t>
      </w:r>
      <w:r>
        <w:rPr>
          <w:rFonts w:hint="eastAsia" w:ascii="宋体" w:hAnsi="宋体"/>
          <w:color w:val="auto"/>
          <w:szCs w:val="21"/>
          <w:highlight w:val="none"/>
        </w:rPr>
        <w:t>规定的投标人资格条件。</w:t>
      </w:r>
    </w:p>
    <w:p w14:paraId="25AA70F6">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3.2</w:t>
      </w:r>
      <w:r>
        <w:rPr>
          <w:rFonts w:hint="eastAsia" w:ascii="宋体" w:hAnsi="宋体"/>
          <w:b/>
          <w:color w:val="auto"/>
          <w:szCs w:val="21"/>
          <w:highlight w:val="none"/>
        </w:rPr>
        <w:t>【投标须知前附表】</w:t>
      </w:r>
      <w:r>
        <w:rPr>
          <w:rFonts w:hint="eastAsia" w:ascii="宋体" w:hAnsi="宋体"/>
          <w:color w:val="auto"/>
          <w:szCs w:val="21"/>
          <w:highlight w:val="none"/>
        </w:rPr>
        <w:t>规定接受联合体形式投标的，投标人除应符合本章第3.1</w:t>
      </w:r>
      <w:r>
        <w:rPr>
          <w:rFonts w:hint="eastAsia" w:ascii="宋体" w:hAnsi="宋体" w:cs="宋体"/>
          <w:color w:val="auto"/>
          <w:kern w:val="0"/>
          <w:szCs w:val="21"/>
          <w:highlight w:val="none"/>
          <w:lang w:val="zh-CN"/>
        </w:rPr>
        <w:t>款</w:t>
      </w:r>
      <w:r>
        <w:rPr>
          <w:rFonts w:hint="eastAsia" w:ascii="宋体" w:hAnsi="宋体"/>
          <w:color w:val="auto"/>
          <w:szCs w:val="21"/>
          <w:highlight w:val="none"/>
        </w:rPr>
        <w:t xml:space="preserve">规定的资格条件外，还应遵守以下规定： </w:t>
      </w:r>
    </w:p>
    <w:p w14:paraId="61C9BAEF">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（l）联合体中有同类资质的供应商按照联合体分工承担相同工作的，应当按照资质等级较低的供应商确定资质等级。</w:t>
      </w:r>
    </w:p>
    <w:p w14:paraId="14D3B760">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（2）联合体各方应按招标文件提供的格式签订联合体协议书，明确联合体牵头人和各方的权利义务、合同工作量比例；</w:t>
      </w:r>
    </w:p>
    <w:p w14:paraId="492D6BD9">
      <w:pPr>
        <w:adjustRightInd w:val="0"/>
        <w:snapToGrid w:val="0"/>
        <w:spacing w:before="156" w:beforeLines="50" w:line="360" w:lineRule="auto"/>
        <w:ind w:firstLine="420" w:firstLineChars="200"/>
        <w:jc w:val="left"/>
        <w:rPr>
          <w:rFonts w:ascii="宋体" w:hAnsi="宋体" w:cs="宋体"/>
          <w:color w:val="auto"/>
          <w:kern w:val="0"/>
          <w:szCs w:val="21"/>
          <w:highlight w:val="none"/>
          <w:lang w:val="zh-CN"/>
        </w:rPr>
      </w:pPr>
      <w:r>
        <w:rPr>
          <w:rFonts w:hint="eastAsia" w:ascii="宋体" w:hAnsi="宋体"/>
          <w:color w:val="auto"/>
          <w:szCs w:val="21"/>
          <w:highlight w:val="none"/>
        </w:rPr>
        <w:t>（3）联合体各方签订联合体协议书后，</w:t>
      </w:r>
      <w:r>
        <w:rPr>
          <w:rFonts w:hint="eastAsia" w:ascii="宋体" w:hAnsi="宋体" w:cs="宋体"/>
          <w:color w:val="auto"/>
          <w:kern w:val="0"/>
          <w:szCs w:val="21"/>
          <w:highlight w:val="none"/>
          <w:lang w:val="zh-CN"/>
        </w:rPr>
        <w:t>不得再单独参加或者与其他投标人组成新的联合体参加同一合同项下的采购活动。</w:t>
      </w:r>
    </w:p>
    <w:p w14:paraId="2A293FCC">
      <w:pPr>
        <w:adjustRightInd w:val="0"/>
        <w:snapToGrid w:val="0"/>
        <w:spacing w:before="156" w:beforeLines="50" w:line="360" w:lineRule="auto"/>
        <w:jc w:val="left"/>
        <w:rPr>
          <w:rFonts w:ascii="宋体" w:hAnsi="宋体"/>
          <w:b/>
          <w:bCs/>
          <w:color w:val="auto"/>
          <w:sz w:val="24"/>
          <w:highlight w:val="none"/>
        </w:rPr>
      </w:pPr>
      <w:r>
        <w:rPr>
          <w:rFonts w:hint="eastAsia" w:ascii="宋体" w:hAnsi="宋体"/>
          <w:b/>
          <w:bCs/>
          <w:color w:val="auto"/>
          <w:sz w:val="24"/>
          <w:highlight w:val="none"/>
        </w:rPr>
        <w:t xml:space="preserve">4. 投标费用 </w:t>
      </w:r>
    </w:p>
    <w:p w14:paraId="19084B54">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4.1投标人应自行承担所有参与投标的相关费用，不论投标的结果如何，采购人、采购代理机构均无义务和责任承担这些费用。</w:t>
      </w:r>
    </w:p>
    <w:p w14:paraId="66FB5FEB">
      <w:pPr>
        <w:adjustRightInd w:val="0"/>
        <w:snapToGrid w:val="0"/>
        <w:spacing w:before="156" w:beforeLines="50" w:line="360" w:lineRule="auto"/>
        <w:jc w:val="left"/>
        <w:rPr>
          <w:rFonts w:ascii="宋体" w:hAnsi="宋体"/>
          <w:b/>
          <w:color w:val="auto"/>
          <w:sz w:val="24"/>
          <w:highlight w:val="none"/>
        </w:rPr>
      </w:pPr>
      <w:r>
        <w:rPr>
          <w:rFonts w:hint="eastAsia" w:ascii="宋体" w:hAnsi="宋体"/>
          <w:b/>
          <w:color w:val="auto"/>
          <w:sz w:val="24"/>
          <w:highlight w:val="none"/>
        </w:rPr>
        <w:t>5．组织现场考察或者召开答疑会</w:t>
      </w:r>
    </w:p>
    <w:p w14:paraId="4808AB9F">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highlight w:val="none"/>
        </w:rPr>
        <w:t>5.1采购人、采购代理机构可以在</w:t>
      </w:r>
      <w:r>
        <w:rPr>
          <w:rFonts w:hint="eastAsia" w:ascii="宋体" w:hAnsi="宋体"/>
          <w:b/>
          <w:color w:val="auto"/>
          <w:szCs w:val="21"/>
          <w:highlight w:val="none"/>
        </w:rPr>
        <w:t>【投标须知前附表】</w:t>
      </w:r>
      <w:r>
        <w:rPr>
          <w:rFonts w:hint="eastAsia" w:ascii="宋体" w:hAnsi="宋体"/>
          <w:color w:val="auto"/>
          <w:szCs w:val="21"/>
          <w:highlight w:val="none"/>
        </w:rPr>
        <w:t>规定的招标文件提供期限截止后，组织已获取招标文件的潜在投标人现场考察或者召开开标前答疑会。</w:t>
      </w:r>
    </w:p>
    <w:p w14:paraId="65D07552">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5.2获取招标文件的潜在投标人应按</w:t>
      </w:r>
      <w:r>
        <w:rPr>
          <w:rFonts w:hint="eastAsia" w:ascii="宋体" w:hAnsi="宋体"/>
          <w:b/>
          <w:color w:val="auto"/>
          <w:szCs w:val="21"/>
          <w:highlight w:val="none"/>
        </w:rPr>
        <w:t>【投标须知前附表】</w:t>
      </w:r>
      <w:r>
        <w:rPr>
          <w:rFonts w:hint="eastAsia" w:ascii="宋体" w:hAnsi="宋体"/>
          <w:color w:val="auto"/>
          <w:szCs w:val="21"/>
          <w:highlight w:val="none"/>
        </w:rPr>
        <w:t>规定参加现场考察或者答疑会；如不参加，其风险由其自行承担。</w:t>
      </w:r>
    </w:p>
    <w:p w14:paraId="7BDF6FB7">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5.3潜在投标人现场考察或者参加答疑会的费用由自己承担，现场考察期间所发生的人身伤害及财产损失由自己负责。</w:t>
      </w:r>
    </w:p>
    <w:p w14:paraId="18B490D5">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5.4采购人、采购代理机构不对投标人据此而做出的推论、理解和结论负责。投标人一旦中标，不得以任何借口，提出额外补偿，或延长合同期限的要求。</w:t>
      </w:r>
    </w:p>
    <w:p w14:paraId="38C135EC">
      <w:pPr>
        <w:pStyle w:val="11"/>
        <w:adjustRightInd w:val="0"/>
        <w:snapToGrid w:val="0"/>
        <w:spacing w:before="156" w:beforeLines="50" w:after="0" w:line="360" w:lineRule="auto"/>
        <w:jc w:val="center"/>
        <w:rPr>
          <w:rFonts w:ascii="黑体" w:hAnsi="黑体" w:eastAsia="黑体"/>
          <w:color w:val="auto"/>
          <w:sz w:val="28"/>
          <w:szCs w:val="28"/>
          <w:highlight w:val="none"/>
        </w:rPr>
      </w:pPr>
      <w:bookmarkStart w:id="27" w:name="_Toc5784"/>
      <w:r>
        <w:rPr>
          <w:rFonts w:hint="eastAsia" w:ascii="黑体" w:hAnsi="黑体" w:eastAsia="黑体"/>
          <w:color w:val="auto"/>
          <w:sz w:val="28"/>
          <w:szCs w:val="28"/>
          <w:highlight w:val="none"/>
        </w:rPr>
        <w:t>二、招标文件</w:t>
      </w:r>
      <w:bookmarkEnd w:id="27"/>
    </w:p>
    <w:p w14:paraId="6456DBAF">
      <w:pPr>
        <w:adjustRightInd w:val="0"/>
        <w:snapToGrid w:val="0"/>
        <w:spacing w:before="156" w:beforeLines="50" w:line="360" w:lineRule="auto"/>
        <w:jc w:val="left"/>
        <w:rPr>
          <w:rFonts w:ascii="宋体" w:hAnsi="宋体"/>
          <w:b/>
          <w:bCs/>
          <w:color w:val="auto"/>
          <w:sz w:val="24"/>
          <w:highlight w:val="none"/>
        </w:rPr>
      </w:pPr>
      <w:r>
        <w:rPr>
          <w:rFonts w:hint="eastAsia" w:ascii="宋体" w:hAnsi="宋体"/>
          <w:b/>
          <w:bCs/>
          <w:color w:val="auto"/>
          <w:sz w:val="24"/>
          <w:highlight w:val="none"/>
        </w:rPr>
        <w:t>6. 招标文件的构成</w:t>
      </w:r>
    </w:p>
    <w:p w14:paraId="28DAAD4B">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6.1 招标文件共七章，各章内容如下：</w:t>
      </w:r>
    </w:p>
    <w:p w14:paraId="505A3336">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第一章 投标邀请</w:t>
      </w:r>
    </w:p>
    <w:p w14:paraId="3196727D">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第二章 投标须知</w:t>
      </w:r>
    </w:p>
    <w:p w14:paraId="4E0C7C8F">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第三章 资格审查</w:t>
      </w:r>
    </w:p>
    <w:p w14:paraId="29C86A55">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第四章 评标方法及标准</w:t>
      </w:r>
    </w:p>
    <w:p w14:paraId="1A291A04">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第五章 采购需求</w:t>
      </w:r>
    </w:p>
    <w:p w14:paraId="2C4DF1B2">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第六章 政府采购合同</w:t>
      </w:r>
    </w:p>
    <w:p w14:paraId="197A488C">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第七章 投标文件的组成</w:t>
      </w:r>
    </w:p>
    <w:p w14:paraId="344B33D6">
      <w:pPr>
        <w:adjustRightInd w:val="0"/>
        <w:snapToGrid w:val="0"/>
        <w:spacing w:before="156" w:beforeLines="50" w:line="360" w:lineRule="auto"/>
        <w:ind w:firstLine="420" w:firstLineChars="200"/>
        <w:jc w:val="left"/>
        <w:rPr>
          <w:rFonts w:ascii="宋体" w:hAnsi="宋体" w:cs="宋体"/>
          <w:b/>
          <w:color w:val="auto"/>
          <w:szCs w:val="21"/>
          <w:highlight w:val="none"/>
        </w:rPr>
      </w:pPr>
      <w:r>
        <w:rPr>
          <w:rFonts w:hint="eastAsia" w:ascii="宋体" w:hAnsi="宋体"/>
          <w:color w:val="auto"/>
          <w:szCs w:val="21"/>
          <w:highlight w:val="none"/>
        </w:rPr>
        <w:t>6.2采购人、采购代理机构在提交投标文件截止时间前</w:t>
      </w:r>
      <w:r>
        <w:rPr>
          <w:rFonts w:hint="eastAsia" w:ascii="宋体" w:hAnsi="宋体" w:cs="宋体"/>
          <w:color w:val="auto"/>
          <w:szCs w:val="21"/>
          <w:highlight w:val="none"/>
        </w:rPr>
        <w:t>对招标文件所作的澄清或者修改，构成招标文件的组成部分。</w:t>
      </w:r>
    </w:p>
    <w:p w14:paraId="1B1F173B">
      <w:pPr>
        <w:adjustRightInd w:val="0"/>
        <w:snapToGrid w:val="0"/>
        <w:spacing w:before="156" w:beforeLines="50" w:line="360" w:lineRule="auto"/>
        <w:jc w:val="left"/>
        <w:rPr>
          <w:rFonts w:ascii="宋体" w:hAnsi="宋体"/>
          <w:b/>
          <w:color w:val="auto"/>
          <w:sz w:val="24"/>
          <w:highlight w:val="none"/>
        </w:rPr>
      </w:pPr>
      <w:r>
        <w:rPr>
          <w:rFonts w:hint="eastAsia" w:ascii="宋体" w:hAnsi="宋体"/>
          <w:b/>
          <w:color w:val="auto"/>
          <w:sz w:val="24"/>
          <w:highlight w:val="none"/>
        </w:rPr>
        <w:t>7．偏离与实质性响应</w:t>
      </w:r>
    </w:p>
    <w:p w14:paraId="741E3A85">
      <w:pPr>
        <w:adjustRightInd w:val="0"/>
        <w:snapToGrid w:val="0"/>
        <w:spacing w:before="156" w:beforeLines="50" w:line="360" w:lineRule="auto"/>
        <w:ind w:firstLine="420" w:firstLineChars="200"/>
        <w:rPr>
          <w:rFonts w:ascii="宋体" w:hAnsi="宋体"/>
          <w:color w:val="auto"/>
          <w:highlight w:val="none"/>
        </w:rPr>
      </w:pPr>
      <w:r>
        <w:rPr>
          <w:rFonts w:hint="eastAsia" w:ascii="宋体" w:hAnsi="宋体"/>
          <w:color w:val="auto"/>
          <w:highlight w:val="none"/>
        </w:rPr>
        <w:t>7.1投标人应当按照招标文件的要求编制投标文件。投标文件应当对招标文件提出的要求和条件作出明确响应。</w:t>
      </w:r>
    </w:p>
    <w:p w14:paraId="5B5259E1">
      <w:pPr>
        <w:adjustRightInd w:val="0"/>
        <w:snapToGrid w:val="0"/>
        <w:spacing w:before="156" w:beforeLines="50" w:line="360" w:lineRule="auto"/>
        <w:ind w:firstLine="420" w:firstLineChars="200"/>
        <w:rPr>
          <w:rFonts w:ascii="宋体" w:hAnsi="宋体"/>
          <w:color w:val="auto"/>
          <w:highlight w:val="none"/>
        </w:rPr>
      </w:pPr>
      <w:r>
        <w:rPr>
          <w:rFonts w:hint="eastAsia" w:ascii="宋体" w:hAnsi="宋体"/>
          <w:color w:val="auto"/>
          <w:highlight w:val="none"/>
        </w:rPr>
        <w:t>7.2偏离是指投标文件不响应或者不满足招标文件提出的要求和条件，分为实质性偏离和非实质性偏离。</w:t>
      </w:r>
    </w:p>
    <w:p w14:paraId="0F2D1BD5">
      <w:pPr>
        <w:adjustRightInd w:val="0"/>
        <w:snapToGrid w:val="0"/>
        <w:spacing w:before="156" w:beforeLines="50" w:line="360" w:lineRule="auto"/>
        <w:ind w:firstLine="420" w:firstLineChars="200"/>
        <w:rPr>
          <w:rFonts w:ascii="宋体" w:hAnsi="宋体"/>
          <w:color w:val="auto"/>
          <w:highlight w:val="none"/>
        </w:rPr>
      </w:pPr>
      <w:r>
        <w:rPr>
          <w:rFonts w:hint="eastAsia" w:ascii="宋体" w:hAnsi="宋体"/>
          <w:color w:val="auto"/>
          <w:highlight w:val="none"/>
        </w:rPr>
        <w:t>7.3除法律、法规和招标文件规定的其他投标无效情形外，招标文件中用“★”符号标明的条款为实质性要求和条件，对其中任何一条的偏离，为实质性偏离，</w:t>
      </w:r>
      <w:r>
        <w:rPr>
          <w:rFonts w:hint="eastAsia" w:ascii="宋体" w:hAnsi="宋体"/>
          <w:b/>
          <w:color w:val="auto"/>
          <w:highlight w:val="none"/>
        </w:rPr>
        <w:t>其投标无效</w:t>
      </w:r>
      <w:r>
        <w:rPr>
          <w:rFonts w:hint="eastAsia" w:ascii="宋体" w:hAnsi="宋体"/>
          <w:color w:val="auto"/>
          <w:highlight w:val="none"/>
        </w:rPr>
        <w:t>。</w:t>
      </w:r>
    </w:p>
    <w:p w14:paraId="21014D16">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7.4投标</w:t>
      </w:r>
      <w:r>
        <w:rPr>
          <w:rFonts w:hint="eastAsia" w:ascii="宋体" w:hAnsi="宋体"/>
          <w:color w:val="auto"/>
          <w:szCs w:val="21"/>
          <w:highlight w:val="none"/>
        </w:rPr>
        <w:t>文件偏离招标文件的非实质性要求和条件，为非实质性偏离。非实质性偏离的范围和幅度应当符合</w:t>
      </w:r>
      <w:r>
        <w:rPr>
          <w:rFonts w:hint="eastAsia" w:ascii="宋体" w:hAnsi="宋体"/>
          <w:b/>
          <w:color w:val="auto"/>
          <w:szCs w:val="21"/>
          <w:highlight w:val="none"/>
        </w:rPr>
        <w:t>【投标须知前附表】</w:t>
      </w:r>
      <w:r>
        <w:rPr>
          <w:rFonts w:hint="eastAsia" w:ascii="宋体" w:hAnsi="宋体"/>
          <w:color w:val="auto"/>
          <w:szCs w:val="21"/>
          <w:highlight w:val="none"/>
        </w:rPr>
        <w:t>的规定，</w:t>
      </w:r>
      <w:r>
        <w:rPr>
          <w:rFonts w:hint="eastAsia" w:ascii="宋体" w:hAnsi="宋体"/>
          <w:b/>
          <w:color w:val="auto"/>
          <w:szCs w:val="21"/>
          <w:highlight w:val="none"/>
        </w:rPr>
        <w:t>否</w:t>
      </w:r>
      <w:r>
        <w:rPr>
          <w:rFonts w:hint="eastAsia" w:ascii="宋体" w:hAnsi="宋体"/>
          <w:b/>
          <w:color w:val="auto"/>
          <w:highlight w:val="none"/>
        </w:rPr>
        <w:t>则投标无效</w:t>
      </w:r>
      <w:r>
        <w:rPr>
          <w:rFonts w:hint="eastAsia" w:ascii="宋体" w:hAnsi="宋体"/>
          <w:color w:val="auto"/>
          <w:highlight w:val="none"/>
        </w:rPr>
        <w:t>。</w:t>
      </w:r>
    </w:p>
    <w:p w14:paraId="3FA11887">
      <w:pPr>
        <w:adjustRightInd w:val="0"/>
        <w:snapToGrid w:val="0"/>
        <w:spacing w:before="156" w:beforeLines="50" w:line="360" w:lineRule="auto"/>
        <w:jc w:val="left"/>
        <w:rPr>
          <w:rFonts w:ascii="宋体" w:hAnsi="宋体"/>
          <w:b/>
          <w:bCs/>
          <w:color w:val="auto"/>
          <w:sz w:val="24"/>
          <w:highlight w:val="none"/>
        </w:rPr>
      </w:pPr>
      <w:r>
        <w:rPr>
          <w:rFonts w:hint="eastAsia" w:ascii="宋体" w:hAnsi="宋体"/>
          <w:b/>
          <w:color w:val="auto"/>
          <w:sz w:val="24"/>
          <w:highlight w:val="none"/>
        </w:rPr>
        <w:t>8. 询问</w:t>
      </w:r>
    </w:p>
    <w:p w14:paraId="3F0A9BF9">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8.1潜在投标人应仔细阅读和检查招标文件的全部内容。如有疑问，可以向采购人或者采购代理机构提出询问。</w:t>
      </w:r>
    </w:p>
    <w:p w14:paraId="45D882E2">
      <w:pPr>
        <w:adjustRightInd w:val="0"/>
        <w:snapToGrid w:val="0"/>
        <w:spacing w:before="156" w:beforeLines="50" w:line="360" w:lineRule="auto"/>
        <w:jc w:val="left"/>
        <w:rPr>
          <w:rFonts w:ascii="宋体" w:hAnsi="宋体"/>
          <w:b/>
          <w:bCs/>
          <w:color w:val="auto"/>
          <w:sz w:val="24"/>
          <w:highlight w:val="none"/>
        </w:rPr>
      </w:pPr>
      <w:r>
        <w:rPr>
          <w:rFonts w:hint="eastAsia" w:ascii="宋体" w:hAnsi="宋体"/>
          <w:b/>
          <w:bCs/>
          <w:color w:val="auto"/>
          <w:sz w:val="24"/>
          <w:highlight w:val="none"/>
        </w:rPr>
        <w:t>9. 招标文件的澄清或者修改</w:t>
      </w:r>
    </w:p>
    <w:p w14:paraId="4BBDC45C">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9.1采购人、采购代理机构对已发出的招标文件进行必要澄清或者修改的，将在</w:t>
      </w:r>
      <w:r>
        <w:rPr>
          <w:rFonts w:hint="eastAsia" w:ascii="宋体" w:hAnsi="宋体"/>
          <w:b/>
          <w:color w:val="auto"/>
          <w:szCs w:val="21"/>
          <w:highlight w:val="none"/>
        </w:rPr>
        <w:t>【投标须知前附表】</w:t>
      </w:r>
      <w:r>
        <w:rPr>
          <w:rFonts w:hint="eastAsia" w:ascii="宋体" w:hAnsi="宋体"/>
          <w:color w:val="auto"/>
          <w:szCs w:val="21"/>
          <w:highlight w:val="none"/>
        </w:rPr>
        <w:t>规定的</w:t>
      </w:r>
      <w:r>
        <w:rPr>
          <w:rFonts w:hint="eastAsia" w:ascii="宋体" w:hAnsi="宋体"/>
          <w:color w:val="auto"/>
          <w:highlight w:val="none"/>
        </w:rPr>
        <w:t>招标公告指定媒体上发布澄清或者修改公告。</w:t>
      </w:r>
    </w:p>
    <w:p w14:paraId="2165E5AF">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s="宋体"/>
          <w:color w:val="auto"/>
          <w:kern w:val="0"/>
          <w:szCs w:val="21"/>
          <w:highlight w:val="none"/>
        </w:rPr>
        <w:t>9.2澄清或者修改</w:t>
      </w:r>
      <w:r>
        <w:rPr>
          <w:rFonts w:hint="eastAsia" w:ascii="宋体" w:hAnsi="宋体"/>
          <w:color w:val="auto"/>
          <w:highlight w:val="none"/>
        </w:rPr>
        <w:t>的</w:t>
      </w:r>
      <w:r>
        <w:rPr>
          <w:rFonts w:hint="eastAsia" w:ascii="宋体" w:hAnsi="宋体" w:cs="宋体"/>
          <w:color w:val="auto"/>
          <w:kern w:val="0"/>
          <w:szCs w:val="21"/>
          <w:highlight w:val="none"/>
        </w:rPr>
        <w:t>内容可能影响投标文件编制的，采购人、采购代理机构</w:t>
      </w:r>
      <w:r>
        <w:rPr>
          <w:rFonts w:hint="eastAsia" w:ascii="宋体" w:hAnsi="宋体"/>
          <w:color w:val="auto"/>
          <w:highlight w:val="none"/>
        </w:rPr>
        <w:t>将</w:t>
      </w:r>
      <w:r>
        <w:rPr>
          <w:rFonts w:hint="eastAsia" w:ascii="宋体" w:hAnsi="宋体" w:cs="宋体"/>
          <w:color w:val="auto"/>
          <w:kern w:val="0"/>
          <w:szCs w:val="21"/>
          <w:highlight w:val="none"/>
        </w:rPr>
        <w:t>在提交投标文件截止时间15日前，</w:t>
      </w:r>
      <w:r>
        <w:rPr>
          <w:rFonts w:hint="eastAsia" w:ascii="宋体" w:hAnsi="宋体"/>
          <w:color w:val="auto"/>
          <w:highlight w:val="none"/>
        </w:rPr>
        <w:t>以书面形式通知所有获取招标文件的潜在投标人；不足15日的，将相应延长提交投标文件的截止时间。</w:t>
      </w:r>
    </w:p>
    <w:p w14:paraId="41B5F1CE">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9</w:t>
      </w:r>
      <w:r>
        <w:rPr>
          <w:rFonts w:ascii="宋体" w:hAnsi="宋体"/>
          <w:color w:val="auto"/>
          <w:highlight w:val="none"/>
        </w:rPr>
        <w:t>.3</w:t>
      </w:r>
      <w:r>
        <w:rPr>
          <w:rFonts w:hint="eastAsia" w:ascii="宋体" w:hAnsi="宋体"/>
          <w:color w:val="auto"/>
          <w:highlight w:val="none"/>
        </w:rPr>
        <w:t>招标文件的提供期限届满后，获取招标文件的潜在投标人不足3家的，可以顺延提供期限，并在指定媒体上发布修改公告。</w:t>
      </w:r>
    </w:p>
    <w:p w14:paraId="4A8E7EDB">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9.4 通过电子招标投标交易平台下载招标文件的，请获取招标文件的潜在投标人及时关注</w:t>
      </w:r>
      <w:r>
        <w:rPr>
          <w:rFonts w:hint="eastAsia" w:ascii="宋体" w:hAnsi="宋体"/>
          <w:color w:val="auto"/>
          <w:szCs w:val="21"/>
          <w:highlight w:val="none"/>
        </w:rPr>
        <w:t>招标公告指定媒体</w:t>
      </w:r>
      <w:r>
        <w:rPr>
          <w:rFonts w:hint="eastAsia" w:ascii="宋体" w:hAnsi="宋体"/>
          <w:color w:val="auto"/>
          <w:highlight w:val="none"/>
        </w:rPr>
        <w:t>发布的澄清或者修改公告，采购人、采购代理机构不再书面通知。</w:t>
      </w:r>
    </w:p>
    <w:p w14:paraId="71F43F42">
      <w:pPr>
        <w:pStyle w:val="11"/>
        <w:adjustRightInd w:val="0"/>
        <w:snapToGrid w:val="0"/>
        <w:spacing w:before="156" w:beforeLines="50" w:after="0" w:line="360" w:lineRule="auto"/>
        <w:jc w:val="center"/>
        <w:rPr>
          <w:rFonts w:ascii="黑体" w:hAnsi="黑体" w:eastAsia="黑体"/>
          <w:color w:val="auto"/>
          <w:sz w:val="28"/>
          <w:szCs w:val="28"/>
          <w:highlight w:val="none"/>
        </w:rPr>
      </w:pPr>
      <w:bookmarkStart w:id="28" w:name="_Toc23525"/>
      <w:r>
        <w:rPr>
          <w:rFonts w:hint="eastAsia" w:ascii="黑体" w:hAnsi="黑体" w:eastAsia="黑体"/>
          <w:color w:val="auto"/>
          <w:sz w:val="28"/>
          <w:szCs w:val="28"/>
          <w:highlight w:val="none"/>
        </w:rPr>
        <w:t>三、投标文件</w:t>
      </w:r>
      <w:bookmarkEnd w:id="28"/>
    </w:p>
    <w:p w14:paraId="7CDD34BE">
      <w:pPr>
        <w:adjustRightInd w:val="0"/>
        <w:snapToGrid w:val="0"/>
        <w:spacing w:before="156" w:beforeLines="50" w:line="360" w:lineRule="auto"/>
        <w:jc w:val="left"/>
        <w:rPr>
          <w:rFonts w:ascii="宋体" w:hAnsi="宋体"/>
          <w:b/>
          <w:bCs/>
          <w:color w:val="auto"/>
          <w:sz w:val="24"/>
          <w:highlight w:val="none"/>
        </w:rPr>
      </w:pPr>
      <w:r>
        <w:rPr>
          <w:rFonts w:hint="eastAsia" w:ascii="宋体" w:hAnsi="宋体"/>
          <w:b/>
          <w:bCs/>
          <w:color w:val="auto"/>
          <w:sz w:val="24"/>
          <w:highlight w:val="none"/>
        </w:rPr>
        <w:t>10. 投标语言</w:t>
      </w:r>
    </w:p>
    <w:p w14:paraId="778C0032">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10.1除专用术语外，投标人提交的投标文件及投标人与采购人、采购代理机构就有关投标的所有来往函电均使用中文。投标人可以提交其它语言的资料，但应附有中文注释，有差异时以中文为准。</w:t>
      </w:r>
    </w:p>
    <w:p w14:paraId="1E066621">
      <w:pPr>
        <w:adjustRightInd w:val="0"/>
        <w:snapToGrid w:val="0"/>
        <w:spacing w:before="156" w:beforeLines="50" w:line="360" w:lineRule="auto"/>
        <w:jc w:val="left"/>
        <w:rPr>
          <w:rFonts w:ascii="宋体" w:hAnsi="宋体"/>
          <w:b/>
          <w:color w:val="auto"/>
          <w:sz w:val="24"/>
          <w:highlight w:val="none"/>
        </w:rPr>
      </w:pPr>
      <w:r>
        <w:rPr>
          <w:rFonts w:hint="eastAsia" w:ascii="宋体" w:hAnsi="宋体"/>
          <w:b/>
          <w:bCs/>
          <w:color w:val="auto"/>
          <w:sz w:val="24"/>
          <w:highlight w:val="none"/>
        </w:rPr>
        <w:t xml:space="preserve">11. </w:t>
      </w:r>
      <w:r>
        <w:rPr>
          <w:rFonts w:hint="eastAsia" w:ascii="宋体" w:hAnsi="宋体"/>
          <w:b/>
          <w:color w:val="auto"/>
          <w:sz w:val="24"/>
          <w:highlight w:val="none"/>
        </w:rPr>
        <w:t>计量单位</w:t>
      </w:r>
    </w:p>
    <w:p w14:paraId="6928D8CD">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11.1所有计量均采用中华人民共和国法定计量单位。</w:t>
      </w:r>
    </w:p>
    <w:p w14:paraId="4105C38B">
      <w:pPr>
        <w:adjustRightInd w:val="0"/>
        <w:snapToGrid w:val="0"/>
        <w:spacing w:before="156" w:beforeLines="50" w:line="360" w:lineRule="auto"/>
        <w:jc w:val="left"/>
        <w:rPr>
          <w:rFonts w:ascii="宋体" w:hAnsi="宋体"/>
          <w:b/>
          <w:bCs/>
          <w:color w:val="auto"/>
          <w:sz w:val="24"/>
          <w:highlight w:val="none"/>
        </w:rPr>
      </w:pPr>
      <w:r>
        <w:rPr>
          <w:rFonts w:hint="eastAsia" w:ascii="宋体" w:hAnsi="宋体"/>
          <w:b/>
          <w:color w:val="auto"/>
          <w:sz w:val="24"/>
          <w:highlight w:val="none"/>
        </w:rPr>
        <w:t xml:space="preserve">12. </w:t>
      </w:r>
      <w:r>
        <w:rPr>
          <w:rFonts w:hint="eastAsia" w:ascii="宋体" w:hAnsi="宋体"/>
          <w:b/>
          <w:bCs/>
          <w:color w:val="auto"/>
          <w:sz w:val="24"/>
          <w:highlight w:val="none"/>
        </w:rPr>
        <w:t>投标文件的组成</w:t>
      </w:r>
    </w:p>
    <w:p w14:paraId="7800BCA0">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12.1投标文件由如下内容组成：</w:t>
      </w:r>
    </w:p>
    <w:p w14:paraId="1201B7DB">
      <w:pPr>
        <w:adjustRightInd w:val="0"/>
        <w:snapToGrid w:val="0"/>
        <w:spacing w:before="156" w:beforeLines="50" w:line="360" w:lineRule="auto"/>
        <w:ind w:firstLine="422" w:firstLineChars="200"/>
        <w:jc w:val="left"/>
        <w:rPr>
          <w:rFonts w:ascii="宋体" w:hAnsi="宋体"/>
          <w:b/>
          <w:color w:val="auto"/>
          <w:szCs w:val="21"/>
          <w:highlight w:val="none"/>
        </w:rPr>
      </w:pPr>
      <w:r>
        <w:rPr>
          <w:rFonts w:hint="eastAsia" w:ascii="宋体" w:hAnsi="宋体"/>
          <w:b/>
          <w:color w:val="auto"/>
          <w:szCs w:val="21"/>
          <w:highlight w:val="none"/>
        </w:rPr>
        <w:t>第一部分 资格证明文件</w:t>
      </w:r>
    </w:p>
    <w:p w14:paraId="1C04876E">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（1）开标一览表</w:t>
      </w:r>
    </w:p>
    <w:p w14:paraId="2CE3B952">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（2）投标保</w:t>
      </w:r>
      <w:r>
        <w:rPr>
          <w:rFonts w:hint="eastAsia" w:ascii="宋体" w:hAnsi="宋体"/>
          <w:bCs/>
          <w:color w:val="auto"/>
          <w:szCs w:val="21"/>
          <w:highlight w:val="none"/>
        </w:rPr>
        <w:t>证金</w:t>
      </w:r>
    </w:p>
    <w:p w14:paraId="3FDB2113">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（3）授权委托书</w:t>
      </w:r>
    </w:p>
    <w:p w14:paraId="6DEBC8CB">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（4）投标人提供的资格证明文件</w:t>
      </w:r>
    </w:p>
    <w:p w14:paraId="1A5A3D27">
      <w:pPr>
        <w:adjustRightInd w:val="0"/>
        <w:snapToGrid w:val="0"/>
        <w:spacing w:before="156" w:beforeLines="50" w:line="360" w:lineRule="auto"/>
        <w:ind w:firstLine="422" w:firstLineChars="200"/>
        <w:jc w:val="left"/>
        <w:rPr>
          <w:rFonts w:ascii="宋体" w:hAnsi="宋体"/>
          <w:b/>
          <w:color w:val="auto"/>
          <w:szCs w:val="21"/>
          <w:highlight w:val="none"/>
        </w:rPr>
      </w:pPr>
      <w:r>
        <w:rPr>
          <w:rFonts w:hint="eastAsia" w:ascii="宋体" w:hAnsi="宋体"/>
          <w:b/>
          <w:color w:val="auto"/>
          <w:szCs w:val="21"/>
          <w:highlight w:val="none"/>
        </w:rPr>
        <w:t>第二部分 商务和技术文件</w:t>
      </w:r>
    </w:p>
    <w:p w14:paraId="25D08BB3">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（5）投标函</w:t>
      </w:r>
    </w:p>
    <w:p w14:paraId="749380DE">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（6）分项报价</w:t>
      </w:r>
    </w:p>
    <w:p w14:paraId="124C63DE">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（7）采购需求响应</w:t>
      </w:r>
    </w:p>
    <w:p w14:paraId="0E72E762">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（8）合同条款偏离表</w:t>
      </w:r>
    </w:p>
    <w:p w14:paraId="7BE082ED">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（9）采购需求偏离表</w:t>
      </w:r>
    </w:p>
    <w:p w14:paraId="09A16F11">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（10）享受政府采购政策优惠的证明资料</w:t>
      </w:r>
    </w:p>
    <w:p w14:paraId="1615D055">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（11）投标货物符合招标文件规定的证明文件</w:t>
      </w:r>
    </w:p>
    <w:p w14:paraId="228747F9">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（12）投标人认为需提供的其他资料</w:t>
      </w:r>
    </w:p>
    <w:p w14:paraId="379CCFFE">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12.2投标人可以编制资格审查索引表、符合性审查索引表、评审索引表，以方便采购人、采购代理机构、评标委员会在资格审查及评审时查阅。</w:t>
      </w:r>
    </w:p>
    <w:p w14:paraId="522878B2">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12.3根据《政府采购法》第四十二条的规定，投标人无论中标与否，其投标文件不予退还。</w:t>
      </w:r>
    </w:p>
    <w:p w14:paraId="7E9998A0">
      <w:pPr>
        <w:adjustRightInd w:val="0"/>
        <w:snapToGrid w:val="0"/>
        <w:spacing w:before="156" w:beforeLines="50" w:line="360" w:lineRule="auto"/>
        <w:jc w:val="left"/>
        <w:rPr>
          <w:rFonts w:ascii="宋体" w:hAnsi="宋体"/>
          <w:b/>
          <w:bCs/>
          <w:color w:val="auto"/>
          <w:sz w:val="24"/>
          <w:highlight w:val="none"/>
        </w:rPr>
      </w:pPr>
      <w:r>
        <w:rPr>
          <w:rFonts w:hint="eastAsia" w:ascii="宋体" w:hAnsi="宋体"/>
          <w:b/>
          <w:bCs/>
          <w:color w:val="auto"/>
          <w:sz w:val="24"/>
          <w:highlight w:val="none"/>
        </w:rPr>
        <w:t>13. 投标报价</w:t>
      </w:r>
    </w:p>
    <w:p w14:paraId="09857C42">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13.1投标人应以招标文件规定的供货及服务要求、责任范围和合同条件为基础，按第七章“投标文件的组成”的有关规定进行报价。投标人的报价应包括为完成本项目所要求的全部内容可能发生的全部费用和税费、规费、保险费（如果有）等，采购人将不再支付报价以外的任何费用。</w:t>
      </w:r>
    </w:p>
    <w:p w14:paraId="22E04657">
      <w:pPr>
        <w:adjustRightInd w:val="0"/>
        <w:snapToGrid w:val="0"/>
        <w:spacing w:before="156" w:beforeLines="50" w:line="360" w:lineRule="auto"/>
        <w:ind w:firstLine="420" w:firstLineChars="200"/>
        <w:jc w:val="left"/>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3</w:t>
      </w:r>
      <w:r>
        <w:rPr>
          <w:rFonts w:ascii="宋体" w:hAnsi="宋体"/>
          <w:color w:val="auto"/>
          <w:szCs w:val="21"/>
          <w:highlight w:val="none"/>
        </w:rPr>
        <w:t>.</w:t>
      </w:r>
      <w:r>
        <w:rPr>
          <w:rFonts w:hint="eastAsia" w:ascii="宋体" w:hAnsi="宋体"/>
          <w:color w:val="auto"/>
          <w:szCs w:val="21"/>
          <w:highlight w:val="none"/>
        </w:rPr>
        <w:t>2投标人的投标报价不得超过采购项目预算，也不得超过最高限价(如果设定)，否则其</w:t>
      </w:r>
      <w:r>
        <w:rPr>
          <w:rFonts w:hint="eastAsia" w:ascii="宋体" w:hAnsi="宋体"/>
          <w:b/>
          <w:color w:val="auto"/>
          <w:szCs w:val="21"/>
          <w:highlight w:val="none"/>
        </w:rPr>
        <w:t>投标无效</w:t>
      </w:r>
      <w:r>
        <w:rPr>
          <w:rFonts w:hint="eastAsia" w:ascii="宋体" w:hAnsi="宋体"/>
          <w:color w:val="auto"/>
          <w:szCs w:val="21"/>
          <w:highlight w:val="none"/>
        </w:rPr>
        <w:t>。采购项目预算、最高限价见</w:t>
      </w:r>
      <w:r>
        <w:rPr>
          <w:rFonts w:hint="eastAsia" w:ascii="宋体" w:hAnsi="宋体"/>
          <w:b/>
          <w:color w:val="auto"/>
          <w:szCs w:val="21"/>
          <w:highlight w:val="none"/>
        </w:rPr>
        <w:t>【投标须知前附表】</w:t>
      </w:r>
      <w:r>
        <w:rPr>
          <w:rFonts w:hint="eastAsia" w:ascii="宋体" w:hAnsi="宋体"/>
          <w:color w:val="auto"/>
          <w:szCs w:val="21"/>
          <w:highlight w:val="none"/>
        </w:rPr>
        <w:t>。</w:t>
      </w:r>
    </w:p>
    <w:p w14:paraId="65BC6C67">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szCs w:val="21"/>
          <w:highlight w:val="none"/>
        </w:rPr>
        <w:t>13.3 投标人应在分项报价明细表中对每项内容给予详细分项</w:t>
      </w:r>
      <w:r>
        <w:rPr>
          <w:rFonts w:hint="eastAsia" w:ascii="宋体" w:hAnsi="宋体"/>
          <w:color w:val="auto"/>
          <w:highlight w:val="none"/>
        </w:rPr>
        <w:t>报价。</w:t>
      </w:r>
    </w:p>
    <w:p w14:paraId="71C291B4">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13.4投标人对采购项目内容只允许有一个投标报价，否则其</w:t>
      </w:r>
      <w:r>
        <w:rPr>
          <w:rFonts w:hint="eastAsia" w:ascii="宋体" w:hAnsi="宋体"/>
          <w:b/>
          <w:color w:val="auto"/>
          <w:highlight w:val="none"/>
        </w:rPr>
        <w:t>投标无效</w:t>
      </w:r>
      <w:r>
        <w:rPr>
          <w:rFonts w:hint="eastAsia" w:ascii="宋体" w:hAnsi="宋体"/>
          <w:color w:val="auto"/>
          <w:highlight w:val="none"/>
        </w:rPr>
        <w:t>。</w:t>
      </w:r>
    </w:p>
    <w:p w14:paraId="5B7F7644">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13.5采购人不接受投标人给予的赠品、回扣或者与采购无关的其他商品、服务。如有赠与行为，其</w:t>
      </w:r>
      <w:r>
        <w:rPr>
          <w:rFonts w:hint="eastAsia" w:ascii="宋体" w:hAnsi="宋体"/>
          <w:b/>
          <w:color w:val="auto"/>
          <w:highlight w:val="none"/>
        </w:rPr>
        <w:t>投标无效</w:t>
      </w:r>
      <w:r>
        <w:rPr>
          <w:rFonts w:hint="eastAsia" w:ascii="宋体" w:hAnsi="宋体"/>
          <w:color w:val="auto"/>
          <w:highlight w:val="none"/>
        </w:rPr>
        <w:t>。</w:t>
      </w:r>
    </w:p>
    <w:p w14:paraId="7B92FA9D">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13.6采用固定价格定价方式的采购项目，</w:t>
      </w:r>
      <w:r>
        <w:rPr>
          <w:rFonts w:hint="eastAsia" w:ascii="宋体" w:hAnsi="宋体"/>
          <w:color w:val="auto"/>
          <w:highlight w:val="none"/>
        </w:rPr>
        <w:t>投标文件中标明的价格在合同执行过程中是固定不变的，不得以任何理由予以变更。任何包含价格调整要求和条件的投标，其</w:t>
      </w:r>
      <w:r>
        <w:rPr>
          <w:rFonts w:hint="eastAsia" w:ascii="宋体" w:hAnsi="宋体"/>
          <w:b/>
          <w:color w:val="auto"/>
          <w:highlight w:val="none"/>
        </w:rPr>
        <w:t>投标无效</w:t>
      </w:r>
      <w:r>
        <w:rPr>
          <w:rFonts w:hint="eastAsia" w:ascii="宋体" w:hAnsi="宋体"/>
          <w:color w:val="auto"/>
          <w:highlight w:val="none"/>
        </w:rPr>
        <w:t>。</w:t>
      </w:r>
    </w:p>
    <w:p w14:paraId="38E094DF">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13.7投标人在投标截止时间前修改“开标一览表”中的投标报价的，应同时修改投标文件“分项报价明细表”“享受政府采购政策优惠的证明资料”以及“联合体协议书”（如果影响）等相关内容。此修改须符合本章第22.1款的有关要求。</w:t>
      </w:r>
    </w:p>
    <w:p w14:paraId="5C370D53">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13.8投标报价的其他要求见</w:t>
      </w:r>
      <w:r>
        <w:rPr>
          <w:rFonts w:hint="eastAsia" w:ascii="宋体" w:hAnsi="宋体"/>
          <w:b/>
          <w:color w:val="auto"/>
          <w:szCs w:val="21"/>
          <w:highlight w:val="none"/>
        </w:rPr>
        <w:t>【投标须知前附表】</w:t>
      </w:r>
      <w:r>
        <w:rPr>
          <w:rFonts w:hint="eastAsia" w:ascii="宋体" w:hAnsi="宋体"/>
          <w:color w:val="auto"/>
          <w:highlight w:val="none"/>
        </w:rPr>
        <w:t xml:space="preserve">。 </w:t>
      </w:r>
    </w:p>
    <w:p w14:paraId="7C7F37BE">
      <w:pPr>
        <w:adjustRightInd w:val="0"/>
        <w:snapToGrid w:val="0"/>
        <w:spacing w:before="156" w:beforeLines="50" w:line="360" w:lineRule="auto"/>
        <w:jc w:val="left"/>
        <w:rPr>
          <w:rFonts w:ascii="宋体" w:hAnsi="宋体"/>
          <w:b/>
          <w:bCs/>
          <w:color w:val="auto"/>
          <w:sz w:val="24"/>
          <w:highlight w:val="none"/>
        </w:rPr>
      </w:pPr>
      <w:r>
        <w:rPr>
          <w:rFonts w:hint="eastAsia" w:ascii="宋体" w:hAnsi="宋体"/>
          <w:b/>
          <w:color w:val="auto"/>
          <w:sz w:val="24"/>
          <w:highlight w:val="none"/>
        </w:rPr>
        <w:t xml:space="preserve">14. </w:t>
      </w:r>
      <w:r>
        <w:rPr>
          <w:rFonts w:hint="eastAsia" w:ascii="宋体" w:hAnsi="宋体"/>
          <w:b/>
          <w:bCs/>
          <w:color w:val="auto"/>
          <w:sz w:val="24"/>
          <w:highlight w:val="none"/>
        </w:rPr>
        <w:t>投标人的资格证明文件</w:t>
      </w:r>
    </w:p>
    <w:p w14:paraId="21A97FBD">
      <w:pPr>
        <w:adjustRightInd w:val="0"/>
        <w:snapToGrid w:val="0"/>
        <w:spacing w:before="156" w:beforeLines="50" w:line="360" w:lineRule="auto"/>
        <w:ind w:firstLine="420" w:firstLineChars="200"/>
        <w:rPr>
          <w:rFonts w:ascii="宋体" w:hAnsi="宋体"/>
          <w:color w:val="auto"/>
          <w:highlight w:val="none"/>
        </w:rPr>
      </w:pPr>
      <w:r>
        <w:rPr>
          <w:rFonts w:hint="eastAsia" w:ascii="宋体" w:hAnsi="宋体"/>
          <w:color w:val="auto"/>
          <w:highlight w:val="none"/>
        </w:rPr>
        <w:t>14.1</w:t>
      </w:r>
      <w:r>
        <w:rPr>
          <w:rFonts w:hint="eastAsia" w:ascii="宋体" w:hAnsi="宋体"/>
          <w:color w:val="auto"/>
          <w:szCs w:val="21"/>
          <w:highlight w:val="none"/>
        </w:rPr>
        <w:t>除</w:t>
      </w:r>
      <w:r>
        <w:rPr>
          <w:rFonts w:hint="eastAsia" w:ascii="宋体" w:hAnsi="宋体"/>
          <w:b/>
          <w:color w:val="auto"/>
          <w:szCs w:val="21"/>
          <w:highlight w:val="none"/>
        </w:rPr>
        <w:t>【投标须知前附表】</w:t>
      </w:r>
      <w:r>
        <w:rPr>
          <w:rFonts w:hint="eastAsia" w:ascii="宋体" w:hAnsi="宋体"/>
          <w:color w:val="auto"/>
          <w:szCs w:val="21"/>
          <w:highlight w:val="none"/>
        </w:rPr>
        <w:t>另有规</w:t>
      </w:r>
      <w:r>
        <w:rPr>
          <w:rFonts w:hint="eastAsia" w:ascii="宋体" w:hAnsi="宋体"/>
          <w:color w:val="auto"/>
          <w:highlight w:val="none"/>
        </w:rPr>
        <w:t>定外，投标人应按下列规定提供资格证明文件。</w:t>
      </w:r>
    </w:p>
    <w:p w14:paraId="4D43B03A">
      <w:pPr>
        <w:adjustRightInd w:val="0"/>
        <w:snapToGrid w:val="0"/>
        <w:spacing w:before="156" w:beforeLines="50" w:line="360" w:lineRule="auto"/>
        <w:ind w:firstLine="420" w:firstLineChars="200"/>
        <w:rPr>
          <w:rFonts w:ascii="宋体" w:hAnsi="宋体"/>
          <w:color w:val="auto"/>
          <w:highlight w:val="none"/>
        </w:rPr>
      </w:pPr>
      <w:r>
        <w:rPr>
          <w:rFonts w:hint="eastAsia" w:ascii="宋体" w:hAnsi="宋体"/>
          <w:color w:val="auto"/>
          <w:highlight w:val="none"/>
        </w:rPr>
        <w:t>（1）</w:t>
      </w:r>
      <w:r>
        <w:rPr>
          <w:rFonts w:hint="eastAsia" w:ascii="宋体" w:hAnsi="宋体"/>
          <w:b/>
          <w:color w:val="auto"/>
          <w:highlight w:val="none"/>
        </w:rPr>
        <w:t>法人或者其他组织的营业执照等主体资格证明文件，自然人的身份证明</w:t>
      </w:r>
      <w:r>
        <w:rPr>
          <w:rFonts w:hint="eastAsia" w:ascii="宋体" w:hAnsi="宋体"/>
          <w:color w:val="auto"/>
          <w:highlight w:val="none"/>
        </w:rPr>
        <w:t>：投标人为法人的，应提交营业执照或法人登记证书的复印件；投标人为非法人组织的，应提交依法登记证书复印件；投标人为个体工商户的，应提交个体工商户营业执照复印件；投标人为自然人的，应提交自然人的身份证明复印件。</w:t>
      </w:r>
    </w:p>
    <w:p w14:paraId="6243FDE5">
      <w:pPr>
        <w:adjustRightInd w:val="0"/>
        <w:snapToGrid w:val="0"/>
        <w:spacing w:before="156" w:beforeLines="50" w:line="360" w:lineRule="auto"/>
        <w:ind w:firstLine="422" w:firstLineChars="200"/>
        <w:rPr>
          <w:rFonts w:ascii="宋体" w:hAnsi="宋体"/>
          <w:b/>
          <w:color w:val="auto"/>
          <w:highlight w:val="none"/>
        </w:rPr>
      </w:pPr>
      <w:r>
        <w:rPr>
          <w:rFonts w:hint="eastAsia" w:ascii="宋体" w:hAnsi="宋体"/>
          <w:b/>
          <w:color w:val="auto"/>
          <w:highlight w:val="none"/>
        </w:rPr>
        <w:t>（2）湖南省政府采购供应商资格承诺函(格式)</w:t>
      </w:r>
    </w:p>
    <w:p w14:paraId="07F31490">
      <w:pPr>
        <w:adjustRightInd w:val="0"/>
        <w:snapToGrid w:val="0"/>
        <w:spacing w:before="156" w:beforeLines="50" w:line="360" w:lineRule="auto"/>
        <w:ind w:firstLine="422" w:firstLineChars="200"/>
        <w:rPr>
          <w:rFonts w:ascii="宋体" w:hAnsi="宋体"/>
          <w:b/>
          <w:color w:val="auto"/>
          <w:highlight w:val="none"/>
        </w:rPr>
      </w:pPr>
      <w:r>
        <w:rPr>
          <w:rFonts w:hint="eastAsia" w:ascii="宋体" w:hAnsi="宋体"/>
          <w:b/>
          <w:color w:val="auto"/>
          <w:highlight w:val="none"/>
        </w:rPr>
        <w:t>（3）符合特定资格条件证明材料或者情况说明。</w:t>
      </w:r>
    </w:p>
    <w:p w14:paraId="009225F6">
      <w:pPr>
        <w:adjustRightInd w:val="0"/>
        <w:snapToGrid w:val="0"/>
        <w:spacing w:before="156" w:beforeLines="50" w:line="360" w:lineRule="auto"/>
        <w:ind w:firstLine="420" w:firstLineChars="200"/>
        <w:rPr>
          <w:rFonts w:ascii="宋体" w:hAnsi="宋体"/>
          <w:color w:val="auto"/>
          <w:highlight w:val="none"/>
        </w:rPr>
      </w:pPr>
      <w:r>
        <w:rPr>
          <w:rFonts w:hint="eastAsia" w:ascii="宋体" w:hAnsi="宋体"/>
          <w:color w:val="auto"/>
          <w:highlight w:val="none"/>
        </w:rPr>
        <w:t>14.2投标人以联合体形式投标的，除应提交联合协议(格式)外，参加联合体的各方均应提交上款资格证明材料。</w:t>
      </w:r>
    </w:p>
    <w:p w14:paraId="17CBF04A">
      <w:pPr>
        <w:adjustRightInd w:val="0"/>
        <w:snapToGrid w:val="0"/>
        <w:spacing w:before="156" w:beforeLines="50" w:line="360" w:lineRule="auto"/>
        <w:ind w:firstLine="420" w:firstLineChars="200"/>
        <w:rPr>
          <w:rFonts w:ascii="宋体" w:hAnsi="宋体"/>
          <w:color w:val="auto"/>
          <w:highlight w:val="none"/>
        </w:rPr>
      </w:pPr>
      <w:r>
        <w:rPr>
          <w:rFonts w:hint="eastAsia" w:ascii="宋体" w:hAnsi="宋体"/>
          <w:color w:val="auto"/>
          <w:highlight w:val="none"/>
        </w:rPr>
        <w:t>14.3投标人的资格证明文件均应为有效文件并加盖投标人单位章，并按招标文件规定签署。</w:t>
      </w:r>
    </w:p>
    <w:p w14:paraId="01CB7711">
      <w:pPr>
        <w:adjustRightInd w:val="0"/>
        <w:snapToGrid w:val="0"/>
        <w:spacing w:before="156" w:beforeLines="50" w:line="360" w:lineRule="auto"/>
        <w:jc w:val="left"/>
        <w:rPr>
          <w:rFonts w:ascii="宋体" w:hAnsi="宋体"/>
          <w:b/>
          <w:bCs/>
          <w:color w:val="auto"/>
          <w:sz w:val="24"/>
          <w:highlight w:val="none"/>
        </w:rPr>
      </w:pPr>
      <w:r>
        <w:rPr>
          <w:rFonts w:hint="eastAsia" w:ascii="宋体" w:hAnsi="宋体"/>
          <w:b/>
          <w:bCs/>
          <w:color w:val="auto"/>
          <w:sz w:val="24"/>
          <w:highlight w:val="none"/>
        </w:rPr>
        <w:t>15. 投标货物及服务符合招标文件规定的证明文件</w:t>
      </w:r>
    </w:p>
    <w:p w14:paraId="06BAFD05">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15.1投标人应当提交其拟供的合同项下货物及其服务符合招标文件规定的证明文件,该证明文件作为投标文件的一部分。</w:t>
      </w:r>
    </w:p>
    <w:p w14:paraId="2C175604">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15.2上述证明文件可以是文字资料、图表、数据、证书等资料，包括但不限于：</w:t>
      </w:r>
    </w:p>
    <w:p w14:paraId="08111BB8">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（1）货物主要技术指标和性能的详细说明。对有具体参数要求的指标，投标人应提供具体参数值；</w:t>
      </w:r>
    </w:p>
    <w:p w14:paraId="4BDE5F51">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（2）货物的品牌型号、制造商及原产地等说明；</w:t>
      </w:r>
    </w:p>
    <w:p w14:paraId="71C1E87C">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（3）招标文件第五章“采购需求”要求的其它文件。</w:t>
      </w:r>
    </w:p>
    <w:p w14:paraId="0BF5EE1A">
      <w:pPr>
        <w:adjustRightInd w:val="0"/>
        <w:snapToGrid w:val="0"/>
        <w:spacing w:before="156" w:beforeLines="50" w:line="360" w:lineRule="auto"/>
        <w:jc w:val="left"/>
        <w:rPr>
          <w:rFonts w:ascii="宋体" w:hAnsi="宋体"/>
          <w:b/>
          <w:bCs/>
          <w:color w:val="auto"/>
          <w:sz w:val="24"/>
          <w:highlight w:val="none"/>
        </w:rPr>
      </w:pPr>
      <w:r>
        <w:rPr>
          <w:rFonts w:hint="eastAsia" w:ascii="宋体" w:hAnsi="宋体"/>
          <w:b/>
          <w:bCs/>
          <w:color w:val="auto"/>
          <w:sz w:val="24"/>
          <w:highlight w:val="none"/>
        </w:rPr>
        <w:t>16. 投标有效期</w:t>
      </w:r>
    </w:p>
    <w:p w14:paraId="5C76051F">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16.1投标有效期从提交投标文件的截止之日起算。投标文件中承诺的投标有效期应当不少于</w:t>
      </w:r>
      <w:r>
        <w:rPr>
          <w:rFonts w:hint="eastAsia" w:ascii="宋体" w:hAnsi="宋体"/>
          <w:b/>
          <w:color w:val="auto"/>
          <w:szCs w:val="21"/>
          <w:highlight w:val="none"/>
        </w:rPr>
        <w:t>【投标须知前附表】</w:t>
      </w:r>
      <w:r>
        <w:rPr>
          <w:rFonts w:hint="eastAsia" w:ascii="宋体" w:hAnsi="宋体"/>
          <w:color w:val="auto"/>
          <w:szCs w:val="21"/>
          <w:highlight w:val="none"/>
        </w:rPr>
        <w:t>中载明的投标有效期。投标有效期不满足要求的，其</w:t>
      </w:r>
      <w:r>
        <w:rPr>
          <w:rFonts w:hint="eastAsia" w:ascii="宋体" w:hAnsi="宋体"/>
          <w:b/>
          <w:color w:val="auto"/>
          <w:szCs w:val="21"/>
          <w:highlight w:val="none"/>
        </w:rPr>
        <w:t>投标无效</w:t>
      </w:r>
      <w:r>
        <w:rPr>
          <w:rFonts w:hint="eastAsia" w:ascii="宋体" w:hAnsi="宋体"/>
          <w:color w:val="auto"/>
          <w:szCs w:val="21"/>
          <w:highlight w:val="none"/>
        </w:rPr>
        <w:t>。</w:t>
      </w:r>
    </w:p>
    <w:p w14:paraId="5EB66679">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16.2投标有效期内投标人撤销投标文件的，投标人应承担招标文件和法律规定的责任。</w:t>
      </w:r>
    </w:p>
    <w:p w14:paraId="60AB6CD7">
      <w:pPr>
        <w:adjustRightInd w:val="0"/>
        <w:snapToGrid w:val="0"/>
        <w:spacing w:before="156" w:beforeLines="50" w:line="360" w:lineRule="auto"/>
        <w:jc w:val="left"/>
        <w:rPr>
          <w:rFonts w:ascii="宋体" w:hAnsi="宋体"/>
          <w:b/>
          <w:bCs/>
          <w:color w:val="auto"/>
          <w:sz w:val="24"/>
          <w:highlight w:val="none"/>
        </w:rPr>
      </w:pPr>
      <w:r>
        <w:rPr>
          <w:rFonts w:hint="eastAsia" w:ascii="宋体" w:hAnsi="宋体"/>
          <w:b/>
          <w:bCs/>
          <w:color w:val="auto"/>
          <w:sz w:val="24"/>
          <w:highlight w:val="none"/>
        </w:rPr>
        <w:t>17. 投标保证金</w:t>
      </w:r>
    </w:p>
    <w:p w14:paraId="5BC42B38">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17.1招标文件要求投标人提交投标保证金的，</w:t>
      </w:r>
      <w:r>
        <w:rPr>
          <w:rFonts w:hint="eastAsia" w:ascii="宋体" w:hAnsi="宋体"/>
          <w:bCs/>
          <w:color w:val="auto"/>
          <w:szCs w:val="21"/>
          <w:highlight w:val="none"/>
        </w:rPr>
        <w:t>投标人</w:t>
      </w:r>
      <w:r>
        <w:rPr>
          <w:rFonts w:hint="eastAsia" w:ascii="宋体" w:hAnsi="宋体"/>
          <w:color w:val="auto"/>
          <w:szCs w:val="21"/>
          <w:highlight w:val="none"/>
        </w:rPr>
        <w:t>应按</w:t>
      </w:r>
      <w:r>
        <w:rPr>
          <w:rFonts w:hint="eastAsia" w:ascii="宋体" w:hAnsi="宋体"/>
          <w:b/>
          <w:color w:val="auto"/>
          <w:szCs w:val="21"/>
          <w:highlight w:val="none"/>
        </w:rPr>
        <w:t>【投标须知前附表】</w:t>
      </w:r>
      <w:r>
        <w:rPr>
          <w:rFonts w:hint="eastAsia" w:ascii="宋体" w:hAnsi="宋体"/>
          <w:color w:val="auto"/>
          <w:szCs w:val="21"/>
          <w:highlight w:val="none"/>
        </w:rPr>
        <w:t>规定，</w:t>
      </w:r>
      <w:r>
        <w:rPr>
          <w:rFonts w:hint="eastAsia" w:ascii="宋体" w:hAnsi="宋体"/>
          <w:bCs/>
          <w:color w:val="auto"/>
          <w:szCs w:val="21"/>
          <w:highlight w:val="none"/>
        </w:rPr>
        <w:t>在</w:t>
      </w:r>
      <w:r>
        <w:rPr>
          <w:rFonts w:hint="eastAsia" w:ascii="宋体" w:hAnsi="宋体"/>
          <w:color w:val="auto"/>
          <w:szCs w:val="21"/>
          <w:highlight w:val="none"/>
        </w:rPr>
        <w:t>提交投标文件的截止时间</w:t>
      </w:r>
      <w:r>
        <w:rPr>
          <w:rFonts w:hint="eastAsia" w:ascii="宋体" w:hAnsi="宋体"/>
          <w:bCs/>
          <w:color w:val="auto"/>
          <w:szCs w:val="21"/>
          <w:highlight w:val="none"/>
        </w:rPr>
        <w:t>前提交投标保证金</w:t>
      </w:r>
      <w:r>
        <w:rPr>
          <w:rFonts w:hint="eastAsia" w:ascii="宋体" w:hAnsi="宋体"/>
          <w:color w:val="auto"/>
          <w:szCs w:val="21"/>
          <w:highlight w:val="none"/>
        </w:rPr>
        <w:t>。</w:t>
      </w:r>
      <w:r>
        <w:rPr>
          <w:rFonts w:hint="eastAsia" w:ascii="宋体" w:hAnsi="宋体"/>
          <w:bCs/>
          <w:color w:val="auto"/>
          <w:szCs w:val="21"/>
          <w:highlight w:val="none"/>
        </w:rPr>
        <w:t>投标人可以保函、电子增信替代投标保证金。</w:t>
      </w:r>
    </w:p>
    <w:p w14:paraId="50378B8E">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17.2联合体投标的，可以由联合体中的一方或者共同提交投标保证金。以一方名义提交投标保证金的，对联合体各方均具有约束力。</w:t>
      </w:r>
    </w:p>
    <w:p w14:paraId="5F43A3DC">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17.3投标保证金的退还按以下规定办理：</w:t>
      </w:r>
    </w:p>
    <w:p w14:paraId="7CA65EFC">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（1）中标投标人的投标保证金，将在政府采购合同签订后5个工作日内退还。</w:t>
      </w:r>
    </w:p>
    <w:p w14:paraId="237868ED">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（2）未中标的投标人的投标保证金，将在中标通知书发出后5个工作日内退还。</w:t>
      </w:r>
    </w:p>
    <w:p w14:paraId="2383CE58">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（3）终止招标的。对于已递交投标保证金的，采购人、采购代理机构在终止招标公告发布后5个工作日内退还。</w:t>
      </w:r>
    </w:p>
    <w:p w14:paraId="5E12F802">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（4）在投标截止日前撤回投标的，对于已递交投标保证金的，采购人、采购代理机构在收到投标人书面撤回投标通知之日起5个工作日内退还。</w:t>
      </w:r>
    </w:p>
    <w:p w14:paraId="1D03ACA2">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17.4有以下情形之一的，投标保证金将不予退还，上缴国库：</w:t>
      </w:r>
      <w:r>
        <w:rPr>
          <w:rFonts w:ascii="宋体" w:hAnsi="宋体"/>
          <w:color w:val="auto"/>
          <w:szCs w:val="21"/>
          <w:highlight w:val="none"/>
        </w:rPr>
        <w:t xml:space="preserve"> </w:t>
      </w:r>
    </w:p>
    <w:p w14:paraId="7ACDEF33">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（1）投标人在招标文件中规定的投标有效期内撤销其投标；</w:t>
      </w:r>
    </w:p>
    <w:p w14:paraId="3DEADF5F">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（2）中标人无正当理由不与采购人订立合同，在签订合同时向采购人提出附加条件，或者不按照招标文件要求提交履约保证金。</w:t>
      </w:r>
    </w:p>
    <w:p w14:paraId="078448C2">
      <w:pPr>
        <w:adjustRightInd w:val="0"/>
        <w:snapToGrid w:val="0"/>
        <w:spacing w:before="156" w:beforeLines="50" w:line="360" w:lineRule="auto"/>
        <w:jc w:val="left"/>
        <w:rPr>
          <w:rFonts w:ascii="宋体" w:hAnsi="宋体"/>
          <w:b/>
          <w:color w:val="auto"/>
          <w:sz w:val="24"/>
          <w:highlight w:val="none"/>
        </w:rPr>
      </w:pPr>
      <w:r>
        <w:rPr>
          <w:rFonts w:hint="eastAsia" w:ascii="宋体" w:hAnsi="宋体"/>
          <w:b/>
          <w:color w:val="auto"/>
          <w:sz w:val="24"/>
          <w:highlight w:val="none"/>
        </w:rPr>
        <w:t>18.分包</w:t>
      </w:r>
    </w:p>
    <w:p w14:paraId="46D30D0C">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18.1</w:t>
      </w:r>
      <w:r>
        <w:rPr>
          <w:rFonts w:hint="eastAsia" w:hAnsi="宋体"/>
          <w:b/>
          <w:bCs/>
          <w:color w:val="auto"/>
          <w:highlight w:val="none"/>
        </w:rPr>
        <w:t>【投标须知前附表】</w:t>
      </w:r>
      <w:r>
        <w:rPr>
          <w:rFonts w:hint="eastAsia" w:ascii="宋体" w:hAnsi="宋体"/>
          <w:color w:val="auto"/>
          <w:highlight w:val="none"/>
        </w:rPr>
        <w:t>规定投标人分包的，投标人分包承诺不符合招标文件中有关分包规定的，其</w:t>
      </w:r>
      <w:r>
        <w:rPr>
          <w:rFonts w:hint="eastAsia" w:ascii="宋体" w:hAnsi="宋体"/>
          <w:b/>
          <w:bCs/>
          <w:color w:val="auto"/>
          <w:highlight w:val="none"/>
        </w:rPr>
        <w:t>投标无效</w:t>
      </w:r>
      <w:r>
        <w:rPr>
          <w:rFonts w:hint="eastAsia" w:ascii="宋体" w:hAnsi="宋体"/>
          <w:color w:val="auto"/>
          <w:highlight w:val="none"/>
        </w:rPr>
        <w:t>。</w:t>
      </w:r>
    </w:p>
    <w:p w14:paraId="7522043A">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18.2投标人应在签订政府采购合同前向采购人提供分包合同，否则，采购人有权拒绝签订采购合同。</w:t>
      </w:r>
    </w:p>
    <w:p w14:paraId="4F0077C3">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18.3享受中小企业扶持政策获得政府采购合同的，小微企业不得将合同分包给大中型企业，中型企业不得将合同分包给大型企业。</w:t>
      </w:r>
    </w:p>
    <w:p w14:paraId="01FBFCA0">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18.4分包供应商不得再次分包。</w:t>
      </w:r>
    </w:p>
    <w:p w14:paraId="00DB027A">
      <w:pPr>
        <w:adjustRightInd w:val="0"/>
        <w:snapToGrid w:val="0"/>
        <w:spacing w:before="156" w:beforeLines="50" w:line="360" w:lineRule="auto"/>
        <w:jc w:val="left"/>
        <w:rPr>
          <w:rFonts w:ascii="宋体" w:hAnsi="宋体"/>
          <w:b/>
          <w:bCs/>
          <w:color w:val="auto"/>
          <w:sz w:val="24"/>
          <w:highlight w:val="none"/>
        </w:rPr>
      </w:pPr>
      <w:r>
        <w:rPr>
          <w:rFonts w:hint="eastAsia" w:ascii="宋体" w:hAnsi="宋体"/>
          <w:b/>
          <w:bCs/>
          <w:color w:val="auto"/>
          <w:sz w:val="24"/>
          <w:highlight w:val="none"/>
        </w:rPr>
        <w:t>19. 投标文件的签署</w:t>
      </w:r>
    </w:p>
    <w:p w14:paraId="3D80515A">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19.1投标文件份数见</w:t>
      </w:r>
      <w:r>
        <w:rPr>
          <w:rFonts w:hint="eastAsia" w:ascii="宋体" w:hAnsi="宋体"/>
          <w:b/>
          <w:bCs/>
          <w:color w:val="auto"/>
          <w:szCs w:val="21"/>
          <w:highlight w:val="none"/>
        </w:rPr>
        <w:t>【投标须知前附表】</w:t>
      </w:r>
      <w:r>
        <w:rPr>
          <w:rFonts w:hint="eastAsia" w:ascii="宋体" w:hAnsi="宋体"/>
          <w:color w:val="auto"/>
          <w:szCs w:val="21"/>
          <w:highlight w:val="none"/>
        </w:rPr>
        <w:t>。</w:t>
      </w:r>
    </w:p>
    <w:p w14:paraId="655AB125">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19.2投标文件的签署要求：</w:t>
      </w:r>
    </w:p>
    <w:p w14:paraId="6FC7A5A2">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（1）供应商确认投标后，应从株洲市公共资源交易系统上下载“电子投标文件制作工具”，并使用此工具编制电子投标文件，否则将影响电子投标文件的上传而导致投标无效。</w:t>
      </w:r>
    </w:p>
    <w:p w14:paraId="11918EC8">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（2）投标人应按照电子招标文件要求制作投标文件，并进行电子签章。</w:t>
      </w:r>
    </w:p>
    <w:p w14:paraId="4D251F41">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（3）投标人因自身原因导致电子投标文件无法导入电子评标系统的，该投标文件视为无效投标文件。</w:t>
      </w:r>
    </w:p>
    <w:p w14:paraId="1731B543">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（4）电子招投标文件具有法律效力，若投标文件与招标文件要求不一致，其内容影响中标结果时，责任由投标人自行承担。</w:t>
      </w:r>
    </w:p>
    <w:p w14:paraId="580B0245">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（5）电子投标项目的投标文件均以上传至交易系统的电子投标文件为准。</w:t>
      </w:r>
    </w:p>
    <w:p w14:paraId="5BA21E1B">
      <w:pPr>
        <w:pStyle w:val="11"/>
        <w:keepNext w:val="0"/>
        <w:keepLines w:val="0"/>
        <w:adjustRightInd w:val="0"/>
        <w:snapToGrid w:val="0"/>
        <w:spacing w:before="156" w:beforeLines="50" w:after="0" w:line="360" w:lineRule="auto"/>
        <w:jc w:val="center"/>
        <w:rPr>
          <w:rFonts w:ascii="黑体" w:hAnsi="黑体" w:eastAsia="黑体"/>
          <w:color w:val="auto"/>
          <w:sz w:val="28"/>
          <w:szCs w:val="28"/>
          <w:highlight w:val="none"/>
        </w:rPr>
      </w:pPr>
      <w:bookmarkStart w:id="29" w:name="_Toc27543"/>
      <w:r>
        <w:rPr>
          <w:rFonts w:hint="eastAsia" w:ascii="黑体" w:hAnsi="黑体" w:eastAsia="黑体"/>
          <w:color w:val="auto"/>
          <w:sz w:val="28"/>
          <w:szCs w:val="28"/>
          <w:highlight w:val="none"/>
        </w:rPr>
        <w:t>四、投标</w:t>
      </w:r>
      <w:bookmarkEnd w:id="29"/>
    </w:p>
    <w:p w14:paraId="52AEEE21">
      <w:pPr>
        <w:adjustRightInd w:val="0"/>
        <w:snapToGrid w:val="0"/>
        <w:spacing w:before="156" w:beforeLines="50" w:line="360" w:lineRule="auto"/>
        <w:jc w:val="left"/>
        <w:rPr>
          <w:rFonts w:ascii="宋体" w:hAnsi="宋体"/>
          <w:b/>
          <w:bCs/>
          <w:color w:val="auto"/>
          <w:sz w:val="24"/>
          <w:highlight w:val="none"/>
        </w:rPr>
      </w:pPr>
      <w:r>
        <w:rPr>
          <w:rFonts w:hint="eastAsia" w:ascii="宋体" w:hAnsi="宋体"/>
          <w:b/>
          <w:color w:val="auto"/>
          <w:sz w:val="24"/>
          <w:highlight w:val="none"/>
        </w:rPr>
        <w:t>20.</w:t>
      </w:r>
      <w:r>
        <w:rPr>
          <w:rFonts w:hint="eastAsia" w:ascii="宋体" w:hAnsi="宋体"/>
          <w:b/>
          <w:bCs/>
          <w:color w:val="auto"/>
          <w:sz w:val="24"/>
          <w:highlight w:val="none"/>
        </w:rPr>
        <w:t xml:space="preserve"> 投标文件的密封和标记</w:t>
      </w:r>
    </w:p>
    <w:p w14:paraId="2C1053A0">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20.1电子版投标文件的密封和标记要求：通过数字证书进行签章、加密。未按要求签章、加密的投标文件，系统将无法接收, 采购代理机构不予受理。</w:t>
      </w:r>
    </w:p>
    <w:p w14:paraId="29429BF3">
      <w:pPr>
        <w:adjustRightInd w:val="0"/>
        <w:snapToGrid w:val="0"/>
        <w:spacing w:before="156" w:beforeLines="50" w:line="360" w:lineRule="auto"/>
        <w:jc w:val="left"/>
        <w:rPr>
          <w:rFonts w:ascii="宋体" w:hAnsi="宋体"/>
          <w:b/>
          <w:bCs/>
          <w:color w:val="auto"/>
          <w:sz w:val="24"/>
          <w:highlight w:val="none"/>
        </w:rPr>
      </w:pPr>
      <w:r>
        <w:rPr>
          <w:rFonts w:hint="eastAsia" w:ascii="宋体" w:hAnsi="宋体"/>
          <w:b/>
          <w:bCs/>
          <w:color w:val="auto"/>
          <w:sz w:val="24"/>
          <w:highlight w:val="none"/>
        </w:rPr>
        <w:t>21.投标截止期</w:t>
      </w:r>
    </w:p>
    <w:p w14:paraId="26D512F5">
      <w:pPr>
        <w:snapToGrid w:val="0"/>
        <w:spacing w:before="156" w:line="360" w:lineRule="auto"/>
        <w:ind w:firstLine="420" w:firstLineChars="200"/>
        <w:jc w:val="left"/>
        <w:textAlignment w:val="baseline"/>
        <w:rPr>
          <w:rStyle w:val="49"/>
          <w:rFonts w:ascii="宋体" w:hAnsi="宋体"/>
          <w:color w:val="auto"/>
          <w:szCs w:val="21"/>
          <w:highlight w:val="none"/>
        </w:rPr>
      </w:pPr>
      <w:r>
        <w:rPr>
          <w:rStyle w:val="49"/>
          <w:rFonts w:ascii="宋体" w:hAnsi="宋体"/>
          <w:color w:val="auto"/>
          <w:szCs w:val="21"/>
          <w:highlight w:val="none"/>
        </w:rPr>
        <w:t>21.1投标人应在</w:t>
      </w:r>
      <w:r>
        <w:rPr>
          <w:rStyle w:val="49"/>
          <w:rFonts w:ascii="宋体" w:hAnsi="宋体"/>
          <w:b/>
          <w:color w:val="auto"/>
          <w:szCs w:val="21"/>
          <w:highlight w:val="none"/>
        </w:rPr>
        <w:t>【投标须知前附表】</w:t>
      </w:r>
      <w:r>
        <w:rPr>
          <w:rStyle w:val="49"/>
          <w:rFonts w:ascii="宋体" w:hAnsi="宋体"/>
          <w:color w:val="auto"/>
          <w:szCs w:val="21"/>
          <w:highlight w:val="none"/>
        </w:rPr>
        <w:t>规定的投标截止时间前将电子版投标文件</w:t>
      </w:r>
      <w:r>
        <w:rPr>
          <w:rStyle w:val="49"/>
          <w:rFonts w:ascii="宋体" w:hAnsi="宋体"/>
          <w:bCs/>
          <w:color w:val="auto"/>
          <w:szCs w:val="21"/>
          <w:highlight w:val="none"/>
        </w:rPr>
        <w:t>加密上传</w:t>
      </w:r>
      <w:r>
        <w:rPr>
          <w:rStyle w:val="49"/>
          <w:rFonts w:ascii="宋体" w:hAnsi="宋体"/>
          <w:color w:val="auto"/>
          <w:szCs w:val="21"/>
          <w:highlight w:val="none"/>
        </w:rPr>
        <w:t>。</w:t>
      </w:r>
    </w:p>
    <w:p w14:paraId="61C72ED1">
      <w:pPr>
        <w:snapToGrid w:val="0"/>
        <w:spacing w:before="156" w:line="360" w:lineRule="auto"/>
        <w:ind w:firstLine="420" w:firstLineChars="200"/>
        <w:jc w:val="left"/>
        <w:textAlignment w:val="baseline"/>
        <w:rPr>
          <w:rStyle w:val="49"/>
          <w:rFonts w:ascii="宋体" w:hAnsi="宋体"/>
          <w:color w:val="auto"/>
          <w:szCs w:val="21"/>
          <w:highlight w:val="none"/>
        </w:rPr>
      </w:pPr>
      <w:r>
        <w:rPr>
          <w:rStyle w:val="49"/>
          <w:rFonts w:ascii="宋体" w:hAnsi="宋体"/>
          <w:color w:val="auto"/>
          <w:szCs w:val="21"/>
          <w:highlight w:val="none"/>
        </w:rPr>
        <w:t>21.2逾期上传的投标文件，以及未通过资格预审的申请人提交的投标文件（实行资格预审的），采购人、采购代理机构</w:t>
      </w:r>
      <w:r>
        <w:rPr>
          <w:rStyle w:val="49"/>
          <w:rFonts w:ascii="宋体" w:hAnsi="宋体"/>
          <w:b/>
          <w:color w:val="auto"/>
          <w:szCs w:val="21"/>
          <w:highlight w:val="none"/>
        </w:rPr>
        <w:t>应当拒收</w:t>
      </w:r>
      <w:r>
        <w:rPr>
          <w:rStyle w:val="49"/>
          <w:rFonts w:ascii="宋体" w:hAnsi="宋体"/>
          <w:color w:val="auto"/>
          <w:szCs w:val="21"/>
          <w:highlight w:val="none"/>
        </w:rPr>
        <w:t>。</w:t>
      </w:r>
    </w:p>
    <w:p w14:paraId="4E4FEA0D">
      <w:pPr>
        <w:snapToGrid w:val="0"/>
        <w:spacing w:before="156" w:line="360" w:lineRule="auto"/>
        <w:ind w:firstLine="420" w:firstLineChars="200"/>
        <w:jc w:val="left"/>
        <w:textAlignment w:val="baseline"/>
        <w:rPr>
          <w:rStyle w:val="49"/>
          <w:rFonts w:ascii="宋体" w:hAnsi="宋体"/>
          <w:color w:val="auto"/>
          <w:szCs w:val="21"/>
          <w:highlight w:val="none"/>
        </w:rPr>
      </w:pPr>
      <w:r>
        <w:rPr>
          <w:rStyle w:val="49"/>
          <w:rFonts w:ascii="宋体" w:hAnsi="宋体"/>
          <w:color w:val="auto"/>
          <w:szCs w:val="21"/>
          <w:highlight w:val="none"/>
        </w:rPr>
        <w:t>21.3投标文件的递交</w:t>
      </w:r>
    </w:p>
    <w:p w14:paraId="1831E2F0">
      <w:pPr>
        <w:snapToGrid w:val="0"/>
        <w:spacing w:before="156" w:line="360" w:lineRule="auto"/>
        <w:ind w:firstLine="420" w:firstLineChars="200"/>
        <w:jc w:val="left"/>
        <w:textAlignment w:val="baseline"/>
        <w:rPr>
          <w:rStyle w:val="49"/>
          <w:rFonts w:ascii="宋体" w:hAnsi="宋体"/>
          <w:bCs/>
          <w:color w:val="auto"/>
          <w:szCs w:val="21"/>
          <w:highlight w:val="none"/>
        </w:rPr>
      </w:pPr>
      <w:r>
        <w:rPr>
          <w:rStyle w:val="49"/>
          <w:rFonts w:ascii="宋体" w:hAnsi="宋体"/>
          <w:bCs/>
          <w:color w:val="auto"/>
          <w:szCs w:val="21"/>
          <w:highlight w:val="none"/>
        </w:rPr>
        <w:t>（1）投标人应在招标文件规定的投标截止时间前将电子投标文件上传到交易系统的指定栏目。逾期不予受理。</w:t>
      </w:r>
    </w:p>
    <w:p w14:paraId="08B82D19">
      <w:pPr>
        <w:snapToGrid w:val="0"/>
        <w:spacing w:before="156" w:line="360" w:lineRule="auto"/>
        <w:ind w:firstLine="420" w:firstLineChars="200"/>
        <w:jc w:val="left"/>
        <w:textAlignment w:val="baseline"/>
        <w:rPr>
          <w:rStyle w:val="49"/>
          <w:rFonts w:ascii="宋体" w:hAnsi="宋体"/>
          <w:bCs/>
          <w:color w:val="auto"/>
          <w:szCs w:val="21"/>
          <w:highlight w:val="none"/>
        </w:rPr>
      </w:pPr>
      <w:r>
        <w:rPr>
          <w:rStyle w:val="49"/>
          <w:rFonts w:ascii="宋体" w:hAnsi="宋体"/>
          <w:bCs/>
          <w:color w:val="auto"/>
          <w:szCs w:val="21"/>
          <w:highlight w:val="none"/>
        </w:rPr>
        <w:t>（2）如遇系统提示“上传未成功”，投标人应及时重新修改文件或与系统运维机构联系，查明原因，确保上传无误，因自身原因导致不能上传的，由投标人自行承担责任。</w:t>
      </w:r>
    </w:p>
    <w:p w14:paraId="07FA5964">
      <w:pPr>
        <w:adjustRightInd w:val="0"/>
        <w:snapToGrid w:val="0"/>
        <w:spacing w:before="156" w:beforeLines="50" w:line="360" w:lineRule="auto"/>
        <w:jc w:val="left"/>
        <w:rPr>
          <w:rFonts w:ascii="宋体" w:hAnsi="宋体"/>
          <w:b/>
          <w:bCs/>
          <w:color w:val="auto"/>
          <w:sz w:val="24"/>
          <w:highlight w:val="none"/>
        </w:rPr>
      </w:pPr>
      <w:r>
        <w:rPr>
          <w:rFonts w:hint="eastAsia" w:ascii="宋体" w:hAnsi="宋体"/>
          <w:b/>
          <w:bCs/>
          <w:color w:val="auto"/>
          <w:sz w:val="24"/>
          <w:highlight w:val="none"/>
        </w:rPr>
        <w:t>22. 投标文件的修改和撤回</w:t>
      </w:r>
    </w:p>
    <w:p w14:paraId="165C08A9">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22.1投标人在招标文件规定的投标截止时间前，可以撤回已上传的投标文件，也可以撤回并修改后再重新上传。</w:t>
      </w:r>
    </w:p>
    <w:p w14:paraId="4016972C">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22.2投标人在提交投标文件的截止时间前撤回已提交的投标文件的，采购人、采购代理机构应当自收到投标人书面撤回通知之日起5个工作日内，退还已收取的投标保证金，但因投标人自身原因导致无法及时退还的除外。</w:t>
      </w:r>
    </w:p>
    <w:p w14:paraId="0954B4CC">
      <w:pPr>
        <w:adjustRightInd w:val="0"/>
        <w:snapToGrid w:val="0"/>
        <w:spacing w:before="156" w:beforeLines="50" w:line="360" w:lineRule="auto"/>
        <w:jc w:val="left"/>
        <w:rPr>
          <w:rFonts w:ascii="宋体" w:hAnsi="宋体" w:cs="Arial"/>
          <w:b/>
          <w:color w:val="auto"/>
          <w:sz w:val="24"/>
          <w:highlight w:val="none"/>
        </w:rPr>
      </w:pPr>
      <w:r>
        <w:rPr>
          <w:rFonts w:hint="eastAsia" w:ascii="宋体" w:hAnsi="宋体"/>
          <w:b/>
          <w:bCs/>
          <w:color w:val="auto"/>
          <w:sz w:val="24"/>
          <w:highlight w:val="none"/>
        </w:rPr>
        <w:t>23.</w:t>
      </w:r>
      <w:r>
        <w:rPr>
          <w:rFonts w:hint="eastAsia" w:ascii="宋体" w:hAnsi="宋体" w:cs="Arial"/>
          <w:b/>
          <w:color w:val="auto"/>
          <w:sz w:val="24"/>
          <w:highlight w:val="none"/>
        </w:rPr>
        <w:t xml:space="preserve"> 串通</w:t>
      </w:r>
      <w:r>
        <w:rPr>
          <w:rFonts w:hint="eastAsia" w:ascii="宋体" w:hAnsi="宋体"/>
          <w:b/>
          <w:color w:val="auto"/>
          <w:sz w:val="24"/>
          <w:highlight w:val="none"/>
        </w:rPr>
        <w:t>投标行为</w:t>
      </w:r>
    </w:p>
    <w:p w14:paraId="126F8CCB">
      <w:pPr>
        <w:adjustRightInd w:val="0"/>
        <w:snapToGrid w:val="0"/>
        <w:spacing w:before="156" w:beforeLines="50" w:line="360" w:lineRule="auto"/>
        <w:ind w:firstLine="396" w:firstLineChars="200"/>
        <w:jc w:val="left"/>
        <w:rPr>
          <w:rFonts w:ascii="宋体" w:hAnsi="宋体"/>
          <w:color w:val="auto"/>
          <w:spacing w:val="-6"/>
          <w:szCs w:val="21"/>
          <w:highlight w:val="none"/>
        </w:rPr>
      </w:pPr>
      <w:r>
        <w:rPr>
          <w:rFonts w:hint="eastAsia" w:ascii="宋体" w:hAnsi="宋体"/>
          <w:color w:val="auto"/>
          <w:spacing w:val="-6"/>
          <w:szCs w:val="21"/>
          <w:highlight w:val="none"/>
        </w:rPr>
        <w:t>23.1有下列情形之一的，属于恶意串通，对投标人依照政府采购法第七十七条第一款的规定追究法律责任：</w:t>
      </w:r>
    </w:p>
    <w:p w14:paraId="3537AE37">
      <w:pPr>
        <w:adjustRightInd w:val="0"/>
        <w:snapToGrid w:val="0"/>
        <w:spacing w:before="156" w:beforeLines="50" w:line="360" w:lineRule="auto"/>
        <w:ind w:firstLine="396" w:firstLineChars="200"/>
        <w:jc w:val="left"/>
        <w:rPr>
          <w:rFonts w:ascii="宋体" w:hAnsi="宋体"/>
          <w:color w:val="auto"/>
          <w:spacing w:val="-6"/>
          <w:szCs w:val="21"/>
          <w:highlight w:val="none"/>
        </w:rPr>
      </w:pPr>
      <w:r>
        <w:rPr>
          <w:rFonts w:hint="eastAsia" w:ascii="宋体" w:hAnsi="宋体"/>
          <w:color w:val="auto"/>
          <w:spacing w:val="-6"/>
          <w:szCs w:val="21"/>
          <w:highlight w:val="none"/>
        </w:rPr>
        <w:t>（1）投标人直接或者间接从采购人或者采购代理机构处获得其他投标人的相关情况并修改其投标文件；</w:t>
      </w:r>
    </w:p>
    <w:p w14:paraId="01E6684E">
      <w:pPr>
        <w:adjustRightInd w:val="0"/>
        <w:snapToGrid w:val="0"/>
        <w:spacing w:before="156" w:beforeLines="50" w:line="360" w:lineRule="auto"/>
        <w:ind w:firstLine="396" w:firstLineChars="200"/>
        <w:jc w:val="left"/>
        <w:rPr>
          <w:rFonts w:ascii="宋体" w:hAnsi="宋体"/>
          <w:color w:val="auto"/>
          <w:spacing w:val="-6"/>
          <w:szCs w:val="21"/>
          <w:highlight w:val="none"/>
        </w:rPr>
      </w:pPr>
      <w:r>
        <w:rPr>
          <w:rFonts w:hint="eastAsia" w:ascii="宋体" w:hAnsi="宋体"/>
          <w:color w:val="auto"/>
          <w:spacing w:val="-6"/>
          <w:szCs w:val="21"/>
          <w:highlight w:val="none"/>
        </w:rPr>
        <w:t>（2）投标人按照采购人或者采购代理机构的授意撤换、修改投标文件；</w:t>
      </w:r>
    </w:p>
    <w:p w14:paraId="352154E5">
      <w:pPr>
        <w:adjustRightInd w:val="0"/>
        <w:snapToGrid w:val="0"/>
        <w:spacing w:before="156" w:beforeLines="50" w:line="360" w:lineRule="auto"/>
        <w:ind w:firstLine="396" w:firstLineChars="200"/>
        <w:jc w:val="left"/>
        <w:rPr>
          <w:rFonts w:ascii="宋体" w:hAnsi="宋体"/>
          <w:color w:val="auto"/>
          <w:spacing w:val="-6"/>
          <w:szCs w:val="21"/>
          <w:highlight w:val="none"/>
        </w:rPr>
      </w:pPr>
      <w:r>
        <w:rPr>
          <w:rFonts w:hint="eastAsia" w:ascii="宋体" w:hAnsi="宋体"/>
          <w:color w:val="auto"/>
          <w:spacing w:val="-6"/>
          <w:szCs w:val="21"/>
          <w:highlight w:val="none"/>
        </w:rPr>
        <w:t>（3）投标人之间协商报价、技术方案等投标文件的实质性内容；</w:t>
      </w:r>
    </w:p>
    <w:p w14:paraId="3FF5B4F2">
      <w:pPr>
        <w:adjustRightInd w:val="0"/>
        <w:snapToGrid w:val="0"/>
        <w:spacing w:before="156" w:beforeLines="50" w:line="360" w:lineRule="auto"/>
        <w:ind w:firstLine="396" w:firstLineChars="200"/>
        <w:jc w:val="left"/>
        <w:rPr>
          <w:rFonts w:ascii="宋体" w:hAnsi="宋体"/>
          <w:color w:val="auto"/>
          <w:spacing w:val="-6"/>
          <w:szCs w:val="21"/>
          <w:highlight w:val="none"/>
        </w:rPr>
      </w:pPr>
      <w:r>
        <w:rPr>
          <w:rFonts w:hint="eastAsia" w:ascii="宋体" w:hAnsi="宋体"/>
          <w:color w:val="auto"/>
          <w:spacing w:val="-6"/>
          <w:szCs w:val="21"/>
          <w:highlight w:val="none"/>
        </w:rPr>
        <w:t>（4）属于同一集团、协会、商会等组织成员的投标人按照该组织要求协同参加政府采购活动；</w:t>
      </w:r>
    </w:p>
    <w:p w14:paraId="5480E777">
      <w:pPr>
        <w:adjustRightInd w:val="0"/>
        <w:snapToGrid w:val="0"/>
        <w:spacing w:before="156" w:beforeLines="50" w:line="360" w:lineRule="auto"/>
        <w:ind w:firstLine="396" w:firstLineChars="200"/>
        <w:jc w:val="left"/>
        <w:rPr>
          <w:rFonts w:ascii="宋体" w:hAnsi="宋体"/>
          <w:color w:val="auto"/>
          <w:spacing w:val="-6"/>
          <w:szCs w:val="21"/>
          <w:highlight w:val="none"/>
        </w:rPr>
      </w:pPr>
      <w:r>
        <w:rPr>
          <w:rFonts w:hint="eastAsia" w:ascii="宋体" w:hAnsi="宋体"/>
          <w:color w:val="auto"/>
          <w:spacing w:val="-6"/>
          <w:szCs w:val="21"/>
          <w:highlight w:val="none"/>
        </w:rPr>
        <w:t>（5）投标人之间事先约定由某一特定投标人中标；</w:t>
      </w:r>
    </w:p>
    <w:p w14:paraId="2505BA30">
      <w:pPr>
        <w:adjustRightInd w:val="0"/>
        <w:snapToGrid w:val="0"/>
        <w:spacing w:before="156" w:beforeLines="50" w:line="360" w:lineRule="auto"/>
        <w:ind w:firstLine="396" w:firstLineChars="200"/>
        <w:jc w:val="left"/>
        <w:rPr>
          <w:rFonts w:ascii="宋体" w:hAnsi="宋体"/>
          <w:color w:val="auto"/>
          <w:spacing w:val="-6"/>
          <w:szCs w:val="21"/>
          <w:highlight w:val="none"/>
        </w:rPr>
      </w:pPr>
      <w:r>
        <w:rPr>
          <w:rFonts w:hint="eastAsia" w:ascii="宋体" w:hAnsi="宋体"/>
          <w:color w:val="auto"/>
          <w:spacing w:val="-6"/>
          <w:szCs w:val="21"/>
          <w:highlight w:val="none"/>
        </w:rPr>
        <w:t>（6）投标人之间商定部分投标人放弃参加政府采购活动或者放弃中标；</w:t>
      </w:r>
    </w:p>
    <w:p w14:paraId="2E399A28">
      <w:pPr>
        <w:adjustRightInd w:val="0"/>
        <w:snapToGrid w:val="0"/>
        <w:spacing w:before="156" w:beforeLines="50" w:line="360" w:lineRule="auto"/>
        <w:ind w:firstLine="396" w:firstLineChars="200"/>
        <w:jc w:val="left"/>
        <w:rPr>
          <w:rFonts w:ascii="宋体" w:hAnsi="宋体"/>
          <w:color w:val="auto"/>
          <w:spacing w:val="-6"/>
          <w:szCs w:val="21"/>
          <w:highlight w:val="none"/>
        </w:rPr>
      </w:pPr>
      <w:r>
        <w:rPr>
          <w:rFonts w:hint="eastAsia" w:ascii="宋体" w:hAnsi="宋体"/>
          <w:color w:val="auto"/>
          <w:spacing w:val="-6"/>
          <w:szCs w:val="21"/>
          <w:highlight w:val="none"/>
        </w:rPr>
        <w:t>（7）投标人与采购人或者采购代理机构之间、投标人相互之间，为谋求特定投标人中标或者排斥其他投标人的其他串通行为。</w:t>
      </w:r>
    </w:p>
    <w:p w14:paraId="57FD952A">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23.2有下列情形之一的，视为投标人串通投标，其</w:t>
      </w:r>
      <w:r>
        <w:rPr>
          <w:rFonts w:hint="eastAsia" w:ascii="宋体" w:hAnsi="宋体"/>
          <w:b/>
          <w:color w:val="auto"/>
          <w:szCs w:val="21"/>
          <w:highlight w:val="none"/>
        </w:rPr>
        <w:t>投标无效</w:t>
      </w:r>
      <w:r>
        <w:rPr>
          <w:rFonts w:hint="eastAsia" w:ascii="宋体" w:hAnsi="宋体"/>
          <w:color w:val="auto"/>
          <w:szCs w:val="21"/>
          <w:highlight w:val="none"/>
        </w:rPr>
        <w:t>：</w:t>
      </w:r>
    </w:p>
    <w:p w14:paraId="3EE157F0">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（1）不同投标人的投标文件由同一单位或者个人编制；</w:t>
      </w:r>
    </w:p>
    <w:p w14:paraId="75E1CCE4">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（2）不同投标人委托同一单位或者个人办理投标事宜；</w:t>
      </w:r>
    </w:p>
    <w:p w14:paraId="3E83B100">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（3）不同投标人的投标文件载明的项目管理成员或者联系人员为同一人；</w:t>
      </w:r>
    </w:p>
    <w:p w14:paraId="008D0DB7">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（4）不同投标人的投标文件异常一致或者投标报价呈规律性差异；</w:t>
      </w:r>
    </w:p>
    <w:p w14:paraId="55647898">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（5）不同投标人的投标文件相互混装；</w:t>
      </w:r>
    </w:p>
    <w:p w14:paraId="6DA62AF0">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（6）不同投标人的投标保证金从同一单位或者个人的账户转出。</w:t>
      </w:r>
    </w:p>
    <w:p w14:paraId="05211ECA">
      <w:pPr>
        <w:pStyle w:val="11"/>
        <w:adjustRightInd w:val="0"/>
        <w:snapToGrid w:val="0"/>
        <w:spacing w:before="156" w:beforeLines="50" w:after="0" w:line="360" w:lineRule="auto"/>
        <w:jc w:val="center"/>
        <w:rPr>
          <w:rFonts w:ascii="黑体" w:hAnsi="黑体" w:eastAsia="黑体"/>
          <w:color w:val="auto"/>
          <w:sz w:val="28"/>
          <w:szCs w:val="28"/>
          <w:highlight w:val="none"/>
        </w:rPr>
      </w:pPr>
      <w:bookmarkStart w:id="30" w:name="_Toc2788"/>
      <w:r>
        <w:rPr>
          <w:rFonts w:hint="eastAsia" w:ascii="黑体" w:hAnsi="黑体" w:eastAsia="黑体"/>
          <w:color w:val="auto"/>
          <w:sz w:val="28"/>
          <w:szCs w:val="28"/>
          <w:highlight w:val="none"/>
        </w:rPr>
        <w:t>五、开标，资格审查和评标</w:t>
      </w:r>
      <w:bookmarkEnd w:id="30"/>
    </w:p>
    <w:p w14:paraId="6121BB91">
      <w:pPr>
        <w:adjustRightInd w:val="0"/>
        <w:snapToGrid w:val="0"/>
        <w:spacing w:before="156" w:beforeLines="50" w:line="360" w:lineRule="auto"/>
        <w:jc w:val="left"/>
        <w:rPr>
          <w:rFonts w:ascii="宋体" w:hAnsi="宋体"/>
          <w:b/>
          <w:bCs/>
          <w:color w:val="auto"/>
          <w:sz w:val="24"/>
          <w:highlight w:val="none"/>
        </w:rPr>
      </w:pPr>
      <w:r>
        <w:rPr>
          <w:rFonts w:hint="eastAsia" w:ascii="宋体" w:hAnsi="宋体"/>
          <w:b/>
          <w:bCs/>
          <w:color w:val="auto"/>
          <w:sz w:val="24"/>
          <w:highlight w:val="none"/>
        </w:rPr>
        <w:t>24. 开标</w:t>
      </w:r>
    </w:p>
    <w:p w14:paraId="46C2450B">
      <w:pPr>
        <w:snapToGrid w:val="0"/>
        <w:spacing w:before="156" w:line="360" w:lineRule="auto"/>
        <w:ind w:firstLine="420" w:firstLineChars="200"/>
        <w:jc w:val="left"/>
        <w:textAlignment w:val="baseline"/>
        <w:rPr>
          <w:rStyle w:val="49"/>
          <w:rFonts w:ascii="宋体" w:hAnsi="宋体"/>
          <w:color w:val="auto"/>
          <w:szCs w:val="21"/>
          <w:highlight w:val="none"/>
        </w:rPr>
      </w:pPr>
      <w:r>
        <w:rPr>
          <w:rStyle w:val="49"/>
          <w:rFonts w:ascii="宋体" w:hAnsi="宋体"/>
          <w:color w:val="auto"/>
          <w:szCs w:val="21"/>
          <w:highlight w:val="none"/>
        </w:rPr>
        <w:t>24.1投标人通过网上开标系统参加开标会 ，投标人无需到开标现场，请投标人提前配置好解密电脑和软件环境，在规定时间内使用制作投标文件时的 ACA 锁登录“网上开标系统”解密投标文件（请仔细阅读株洲市公共资源交易平台发布的《投标人不见面开标操作手册》） 。</w:t>
      </w:r>
    </w:p>
    <w:p w14:paraId="5C8A6377">
      <w:pPr>
        <w:snapToGrid w:val="0"/>
        <w:spacing w:before="156" w:line="360" w:lineRule="auto"/>
        <w:ind w:firstLine="420" w:firstLineChars="200"/>
        <w:jc w:val="left"/>
        <w:textAlignment w:val="baseline"/>
        <w:rPr>
          <w:rStyle w:val="49"/>
          <w:rFonts w:ascii="宋体" w:hAnsi="宋体"/>
          <w:color w:val="auto"/>
          <w:szCs w:val="21"/>
          <w:highlight w:val="none"/>
        </w:rPr>
      </w:pPr>
      <w:r>
        <w:rPr>
          <w:rStyle w:val="49"/>
          <w:rFonts w:ascii="宋体" w:hAnsi="宋体"/>
          <w:color w:val="auto"/>
          <w:szCs w:val="21"/>
          <w:highlight w:val="none"/>
        </w:rPr>
        <w:t>24.2开标时，出现下列情形之一的，采购代理机构不予受理，不得进入评标：</w:t>
      </w:r>
    </w:p>
    <w:p w14:paraId="3F5DAD76">
      <w:pPr>
        <w:snapToGrid w:val="0"/>
        <w:spacing w:before="156" w:line="360" w:lineRule="auto"/>
        <w:ind w:firstLine="420" w:firstLineChars="200"/>
        <w:jc w:val="left"/>
        <w:textAlignment w:val="baseline"/>
        <w:rPr>
          <w:rStyle w:val="49"/>
          <w:rFonts w:ascii="宋体" w:hAnsi="宋体"/>
          <w:color w:val="auto"/>
          <w:szCs w:val="21"/>
          <w:highlight w:val="none"/>
        </w:rPr>
      </w:pPr>
      <w:r>
        <w:rPr>
          <w:rStyle w:val="49"/>
          <w:rFonts w:ascii="宋体" w:hAnsi="宋体"/>
          <w:color w:val="auto"/>
          <w:szCs w:val="21"/>
          <w:highlight w:val="none"/>
        </w:rPr>
        <w:t>（1）经检查数字证书无效的电子投标文件；</w:t>
      </w:r>
    </w:p>
    <w:p w14:paraId="188C5ACB">
      <w:pPr>
        <w:snapToGrid w:val="0"/>
        <w:spacing w:before="156" w:line="360" w:lineRule="auto"/>
        <w:ind w:firstLine="420" w:firstLineChars="200"/>
        <w:jc w:val="left"/>
        <w:textAlignment w:val="baseline"/>
        <w:rPr>
          <w:rStyle w:val="49"/>
          <w:rFonts w:ascii="宋体" w:hAnsi="宋体"/>
          <w:color w:val="auto"/>
          <w:szCs w:val="21"/>
          <w:highlight w:val="none"/>
        </w:rPr>
      </w:pPr>
      <w:r>
        <w:rPr>
          <w:rStyle w:val="49"/>
          <w:rFonts w:ascii="宋体" w:hAnsi="宋体"/>
          <w:color w:val="auto"/>
          <w:szCs w:val="21"/>
          <w:highlight w:val="none"/>
        </w:rPr>
        <w:t>（2）电子投标文件未按要求上传至交易平台的；</w:t>
      </w:r>
    </w:p>
    <w:p w14:paraId="26E62DE0">
      <w:pPr>
        <w:snapToGrid w:val="0"/>
        <w:spacing w:before="156" w:line="360" w:lineRule="auto"/>
        <w:ind w:firstLine="420" w:firstLineChars="200"/>
        <w:jc w:val="left"/>
        <w:textAlignment w:val="baseline"/>
        <w:rPr>
          <w:rStyle w:val="49"/>
          <w:rFonts w:ascii="宋体" w:hAnsi="宋体"/>
          <w:color w:val="auto"/>
          <w:szCs w:val="21"/>
          <w:highlight w:val="none"/>
        </w:rPr>
      </w:pPr>
      <w:r>
        <w:rPr>
          <w:rStyle w:val="49"/>
          <w:rFonts w:ascii="宋体" w:hAnsi="宋体"/>
          <w:color w:val="auto"/>
          <w:szCs w:val="21"/>
          <w:highlight w:val="none"/>
        </w:rPr>
        <w:t>（3）投标人未按照规定的时间解密电子投标文件的；</w:t>
      </w:r>
    </w:p>
    <w:p w14:paraId="2D901F5E">
      <w:pPr>
        <w:snapToGrid w:val="0"/>
        <w:spacing w:before="156" w:line="360" w:lineRule="auto"/>
        <w:ind w:firstLine="420" w:firstLineChars="200"/>
        <w:jc w:val="left"/>
        <w:textAlignment w:val="baseline"/>
        <w:rPr>
          <w:rStyle w:val="49"/>
          <w:rFonts w:ascii="宋体" w:hAnsi="宋体"/>
          <w:color w:val="auto"/>
          <w:szCs w:val="21"/>
          <w:highlight w:val="none"/>
        </w:rPr>
      </w:pPr>
      <w:r>
        <w:rPr>
          <w:rStyle w:val="49"/>
          <w:rFonts w:ascii="宋体" w:hAnsi="宋体"/>
          <w:color w:val="auto"/>
          <w:szCs w:val="21"/>
          <w:highlight w:val="none"/>
        </w:rPr>
        <w:t>（4）其它违反法律、法规的情形。</w:t>
      </w:r>
    </w:p>
    <w:p w14:paraId="7731827E">
      <w:pPr>
        <w:snapToGrid w:val="0"/>
        <w:spacing w:before="158" w:line="360" w:lineRule="auto"/>
        <w:ind w:firstLine="420" w:firstLineChars="200"/>
        <w:jc w:val="left"/>
        <w:textAlignment w:val="baseline"/>
        <w:rPr>
          <w:rStyle w:val="49"/>
          <w:rFonts w:ascii="宋体" w:hAnsi="宋体"/>
          <w:color w:val="auto"/>
          <w:szCs w:val="21"/>
          <w:highlight w:val="none"/>
        </w:rPr>
      </w:pPr>
      <w:r>
        <w:rPr>
          <w:rStyle w:val="49"/>
          <w:rFonts w:ascii="宋体" w:hAnsi="宋体"/>
          <w:color w:val="auto"/>
          <w:szCs w:val="21"/>
          <w:highlight w:val="none"/>
        </w:rPr>
        <w:t>24.3开标程序。采购代理机构在规定的时间内，按下列程序进行开标：</w:t>
      </w:r>
    </w:p>
    <w:p w14:paraId="3A6C9D43">
      <w:pPr>
        <w:snapToGrid w:val="0"/>
        <w:spacing w:before="158" w:line="360" w:lineRule="auto"/>
        <w:ind w:firstLine="420" w:firstLineChars="200"/>
        <w:jc w:val="left"/>
        <w:textAlignment w:val="baseline"/>
        <w:rPr>
          <w:rStyle w:val="49"/>
          <w:rFonts w:ascii="宋体" w:hAnsi="宋体"/>
          <w:color w:val="auto"/>
          <w:szCs w:val="21"/>
          <w:highlight w:val="none"/>
        </w:rPr>
      </w:pPr>
      <w:r>
        <w:rPr>
          <w:rStyle w:val="49"/>
          <w:rFonts w:ascii="宋体" w:hAnsi="宋体"/>
          <w:color w:val="auto"/>
          <w:szCs w:val="21"/>
          <w:highlight w:val="none"/>
        </w:rPr>
        <w:t>（1）公布投标人名称；</w:t>
      </w:r>
    </w:p>
    <w:p w14:paraId="69936795">
      <w:pPr>
        <w:snapToGrid w:val="0"/>
        <w:spacing w:before="158" w:line="360" w:lineRule="auto"/>
        <w:ind w:firstLine="420" w:firstLineChars="200"/>
        <w:jc w:val="left"/>
        <w:textAlignment w:val="baseline"/>
        <w:rPr>
          <w:rStyle w:val="49"/>
          <w:rFonts w:ascii="宋体" w:hAnsi="宋体"/>
          <w:color w:val="auto"/>
          <w:szCs w:val="21"/>
          <w:highlight w:val="none"/>
        </w:rPr>
      </w:pPr>
      <w:r>
        <w:rPr>
          <w:rStyle w:val="49"/>
          <w:rFonts w:ascii="宋体" w:hAnsi="宋体"/>
          <w:color w:val="auto"/>
          <w:szCs w:val="21"/>
          <w:highlight w:val="none"/>
        </w:rPr>
        <w:t>（2）检查投标保证金缴纳情况；</w:t>
      </w:r>
    </w:p>
    <w:p w14:paraId="4A0C3D36">
      <w:pPr>
        <w:snapToGrid w:val="0"/>
        <w:spacing w:before="158" w:line="360" w:lineRule="auto"/>
        <w:ind w:firstLine="420" w:firstLineChars="200"/>
        <w:jc w:val="left"/>
        <w:textAlignment w:val="baseline"/>
        <w:rPr>
          <w:rStyle w:val="49"/>
          <w:rFonts w:ascii="宋体" w:hAnsi="宋体"/>
          <w:color w:val="auto"/>
          <w:szCs w:val="21"/>
          <w:highlight w:val="none"/>
        </w:rPr>
      </w:pPr>
      <w:r>
        <w:rPr>
          <w:rStyle w:val="49"/>
          <w:rFonts w:ascii="宋体" w:hAnsi="宋体"/>
          <w:color w:val="auto"/>
          <w:szCs w:val="21"/>
          <w:highlight w:val="none"/>
        </w:rPr>
        <w:t>（3）解密投标文件：从投标截止时间起</w:t>
      </w:r>
      <w:r>
        <w:rPr>
          <w:rStyle w:val="49"/>
          <w:rFonts w:hint="eastAsia" w:ascii="宋体" w:hAnsi="宋体"/>
          <w:color w:val="auto"/>
          <w:szCs w:val="21"/>
          <w:highlight w:val="none"/>
          <w:lang w:val="en-US"/>
        </w:rPr>
        <w:t>6</w:t>
      </w:r>
      <w:r>
        <w:rPr>
          <w:rStyle w:val="49"/>
          <w:rFonts w:ascii="宋体" w:hAnsi="宋体"/>
          <w:color w:val="auto"/>
          <w:szCs w:val="21"/>
          <w:highlight w:val="none"/>
        </w:rPr>
        <w:t>0分钟内完成。由于投标人自身原因导致投标文件在解密时限内未解密或解密失败的，视为撤销其投标文件，开标继续进行。投标人不足3家的，不得开标。</w:t>
      </w:r>
    </w:p>
    <w:p w14:paraId="10ED17D9">
      <w:pPr>
        <w:snapToGrid w:val="0"/>
        <w:spacing w:before="158" w:line="360" w:lineRule="auto"/>
        <w:ind w:firstLine="420" w:firstLineChars="200"/>
        <w:jc w:val="left"/>
        <w:textAlignment w:val="baseline"/>
        <w:rPr>
          <w:rStyle w:val="49"/>
          <w:rFonts w:ascii="宋体" w:hAnsi="宋体"/>
          <w:color w:val="auto"/>
          <w:szCs w:val="21"/>
          <w:highlight w:val="none"/>
        </w:rPr>
      </w:pPr>
      <w:r>
        <w:rPr>
          <w:rStyle w:val="49"/>
          <w:rFonts w:ascii="宋体" w:hAnsi="宋体"/>
          <w:color w:val="auto"/>
          <w:szCs w:val="21"/>
          <w:highlight w:val="none"/>
        </w:rPr>
        <w:t>（4）唱标：以《开标一览表》为准，未提供的按无效投标处理。在线生成的《开标记录表》所有有效投标人可以在线即时查看、下载。</w:t>
      </w:r>
    </w:p>
    <w:p w14:paraId="0C69A5D8">
      <w:pPr>
        <w:snapToGrid w:val="0"/>
        <w:spacing w:before="158" w:line="360" w:lineRule="auto"/>
        <w:ind w:firstLine="420" w:firstLineChars="200"/>
        <w:jc w:val="left"/>
        <w:textAlignment w:val="baseline"/>
        <w:rPr>
          <w:rStyle w:val="49"/>
          <w:rFonts w:ascii="宋体" w:hAnsi="宋体"/>
          <w:color w:val="auto"/>
          <w:szCs w:val="21"/>
          <w:highlight w:val="none"/>
        </w:rPr>
      </w:pPr>
      <w:r>
        <w:rPr>
          <w:rStyle w:val="49"/>
          <w:rFonts w:ascii="宋体" w:hAnsi="宋体"/>
          <w:color w:val="auto"/>
          <w:szCs w:val="21"/>
          <w:highlight w:val="none"/>
        </w:rPr>
        <w:t>（5）投标人法人或授权代表应在系统规定的时间内在开标记录上进行确认，否则视同认可开标结果。</w:t>
      </w:r>
    </w:p>
    <w:p w14:paraId="365A32DC">
      <w:pPr>
        <w:snapToGrid w:val="0"/>
        <w:spacing w:before="158" w:line="360" w:lineRule="auto"/>
        <w:ind w:firstLine="420" w:firstLineChars="200"/>
        <w:jc w:val="left"/>
        <w:textAlignment w:val="baseline"/>
        <w:rPr>
          <w:rStyle w:val="49"/>
          <w:rFonts w:ascii="宋体" w:hAnsi="宋体"/>
          <w:color w:val="auto"/>
          <w:szCs w:val="21"/>
          <w:highlight w:val="none"/>
        </w:rPr>
      </w:pPr>
      <w:r>
        <w:rPr>
          <w:rStyle w:val="49"/>
          <w:rFonts w:ascii="宋体" w:hAnsi="宋体"/>
          <w:color w:val="auto"/>
          <w:szCs w:val="21"/>
          <w:highlight w:val="none"/>
        </w:rPr>
        <w:t>24.4开标时，由采购人、采购代理机构当众在线展示递交电子投标文件单位，核对投标人名称、投标价格和</w:t>
      </w:r>
      <w:r>
        <w:rPr>
          <w:rStyle w:val="49"/>
          <w:rFonts w:ascii="宋体" w:hAnsi="宋体"/>
          <w:b/>
          <w:bCs/>
          <w:color w:val="auto"/>
          <w:szCs w:val="21"/>
          <w:highlight w:val="none"/>
        </w:rPr>
        <w:t xml:space="preserve"> 【投标须知前附表】</w:t>
      </w:r>
      <w:r>
        <w:rPr>
          <w:rStyle w:val="49"/>
          <w:rFonts w:ascii="宋体" w:hAnsi="宋体"/>
          <w:color w:val="auto"/>
          <w:szCs w:val="21"/>
          <w:highlight w:val="none"/>
        </w:rPr>
        <w:t>规定需要宣布的其他内容。投标人不足 3 家的，不得开标。</w:t>
      </w:r>
    </w:p>
    <w:p w14:paraId="18187FDF">
      <w:pPr>
        <w:snapToGrid w:val="0"/>
        <w:spacing w:before="158" w:line="360" w:lineRule="auto"/>
        <w:ind w:firstLine="420" w:firstLineChars="200"/>
        <w:jc w:val="left"/>
        <w:textAlignment w:val="baseline"/>
        <w:rPr>
          <w:rStyle w:val="49"/>
          <w:rFonts w:ascii="宋体" w:hAnsi="宋体"/>
          <w:color w:val="auto"/>
          <w:szCs w:val="21"/>
          <w:highlight w:val="none"/>
        </w:rPr>
      </w:pPr>
      <w:r>
        <w:rPr>
          <w:rStyle w:val="49"/>
          <w:rFonts w:ascii="宋体" w:hAnsi="宋体"/>
          <w:color w:val="auto"/>
          <w:szCs w:val="21"/>
          <w:highlight w:val="none"/>
        </w:rPr>
        <w:t>24.5开标过程应当由采购人、采购代理机构负责记录，由参加开标的各投标人代表和相关工作人员签字确认后随采购文件一并存档。</w:t>
      </w:r>
    </w:p>
    <w:p w14:paraId="272BB469">
      <w:pPr>
        <w:snapToGrid w:val="0"/>
        <w:spacing w:before="158" w:line="360" w:lineRule="auto"/>
        <w:ind w:firstLine="420" w:firstLineChars="200"/>
        <w:jc w:val="left"/>
        <w:textAlignment w:val="baseline"/>
        <w:rPr>
          <w:rStyle w:val="49"/>
          <w:rFonts w:ascii="宋体" w:hAnsi="宋体"/>
          <w:color w:val="auto"/>
          <w:szCs w:val="21"/>
          <w:highlight w:val="none"/>
        </w:rPr>
      </w:pPr>
      <w:r>
        <w:rPr>
          <w:rStyle w:val="49"/>
          <w:rFonts w:ascii="宋体" w:hAnsi="宋体"/>
          <w:color w:val="auto"/>
          <w:szCs w:val="21"/>
          <w:highlight w:val="none"/>
        </w:rPr>
        <w:t>24.6开标结果系统自动默认，投标人代表对开标过程和开标记录有疑义，以及认为采购人或者采购代理机构相关工作人员有《政府采购法实施条例》第九条第一款需要回避的情形的，应在线提出询问或者回避申请。</w:t>
      </w:r>
    </w:p>
    <w:p w14:paraId="012BEC68">
      <w:pPr>
        <w:snapToGrid w:val="0"/>
        <w:spacing w:before="156" w:line="360" w:lineRule="auto"/>
        <w:ind w:firstLine="420" w:firstLineChars="200"/>
        <w:jc w:val="left"/>
        <w:textAlignment w:val="baseline"/>
        <w:rPr>
          <w:rStyle w:val="49"/>
          <w:rFonts w:ascii="宋体" w:hAnsi="宋体"/>
          <w:color w:val="auto"/>
          <w:szCs w:val="21"/>
          <w:highlight w:val="none"/>
        </w:rPr>
      </w:pPr>
      <w:r>
        <w:rPr>
          <w:rStyle w:val="49"/>
          <w:rFonts w:ascii="宋体" w:hAnsi="宋体"/>
          <w:color w:val="auto"/>
          <w:szCs w:val="21"/>
          <w:highlight w:val="none"/>
        </w:rPr>
        <w:t>24.7采购人、采购代理机构对投标人代表当场提出的询问或者回避申请，按《政府采购法实施条例》有关规定及时处理。</w:t>
      </w:r>
    </w:p>
    <w:p w14:paraId="466916A4">
      <w:pPr>
        <w:snapToGrid w:val="0"/>
        <w:spacing w:before="156" w:line="360" w:lineRule="auto"/>
        <w:ind w:firstLine="420" w:firstLineChars="200"/>
        <w:jc w:val="left"/>
        <w:textAlignment w:val="baseline"/>
        <w:rPr>
          <w:rStyle w:val="49"/>
          <w:rFonts w:ascii="宋体" w:hAnsi="宋体"/>
          <w:color w:val="auto"/>
          <w:szCs w:val="21"/>
          <w:highlight w:val="none"/>
        </w:rPr>
      </w:pPr>
      <w:r>
        <w:rPr>
          <w:rStyle w:val="49"/>
          <w:rFonts w:ascii="宋体" w:hAnsi="宋体"/>
          <w:color w:val="auto"/>
          <w:szCs w:val="21"/>
          <w:highlight w:val="none"/>
        </w:rPr>
        <w:t>24.8开标时，出现下列情形之一的，视为投标人撤销其投标：</w:t>
      </w:r>
    </w:p>
    <w:p w14:paraId="60AEC35D">
      <w:pPr>
        <w:snapToGrid w:val="0"/>
        <w:spacing w:before="156" w:line="360" w:lineRule="auto"/>
        <w:ind w:firstLine="420" w:firstLineChars="200"/>
        <w:jc w:val="left"/>
        <w:textAlignment w:val="baseline"/>
        <w:rPr>
          <w:rStyle w:val="49"/>
          <w:rFonts w:ascii="宋体" w:hAnsi="宋体"/>
          <w:color w:val="auto"/>
          <w:szCs w:val="21"/>
          <w:highlight w:val="none"/>
        </w:rPr>
      </w:pPr>
      <w:r>
        <w:rPr>
          <w:rStyle w:val="49"/>
          <w:rFonts w:ascii="宋体" w:hAnsi="宋体"/>
          <w:color w:val="auto"/>
          <w:szCs w:val="21"/>
          <w:highlight w:val="none"/>
        </w:rPr>
        <w:t>（1）投标人未按要求配置开标所需的软硬件设备，导致解密失败的；</w:t>
      </w:r>
    </w:p>
    <w:p w14:paraId="662BE999">
      <w:pPr>
        <w:snapToGrid w:val="0"/>
        <w:spacing w:before="156" w:line="360" w:lineRule="auto"/>
        <w:ind w:firstLine="420" w:firstLineChars="200"/>
        <w:jc w:val="left"/>
        <w:textAlignment w:val="baseline"/>
        <w:rPr>
          <w:rStyle w:val="49"/>
          <w:rFonts w:ascii="宋体" w:hAnsi="宋体"/>
          <w:color w:val="auto"/>
          <w:szCs w:val="21"/>
          <w:highlight w:val="none"/>
        </w:rPr>
      </w:pPr>
      <w:r>
        <w:rPr>
          <w:rStyle w:val="49"/>
          <w:rFonts w:ascii="宋体" w:hAnsi="宋体"/>
          <w:color w:val="auto"/>
          <w:szCs w:val="21"/>
          <w:highlight w:val="none"/>
        </w:rPr>
        <w:t>（2）投标人电脑故障或无法上网，导致解密失败的；</w:t>
      </w:r>
    </w:p>
    <w:p w14:paraId="3E96C6C9">
      <w:pPr>
        <w:snapToGrid w:val="0"/>
        <w:spacing w:before="156" w:line="360" w:lineRule="auto"/>
        <w:ind w:firstLine="420" w:firstLineChars="200"/>
        <w:jc w:val="left"/>
        <w:textAlignment w:val="baseline"/>
        <w:rPr>
          <w:rStyle w:val="49"/>
          <w:rFonts w:ascii="宋体" w:hAnsi="宋体"/>
          <w:color w:val="auto"/>
          <w:szCs w:val="21"/>
          <w:highlight w:val="none"/>
        </w:rPr>
      </w:pPr>
      <w:r>
        <w:rPr>
          <w:rStyle w:val="49"/>
          <w:rFonts w:ascii="宋体" w:hAnsi="宋体"/>
          <w:color w:val="auto"/>
          <w:szCs w:val="21"/>
          <w:highlight w:val="none"/>
        </w:rPr>
        <w:t>（3）解密锁发生故障、失效、错误等，导致解密失败的；</w:t>
      </w:r>
    </w:p>
    <w:p w14:paraId="7718474A">
      <w:pPr>
        <w:snapToGrid w:val="0"/>
        <w:spacing w:before="156" w:line="360" w:lineRule="auto"/>
        <w:ind w:firstLine="420" w:firstLineChars="200"/>
        <w:jc w:val="left"/>
        <w:textAlignment w:val="baseline"/>
        <w:rPr>
          <w:rStyle w:val="49"/>
          <w:rFonts w:ascii="宋体" w:hAnsi="宋体"/>
          <w:color w:val="auto"/>
          <w:szCs w:val="21"/>
          <w:highlight w:val="none"/>
        </w:rPr>
      </w:pPr>
      <w:r>
        <w:rPr>
          <w:rStyle w:val="49"/>
          <w:rFonts w:ascii="宋体" w:hAnsi="宋体"/>
          <w:color w:val="auto"/>
          <w:szCs w:val="21"/>
          <w:highlight w:val="none"/>
        </w:rPr>
        <w:t>（4）解密时间超过规定时限的；</w:t>
      </w:r>
    </w:p>
    <w:p w14:paraId="71A87047">
      <w:pPr>
        <w:snapToGrid w:val="0"/>
        <w:spacing w:before="156" w:line="360" w:lineRule="auto"/>
        <w:ind w:firstLine="420" w:firstLineChars="200"/>
        <w:jc w:val="left"/>
        <w:textAlignment w:val="baseline"/>
        <w:rPr>
          <w:rStyle w:val="49"/>
          <w:rFonts w:ascii="宋体" w:hAnsi="宋体"/>
          <w:color w:val="auto"/>
          <w:szCs w:val="21"/>
          <w:highlight w:val="none"/>
        </w:rPr>
      </w:pPr>
      <w:r>
        <w:rPr>
          <w:rStyle w:val="49"/>
          <w:rFonts w:ascii="宋体" w:hAnsi="宋体"/>
          <w:color w:val="auto"/>
          <w:szCs w:val="21"/>
          <w:highlight w:val="none"/>
        </w:rPr>
        <w:t>（5）其他由于投标人自身原因导致解密失效的情形。</w:t>
      </w:r>
    </w:p>
    <w:p w14:paraId="407F57F6">
      <w:pPr>
        <w:snapToGrid w:val="0"/>
        <w:spacing w:before="156" w:line="360" w:lineRule="auto"/>
        <w:ind w:firstLine="420" w:firstLineChars="200"/>
        <w:jc w:val="left"/>
        <w:textAlignment w:val="baseline"/>
        <w:rPr>
          <w:rStyle w:val="49"/>
          <w:rFonts w:ascii="宋体" w:hAnsi="宋体"/>
          <w:color w:val="auto"/>
          <w:szCs w:val="21"/>
          <w:highlight w:val="none"/>
        </w:rPr>
      </w:pPr>
      <w:r>
        <w:rPr>
          <w:rStyle w:val="49"/>
          <w:rFonts w:ascii="宋体" w:hAnsi="宋体"/>
          <w:color w:val="auto"/>
          <w:szCs w:val="21"/>
          <w:highlight w:val="none"/>
        </w:rPr>
        <w:t>24.9电子招投标的应急措施</w:t>
      </w:r>
    </w:p>
    <w:p w14:paraId="2B1DC305">
      <w:pPr>
        <w:snapToGrid w:val="0"/>
        <w:spacing w:before="156" w:line="360" w:lineRule="auto"/>
        <w:ind w:firstLine="420" w:firstLineChars="200"/>
        <w:jc w:val="left"/>
        <w:textAlignment w:val="baseline"/>
        <w:rPr>
          <w:rStyle w:val="49"/>
          <w:rFonts w:ascii="宋体" w:hAnsi="宋体"/>
          <w:color w:val="auto"/>
          <w:szCs w:val="21"/>
          <w:highlight w:val="none"/>
        </w:rPr>
      </w:pPr>
      <w:r>
        <w:rPr>
          <w:rStyle w:val="49"/>
          <w:rFonts w:ascii="宋体" w:hAnsi="宋体"/>
          <w:color w:val="auto"/>
          <w:szCs w:val="21"/>
          <w:highlight w:val="none"/>
        </w:rPr>
        <w:t>电子开标、评标如出现下列情形，导致系统无法正常运行时，按交易中心应急预案措施执行：</w:t>
      </w:r>
    </w:p>
    <w:p w14:paraId="4CCD6E13">
      <w:pPr>
        <w:snapToGrid w:val="0"/>
        <w:spacing w:before="156" w:line="360" w:lineRule="auto"/>
        <w:ind w:firstLine="420" w:firstLineChars="200"/>
        <w:jc w:val="left"/>
        <w:textAlignment w:val="baseline"/>
        <w:rPr>
          <w:rStyle w:val="49"/>
          <w:rFonts w:ascii="宋体" w:hAnsi="宋体"/>
          <w:color w:val="auto"/>
          <w:szCs w:val="21"/>
          <w:highlight w:val="none"/>
        </w:rPr>
      </w:pPr>
      <w:r>
        <w:rPr>
          <w:rStyle w:val="49"/>
          <w:rFonts w:ascii="宋体" w:hAnsi="宋体"/>
          <w:color w:val="auto"/>
          <w:szCs w:val="21"/>
          <w:highlight w:val="none"/>
        </w:rPr>
        <w:t>（1）系统服务器发生故障，无法访问或无法使用系统；</w:t>
      </w:r>
    </w:p>
    <w:p w14:paraId="4404B3C8">
      <w:pPr>
        <w:snapToGrid w:val="0"/>
        <w:spacing w:before="156" w:line="360" w:lineRule="auto"/>
        <w:ind w:firstLine="420" w:firstLineChars="200"/>
        <w:jc w:val="left"/>
        <w:textAlignment w:val="baseline"/>
        <w:rPr>
          <w:rStyle w:val="49"/>
          <w:rFonts w:ascii="宋体" w:hAnsi="宋体"/>
          <w:color w:val="auto"/>
          <w:szCs w:val="21"/>
          <w:highlight w:val="none"/>
        </w:rPr>
      </w:pPr>
      <w:r>
        <w:rPr>
          <w:rStyle w:val="49"/>
          <w:rFonts w:ascii="宋体" w:hAnsi="宋体"/>
          <w:color w:val="auto"/>
          <w:szCs w:val="21"/>
          <w:highlight w:val="none"/>
        </w:rPr>
        <w:t>（2）系统的软件或数据库出现错误，不能进行正常操作；</w:t>
      </w:r>
    </w:p>
    <w:p w14:paraId="0DA2F304">
      <w:pPr>
        <w:snapToGrid w:val="0"/>
        <w:spacing w:before="156" w:line="360" w:lineRule="auto"/>
        <w:ind w:firstLine="420" w:firstLineChars="200"/>
        <w:jc w:val="left"/>
        <w:textAlignment w:val="baseline"/>
        <w:rPr>
          <w:rStyle w:val="49"/>
          <w:rFonts w:ascii="宋体" w:hAnsi="宋体"/>
          <w:color w:val="auto"/>
          <w:szCs w:val="21"/>
          <w:highlight w:val="none"/>
        </w:rPr>
      </w:pPr>
      <w:r>
        <w:rPr>
          <w:rStyle w:val="49"/>
          <w:rFonts w:ascii="宋体" w:hAnsi="宋体"/>
          <w:color w:val="auto"/>
          <w:szCs w:val="21"/>
          <w:highlight w:val="none"/>
        </w:rPr>
        <w:t>（3）系统发现有安全漏洞，有潜在的泄密危险；</w:t>
      </w:r>
    </w:p>
    <w:p w14:paraId="55ABA9BA">
      <w:pPr>
        <w:snapToGrid w:val="0"/>
        <w:spacing w:before="156" w:line="360" w:lineRule="auto"/>
        <w:ind w:firstLine="420" w:firstLineChars="200"/>
        <w:jc w:val="left"/>
        <w:textAlignment w:val="baseline"/>
        <w:rPr>
          <w:rStyle w:val="49"/>
          <w:rFonts w:ascii="宋体" w:hAnsi="宋体"/>
          <w:color w:val="auto"/>
          <w:szCs w:val="21"/>
          <w:highlight w:val="none"/>
        </w:rPr>
      </w:pPr>
      <w:r>
        <w:rPr>
          <w:rStyle w:val="49"/>
          <w:rFonts w:ascii="宋体" w:hAnsi="宋体"/>
          <w:color w:val="auto"/>
          <w:szCs w:val="21"/>
          <w:highlight w:val="none"/>
        </w:rPr>
        <w:t>（4）病毒发作或受到外来病毒的攻击；</w:t>
      </w:r>
    </w:p>
    <w:p w14:paraId="441815B2">
      <w:pPr>
        <w:snapToGrid w:val="0"/>
        <w:spacing w:before="156" w:line="360" w:lineRule="auto"/>
        <w:ind w:firstLine="420" w:firstLineChars="200"/>
        <w:jc w:val="left"/>
        <w:textAlignment w:val="baseline"/>
        <w:rPr>
          <w:rStyle w:val="49"/>
          <w:rFonts w:ascii="宋体" w:hAnsi="宋体"/>
          <w:color w:val="auto"/>
          <w:szCs w:val="21"/>
          <w:highlight w:val="none"/>
        </w:rPr>
      </w:pPr>
      <w:r>
        <w:rPr>
          <w:rStyle w:val="49"/>
          <w:rFonts w:ascii="宋体" w:hAnsi="宋体"/>
          <w:color w:val="auto"/>
          <w:szCs w:val="21"/>
          <w:highlight w:val="none"/>
        </w:rPr>
        <w:t>（5）其他特殊情况。</w:t>
      </w:r>
    </w:p>
    <w:p w14:paraId="76DFBAE8">
      <w:pPr>
        <w:snapToGrid w:val="0"/>
        <w:spacing w:before="156" w:line="360" w:lineRule="auto"/>
        <w:ind w:firstLine="420" w:firstLineChars="200"/>
        <w:jc w:val="left"/>
        <w:textAlignment w:val="baseline"/>
        <w:rPr>
          <w:rStyle w:val="49"/>
          <w:rFonts w:ascii="宋体" w:hAnsi="宋体"/>
          <w:color w:val="auto"/>
          <w:szCs w:val="21"/>
          <w:highlight w:val="none"/>
        </w:rPr>
      </w:pPr>
      <w:r>
        <w:rPr>
          <w:rStyle w:val="49"/>
          <w:rFonts w:ascii="宋体" w:hAnsi="宋体"/>
          <w:color w:val="auto"/>
          <w:szCs w:val="21"/>
          <w:highlight w:val="none"/>
        </w:rPr>
        <w:t>出现上述情况之一时，经交易中心相关部门确认：对未开标的暂停开标或作延期开标处理，待系统恢复后再进行开标活动；已在系统内评标的，评标委员会酌情延期进行评审，待系统恢复后再进行评审工作。</w:t>
      </w:r>
    </w:p>
    <w:p w14:paraId="34F86A87">
      <w:pPr>
        <w:adjustRightInd w:val="0"/>
        <w:snapToGrid w:val="0"/>
        <w:spacing w:before="156" w:beforeLines="50" w:line="360" w:lineRule="auto"/>
        <w:jc w:val="left"/>
        <w:rPr>
          <w:rFonts w:ascii="宋体" w:hAnsi="宋体"/>
          <w:b/>
          <w:color w:val="auto"/>
          <w:sz w:val="24"/>
          <w:highlight w:val="none"/>
        </w:rPr>
      </w:pPr>
      <w:r>
        <w:rPr>
          <w:rStyle w:val="32"/>
          <w:rFonts w:hint="eastAsia" w:ascii="宋体" w:hAnsi="宋体" w:cs="Arial"/>
          <w:color w:val="auto"/>
          <w:sz w:val="24"/>
          <w:highlight w:val="none"/>
        </w:rPr>
        <w:t>25.</w:t>
      </w:r>
      <w:r>
        <w:rPr>
          <w:rFonts w:hint="eastAsia" w:ascii="宋体" w:hAnsi="宋体"/>
          <w:b/>
          <w:color w:val="auto"/>
          <w:sz w:val="24"/>
          <w:highlight w:val="none"/>
        </w:rPr>
        <w:t xml:space="preserve"> 资格审查</w:t>
      </w:r>
    </w:p>
    <w:p w14:paraId="2B7BDC03">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25.1开标结束后，采购人、采购代理机构依法按照第三章</w:t>
      </w:r>
      <w:r>
        <w:rPr>
          <w:rFonts w:hint="eastAsia" w:ascii="华文宋体" w:hAnsi="华文宋体" w:eastAsia="华文宋体"/>
          <w:color w:val="auto"/>
          <w:szCs w:val="21"/>
          <w:highlight w:val="none"/>
        </w:rPr>
        <w:t>“</w:t>
      </w:r>
      <w:r>
        <w:rPr>
          <w:rFonts w:hint="eastAsia" w:ascii="宋体" w:hAnsi="宋体"/>
          <w:color w:val="auto"/>
          <w:szCs w:val="21"/>
          <w:highlight w:val="none"/>
        </w:rPr>
        <w:t>资格审查</w:t>
      </w:r>
      <w:r>
        <w:rPr>
          <w:rFonts w:hint="eastAsia" w:ascii="华文宋体" w:hAnsi="华文宋体" w:eastAsia="华文宋体"/>
          <w:color w:val="auto"/>
          <w:szCs w:val="21"/>
          <w:highlight w:val="none"/>
        </w:rPr>
        <w:t>”</w:t>
      </w:r>
      <w:r>
        <w:rPr>
          <w:rFonts w:hint="eastAsia" w:ascii="宋体" w:hAnsi="宋体"/>
          <w:color w:val="auto"/>
          <w:szCs w:val="21"/>
          <w:highlight w:val="none"/>
        </w:rPr>
        <w:t>规定组织资格审查。</w:t>
      </w:r>
    </w:p>
    <w:p w14:paraId="4273DFD7">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25.2资格审查结束后，采购人、采购代理机构应将资格审查结果告知评标委员会。资格审查不合格投标人不进入评标；资格审查合格投标人少于3家的，不得评标。</w:t>
      </w:r>
    </w:p>
    <w:p w14:paraId="2A15601A">
      <w:pPr>
        <w:adjustRightInd w:val="0"/>
        <w:snapToGrid w:val="0"/>
        <w:spacing w:before="156" w:beforeLines="50" w:line="360" w:lineRule="auto"/>
        <w:jc w:val="left"/>
        <w:rPr>
          <w:rFonts w:ascii="宋体" w:hAnsi="宋体"/>
          <w:b/>
          <w:color w:val="auto"/>
          <w:sz w:val="24"/>
          <w:highlight w:val="none"/>
        </w:rPr>
      </w:pPr>
      <w:r>
        <w:rPr>
          <w:rFonts w:hint="eastAsia" w:ascii="宋体" w:hAnsi="宋体"/>
          <w:b/>
          <w:bCs/>
          <w:color w:val="auto"/>
          <w:sz w:val="24"/>
          <w:highlight w:val="none"/>
        </w:rPr>
        <w:t>26.</w:t>
      </w:r>
      <w:r>
        <w:rPr>
          <w:rFonts w:hint="eastAsia" w:ascii="宋体" w:hAnsi="宋体"/>
          <w:b/>
          <w:color w:val="auto"/>
          <w:sz w:val="24"/>
          <w:highlight w:val="none"/>
        </w:rPr>
        <w:t xml:space="preserve"> 评标委员会</w:t>
      </w:r>
    </w:p>
    <w:p w14:paraId="5A7D7EEE">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26.1评标由依法组建的评标委员会负责，评标委员会由采购人代表和评审专家组成。</w:t>
      </w:r>
    </w:p>
    <w:p w14:paraId="111E63BE">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26.2评标委员会成员有下列情形之一的，应当回避：</w:t>
      </w:r>
    </w:p>
    <w:p w14:paraId="204437E1">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（1）参加采购活动前三年内,与投标人存在劳动关系,或者担任过投标人的董事、监事,或者是投标人的控股股东或实际控制人；</w:t>
      </w:r>
    </w:p>
    <w:p w14:paraId="4B76F840">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（2）与投标人的法定代表人或者负责人有夫妻、直系血亲、三代以内旁系血亲或者近姻亲关系；</w:t>
      </w:r>
    </w:p>
    <w:p w14:paraId="0AF68267">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（3）与投标人有其他可能影响政府采购活动公平、公正进行的关系。</w:t>
      </w:r>
    </w:p>
    <w:p w14:paraId="546117AD">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26.3评标委员会负责具体评标事务，并独立履行下列职责：</w:t>
      </w:r>
    </w:p>
    <w:p w14:paraId="70B0898F">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（1）审查、评价投标文件是否符合招标文件的商务、技术等实质性要求；</w:t>
      </w:r>
    </w:p>
    <w:p w14:paraId="50C1FDDB">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（2）要求投标人对投标文件有关事项作出澄清或者说明；</w:t>
      </w:r>
    </w:p>
    <w:p w14:paraId="396CDCAB">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（3）对投标文件进行比较和评价；</w:t>
      </w:r>
    </w:p>
    <w:p w14:paraId="5A48EFA6">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（4）确定中标候选人名单，以及根据采购人委托直接确定中标人。</w:t>
      </w:r>
    </w:p>
    <w:p w14:paraId="20AB52C0">
      <w:pPr>
        <w:adjustRightInd w:val="0"/>
        <w:snapToGrid w:val="0"/>
        <w:spacing w:before="156" w:beforeLines="50" w:line="360" w:lineRule="auto"/>
        <w:jc w:val="left"/>
        <w:rPr>
          <w:rFonts w:ascii="宋体" w:hAnsi="宋体"/>
          <w:b/>
          <w:bCs/>
          <w:color w:val="auto"/>
          <w:sz w:val="24"/>
          <w:highlight w:val="none"/>
        </w:rPr>
      </w:pPr>
      <w:r>
        <w:rPr>
          <w:rFonts w:hint="eastAsia" w:ascii="宋体" w:hAnsi="宋体"/>
          <w:b/>
          <w:color w:val="auto"/>
          <w:sz w:val="24"/>
          <w:highlight w:val="none"/>
        </w:rPr>
        <w:t>27.</w:t>
      </w:r>
      <w:r>
        <w:rPr>
          <w:rFonts w:hint="eastAsia" w:ascii="宋体" w:hAnsi="宋体"/>
          <w:b/>
          <w:bCs/>
          <w:color w:val="auto"/>
          <w:sz w:val="24"/>
          <w:highlight w:val="none"/>
        </w:rPr>
        <w:t xml:space="preserve"> 评标</w:t>
      </w:r>
    </w:p>
    <w:p w14:paraId="62EC415E">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27.1评标委员会按照</w:t>
      </w:r>
      <w:r>
        <w:rPr>
          <w:rFonts w:hint="eastAsia" w:ascii="宋体" w:hAnsi="宋体"/>
          <w:bCs/>
          <w:color w:val="auto"/>
          <w:highlight w:val="none"/>
        </w:rPr>
        <w:t>第四章</w:t>
      </w:r>
      <w:r>
        <w:rPr>
          <w:rFonts w:hint="eastAsia" w:ascii="华文宋体" w:hAnsi="华文宋体" w:eastAsia="华文宋体"/>
          <w:bCs/>
          <w:color w:val="auto"/>
          <w:highlight w:val="none"/>
        </w:rPr>
        <w:t>“</w:t>
      </w:r>
      <w:r>
        <w:rPr>
          <w:rFonts w:hint="eastAsia" w:ascii="宋体" w:hAnsi="宋体"/>
          <w:bCs/>
          <w:color w:val="auto"/>
          <w:highlight w:val="none"/>
        </w:rPr>
        <w:t>评标方法及标准</w:t>
      </w:r>
      <w:r>
        <w:rPr>
          <w:rFonts w:hint="eastAsia" w:ascii="华文宋体" w:hAnsi="华文宋体" w:eastAsia="华文宋体"/>
          <w:bCs/>
          <w:color w:val="auto"/>
          <w:highlight w:val="none"/>
        </w:rPr>
        <w:t>”</w:t>
      </w:r>
      <w:r>
        <w:rPr>
          <w:rFonts w:hint="eastAsia" w:ascii="宋体" w:hAnsi="宋体"/>
          <w:color w:val="auto"/>
          <w:highlight w:val="none"/>
        </w:rPr>
        <w:t>规定的评标方法、评审因素、标准和程序以及有关法律、法规及规章对投标文件进行评审。</w:t>
      </w:r>
    </w:p>
    <w:p w14:paraId="04A05EE8">
      <w:pPr>
        <w:pStyle w:val="11"/>
        <w:adjustRightInd w:val="0"/>
        <w:snapToGrid w:val="0"/>
        <w:spacing w:before="156" w:beforeLines="50" w:after="0" w:line="360" w:lineRule="auto"/>
        <w:jc w:val="center"/>
        <w:rPr>
          <w:rFonts w:ascii="黑体" w:hAnsi="黑体" w:eastAsia="黑体"/>
          <w:color w:val="auto"/>
          <w:sz w:val="28"/>
          <w:szCs w:val="28"/>
          <w:highlight w:val="none"/>
        </w:rPr>
      </w:pPr>
      <w:bookmarkStart w:id="31" w:name="_Toc14915"/>
      <w:r>
        <w:rPr>
          <w:rFonts w:hint="eastAsia" w:ascii="黑体" w:hAnsi="黑体" w:eastAsia="黑体"/>
          <w:color w:val="auto"/>
          <w:sz w:val="28"/>
          <w:szCs w:val="28"/>
          <w:highlight w:val="none"/>
        </w:rPr>
        <w:t>六、中标信息公布</w:t>
      </w:r>
      <w:bookmarkEnd w:id="31"/>
    </w:p>
    <w:p w14:paraId="446ACA50">
      <w:pPr>
        <w:adjustRightInd w:val="0"/>
        <w:snapToGrid w:val="0"/>
        <w:spacing w:before="156" w:beforeLines="50" w:line="360" w:lineRule="auto"/>
        <w:jc w:val="left"/>
        <w:rPr>
          <w:rFonts w:ascii="宋体" w:hAnsi="宋体"/>
          <w:b/>
          <w:bCs/>
          <w:color w:val="auto"/>
          <w:sz w:val="24"/>
          <w:highlight w:val="none"/>
        </w:rPr>
      </w:pPr>
      <w:r>
        <w:rPr>
          <w:rFonts w:hint="eastAsia" w:ascii="宋体" w:hAnsi="宋体"/>
          <w:b/>
          <w:color w:val="auto"/>
          <w:sz w:val="24"/>
          <w:highlight w:val="none"/>
        </w:rPr>
        <w:t>28.</w:t>
      </w:r>
      <w:r>
        <w:rPr>
          <w:rFonts w:hint="eastAsia" w:ascii="宋体" w:hAnsi="宋体"/>
          <w:color w:val="auto"/>
          <w:sz w:val="24"/>
          <w:highlight w:val="none"/>
        </w:rPr>
        <w:t xml:space="preserve"> </w:t>
      </w:r>
      <w:r>
        <w:rPr>
          <w:rFonts w:hint="eastAsia" w:ascii="宋体" w:hAnsi="宋体"/>
          <w:b/>
          <w:bCs/>
          <w:color w:val="auto"/>
          <w:sz w:val="24"/>
          <w:highlight w:val="none"/>
        </w:rPr>
        <w:t>中标通知书与中标信息公布</w:t>
      </w:r>
    </w:p>
    <w:p w14:paraId="3C2E77B4">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28.1采购代理机构应当在评标结束后2个工作日内将评标报告送采购人。</w:t>
      </w:r>
    </w:p>
    <w:p w14:paraId="4B329D4B">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28.2采购人应当自收到评标报告之日起5个工作日内，在评标报告确定的中标候选人名单中按顺序确定中标人。中标候选人并列的，按照</w:t>
      </w:r>
      <w:r>
        <w:rPr>
          <w:rFonts w:hint="eastAsia" w:ascii="宋体" w:hAnsi="宋体"/>
          <w:b/>
          <w:color w:val="auto"/>
          <w:szCs w:val="21"/>
          <w:highlight w:val="none"/>
        </w:rPr>
        <w:t>【投标须知前附表】</w:t>
      </w:r>
      <w:r>
        <w:rPr>
          <w:rFonts w:hint="eastAsia" w:ascii="宋体" w:hAnsi="宋体"/>
          <w:color w:val="auto"/>
          <w:szCs w:val="21"/>
          <w:highlight w:val="none"/>
        </w:rPr>
        <w:t>规定的方式确定中标人；招标文件未规定的，采取随机抽取的方式确定。</w:t>
      </w:r>
    </w:p>
    <w:p w14:paraId="20780F67">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28.3采购人、采购代理机构应当自采购人确定中标供应商之日起2个工作日内，发出中标通知书，并在招标公告指定媒体上公告中标结果，招标文件随中标结果同时公告，中标结果公告期限为1个工作日。</w:t>
      </w:r>
    </w:p>
    <w:p w14:paraId="0AF81C84">
      <w:pPr>
        <w:adjustRightInd w:val="0"/>
        <w:snapToGrid w:val="0"/>
        <w:spacing w:before="156" w:beforeLines="50" w:line="360" w:lineRule="auto"/>
        <w:jc w:val="left"/>
        <w:rPr>
          <w:rFonts w:ascii="宋体" w:hAnsi="宋体"/>
          <w:b/>
          <w:bCs/>
          <w:color w:val="auto"/>
          <w:sz w:val="24"/>
          <w:highlight w:val="none"/>
        </w:rPr>
      </w:pPr>
      <w:r>
        <w:rPr>
          <w:rFonts w:hint="eastAsia" w:ascii="宋体" w:hAnsi="宋体"/>
          <w:b/>
          <w:bCs/>
          <w:color w:val="auto"/>
          <w:sz w:val="24"/>
          <w:highlight w:val="none"/>
        </w:rPr>
        <w:t>29.</w:t>
      </w:r>
      <w:r>
        <w:rPr>
          <w:rFonts w:hint="eastAsia" w:ascii="宋体" w:hAnsi="宋体"/>
          <w:b/>
          <w:color w:val="auto"/>
          <w:sz w:val="24"/>
          <w:highlight w:val="none"/>
        </w:rPr>
        <w:t xml:space="preserve"> 投标人询问及</w:t>
      </w:r>
      <w:r>
        <w:rPr>
          <w:rFonts w:hint="eastAsia" w:ascii="宋体" w:hAnsi="宋体"/>
          <w:b/>
          <w:bCs/>
          <w:color w:val="auto"/>
          <w:sz w:val="24"/>
          <w:highlight w:val="none"/>
        </w:rPr>
        <w:t>质疑</w:t>
      </w:r>
    </w:p>
    <w:p w14:paraId="794F9D9D">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29.1投标人对政府采购活动事项有疑问的，可以向采购人、采购代理机构提出询问。采购人或采购代理机构将在3个工作日内作出答复。</w:t>
      </w:r>
    </w:p>
    <w:p w14:paraId="72CA94F1">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29.2投标人认为招标文件、采购过程和中标结果使自己的权益受到损害的，可以在知道或者应知其权益受到损害之日起7个工作日内，按照《湖南省财政厅关于印发＜政府采购质疑答复和投诉处理操作规程＞的通知》(湘财购〔2019〕20号)规定，以纸质书面形式向采购人、采购代理机构提出质疑。投标人应当在法定质疑期内一次性提出针对同一采购程序环节的质疑。</w:t>
      </w:r>
    </w:p>
    <w:p w14:paraId="1C7582E3">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29.3投标人提出质疑的，应按照《湖南省财政厅关于印发＜政府采购质疑答复和投诉处理操作规程＞的通知》规定制作、签署、送达。采购人、采购代理机构接收质疑函的联系部门、联系电话和通讯地址见</w:t>
      </w:r>
      <w:r>
        <w:rPr>
          <w:rFonts w:hint="eastAsia" w:ascii="宋体" w:hAnsi="宋体"/>
          <w:b/>
          <w:color w:val="auto"/>
          <w:szCs w:val="21"/>
          <w:highlight w:val="none"/>
        </w:rPr>
        <w:t>【投标须知前附表】</w:t>
      </w:r>
      <w:r>
        <w:rPr>
          <w:rFonts w:hint="eastAsia" w:ascii="宋体" w:hAnsi="宋体"/>
          <w:color w:val="auto"/>
          <w:szCs w:val="21"/>
          <w:highlight w:val="none"/>
        </w:rPr>
        <w:t xml:space="preserve">。  </w:t>
      </w:r>
    </w:p>
    <w:p w14:paraId="759C6069">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29.4采购人、采购代理机构按照《湖南省财政厅关于印发＜政府采购质疑答复和投诉处理操作规程＞的通知》规定进行质疑答复。</w:t>
      </w:r>
    </w:p>
    <w:p w14:paraId="57EF5F43">
      <w:pPr>
        <w:adjustRightInd w:val="0"/>
        <w:snapToGrid w:val="0"/>
        <w:spacing w:before="156" w:beforeLines="50" w:line="360" w:lineRule="auto"/>
        <w:ind w:firstLine="420" w:firstLineChars="200"/>
        <w:jc w:val="left"/>
        <w:rPr>
          <w:rFonts w:ascii="宋体" w:hAnsi="宋体"/>
          <w:b/>
          <w:bCs/>
          <w:color w:val="auto"/>
          <w:highlight w:val="none"/>
        </w:rPr>
      </w:pPr>
      <w:r>
        <w:rPr>
          <w:rFonts w:hint="eastAsia" w:ascii="宋体" w:hAnsi="宋体"/>
          <w:color w:val="auto"/>
          <w:szCs w:val="21"/>
          <w:highlight w:val="none"/>
        </w:rPr>
        <w:t>29</w:t>
      </w:r>
      <w:r>
        <w:rPr>
          <w:rFonts w:ascii="宋体" w:hAnsi="宋体"/>
          <w:color w:val="auto"/>
          <w:szCs w:val="21"/>
          <w:highlight w:val="none"/>
        </w:rPr>
        <w:t>.</w:t>
      </w:r>
      <w:r>
        <w:rPr>
          <w:rFonts w:hint="eastAsia" w:ascii="宋体" w:hAnsi="宋体"/>
          <w:color w:val="auto"/>
          <w:szCs w:val="21"/>
          <w:highlight w:val="none"/>
        </w:rPr>
        <w:t>5投标人对采购人、采购代理机构的答复不满意，或采购人或采购代理机构未在规定的期限作出答复的，可在答复期满后15个工作日内，按照《湖南省财政厅关于印发＜政府采购质疑答复和投诉处理操作规程＞的通知》规定向采购人同级财政部门提出投诉。</w:t>
      </w:r>
    </w:p>
    <w:p w14:paraId="05F1914E">
      <w:pPr>
        <w:pStyle w:val="11"/>
        <w:adjustRightInd w:val="0"/>
        <w:snapToGrid w:val="0"/>
        <w:spacing w:before="156" w:beforeLines="50" w:after="0" w:line="360" w:lineRule="auto"/>
        <w:jc w:val="center"/>
        <w:rPr>
          <w:rFonts w:ascii="黑体" w:hAnsi="黑体" w:eastAsia="黑体"/>
          <w:color w:val="auto"/>
          <w:sz w:val="28"/>
          <w:szCs w:val="28"/>
          <w:highlight w:val="none"/>
        </w:rPr>
      </w:pPr>
      <w:bookmarkStart w:id="32" w:name="_Toc23299"/>
      <w:r>
        <w:rPr>
          <w:rFonts w:hint="eastAsia" w:ascii="黑体" w:hAnsi="黑体" w:eastAsia="黑体"/>
          <w:color w:val="auto"/>
          <w:sz w:val="28"/>
          <w:szCs w:val="28"/>
          <w:highlight w:val="none"/>
        </w:rPr>
        <w:t>七、合同签订</w:t>
      </w:r>
      <w:bookmarkEnd w:id="32"/>
    </w:p>
    <w:p w14:paraId="4C554BE0">
      <w:pPr>
        <w:adjustRightInd w:val="0"/>
        <w:snapToGrid w:val="0"/>
        <w:spacing w:before="156" w:beforeLines="50" w:line="360" w:lineRule="auto"/>
        <w:jc w:val="left"/>
        <w:rPr>
          <w:rFonts w:ascii="宋体" w:hAnsi="宋体"/>
          <w:b/>
          <w:bCs/>
          <w:color w:val="auto"/>
          <w:sz w:val="24"/>
          <w:highlight w:val="none"/>
        </w:rPr>
      </w:pPr>
      <w:r>
        <w:rPr>
          <w:rFonts w:hint="eastAsia" w:ascii="宋体" w:hAnsi="宋体"/>
          <w:b/>
          <w:bCs/>
          <w:color w:val="auto"/>
          <w:sz w:val="24"/>
          <w:highlight w:val="none"/>
        </w:rPr>
        <w:t>30. 签订合同</w:t>
      </w:r>
    </w:p>
    <w:p w14:paraId="2692F579">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30.1采购人应自中标通知书发出之日起30日内，按中标通知书指定的时间、地点与中标人签订政府采购合同。所签订的合同不得对招标文件确定的事项和中标人投标文件作实质性修改。</w:t>
      </w:r>
    </w:p>
    <w:p w14:paraId="6883EADF">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30.2招标文件、中标人的投标文件均为签订合同的依据。</w:t>
      </w:r>
    </w:p>
    <w:p w14:paraId="07A2AA90">
      <w:pPr>
        <w:adjustRightInd w:val="0"/>
        <w:snapToGrid w:val="0"/>
        <w:spacing w:before="156" w:beforeLines="50" w:line="360" w:lineRule="auto"/>
        <w:ind w:firstLine="420" w:firstLineChars="200"/>
        <w:jc w:val="left"/>
        <w:rPr>
          <w:rFonts w:ascii="宋体" w:hAnsi="宋体" w:cs="微软雅黑"/>
          <w:color w:val="auto"/>
          <w:kern w:val="0"/>
          <w:szCs w:val="21"/>
          <w:highlight w:val="none"/>
        </w:rPr>
      </w:pPr>
      <w:r>
        <w:rPr>
          <w:rFonts w:hint="eastAsia" w:ascii="宋体" w:hAnsi="宋体" w:cs="微软雅黑"/>
          <w:color w:val="auto"/>
          <w:kern w:val="0"/>
          <w:szCs w:val="21"/>
          <w:highlight w:val="none"/>
        </w:rPr>
        <w:t>30.3联</w:t>
      </w:r>
      <w:r>
        <w:rPr>
          <w:rFonts w:hint="eastAsia" w:ascii="宋体" w:hAnsi="宋体" w:cs="微软雅黑"/>
          <w:color w:val="auto"/>
          <w:spacing w:val="-2"/>
          <w:kern w:val="0"/>
          <w:szCs w:val="21"/>
          <w:highlight w:val="none"/>
        </w:rPr>
        <w:t>合</w:t>
      </w:r>
      <w:r>
        <w:rPr>
          <w:rFonts w:hint="eastAsia" w:ascii="宋体" w:hAnsi="宋体" w:cs="微软雅黑"/>
          <w:color w:val="auto"/>
          <w:kern w:val="0"/>
          <w:szCs w:val="21"/>
          <w:highlight w:val="none"/>
        </w:rPr>
        <w:t>体</w:t>
      </w:r>
      <w:r>
        <w:rPr>
          <w:rFonts w:hint="eastAsia" w:ascii="宋体" w:hAnsi="宋体" w:cs="微软雅黑"/>
          <w:color w:val="auto"/>
          <w:spacing w:val="-2"/>
          <w:kern w:val="0"/>
          <w:szCs w:val="21"/>
          <w:highlight w:val="none"/>
        </w:rPr>
        <w:t>中</w:t>
      </w:r>
      <w:r>
        <w:rPr>
          <w:rFonts w:hint="eastAsia" w:ascii="宋体" w:hAnsi="宋体" w:cs="微软雅黑"/>
          <w:color w:val="auto"/>
          <w:kern w:val="0"/>
          <w:szCs w:val="21"/>
          <w:highlight w:val="none"/>
        </w:rPr>
        <w:t>标的</w:t>
      </w:r>
      <w:r>
        <w:rPr>
          <w:rFonts w:hint="eastAsia" w:ascii="宋体" w:hAnsi="宋体" w:cs="微软雅黑"/>
          <w:color w:val="auto"/>
          <w:spacing w:val="-14"/>
          <w:kern w:val="0"/>
          <w:szCs w:val="21"/>
          <w:highlight w:val="none"/>
        </w:rPr>
        <w:t>，</w:t>
      </w:r>
      <w:r>
        <w:rPr>
          <w:rFonts w:hint="eastAsia" w:ascii="宋体" w:hAnsi="宋体" w:cs="微软雅黑"/>
          <w:color w:val="auto"/>
          <w:kern w:val="0"/>
          <w:szCs w:val="21"/>
          <w:highlight w:val="none"/>
        </w:rPr>
        <w:t>联</w:t>
      </w:r>
      <w:r>
        <w:rPr>
          <w:rFonts w:hint="eastAsia" w:ascii="宋体" w:hAnsi="宋体" w:cs="微软雅黑"/>
          <w:color w:val="auto"/>
          <w:spacing w:val="-2"/>
          <w:kern w:val="0"/>
          <w:szCs w:val="21"/>
          <w:highlight w:val="none"/>
        </w:rPr>
        <w:t>合</w:t>
      </w:r>
      <w:r>
        <w:rPr>
          <w:rFonts w:hint="eastAsia" w:ascii="宋体" w:hAnsi="宋体" w:cs="微软雅黑"/>
          <w:color w:val="auto"/>
          <w:kern w:val="0"/>
          <w:szCs w:val="21"/>
          <w:highlight w:val="none"/>
        </w:rPr>
        <w:t>体各</w:t>
      </w:r>
      <w:r>
        <w:rPr>
          <w:rFonts w:hint="eastAsia" w:ascii="宋体" w:hAnsi="宋体" w:cs="微软雅黑"/>
          <w:color w:val="auto"/>
          <w:spacing w:val="-2"/>
          <w:kern w:val="0"/>
          <w:szCs w:val="21"/>
          <w:highlight w:val="none"/>
        </w:rPr>
        <w:t>方</w:t>
      </w:r>
      <w:r>
        <w:rPr>
          <w:rFonts w:hint="eastAsia" w:ascii="宋体" w:hAnsi="宋体" w:cs="微软雅黑"/>
          <w:color w:val="auto"/>
          <w:kern w:val="0"/>
          <w:szCs w:val="21"/>
          <w:highlight w:val="none"/>
        </w:rPr>
        <w:t>应</w:t>
      </w:r>
      <w:r>
        <w:rPr>
          <w:rFonts w:hint="eastAsia" w:ascii="宋体" w:hAnsi="宋体" w:cs="微软雅黑"/>
          <w:color w:val="auto"/>
          <w:spacing w:val="-2"/>
          <w:kern w:val="0"/>
          <w:szCs w:val="21"/>
          <w:highlight w:val="none"/>
        </w:rPr>
        <w:t>当</w:t>
      </w:r>
      <w:r>
        <w:rPr>
          <w:rFonts w:hint="eastAsia" w:ascii="宋体" w:hAnsi="宋体" w:cs="微软雅黑"/>
          <w:color w:val="auto"/>
          <w:kern w:val="0"/>
          <w:szCs w:val="21"/>
          <w:highlight w:val="none"/>
        </w:rPr>
        <w:t>共</w:t>
      </w:r>
      <w:r>
        <w:rPr>
          <w:rFonts w:hint="eastAsia" w:ascii="宋体" w:hAnsi="宋体" w:cs="微软雅黑"/>
          <w:color w:val="auto"/>
          <w:spacing w:val="-2"/>
          <w:kern w:val="0"/>
          <w:szCs w:val="21"/>
          <w:highlight w:val="none"/>
        </w:rPr>
        <w:t>同</w:t>
      </w:r>
      <w:r>
        <w:rPr>
          <w:rFonts w:hint="eastAsia" w:ascii="宋体" w:hAnsi="宋体" w:cs="微软雅黑"/>
          <w:color w:val="auto"/>
          <w:kern w:val="0"/>
          <w:szCs w:val="21"/>
          <w:highlight w:val="none"/>
        </w:rPr>
        <w:t>与</w:t>
      </w:r>
      <w:r>
        <w:rPr>
          <w:rFonts w:hint="eastAsia" w:ascii="宋体" w:hAnsi="宋体" w:cs="微软雅黑"/>
          <w:color w:val="auto"/>
          <w:spacing w:val="-2"/>
          <w:kern w:val="0"/>
          <w:szCs w:val="21"/>
          <w:highlight w:val="none"/>
        </w:rPr>
        <w:t>采购人</w:t>
      </w:r>
      <w:r>
        <w:rPr>
          <w:rFonts w:hint="eastAsia" w:ascii="宋体" w:hAnsi="宋体" w:cs="微软雅黑"/>
          <w:color w:val="auto"/>
          <w:kern w:val="0"/>
          <w:szCs w:val="21"/>
          <w:highlight w:val="none"/>
        </w:rPr>
        <w:t>签订</w:t>
      </w:r>
      <w:r>
        <w:rPr>
          <w:rFonts w:hint="eastAsia" w:ascii="宋体" w:hAnsi="宋体" w:cs="微软雅黑"/>
          <w:color w:val="auto"/>
          <w:spacing w:val="-2"/>
          <w:kern w:val="0"/>
          <w:szCs w:val="21"/>
          <w:highlight w:val="none"/>
        </w:rPr>
        <w:t>合</w:t>
      </w:r>
      <w:r>
        <w:rPr>
          <w:rFonts w:hint="eastAsia" w:ascii="宋体" w:hAnsi="宋体" w:cs="微软雅黑"/>
          <w:color w:val="auto"/>
          <w:kern w:val="0"/>
          <w:szCs w:val="21"/>
          <w:highlight w:val="none"/>
        </w:rPr>
        <w:t>同</w:t>
      </w:r>
      <w:r>
        <w:rPr>
          <w:rFonts w:hint="eastAsia" w:ascii="宋体" w:hAnsi="宋体" w:cs="微软雅黑"/>
          <w:color w:val="auto"/>
          <w:spacing w:val="-14"/>
          <w:kern w:val="0"/>
          <w:szCs w:val="21"/>
          <w:highlight w:val="none"/>
        </w:rPr>
        <w:t>，</w:t>
      </w:r>
      <w:r>
        <w:rPr>
          <w:rFonts w:hint="eastAsia" w:ascii="宋体" w:hAnsi="宋体" w:cs="微软雅黑"/>
          <w:color w:val="auto"/>
          <w:kern w:val="0"/>
          <w:szCs w:val="21"/>
          <w:highlight w:val="none"/>
        </w:rPr>
        <w:t>就</w:t>
      </w:r>
      <w:r>
        <w:rPr>
          <w:rFonts w:hint="eastAsia" w:ascii="宋体" w:hAnsi="宋体" w:cs="微软雅黑"/>
          <w:color w:val="auto"/>
          <w:spacing w:val="-2"/>
          <w:kern w:val="0"/>
          <w:szCs w:val="21"/>
          <w:highlight w:val="none"/>
        </w:rPr>
        <w:t>中</w:t>
      </w:r>
      <w:r>
        <w:rPr>
          <w:rFonts w:hint="eastAsia" w:ascii="宋体" w:hAnsi="宋体" w:cs="微软雅黑"/>
          <w:color w:val="auto"/>
          <w:kern w:val="0"/>
          <w:szCs w:val="21"/>
          <w:highlight w:val="none"/>
        </w:rPr>
        <w:t>标</w:t>
      </w:r>
      <w:r>
        <w:rPr>
          <w:rFonts w:hint="eastAsia" w:ascii="宋体" w:hAnsi="宋体" w:cs="微软雅黑"/>
          <w:color w:val="auto"/>
          <w:spacing w:val="-2"/>
          <w:kern w:val="0"/>
          <w:szCs w:val="21"/>
          <w:highlight w:val="none"/>
        </w:rPr>
        <w:t>项</w:t>
      </w:r>
      <w:r>
        <w:rPr>
          <w:rFonts w:hint="eastAsia" w:ascii="宋体" w:hAnsi="宋体" w:cs="微软雅黑"/>
          <w:color w:val="auto"/>
          <w:kern w:val="0"/>
          <w:szCs w:val="21"/>
          <w:highlight w:val="none"/>
        </w:rPr>
        <w:t>目</w:t>
      </w:r>
      <w:r>
        <w:rPr>
          <w:rFonts w:hint="eastAsia" w:ascii="宋体" w:hAnsi="宋体" w:cs="微软雅黑"/>
          <w:color w:val="auto"/>
          <w:spacing w:val="-2"/>
          <w:kern w:val="0"/>
          <w:szCs w:val="21"/>
          <w:highlight w:val="none"/>
        </w:rPr>
        <w:t>向</w:t>
      </w:r>
      <w:r>
        <w:rPr>
          <w:rFonts w:hint="eastAsia" w:ascii="宋体" w:hAnsi="宋体" w:cs="微软雅黑"/>
          <w:color w:val="auto"/>
          <w:kern w:val="0"/>
          <w:szCs w:val="21"/>
          <w:highlight w:val="none"/>
        </w:rPr>
        <w:t>采购人承</w:t>
      </w:r>
      <w:r>
        <w:rPr>
          <w:rFonts w:hint="eastAsia" w:ascii="宋体" w:hAnsi="宋体" w:cs="微软雅黑"/>
          <w:color w:val="auto"/>
          <w:spacing w:val="-2"/>
          <w:kern w:val="0"/>
          <w:szCs w:val="21"/>
          <w:highlight w:val="none"/>
        </w:rPr>
        <w:t>担</w:t>
      </w:r>
      <w:r>
        <w:rPr>
          <w:rFonts w:hint="eastAsia" w:ascii="宋体" w:hAnsi="宋体" w:cs="微软雅黑"/>
          <w:color w:val="auto"/>
          <w:kern w:val="0"/>
          <w:szCs w:val="21"/>
          <w:highlight w:val="none"/>
        </w:rPr>
        <w:t>连带责</w:t>
      </w:r>
      <w:r>
        <w:rPr>
          <w:rFonts w:hint="eastAsia" w:ascii="宋体" w:hAnsi="宋体" w:cs="微软雅黑"/>
          <w:color w:val="auto"/>
          <w:spacing w:val="-2"/>
          <w:kern w:val="0"/>
          <w:szCs w:val="21"/>
          <w:highlight w:val="none"/>
        </w:rPr>
        <w:t>任</w:t>
      </w:r>
      <w:r>
        <w:rPr>
          <w:rFonts w:hint="eastAsia" w:ascii="宋体" w:hAnsi="宋体" w:cs="微软雅黑"/>
          <w:color w:val="auto"/>
          <w:kern w:val="0"/>
          <w:szCs w:val="21"/>
          <w:highlight w:val="none"/>
        </w:rPr>
        <w:t>。</w:t>
      </w:r>
    </w:p>
    <w:p w14:paraId="0F921956">
      <w:pPr>
        <w:adjustRightInd w:val="0"/>
        <w:snapToGrid w:val="0"/>
        <w:spacing w:before="156" w:beforeLines="50" w:line="360" w:lineRule="auto"/>
        <w:ind w:firstLine="420" w:firstLineChars="200"/>
        <w:jc w:val="left"/>
        <w:rPr>
          <w:rFonts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rPr>
        <w:t>0</w:t>
      </w:r>
      <w:r>
        <w:rPr>
          <w:rFonts w:ascii="宋体" w:hAnsi="宋体"/>
          <w:color w:val="auto"/>
          <w:szCs w:val="21"/>
          <w:highlight w:val="none"/>
        </w:rPr>
        <w:t>.4</w:t>
      </w:r>
      <w:r>
        <w:rPr>
          <w:rFonts w:hint="eastAsia" w:ascii="宋体" w:hAnsi="宋体"/>
          <w:color w:val="auto"/>
          <w:szCs w:val="21"/>
          <w:highlight w:val="none"/>
        </w:rPr>
        <w:t>中标合同将在招标公告指定媒体上公告，但合同中涉及国家秘密、商业秘密的内容除外。</w:t>
      </w:r>
    </w:p>
    <w:p w14:paraId="3F8077E6">
      <w:pPr>
        <w:adjustRightInd w:val="0"/>
        <w:snapToGrid w:val="0"/>
        <w:spacing w:before="156" w:beforeLines="50" w:line="360" w:lineRule="auto"/>
        <w:ind w:firstLine="420" w:firstLineChars="200"/>
        <w:jc w:val="left"/>
        <w:rPr>
          <w:rFonts w:ascii="宋体" w:hAnsi="宋体"/>
          <w:bCs/>
          <w:color w:val="auto"/>
          <w:szCs w:val="21"/>
          <w:highlight w:val="none"/>
        </w:rPr>
      </w:pPr>
      <w:r>
        <w:rPr>
          <w:rFonts w:hint="eastAsia" w:ascii="宋体" w:hAnsi="宋体"/>
          <w:color w:val="auto"/>
          <w:szCs w:val="21"/>
          <w:highlight w:val="none"/>
        </w:rPr>
        <w:t>30.5中标人</w:t>
      </w:r>
      <w:r>
        <w:rPr>
          <w:rFonts w:hint="eastAsia" w:ascii="宋体" w:hAnsi="宋体"/>
          <w:bCs/>
          <w:color w:val="auto"/>
          <w:szCs w:val="21"/>
          <w:highlight w:val="none"/>
        </w:rPr>
        <w:t>应当按照合同约定依法履行合同义务。政府采购合同的履行、违约责任和解决争议的方法等适用《中华人民共和国民法典》。</w:t>
      </w:r>
    </w:p>
    <w:p w14:paraId="0A201647">
      <w:pPr>
        <w:adjustRightInd w:val="0"/>
        <w:snapToGrid w:val="0"/>
        <w:spacing w:before="156" w:beforeLines="50" w:line="360" w:lineRule="auto"/>
        <w:jc w:val="left"/>
        <w:rPr>
          <w:rFonts w:ascii="宋体" w:hAnsi="宋体" w:cs="宋体"/>
          <w:b/>
          <w:color w:val="auto"/>
          <w:kern w:val="0"/>
          <w:sz w:val="24"/>
          <w:highlight w:val="none"/>
        </w:rPr>
      </w:pPr>
      <w:r>
        <w:rPr>
          <w:rFonts w:hint="eastAsia" w:ascii="宋体" w:hAnsi="宋体"/>
          <w:b/>
          <w:bCs/>
          <w:color w:val="auto"/>
          <w:sz w:val="24"/>
          <w:highlight w:val="none"/>
        </w:rPr>
        <w:t>31.</w:t>
      </w:r>
      <w:r>
        <w:rPr>
          <w:rFonts w:hint="eastAsia" w:ascii="宋体" w:hAnsi="宋体" w:cs="宋体"/>
          <w:b/>
          <w:color w:val="auto"/>
          <w:kern w:val="0"/>
          <w:sz w:val="24"/>
          <w:highlight w:val="none"/>
        </w:rPr>
        <w:t xml:space="preserve"> 履约担保</w:t>
      </w:r>
    </w:p>
    <w:p w14:paraId="567E287C">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s="宋体"/>
          <w:color w:val="auto"/>
          <w:kern w:val="0"/>
          <w:szCs w:val="21"/>
          <w:highlight w:val="none"/>
        </w:rPr>
        <w:t>31.1</w:t>
      </w:r>
      <w:r>
        <w:rPr>
          <w:rFonts w:hint="eastAsia" w:ascii="宋体" w:hAnsi="宋体"/>
          <w:color w:val="auto"/>
          <w:szCs w:val="21"/>
          <w:highlight w:val="none"/>
        </w:rPr>
        <w:t>招标文件要求中标人向采购人提交履约担保的，中标人应按照</w:t>
      </w:r>
      <w:r>
        <w:rPr>
          <w:rFonts w:hint="eastAsia" w:ascii="宋体" w:hAnsi="宋体"/>
          <w:b/>
          <w:color w:val="auto"/>
          <w:szCs w:val="21"/>
          <w:highlight w:val="none"/>
        </w:rPr>
        <w:t>【投标须知前附表】</w:t>
      </w:r>
      <w:r>
        <w:rPr>
          <w:rFonts w:hint="eastAsia" w:ascii="宋体" w:hAnsi="宋体"/>
          <w:color w:val="auto"/>
          <w:szCs w:val="21"/>
          <w:highlight w:val="none"/>
        </w:rPr>
        <w:t>的规定提交，</w:t>
      </w:r>
      <w:r>
        <w:rPr>
          <w:rFonts w:hint="eastAsia" w:ascii="宋体" w:hAnsi="宋体"/>
          <w:bCs/>
          <w:color w:val="auto"/>
          <w:szCs w:val="21"/>
          <w:highlight w:val="none"/>
        </w:rPr>
        <w:t>投标人可以保函、电子增信替代履约担保。</w:t>
      </w:r>
      <w:r>
        <w:rPr>
          <w:rFonts w:hint="eastAsia" w:ascii="宋体" w:hAnsi="宋体"/>
          <w:color w:val="auto"/>
          <w:szCs w:val="21"/>
          <w:highlight w:val="none"/>
        </w:rPr>
        <w:t>联合体中标的，履约担保由联合体各方或联合体中牵头人的名义提交。</w:t>
      </w:r>
    </w:p>
    <w:p w14:paraId="791B1167">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31.2中标人</w:t>
      </w:r>
      <w:r>
        <w:rPr>
          <w:rFonts w:hint="eastAsia" w:ascii="宋体" w:hAnsi="宋体"/>
          <w:color w:val="auto"/>
          <w:spacing w:val="4"/>
          <w:szCs w:val="21"/>
          <w:highlight w:val="none"/>
        </w:rPr>
        <w:t>没有按照本章第31.1</w:t>
      </w:r>
      <w:r>
        <w:rPr>
          <w:rFonts w:hint="eastAsia" w:ascii="宋体" w:hAnsi="宋体" w:cs="宋体"/>
          <w:color w:val="auto"/>
          <w:kern w:val="0"/>
          <w:szCs w:val="21"/>
          <w:highlight w:val="none"/>
          <w:lang w:val="zh-CN"/>
        </w:rPr>
        <w:t>款</w:t>
      </w:r>
      <w:r>
        <w:rPr>
          <w:rFonts w:hint="eastAsia" w:ascii="宋体" w:hAnsi="宋体"/>
          <w:color w:val="auto"/>
          <w:spacing w:val="4"/>
          <w:szCs w:val="21"/>
          <w:highlight w:val="none"/>
        </w:rPr>
        <w:t>规定</w:t>
      </w:r>
      <w:r>
        <w:rPr>
          <w:rFonts w:hint="eastAsia" w:ascii="宋体" w:hAnsi="宋体"/>
          <w:color w:val="auto"/>
          <w:szCs w:val="21"/>
          <w:highlight w:val="none"/>
        </w:rPr>
        <w:t>提交履约担保的</w:t>
      </w:r>
      <w:r>
        <w:rPr>
          <w:rFonts w:hint="eastAsia" w:ascii="宋体" w:hAnsi="宋体"/>
          <w:color w:val="auto"/>
          <w:spacing w:val="4"/>
          <w:szCs w:val="21"/>
          <w:highlight w:val="none"/>
        </w:rPr>
        <w:t>，视为</w:t>
      </w:r>
      <w:r>
        <w:rPr>
          <w:rFonts w:hint="eastAsia" w:ascii="宋体" w:hAnsi="宋体"/>
          <w:b/>
          <w:color w:val="auto"/>
          <w:spacing w:val="4"/>
          <w:szCs w:val="21"/>
          <w:highlight w:val="none"/>
        </w:rPr>
        <w:t>放弃中标</w:t>
      </w:r>
      <w:r>
        <w:rPr>
          <w:rFonts w:hint="eastAsia" w:ascii="宋体" w:hAnsi="宋体"/>
          <w:color w:val="auto"/>
          <w:spacing w:val="4"/>
          <w:szCs w:val="21"/>
          <w:highlight w:val="none"/>
        </w:rPr>
        <w:t>，</w:t>
      </w:r>
      <w:r>
        <w:rPr>
          <w:rFonts w:hint="eastAsia" w:ascii="宋体" w:hAnsi="宋体"/>
          <w:color w:val="auto"/>
          <w:spacing w:val="2"/>
          <w:szCs w:val="21"/>
          <w:highlight w:val="none"/>
        </w:rPr>
        <w:t>其投标保证金不予退还。</w:t>
      </w:r>
    </w:p>
    <w:p w14:paraId="7D381E86">
      <w:pPr>
        <w:adjustRightInd w:val="0"/>
        <w:snapToGrid w:val="0"/>
        <w:spacing w:before="156" w:beforeLines="50" w:line="360" w:lineRule="auto"/>
        <w:jc w:val="left"/>
        <w:rPr>
          <w:rFonts w:ascii="宋体" w:hAnsi="宋体"/>
          <w:b/>
          <w:bCs/>
          <w:color w:val="auto"/>
          <w:sz w:val="24"/>
          <w:highlight w:val="none"/>
        </w:rPr>
      </w:pPr>
      <w:r>
        <w:rPr>
          <w:rFonts w:hint="eastAsia" w:ascii="宋体" w:hAnsi="宋体"/>
          <w:b/>
          <w:bCs/>
          <w:color w:val="auto"/>
          <w:sz w:val="24"/>
          <w:highlight w:val="none"/>
        </w:rPr>
        <w:t>32.</w:t>
      </w:r>
      <w:r>
        <w:rPr>
          <w:rFonts w:hint="eastAsia" w:ascii="宋体" w:hAnsi="宋体"/>
          <w:b/>
          <w:color w:val="auto"/>
          <w:sz w:val="24"/>
          <w:highlight w:val="none"/>
        </w:rPr>
        <w:t xml:space="preserve"> 政府采购合同履行中</w:t>
      </w:r>
      <w:r>
        <w:rPr>
          <w:rFonts w:hint="eastAsia" w:ascii="宋体" w:hAnsi="宋体"/>
          <w:b/>
          <w:bCs/>
          <w:color w:val="auto"/>
          <w:sz w:val="24"/>
          <w:highlight w:val="none"/>
        </w:rPr>
        <w:t>数量的变更</w:t>
      </w:r>
    </w:p>
    <w:p w14:paraId="23810AEC">
      <w:pPr>
        <w:adjustRightInd w:val="0"/>
        <w:snapToGrid w:val="0"/>
        <w:spacing w:before="156" w:beforeLines="50" w:line="360" w:lineRule="auto"/>
        <w:ind w:firstLine="420" w:firstLineChars="200"/>
        <w:jc w:val="left"/>
        <w:rPr>
          <w:rFonts w:ascii="宋体" w:hAnsi="宋体"/>
          <w:color w:val="auto"/>
          <w:sz w:val="28"/>
          <w:szCs w:val="28"/>
          <w:highlight w:val="none"/>
        </w:rPr>
      </w:pPr>
      <w:r>
        <w:rPr>
          <w:rFonts w:hint="eastAsia" w:ascii="宋体" w:hAnsi="宋体"/>
          <w:color w:val="auto"/>
          <w:highlight w:val="none"/>
        </w:rPr>
        <w:t>32.1政府采购合同履行中，采购人需追加与合同标的相同的货物服务的，在不改变合同其他条款的前提下，可以与中标人协商签订补充合同，但所有补充合同的采购金额不得超过原合同采购金额的百分之十。</w:t>
      </w:r>
    </w:p>
    <w:p w14:paraId="39C8C254">
      <w:pPr>
        <w:pStyle w:val="11"/>
        <w:adjustRightInd w:val="0"/>
        <w:snapToGrid w:val="0"/>
        <w:spacing w:before="156" w:beforeLines="50" w:after="0" w:line="360" w:lineRule="auto"/>
        <w:jc w:val="center"/>
        <w:rPr>
          <w:rFonts w:ascii="黑体" w:hAnsi="黑体" w:eastAsia="黑体"/>
          <w:color w:val="auto"/>
          <w:sz w:val="28"/>
          <w:szCs w:val="28"/>
          <w:highlight w:val="none"/>
        </w:rPr>
      </w:pPr>
      <w:bookmarkStart w:id="33" w:name="_Toc10264"/>
      <w:r>
        <w:rPr>
          <w:rFonts w:hint="eastAsia" w:ascii="黑体" w:hAnsi="黑体" w:eastAsia="黑体"/>
          <w:color w:val="auto"/>
          <w:sz w:val="28"/>
          <w:szCs w:val="28"/>
          <w:highlight w:val="none"/>
        </w:rPr>
        <w:t>八、政府采购政策</w:t>
      </w:r>
      <w:bookmarkEnd w:id="33"/>
    </w:p>
    <w:p w14:paraId="0A1C0343">
      <w:pPr>
        <w:adjustRightInd w:val="0"/>
        <w:snapToGrid w:val="0"/>
        <w:spacing w:before="156" w:beforeLines="50" w:line="360" w:lineRule="auto"/>
        <w:jc w:val="left"/>
        <w:rPr>
          <w:rFonts w:ascii="宋体" w:hAnsi="宋体"/>
          <w:b/>
          <w:color w:val="auto"/>
          <w:sz w:val="24"/>
          <w:highlight w:val="none"/>
        </w:rPr>
      </w:pPr>
      <w:r>
        <w:rPr>
          <w:rFonts w:hint="eastAsia" w:ascii="宋体" w:hAnsi="宋体"/>
          <w:b/>
          <w:bCs/>
          <w:color w:val="auto"/>
          <w:sz w:val="24"/>
          <w:highlight w:val="none"/>
        </w:rPr>
        <w:t>33.</w:t>
      </w:r>
      <w:r>
        <w:rPr>
          <w:rFonts w:hint="eastAsia" w:ascii="宋体" w:hAnsi="宋体"/>
          <w:color w:val="auto"/>
          <w:sz w:val="24"/>
          <w:highlight w:val="none"/>
        </w:rPr>
        <w:t xml:space="preserve"> </w:t>
      </w:r>
      <w:r>
        <w:rPr>
          <w:rFonts w:hint="eastAsia" w:ascii="宋体" w:hAnsi="宋体"/>
          <w:b/>
          <w:color w:val="auto"/>
          <w:sz w:val="24"/>
          <w:highlight w:val="none"/>
        </w:rPr>
        <w:t>政府采购政策</w:t>
      </w:r>
    </w:p>
    <w:p w14:paraId="3FF30EF1">
      <w:pPr>
        <w:adjustRightInd w:val="0"/>
        <w:snapToGrid w:val="0"/>
        <w:spacing w:before="156" w:beforeLines="50" w:line="360" w:lineRule="auto"/>
        <w:ind w:firstLine="420" w:firstLineChars="200"/>
        <w:jc w:val="left"/>
        <w:rPr>
          <w:rFonts w:ascii="宋体" w:hAnsi="宋体" w:cs="宋体"/>
          <w:color w:val="auto"/>
          <w:kern w:val="0"/>
          <w:highlight w:val="none"/>
        </w:rPr>
      </w:pPr>
      <w:r>
        <w:rPr>
          <w:rFonts w:hint="eastAsia" w:ascii="宋体" w:hAnsi="宋体" w:cs="宋体"/>
          <w:color w:val="auto"/>
          <w:kern w:val="0"/>
          <w:highlight w:val="none"/>
        </w:rPr>
        <w:t>33.1优先采购：</w:t>
      </w:r>
    </w:p>
    <w:p w14:paraId="4A8D2B77">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（1）</w:t>
      </w:r>
      <w:r>
        <w:rPr>
          <w:rFonts w:hint="eastAsia" w:ascii="宋体" w:hAnsi="宋体"/>
          <w:color w:val="auto"/>
          <w:szCs w:val="21"/>
          <w:highlight w:val="none"/>
        </w:rPr>
        <w:t>纳入财政部会同国务院有关部门发布的节能产品、环境标志产品政府采购品目清单，实施政府优先采购的，评审时按招标文件第四章第一节有关规定对该部分产品给予一定比例的价格折扣或者加分；</w:t>
      </w:r>
      <w:r>
        <w:rPr>
          <w:rFonts w:ascii="宋体" w:hAnsi="宋体"/>
          <w:color w:val="auto"/>
          <w:highlight w:val="none"/>
        </w:rPr>
        <w:t xml:space="preserve"> </w:t>
      </w:r>
    </w:p>
    <w:p w14:paraId="6B097F7F">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（2）纳入湖南省财政厅等有关部门发布的湖南省两型产品政府采购目录的，实施政府优先采购，评审时按</w:t>
      </w:r>
      <w:r>
        <w:rPr>
          <w:rFonts w:hint="eastAsia" w:ascii="宋体" w:hAnsi="宋体"/>
          <w:color w:val="auto"/>
          <w:szCs w:val="21"/>
          <w:highlight w:val="none"/>
        </w:rPr>
        <w:t>招标文件第四章第一节有关规定对该部分产品</w:t>
      </w:r>
      <w:r>
        <w:rPr>
          <w:rFonts w:hint="eastAsia" w:ascii="宋体" w:hAnsi="宋体"/>
          <w:color w:val="auto"/>
          <w:highlight w:val="none"/>
        </w:rPr>
        <w:t>给予一定比例的价格折扣或者加分。</w:t>
      </w:r>
    </w:p>
    <w:p w14:paraId="7C94055E">
      <w:pPr>
        <w:adjustRightInd w:val="0"/>
        <w:snapToGrid w:val="0"/>
        <w:spacing w:before="156" w:beforeLines="50" w:line="360" w:lineRule="auto"/>
        <w:ind w:firstLine="420" w:firstLineChars="200"/>
        <w:jc w:val="left"/>
        <w:rPr>
          <w:rFonts w:ascii="宋体" w:hAnsi="宋体" w:cs="宋体"/>
          <w:color w:val="auto"/>
          <w:kern w:val="0"/>
          <w:highlight w:val="none"/>
        </w:rPr>
      </w:pPr>
      <w:r>
        <w:rPr>
          <w:rFonts w:hint="eastAsia" w:ascii="宋体" w:hAnsi="宋体" w:cs="宋体"/>
          <w:color w:val="auto"/>
          <w:kern w:val="0"/>
          <w:highlight w:val="none"/>
        </w:rPr>
        <w:t>33.2强制采购：</w:t>
      </w:r>
    </w:p>
    <w:p w14:paraId="5E45314A">
      <w:pPr>
        <w:adjustRightInd w:val="0"/>
        <w:snapToGrid w:val="0"/>
        <w:spacing w:before="156" w:beforeLines="50" w:line="360" w:lineRule="auto"/>
        <w:ind w:firstLine="420" w:firstLineChars="200"/>
        <w:jc w:val="left"/>
        <w:rPr>
          <w:rFonts w:ascii="宋体" w:hAnsi="宋体" w:cs="宋体"/>
          <w:color w:val="auto"/>
          <w:kern w:val="0"/>
          <w:highlight w:val="none"/>
        </w:rPr>
      </w:pPr>
      <w:r>
        <w:rPr>
          <w:rFonts w:hint="eastAsia" w:ascii="宋体" w:hAnsi="宋体" w:cs="宋体"/>
          <w:color w:val="auto"/>
          <w:kern w:val="0"/>
          <w:highlight w:val="none"/>
        </w:rPr>
        <w:t>（1）纳入财政部会同国务院有关部门发布的节能产品政府采购品目清单，实施政府强制采购的（品目清单标注</w:t>
      </w:r>
      <w:r>
        <w:rPr>
          <w:rFonts w:hint="eastAsia" w:ascii="宋体" w:hAnsi="宋体" w:cs="宋体"/>
          <w:color w:val="auto"/>
          <w:kern w:val="0"/>
          <w:highlight w:val="none"/>
        </w:rPr>
        <w:sym w:font="Wingdings" w:char="F0AB"/>
      </w:r>
      <w:r>
        <w:rPr>
          <w:rFonts w:hint="eastAsia" w:ascii="宋体" w:hAnsi="宋体" w:cs="宋体"/>
          <w:color w:val="auto"/>
          <w:kern w:val="0"/>
          <w:highlight w:val="none"/>
        </w:rPr>
        <w:t>符号产品），投标人投标产品应当取得国家确定的认证机构出具的、处于有效期之内的节能产品认证证书，否则其</w:t>
      </w:r>
      <w:r>
        <w:rPr>
          <w:rFonts w:hint="eastAsia" w:ascii="宋体" w:hAnsi="宋体" w:cs="宋体"/>
          <w:b/>
          <w:color w:val="auto"/>
          <w:kern w:val="0"/>
          <w:szCs w:val="21"/>
          <w:highlight w:val="none"/>
        </w:rPr>
        <w:t>投标无效</w:t>
      </w:r>
      <w:r>
        <w:rPr>
          <w:rFonts w:hint="eastAsia" w:ascii="宋体" w:hAnsi="宋体" w:cs="宋体"/>
          <w:color w:val="auto"/>
          <w:kern w:val="0"/>
          <w:highlight w:val="none"/>
        </w:rPr>
        <w:t>。</w:t>
      </w:r>
    </w:p>
    <w:p w14:paraId="29AA0218">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33.3价格评审优惠：</w:t>
      </w:r>
    </w:p>
    <w:p w14:paraId="6B42984E">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1）在政府采购活动中，供应商提供的货物、工程或者服务符合下列情形的：（一）在货物采购项目中，货物由中小企业制造，即货物由中小企业生产且使用该中小企业商号或者注册商标；（二）在工程采购项目中，工程由中小企业承建，即工程施工单位为中小企业；（三）在服务采购项目中，服务由中小企业承接，即提供服务的人员为中小企业依照《中华人民共和国劳动合同法》订立劳动合同的从业人员；给予一定比例的价格折扣，用扣除后的价格参与评审；</w:t>
      </w:r>
    </w:p>
    <w:p w14:paraId="5C7C9C4C">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2）对于经主管预算单位统筹后未预留份额专门面向中小企业采购的采购项目，以及预留份额项目中的非预留部分采购包，符合小微企业生产的货物或者提供的服务、工程情形的，给予一定比例的价格折扣，用扣除后的价格参与评审。</w:t>
      </w:r>
    </w:p>
    <w:p w14:paraId="2DC06037">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 xml:space="preserve">接受大中型企业与小微企业组成联合体或者允许大中型企业向一家或者多家小微企业分包的采购项目，对于联合协议或者分包意向协议约定小微企业的合同份额占到合同总金额30%以上的，给予一定比例的价格折扣，用扣除后的价格参与评审。以联合体形式参加政府采购活动，联合体各方均为中小企业的，联合体视同中小企业。其中，联合体各方均为小微企业的，联合体视同小微企业； </w:t>
      </w:r>
    </w:p>
    <w:p w14:paraId="55C57A9F">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（3）符合中小企业划分标准的个体工商户视同中小企业，享受评审中价格扣除等促进中小企业发展的政府采购政策。</w:t>
      </w:r>
    </w:p>
    <w:p w14:paraId="7BA29E58">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（4）监狱企业、残疾人福利性单位视同小型、微型企业，享受评审中价格扣除等促进中小企业发展的政府采购政策。</w:t>
      </w:r>
    </w:p>
    <w:p w14:paraId="4BC24DD3">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 xml:space="preserve">（5）与大企业的负责人为同一人，或者与大企业存在直接控股、管理关系的中小企业，不享受评审中价格扣除等促进中小企业发展的政府采购政策。 </w:t>
      </w:r>
    </w:p>
    <w:p w14:paraId="7871ED29">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（6）本章第1.2款规定采购项目或者采购包属于“预留采购份额”的，预留部分不再享受本款“价格评审优惠”的小微企业扶持政策。</w:t>
      </w:r>
    </w:p>
    <w:p w14:paraId="6DFC7686">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33.4政府采购政策交叉与叠加</w:t>
      </w:r>
    </w:p>
    <w:p w14:paraId="496669E5">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（1）投标产品取得两个及以上优先采购产品认证的，评审时只有其中一项产品能享受优先采购优惠（投标人自行选择，并在投标文件中并填报相关信息及数据）</w:t>
      </w:r>
    </w:p>
    <w:p w14:paraId="4342561B">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（2）投标人同时符合小型、微型企业及监狱企业、残疾人福利性单位要求的，评审时只有一种类型享受价格评审优惠政策；</w:t>
      </w:r>
    </w:p>
    <w:p w14:paraId="53853C4C">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（3）小型和微型企业的价格评审优惠可以与同时属于“节能产品”、“环境标志产品”及“两型产品”中的一项优先采购优惠累加计算。</w:t>
      </w:r>
    </w:p>
    <w:p w14:paraId="230A148C">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33.5在货物采购项目中，供应商提供的货物既有中小企业制造货物，也有大型企业制造货物的，不享受政府采购中小企业扶持政策。</w:t>
      </w:r>
    </w:p>
    <w:p w14:paraId="5013873E">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33.6投标人符合本章第33.1款、第33.2款、第33.3款规定的，应提供相关证明资料。</w:t>
      </w:r>
    </w:p>
    <w:p w14:paraId="2B643C66">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（1）节能产品、环境标志产品：提供国家确定的认证机构出具的、处于有效期之内的节能产品、环境标志产品认证证书。</w:t>
      </w:r>
    </w:p>
    <w:p w14:paraId="74D1DAE8">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（2）两型产品：提供《湖南省两型产品政府采购目录》（最新一期）文件首页和投标产品所在页（截图）。</w:t>
      </w:r>
    </w:p>
    <w:p w14:paraId="139C6A78">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highlight w:val="none"/>
        </w:rPr>
        <w:t>（3）中小企业：货物类采购项目，按《关于印发＜政府采购促进中小企业发展办法＞的通知》(财库[2020]46号) 和《关于印发中小企业划型标准规定的通知》（工信部联企业〔2011〕300号）文件规定提供中小企业声明函（格式）；服务类采购项目，按《湖南省财政厅关于政府采购促进中小企业发展的有关措施的通知》（湘财购[2022]17号）文件规定提供湖南省政府采购供应商资格承诺函（格式）</w:t>
      </w:r>
      <w:r>
        <w:rPr>
          <w:rFonts w:hint="eastAsia" w:ascii="宋体" w:hAnsi="宋体"/>
          <w:color w:val="auto"/>
          <w:szCs w:val="21"/>
          <w:highlight w:val="none"/>
        </w:rPr>
        <w:t>。</w:t>
      </w:r>
    </w:p>
    <w:p w14:paraId="183FD4EB">
      <w:pPr>
        <w:pStyle w:val="2"/>
        <w:spacing w:line="360" w:lineRule="auto"/>
        <w:rPr>
          <w:rFonts w:ascii="宋体" w:hAnsi="宋体"/>
          <w:color w:val="auto"/>
          <w:szCs w:val="24"/>
          <w:highlight w:val="none"/>
        </w:rPr>
      </w:pPr>
      <w:r>
        <w:rPr>
          <w:rFonts w:hint="eastAsia" w:ascii="宋体" w:hAnsi="宋体"/>
          <w:color w:val="auto"/>
          <w:szCs w:val="24"/>
          <w:highlight w:val="none"/>
        </w:rPr>
        <w:t>（4）监狱企业：按《关于政府采购支持监狱企业发展有关问题的通知》(财库〔2014〕68号)文件规定提供证明文件。</w:t>
      </w:r>
    </w:p>
    <w:p w14:paraId="51AF5203">
      <w:pPr>
        <w:pStyle w:val="2"/>
        <w:spacing w:line="360" w:lineRule="auto"/>
        <w:rPr>
          <w:rFonts w:ascii="宋体" w:hAnsi="宋体"/>
          <w:color w:val="auto"/>
          <w:szCs w:val="24"/>
          <w:highlight w:val="none"/>
        </w:rPr>
      </w:pPr>
      <w:r>
        <w:rPr>
          <w:rFonts w:hint="eastAsia" w:ascii="宋体" w:hAnsi="宋体"/>
          <w:color w:val="auto"/>
          <w:szCs w:val="24"/>
          <w:highlight w:val="none"/>
        </w:rPr>
        <w:t>（5）残疾人福利性单位：按《关于促进残疾人就业政府采购政策的通知》(财库〔2017〕141号)文件规定提供《残疾人福利性单位声明函》（格式）。</w:t>
      </w:r>
    </w:p>
    <w:p w14:paraId="7CE896D9">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33.7执行中小企业预留采购份额政策的规定：</w:t>
      </w:r>
    </w:p>
    <w:p w14:paraId="43DCEC4F">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（1）预留份额的采购项目或者采购包，应明确该项目或相关采购包专门面向中小企业采购，并作为供应商资格条件。</w:t>
      </w:r>
    </w:p>
    <w:p w14:paraId="434F3A35">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（2）要求以联合体形式参加或者合同分包的，应明确联合协议或者分包意向协议中中小企业合同金额应当达到的比例，并作为供应商资格条件。</w:t>
      </w:r>
    </w:p>
    <w:p w14:paraId="75825B12">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（3）组成联合体或者接受分包合同的中小企业与联合体内其他企业(成员)、分包企业(投标人)之间不得存在直接控股、管理关系。</w:t>
      </w:r>
    </w:p>
    <w:p w14:paraId="434C7411">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33.8采购进口产品</w:t>
      </w:r>
    </w:p>
    <w:p w14:paraId="5FA8EB42">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s="宋体"/>
          <w:color w:val="auto"/>
          <w:kern w:val="0"/>
          <w:szCs w:val="21"/>
          <w:highlight w:val="none"/>
        </w:rPr>
        <w:t>进口产品是指符合《政府采购进口产品管理办法》（财库〔2007〕119号）和《关于政府采购进口产品管理有关问题的通知》（财办库〔2008〕248号）文件规定的产品。除</w:t>
      </w:r>
      <w:r>
        <w:rPr>
          <w:rFonts w:hint="eastAsia" w:ascii="宋体" w:hAnsi="宋体"/>
          <w:b/>
          <w:color w:val="auto"/>
          <w:szCs w:val="21"/>
          <w:highlight w:val="none"/>
        </w:rPr>
        <w:t>【投标须知前附表】</w:t>
      </w:r>
      <w:r>
        <w:rPr>
          <w:rFonts w:hint="eastAsia" w:ascii="宋体" w:hAnsi="宋体" w:cs="宋体"/>
          <w:color w:val="auto"/>
          <w:kern w:val="0"/>
          <w:szCs w:val="21"/>
          <w:highlight w:val="none"/>
        </w:rPr>
        <w:t>另有规定外，采购项目</w:t>
      </w:r>
      <w:r>
        <w:rPr>
          <w:rFonts w:hint="eastAsia" w:ascii="宋体" w:hAnsi="宋体" w:cs="宋体"/>
          <w:b/>
          <w:color w:val="auto"/>
          <w:kern w:val="0"/>
          <w:szCs w:val="21"/>
          <w:highlight w:val="none"/>
        </w:rPr>
        <w:t>拒绝进口产品参加投标</w:t>
      </w:r>
      <w:r>
        <w:rPr>
          <w:rFonts w:hint="eastAsia" w:ascii="宋体" w:hAnsi="宋体" w:cs="宋体"/>
          <w:color w:val="auto"/>
          <w:kern w:val="0"/>
          <w:szCs w:val="21"/>
          <w:highlight w:val="none"/>
        </w:rPr>
        <w:t>。本款规定同意购买进口产品的，不限制满足招标文件要求的国内产品参与投标竞争。</w:t>
      </w:r>
    </w:p>
    <w:p w14:paraId="389C9CFB">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33.9投标人有融资、担保需求的，可登陆中国湖南政府采购网查询相关银行、担保机构业务。</w:t>
      </w:r>
    </w:p>
    <w:p w14:paraId="093161DA">
      <w:pPr>
        <w:pStyle w:val="11"/>
        <w:adjustRightInd w:val="0"/>
        <w:snapToGrid w:val="0"/>
        <w:spacing w:before="156" w:beforeLines="50" w:after="0" w:line="360" w:lineRule="auto"/>
        <w:jc w:val="center"/>
        <w:rPr>
          <w:rFonts w:ascii="黑体" w:hAnsi="黑体" w:eastAsia="黑体"/>
          <w:color w:val="auto"/>
          <w:sz w:val="28"/>
          <w:szCs w:val="28"/>
          <w:highlight w:val="none"/>
        </w:rPr>
      </w:pPr>
      <w:bookmarkStart w:id="34" w:name="_Toc16139"/>
      <w:r>
        <w:rPr>
          <w:rFonts w:hint="eastAsia" w:ascii="黑体" w:hAnsi="黑体" w:eastAsia="黑体"/>
          <w:color w:val="auto"/>
          <w:sz w:val="28"/>
          <w:szCs w:val="28"/>
          <w:highlight w:val="none"/>
        </w:rPr>
        <w:t>九、其他规定</w:t>
      </w:r>
      <w:bookmarkEnd w:id="34"/>
    </w:p>
    <w:p w14:paraId="2F6AE848">
      <w:pPr>
        <w:adjustRightInd w:val="0"/>
        <w:snapToGrid w:val="0"/>
        <w:spacing w:before="156" w:beforeLines="50" w:line="360" w:lineRule="auto"/>
        <w:jc w:val="left"/>
        <w:rPr>
          <w:rFonts w:ascii="宋体" w:hAnsi="宋体"/>
          <w:b/>
          <w:color w:val="auto"/>
          <w:sz w:val="24"/>
          <w:highlight w:val="none"/>
        </w:rPr>
      </w:pPr>
      <w:r>
        <w:rPr>
          <w:rFonts w:hint="eastAsia" w:ascii="宋体" w:hAnsi="宋体"/>
          <w:b/>
          <w:bCs/>
          <w:color w:val="auto"/>
          <w:sz w:val="24"/>
          <w:highlight w:val="none"/>
        </w:rPr>
        <w:t>34.</w:t>
      </w:r>
      <w:r>
        <w:rPr>
          <w:rFonts w:hint="eastAsia" w:ascii="宋体" w:hAnsi="宋体"/>
          <w:color w:val="auto"/>
          <w:sz w:val="24"/>
          <w:highlight w:val="none"/>
        </w:rPr>
        <w:t xml:space="preserve"> </w:t>
      </w:r>
      <w:r>
        <w:rPr>
          <w:rFonts w:hint="eastAsia" w:ascii="宋体" w:hAnsi="宋体"/>
          <w:b/>
          <w:color w:val="auto"/>
          <w:sz w:val="24"/>
          <w:highlight w:val="none"/>
        </w:rPr>
        <w:t>招标不足三家处理</w:t>
      </w:r>
    </w:p>
    <w:p w14:paraId="1DE852E2">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34.1公开招标数额标准以上的采购项目，投标截止后投标人不足3家或者通过资格审查或符合性审查的投标人不足3家的，除采购任务取消情形外，按照以下方式处理：</w:t>
      </w:r>
    </w:p>
    <w:p w14:paraId="19D5EE6F">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（1）招标文件存在不合理条款或者招标程序不符合规定的，采购人、采购代理机构改正后依法重新招标；</w:t>
      </w:r>
    </w:p>
    <w:p w14:paraId="76B5C965">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（2）招标文件没有不合理条款、招标程序符合规定，需要采用其他采购方式采购的，采购人应当依法报财政部门批准。</w:t>
      </w:r>
    </w:p>
    <w:p w14:paraId="43A4724D">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34.2属上款第（2）项情形的，评标委员会应出具的招标文件没有不合理条款的论证意见。</w:t>
      </w:r>
    </w:p>
    <w:p w14:paraId="35120D85">
      <w:pPr>
        <w:adjustRightInd w:val="0"/>
        <w:snapToGrid w:val="0"/>
        <w:spacing w:before="156" w:beforeLines="50" w:line="360" w:lineRule="auto"/>
        <w:jc w:val="left"/>
        <w:rPr>
          <w:rFonts w:ascii="宋体" w:hAnsi="宋体"/>
          <w:b/>
          <w:color w:val="auto"/>
          <w:sz w:val="24"/>
          <w:highlight w:val="none"/>
        </w:rPr>
      </w:pPr>
      <w:r>
        <w:rPr>
          <w:rFonts w:hint="eastAsia" w:ascii="宋体" w:hAnsi="宋体"/>
          <w:b/>
          <w:bCs/>
          <w:color w:val="auto"/>
          <w:sz w:val="24"/>
          <w:highlight w:val="none"/>
        </w:rPr>
        <w:t>35.</w:t>
      </w:r>
      <w:r>
        <w:rPr>
          <w:rFonts w:hint="eastAsia" w:ascii="宋体" w:hAnsi="宋体"/>
          <w:b/>
          <w:color w:val="auto"/>
          <w:sz w:val="24"/>
          <w:highlight w:val="none"/>
        </w:rPr>
        <w:t xml:space="preserve"> 需要补充的其他内容</w:t>
      </w:r>
    </w:p>
    <w:p w14:paraId="47557FAD">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35.1合同价款支付</w:t>
      </w:r>
    </w:p>
    <w:p w14:paraId="000944F2">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（1）招标文件</w:t>
      </w:r>
      <w:r>
        <w:rPr>
          <w:rFonts w:hint="eastAsia" w:ascii="宋体" w:hAnsi="宋体"/>
          <w:bCs/>
          <w:color w:val="auto"/>
          <w:szCs w:val="21"/>
          <w:highlight w:val="none"/>
        </w:rPr>
        <w:t>规定支付合同预付款的，采购人应按</w:t>
      </w:r>
      <w:r>
        <w:rPr>
          <w:rFonts w:hint="eastAsia" w:ascii="宋体" w:hAnsi="宋体"/>
          <w:b/>
          <w:color w:val="auto"/>
          <w:szCs w:val="21"/>
          <w:highlight w:val="none"/>
        </w:rPr>
        <w:t>【投标须知前附表】</w:t>
      </w:r>
      <w:r>
        <w:rPr>
          <w:rFonts w:hint="eastAsia" w:ascii="宋体" w:hAnsi="宋体"/>
          <w:bCs/>
          <w:color w:val="auto"/>
          <w:szCs w:val="21"/>
          <w:highlight w:val="none"/>
        </w:rPr>
        <w:t>规定的支付比例和支付条件向符合要求的中标供应商及时支付相应款项，并在政府采购合同中进行明确。</w:t>
      </w:r>
    </w:p>
    <w:p w14:paraId="7DD24C5F">
      <w:pPr>
        <w:pStyle w:val="2"/>
        <w:spacing w:line="360" w:lineRule="auto"/>
        <w:rPr>
          <w:rFonts w:ascii="宋体" w:hAnsi="宋体"/>
          <w:bCs/>
          <w:color w:val="auto"/>
          <w:highlight w:val="none"/>
        </w:rPr>
      </w:pPr>
      <w:r>
        <w:rPr>
          <w:rFonts w:hint="eastAsia" w:ascii="宋体" w:hAnsi="宋体"/>
          <w:color w:val="auto"/>
          <w:highlight w:val="none"/>
        </w:rPr>
        <w:t>（2）招标文件</w:t>
      </w:r>
      <w:r>
        <w:rPr>
          <w:rFonts w:hint="eastAsia" w:ascii="宋体" w:hAnsi="宋体"/>
          <w:bCs/>
          <w:color w:val="auto"/>
          <w:highlight w:val="none"/>
        </w:rPr>
        <w:t>规定需提交质量保证金的，采购人可以按</w:t>
      </w:r>
      <w:r>
        <w:rPr>
          <w:rFonts w:hint="eastAsia" w:ascii="宋体" w:hAnsi="宋体"/>
          <w:b/>
          <w:color w:val="auto"/>
          <w:highlight w:val="none"/>
        </w:rPr>
        <w:t>【投标须知前附表】</w:t>
      </w:r>
      <w:r>
        <w:rPr>
          <w:rFonts w:hint="eastAsia" w:ascii="宋体" w:hAnsi="宋体"/>
          <w:bCs/>
          <w:color w:val="auto"/>
          <w:highlight w:val="none"/>
        </w:rPr>
        <w:t>规定要求中标供应商提交质量保证金，并在政府采购合同中进行明确。</w:t>
      </w:r>
    </w:p>
    <w:p w14:paraId="091F651A">
      <w:pPr>
        <w:pStyle w:val="2"/>
        <w:spacing w:line="360" w:lineRule="auto"/>
        <w:rPr>
          <w:rFonts w:ascii="宋体" w:hAnsi="宋体"/>
          <w:bCs/>
          <w:color w:val="auto"/>
          <w:highlight w:val="none"/>
        </w:rPr>
      </w:pPr>
      <w:r>
        <w:rPr>
          <w:rFonts w:hint="eastAsia" w:ascii="宋体" w:hAnsi="宋体"/>
          <w:bCs/>
          <w:color w:val="auto"/>
          <w:highlight w:val="none"/>
        </w:rPr>
        <w:t>（3）投标人可以保函、电子增信替代预付款担保、质量保证金。</w:t>
      </w:r>
    </w:p>
    <w:p w14:paraId="2E965112">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highlight w:val="none"/>
        </w:rPr>
        <w:t>35.2招标文件需要补充的其</w:t>
      </w:r>
      <w:r>
        <w:rPr>
          <w:rFonts w:hint="eastAsia" w:ascii="宋体" w:hAnsi="宋体"/>
          <w:color w:val="auto"/>
          <w:szCs w:val="21"/>
          <w:highlight w:val="none"/>
        </w:rPr>
        <w:t>他内容见</w:t>
      </w:r>
      <w:r>
        <w:rPr>
          <w:rFonts w:hint="eastAsia" w:ascii="宋体" w:hAnsi="宋体"/>
          <w:b/>
          <w:color w:val="auto"/>
          <w:szCs w:val="21"/>
          <w:highlight w:val="none"/>
        </w:rPr>
        <w:t>【投标须知前附表】</w:t>
      </w:r>
      <w:r>
        <w:rPr>
          <w:rFonts w:hint="eastAsia" w:ascii="宋体" w:hAnsi="宋体"/>
          <w:color w:val="auto"/>
          <w:szCs w:val="21"/>
          <w:highlight w:val="none"/>
        </w:rPr>
        <w:t>。</w:t>
      </w:r>
    </w:p>
    <w:p w14:paraId="38E87E7A">
      <w:pPr>
        <w:pStyle w:val="20"/>
        <w:rPr>
          <w:color w:val="auto"/>
          <w:highlight w:val="none"/>
        </w:rPr>
      </w:pPr>
      <w:r>
        <w:rPr>
          <w:color w:val="auto"/>
          <w:highlight w:val="none"/>
        </w:rPr>
        <w:br w:type="page"/>
      </w:r>
    </w:p>
    <w:p w14:paraId="057D0217">
      <w:pPr>
        <w:pStyle w:val="9"/>
        <w:rPr>
          <w:rFonts w:ascii="黑体" w:hAnsi="黑体" w:eastAsia="黑体"/>
          <w:color w:val="auto"/>
          <w:sz w:val="32"/>
          <w:szCs w:val="32"/>
          <w:highlight w:val="none"/>
        </w:rPr>
      </w:pPr>
      <w:bookmarkStart w:id="35" w:name="_Toc6928"/>
      <w:r>
        <w:rPr>
          <w:rFonts w:hint="eastAsia" w:ascii="黑体" w:hAnsi="黑体" w:eastAsia="黑体"/>
          <w:color w:val="auto"/>
          <w:sz w:val="32"/>
          <w:szCs w:val="32"/>
          <w:highlight w:val="none"/>
        </w:rPr>
        <w:t>第三章 资格审查</w:t>
      </w:r>
      <w:bookmarkEnd w:id="35"/>
    </w:p>
    <w:p w14:paraId="23CE6305">
      <w:pPr>
        <w:pStyle w:val="11"/>
        <w:adjustRightInd w:val="0"/>
        <w:snapToGrid w:val="0"/>
        <w:spacing w:before="156" w:beforeLines="50" w:after="0" w:line="360" w:lineRule="auto"/>
        <w:rPr>
          <w:rFonts w:ascii="黑体" w:hAnsi="黑体" w:eastAsia="黑体"/>
          <w:color w:val="auto"/>
          <w:sz w:val="24"/>
          <w:szCs w:val="24"/>
          <w:highlight w:val="none"/>
        </w:rPr>
      </w:pPr>
      <w:bookmarkStart w:id="36" w:name="_Toc4626"/>
      <w:r>
        <w:rPr>
          <w:rFonts w:hint="eastAsia" w:ascii="黑体" w:hAnsi="黑体" w:eastAsia="黑体"/>
          <w:color w:val="auto"/>
          <w:sz w:val="24"/>
          <w:szCs w:val="24"/>
          <w:highlight w:val="none"/>
        </w:rPr>
        <w:t>1．资格审查主体</w:t>
      </w:r>
      <w:bookmarkEnd w:id="36"/>
    </w:p>
    <w:p w14:paraId="62416E49">
      <w:pPr>
        <w:adjustRightInd w:val="0"/>
        <w:snapToGrid w:val="0"/>
        <w:spacing w:before="156" w:beforeLines="50" w:line="360" w:lineRule="auto"/>
        <w:ind w:firstLine="417" w:firstLineChars="199"/>
        <w:jc w:val="left"/>
        <w:rPr>
          <w:rFonts w:ascii="宋体" w:hAnsi="宋体"/>
          <w:color w:val="auto"/>
          <w:szCs w:val="21"/>
          <w:highlight w:val="none"/>
        </w:rPr>
      </w:pPr>
      <w:r>
        <w:rPr>
          <w:rFonts w:hint="eastAsia" w:ascii="宋体" w:hAnsi="宋体"/>
          <w:color w:val="auto"/>
          <w:szCs w:val="21"/>
          <w:highlight w:val="none"/>
        </w:rPr>
        <w:t>1.1资格审查主体：采购人、采购代理机构负责资格审查。</w:t>
      </w:r>
    </w:p>
    <w:p w14:paraId="418006A6">
      <w:pPr>
        <w:pStyle w:val="11"/>
        <w:adjustRightInd w:val="0"/>
        <w:snapToGrid w:val="0"/>
        <w:spacing w:before="156" w:beforeLines="50" w:after="0" w:line="360" w:lineRule="auto"/>
        <w:rPr>
          <w:rFonts w:ascii="黑体" w:hAnsi="黑体" w:eastAsia="黑体"/>
          <w:color w:val="auto"/>
          <w:sz w:val="24"/>
          <w:szCs w:val="24"/>
          <w:highlight w:val="none"/>
        </w:rPr>
      </w:pPr>
      <w:bookmarkStart w:id="37" w:name="_Toc715"/>
      <w:r>
        <w:rPr>
          <w:rFonts w:hint="eastAsia" w:ascii="黑体" w:hAnsi="黑体" w:eastAsia="黑体"/>
          <w:color w:val="auto"/>
          <w:sz w:val="24"/>
          <w:szCs w:val="24"/>
          <w:highlight w:val="none"/>
        </w:rPr>
        <w:t>2．资格审查</w:t>
      </w:r>
      <w:bookmarkEnd w:id="37"/>
    </w:p>
    <w:p w14:paraId="498F2615">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2.1资格审查依据法律法规和招标文件的规定，对投标文件中的资格证明文件、投标保证金、投标报价等进行审查，以确定投标供应商是否具备投标资格。</w:t>
      </w:r>
    </w:p>
    <w:p w14:paraId="31148798">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2.2采购人、采购代理机构按本章附表1“资格审查表”所列审查项目及审查标准，对投标人资格进行审查。</w:t>
      </w:r>
    </w:p>
    <w:p w14:paraId="63505838">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2.3在资格审查时，投标人存在下列情况之一的，资格审查不合格，其投标无效：</w:t>
      </w:r>
    </w:p>
    <w:p w14:paraId="64B9240C">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（1）不具备招标文件中规定的资格要求的，或提交的资格证明文件不符合招标文件要求的；</w:t>
      </w:r>
    </w:p>
    <w:p w14:paraId="7FC84681">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（2）联合体投标未提交联合体协议书，或未提交联合体各方资格证明文件的；</w:t>
      </w:r>
    </w:p>
    <w:p w14:paraId="055AB397">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（3）投标文件的资格证明文件未按照招标文件要求签署、盖章的；</w:t>
      </w:r>
    </w:p>
    <w:p w14:paraId="14B066B5">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（4）未按照招标文件的规定提交投标保证金的。</w:t>
      </w:r>
    </w:p>
    <w:p w14:paraId="643E6806">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（5）投标报价超过招标文件中规定的预算金额或者最高限价的；</w:t>
      </w:r>
    </w:p>
    <w:p w14:paraId="65F8D3C0">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（6）法律、法规和招标文件规定的其他投标无效情形的。</w:t>
      </w:r>
    </w:p>
    <w:p w14:paraId="195137C4">
      <w:pPr>
        <w:adjustRightInd w:val="0"/>
        <w:snapToGrid w:val="0"/>
        <w:spacing w:before="156" w:beforeLines="50" w:line="360" w:lineRule="auto"/>
        <w:ind w:firstLine="420" w:firstLineChars="200"/>
        <w:jc w:val="left"/>
        <w:rPr>
          <w:rFonts w:ascii="宋体" w:hAnsi="宋体"/>
          <w:b/>
          <w:color w:val="auto"/>
          <w:sz w:val="32"/>
          <w:szCs w:val="32"/>
          <w:highlight w:val="none"/>
        </w:rPr>
      </w:pPr>
      <w:r>
        <w:rPr>
          <w:rFonts w:hint="eastAsia" w:ascii="宋体" w:hAnsi="宋体"/>
          <w:color w:val="auto"/>
          <w:highlight w:val="none"/>
        </w:rPr>
        <w:t>2.4信用记录。开标结束后</w:t>
      </w:r>
      <w:r>
        <w:rPr>
          <w:rFonts w:hint="eastAsia" w:ascii="宋体" w:hAnsi="宋体"/>
          <w:color w:val="auto"/>
          <w:szCs w:val="21"/>
          <w:highlight w:val="none"/>
        </w:rPr>
        <w:t>资格审查时，采购人、采购代理机构将对投标人信用记录进行甄别。</w:t>
      </w:r>
    </w:p>
    <w:p w14:paraId="067CF4B8">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（1）信用信息查询的查询渠道：信用中国网（www.creditchina.gov.cn）、中国政府采购网（www.ccgp.gov.cn）；</w:t>
      </w:r>
    </w:p>
    <w:p w14:paraId="17F9D51A">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不良信用记录是指：投标人在“信用中国”网站被列入失信被执行人和重大税收违法失信主体名单，或在“中国政府采购网”网站被列入政府采购严重违法失信行为记录名单。投标人有上述不良信用记录的，其投标无效，其中，列入政府采购严重违法失信行为记录名单的，按处罚结果执行。</w:t>
      </w:r>
    </w:p>
    <w:p w14:paraId="574B4422">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（3）联合体形式投标的，联合体成员存在不良信用记录的，视同联合体存在不良信用记录。</w:t>
      </w:r>
    </w:p>
    <w:p w14:paraId="67143CCA">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（4）信用信息查询记录和证据留存具体方式：采购人、采购代理机构</w:t>
      </w:r>
      <w:r>
        <w:rPr>
          <w:rFonts w:ascii="宋体" w:hAnsi="宋体"/>
          <w:color w:val="auto"/>
          <w:szCs w:val="21"/>
          <w:highlight w:val="none"/>
        </w:rPr>
        <w:t>经办人将查询网页</w:t>
      </w:r>
      <w:r>
        <w:rPr>
          <w:rFonts w:hint="eastAsia" w:ascii="宋体" w:hAnsi="宋体"/>
          <w:color w:val="auto"/>
          <w:szCs w:val="21"/>
          <w:highlight w:val="none"/>
        </w:rPr>
        <w:t>截图、</w:t>
      </w:r>
      <w:r>
        <w:rPr>
          <w:rFonts w:ascii="宋体" w:hAnsi="宋体"/>
          <w:color w:val="auto"/>
          <w:szCs w:val="21"/>
          <w:highlight w:val="none"/>
        </w:rPr>
        <w:t>打印、签字</w:t>
      </w:r>
      <w:r>
        <w:rPr>
          <w:rFonts w:hint="eastAsia" w:ascii="宋体" w:hAnsi="宋体"/>
          <w:color w:val="auto"/>
          <w:szCs w:val="21"/>
          <w:highlight w:val="none"/>
        </w:rPr>
        <w:t>，作为查询记录和证据，与其他采购文件一并保存。</w:t>
      </w:r>
      <w:r>
        <w:rPr>
          <w:rFonts w:ascii="宋体" w:hAnsi="宋体"/>
          <w:color w:val="auto"/>
          <w:szCs w:val="21"/>
          <w:highlight w:val="none"/>
        </w:rPr>
        <w:t>投标人不良信用记录以</w:t>
      </w:r>
      <w:r>
        <w:rPr>
          <w:rFonts w:hint="eastAsia" w:ascii="宋体" w:hAnsi="宋体"/>
          <w:color w:val="auto"/>
          <w:szCs w:val="21"/>
          <w:highlight w:val="none"/>
        </w:rPr>
        <w:t>采购人、采购代理机构</w:t>
      </w:r>
      <w:r>
        <w:rPr>
          <w:rFonts w:ascii="宋体" w:hAnsi="宋体"/>
          <w:color w:val="auto"/>
          <w:szCs w:val="21"/>
          <w:highlight w:val="none"/>
        </w:rPr>
        <w:t>查询结果为准</w:t>
      </w:r>
      <w:r>
        <w:rPr>
          <w:rFonts w:hint="eastAsia" w:ascii="宋体" w:hAnsi="宋体"/>
          <w:color w:val="auto"/>
          <w:szCs w:val="21"/>
          <w:highlight w:val="none"/>
        </w:rPr>
        <w:t>。</w:t>
      </w:r>
    </w:p>
    <w:p w14:paraId="5AC38AD9">
      <w:pPr>
        <w:pStyle w:val="11"/>
        <w:adjustRightInd w:val="0"/>
        <w:snapToGrid w:val="0"/>
        <w:spacing w:before="156" w:beforeLines="50" w:after="0" w:line="360" w:lineRule="auto"/>
        <w:rPr>
          <w:rFonts w:ascii="黑体" w:hAnsi="黑体" w:eastAsia="黑体"/>
          <w:color w:val="auto"/>
          <w:sz w:val="24"/>
          <w:szCs w:val="24"/>
          <w:highlight w:val="none"/>
        </w:rPr>
      </w:pPr>
      <w:bookmarkStart w:id="38" w:name="_Toc2712"/>
      <w:r>
        <w:rPr>
          <w:rFonts w:hint="eastAsia" w:ascii="黑体" w:hAnsi="黑体" w:eastAsia="黑体"/>
          <w:color w:val="auto"/>
          <w:sz w:val="24"/>
          <w:szCs w:val="24"/>
          <w:highlight w:val="none"/>
        </w:rPr>
        <w:t>3．资格审查结果</w:t>
      </w:r>
      <w:bookmarkEnd w:id="38"/>
    </w:p>
    <w:p w14:paraId="05665E8B">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3.1未通过资格审查的投标人，采购人、采购代理机构应当告知其未通过的原因。</w:t>
      </w:r>
    </w:p>
    <w:p w14:paraId="6BD8F0A9">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3.2资格审查结束后，采购人、采购代理机构应将资格审查结果告知评标委员会。</w:t>
      </w:r>
    </w:p>
    <w:p w14:paraId="54FC85C1">
      <w:pPr>
        <w:adjustRightInd w:val="0"/>
        <w:snapToGrid w:val="0"/>
        <w:spacing w:before="156" w:beforeLines="50" w:line="360" w:lineRule="auto"/>
        <w:jc w:val="left"/>
        <w:rPr>
          <w:rFonts w:ascii="华文中宋" w:hAnsi="华文中宋" w:eastAsia="华文中宋"/>
          <w:b/>
          <w:bCs/>
          <w:color w:val="auto"/>
          <w:sz w:val="10"/>
          <w:szCs w:val="10"/>
          <w:highlight w:val="none"/>
        </w:rPr>
      </w:pPr>
      <w:r>
        <w:rPr>
          <w:rFonts w:ascii="华文中宋" w:hAnsi="华文中宋" w:eastAsia="华文中宋"/>
          <w:color w:val="auto"/>
          <w:highlight w:val="none"/>
        </w:rPr>
        <w:br w:type="page"/>
      </w:r>
    </w:p>
    <w:p w14:paraId="20CBE2B4">
      <w:pPr>
        <w:pStyle w:val="12"/>
        <w:adjustRightInd w:val="0"/>
        <w:snapToGrid w:val="0"/>
        <w:spacing w:before="0" w:after="0" w:line="360" w:lineRule="auto"/>
        <w:rPr>
          <w:rFonts w:ascii="黑体" w:hAnsi="黑体" w:cs="黑体"/>
          <w:b w:val="0"/>
          <w:bCs w:val="0"/>
          <w:color w:val="auto"/>
          <w:sz w:val="21"/>
          <w:szCs w:val="21"/>
          <w:highlight w:val="none"/>
        </w:rPr>
      </w:pPr>
      <w:bookmarkStart w:id="39" w:name="_Toc5045"/>
      <w:r>
        <w:rPr>
          <w:rFonts w:hint="eastAsia" w:ascii="黑体" w:hAnsi="黑体" w:cs="黑体"/>
          <w:b w:val="0"/>
          <w:bCs w:val="0"/>
          <w:color w:val="auto"/>
          <w:sz w:val="21"/>
          <w:szCs w:val="21"/>
          <w:highlight w:val="none"/>
        </w:rPr>
        <w:t>附表1资格审查表</w:t>
      </w:r>
      <w:bookmarkEnd w:id="39"/>
    </w:p>
    <w:p w14:paraId="0181AAAD">
      <w:pPr>
        <w:adjustRightInd w:val="0"/>
        <w:snapToGrid w:val="0"/>
        <w:spacing w:line="360" w:lineRule="auto"/>
        <w:jc w:val="center"/>
        <w:rPr>
          <w:rFonts w:ascii="黑体" w:hAnsi="黑体" w:eastAsia="黑体"/>
          <w:b/>
          <w:color w:val="auto"/>
          <w:sz w:val="28"/>
          <w:szCs w:val="28"/>
          <w:highlight w:val="none"/>
        </w:rPr>
      </w:pPr>
      <w:r>
        <w:rPr>
          <w:rFonts w:ascii="黑体" w:hAnsi="黑体" w:eastAsia="黑体"/>
          <w:b/>
          <w:color w:val="auto"/>
          <w:sz w:val="28"/>
          <w:szCs w:val="28"/>
          <w:highlight w:val="none"/>
        </w:rPr>
        <w:t>资格审查表</w:t>
      </w:r>
    </w:p>
    <w:p w14:paraId="5FF14EA6">
      <w:pPr>
        <w:adjustRightInd w:val="0"/>
        <w:snapToGrid w:val="0"/>
        <w:spacing w:line="360" w:lineRule="auto"/>
        <w:rPr>
          <w:rFonts w:ascii="黑体" w:hAnsi="黑体" w:eastAsia="黑体"/>
          <w:color w:val="auto"/>
          <w:sz w:val="28"/>
          <w:szCs w:val="28"/>
          <w:highlight w:val="none"/>
        </w:rPr>
      </w:pPr>
      <w:r>
        <w:rPr>
          <w:rFonts w:hint="eastAsia" w:ascii="宋体" w:hAnsi="宋体"/>
          <w:color w:val="auto"/>
          <w:szCs w:val="21"/>
          <w:highlight w:val="none"/>
        </w:rPr>
        <w:t>项目名称：</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政府采购计划编号：</w:t>
      </w:r>
      <w:r>
        <w:rPr>
          <w:rFonts w:hint="eastAsia" w:ascii="宋体" w:hAnsi="宋体"/>
          <w:color w:val="auto"/>
          <w:szCs w:val="21"/>
          <w:highlight w:val="none"/>
          <w:u w:val="single"/>
        </w:rPr>
        <w:t xml:space="preserve">       </w:t>
      </w:r>
    </w:p>
    <w:tbl>
      <w:tblPr>
        <w:tblStyle w:val="29"/>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3"/>
        <w:gridCol w:w="3318"/>
        <w:gridCol w:w="5059"/>
      </w:tblGrid>
      <w:tr w14:paraId="3C209A2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trPr>
        <w:tc>
          <w:tcPr>
            <w:tcW w:w="683" w:type="dxa"/>
            <w:shd w:val="clear" w:color="auto" w:fill="auto"/>
            <w:vAlign w:val="center"/>
          </w:tcPr>
          <w:p w14:paraId="70620D7E">
            <w:pPr>
              <w:adjustRightInd w:val="0"/>
              <w:snapToGrid w:val="0"/>
              <w:spacing w:before="156" w:beforeLines="50" w:line="360" w:lineRule="auto"/>
              <w:jc w:val="center"/>
              <w:rPr>
                <w:rFonts w:ascii="宋体" w:hAnsi="宋体" w:cs="宋体"/>
                <w:b/>
                <w:color w:val="auto"/>
                <w:kern w:val="0"/>
                <w:szCs w:val="21"/>
                <w:highlight w:val="none"/>
              </w:rPr>
            </w:pPr>
            <w:r>
              <w:rPr>
                <w:rFonts w:hint="eastAsia" w:ascii="宋体" w:hAnsi="宋体" w:cs="宋体"/>
                <w:b/>
                <w:color w:val="auto"/>
                <w:kern w:val="0"/>
                <w:szCs w:val="21"/>
                <w:highlight w:val="none"/>
              </w:rPr>
              <w:t>序号</w:t>
            </w:r>
          </w:p>
        </w:tc>
        <w:tc>
          <w:tcPr>
            <w:tcW w:w="3318" w:type="dxa"/>
            <w:shd w:val="clear" w:color="auto" w:fill="auto"/>
            <w:vAlign w:val="center"/>
          </w:tcPr>
          <w:p w14:paraId="36FF9B15">
            <w:pPr>
              <w:adjustRightInd w:val="0"/>
              <w:snapToGrid w:val="0"/>
              <w:spacing w:before="156" w:beforeLines="50" w:line="360" w:lineRule="auto"/>
              <w:jc w:val="center"/>
              <w:rPr>
                <w:rFonts w:ascii="宋体" w:hAnsi="宋体" w:cs="宋体"/>
                <w:b/>
                <w:color w:val="auto"/>
                <w:kern w:val="0"/>
                <w:szCs w:val="21"/>
                <w:highlight w:val="none"/>
              </w:rPr>
            </w:pPr>
            <w:r>
              <w:rPr>
                <w:rFonts w:hint="eastAsia" w:ascii="宋体" w:hAnsi="宋体" w:cs="宋体"/>
                <w:b/>
                <w:color w:val="auto"/>
                <w:kern w:val="0"/>
                <w:szCs w:val="21"/>
                <w:highlight w:val="none"/>
              </w:rPr>
              <w:t>审查项目</w:t>
            </w:r>
          </w:p>
        </w:tc>
        <w:tc>
          <w:tcPr>
            <w:tcW w:w="5059" w:type="dxa"/>
            <w:shd w:val="clear" w:color="auto" w:fill="auto"/>
            <w:vAlign w:val="center"/>
          </w:tcPr>
          <w:p w14:paraId="4E27416B">
            <w:pPr>
              <w:adjustRightInd w:val="0"/>
              <w:snapToGrid w:val="0"/>
              <w:spacing w:before="156" w:beforeLines="50" w:line="360" w:lineRule="auto"/>
              <w:jc w:val="center"/>
              <w:rPr>
                <w:rFonts w:ascii="宋体" w:hAnsi="宋体" w:cs="宋体"/>
                <w:b/>
                <w:color w:val="auto"/>
                <w:kern w:val="0"/>
                <w:szCs w:val="21"/>
                <w:highlight w:val="none"/>
              </w:rPr>
            </w:pPr>
            <w:r>
              <w:rPr>
                <w:rFonts w:hint="eastAsia" w:ascii="宋体" w:hAnsi="宋体" w:cs="宋体"/>
                <w:b/>
                <w:color w:val="auto"/>
                <w:kern w:val="0"/>
                <w:szCs w:val="21"/>
                <w:highlight w:val="none"/>
              </w:rPr>
              <w:t>审查标准</w:t>
            </w:r>
          </w:p>
        </w:tc>
      </w:tr>
      <w:tr w14:paraId="4FAC2F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shd w:val="clear" w:color="auto" w:fill="auto"/>
            <w:vAlign w:val="center"/>
          </w:tcPr>
          <w:p w14:paraId="14981B32">
            <w:pPr>
              <w:snapToGrid w:val="0"/>
              <w:spacing w:before="156" w:line="360" w:lineRule="auto"/>
              <w:jc w:val="center"/>
              <w:textAlignment w:val="baseline"/>
              <w:rPr>
                <w:rFonts w:ascii="宋体" w:hAnsi="宋体" w:cs="宋体"/>
                <w:color w:val="auto"/>
                <w:kern w:val="0"/>
                <w:szCs w:val="21"/>
                <w:highlight w:val="none"/>
              </w:rPr>
            </w:pPr>
            <w:r>
              <w:rPr>
                <w:rStyle w:val="49"/>
                <w:rFonts w:ascii="宋体" w:hAnsi="宋体"/>
                <w:color w:val="auto"/>
                <w:kern w:val="0"/>
                <w:szCs w:val="21"/>
                <w:highlight w:val="none"/>
              </w:rPr>
              <w:t>1</w:t>
            </w:r>
          </w:p>
        </w:tc>
        <w:tc>
          <w:tcPr>
            <w:tcW w:w="3318" w:type="dxa"/>
            <w:shd w:val="clear" w:color="auto" w:fill="auto"/>
            <w:vAlign w:val="center"/>
          </w:tcPr>
          <w:p w14:paraId="2031F0AD">
            <w:pPr>
              <w:snapToGrid w:val="0"/>
              <w:spacing w:before="156" w:line="360" w:lineRule="auto"/>
              <w:textAlignment w:val="baseline"/>
              <w:rPr>
                <w:rFonts w:ascii="宋体" w:hAnsi="宋体" w:cs="宋体"/>
                <w:color w:val="auto"/>
                <w:kern w:val="0"/>
                <w:szCs w:val="21"/>
                <w:highlight w:val="none"/>
              </w:rPr>
            </w:pPr>
            <w:r>
              <w:rPr>
                <w:rStyle w:val="49"/>
                <w:rFonts w:ascii="宋体" w:hAnsi="宋体"/>
                <w:color w:val="auto"/>
                <w:kern w:val="0"/>
                <w:szCs w:val="21"/>
                <w:highlight w:val="none"/>
              </w:rPr>
              <w:t>资格证明文件的签署、盖章</w:t>
            </w:r>
          </w:p>
        </w:tc>
        <w:tc>
          <w:tcPr>
            <w:tcW w:w="5059" w:type="dxa"/>
            <w:shd w:val="clear" w:color="auto" w:fill="auto"/>
            <w:vAlign w:val="center"/>
          </w:tcPr>
          <w:p w14:paraId="0B5CBE0F">
            <w:pPr>
              <w:snapToGrid w:val="0"/>
              <w:spacing w:before="156" w:line="360" w:lineRule="auto"/>
              <w:textAlignment w:val="baseline"/>
              <w:rPr>
                <w:rFonts w:ascii="宋体" w:hAnsi="宋体" w:cs="宋体"/>
                <w:color w:val="auto"/>
                <w:kern w:val="0"/>
                <w:szCs w:val="21"/>
                <w:highlight w:val="none"/>
              </w:rPr>
            </w:pPr>
            <w:r>
              <w:rPr>
                <w:rStyle w:val="49"/>
                <w:rFonts w:ascii="宋体" w:hAnsi="宋体"/>
                <w:color w:val="auto"/>
                <w:kern w:val="0"/>
                <w:szCs w:val="21"/>
                <w:highlight w:val="none"/>
              </w:rPr>
              <w:t>未按招标文件格式及要求签署或盖章的，审查结果为不合格。</w:t>
            </w:r>
          </w:p>
        </w:tc>
      </w:tr>
      <w:tr w14:paraId="054783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shd w:val="clear" w:color="auto" w:fill="auto"/>
            <w:vAlign w:val="center"/>
          </w:tcPr>
          <w:p w14:paraId="35F31729">
            <w:pPr>
              <w:snapToGrid w:val="0"/>
              <w:spacing w:before="156" w:line="360" w:lineRule="auto"/>
              <w:jc w:val="center"/>
              <w:textAlignment w:val="baseline"/>
              <w:rPr>
                <w:rFonts w:ascii="宋体" w:hAnsi="宋体" w:cs="宋体"/>
                <w:color w:val="auto"/>
                <w:kern w:val="0"/>
                <w:szCs w:val="21"/>
                <w:highlight w:val="none"/>
              </w:rPr>
            </w:pPr>
            <w:r>
              <w:rPr>
                <w:rStyle w:val="49"/>
                <w:rFonts w:ascii="宋体" w:hAnsi="宋体"/>
                <w:color w:val="auto"/>
                <w:kern w:val="0"/>
                <w:szCs w:val="21"/>
                <w:highlight w:val="none"/>
              </w:rPr>
              <w:t>2</w:t>
            </w:r>
          </w:p>
        </w:tc>
        <w:tc>
          <w:tcPr>
            <w:tcW w:w="3318" w:type="dxa"/>
            <w:shd w:val="clear" w:color="auto" w:fill="auto"/>
            <w:vAlign w:val="center"/>
          </w:tcPr>
          <w:p w14:paraId="5F15C458">
            <w:pPr>
              <w:snapToGrid w:val="0"/>
              <w:spacing w:before="156" w:line="360" w:lineRule="auto"/>
              <w:textAlignment w:val="baseline"/>
              <w:rPr>
                <w:rFonts w:ascii="宋体" w:hAnsi="宋体" w:cs="宋体"/>
                <w:color w:val="auto"/>
                <w:kern w:val="0"/>
                <w:szCs w:val="21"/>
                <w:highlight w:val="none"/>
              </w:rPr>
            </w:pPr>
            <w:r>
              <w:rPr>
                <w:rStyle w:val="49"/>
                <w:rFonts w:ascii="宋体" w:hAnsi="宋体"/>
                <w:color w:val="auto"/>
                <w:kern w:val="0"/>
                <w:szCs w:val="21"/>
                <w:highlight w:val="none"/>
              </w:rPr>
              <w:t>投标保证金</w:t>
            </w:r>
          </w:p>
        </w:tc>
        <w:tc>
          <w:tcPr>
            <w:tcW w:w="5059" w:type="dxa"/>
            <w:shd w:val="clear" w:color="auto" w:fill="auto"/>
            <w:vAlign w:val="center"/>
          </w:tcPr>
          <w:p w14:paraId="68FD8A8F">
            <w:pPr>
              <w:snapToGrid w:val="0"/>
              <w:spacing w:before="156" w:line="360" w:lineRule="auto"/>
              <w:textAlignment w:val="baseline"/>
              <w:rPr>
                <w:rFonts w:ascii="宋体" w:hAnsi="宋体" w:cs="宋体"/>
                <w:color w:val="auto"/>
                <w:kern w:val="0"/>
                <w:szCs w:val="21"/>
                <w:highlight w:val="none"/>
              </w:rPr>
            </w:pPr>
            <w:r>
              <w:rPr>
                <w:rStyle w:val="49"/>
                <w:rFonts w:ascii="宋体" w:hAnsi="宋体"/>
                <w:color w:val="auto"/>
                <w:kern w:val="0"/>
                <w:szCs w:val="21"/>
                <w:highlight w:val="none"/>
              </w:rPr>
              <w:t>未按招标文件要求提交</w:t>
            </w:r>
            <w:r>
              <w:rPr>
                <w:rStyle w:val="49"/>
                <w:rFonts w:hint="eastAsia" w:ascii="宋体" w:hAnsi="宋体"/>
                <w:color w:val="auto"/>
                <w:kern w:val="0"/>
                <w:szCs w:val="21"/>
                <w:highlight w:val="none"/>
                <w:lang w:val="en-US"/>
              </w:rPr>
              <w:t>投标保证金的</w:t>
            </w:r>
            <w:r>
              <w:rPr>
                <w:rStyle w:val="49"/>
                <w:rFonts w:ascii="宋体" w:hAnsi="宋体"/>
                <w:color w:val="auto"/>
                <w:kern w:val="0"/>
                <w:szCs w:val="21"/>
                <w:highlight w:val="none"/>
              </w:rPr>
              <w:t>，审查结果为不合格。</w:t>
            </w:r>
          </w:p>
        </w:tc>
      </w:tr>
      <w:tr w14:paraId="2900FD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shd w:val="clear" w:color="auto" w:fill="auto"/>
            <w:vAlign w:val="center"/>
          </w:tcPr>
          <w:p w14:paraId="734309AF">
            <w:pPr>
              <w:snapToGrid w:val="0"/>
              <w:spacing w:before="156" w:line="360" w:lineRule="auto"/>
              <w:jc w:val="center"/>
              <w:textAlignment w:val="baseline"/>
              <w:rPr>
                <w:rFonts w:ascii="宋体" w:hAnsi="宋体" w:cs="宋体"/>
                <w:color w:val="auto"/>
                <w:kern w:val="0"/>
                <w:szCs w:val="21"/>
                <w:highlight w:val="none"/>
              </w:rPr>
            </w:pPr>
            <w:r>
              <w:rPr>
                <w:rStyle w:val="49"/>
                <w:rFonts w:ascii="宋体" w:hAnsi="宋体"/>
                <w:color w:val="auto"/>
                <w:kern w:val="0"/>
                <w:szCs w:val="21"/>
                <w:highlight w:val="none"/>
              </w:rPr>
              <w:t>3</w:t>
            </w:r>
          </w:p>
        </w:tc>
        <w:tc>
          <w:tcPr>
            <w:tcW w:w="3318" w:type="dxa"/>
            <w:shd w:val="clear" w:color="auto" w:fill="auto"/>
            <w:vAlign w:val="center"/>
          </w:tcPr>
          <w:p w14:paraId="0EB08825">
            <w:pPr>
              <w:snapToGrid w:val="0"/>
              <w:spacing w:before="156" w:line="360" w:lineRule="auto"/>
              <w:textAlignment w:val="baseline"/>
              <w:rPr>
                <w:rFonts w:ascii="宋体" w:hAnsi="宋体" w:cs="宋体"/>
                <w:color w:val="auto"/>
                <w:kern w:val="0"/>
                <w:szCs w:val="21"/>
                <w:highlight w:val="none"/>
              </w:rPr>
            </w:pPr>
            <w:r>
              <w:rPr>
                <w:rStyle w:val="49"/>
                <w:rFonts w:ascii="宋体" w:hAnsi="宋体"/>
                <w:color w:val="auto"/>
                <w:kern w:val="0"/>
                <w:szCs w:val="21"/>
                <w:highlight w:val="none"/>
              </w:rPr>
              <w:t>投标报价</w:t>
            </w:r>
          </w:p>
        </w:tc>
        <w:tc>
          <w:tcPr>
            <w:tcW w:w="5059" w:type="dxa"/>
            <w:shd w:val="clear" w:color="auto" w:fill="auto"/>
            <w:vAlign w:val="center"/>
          </w:tcPr>
          <w:p w14:paraId="7D8B1689">
            <w:pPr>
              <w:snapToGrid w:val="0"/>
              <w:spacing w:before="156" w:line="360" w:lineRule="auto"/>
              <w:textAlignment w:val="baseline"/>
              <w:rPr>
                <w:rFonts w:ascii="宋体" w:hAnsi="宋体" w:cs="宋体"/>
                <w:color w:val="auto"/>
                <w:kern w:val="0"/>
                <w:szCs w:val="21"/>
                <w:highlight w:val="none"/>
              </w:rPr>
            </w:pPr>
            <w:r>
              <w:rPr>
                <w:rStyle w:val="49"/>
                <w:rFonts w:ascii="宋体" w:hAnsi="宋体"/>
                <w:color w:val="auto"/>
                <w:kern w:val="0"/>
                <w:szCs w:val="21"/>
                <w:highlight w:val="none"/>
              </w:rPr>
              <w:t>投标人投标报价超过采购预算或最高限价的（如果设定了最高限价），审查结果为不合格。</w:t>
            </w:r>
          </w:p>
        </w:tc>
      </w:tr>
      <w:tr w14:paraId="7BDC4C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shd w:val="clear" w:color="auto" w:fill="auto"/>
            <w:vAlign w:val="center"/>
          </w:tcPr>
          <w:p w14:paraId="35875D85">
            <w:pPr>
              <w:snapToGrid w:val="0"/>
              <w:spacing w:before="156" w:line="360" w:lineRule="auto"/>
              <w:jc w:val="center"/>
              <w:textAlignment w:val="baseline"/>
              <w:rPr>
                <w:rFonts w:ascii="宋体" w:hAnsi="宋体" w:cs="宋体"/>
                <w:color w:val="auto"/>
                <w:kern w:val="0"/>
                <w:szCs w:val="21"/>
                <w:highlight w:val="none"/>
              </w:rPr>
            </w:pPr>
            <w:r>
              <w:rPr>
                <w:rStyle w:val="49"/>
                <w:rFonts w:ascii="宋体" w:hAnsi="宋体"/>
                <w:color w:val="auto"/>
                <w:kern w:val="0"/>
                <w:szCs w:val="21"/>
                <w:highlight w:val="none"/>
              </w:rPr>
              <w:t>4</w:t>
            </w:r>
          </w:p>
        </w:tc>
        <w:tc>
          <w:tcPr>
            <w:tcW w:w="3318" w:type="dxa"/>
            <w:shd w:val="clear" w:color="auto" w:fill="auto"/>
            <w:vAlign w:val="center"/>
          </w:tcPr>
          <w:p w14:paraId="6E98B294">
            <w:pPr>
              <w:snapToGrid w:val="0"/>
              <w:spacing w:before="156" w:line="360" w:lineRule="auto"/>
              <w:textAlignment w:val="baseline"/>
              <w:rPr>
                <w:rFonts w:ascii="宋体" w:hAnsi="宋体" w:cs="宋体"/>
                <w:color w:val="auto"/>
                <w:kern w:val="0"/>
                <w:szCs w:val="21"/>
                <w:highlight w:val="none"/>
              </w:rPr>
            </w:pPr>
            <w:r>
              <w:rPr>
                <w:rStyle w:val="49"/>
                <w:rFonts w:ascii="宋体" w:hAnsi="宋体"/>
                <w:color w:val="auto"/>
                <w:kern w:val="0"/>
                <w:szCs w:val="21"/>
                <w:highlight w:val="none"/>
              </w:rPr>
              <w:t>投标代表参与投标的授权书或身份证明</w:t>
            </w:r>
          </w:p>
        </w:tc>
        <w:tc>
          <w:tcPr>
            <w:tcW w:w="5059" w:type="dxa"/>
            <w:shd w:val="clear" w:color="auto" w:fill="auto"/>
            <w:vAlign w:val="center"/>
          </w:tcPr>
          <w:p w14:paraId="3F6E9DDB">
            <w:pPr>
              <w:snapToGrid w:val="0"/>
              <w:spacing w:before="156" w:line="360" w:lineRule="auto"/>
              <w:textAlignment w:val="baseline"/>
              <w:rPr>
                <w:rFonts w:ascii="宋体" w:hAnsi="宋体" w:cs="宋体"/>
                <w:color w:val="auto"/>
                <w:kern w:val="0"/>
                <w:szCs w:val="21"/>
                <w:highlight w:val="none"/>
              </w:rPr>
            </w:pPr>
            <w:r>
              <w:rPr>
                <w:rStyle w:val="49"/>
                <w:color w:val="auto"/>
                <w:highlight w:val="none"/>
              </w:rPr>
              <w:t>代理人投标须提供授权委托书，未按要求提供的，</w:t>
            </w:r>
            <w:r>
              <w:rPr>
                <w:rStyle w:val="49"/>
                <w:rFonts w:ascii="宋体" w:hAnsi="宋体"/>
                <w:color w:val="auto"/>
                <w:kern w:val="0"/>
                <w:szCs w:val="21"/>
                <w:highlight w:val="none"/>
              </w:rPr>
              <w:t>审查结果为不合格。</w:t>
            </w:r>
          </w:p>
        </w:tc>
      </w:tr>
      <w:tr w14:paraId="49433C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shd w:val="clear" w:color="auto" w:fill="auto"/>
            <w:vAlign w:val="center"/>
          </w:tcPr>
          <w:p w14:paraId="33AAC000">
            <w:pPr>
              <w:snapToGrid w:val="0"/>
              <w:spacing w:before="156" w:line="360" w:lineRule="auto"/>
              <w:jc w:val="center"/>
              <w:textAlignment w:val="baseline"/>
              <w:rPr>
                <w:rFonts w:ascii="宋体" w:hAnsi="宋体" w:cs="宋体"/>
                <w:color w:val="auto"/>
                <w:kern w:val="0"/>
                <w:szCs w:val="21"/>
                <w:highlight w:val="none"/>
              </w:rPr>
            </w:pPr>
            <w:r>
              <w:rPr>
                <w:rStyle w:val="49"/>
                <w:rFonts w:ascii="宋体" w:hAnsi="宋体"/>
                <w:color w:val="auto"/>
                <w:kern w:val="0"/>
                <w:szCs w:val="21"/>
                <w:highlight w:val="none"/>
              </w:rPr>
              <w:t>5</w:t>
            </w:r>
          </w:p>
        </w:tc>
        <w:tc>
          <w:tcPr>
            <w:tcW w:w="3318" w:type="dxa"/>
            <w:shd w:val="clear" w:color="auto" w:fill="auto"/>
            <w:vAlign w:val="center"/>
          </w:tcPr>
          <w:p w14:paraId="432234DD">
            <w:pPr>
              <w:snapToGrid w:val="0"/>
              <w:spacing w:before="156" w:line="360" w:lineRule="auto"/>
              <w:textAlignment w:val="baseline"/>
              <w:rPr>
                <w:rFonts w:ascii="宋体" w:hAnsi="宋体" w:cs="宋体"/>
                <w:color w:val="auto"/>
                <w:kern w:val="0"/>
                <w:szCs w:val="21"/>
                <w:highlight w:val="none"/>
              </w:rPr>
            </w:pPr>
            <w:r>
              <w:rPr>
                <w:rStyle w:val="49"/>
                <w:rFonts w:ascii="宋体" w:hAnsi="宋体"/>
                <w:color w:val="auto"/>
                <w:kern w:val="0"/>
                <w:szCs w:val="21"/>
                <w:highlight w:val="none"/>
              </w:rPr>
              <w:t>法人或者其他组织的营业执照等主体资格证明文件，自然人的身份证明</w:t>
            </w:r>
          </w:p>
        </w:tc>
        <w:tc>
          <w:tcPr>
            <w:tcW w:w="5059" w:type="dxa"/>
            <w:shd w:val="clear" w:color="auto" w:fill="auto"/>
            <w:vAlign w:val="center"/>
          </w:tcPr>
          <w:p w14:paraId="412341B1">
            <w:pPr>
              <w:snapToGrid w:val="0"/>
              <w:spacing w:before="156" w:line="360" w:lineRule="auto"/>
              <w:textAlignment w:val="baseline"/>
              <w:rPr>
                <w:rFonts w:ascii="宋体" w:hAnsi="宋体" w:cs="宋体"/>
                <w:color w:val="auto"/>
                <w:kern w:val="0"/>
                <w:szCs w:val="21"/>
                <w:highlight w:val="none"/>
              </w:rPr>
            </w:pPr>
            <w:r>
              <w:rPr>
                <w:rStyle w:val="49"/>
                <w:rFonts w:ascii="宋体" w:hAnsi="宋体"/>
                <w:color w:val="auto"/>
                <w:kern w:val="0"/>
                <w:szCs w:val="21"/>
                <w:highlight w:val="none"/>
              </w:rPr>
              <w:t>法人或者其他组织提供加盖单位公章的营业执照等主体资格证明文件复印件，自然人提供本人身份证，否则，审查结果为不合格。</w:t>
            </w:r>
          </w:p>
        </w:tc>
      </w:tr>
      <w:tr w14:paraId="601B94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shd w:val="clear" w:color="auto" w:fill="auto"/>
            <w:vAlign w:val="center"/>
          </w:tcPr>
          <w:p w14:paraId="60F36251">
            <w:pPr>
              <w:snapToGrid w:val="0"/>
              <w:spacing w:before="156" w:line="360" w:lineRule="auto"/>
              <w:jc w:val="center"/>
              <w:textAlignment w:val="baseline"/>
              <w:rPr>
                <w:rStyle w:val="49"/>
                <w:rFonts w:hint="default" w:ascii="宋体" w:hAnsi="宋体"/>
                <w:color w:val="auto"/>
                <w:kern w:val="0"/>
                <w:szCs w:val="21"/>
                <w:highlight w:val="none"/>
                <w:lang w:val="en-US"/>
              </w:rPr>
            </w:pPr>
            <w:r>
              <w:rPr>
                <w:rStyle w:val="49"/>
                <w:rFonts w:ascii="宋体" w:hAnsi="宋体"/>
                <w:color w:val="auto"/>
                <w:kern w:val="0"/>
                <w:szCs w:val="21"/>
                <w:highlight w:val="none"/>
              </w:rPr>
              <w:t>6</w:t>
            </w:r>
          </w:p>
        </w:tc>
        <w:tc>
          <w:tcPr>
            <w:tcW w:w="3318" w:type="dxa"/>
            <w:shd w:val="clear" w:color="auto" w:fill="auto"/>
            <w:vAlign w:val="center"/>
          </w:tcPr>
          <w:p w14:paraId="40884023">
            <w:pPr>
              <w:keepNext w:val="0"/>
              <w:keepLines w:val="0"/>
              <w:pageBreakBefore w:val="0"/>
              <w:widowControl w:val="0"/>
              <w:kinsoku/>
              <w:wordWrap/>
              <w:overflowPunct/>
              <w:topLinePunct w:val="0"/>
              <w:autoSpaceDE/>
              <w:autoSpaceDN/>
              <w:bidi w:val="0"/>
              <w:adjustRightInd w:val="0"/>
              <w:snapToGrid w:val="0"/>
              <w:spacing w:line="340" w:lineRule="exact"/>
              <w:jc w:val="both"/>
              <w:textAlignment w:val="auto"/>
              <w:rPr>
                <w:rStyle w:val="49"/>
                <w:rFonts w:ascii="宋体" w:hAnsi="宋体"/>
                <w:color w:val="auto"/>
                <w:kern w:val="0"/>
                <w:szCs w:val="21"/>
                <w:highlight w:val="none"/>
              </w:rPr>
            </w:pPr>
            <w:r>
              <w:rPr>
                <w:rFonts w:hint="eastAsia" w:ascii="宋体" w:hAnsi="宋体" w:eastAsia="宋体"/>
                <w:color w:val="auto"/>
                <w:kern w:val="0"/>
                <w:szCs w:val="21"/>
                <w:highlight w:val="none"/>
              </w:rPr>
              <w:t>投标人资格声明</w:t>
            </w:r>
          </w:p>
        </w:tc>
        <w:tc>
          <w:tcPr>
            <w:tcW w:w="5059" w:type="dxa"/>
            <w:shd w:val="clear" w:color="auto" w:fill="auto"/>
            <w:vAlign w:val="center"/>
          </w:tcPr>
          <w:p w14:paraId="1F197F39">
            <w:pPr>
              <w:keepNext w:val="0"/>
              <w:keepLines w:val="0"/>
              <w:pageBreakBefore w:val="0"/>
              <w:widowControl w:val="0"/>
              <w:kinsoku/>
              <w:wordWrap/>
              <w:overflowPunct/>
              <w:topLinePunct w:val="0"/>
              <w:autoSpaceDE/>
              <w:autoSpaceDN/>
              <w:bidi w:val="0"/>
              <w:adjustRightInd w:val="0"/>
              <w:snapToGrid w:val="0"/>
              <w:spacing w:line="340" w:lineRule="exact"/>
              <w:jc w:val="left"/>
              <w:textAlignment w:val="auto"/>
              <w:rPr>
                <w:rStyle w:val="49"/>
                <w:rFonts w:ascii="宋体" w:hAnsi="宋体"/>
                <w:color w:val="auto"/>
                <w:kern w:val="0"/>
                <w:szCs w:val="21"/>
                <w:highlight w:val="none"/>
              </w:rPr>
            </w:pPr>
            <w:r>
              <w:rPr>
                <w:rFonts w:hint="eastAsia" w:ascii="宋体" w:hAnsi="宋体" w:eastAsia="宋体" w:cs="宋体"/>
                <w:color w:val="auto"/>
                <w:kern w:val="0"/>
                <w:szCs w:val="21"/>
                <w:highlight w:val="none"/>
              </w:rPr>
              <w:t>未按招标文件要求及格式提供投标人资格声明的，审查结果为不合格。</w:t>
            </w:r>
          </w:p>
        </w:tc>
      </w:tr>
      <w:tr w14:paraId="2005C0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shd w:val="clear" w:color="auto" w:fill="auto"/>
            <w:vAlign w:val="center"/>
          </w:tcPr>
          <w:p w14:paraId="59063024">
            <w:pPr>
              <w:snapToGrid w:val="0"/>
              <w:spacing w:before="156" w:line="360" w:lineRule="auto"/>
              <w:jc w:val="center"/>
              <w:textAlignment w:val="baseline"/>
              <w:rPr>
                <w:rFonts w:ascii="宋体" w:hAnsi="宋体" w:cs="宋体"/>
                <w:color w:val="auto"/>
                <w:kern w:val="0"/>
                <w:szCs w:val="21"/>
                <w:highlight w:val="none"/>
              </w:rPr>
            </w:pPr>
            <w:r>
              <w:rPr>
                <w:rStyle w:val="49"/>
                <w:rFonts w:ascii="宋体" w:hAnsi="宋体"/>
                <w:color w:val="auto"/>
                <w:kern w:val="0"/>
                <w:szCs w:val="21"/>
                <w:highlight w:val="none"/>
              </w:rPr>
              <w:t>7</w:t>
            </w:r>
          </w:p>
        </w:tc>
        <w:tc>
          <w:tcPr>
            <w:tcW w:w="3318" w:type="dxa"/>
            <w:shd w:val="clear" w:color="auto" w:fill="auto"/>
            <w:vAlign w:val="center"/>
          </w:tcPr>
          <w:p w14:paraId="41E319E5">
            <w:pPr>
              <w:snapToGrid w:val="0"/>
              <w:spacing w:before="156" w:line="360" w:lineRule="auto"/>
              <w:textAlignment w:val="baseline"/>
              <w:rPr>
                <w:rFonts w:ascii="宋体" w:hAnsi="宋体" w:cs="宋体"/>
                <w:color w:val="auto"/>
                <w:kern w:val="0"/>
                <w:szCs w:val="21"/>
                <w:highlight w:val="none"/>
              </w:rPr>
            </w:pPr>
            <w:r>
              <w:rPr>
                <w:rStyle w:val="49"/>
                <w:color w:val="auto"/>
                <w:highlight w:val="none"/>
              </w:rPr>
              <w:t>湖南省政府采购供应商资格承诺函</w:t>
            </w:r>
          </w:p>
        </w:tc>
        <w:tc>
          <w:tcPr>
            <w:tcW w:w="5059" w:type="dxa"/>
            <w:shd w:val="clear" w:color="auto" w:fill="auto"/>
            <w:vAlign w:val="center"/>
          </w:tcPr>
          <w:p w14:paraId="690BA235">
            <w:pPr>
              <w:snapToGrid w:val="0"/>
              <w:spacing w:before="156" w:line="360" w:lineRule="auto"/>
              <w:textAlignment w:val="baseline"/>
              <w:rPr>
                <w:rFonts w:ascii="宋体" w:hAnsi="宋体" w:cs="宋体"/>
                <w:color w:val="auto"/>
                <w:kern w:val="0"/>
                <w:szCs w:val="21"/>
                <w:highlight w:val="none"/>
              </w:rPr>
            </w:pPr>
            <w:r>
              <w:rPr>
                <w:rStyle w:val="49"/>
                <w:rFonts w:ascii="宋体" w:hAnsi="宋体"/>
                <w:color w:val="auto"/>
                <w:kern w:val="0"/>
                <w:szCs w:val="21"/>
                <w:highlight w:val="none"/>
              </w:rPr>
              <w:t>未按招标文件要求及格式提供</w:t>
            </w:r>
            <w:r>
              <w:rPr>
                <w:rStyle w:val="49"/>
                <w:color w:val="auto"/>
                <w:highlight w:val="none"/>
              </w:rPr>
              <w:t>湖南省政府采购供应商资格承诺函</w:t>
            </w:r>
            <w:r>
              <w:rPr>
                <w:rStyle w:val="49"/>
                <w:rFonts w:ascii="宋体" w:hAnsi="宋体"/>
                <w:color w:val="auto"/>
                <w:kern w:val="0"/>
                <w:szCs w:val="21"/>
                <w:highlight w:val="none"/>
              </w:rPr>
              <w:t>的，审查结果为不合格。</w:t>
            </w:r>
          </w:p>
        </w:tc>
      </w:tr>
      <w:tr w14:paraId="659439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shd w:val="clear" w:color="auto" w:fill="auto"/>
            <w:vAlign w:val="center"/>
          </w:tcPr>
          <w:p w14:paraId="319A935A">
            <w:pPr>
              <w:snapToGrid w:val="0"/>
              <w:spacing w:before="156" w:line="360" w:lineRule="auto"/>
              <w:jc w:val="center"/>
              <w:textAlignment w:val="baseline"/>
              <w:rPr>
                <w:rFonts w:ascii="宋体" w:hAnsi="宋体" w:cs="宋体"/>
                <w:color w:val="auto"/>
                <w:kern w:val="0"/>
                <w:szCs w:val="21"/>
                <w:highlight w:val="none"/>
              </w:rPr>
            </w:pPr>
            <w:r>
              <w:rPr>
                <w:rStyle w:val="49"/>
                <w:rFonts w:ascii="宋体" w:hAnsi="宋体"/>
                <w:color w:val="auto"/>
                <w:kern w:val="0"/>
                <w:szCs w:val="21"/>
                <w:highlight w:val="none"/>
              </w:rPr>
              <w:t>8</w:t>
            </w:r>
          </w:p>
        </w:tc>
        <w:tc>
          <w:tcPr>
            <w:tcW w:w="3318" w:type="dxa"/>
            <w:shd w:val="clear" w:color="auto" w:fill="auto"/>
            <w:vAlign w:val="center"/>
          </w:tcPr>
          <w:p w14:paraId="24C77917">
            <w:pPr>
              <w:snapToGrid w:val="0"/>
              <w:spacing w:before="156" w:line="360" w:lineRule="auto"/>
              <w:textAlignment w:val="baseline"/>
              <w:rPr>
                <w:rFonts w:ascii="宋体" w:hAnsi="宋体" w:cs="宋体"/>
                <w:color w:val="auto"/>
                <w:kern w:val="0"/>
                <w:szCs w:val="21"/>
                <w:highlight w:val="none"/>
              </w:rPr>
            </w:pPr>
            <w:r>
              <w:rPr>
                <w:rStyle w:val="49"/>
                <w:rFonts w:ascii="宋体" w:hAnsi="宋体"/>
                <w:color w:val="auto"/>
                <w:kern w:val="0"/>
                <w:szCs w:val="21"/>
                <w:highlight w:val="none"/>
              </w:rPr>
              <w:t>投标人信用查询记录</w:t>
            </w:r>
          </w:p>
        </w:tc>
        <w:tc>
          <w:tcPr>
            <w:tcW w:w="5059" w:type="dxa"/>
            <w:shd w:val="clear" w:color="auto" w:fill="auto"/>
            <w:vAlign w:val="center"/>
          </w:tcPr>
          <w:p w14:paraId="6DEAE9FE">
            <w:pPr>
              <w:snapToGrid w:val="0"/>
              <w:spacing w:before="156" w:line="360" w:lineRule="auto"/>
              <w:textAlignment w:val="baseline"/>
              <w:rPr>
                <w:rFonts w:ascii="宋体" w:hAnsi="宋体" w:cs="宋体"/>
                <w:color w:val="auto"/>
                <w:kern w:val="0"/>
                <w:szCs w:val="21"/>
                <w:highlight w:val="none"/>
              </w:rPr>
            </w:pPr>
            <w:r>
              <w:rPr>
                <w:rStyle w:val="49"/>
                <w:rFonts w:ascii="宋体" w:hAnsi="宋体"/>
                <w:color w:val="auto"/>
                <w:szCs w:val="21"/>
                <w:highlight w:val="none"/>
              </w:rPr>
              <w:t>投标人在“信用中国”网站被列入失信被执行人和重大税收违法案件当事人名单，或在“中国政府采购网”网站被列入政府采购严重违法失信行为记录名单的，</w:t>
            </w:r>
            <w:r>
              <w:rPr>
                <w:rStyle w:val="49"/>
                <w:rFonts w:ascii="宋体" w:hAnsi="宋体"/>
                <w:color w:val="auto"/>
                <w:kern w:val="0"/>
                <w:szCs w:val="21"/>
                <w:highlight w:val="none"/>
              </w:rPr>
              <w:t>审查结果为不合格。</w:t>
            </w:r>
          </w:p>
        </w:tc>
      </w:tr>
      <w:tr w14:paraId="64B2683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shd w:val="clear" w:color="auto" w:fill="auto"/>
            <w:vAlign w:val="center"/>
          </w:tcPr>
          <w:p w14:paraId="18F5E18A">
            <w:pPr>
              <w:snapToGrid w:val="0"/>
              <w:spacing w:before="156" w:line="360" w:lineRule="auto"/>
              <w:jc w:val="center"/>
              <w:textAlignment w:val="baseline"/>
              <w:rPr>
                <w:rFonts w:ascii="宋体" w:hAnsi="宋体"/>
                <w:color w:val="auto"/>
                <w:kern w:val="0"/>
                <w:szCs w:val="21"/>
                <w:highlight w:val="none"/>
              </w:rPr>
            </w:pPr>
            <w:r>
              <w:rPr>
                <w:rStyle w:val="49"/>
                <w:rFonts w:hint="eastAsia" w:ascii="宋体" w:hAnsi="宋体"/>
                <w:color w:val="auto"/>
                <w:kern w:val="0"/>
                <w:szCs w:val="21"/>
                <w:highlight w:val="none"/>
                <w:lang w:val="en-US"/>
              </w:rPr>
              <w:t>9</w:t>
            </w:r>
          </w:p>
        </w:tc>
        <w:tc>
          <w:tcPr>
            <w:tcW w:w="3318" w:type="dxa"/>
            <w:shd w:val="clear" w:color="auto" w:fill="auto"/>
            <w:vAlign w:val="center"/>
          </w:tcPr>
          <w:p w14:paraId="01C602E5">
            <w:pPr>
              <w:snapToGrid w:val="0"/>
              <w:spacing w:before="156" w:line="360" w:lineRule="auto"/>
              <w:textAlignment w:val="baseline"/>
              <w:rPr>
                <w:rFonts w:ascii="宋体" w:hAnsi="宋体"/>
                <w:color w:val="auto"/>
                <w:kern w:val="0"/>
                <w:szCs w:val="21"/>
                <w:highlight w:val="none"/>
              </w:rPr>
            </w:pPr>
            <w:r>
              <w:rPr>
                <w:rStyle w:val="49"/>
                <w:rFonts w:ascii="宋体" w:hAnsi="宋体"/>
                <w:color w:val="auto"/>
                <w:kern w:val="0"/>
                <w:szCs w:val="21"/>
                <w:highlight w:val="none"/>
              </w:rPr>
              <w:t>投标人特定资格证明材料</w:t>
            </w:r>
          </w:p>
        </w:tc>
        <w:tc>
          <w:tcPr>
            <w:tcW w:w="5059" w:type="dxa"/>
            <w:shd w:val="clear" w:color="auto" w:fill="auto"/>
            <w:vAlign w:val="center"/>
          </w:tcPr>
          <w:p w14:paraId="72691934">
            <w:pPr>
              <w:snapToGrid w:val="0"/>
              <w:spacing w:before="156" w:line="360" w:lineRule="auto"/>
              <w:textAlignment w:val="baseline"/>
              <w:rPr>
                <w:rFonts w:ascii="宋体" w:hAnsi="宋体" w:cs="宋体"/>
                <w:color w:val="auto"/>
                <w:kern w:val="0"/>
                <w:szCs w:val="21"/>
                <w:highlight w:val="none"/>
              </w:rPr>
            </w:pPr>
            <w:r>
              <w:rPr>
                <w:rStyle w:val="49"/>
                <w:rFonts w:ascii="宋体" w:hAnsi="宋体"/>
                <w:color w:val="auto"/>
                <w:kern w:val="0"/>
                <w:szCs w:val="21"/>
                <w:highlight w:val="none"/>
              </w:rPr>
              <w:t>未按招标文件要求提供投标人特定资格证明材料的，审查结果为不合格。</w:t>
            </w:r>
          </w:p>
        </w:tc>
      </w:tr>
      <w:tr w14:paraId="72C2A3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92" w:hRule="atLeast"/>
        </w:trPr>
        <w:tc>
          <w:tcPr>
            <w:tcW w:w="683" w:type="dxa"/>
            <w:shd w:val="clear" w:color="auto" w:fill="auto"/>
            <w:vAlign w:val="center"/>
          </w:tcPr>
          <w:p w14:paraId="0C2C4887">
            <w:pPr>
              <w:adjustRightInd w:val="0"/>
              <w:snapToGrid w:val="0"/>
              <w:spacing w:before="156" w:beforeLines="50" w:line="360" w:lineRule="auto"/>
              <w:jc w:val="center"/>
              <w:rPr>
                <w:rFonts w:ascii="宋体" w:hAnsi="宋体" w:cs="宋体"/>
                <w:color w:val="auto"/>
                <w:kern w:val="0"/>
                <w:sz w:val="20"/>
                <w:szCs w:val="21"/>
                <w:highlight w:val="none"/>
              </w:rPr>
            </w:pPr>
            <w:r>
              <w:rPr>
                <w:rFonts w:hint="eastAsia" w:ascii="宋体" w:hAnsi="宋体"/>
                <w:color w:val="auto"/>
                <w:kern w:val="0"/>
                <w:sz w:val="20"/>
                <w:szCs w:val="21"/>
                <w:highlight w:val="none"/>
              </w:rPr>
              <w:t>结论</w:t>
            </w:r>
          </w:p>
        </w:tc>
        <w:tc>
          <w:tcPr>
            <w:tcW w:w="8377" w:type="dxa"/>
            <w:gridSpan w:val="2"/>
            <w:shd w:val="clear" w:color="auto" w:fill="auto"/>
            <w:vAlign w:val="center"/>
          </w:tcPr>
          <w:p w14:paraId="1F5FD839">
            <w:pPr>
              <w:adjustRightInd w:val="0"/>
              <w:snapToGrid w:val="0"/>
              <w:spacing w:before="156" w:beforeLines="50" w:line="360" w:lineRule="auto"/>
              <w:jc w:val="center"/>
              <w:rPr>
                <w:rFonts w:ascii="宋体" w:hAnsi="宋体" w:cs="宋体"/>
                <w:color w:val="auto"/>
                <w:kern w:val="0"/>
                <w:szCs w:val="21"/>
                <w:highlight w:val="none"/>
              </w:rPr>
            </w:pPr>
          </w:p>
        </w:tc>
      </w:tr>
    </w:tbl>
    <w:p w14:paraId="1EA6D126">
      <w:pPr>
        <w:rPr>
          <w:color w:val="auto"/>
          <w:highlight w:val="none"/>
        </w:rPr>
      </w:pPr>
    </w:p>
    <w:p w14:paraId="5987B29F">
      <w:pPr>
        <w:widowControl/>
        <w:jc w:val="left"/>
        <w:rPr>
          <w:rFonts w:ascii="黑体" w:hAnsi="黑体" w:eastAsia="黑体"/>
          <w:bCs/>
          <w:color w:val="auto"/>
          <w:szCs w:val="21"/>
          <w:highlight w:val="none"/>
        </w:rPr>
      </w:pPr>
      <w:r>
        <w:rPr>
          <w:rFonts w:ascii="黑体" w:hAnsi="黑体"/>
          <w:b/>
          <w:color w:val="auto"/>
          <w:szCs w:val="21"/>
          <w:highlight w:val="none"/>
        </w:rPr>
        <w:br w:type="page"/>
      </w:r>
    </w:p>
    <w:p w14:paraId="31084725">
      <w:pPr>
        <w:pStyle w:val="12"/>
        <w:adjustRightInd w:val="0"/>
        <w:snapToGrid w:val="0"/>
        <w:spacing w:before="0" w:after="0" w:line="360" w:lineRule="auto"/>
        <w:rPr>
          <w:rFonts w:ascii="黑体" w:hAnsi="黑体"/>
          <w:b w:val="0"/>
          <w:color w:val="auto"/>
          <w:sz w:val="21"/>
          <w:szCs w:val="21"/>
          <w:highlight w:val="none"/>
        </w:rPr>
      </w:pPr>
      <w:bookmarkStart w:id="40" w:name="_Toc19327"/>
      <w:r>
        <w:rPr>
          <w:rFonts w:hint="eastAsia" w:ascii="黑体" w:hAnsi="黑体"/>
          <w:b w:val="0"/>
          <w:color w:val="auto"/>
          <w:sz w:val="21"/>
          <w:szCs w:val="21"/>
          <w:highlight w:val="none"/>
        </w:rPr>
        <w:t>附表2 资格审查结果一览表</w:t>
      </w:r>
      <w:bookmarkEnd w:id="40"/>
    </w:p>
    <w:p w14:paraId="0D618357">
      <w:pPr>
        <w:adjustRightInd w:val="0"/>
        <w:snapToGrid w:val="0"/>
        <w:spacing w:line="360" w:lineRule="auto"/>
        <w:jc w:val="center"/>
        <w:rPr>
          <w:rFonts w:ascii="黑体" w:hAnsi="黑体" w:eastAsia="黑体"/>
          <w:b/>
          <w:color w:val="auto"/>
          <w:sz w:val="28"/>
          <w:szCs w:val="28"/>
          <w:highlight w:val="none"/>
        </w:rPr>
      </w:pPr>
      <w:r>
        <w:rPr>
          <w:rFonts w:hint="eastAsia" w:ascii="黑体" w:hAnsi="黑体" w:eastAsia="黑体"/>
          <w:b/>
          <w:color w:val="auto"/>
          <w:sz w:val="28"/>
          <w:szCs w:val="28"/>
          <w:highlight w:val="none"/>
        </w:rPr>
        <w:t>资格审查结果一览表</w:t>
      </w:r>
    </w:p>
    <w:p w14:paraId="7A429B46">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项目名称：</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政府采购计划编号：</w:t>
      </w:r>
      <w:r>
        <w:rPr>
          <w:rFonts w:hint="eastAsia" w:ascii="宋体" w:hAnsi="宋体"/>
          <w:color w:val="auto"/>
          <w:szCs w:val="21"/>
          <w:highlight w:val="none"/>
          <w:u w:val="single"/>
        </w:rPr>
        <w:t xml:space="preserve">         </w:t>
      </w:r>
    </w:p>
    <w:tbl>
      <w:tblPr>
        <w:tblStyle w:val="29"/>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7"/>
        <w:gridCol w:w="2963"/>
        <w:gridCol w:w="2439"/>
        <w:gridCol w:w="2961"/>
      </w:tblGrid>
      <w:tr w14:paraId="3CA6BA3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shd w:val="clear" w:color="auto" w:fill="auto"/>
            <w:vAlign w:val="center"/>
          </w:tcPr>
          <w:p w14:paraId="0228DAAE">
            <w:pPr>
              <w:jc w:val="center"/>
              <w:rPr>
                <w:rFonts w:ascii="宋体" w:hAnsi="宋体"/>
                <w:b/>
                <w:color w:val="auto"/>
                <w:kern w:val="0"/>
                <w:szCs w:val="21"/>
                <w:highlight w:val="none"/>
              </w:rPr>
            </w:pPr>
            <w:r>
              <w:rPr>
                <w:rFonts w:hint="eastAsia" w:ascii="宋体" w:hAnsi="宋体"/>
                <w:b/>
                <w:color w:val="auto"/>
                <w:kern w:val="0"/>
                <w:szCs w:val="21"/>
                <w:highlight w:val="none"/>
              </w:rPr>
              <w:t>序号</w:t>
            </w:r>
          </w:p>
        </w:tc>
        <w:tc>
          <w:tcPr>
            <w:tcW w:w="2963" w:type="dxa"/>
            <w:shd w:val="clear" w:color="auto" w:fill="auto"/>
            <w:vAlign w:val="center"/>
          </w:tcPr>
          <w:p w14:paraId="2E0D979D">
            <w:pPr>
              <w:jc w:val="center"/>
              <w:rPr>
                <w:rFonts w:ascii="宋体" w:hAnsi="宋体"/>
                <w:b/>
                <w:color w:val="auto"/>
                <w:kern w:val="0"/>
                <w:szCs w:val="21"/>
                <w:highlight w:val="none"/>
              </w:rPr>
            </w:pPr>
            <w:r>
              <w:rPr>
                <w:rFonts w:hint="eastAsia" w:ascii="宋体" w:hAnsi="宋体"/>
                <w:b/>
                <w:color w:val="auto"/>
                <w:kern w:val="0"/>
                <w:szCs w:val="21"/>
                <w:highlight w:val="none"/>
              </w:rPr>
              <w:t>投标人名称</w:t>
            </w:r>
          </w:p>
        </w:tc>
        <w:tc>
          <w:tcPr>
            <w:tcW w:w="2439" w:type="dxa"/>
            <w:shd w:val="clear" w:color="auto" w:fill="auto"/>
            <w:vAlign w:val="center"/>
          </w:tcPr>
          <w:p w14:paraId="0A6DC4B9">
            <w:pPr>
              <w:jc w:val="center"/>
              <w:rPr>
                <w:rFonts w:ascii="宋体" w:hAnsi="宋体"/>
                <w:b/>
                <w:color w:val="auto"/>
                <w:kern w:val="0"/>
                <w:szCs w:val="21"/>
                <w:highlight w:val="none"/>
              </w:rPr>
            </w:pPr>
            <w:r>
              <w:rPr>
                <w:rFonts w:hint="eastAsia" w:ascii="宋体" w:hAnsi="宋体"/>
                <w:b/>
                <w:color w:val="auto"/>
                <w:kern w:val="0"/>
                <w:szCs w:val="21"/>
                <w:highlight w:val="none"/>
              </w:rPr>
              <w:t>资格审查结果</w:t>
            </w:r>
          </w:p>
          <w:p w14:paraId="2DF47B12">
            <w:pPr>
              <w:jc w:val="center"/>
              <w:rPr>
                <w:rFonts w:ascii="宋体" w:hAnsi="宋体"/>
                <w:b/>
                <w:color w:val="auto"/>
                <w:kern w:val="0"/>
                <w:szCs w:val="21"/>
                <w:highlight w:val="none"/>
              </w:rPr>
            </w:pPr>
            <w:r>
              <w:rPr>
                <w:rFonts w:hint="eastAsia" w:ascii="宋体" w:hAnsi="宋体"/>
                <w:b/>
                <w:color w:val="auto"/>
                <w:kern w:val="0"/>
                <w:szCs w:val="21"/>
                <w:highlight w:val="none"/>
              </w:rPr>
              <w:t>（合格/不合格）</w:t>
            </w:r>
          </w:p>
        </w:tc>
        <w:tc>
          <w:tcPr>
            <w:tcW w:w="2961" w:type="dxa"/>
            <w:shd w:val="clear" w:color="auto" w:fill="auto"/>
            <w:vAlign w:val="center"/>
          </w:tcPr>
          <w:p w14:paraId="51F9B6B6">
            <w:pPr>
              <w:jc w:val="center"/>
              <w:rPr>
                <w:rFonts w:ascii="宋体" w:hAnsi="宋体"/>
                <w:b/>
                <w:color w:val="auto"/>
                <w:kern w:val="0"/>
                <w:szCs w:val="21"/>
                <w:highlight w:val="none"/>
              </w:rPr>
            </w:pPr>
            <w:r>
              <w:rPr>
                <w:rFonts w:hint="eastAsia" w:ascii="宋体" w:hAnsi="宋体"/>
                <w:b/>
                <w:color w:val="auto"/>
                <w:kern w:val="0"/>
                <w:szCs w:val="21"/>
                <w:highlight w:val="none"/>
              </w:rPr>
              <w:t>资格审查不合格原因</w:t>
            </w:r>
          </w:p>
        </w:tc>
      </w:tr>
      <w:tr w14:paraId="21C96B2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shd w:val="clear" w:color="auto" w:fill="auto"/>
          </w:tcPr>
          <w:p w14:paraId="10B6D9A9">
            <w:pPr>
              <w:adjustRightInd w:val="0"/>
              <w:snapToGrid w:val="0"/>
              <w:spacing w:line="360" w:lineRule="auto"/>
              <w:rPr>
                <w:rFonts w:ascii="宋体" w:hAnsi="宋体"/>
                <w:color w:val="auto"/>
                <w:kern w:val="0"/>
                <w:sz w:val="24"/>
                <w:highlight w:val="none"/>
              </w:rPr>
            </w:pPr>
          </w:p>
        </w:tc>
        <w:tc>
          <w:tcPr>
            <w:tcW w:w="2963" w:type="dxa"/>
            <w:shd w:val="clear" w:color="auto" w:fill="auto"/>
          </w:tcPr>
          <w:p w14:paraId="7FDCFA9D">
            <w:pPr>
              <w:adjustRightInd w:val="0"/>
              <w:snapToGrid w:val="0"/>
              <w:spacing w:line="360" w:lineRule="auto"/>
              <w:rPr>
                <w:rFonts w:ascii="宋体" w:hAnsi="宋体"/>
                <w:color w:val="auto"/>
                <w:kern w:val="0"/>
                <w:sz w:val="24"/>
                <w:highlight w:val="none"/>
              </w:rPr>
            </w:pPr>
          </w:p>
        </w:tc>
        <w:tc>
          <w:tcPr>
            <w:tcW w:w="2439" w:type="dxa"/>
            <w:shd w:val="clear" w:color="auto" w:fill="auto"/>
          </w:tcPr>
          <w:p w14:paraId="127BF78F">
            <w:pPr>
              <w:adjustRightInd w:val="0"/>
              <w:snapToGrid w:val="0"/>
              <w:spacing w:line="360" w:lineRule="auto"/>
              <w:rPr>
                <w:rFonts w:ascii="宋体" w:hAnsi="宋体"/>
                <w:color w:val="auto"/>
                <w:kern w:val="0"/>
                <w:sz w:val="24"/>
                <w:highlight w:val="none"/>
              </w:rPr>
            </w:pPr>
          </w:p>
        </w:tc>
        <w:tc>
          <w:tcPr>
            <w:tcW w:w="2961" w:type="dxa"/>
            <w:shd w:val="clear" w:color="auto" w:fill="auto"/>
          </w:tcPr>
          <w:p w14:paraId="0C52137F">
            <w:pPr>
              <w:adjustRightInd w:val="0"/>
              <w:snapToGrid w:val="0"/>
              <w:spacing w:line="360" w:lineRule="auto"/>
              <w:rPr>
                <w:rFonts w:ascii="宋体" w:hAnsi="宋体"/>
                <w:color w:val="auto"/>
                <w:kern w:val="0"/>
                <w:sz w:val="24"/>
                <w:highlight w:val="none"/>
              </w:rPr>
            </w:pPr>
          </w:p>
        </w:tc>
      </w:tr>
      <w:tr w14:paraId="426D2E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shd w:val="clear" w:color="auto" w:fill="auto"/>
          </w:tcPr>
          <w:p w14:paraId="70B6C0D6">
            <w:pPr>
              <w:adjustRightInd w:val="0"/>
              <w:snapToGrid w:val="0"/>
              <w:spacing w:line="360" w:lineRule="auto"/>
              <w:rPr>
                <w:rFonts w:ascii="宋体" w:hAnsi="宋体"/>
                <w:color w:val="auto"/>
                <w:kern w:val="0"/>
                <w:sz w:val="24"/>
                <w:highlight w:val="none"/>
              </w:rPr>
            </w:pPr>
          </w:p>
        </w:tc>
        <w:tc>
          <w:tcPr>
            <w:tcW w:w="2963" w:type="dxa"/>
            <w:shd w:val="clear" w:color="auto" w:fill="auto"/>
          </w:tcPr>
          <w:p w14:paraId="6E872886">
            <w:pPr>
              <w:adjustRightInd w:val="0"/>
              <w:snapToGrid w:val="0"/>
              <w:spacing w:line="360" w:lineRule="auto"/>
              <w:rPr>
                <w:rFonts w:ascii="宋体" w:hAnsi="宋体"/>
                <w:color w:val="auto"/>
                <w:kern w:val="0"/>
                <w:sz w:val="24"/>
                <w:highlight w:val="none"/>
              </w:rPr>
            </w:pPr>
          </w:p>
        </w:tc>
        <w:tc>
          <w:tcPr>
            <w:tcW w:w="2439" w:type="dxa"/>
            <w:shd w:val="clear" w:color="auto" w:fill="auto"/>
          </w:tcPr>
          <w:p w14:paraId="1804FD19">
            <w:pPr>
              <w:adjustRightInd w:val="0"/>
              <w:snapToGrid w:val="0"/>
              <w:spacing w:line="360" w:lineRule="auto"/>
              <w:rPr>
                <w:rFonts w:ascii="宋体" w:hAnsi="宋体"/>
                <w:color w:val="auto"/>
                <w:kern w:val="0"/>
                <w:sz w:val="24"/>
                <w:highlight w:val="none"/>
              </w:rPr>
            </w:pPr>
          </w:p>
        </w:tc>
        <w:tc>
          <w:tcPr>
            <w:tcW w:w="2961" w:type="dxa"/>
            <w:shd w:val="clear" w:color="auto" w:fill="auto"/>
          </w:tcPr>
          <w:p w14:paraId="01B418C0">
            <w:pPr>
              <w:adjustRightInd w:val="0"/>
              <w:snapToGrid w:val="0"/>
              <w:spacing w:line="360" w:lineRule="auto"/>
              <w:rPr>
                <w:rFonts w:ascii="宋体" w:hAnsi="宋体"/>
                <w:color w:val="auto"/>
                <w:kern w:val="0"/>
                <w:sz w:val="24"/>
                <w:highlight w:val="none"/>
              </w:rPr>
            </w:pPr>
          </w:p>
        </w:tc>
      </w:tr>
      <w:tr w14:paraId="005ACB0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shd w:val="clear" w:color="auto" w:fill="auto"/>
          </w:tcPr>
          <w:p w14:paraId="05ED5D14">
            <w:pPr>
              <w:adjustRightInd w:val="0"/>
              <w:snapToGrid w:val="0"/>
              <w:spacing w:line="360" w:lineRule="auto"/>
              <w:rPr>
                <w:rFonts w:ascii="宋体" w:hAnsi="宋体"/>
                <w:color w:val="auto"/>
                <w:kern w:val="0"/>
                <w:sz w:val="24"/>
                <w:highlight w:val="none"/>
              </w:rPr>
            </w:pPr>
          </w:p>
        </w:tc>
        <w:tc>
          <w:tcPr>
            <w:tcW w:w="2963" w:type="dxa"/>
            <w:shd w:val="clear" w:color="auto" w:fill="auto"/>
          </w:tcPr>
          <w:p w14:paraId="3F25A8D5">
            <w:pPr>
              <w:adjustRightInd w:val="0"/>
              <w:snapToGrid w:val="0"/>
              <w:spacing w:line="360" w:lineRule="auto"/>
              <w:rPr>
                <w:rFonts w:ascii="宋体" w:hAnsi="宋体"/>
                <w:color w:val="auto"/>
                <w:kern w:val="0"/>
                <w:sz w:val="24"/>
                <w:highlight w:val="none"/>
              </w:rPr>
            </w:pPr>
          </w:p>
        </w:tc>
        <w:tc>
          <w:tcPr>
            <w:tcW w:w="2439" w:type="dxa"/>
            <w:shd w:val="clear" w:color="auto" w:fill="auto"/>
          </w:tcPr>
          <w:p w14:paraId="58D466C9">
            <w:pPr>
              <w:adjustRightInd w:val="0"/>
              <w:snapToGrid w:val="0"/>
              <w:spacing w:line="360" w:lineRule="auto"/>
              <w:rPr>
                <w:rFonts w:ascii="宋体" w:hAnsi="宋体"/>
                <w:color w:val="auto"/>
                <w:kern w:val="0"/>
                <w:sz w:val="24"/>
                <w:highlight w:val="none"/>
              </w:rPr>
            </w:pPr>
          </w:p>
        </w:tc>
        <w:tc>
          <w:tcPr>
            <w:tcW w:w="2961" w:type="dxa"/>
            <w:shd w:val="clear" w:color="auto" w:fill="auto"/>
          </w:tcPr>
          <w:p w14:paraId="31274804">
            <w:pPr>
              <w:adjustRightInd w:val="0"/>
              <w:snapToGrid w:val="0"/>
              <w:spacing w:line="360" w:lineRule="auto"/>
              <w:rPr>
                <w:rFonts w:ascii="宋体" w:hAnsi="宋体"/>
                <w:color w:val="auto"/>
                <w:kern w:val="0"/>
                <w:sz w:val="24"/>
                <w:highlight w:val="none"/>
              </w:rPr>
            </w:pPr>
          </w:p>
        </w:tc>
      </w:tr>
      <w:tr w14:paraId="0E4E86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shd w:val="clear" w:color="auto" w:fill="auto"/>
          </w:tcPr>
          <w:p w14:paraId="5AC8DD11">
            <w:pPr>
              <w:adjustRightInd w:val="0"/>
              <w:snapToGrid w:val="0"/>
              <w:spacing w:line="360" w:lineRule="auto"/>
              <w:rPr>
                <w:rFonts w:ascii="宋体" w:hAnsi="宋体"/>
                <w:color w:val="auto"/>
                <w:kern w:val="0"/>
                <w:sz w:val="24"/>
                <w:highlight w:val="none"/>
              </w:rPr>
            </w:pPr>
          </w:p>
        </w:tc>
        <w:tc>
          <w:tcPr>
            <w:tcW w:w="2963" w:type="dxa"/>
            <w:shd w:val="clear" w:color="auto" w:fill="auto"/>
          </w:tcPr>
          <w:p w14:paraId="00688226">
            <w:pPr>
              <w:adjustRightInd w:val="0"/>
              <w:snapToGrid w:val="0"/>
              <w:spacing w:line="360" w:lineRule="auto"/>
              <w:rPr>
                <w:rFonts w:ascii="宋体" w:hAnsi="宋体"/>
                <w:color w:val="auto"/>
                <w:kern w:val="0"/>
                <w:sz w:val="24"/>
                <w:highlight w:val="none"/>
              </w:rPr>
            </w:pPr>
          </w:p>
        </w:tc>
        <w:tc>
          <w:tcPr>
            <w:tcW w:w="2439" w:type="dxa"/>
            <w:shd w:val="clear" w:color="auto" w:fill="auto"/>
          </w:tcPr>
          <w:p w14:paraId="11409666">
            <w:pPr>
              <w:adjustRightInd w:val="0"/>
              <w:snapToGrid w:val="0"/>
              <w:spacing w:line="360" w:lineRule="auto"/>
              <w:rPr>
                <w:rFonts w:ascii="宋体" w:hAnsi="宋体"/>
                <w:color w:val="auto"/>
                <w:kern w:val="0"/>
                <w:sz w:val="24"/>
                <w:highlight w:val="none"/>
              </w:rPr>
            </w:pPr>
          </w:p>
        </w:tc>
        <w:tc>
          <w:tcPr>
            <w:tcW w:w="2961" w:type="dxa"/>
            <w:shd w:val="clear" w:color="auto" w:fill="auto"/>
          </w:tcPr>
          <w:p w14:paraId="08E96784">
            <w:pPr>
              <w:adjustRightInd w:val="0"/>
              <w:snapToGrid w:val="0"/>
              <w:spacing w:line="360" w:lineRule="auto"/>
              <w:rPr>
                <w:rFonts w:ascii="宋体" w:hAnsi="宋体"/>
                <w:color w:val="auto"/>
                <w:kern w:val="0"/>
                <w:sz w:val="24"/>
                <w:highlight w:val="none"/>
              </w:rPr>
            </w:pPr>
          </w:p>
        </w:tc>
      </w:tr>
      <w:tr w14:paraId="7E653F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shd w:val="clear" w:color="auto" w:fill="auto"/>
          </w:tcPr>
          <w:p w14:paraId="77D31F15">
            <w:pPr>
              <w:adjustRightInd w:val="0"/>
              <w:snapToGrid w:val="0"/>
              <w:spacing w:line="360" w:lineRule="auto"/>
              <w:rPr>
                <w:rFonts w:ascii="宋体" w:hAnsi="宋体"/>
                <w:color w:val="auto"/>
                <w:kern w:val="0"/>
                <w:sz w:val="24"/>
                <w:highlight w:val="none"/>
              </w:rPr>
            </w:pPr>
          </w:p>
        </w:tc>
        <w:tc>
          <w:tcPr>
            <w:tcW w:w="2963" w:type="dxa"/>
            <w:shd w:val="clear" w:color="auto" w:fill="auto"/>
          </w:tcPr>
          <w:p w14:paraId="7A6477DF">
            <w:pPr>
              <w:adjustRightInd w:val="0"/>
              <w:snapToGrid w:val="0"/>
              <w:spacing w:line="360" w:lineRule="auto"/>
              <w:rPr>
                <w:rFonts w:ascii="宋体" w:hAnsi="宋体"/>
                <w:color w:val="auto"/>
                <w:kern w:val="0"/>
                <w:sz w:val="24"/>
                <w:highlight w:val="none"/>
              </w:rPr>
            </w:pPr>
          </w:p>
        </w:tc>
        <w:tc>
          <w:tcPr>
            <w:tcW w:w="2439" w:type="dxa"/>
            <w:shd w:val="clear" w:color="auto" w:fill="auto"/>
          </w:tcPr>
          <w:p w14:paraId="4E1FDBD8">
            <w:pPr>
              <w:adjustRightInd w:val="0"/>
              <w:snapToGrid w:val="0"/>
              <w:spacing w:line="360" w:lineRule="auto"/>
              <w:rPr>
                <w:rFonts w:ascii="宋体" w:hAnsi="宋体"/>
                <w:color w:val="auto"/>
                <w:kern w:val="0"/>
                <w:sz w:val="24"/>
                <w:highlight w:val="none"/>
              </w:rPr>
            </w:pPr>
          </w:p>
        </w:tc>
        <w:tc>
          <w:tcPr>
            <w:tcW w:w="2961" w:type="dxa"/>
            <w:shd w:val="clear" w:color="auto" w:fill="auto"/>
          </w:tcPr>
          <w:p w14:paraId="2EAECABC">
            <w:pPr>
              <w:adjustRightInd w:val="0"/>
              <w:snapToGrid w:val="0"/>
              <w:spacing w:line="360" w:lineRule="auto"/>
              <w:rPr>
                <w:rFonts w:ascii="宋体" w:hAnsi="宋体"/>
                <w:color w:val="auto"/>
                <w:kern w:val="0"/>
                <w:sz w:val="24"/>
                <w:highlight w:val="none"/>
              </w:rPr>
            </w:pPr>
          </w:p>
        </w:tc>
      </w:tr>
      <w:tr w14:paraId="3E81E45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shd w:val="clear" w:color="auto" w:fill="auto"/>
          </w:tcPr>
          <w:p w14:paraId="55204845">
            <w:pPr>
              <w:adjustRightInd w:val="0"/>
              <w:snapToGrid w:val="0"/>
              <w:spacing w:line="360" w:lineRule="auto"/>
              <w:rPr>
                <w:rFonts w:ascii="宋体" w:hAnsi="宋体"/>
                <w:color w:val="auto"/>
                <w:kern w:val="0"/>
                <w:sz w:val="24"/>
                <w:highlight w:val="none"/>
              </w:rPr>
            </w:pPr>
          </w:p>
        </w:tc>
        <w:tc>
          <w:tcPr>
            <w:tcW w:w="2963" w:type="dxa"/>
            <w:shd w:val="clear" w:color="auto" w:fill="auto"/>
          </w:tcPr>
          <w:p w14:paraId="4EACE24D">
            <w:pPr>
              <w:adjustRightInd w:val="0"/>
              <w:snapToGrid w:val="0"/>
              <w:spacing w:line="360" w:lineRule="auto"/>
              <w:rPr>
                <w:rFonts w:ascii="宋体" w:hAnsi="宋体"/>
                <w:color w:val="auto"/>
                <w:kern w:val="0"/>
                <w:sz w:val="24"/>
                <w:highlight w:val="none"/>
              </w:rPr>
            </w:pPr>
          </w:p>
        </w:tc>
        <w:tc>
          <w:tcPr>
            <w:tcW w:w="2439" w:type="dxa"/>
            <w:shd w:val="clear" w:color="auto" w:fill="auto"/>
          </w:tcPr>
          <w:p w14:paraId="498FDDE4">
            <w:pPr>
              <w:adjustRightInd w:val="0"/>
              <w:snapToGrid w:val="0"/>
              <w:spacing w:line="360" w:lineRule="auto"/>
              <w:rPr>
                <w:rFonts w:ascii="宋体" w:hAnsi="宋体"/>
                <w:color w:val="auto"/>
                <w:kern w:val="0"/>
                <w:sz w:val="24"/>
                <w:highlight w:val="none"/>
              </w:rPr>
            </w:pPr>
          </w:p>
        </w:tc>
        <w:tc>
          <w:tcPr>
            <w:tcW w:w="2961" w:type="dxa"/>
            <w:shd w:val="clear" w:color="auto" w:fill="auto"/>
          </w:tcPr>
          <w:p w14:paraId="227C29C5">
            <w:pPr>
              <w:adjustRightInd w:val="0"/>
              <w:snapToGrid w:val="0"/>
              <w:spacing w:line="360" w:lineRule="auto"/>
              <w:rPr>
                <w:rFonts w:ascii="宋体" w:hAnsi="宋体"/>
                <w:color w:val="auto"/>
                <w:kern w:val="0"/>
                <w:sz w:val="24"/>
                <w:highlight w:val="none"/>
              </w:rPr>
            </w:pPr>
          </w:p>
        </w:tc>
      </w:tr>
      <w:tr w14:paraId="4AD929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shd w:val="clear" w:color="auto" w:fill="auto"/>
          </w:tcPr>
          <w:p w14:paraId="11E1974B">
            <w:pPr>
              <w:adjustRightInd w:val="0"/>
              <w:snapToGrid w:val="0"/>
              <w:spacing w:line="360" w:lineRule="auto"/>
              <w:rPr>
                <w:rFonts w:ascii="宋体" w:hAnsi="宋体"/>
                <w:color w:val="auto"/>
                <w:kern w:val="0"/>
                <w:sz w:val="24"/>
                <w:highlight w:val="none"/>
              </w:rPr>
            </w:pPr>
          </w:p>
        </w:tc>
        <w:tc>
          <w:tcPr>
            <w:tcW w:w="2963" w:type="dxa"/>
            <w:shd w:val="clear" w:color="auto" w:fill="auto"/>
          </w:tcPr>
          <w:p w14:paraId="1D0AE425">
            <w:pPr>
              <w:adjustRightInd w:val="0"/>
              <w:snapToGrid w:val="0"/>
              <w:spacing w:line="360" w:lineRule="auto"/>
              <w:rPr>
                <w:rFonts w:ascii="宋体" w:hAnsi="宋体"/>
                <w:color w:val="auto"/>
                <w:kern w:val="0"/>
                <w:sz w:val="24"/>
                <w:highlight w:val="none"/>
              </w:rPr>
            </w:pPr>
          </w:p>
        </w:tc>
        <w:tc>
          <w:tcPr>
            <w:tcW w:w="2439" w:type="dxa"/>
            <w:shd w:val="clear" w:color="auto" w:fill="auto"/>
          </w:tcPr>
          <w:p w14:paraId="79062379">
            <w:pPr>
              <w:adjustRightInd w:val="0"/>
              <w:snapToGrid w:val="0"/>
              <w:spacing w:line="360" w:lineRule="auto"/>
              <w:rPr>
                <w:rFonts w:ascii="宋体" w:hAnsi="宋体"/>
                <w:color w:val="auto"/>
                <w:kern w:val="0"/>
                <w:sz w:val="24"/>
                <w:highlight w:val="none"/>
              </w:rPr>
            </w:pPr>
          </w:p>
        </w:tc>
        <w:tc>
          <w:tcPr>
            <w:tcW w:w="2961" w:type="dxa"/>
            <w:shd w:val="clear" w:color="auto" w:fill="auto"/>
          </w:tcPr>
          <w:p w14:paraId="01C41935">
            <w:pPr>
              <w:adjustRightInd w:val="0"/>
              <w:snapToGrid w:val="0"/>
              <w:spacing w:line="360" w:lineRule="auto"/>
              <w:rPr>
                <w:rFonts w:ascii="宋体" w:hAnsi="宋体"/>
                <w:color w:val="auto"/>
                <w:kern w:val="0"/>
                <w:sz w:val="24"/>
                <w:highlight w:val="none"/>
              </w:rPr>
            </w:pPr>
          </w:p>
        </w:tc>
      </w:tr>
      <w:tr w14:paraId="4A3448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shd w:val="clear" w:color="auto" w:fill="auto"/>
          </w:tcPr>
          <w:p w14:paraId="1EFADF41">
            <w:pPr>
              <w:adjustRightInd w:val="0"/>
              <w:snapToGrid w:val="0"/>
              <w:spacing w:line="360" w:lineRule="auto"/>
              <w:rPr>
                <w:rFonts w:ascii="宋体" w:hAnsi="宋体"/>
                <w:color w:val="auto"/>
                <w:kern w:val="0"/>
                <w:sz w:val="24"/>
                <w:highlight w:val="none"/>
              </w:rPr>
            </w:pPr>
          </w:p>
        </w:tc>
        <w:tc>
          <w:tcPr>
            <w:tcW w:w="2963" w:type="dxa"/>
            <w:shd w:val="clear" w:color="auto" w:fill="auto"/>
          </w:tcPr>
          <w:p w14:paraId="60B609C2">
            <w:pPr>
              <w:adjustRightInd w:val="0"/>
              <w:snapToGrid w:val="0"/>
              <w:spacing w:line="360" w:lineRule="auto"/>
              <w:rPr>
                <w:rFonts w:ascii="宋体" w:hAnsi="宋体"/>
                <w:color w:val="auto"/>
                <w:kern w:val="0"/>
                <w:sz w:val="24"/>
                <w:highlight w:val="none"/>
              </w:rPr>
            </w:pPr>
          </w:p>
        </w:tc>
        <w:tc>
          <w:tcPr>
            <w:tcW w:w="2439" w:type="dxa"/>
            <w:shd w:val="clear" w:color="auto" w:fill="auto"/>
          </w:tcPr>
          <w:p w14:paraId="603FEC18">
            <w:pPr>
              <w:adjustRightInd w:val="0"/>
              <w:snapToGrid w:val="0"/>
              <w:spacing w:line="360" w:lineRule="auto"/>
              <w:rPr>
                <w:rFonts w:ascii="宋体" w:hAnsi="宋体"/>
                <w:color w:val="auto"/>
                <w:kern w:val="0"/>
                <w:sz w:val="24"/>
                <w:highlight w:val="none"/>
              </w:rPr>
            </w:pPr>
          </w:p>
        </w:tc>
        <w:tc>
          <w:tcPr>
            <w:tcW w:w="2961" w:type="dxa"/>
            <w:shd w:val="clear" w:color="auto" w:fill="auto"/>
          </w:tcPr>
          <w:p w14:paraId="550A35EE">
            <w:pPr>
              <w:adjustRightInd w:val="0"/>
              <w:snapToGrid w:val="0"/>
              <w:spacing w:line="360" w:lineRule="auto"/>
              <w:rPr>
                <w:rFonts w:ascii="宋体" w:hAnsi="宋体"/>
                <w:color w:val="auto"/>
                <w:kern w:val="0"/>
                <w:sz w:val="24"/>
                <w:highlight w:val="none"/>
              </w:rPr>
            </w:pPr>
          </w:p>
        </w:tc>
      </w:tr>
      <w:tr w14:paraId="15A7CB7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shd w:val="clear" w:color="auto" w:fill="auto"/>
          </w:tcPr>
          <w:p w14:paraId="1BEE7AD8">
            <w:pPr>
              <w:adjustRightInd w:val="0"/>
              <w:snapToGrid w:val="0"/>
              <w:spacing w:line="360" w:lineRule="auto"/>
              <w:rPr>
                <w:rFonts w:ascii="宋体" w:hAnsi="宋体"/>
                <w:color w:val="auto"/>
                <w:kern w:val="0"/>
                <w:sz w:val="24"/>
                <w:highlight w:val="none"/>
              </w:rPr>
            </w:pPr>
          </w:p>
        </w:tc>
        <w:tc>
          <w:tcPr>
            <w:tcW w:w="2963" w:type="dxa"/>
            <w:shd w:val="clear" w:color="auto" w:fill="auto"/>
          </w:tcPr>
          <w:p w14:paraId="499D670A">
            <w:pPr>
              <w:adjustRightInd w:val="0"/>
              <w:snapToGrid w:val="0"/>
              <w:spacing w:line="360" w:lineRule="auto"/>
              <w:rPr>
                <w:rFonts w:ascii="宋体" w:hAnsi="宋体"/>
                <w:color w:val="auto"/>
                <w:kern w:val="0"/>
                <w:sz w:val="24"/>
                <w:highlight w:val="none"/>
              </w:rPr>
            </w:pPr>
          </w:p>
        </w:tc>
        <w:tc>
          <w:tcPr>
            <w:tcW w:w="2439" w:type="dxa"/>
            <w:shd w:val="clear" w:color="auto" w:fill="auto"/>
          </w:tcPr>
          <w:p w14:paraId="5E68ECD0">
            <w:pPr>
              <w:adjustRightInd w:val="0"/>
              <w:snapToGrid w:val="0"/>
              <w:spacing w:line="360" w:lineRule="auto"/>
              <w:rPr>
                <w:rFonts w:ascii="宋体" w:hAnsi="宋体"/>
                <w:color w:val="auto"/>
                <w:kern w:val="0"/>
                <w:sz w:val="24"/>
                <w:highlight w:val="none"/>
              </w:rPr>
            </w:pPr>
          </w:p>
        </w:tc>
        <w:tc>
          <w:tcPr>
            <w:tcW w:w="2961" w:type="dxa"/>
            <w:shd w:val="clear" w:color="auto" w:fill="auto"/>
          </w:tcPr>
          <w:p w14:paraId="69AFE63C">
            <w:pPr>
              <w:adjustRightInd w:val="0"/>
              <w:snapToGrid w:val="0"/>
              <w:spacing w:line="360" w:lineRule="auto"/>
              <w:rPr>
                <w:rFonts w:ascii="宋体" w:hAnsi="宋体"/>
                <w:color w:val="auto"/>
                <w:kern w:val="0"/>
                <w:sz w:val="24"/>
                <w:highlight w:val="none"/>
              </w:rPr>
            </w:pPr>
          </w:p>
        </w:tc>
      </w:tr>
    </w:tbl>
    <w:p w14:paraId="3F4A493C">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采购人（签字）：</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23EA30E8">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采购代理机构（签字）：</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2FD8EE41">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731A51F2">
      <w:pPr>
        <w:widowControl/>
        <w:jc w:val="left"/>
        <w:rPr>
          <w:rFonts w:ascii="宋体" w:hAnsi="宋体"/>
          <w:color w:val="auto"/>
          <w:sz w:val="24"/>
          <w:highlight w:val="none"/>
        </w:rPr>
      </w:pPr>
      <w:r>
        <w:rPr>
          <w:rFonts w:ascii="宋体" w:hAnsi="宋体"/>
          <w:color w:val="auto"/>
          <w:sz w:val="24"/>
          <w:highlight w:val="none"/>
        </w:rPr>
        <w:br w:type="page"/>
      </w:r>
    </w:p>
    <w:p w14:paraId="46C340FB">
      <w:pPr>
        <w:pStyle w:val="12"/>
        <w:adjustRightInd w:val="0"/>
        <w:snapToGrid w:val="0"/>
        <w:spacing w:before="0" w:after="0" w:line="360" w:lineRule="auto"/>
        <w:rPr>
          <w:rFonts w:ascii="黑体" w:hAnsi="黑体"/>
          <w:b w:val="0"/>
          <w:color w:val="auto"/>
          <w:sz w:val="21"/>
          <w:szCs w:val="21"/>
          <w:highlight w:val="none"/>
        </w:rPr>
      </w:pPr>
      <w:bookmarkStart w:id="41" w:name="_Toc19633"/>
      <w:r>
        <w:rPr>
          <w:rFonts w:hint="eastAsia" w:ascii="黑体" w:hAnsi="黑体"/>
          <w:b w:val="0"/>
          <w:color w:val="auto"/>
          <w:sz w:val="21"/>
          <w:szCs w:val="21"/>
          <w:highlight w:val="none"/>
        </w:rPr>
        <w:t>附表3 资格审查合格投标人名单</w:t>
      </w:r>
      <w:bookmarkEnd w:id="41"/>
    </w:p>
    <w:p w14:paraId="06AD37C4">
      <w:pPr>
        <w:adjustRightInd w:val="0"/>
        <w:snapToGrid w:val="0"/>
        <w:spacing w:line="360" w:lineRule="auto"/>
        <w:jc w:val="center"/>
        <w:rPr>
          <w:rFonts w:ascii="黑体" w:hAnsi="黑体" w:eastAsia="黑体"/>
          <w:b/>
          <w:color w:val="auto"/>
          <w:sz w:val="28"/>
          <w:szCs w:val="28"/>
          <w:highlight w:val="none"/>
        </w:rPr>
      </w:pPr>
      <w:r>
        <w:rPr>
          <w:rFonts w:hint="eastAsia" w:ascii="黑体" w:hAnsi="黑体" w:eastAsia="黑体"/>
          <w:b/>
          <w:color w:val="auto"/>
          <w:sz w:val="28"/>
          <w:szCs w:val="28"/>
          <w:highlight w:val="none"/>
        </w:rPr>
        <w:t>资格审查合格投标人名单</w:t>
      </w:r>
    </w:p>
    <w:p w14:paraId="303AD2A2">
      <w:pPr>
        <w:adjustRightInd w:val="0"/>
        <w:snapToGrid w:val="0"/>
        <w:spacing w:line="360" w:lineRule="auto"/>
        <w:rPr>
          <w:rFonts w:ascii="华文中宋" w:hAnsi="华文中宋" w:eastAsia="华文中宋"/>
          <w:color w:val="auto"/>
          <w:sz w:val="32"/>
          <w:szCs w:val="32"/>
          <w:highlight w:val="none"/>
        </w:rPr>
      </w:pPr>
      <w:r>
        <w:rPr>
          <w:rFonts w:hint="eastAsia" w:ascii="宋体" w:hAnsi="宋体"/>
          <w:color w:val="auto"/>
          <w:szCs w:val="21"/>
          <w:highlight w:val="none"/>
        </w:rPr>
        <w:t>项目名称：</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政府采购计划编号：</w:t>
      </w:r>
      <w:r>
        <w:rPr>
          <w:rFonts w:hint="eastAsia" w:ascii="宋体" w:hAnsi="宋体"/>
          <w:color w:val="auto"/>
          <w:szCs w:val="21"/>
          <w:highlight w:val="none"/>
          <w:u w:val="single"/>
        </w:rPr>
        <w:t xml:space="preserve">           </w:t>
      </w:r>
    </w:p>
    <w:tbl>
      <w:tblPr>
        <w:tblStyle w:val="29"/>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93"/>
        <w:gridCol w:w="7796"/>
      </w:tblGrid>
      <w:tr w14:paraId="7EDCB6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shd w:val="clear" w:color="auto" w:fill="auto"/>
            <w:vAlign w:val="center"/>
          </w:tcPr>
          <w:p w14:paraId="37C419EE">
            <w:pPr>
              <w:jc w:val="center"/>
              <w:rPr>
                <w:b/>
                <w:color w:val="auto"/>
                <w:kern w:val="0"/>
                <w:szCs w:val="21"/>
                <w:highlight w:val="none"/>
              </w:rPr>
            </w:pPr>
            <w:r>
              <w:rPr>
                <w:rFonts w:hint="eastAsia"/>
                <w:b/>
                <w:color w:val="auto"/>
                <w:kern w:val="0"/>
                <w:szCs w:val="21"/>
                <w:highlight w:val="none"/>
              </w:rPr>
              <w:t>序号</w:t>
            </w:r>
          </w:p>
        </w:tc>
        <w:tc>
          <w:tcPr>
            <w:tcW w:w="7796" w:type="dxa"/>
            <w:shd w:val="clear" w:color="auto" w:fill="auto"/>
            <w:vAlign w:val="center"/>
          </w:tcPr>
          <w:p w14:paraId="726DB2D6">
            <w:pPr>
              <w:jc w:val="center"/>
              <w:rPr>
                <w:b/>
                <w:color w:val="auto"/>
                <w:kern w:val="0"/>
                <w:szCs w:val="21"/>
                <w:highlight w:val="none"/>
              </w:rPr>
            </w:pPr>
            <w:r>
              <w:rPr>
                <w:rFonts w:hint="eastAsia"/>
                <w:b/>
                <w:color w:val="auto"/>
                <w:kern w:val="0"/>
                <w:szCs w:val="21"/>
                <w:highlight w:val="none"/>
              </w:rPr>
              <w:t>合格投标人名称</w:t>
            </w:r>
          </w:p>
        </w:tc>
      </w:tr>
      <w:tr w14:paraId="48CF80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shd w:val="clear" w:color="auto" w:fill="auto"/>
          </w:tcPr>
          <w:p w14:paraId="58468A73">
            <w:pPr>
              <w:adjustRightInd w:val="0"/>
              <w:snapToGrid w:val="0"/>
              <w:spacing w:line="360" w:lineRule="auto"/>
              <w:rPr>
                <w:rFonts w:ascii="宋体" w:hAnsi="宋体"/>
                <w:color w:val="auto"/>
                <w:kern w:val="0"/>
                <w:szCs w:val="21"/>
                <w:highlight w:val="none"/>
              </w:rPr>
            </w:pPr>
          </w:p>
        </w:tc>
        <w:tc>
          <w:tcPr>
            <w:tcW w:w="7796" w:type="dxa"/>
            <w:shd w:val="clear" w:color="auto" w:fill="auto"/>
          </w:tcPr>
          <w:p w14:paraId="354C721C">
            <w:pPr>
              <w:adjustRightInd w:val="0"/>
              <w:snapToGrid w:val="0"/>
              <w:spacing w:line="360" w:lineRule="auto"/>
              <w:rPr>
                <w:rFonts w:ascii="宋体" w:hAnsi="宋体"/>
                <w:color w:val="auto"/>
                <w:kern w:val="0"/>
                <w:szCs w:val="21"/>
                <w:highlight w:val="none"/>
              </w:rPr>
            </w:pPr>
          </w:p>
        </w:tc>
      </w:tr>
      <w:tr w14:paraId="2438D4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shd w:val="clear" w:color="auto" w:fill="auto"/>
          </w:tcPr>
          <w:p w14:paraId="680E0503">
            <w:pPr>
              <w:adjustRightInd w:val="0"/>
              <w:snapToGrid w:val="0"/>
              <w:spacing w:line="360" w:lineRule="auto"/>
              <w:rPr>
                <w:rFonts w:ascii="宋体" w:hAnsi="宋体"/>
                <w:color w:val="auto"/>
                <w:kern w:val="0"/>
                <w:sz w:val="24"/>
                <w:highlight w:val="none"/>
              </w:rPr>
            </w:pPr>
          </w:p>
        </w:tc>
        <w:tc>
          <w:tcPr>
            <w:tcW w:w="7796" w:type="dxa"/>
            <w:shd w:val="clear" w:color="auto" w:fill="auto"/>
          </w:tcPr>
          <w:p w14:paraId="1884FEF0">
            <w:pPr>
              <w:adjustRightInd w:val="0"/>
              <w:snapToGrid w:val="0"/>
              <w:spacing w:line="360" w:lineRule="auto"/>
              <w:rPr>
                <w:rFonts w:ascii="宋体" w:hAnsi="宋体"/>
                <w:color w:val="auto"/>
                <w:kern w:val="0"/>
                <w:sz w:val="24"/>
                <w:highlight w:val="none"/>
              </w:rPr>
            </w:pPr>
          </w:p>
        </w:tc>
      </w:tr>
      <w:tr w14:paraId="6BF52A3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shd w:val="clear" w:color="auto" w:fill="auto"/>
          </w:tcPr>
          <w:p w14:paraId="50F9F2A0">
            <w:pPr>
              <w:adjustRightInd w:val="0"/>
              <w:snapToGrid w:val="0"/>
              <w:spacing w:line="360" w:lineRule="auto"/>
              <w:rPr>
                <w:rFonts w:ascii="宋体" w:hAnsi="宋体"/>
                <w:color w:val="auto"/>
                <w:kern w:val="0"/>
                <w:sz w:val="24"/>
                <w:highlight w:val="none"/>
              </w:rPr>
            </w:pPr>
          </w:p>
        </w:tc>
        <w:tc>
          <w:tcPr>
            <w:tcW w:w="7796" w:type="dxa"/>
            <w:shd w:val="clear" w:color="auto" w:fill="auto"/>
          </w:tcPr>
          <w:p w14:paraId="5C011F05">
            <w:pPr>
              <w:adjustRightInd w:val="0"/>
              <w:snapToGrid w:val="0"/>
              <w:spacing w:line="360" w:lineRule="auto"/>
              <w:rPr>
                <w:rFonts w:ascii="宋体" w:hAnsi="宋体"/>
                <w:color w:val="auto"/>
                <w:kern w:val="0"/>
                <w:sz w:val="24"/>
                <w:highlight w:val="none"/>
              </w:rPr>
            </w:pPr>
          </w:p>
        </w:tc>
      </w:tr>
      <w:tr w14:paraId="74C5BB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shd w:val="clear" w:color="auto" w:fill="auto"/>
          </w:tcPr>
          <w:p w14:paraId="64D56C1F">
            <w:pPr>
              <w:adjustRightInd w:val="0"/>
              <w:snapToGrid w:val="0"/>
              <w:spacing w:line="360" w:lineRule="auto"/>
              <w:rPr>
                <w:rFonts w:ascii="宋体" w:hAnsi="宋体"/>
                <w:color w:val="auto"/>
                <w:kern w:val="0"/>
                <w:sz w:val="24"/>
                <w:highlight w:val="none"/>
              </w:rPr>
            </w:pPr>
          </w:p>
        </w:tc>
        <w:tc>
          <w:tcPr>
            <w:tcW w:w="7796" w:type="dxa"/>
            <w:shd w:val="clear" w:color="auto" w:fill="auto"/>
          </w:tcPr>
          <w:p w14:paraId="5895963D">
            <w:pPr>
              <w:adjustRightInd w:val="0"/>
              <w:snapToGrid w:val="0"/>
              <w:spacing w:line="360" w:lineRule="auto"/>
              <w:rPr>
                <w:rFonts w:ascii="宋体" w:hAnsi="宋体"/>
                <w:color w:val="auto"/>
                <w:kern w:val="0"/>
                <w:sz w:val="24"/>
                <w:highlight w:val="none"/>
              </w:rPr>
            </w:pPr>
          </w:p>
        </w:tc>
      </w:tr>
      <w:tr w14:paraId="1442AA2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shd w:val="clear" w:color="auto" w:fill="auto"/>
          </w:tcPr>
          <w:p w14:paraId="6EFD025F">
            <w:pPr>
              <w:adjustRightInd w:val="0"/>
              <w:snapToGrid w:val="0"/>
              <w:spacing w:line="360" w:lineRule="auto"/>
              <w:rPr>
                <w:rFonts w:ascii="宋体" w:hAnsi="宋体"/>
                <w:color w:val="auto"/>
                <w:kern w:val="0"/>
                <w:sz w:val="24"/>
                <w:highlight w:val="none"/>
              </w:rPr>
            </w:pPr>
          </w:p>
        </w:tc>
        <w:tc>
          <w:tcPr>
            <w:tcW w:w="7796" w:type="dxa"/>
            <w:shd w:val="clear" w:color="auto" w:fill="auto"/>
          </w:tcPr>
          <w:p w14:paraId="374D11C0">
            <w:pPr>
              <w:adjustRightInd w:val="0"/>
              <w:snapToGrid w:val="0"/>
              <w:spacing w:line="360" w:lineRule="auto"/>
              <w:rPr>
                <w:rFonts w:ascii="宋体" w:hAnsi="宋体"/>
                <w:color w:val="auto"/>
                <w:kern w:val="0"/>
                <w:sz w:val="24"/>
                <w:highlight w:val="none"/>
              </w:rPr>
            </w:pPr>
          </w:p>
        </w:tc>
      </w:tr>
      <w:tr w14:paraId="57D00C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shd w:val="clear" w:color="auto" w:fill="auto"/>
          </w:tcPr>
          <w:p w14:paraId="7A988EE0">
            <w:pPr>
              <w:adjustRightInd w:val="0"/>
              <w:snapToGrid w:val="0"/>
              <w:spacing w:line="360" w:lineRule="auto"/>
              <w:rPr>
                <w:rFonts w:ascii="宋体" w:hAnsi="宋体"/>
                <w:color w:val="auto"/>
                <w:kern w:val="0"/>
                <w:sz w:val="24"/>
                <w:highlight w:val="none"/>
              </w:rPr>
            </w:pPr>
          </w:p>
        </w:tc>
        <w:tc>
          <w:tcPr>
            <w:tcW w:w="7796" w:type="dxa"/>
            <w:shd w:val="clear" w:color="auto" w:fill="auto"/>
          </w:tcPr>
          <w:p w14:paraId="7716274D">
            <w:pPr>
              <w:adjustRightInd w:val="0"/>
              <w:snapToGrid w:val="0"/>
              <w:spacing w:line="360" w:lineRule="auto"/>
              <w:rPr>
                <w:rFonts w:ascii="宋体" w:hAnsi="宋体"/>
                <w:color w:val="auto"/>
                <w:kern w:val="0"/>
                <w:sz w:val="24"/>
                <w:highlight w:val="none"/>
              </w:rPr>
            </w:pPr>
          </w:p>
        </w:tc>
      </w:tr>
    </w:tbl>
    <w:p w14:paraId="6C1CAD8B">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采购人（签字）：</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55D91308">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采购代理机构（签字）：</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60E04A7C">
      <w:pPr>
        <w:rPr>
          <w:rFonts w:ascii="黑体" w:hAnsi="华文中宋" w:eastAsia="黑体"/>
          <w:b/>
          <w:color w:val="auto"/>
          <w:sz w:val="10"/>
          <w:szCs w:val="10"/>
          <w:highlight w:val="none"/>
        </w:rPr>
      </w:pP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r>
        <w:rPr>
          <w:rFonts w:ascii="宋体" w:hAnsi="宋体"/>
          <w:color w:val="auto"/>
          <w:highlight w:val="none"/>
        </w:rPr>
        <w:br w:type="page"/>
      </w:r>
    </w:p>
    <w:p w14:paraId="179FE63C">
      <w:pPr>
        <w:pStyle w:val="19"/>
        <w:adjustRightInd w:val="0"/>
        <w:snapToGrid w:val="0"/>
        <w:spacing w:line="360" w:lineRule="auto"/>
        <w:jc w:val="center"/>
        <w:outlineLvl w:val="0"/>
        <w:rPr>
          <w:rFonts w:ascii="黑体" w:hAnsi="华文中宋" w:eastAsia="黑体"/>
          <w:b/>
          <w:color w:val="auto"/>
          <w:sz w:val="28"/>
          <w:szCs w:val="28"/>
          <w:highlight w:val="none"/>
        </w:rPr>
      </w:pPr>
      <w:bookmarkStart w:id="42" w:name="_Toc10650"/>
      <w:r>
        <w:rPr>
          <w:rFonts w:hint="eastAsia" w:ascii="黑体" w:hAnsi="华文中宋" w:eastAsia="黑体"/>
          <w:b/>
          <w:color w:val="auto"/>
          <w:sz w:val="32"/>
          <w:szCs w:val="32"/>
          <w:highlight w:val="none"/>
        </w:rPr>
        <w:t>第四章 评标方法及标准</w:t>
      </w:r>
      <w:bookmarkEnd w:id="42"/>
    </w:p>
    <w:p w14:paraId="031BF7BE">
      <w:pPr>
        <w:pStyle w:val="10"/>
        <w:adjustRightInd w:val="0"/>
        <w:snapToGrid w:val="0"/>
        <w:jc w:val="center"/>
        <w:rPr>
          <w:rFonts w:ascii="黑体" w:hAnsi="华文中宋" w:eastAsia="黑体"/>
          <w:color w:val="auto"/>
          <w:sz w:val="28"/>
          <w:szCs w:val="28"/>
          <w:highlight w:val="none"/>
        </w:rPr>
      </w:pPr>
      <w:bookmarkStart w:id="43" w:name="_Toc8917"/>
      <w:r>
        <w:rPr>
          <w:rFonts w:hint="eastAsia" w:ascii="黑体" w:hAnsi="华文中宋" w:eastAsia="黑体"/>
          <w:color w:val="auto"/>
          <w:sz w:val="28"/>
          <w:szCs w:val="28"/>
          <w:highlight w:val="none"/>
        </w:rPr>
        <w:t>第一节 评标方法及标准前附表</w:t>
      </w:r>
      <w:bookmarkEnd w:id="43"/>
    </w:p>
    <w:p w14:paraId="64160E54">
      <w:pPr>
        <w:adjustRightInd w:val="0"/>
        <w:snapToGrid w:val="0"/>
        <w:spacing w:line="360" w:lineRule="auto"/>
        <w:jc w:val="right"/>
        <w:rPr>
          <w:rFonts w:ascii="宋体" w:hAnsi="宋体"/>
          <w:bCs/>
          <w:i/>
          <w:color w:val="auto"/>
          <w:szCs w:val="21"/>
          <w:highlight w:val="none"/>
        </w:rPr>
      </w:pPr>
      <w:r>
        <w:rPr>
          <w:rFonts w:hint="eastAsia" w:ascii="宋体" w:hAnsi="宋体"/>
          <w:bCs/>
          <w:i/>
          <w:color w:val="auto"/>
          <w:szCs w:val="21"/>
          <w:highlight w:val="none"/>
        </w:rPr>
        <w:t>本项目启用的条款在“编列内容规定”栏内以“</w:t>
      </w:r>
      <w:r>
        <w:rPr>
          <w:rFonts w:hint="eastAsia" w:ascii="宋体" w:hAnsi="宋体"/>
          <w:iCs/>
          <w:color w:val="auto"/>
          <w:szCs w:val="21"/>
          <w:highlight w:val="none"/>
        </w:rPr>
        <w:sym w:font="Wingdings" w:char="00FE"/>
      </w:r>
      <w:r>
        <w:rPr>
          <w:rFonts w:hint="eastAsia" w:ascii="宋体" w:hAnsi="宋体"/>
          <w:bCs/>
          <w:i/>
          <w:color w:val="auto"/>
          <w:szCs w:val="21"/>
          <w:highlight w:val="none"/>
        </w:rPr>
        <w:t>”标注。</w:t>
      </w:r>
    </w:p>
    <w:tbl>
      <w:tblPr>
        <w:tblStyle w:val="29"/>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709"/>
        <w:gridCol w:w="1559"/>
        <w:gridCol w:w="4820"/>
      </w:tblGrid>
      <w:tr w14:paraId="5339CF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1" w:type="dxa"/>
            <w:tcBorders>
              <w:top w:val="double" w:color="auto" w:sz="4" w:space="0"/>
              <w:bottom w:val="single" w:color="auto" w:sz="6" w:space="0"/>
            </w:tcBorders>
          </w:tcPr>
          <w:p w14:paraId="4016DF24">
            <w:pPr>
              <w:adjustRightInd w:val="0"/>
              <w:snapToGrid w:val="0"/>
              <w:spacing w:before="156" w:beforeLines="50" w:line="360" w:lineRule="auto"/>
              <w:jc w:val="center"/>
              <w:rPr>
                <w:b/>
                <w:color w:val="auto"/>
                <w:highlight w:val="none"/>
              </w:rPr>
            </w:pPr>
            <w:r>
              <w:rPr>
                <w:rFonts w:hint="eastAsia"/>
                <w:b/>
                <w:color w:val="auto"/>
                <w:highlight w:val="none"/>
              </w:rPr>
              <w:t>条款号</w:t>
            </w:r>
          </w:p>
        </w:tc>
        <w:tc>
          <w:tcPr>
            <w:tcW w:w="2268" w:type="dxa"/>
            <w:gridSpan w:val="2"/>
            <w:tcBorders>
              <w:top w:val="double" w:color="auto" w:sz="4" w:space="0"/>
              <w:bottom w:val="single" w:color="auto" w:sz="6" w:space="0"/>
            </w:tcBorders>
          </w:tcPr>
          <w:p w14:paraId="64FD1468">
            <w:pPr>
              <w:adjustRightInd w:val="0"/>
              <w:snapToGrid w:val="0"/>
              <w:spacing w:before="156" w:beforeLines="50" w:line="360" w:lineRule="auto"/>
              <w:jc w:val="center"/>
              <w:rPr>
                <w:b/>
                <w:color w:val="auto"/>
                <w:highlight w:val="none"/>
              </w:rPr>
            </w:pPr>
            <w:r>
              <w:rPr>
                <w:rFonts w:hint="eastAsia"/>
                <w:b/>
                <w:color w:val="auto"/>
                <w:highlight w:val="none"/>
              </w:rPr>
              <w:t>条款名称</w:t>
            </w:r>
          </w:p>
        </w:tc>
        <w:tc>
          <w:tcPr>
            <w:tcW w:w="4820" w:type="dxa"/>
            <w:tcBorders>
              <w:top w:val="double" w:color="auto" w:sz="4" w:space="0"/>
              <w:bottom w:val="single" w:color="auto" w:sz="6" w:space="0"/>
            </w:tcBorders>
          </w:tcPr>
          <w:p w14:paraId="77035DC5">
            <w:pPr>
              <w:adjustRightInd w:val="0"/>
              <w:snapToGrid w:val="0"/>
              <w:spacing w:before="156" w:beforeLines="50" w:line="360" w:lineRule="auto"/>
              <w:jc w:val="center"/>
              <w:rPr>
                <w:b/>
                <w:color w:val="auto"/>
                <w:highlight w:val="none"/>
              </w:rPr>
            </w:pPr>
            <w:r>
              <w:rPr>
                <w:rFonts w:hint="eastAsia"/>
                <w:b/>
                <w:color w:val="auto"/>
                <w:highlight w:val="none"/>
              </w:rPr>
              <w:t>编列内容规定</w:t>
            </w:r>
          </w:p>
        </w:tc>
      </w:tr>
      <w:tr w14:paraId="3A82DB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1" w:type="dxa"/>
            <w:tcBorders>
              <w:top w:val="single" w:color="auto" w:sz="6" w:space="0"/>
              <w:bottom w:val="single" w:color="auto" w:sz="6" w:space="0"/>
            </w:tcBorders>
            <w:vAlign w:val="center"/>
          </w:tcPr>
          <w:p w14:paraId="337D3F3B">
            <w:pPr>
              <w:adjustRightInd w:val="0"/>
              <w:snapToGrid w:val="0"/>
              <w:spacing w:before="156" w:beforeLines="50" w:line="360" w:lineRule="auto"/>
              <w:jc w:val="center"/>
              <w:rPr>
                <w:rFonts w:ascii="宋体" w:hAnsi="宋体"/>
                <w:color w:val="auto"/>
                <w:szCs w:val="21"/>
                <w:highlight w:val="none"/>
              </w:rPr>
            </w:pPr>
            <w:r>
              <w:rPr>
                <w:rFonts w:hint="eastAsia" w:ascii="宋体" w:hAnsi="宋体"/>
                <w:color w:val="auto"/>
                <w:szCs w:val="21"/>
                <w:highlight w:val="none"/>
              </w:rPr>
              <w:t>第1.3</w:t>
            </w:r>
            <w:r>
              <w:rPr>
                <w:rFonts w:hint="eastAsia" w:ascii="宋体" w:hAnsi="宋体" w:cs="宋体"/>
                <w:color w:val="auto"/>
                <w:kern w:val="0"/>
                <w:szCs w:val="21"/>
                <w:highlight w:val="none"/>
                <w:lang w:val="zh-CN"/>
              </w:rPr>
              <w:t>款</w:t>
            </w:r>
          </w:p>
        </w:tc>
        <w:tc>
          <w:tcPr>
            <w:tcW w:w="2268" w:type="dxa"/>
            <w:gridSpan w:val="2"/>
            <w:tcBorders>
              <w:top w:val="single" w:color="auto" w:sz="6" w:space="0"/>
              <w:bottom w:val="single" w:color="auto" w:sz="6" w:space="0"/>
            </w:tcBorders>
            <w:vAlign w:val="center"/>
          </w:tcPr>
          <w:p w14:paraId="6E51C5BA">
            <w:pPr>
              <w:adjustRightInd w:val="0"/>
              <w:snapToGrid w:val="0"/>
              <w:spacing w:before="156" w:beforeLines="50" w:line="360" w:lineRule="auto"/>
              <w:jc w:val="center"/>
              <w:rPr>
                <w:rFonts w:ascii="宋体" w:hAnsi="宋体"/>
                <w:color w:val="auto"/>
                <w:szCs w:val="21"/>
                <w:highlight w:val="none"/>
              </w:rPr>
            </w:pPr>
            <w:r>
              <w:rPr>
                <w:rFonts w:hint="eastAsia" w:ascii="宋体" w:hAnsi="宋体"/>
                <w:color w:val="auto"/>
                <w:szCs w:val="21"/>
                <w:highlight w:val="none"/>
              </w:rPr>
              <w:t>评标方法</w:t>
            </w:r>
          </w:p>
        </w:tc>
        <w:tc>
          <w:tcPr>
            <w:tcW w:w="4820" w:type="dxa"/>
            <w:tcBorders>
              <w:top w:val="single" w:color="auto" w:sz="6" w:space="0"/>
              <w:bottom w:val="single" w:color="auto" w:sz="6" w:space="0"/>
            </w:tcBorders>
            <w:vAlign w:val="center"/>
          </w:tcPr>
          <w:p w14:paraId="08128395">
            <w:pPr>
              <w:snapToGrid w:val="0"/>
              <w:textAlignment w:val="baseline"/>
              <w:rPr>
                <w:rStyle w:val="49"/>
                <w:rFonts w:ascii="宋体" w:hAnsi="宋体"/>
                <w:color w:val="auto"/>
                <w:szCs w:val="21"/>
                <w:highlight w:val="none"/>
              </w:rPr>
            </w:pPr>
            <w:r>
              <w:rPr>
                <w:rFonts w:hint="eastAsia" w:ascii="宋体" w:hAnsi="宋体"/>
                <w:iCs/>
                <w:color w:val="auto"/>
                <w:szCs w:val="21"/>
                <w:highlight w:val="none"/>
              </w:rPr>
              <w:sym w:font="Wingdings" w:char="00FE"/>
            </w:r>
            <w:r>
              <w:rPr>
                <w:rFonts w:hint="eastAsia" w:ascii="宋体" w:hAnsi="宋体"/>
                <w:iCs/>
                <w:color w:val="auto"/>
                <w:szCs w:val="21"/>
                <w:highlight w:val="none"/>
              </w:rPr>
              <w:t xml:space="preserve"> </w:t>
            </w:r>
            <w:r>
              <w:rPr>
                <w:rStyle w:val="49"/>
                <w:rFonts w:ascii="宋体" w:hAnsi="宋体"/>
                <w:color w:val="auto"/>
                <w:szCs w:val="21"/>
                <w:highlight w:val="none"/>
              </w:rPr>
              <w:t>综合评分法</w:t>
            </w:r>
            <w:r>
              <w:rPr>
                <w:rStyle w:val="49"/>
                <w:rFonts w:hint="eastAsia" w:ascii="宋体" w:hAnsi="宋体"/>
                <w:color w:val="auto"/>
                <w:szCs w:val="21"/>
                <w:highlight w:val="none"/>
              </w:rPr>
              <w:t xml:space="preserve">   </w:t>
            </w:r>
          </w:p>
          <w:p w14:paraId="4796517E">
            <w:pPr>
              <w:snapToGrid w:val="0"/>
              <w:textAlignment w:val="baseline"/>
              <w:rPr>
                <w:rFonts w:ascii="宋体" w:hAnsi="宋体"/>
                <w:color w:val="auto"/>
                <w:szCs w:val="21"/>
                <w:highlight w:val="none"/>
              </w:rPr>
            </w:pP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 最低评标价法</w:t>
            </w:r>
          </w:p>
        </w:tc>
      </w:tr>
      <w:tr w14:paraId="65032A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1" w:type="dxa"/>
            <w:tcBorders>
              <w:top w:val="single" w:color="auto" w:sz="6" w:space="0"/>
              <w:bottom w:val="single" w:color="auto" w:sz="6" w:space="0"/>
            </w:tcBorders>
            <w:vAlign w:val="center"/>
          </w:tcPr>
          <w:p w14:paraId="4DB09447">
            <w:pPr>
              <w:adjustRightInd w:val="0"/>
              <w:snapToGrid w:val="0"/>
              <w:spacing w:before="156" w:beforeLines="50" w:line="360" w:lineRule="auto"/>
              <w:jc w:val="center"/>
              <w:rPr>
                <w:rFonts w:ascii="宋体" w:hAnsi="宋体"/>
                <w:color w:val="auto"/>
                <w:szCs w:val="21"/>
                <w:highlight w:val="none"/>
              </w:rPr>
            </w:pPr>
            <w:r>
              <w:rPr>
                <w:rFonts w:hint="eastAsia" w:ascii="宋体" w:hAnsi="宋体"/>
                <w:color w:val="auto"/>
                <w:szCs w:val="21"/>
                <w:highlight w:val="none"/>
              </w:rPr>
              <w:t>第3.4</w:t>
            </w:r>
            <w:r>
              <w:rPr>
                <w:rFonts w:hint="eastAsia" w:ascii="宋体" w:hAnsi="宋体" w:cs="宋体"/>
                <w:color w:val="auto"/>
                <w:kern w:val="0"/>
                <w:szCs w:val="21"/>
                <w:highlight w:val="none"/>
                <w:lang w:val="zh-CN"/>
              </w:rPr>
              <w:t>款</w:t>
            </w:r>
          </w:p>
        </w:tc>
        <w:tc>
          <w:tcPr>
            <w:tcW w:w="2268" w:type="dxa"/>
            <w:gridSpan w:val="2"/>
            <w:tcBorders>
              <w:top w:val="single" w:color="auto" w:sz="6" w:space="0"/>
              <w:bottom w:val="single" w:color="auto" w:sz="6" w:space="0"/>
            </w:tcBorders>
            <w:vAlign w:val="center"/>
          </w:tcPr>
          <w:p w14:paraId="14BE066D">
            <w:pPr>
              <w:adjustRightInd w:val="0"/>
              <w:snapToGrid w:val="0"/>
              <w:spacing w:before="156" w:beforeLines="50" w:line="360" w:lineRule="auto"/>
              <w:jc w:val="center"/>
              <w:rPr>
                <w:rFonts w:ascii="宋体" w:hAnsi="宋体"/>
                <w:bCs/>
                <w:color w:val="auto"/>
                <w:szCs w:val="21"/>
                <w:highlight w:val="none"/>
              </w:rPr>
            </w:pPr>
            <w:r>
              <w:rPr>
                <w:rFonts w:hint="eastAsia" w:ascii="宋体" w:hAnsi="宋体"/>
                <w:bCs/>
                <w:color w:val="auto"/>
                <w:szCs w:val="21"/>
                <w:highlight w:val="none"/>
              </w:rPr>
              <w:t>非单一产品采购项目的核心产品</w:t>
            </w:r>
          </w:p>
        </w:tc>
        <w:tc>
          <w:tcPr>
            <w:tcW w:w="4820" w:type="dxa"/>
            <w:tcBorders>
              <w:top w:val="single" w:color="auto" w:sz="6" w:space="0"/>
              <w:bottom w:val="single" w:color="auto" w:sz="6" w:space="0"/>
            </w:tcBorders>
            <w:vAlign w:val="center"/>
          </w:tcPr>
          <w:p w14:paraId="5DE5C8F0">
            <w:pPr>
              <w:pStyle w:val="48"/>
              <w:widowControl/>
              <w:ind w:firstLine="0" w:firstLineChars="0"/>
              <w:jc w:val="left"/>
              <w:rPr>
                <w:rStyle w:val="49"/>
                <w:color w:val="auto"/>
                <w:szCs w:val="21"/>
                <w:highlight w:val="none"/>
              </w:rPr>
            </w:pPr>
            <w:r>
              <w:rPr>
                <w:rStyle w:val="49"/>
                <w:color w:val="auto"/>
                <w:szCs w:val="21"/>
                <w:highlight w:val="none"/>
              </w:rPr>
              <w:t>本项目确定的核心产品为：</w:t>
            </w:r>
          </w:p>
          <w:p w14:paraId="381BC356">
            <w:pPr>
              <w:pStyle w:val="48"/>
              <w:widowControl/>
              <w:ind w:firstLine="0" w:firstLineChars="0"/>
              <w:jc w:val="left"/>
              <w:rPr>
                <w:rStyle w:val="49"/>
                <w:rFonts w:hint="eastAsia" w:ascii="Times New Roman" w:hAnsi="Times New Roman" w:cs="Times New Roman"/>
                <w:color w:val="auto"/>
                <w:szCs w:val="21"/>
                <w:highlight w:val="none"/>
                <w:lang w:val="en-US" w:eastAsia="zh-CN"/>
              </w:rPr>
            </w:pPr>
            <w:r>
              <w:rPr>
                <w:rStyle w:val="49"/>
                <w:rFonts w:hint="eastAsia" w:ascii="Times New Roman" w:hAnsi="Times New Roman" w:cs="Times New Roman"/>
                <w:color w:val="auto"/>
                <w:szCs w:val="21"/>
                <w:highlight w:val="none"/>
                <w:lang w:val="en-US" w:eastAsia="zh-CN"/>
              </w:rPr>
              <w:t>包1：</w:t>
            </w:r>
            <w:r>
              <w:rPr>
                <w:rStyle w:val="49"/>
                <w:rFonts w:hint="eastAsia" w:cs="Times New Roman"/>
                <w:color w:val="auto"/>
                <w:szCs w:val="21"/>
                <w:highlight w:val="none"/>
                <w:lang w:val="en-US" w:eastAsia="zh-CN"/>
              </w:rPr>
              <w:t>高通量测序仪</w:t>
            </w:r>
          </w:p>
          <w:p w14:paraId="7428305C">
            <w:pPr>
              <w:pStyle w:val="48"/>
              <w:widowControl/>
              <w:ind w:firstLine="0" w:firstLineChars="0"/>
              <w:jc w:val="left"/>
              <w:rPr>
                <w:rStyle w:val="49"/>
                <w:rFonts w:hint="eastAsia" w:ascii="Times New Roman" w:hAnsi="Times New Roman" w:cs="Times New Roman"/>
                <w:color w:val="auto"/>
                <w:szCs w:val="21"/>
                <w:highlight w:val="none"/>
                <w:lang w:val="en-US" w:eastAsia="zh-CN"/>
              </w:rPr>
            </w:pPr>
            <w:r>
              <w:rPr>
                <w:rStyle w:val="49"/>
                <w:rFonts w:hint="eastAsia" w:ascii="Times New Roman" w:hAnsi="Times New Roman" w:cs="Times New Roman"/>
                <w:color w:val="auto"/>
                <w:szCs w:val="21"/>
                <w:highlight w:val="none"/>
                <w:lang w:val="en-US" w:eastAsia="zh-CN"/>
              </w:rPr>
              <w:t>包2：两虫检测自动识别系统</w:t>
            </w:r>
          </w:p>
          <w:p w14:paraId="6AB0BAEC">
            <w:pPr>
              <w:pStyle w:val="48"/>
              <w:widowControl/>
              <w:ind w:firstLine="0" w:firstLineChars="0"/>
              <w:jc w:val="left"/>
              <w:rPr>
                <w:rStyle w:val="49"/>
                <w:rFonts w:hint="default" w:ascii="Times New Roman" w:hAnsi="Times New Roman" w:cs="Times New Roman"/>
                <w:color w:val="auto"/>
                <w:szCs w:val="21"/>
                <w:highlight w:val="none"/>
                <w:lang w:val="en-US" w:eastAsia="zh-CN"/>
              </w:rPr>
            </w:pPr>
            <w:r>
              <w:rPr>
                <w:rFonts w:hint="eastAsia" w:ascii="宋体" w:hAnsi="宋体"/>
                <w:color w:val="auto"/>
                <w:szCs w:val="21"/>
                <w:highlight w:val="none"/>
                <w:lang w:val="en-US" w:eastAsia="zh-CN"/>
              </w:rPr>
              <w:t>注：</w:t>
            </w:r>
            <w:r>
              <w:rPr>
                <w:rFonts w:hint="eastAsia" w:ascii="宋体" w:hAnsi="宋体"/>
                <w:color w:val="auto"/>
                <w:szCs w:val="21"/>
                <w:highlight w:val="none"/>
              </w:rPr>
              <w:t>多家投标人提供的核心产品品牌相同的，视为相同品牌，提供相同品牌产品的不同投标人参加同一合同项下投标的，按一家投标人计算。提供不同品牌产品的投标人不足三家的，应予废标。</w:t>
            </w:r>
          </w:p>
        </w:tc>
      </w:tr>
      <w:tr w14:paraId="47C6FC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1" w:type="dxa"/>
            <w:tcBorders>
              <w:top w:val="single" w:color="auto" w:sz="6" w:space="0"/>
              <w:bottom w:val="single" w:color="auto" w:sz="6" w:space="0"/>
            </w:tcBorders>
            <w:vAlign w:val="center"/>
          </w:tcPr>
          <w:p w14:paraId="7AC083D1">
            <w:pPr>
              <w:adjustRightInd w:val="0"/>
              <w:snapToGrid w:val="0"/>
              <w:spacing w:before="156" w:beforeLines="50" w:line="360" w:lineRule="auto"/>
              <w:jc w:val="center"/>
              <w:rPr>
                <w:rFonts w:ascii="宋体" w:hAnsi="宋体"/>
                <w:color w:val="auto"/>
                <w:szCs w:val="21"/>
                <w:highlight w:val="none"/>
              </w:rPr>
            </w:pPr>
            <w:r>
              <w:rPr>
                <w:rFonts w:hint="eastAsia" w:ascii="宋体" w:hAnsi="宋体"/>
                <w:color w:val="auto"/>
                <w:szCs w:val="21"/>
                <w:highlight w:val="none"/>
              </w:rPr>
              <w:t>第4.2</w:t>
            </w:r>
            <w:r>
              <w:rPr>
                <w:rFonts w:hint="eastAsia" w:ascii="宋体" w:hAnsi="宋体" w:cs="宋体"/>
                <w:color w:val="auto"/>
                <w:kern w:val="0"/>
                <w:szCs w:val="21"/>
                <w:highlight w:val="none"/>
                <w:lang w:val="zh-CN"/>
              </w:rPr>
              <w:t>款</w:t>
            </w:r>
          </w:p>
        </w:tc>
        <w:tc>
          <w:tcPr>
            <w:tcW w:w="2268" w:type="dxa"/>
            <w:gridSpan w:val="2"/>
            <w:tcBorders>
              <w:top w:val="single" w:color="auto" w:sz="6" w:space="0"/>
              <w:bottom w:val="single" w:color="auto" w:sz="6" w:space="0"/>
            </w:tcBorders>
            <w:vAlign w:val="center"/>
          </w:tcPr>
          <w:p w14:paraId="271A6DA5">
            <w:pPr>
              <w:adjustRightInd w:val="0"/>
              <w:snapToGrid w:val="0"/>
              <w:spacing w:before="156" w:beforeLines="50" w:line="360" w:lineRule="auto"/>
              <w:jc w:val="center"/>
              <w:rPr>
                <w:rFonts w:ascii="宋体" w:hAnsi="宋体"/>
                <w:color w:val="auto"/>
                <w:szCs w:val="21"/>
                <w:highlight w:val="none"/>
              </w:rPr>
            </w:pPr>
            <w:r>
              <w:rPr>
                <w:rFonts w:hint="eastAsia" w:ascii="宋体" w:hAnsi="宋体"/>
                <w:color w:val="auto"/>
                <w:szCs w:val="21"/>
                <w:highlight w:val="none"/>
              </w:rPr>
              <w:t>投标文件报价出现前后不一致的修正</w:t>
            </w:r>
          </w:p>
        </w:tc>
        <w:tc>
          <w:tcPr>
            <w:tcW w:w="4820" w:type="dxa"/>
            <w:tcBorders>
              <w:top w:val="single" w:color="auto" w:sz="6" w:space="0"/>
              <w:bottom w:val="single" w:color="auto" w:sz="6" w:space="0"/>
            </w:tcBorders>
            <w:vAlign w:val="center"/>
          </w:tcPr>
          <w:p w14:paraId="1A4C97A5">
            <w:pPr>
              <w:snapToGrid w:val="0"/>
              <w:textAlignment w:val="baseline"/>
              <w:rPr>
                <w:color w:val="auto"/>
                <w:szCs w:val="21"/>
                <w:highlight w:val="none"/>
              </w:rPr>
            </w:pPr>
            <w:r>
              <w:rPr>
                <w:rStyle w:val="49"/>
                <w:color w:val="auto"/>
                <w:szCs w:val="21"/>
                <w:highlight w:val="none"/>
              </w:rPr>
              <w:t>按本章第二节第4.2款规定修正。</w:t>
            </w:r>
          </w:p>
        </w:tc>
      </w:tr>
      <w:tr w14:paraId="276FEF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1" w:type="dxa"/>
            <w:tcBorders>
              <w:top w:val="single" w:color="auto" w:sz="6" w:space="0"/>
              <w:bottom w:val="single" w:color="auto" w:sz="6" w:space="0"/>
            </w:tcBorders>
            <w:vAlign w:val="center"/>
          </w:tcPr>
          <w:p w14:paraId="450D69DB">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第5.2（1）</w:t>
            </w:r>
            <w:r>
              <w:rPr>
                <w:rFonts w:hint="eastAsia" w:ascii="宋体" w:hAnsi="宋体" w:cs="宋体"/>
                <w:color w:val="auto"/>
                <w:kern w:val="0"/>
                <w:szCs w:val="21"/>
                <w:highlight w:val="none"/>
                <w:lang w:val="zh-CN"/>
              </w:rPr>
              <w:t>项</w:t>
            </w:r>
          </w:p>
        </w:tc>
        <w:tc>
          <w:tcPr>
            <w:tcW w:w="2268" w:type="dxa"/>
            <w:gridSpan w:val="2"/>
            <w:tcBorders>
              <w:top w:val="single" w:color="auto" w:sz="6" w:space="0"/>
              <w:bottom w:val="single" w:color="auto" w:sz="6" w:space="0"/>
            </w:tcBorders>
            <w:vAlign w:val="center"/>
          </w:tcPr>
          <w:p w14:paraId="7311CDC4">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相同品牌产品投标报价相同的</w:t>
            </w:r>
          </w:p>
        </w:tc>
        <w:tc>
          <w:tcPr>
            <w:tcW w:w="4820" w:type="dxa"/>
            <w:tcBorders>
              <w:top w:val="single" w:color="auto" w:sz="6" w:space="0"/>
              <w:bottom w:val="single" w:color="auto" w:sz="6" w:space="0"/>
            </w:tcBorders>
            <w:vAlign w:val="center"/>
          </w:tcPr>
          <w:p w14:paraId="0B973464">
            <w:pPr>
              <w:snapToGrid w:val="0"/>
              <w:textAlignment w:val="baseline"/>
              <w:rPr>
                <w:color w:val="auto"/>
                <w:szCs w:val="21"/>
                <w:highlight w:val="none"/>
              </w:rPr>
            </w:pPr>
            <w:r>
              <w:rPr>
                <w:rStyle w:val="49"/>
                <w:color w:val="auto"/>
                <w:szCs w:val="21"/>
                <w:highlight w:val="none"/>
              </w:rPr>
              <w:t>由业主评委直接确定，业主方未委派评委的由评标组长现场随机抽签确定（最低评标价法）。</w:t>
            </w:r>
          </w:p>
        </w:tc>
      </w:tr>
      <w:tr w14:paraId="0BEDEC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1" w:type="dxa"/>
            <w:tcBorders>
              <w:top w:val="single" w:color="auto" w:sz="6" w:space="0"/>
              <w:bottom w:val="single" w:color="auto" w:sz="6" w:space="0"/>
            </w:tcBorders>
            <w:vAlign w:val="center"/>
          </w:tcPr>
          <w:p w14:paraId="73499707">
            <w:pPr>
              <w:adjustRightInd w:val="0"/>
              <w:snapToGrid w:val="0"/>
              <w:spacing w:before="156" w:beforeLines="50" w:line="360" w:lineRule="auto"/>
              <w:jc w:val="center"/>
              <w:rPr>
                <w:rFonts w:ascii="宋体" w:hAnsi="宋体"/>
                <w:color w:val="auto"/>
                <w:szCs w:val="21"/>
                <w:highlight w:val="none"/>
              </w:rPr>
            </w:pPr>
            <w:r>
              <w:rPr>
                <w:rFonts w:hint="eastAsia" w:ascii="宋体" w:hAnsi="宋体"/>
                <w:color w:val="auto"/>
                <w:szCs w:val="21"/>
                <w:highlight w:val="none"/>
              </w:rPr>
              <w:t>第5.2（2）</w:t>
            </w:r>
            <w:r>
              <w:rPr>
                <w:rFonts w:hint="eastAsia" w:ascii="宋体" w:hAnsi="宋体" w:cs="宋体"/>
                <w:color w:val="auto"/>
                <w:kern w:val="0"/>
                <w:szCs w:val="21"/>
                <w:highlight w:val="none"/>
                <w:lang w:val="zh-CN"/>
              </w:rPr>
              <w:t>项</w:t>
            </w:r>
          </w:p>
        </w:tc>
        <w:tc>
          <w:tcPr>
            <w:tcW w:w="2268" w:type="dxa"/>
            <w:gridSpan w:val="2"/>
            <w:tcBorders>
              <w:top w:val="single" w:color="auto" w:sz="6" w:space="0"/>
              <w:bottom w:val="single" w:color="auto" w:sz="6" w:space="0"/>
            </w:tcBorders>
            <w:vAlign w:val="center"/>
          </w:tcPr>
          <w:p w14:paraId="7A7DD21F">
            <w:pPr>
              <w:adjustRightInd w:val="0"/>
              <w:snapToGrid w:val="0"/>
              <w:spacing w:before="156" w:beforeLines="50" w:line="360" w:lineRule="auto"/>
              <w:jc w:val="center"/>
              <w:rPr>
                <w:rFonts w:ascii="宋体" w:hAnsi="宋体"/>
                <w:bCs/>
                <w:color w:val="auto"/>
                <w:szCs w:val="21"/>
                <w:highlight w:val="none"/>
              </w:rPr>
            </w:pPr>
            <w:r>
              <w:rPr>
                <w:rFonts w:hint="eastAsia" w:ascii="宋体" w:hAnsi="宋体"/>
                <w:bCs/>
                <w:color w:val="auto"/>
                <w:szCs w:val="21"/>
                <w:highlight w:val="none"/>
              </w:rPr>
              <w:t>相同品牌产品评审得分相同的规定</w:t>
            </w:r>
          </w:p>
        </w:tc>
        <w:tc>
          <w:tcPr>
            <w:tcW w:w="4820" w:type="dxa"/>
            <w:tcBorders>
              <w:top w:val="single" w:color="auto" w:sz="6" w:space="0"/>
              <w:bottom w:val="single" w:color="auto" w:sz="6" w:space="0"/>
            </w:tcBorders>
            <w:vAlign w:val="center"/>
          </w:tcPr>
          <w:p w14:paraId="4759D5F6">
            <w:pPr>
              <w:snapToGrid w:val="0"/>
              <w:textAlignment w:val="baseline"/>
              <w:rPr>
                <w:color w:val="auto"/>
                <w:szCs w:val="21"/>
                <w:highlight w:val="none"/>
              </w:rPr>
            </w:pPr>
            <w:r>
              <w:rPr>
                <w:rStyle w:val="49"/>
                <w:color w:val="auto"/>
                <w:szCs w:val="21"/>
                <w:highlight w:val="none"/>
              </w:rPr>
              <w:t>由业主评委直接确定，业主方未委派评委的由评标组长现场随机抽签确定（综合评分法）。</w:t>
            </w:r>
          </w:p>
        </w:tc>
      </w:tr>
      <w:tr w14:paraId="75DE6B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10" w:hRule="atLeast"/>
        </w:trPr>
        <w:tc>
          <w:tcPr>
            <w:tcW w:w="1701" w:type="dxa"/>
            <w:tcBorders>
              <w:top w:val="single" w:color="auto" w:sz="6" w:space="0"/>
            </w:tcBorders>
            <w:vAlign w:val="center"/>
          </w:tcPr>
          <w:p w14:paraId="288213C8">
            <w:pPr>
              <w:adjustRightInd w:val="0"/>
              <w:snapToGrid w:val="0"/>
              <w:spacing w:before="156" w:beforeLines="50" w:line="360" w:lineRule="auto"/>
              <w:jc w:val="center"/>
              <w:rPr>
                <w:rFonts w:ascii="宋体" w:hAnsi="宋体"/>
                <w:color w:val="auto"/>
                <w:szCs w:val="21"/>
                <w:highlight w:val="none"/>
              </w:rPr>
            </w:pPr>
            <w:r>
              <w:rPr>
                <w:rFonts w:hint="eastAsia" w:ascii="宋体" w:hAnsi="宋体"/>
                <w:color w:val="auto"/>
                <w:szCs w:val="21"/>
                <w:highlight w:val="none"/>
              </w:rPr>
              <w:t>第5.4（1）</w:t>
            </w:r>
            <w:r>
              <w:rPr>
                <w:rFonts w:hint="eastAsia" w:ascii="宋体" w:hAnsi="宋体" w:cs="宋体"/>
                <w:color w:val="auto"/>
                <w:kern w:val="0"/>
                <w:szCs w:val="21"/>
                <w:highlight w:val="none"/>
                <w:lang w:val="zh-CN"/>
              </w:rPr>
              <w:t>项</w:t>
            </w:r>
          </w:p>
        </w:tc>
        <w:tc>
          <w:tcPr>
            <w:tcW w:w="2268" w:type="dxa"/>
            <w:gridSpan w:val="2"/>
            <w:tcBorders>
              <w:top w:val="single" w:color="auto" w:sz="6" w:space="0"/>
            </w:tcBorders>
            <w:vAlign w:val="center"/>
          </w:tcPr>
          <w:p w14:paraId="16BC25CA">
            <w:pPr>
              <w:adjustRightInd w:val="0"/>
              <w:snapToGrid w:val="0"/>
              <w:spacing w:before="156" w:beforeLines="50" w:line="360" w:lineRule="auto"/>
              <w:jc w:val="center"/>
              <w:rPr>
                <w:rFonts w:ascii="宋体" w:hAnsi="宋体"/>
                <w:color w:val="auto"/>
                <w:szCs w:val="21"/>
                <w:highlight w:val="none"/>
              </w:rPr>
            </w:pPr>
            <w:r>
              <w:rPr>
                <w:rFonts w:hint="eastAsia" w:ascii="宋体" w:hAnsi="宋体"/>
                <w:color w:val="auto"/>
                <w:szCs w:val="21"/>
                <w:highlight w:val="none"/>
              </w:rPr>
              <w:t>价格评审优惠</w:t>
            </w:r>
          </w:p>
        </w:tc>
        <w:tc>
          <w:tcPr>
            <w:tcW w:w="4820" w:type="dxa"/>
            <w:tcBorders>
              <w:top w:val="single" w:color="auto" w:sz="6" w:space="0"/>
              <w:bottom w:val="single" w:color="auto" w:sz="6" w:space="0"/>
            </w:tcBorders>
            <w:vAlign w:val="center"/>
          </w:tcPr>
          <w:p w14:paraId="698C55F8">
            <w:pPr>
              <w:keepNext w:val="0"/>
              <w:keepLines w:val="0"/>
              <w:pageBreakBefore w:val="0"/>
              <w:widowControl w:val="0"/>
              <w:kinsoku/>
              <w:wordWrap/>
              <w:overflowPunct/>
              <w:topLinePunct w:val="0"/>
              <w:autoSpaceDE/>
              <w:autoSpaceDN/>
              <w:bidi w:val="0"/>
              <w:adjustRightInd w:val="0"/>
              <w:snapToGrid w:val="0"/>
              <w:spacing w:line="360" w:lineRule="auto"/>
              <w:rPr>
                <w:rFonts w:hint="eastAsia" w:ascii="宋体" w:hAnsi="宋体" w:eastAsia="宋体" w:cs="宋体"/>
                <w:b w:val="0"/>
                <w:bCs w:val="0"/>
                <w:color w:val="000000"/>
                <w:sz w:val="20"/>
                <w:szCs w:val="20"/>
              </w:rPr>
            </w:pPr>
            <w:r>
              <w:rPr>
                <w:rFonts w:hint="eastAsia" w:ascii="宋体" w:hAnsi="宋体" w:eastAsia="宋体" w:cs="宋体"/>
                <w:b w:val="0"/>
                <w:bCs w:val="0"/>
                <w:color w:val="000000"/>
                <w:sz w:val="20"/>
                <w:szCs w:val="20"/>
              </w:rPr>
              <w:t xml:space="preserve">①对于经主管预算单位统筹后未预留份额专门面向中小企业采购的采购项目，以及预留份额项目中的非预留部分采购包，采购人、采购代理机构应当对符合《政府采购促进中小企业发展管理办法》规定的小微企业报价给予 </w:t>
            </w:r>
            <w:r>
              <w:rPr>
                <w:rFonts w:ascii="Times New Roman PS MT" w:hAnsi="Times New Roman PS MT" w:eastAsia="Times New Roman PS MT" w:cs="Times New Roman PS MT"/>
                <w:b w:val="0"/>
                <w:bCs w:val="0"/>
                <w:color w:val="000000"/>
                <w:sz w:val="20"/>
                <w:szCs w:val="20"/>
              </w:rPr>
              <w:t>10%</w:t>
            </w:r>
            <w:r>
              <w:rPr>
                <w:rFonts w:hint="eastAsia" w:ascii="宋体" w:hAnsi="宋体" w:eastAsia="宋体" w:cs="宋体"/>
                <w:b w:val="0"/>
                <w:bCs w:val="0"/>
                <w:color w:val="000000"/>
                <w:sz w:val="20"/>
                <w:szCs w:val="20"/>
              </w:rPr>
              <w:t>—</w:t>
            </w:r>
            <w:r>
              <w:rPr>
                <w:rFonts w:hint="default" w:ascii="Times New Roman PS MT" w:hAnsi="Times New Roman PS MT" w:eastAsia="Times New Roman PS MT" w:cs="Times New Roman PS MT"/>
                <w:b w:val="0"/>
                <w:bCs w:val="0"/>
                <w:color w:val="000000"/>
                <w:sz w:val="20"/>
                <w:szCs w:val="20"/>
              </w:rPr>
              <w:t>20%</w:t>
            </w:r>
            <w:r>
              <w:rPr>
                <w:rFonts w:hint="eastAsia" w:ascii="宋体" w:hAnsi="宋体" w:eastAsia="宋体" w:cs="宋体"/>
                <w:b w:val="0"/>
                <w:bCs w:val="0"/>
                <w:color w:val="000000"/>
                <w:sz w:val="20"/>
                <w:szCs w:val="20"/>
              </w:rPr>
              <w:t xml:space="preserve">（工程项目为 </w:t>
            </w:r>
            <w:r>
              <w:rPr>
                <w:rFonts w:hint="default" w:ascii="Times New Roman PS MT" w:hAnsi="Times New Roman PS MT" w:eastAsia="Times New Roman PS MT" w:cs="Times New Roman PS MT"/>
                <w:b w:val="0"/>
                <w:bCs w:val="0"/>
                <w:color w:val="000000"/>
                <w:sz w:val="20"/>
                <w:szCs w:val="20"/>
              </w:rPr>
              <w:t>6%</w:t>
            </w:r>
            <w:r>
              <w:rPr>
                <w:rFonts w:hint="eastAsia" w:ascii="宋体" w:hAnsi="宋体" w:eastAsia="宋体" w:cs="宋体"/>
                <w:b w:val="0"/>
                <w:bCs w:val="0"/>
                <w:color w:val="000000"/>
                <w:sz w:val="20"/>
                <w:szCs w:val="20"/>
              </w:rPr>
              <w:t>—</w:t>
            </w:r>
            <w:r>
              <w:rPr>
                <w:rFonts w:hint="default" w:ascii="Times New Roman PS MT" w:hAnsi="Times New Roman PS MT" w:eastAsia="Times New Roman PS MT" w:cs="Times New Roman PS MT"/>
                <w:b w:val="0"/>
                <w:bCs w:val="0"/>
                <w:color w:val="000000"/>
                <w:sz w:val="20"/>
                <w:szCs w:val="20"/>
              </w:rPr>
              <w:t>10%</w:t>
            </w:r>
            <w:r>
              <w:rPr>
                <w:rFonts w:hint="eastAsia" w:ascii="宋体" w:hAnsi="宋体" w:eastAsia="宋体" w:cs="宋体"/>
                <w:b w:val="0"/>
                <w:bCs w:val="0"/>
                <w:color w:val="000000"/>
                <w:sz w:val="20"/>
                <w:szCs w:val="20"/>
              </w:rPr>
              <w:t>）的扣除，用扣除后的价格参加评审。 具体扣除比例如下： ■货物采购：货物由中小企业制造，即货物由中小企业生产且使用该中小企业商号或者注册商标。本项目给予小微企业</w:t>
            </w:r>
            <w:r>
              <w:rPr>
                <w:rFonts w:hint="eastAsia" w:ascii="宋体" w:hAnsi="宋体" w:eastAsia="宋体" w:cs="宋体"/>
                <w:b w:val="0"/>
                <w:bCs w:val="0"/>
                <w:color w:val="000000"/>
                <w:sz w:val="20"/>
                <w:szCs w:val="20"/>
                <w:u w:val="single"/>
              </w:rPr>
              <w:t xml:space="preserve"> </w:t>
            </w:r>
            <w:r>
              <w:rPr>
                <w:rFonts w:hint="eastAsia" w:ascii="宋体" w:hAnsi="宋体" w:cs="宋体"/>
                <w:b w:val="0"/>
                <w:bCs w:val="0"/>
                <w:color w:val="000000"/>
                <w:sz w:val="20"/>
                <w:szCs w:val="20"/>
                <w:u w:val="single"/>
                <w:lang w:val="en-US" w:eastAsia="zh-CN"/>
              </w:rPr>
              <w:t>10</w:t>
            </w:r>
            <w:r>
              <w:rPr>
                <w:rFonts w:hint="default" w:ascii="Times New Roman PS MT" w:hAnsi="Times New Roman PS MT" w:eastAsia="Times New Roman PS MT" w:cs="Times New Roman PS MT"/>
                <w:b w:val="0"/>
                <w:bCs w:val="0"/>
                <w:color w:val="000000"/>
                <w:sz w:val="20"/>
                <w:szCs w:val="20"/>
                <w:u w:val="single"/>
              </w:rPr>
              <w:t xml:space="preserve">% </w:t>
            </w:r>
            <w:r>
              <w:rPr>
                <w:rFonts w:hint="eastAsia" w:ascii="宋体" w:hAnsi="宋体" w:eastAsia="宋体" w:cs="宋体"/>
                <w:b w:val="0"/>
                <w:bCs w:val="0"/>
                <w:color w:val="000000"/>
                <w:sz w:val="20"/>
                <w:szCs w:val="20"/>
              </w:rPr>
              <w:t>的扣除。</w:t>
            </w:r>
          </w:p>
          <w:p w14:paraId="4BF8A735">
            <w:pPr>
              <w:keepNext w:val="0"/>
              <w:keepLines w:val="0"/>
              <w:pageBreakBefore w:val="0"/>
              <w:widowControl w:val="0"/>
              <w:kinsoku/>
              <w:wordWrap/>
              <w:overflowPunct/>
              <w:topLinePunct w:val="0"/>
              <w:autoSpaceDE/>
              <w:autoSpaceDN/>
              <w:bidi w:val="0"/>
              <w:adjustRightInd w:val="0"/>
              <w:snapToGrid w:val="0"/>
              <w:spacing w:line="360" w:lineRule="auto"/>
              <w:rPr>
                <w:rFonts w:hint="eastAsia" w:ascii="宋体" w:hAnsi="宋体" w:eastAsia="宋体" w:cs="宋体"/>
                <w:b/>
                <w:bCs/>
                <w:color w:val="000000"/>
                <w:sz w:val="20"/>
                <w:szCs w:val="20"/>
              </w:rPr>
            </w:pPr>
            <w:r>
              <w:rPr>
                <w:rFonts w:hint="eastAsia" w:ascii="宋体" w:hAnsi="宋体" w:eastAsia="宋体" w:cs="宋体"/>
                <w:b/>
                <w:bCs/>
                <w:color w:val="000000"/>
                <w:sz w:val="20"/>
                <w:szCs w:val="20"/>
              </w:rPr>
              <w:t>在货物采购项目中，供应商提供的货物既有中小企业制造货物，也有大型企业制造货物的，不享受中小企业扶持政策。</w:t>
            </w:r>
          </w:p>
          <w:p w14:paraId="3C1033B5">
            <w:pPr>
              <w:keepNext w:val="0"/>
              <w:keepLines w:val="0"/>
              <w:pageBreakBefore w:val="0"/>
              <w:widowControl w:val="0"/>
              <w:kinsoku/>
              <w:wordWrap/>
              <w:overflowPunct/>
              <w:topLinePunct w:val="0"/>
              <w:autoSpaceDE/>
              <w:autoSpaceDN/>
              <w:bidi w:val="0"/>
              <w:adjustRightInd w:val="0"/>
              <w:snapToGrid w:val="0"/>
              <w:spacing w:line="360" w:lineRule="auto"/>
              <w:rPr>
                <w:rFonts w:hint="eastAsia" w:ascii="宋体" w:hAnsi="宋体" w:eastAsia="宋体" w:cs="宋体"/>
                <w:b w:val="0"/>
                <w:bCs w:val="0"/>
                <w:color w:val="000000"/>
                <w:sz w:val="20"/>
                <w:szCs w:val="20"/>
              </w:rPr>
            </w:pPr>
            <w:r>
              <w:rPr>
                <w:rFonts w:hint="eastAsia" w:ascii="宋体" w:hAnsi="宋体" w:eastAsia="宋体" w:cs="宋体"/>
                <w:b w:val="0"/>
                <w:bCs w:val="0"/>
                <w:color w:val="000000"/>
                <w:sz w:val="20"/>
                <w:szCs w:val="20"/>
              </w:rPr>
              <w:t>□ 工程采购：工程由中小企业承建，即工程施工单位为</w:t>
            </w:r>
            <w:r>
              <w:rPr>
                <w:rFonts w:hint="eastAsia" w:ascii="宋体" w:hAnsi="宋体" w:eastAsia="宋体" w:cs="宋体"/>
                <w:b w:val="0"/>
                <w:bCs w:val="0"/>
                <w:color w:val="000000"/>
                <w:sz w:val="20"/>
                <w:szCs w:val="20"/>
                <w:lang w:eastAsia="zh-CN"/>
              </w:rPr>
              <w:t>中</w:t>
            </w:r>
            <w:r>
              <w:rPr>
                <w:rFonts w:hint="eastAsia" w:ascii="宋体" w:hAnsi="宋体" w:eastAsia="宋体" w:cs="宋体"/>
                <w:b w:val="0"/>
                <w:bCs w:val="0"/>
                <w:color w:val="000000"/>
                <w:sz w:val="20"/>
                <w:szCs w:val="20"/>
              </w:rPr>
              <w:t>小企业。本项目小微企业给予</w:t>
            </w:r>
            <w:r>
              <w:rPr>
                <w:rFonts w:hint="eastAsia" w:ascii="宋体" w:hAnsi="宋体" w:eastAsia="宋体" w:cs="宋体"/>
                <w:b w:val="0"/>
                <w:bCs w:val="0"/>
                <w:color w:val="000000"/>
                <w:sz w:val="20"/>
                <w:szCs w:val="20"/>
                <w:u w:val="single"/>
              </w:rPr>
              <w:t xml:space="preserve"> </w:t>
            </w:r>
            <w:r>
              <w:rPr>
                <w:rFonts w:ascii="Times New Roman PS MT" w:hAnsi="Times New Roman PS MT" w:eastAsia="Times New Roman PS MT" w:cs="Times New Roman PS MT"/>
                <w:b w:val="0"/>
                <w:bCs w:val="0"/>
                <w:color w:val="000000"/>
                <w:sz w:val="20"/>
                <w:szCs w:val="20"/>
                <w:u w:val="single"/>
              </w:rPr>
              <w:t xml:space="preserve">/ </w:t>
            </w:r>
            <w:r>
              <w:rPr>
                <w:rFonts w:hint="eastAsia" w:ascii="宋体" w:hAnsi="宋体" w:eastAsia="宋体" w:cs="宋体"/>
                <w:b w:val="0"/>
                <w:bCs w:val="0"/>
                <w:color w:val="000000"/>
                <w:sz w:val="20"/>
                <w:szCs w:val="20"/>
              </w:rPr>
              <w:t>的扣除。</w:t>
            </w:r>
          </w:p>
          <w:p w14:paraId="3A39E759">
            <w:pPr>
              <w:keepNext w:val="0"/>
              <w:keepLines w:val="0"/>
              <w:pageBreakBefore w:val="0"/>
              <w:widowControl w:val="0"/>
              <w:kinsoku/>
              <w:wordWrap/>
              <w:overflowPunct/>
              <w:topLinePunct w:val="0"/>
              <w:autoSpaceDE/>
              <w:autoSpaceDN/>
              <w:bidi w:val="0"/>
              <w:adjustRightInd w:val="0"/>
              <w:snapToGrid w:val="0"/>
              <w:spacing w:line="360" w:lineRule="auto"/>
              <w:rPr>
                <w:rFonts w:hint="eastAsia" w:ascii="宋体" w:hAnsi="宋体" w:eastAsia="宋体" w:cs="宋体"/>
                <w:b w:val="0"/>
                <w:bCs w:val="0"/>
                <w:color w:val="000000"/>
                <w:sz w:val="20"/>
                <w:szCs w:val="20"/>
              </w:rPr>
            </w:pPr>
            <w:r>
              <w:rPr>
                <w:rFonts w:hint="eastAsia" w:ascii="宋体" w:hAnsi="宋体" w:eastAsia="宋体" w:cs="宋体"/>
                <w:b w:val="0"/>
                <w:bCs w:val="0"/>
                <w:color w:val="000000"/>
                <w:sz w:val="20"/>
                <w:szCs w:val="20"/>
              </w:rPr>
              <w:t>□ 服务采购：服务由中小企业承接，即提供服务的人员为 中小企业依照《中华人民共和国劳动合同法》订立劳动合同 的从业人员。本项目小微企业给予</w:t>
            </w:r>
            <w:r>
              <w:rPr>
                <w:rFonts w:hint="eastAsia" w:ascii="宋体" w:hAnsi="宋体" w:eastAsia="宋体" w:cs="宋体"/>
                <w:b w:val="0"/>
                <w:bCs w:val="0"/>
                <w:color w:val="000000"/>
                <w:sz w:val="20"/>
                <w:szCs w:val="20"/>
                <w:u w:val="single"/>
              </w:rPr>
              <w:t xml:space="preserve"> </w:t>
            </w:r>
            <w:r>
              <w:rPr>
                <w:rFonts w:ascii="Times New Roman PS MT" w:hAnsi="Times New Roman PS MT" w:eastAsia="Times New Roman PS MT" w:cs="Times New Roman PS MT"/>
                <w:b w:val="0"/>
                <w:bCs w:val="0"/>
                <w:color w:val="000000"/>
                <w:sz w:val="20"/>
                <w:szCs w:val="20"/>
                <w:u w:val="single"/>
              </w:rPr>
              <w:t xml:space="preserve">/ </w:t>
            </w:r>
            <w:r>
              <w:rPr>
                <w:rFonts w:hint="eastAsia" w:ascii="宋体" w:hAnsi="宋体" w:eastAsia="宋体" w:cs="宋体"/>
                <w:b w:val="0"/>
                <w:bCs w:val="0"/>
                <w:color w:val="000000"/>
                <w:sz w:val="20"/>
                <w:szCs w:val="20"/>
              </w:rPr>
              <w:t xml:space="preserve">的扣除。 </w:t>
            </w:r>
          </w:p>
          <w:p w14:paraId="0881FE96">
            <w:pPr>
              <w:keepNext w:val="0"/>
              <w:keepLines w:val="0"/>
              <w:pageBreakBefore w:val="0"/>
              <w:widowControl w:val="0"/>
              <w:kinsoku/>
              <w:wordWrap/>
              <w:overflowPunct/>
              <w:topLinePunct w:val="0"/>
              <w:autoSpaceDE/>
              <w:autoSpaceDN/>
              <w:bidi w:val="0"/>
              <w:adjustRightInd w:val="0"/>
              <w:snapToGrid w:val="0"/>
              <w:spacing w:line="360" w:lineRule="auto"/>
              <w:rPr>
                <w:rFonts w:hint="eastAsia" w:ascii="宋体" w:hAnsi="宋体" w:eastAsia="宋体" w:cs="宋体"/>
                <w:b w:val="0"/>
                <w:bCs w:val="0"/>
                <w:color w:val="000000"/>
                <w:sz w:val="20"/>
                <w:szCs w:val="20"/>
              </w:rPr>
            </w:pPr>
            <w:r>
              <w:rPr>
                <w:rFonts w:hint="eastAsia" w:ascii="宋体" w:hAnsi="宋体" w:eastAsia="宋体" w:cs="宋体"/>
                <w:b w:val="0"/>
                <w:bCs w:val="0"/>
                <w:color w:val="000000"/>
                <w:sz w:val="20"/>
                <w:szCs w:val="20"/>
              </w:rPr>
              <w:t xml:space="preserve">②接受大中型企业与小微企业组成联合体或者允许大中型 企业向一家或者多家小微企业分包的采购项目，对于联合协 议或者分包意向协议约定小微企业的合同份额占到合同总金 额 </w:t>
            </w:r>
            <w:r>
              <w:rPr>
                <w:rFonts w:hint="default" w:ascii="Times New Roman PS MT" w:hAnsi="Times New Roman PS MT" w:eastAsia="Times New Roman PS MT" w:cs="Times New Roman PS MT"/>
                <w:b w:val="0"/>
                <w:bCs w:val="0"/>
                <w:color w:val="000000"/>
                <w:sz w:val="20"/>
                <w:szCs w:val="20"/>
              </w:rPr>
              <w:t>30%</w:t>
            </w:r>
            <w:r>
              <w:rPr>
                <w:rFonts w:hint="eastAsia" w:ascii="宋体" w:hAnsi="宋体" w:eastAsia="宋体" w:cs="宋体"/>
                <w:b w:val="0"/>
                <w:bCs w:val="0"/>
                <w:color w:val="000000"/>
                <w:sz w:val="20"/>
                <w:szCs w:val="20"/>
              </w:rPr>
              <w:t xml:space="preserve">以上的，采购人、采购代理机构应当对联合体或者大 中型企业的报价给予 </w:t>
            </w:r>
            <w:r>
              <w:rPr>
                <w:rFonts w:hint="default" w:ascii="Times New Roman PS MT" w:hAnsi="Times New Roman PS MT" w:eastAsia="Times New Roman PS MT" w:cs="Times New Roman PS MT"/>
                <w:b w:val="0"/>
                <w:bCs w:val="0"/>
                <w:color w:val="000000"/>
                <w:sz w:val="20"/>
                <w:szCs w:val="20"/>
              </w:rPr>
              <w:t>2%-3%</w:t>
            </w:r>
            <w:r>
              <w:rPr>
                <w:rFonts w:hint="eastAsia" w:ascii="宋体" w:hAnsi="宋体" w:eastAsia="宋体" w:cs="宋体"/>
                <w:b w:val="0"/>
                <w:bCs w:val="0"/>
                <w:color w:val="000000"/>
                <w:sz w:val="20"/>
                <w:szCs w:val="20"/>
              </w:rPr>
              <w:t xml:space="preserve">（工程项目为 </w:t>
            </w:r>
            <w:r>
              <w:rPr>
                <w:rFonts w:hint="default" w:ascii="Times New Roman PS MT" w:hAnsi="Times New Roman PS MT" w:eastAsia="Times New Roman PS MT" w:cs="Times New Roman PS MT"/>
                <w:b w:val="0"/>
                <w:bCs w:val="0"/>
                <w:color w:val="000000"/>
                <w:sz w:val="20"/>
                <w:szCs w:val="20"/>
              </w:rPr>
              <w:t>1%</w:t>
            </w:r>
            <w:r>
              <w:rPr>
                <w:rFonts w:hint="eastAsia" w:ascii="宋体" w:hAnsi="宋体" w:eastAsia="宋体" w:cs="宋体"/>
                <w:b w:val="0"/>
                <w:bCs w:val="0"/>
                <w:color w:val="000000"/>
                <w:sz w:val="20"/>
                <w:szCs w:val="20"/>
              </w:rPr>
              <w:t>—</w:t>
            </w:r>
            <w:r>
              <w:rPr>
                <w:rFonts w:hint="default" w:ascii="Times New Roman PS MT" w:hAnsi="Times New Roman PS MT" w:eastAsia="Times New Roman PS MT" w:cs="Times New Roman PS MT"/>
                <w:b w:val="0"/>
                <w:bCs w:val="0"/>
                <w:color w:val="000000"/>
                <w:sz w:val="20"/>
                <w:szCs w:val="20"/>
              </w:rPr>
              <w:t>2%</w:t>
            </w:r>
            <w:r>
              <w:rPr>
                <w:rFonts w:hint="eastAsia" w:ascii="宋体" w:hAnsi="宋体" w:eastAsia="宋体" w:cs="宋体"/>
                <w:b w:val="0"/>
                <w:bCs w:val="0"/>
                <w:color w:val="000000"/>
                <w:sz w:val="20"/>
                <w:szCs w:val="20"/>
              </w:rPr>
              <w:t xml:space="preserve">）的扣 除，用扣除后的价格参加评审。具体扣除比例如下： </w:t>
            </w:r>
          </w:p>
          <w:p w14:paraId="7E638522">
            <w:pPr>
              <w:keepNext w:val="0"/>
              <w:keepLines w:val="0"/>
              <w:pageBreakBefore w:val="0"/>
              <w:widowControl w:val="0"/>
              <w:kinsoku/>
              <w:wordWrap/>
              <w:overflowPunct/>
              <w:topLinePunct w:val="0"/>
              <w:autoSpaceDE/>
              <w:autoSpaceDN/>
              <w:bidi w:val="0"/>
              <w:adjustRightInd w:val="0"/>
              <w:snapToGrid w:val="0"/>
              <w:spacing w:line="360" w:lineRule="auto"/>
              <w:rPr>
                <w:rFonts w:hint="eastAsia" w:ascii="宋体" w:hAnsi="宋体" w:eastAsia="宋体" w:cs="宋体"/>
                <w:b w:val="0"/>
                <w:bCs w:val="0"/>
                <w:color w:val="000000"/>
                <w:sz w:val="20"/>
                <w:szCs w:val="20"/>
              </w:rPr>
            </w:pPr>
            <w:r>
              <w:rPr>
                <w:rFonts w:hint="eastAsia" w:ascii="宋体" w:hAnsi="宋体" w:eastAsia="宋体" w:cs="宋体"/>
                <w:b w:val="0"/>
                <w:bCs w:val="0"/>
                <w:color w:val="000000"/>
                <w:sz w:val="20"/>
                <w:szCs w:val="20"/>
              </w:rPr>
              <w:t>□ 货物采购：本项目扣除比例为</w:t>
            </w:r>
            <w:r>
              <w:rPr>
                <w:rFonts w:hint="eastAsia" w:ascii="宋体" w:hAnsi="宋体" w:eastAsia="宋体" w:cs="宋体"/>
                <w:b w:val="0"/>
                <w:bCs w:val="0"/>
                <w:color w:val="000000"/>
                <w:sz w:val="20"/>
                <w:szCs w:val="20"/>
                <w:u w:val="single"/>
              </w:rPr>
              <w:t xml:space="preserve"> </w:t>
            </w:r>
            <w:r>
              <w:rPr>
                <w:rFonts w:hint="default" w:ascii="Times New Roman PS MT" w:hAnsi="Times New Roman PS MT" w:eastAsia="Times New Roman PS MT" w:cs="Times New Roman PS MT"/>
                <w:b w:val="0"/>
                <w:bCs w:val="0"/>
                <w:color w:val="000000"/>
                <w:sz w:val="20"/>
                <w:szCs w:val="20"/>
                <w:u w:val="single"/>
              </w:rPr>
              <w:t xml:space="preserve">/ </w:t>
            </w:r>
            <w:r>
              <w:rPr>
                <w:rFonts w:hint="eastAsia" w:ascii="宋体" w:hAnsi="宋体" w:eastAsia="宋体" w:cs="宋体"/>
                <w:b w:val="0"/>
                <w:bCs w:val="0"/>
                <w:color w:val="000000"/>
                <w:sz w:val="20"/>
                <w:szCs w:val="20"/>
              </w:rPr>
              <w:t xml:space="preserve">。 </w:t>
            </w:r>
          </w:p>
          <w:p w14:paraId="3A731CB9">
            <w:pPr>
              <w:keepNext w:val="0"/>
              <w:keepLines w:val="0"/>
              <w:pageBreakBefore w:val="0"/>
              <w:widowControl w:val="0"/>
              <w:kinsoku/>
              <w:wordWrap/>
              <w:overflowPunct/>
              <w:topLinePunct w:val="0"/>
              <w:autoSpaceDE/>
              <w:autoSpaceDN/>
              <w:bidi w:val="0"/>
              <w:adjustRightInd w:val="0"/>
              <w:snapToGrid w:val="0"/>
              <w:spacing w:line="360" w:lineRule="auto"/>
              <w:rPr>
                <w:rFonts w:hint="eastAsia" w:ascii="宋体" w:hAnsi="宋体" w:eastAsia="宋体" w:cs="宋体"/>
                <w:b w:val="0"/>
                <w:bCs w:val="0"/>
                <w:color w:val="000000"/>
                <w:sz w:val="20"/>
                <w:szCs w:val="20"/>
              </w:rPr>
            </w:pPr>
            <w:r>
              <w:rPr>
                <w:rFonts w:hint="eastAsia" w:ascii="宋体" w:hAnsi="宋体" w:eastAsia="宋体" w:cs="宋体"/>
                <w:b w:val="0"/>
                <w:bCs w:val="0"/>
                <w:color w:val="000000"/>
                <w:sz w:val="20"/>
                <w:szCs w:val="20"/>
              </w:rPr>
              <w:t>□ 工程采购：本项目扣除比例为</w:t>
            </w:r>
            <w:r>
              <w:rPr>
                <w:rFonts w:hint="eastAsia" w:ascii="宋体" w:hAnsi="宋体" w:eastAsia="宋体" w:cs="宋体"/>
                <w:b w:val="0"/>
                <w:bCs w:val="0"/>
                <w:color w:val="000000"/>
                <w:sz w:val="20"/>
                <w:szCs w:val="20"/>
                <w:u w:val="single"/>
              </w:rPr>
              <w:t xml:space="preserve"> </w:t>
            </w:r>
            <w:r>
              <w:rPr>
                <w:rFonts w:hint="default" w:ascii="Times New Roman PS MT" w:hAnsi="Times New Roman PS MT" w:eastAsia="Times New Roman PS MT" w:cs="Times New Roman PS MT"/>
                <w:b w:val="0"/>
                <w:bCs w:val="0"/>
                <w:color w:val="000000"/>
                <w:sz w:val="20"/>
                <w:szCs w:val="20"/>
                <w:u w:val="single"/>
              </w:rPr>
              <w:t xml:space="preserve">/ </w:t>
            </w:r>
            <w:r>
              <w:rPr>
                <w:rFonts w:hint="eastAsia" w:ascii="宋体" w:hAnsi="宋体" w:eastAsia="宋体" w:cs="宋体"/>
                <w:b w:val="0"/>
                <w:bCs w:val="0"/>
                <w:color w:val="000000"/>
                <w:sz w:val="20"/>
                <w:szCs w:val="20"/>
              </w:rPr>
              <w:t>。</w:t>
            </w:r>
          </w:p>
          <w:p w14:paraId="0F3FF55B">
            <w:pPr>
              <w:keepNext w:val="0"/>
              <w:keepLines w:val="0"/>
              <w:pageBreakBefore w:val="0"/>
              <w:widowControl w:val="0"/>
              <w:kinsoku/>
              <w:wordWrap/>
              <w:overflowPunct/>
              <w:topLinePunct w:val="0"/>
              <w:autoSpaceDE/>
              <w:autoSpaceDN/>
              <w:bidi w:val="0"/>
              <w:adjustRightInd w:val="0"/>
              <w:snapToGrid w:val="0"/>
              <w:spacing w:line="360" w:lineRule="auto"/>
              <w:rPr>
                <w:rFonts w:hint="eastAsia" w:ascii="宋体" w:hAnsi="宋体" w:eastAsia="宋体" w:cs="宋体"/>
                <w:b/>
                <w:bCs/>
                <w:color w:val="000000"/>
                <w:sz w:val="20"/>
                <w:szCs w:val="20"/>
              </w:rPr>
            </w:pPr>
            <w:r>
              <w:rPr>
                <w:rFonts w:hint="eastAsia" w:ascii="宋体" w:hAnsi="宋体" w:eastAsia="宋体" w:cs="宋体"/>
                <w:b w:val="0"/>
                <w:bCs w:val="0"/>
                <w:color w:val="000000"/>
                <w:sz w:val="20"/>
                <w:szCs w:val="20"/>
              </w:rPr>
              <w:t>□ 服务采购：本项目扣除比例为</w:t>
            </w:r>
            <w:r>
              <w:rPr>
                <w:rFonts w:hint="eastAsia" w:ascii="宋体" w:hAnsi="宋体" w:eastAsia="宋体" w:cs="宋体"/>
                <w:b w:val="0"/>
                <w:bCs w:val="0"/>
                <w:color w:val="000000"/>
                <w:sz w:val="20"/>
                <w:szCs w:val="20"/>
                <w:u w:val="single"/>
              </w:rPr>
              <w:t xml:space="preserve"> </w:t>
            </w:r>
            <w:r>
              <w:rPr>
                <w:rFonts w:ascii="Times New Roman PS MT" w:hAnsi="Times New Roman PS MT" w:eastAsia="Times New Roman PS MT" w:cs="Times New Roman PS MT"/>
                <w:b w:val="0"/>
                <w:bCs w:val="0"/>
                <w:color w:val="000000"/>
                <w:sz w:val="20"/>
                <w:szCs w:val="20"/>
                <w:u w:val="single"/>
              </w:rPr>
              <w:t xml:space="preserve">/ </w:t>
            </w:r>
            <w:r>
              <w:rPr>
                <w:rFonts w:hint="eastAsia" w:ascii="宋体" w:hAnsi="宋体" w:eastAsia="宋体" w:cs="宋体"/>
                <w:b w:val="0"/>
                <w:bCs w:val="0"/>
                <w:color w:val="000000"/>
                <w:sz w:val="20"/>
                <w:szCs w:val="20"/>
              </w:rPr>
              <w:t xml:space="preserve">。 </w:t>
            </w:r>
            <w:r>
              <w:rPr>
                <w:rFonts w:hint="eastAsia" w:ascii="宋体" w:hAnsi="宋体" w:eastAsia="宋体" w:cs="宋体"/>
                <w:b/>
                <w:bCs/>
                <w:color w:val="000000"/>
                <w:sz w:val="20"/>
                <w:szCs w:val="20"/>
              </w:rPr>
              <w:t>（以联合体形式参加政府采购活动，联合体各方均为中小企业的，联合体视同中小企业。其中，联合体各方均为小微企业的，联合体视同小微企业。）</w:t>
            </w:r>
          </w:p>
          <w:p w14:paraId="5F405552">
            <w:pPr>
              <w:keepNext w:val="0"/>
              <w:keepLines w:val="0"/>
              <w:pageBreakBefore w:val="0"/>
              <w:widowControl w:val="0"/>
              <w:kinsoku/>
              <w:wordWrap/>
              <w:overflowPunct/>
              <w:topLinePunct w:val="0"/>
              <w:autoSpaceDE/>
              <w:autoSpaceDN/>
              <w:bidi w:val="0"/>
              <w:snapToGrid w:val="0"/>
              <w:spacing w:line="360" w:lineRule="auto"/>
              <w:textAlignment w:val="baseline"/>
              <w:rPr>
                <w:color w:val="auto"/>
                <w:szCs w:val="21"/>
                <w:highlight w:val="none"/>
              </w:rPr>
            </w:pPr>
            <w:r>
              <w:rPr>
                <w:rFonts w:hint="eastAsia" w:ascii="宋体" w:hAnsi="宋体" w:eastAsia="宋体" w:cs="宋体"/>
                <w:b/>
                <w:bCs/>
                <w:color w:val="000000"/>
                <w:sz w:val="20"/>
                <w:szCs w:val="20"/>
              </w:rPr>
              <w:t xml:space="preserve"> </w:t>
            </w:r>
            <w:r>
              <w:rPr>
                <w:rFonts w:hint="eastAsia" w:ascii="宋体" w:hAnsi="宋体" w:eastAsia="宋体" w:cs="宋体"/>
                <w:b w:val="0"/>
                <w:bCs w:val="0"/>
                <w:color w:val="000000"/>
                <w:sz w:val="20"/>
                <w:szCs w:val="20"/>
              </w:rPr>
              <w:t>③监狱企业、残疾人福利性单位视同小型、微型企业， 享受评审中价格扣除等促进中小企业发展的政府采购政策。 用扣除后的价格参与评审，本项目具体扣除比例为</w:t>
            </w:r>
            <w:r>
              <w:rPr>
                <w:rFonts w:hint="eastAsia" w:ascii="宋体" w:hAnsi="宋体" w:eastAsia="宋体" w:cs="宋体"/>
                <w:b w:val="0"/>
                <w:bCs w:val="0"/>
                <w:color w:val="000000"/>
                <w:sz w:val="20"/>
                <w:szCs w:val="20"/>
                <w:u w:val="single"/>
              </w:rPr>
              <w:t xml:space="preserve"> </w:t>
            </w:r>
            <w:r>
              <w:rPr>
                <w:rFonts w:hint="eastAsia" w:ascii="宋体" w:hAnsi="宋体" w:cs="宋体"/>
                <w:b w:val="0"/>
                <w:bCs w:val="0"/>
                <w:color w:val="000000"/>
                <w:sz w:val="20"/>
                <w:szCs w:val="20"/>
                <w:u w:val="single"/>
                <w:lang w:val="en-US" w:eastAsia="zh-CN"/>
              </w:rPr>
              <w:t>2</w:t>
            </w:r>
            <w:r>
              <w:rPr>
                <w:rFonts w:hint="default" w:ascii="宋体" w:hAnsi="宋体" w:eastAsia="宋体" w:cs="宋体"/>
                <w:b w:val="0"/>
                <w:bCs w:val="0"/>
                <w:color w:val="000000"/>
                <w:sz w:val="20"/>
                <w:szCs w:val="20"/>
                <w:u w:val="single"/>
              </w:rPr>
              <w:t xml:space="preserve">0 </w:t>
            </w:r>
            <w:r>
              <w:rPr>
                <w:rFonts w:hint="eastAsia" w:ascii="宋体" w:hAnsi="宋体" w:eastAsia="宋体" w:cs="宋体"/>
                <w:b w:val="0"/>
                <w:bCs w:val="0"/>
                <w:color w:val="000000"/>
                <w:sz w:val="20"/>
                <w:szCs w:val="20"/>
              </w:rPr>
              <w:t xml:space="preserve">％。 </w:t>
            </w:r>
            <w:r>
              <w:rPr>
                <w:rFonts w:hint="eastAsia" w:ascii="宋体" w:hAnsi="宋体" w:eastAsia="宋体" w:cs="宋体"/>
                <w:b/>
                <w:bCs/>
                <w:color w:val="000000"/>
                <w:sz w:val="20"/>
                <w:szCs w:val="20"/>
              </w:rPr>
              <w:t>（监狱企业、残疾人福利性单位同时属于小型、微型企业的，不重复享受价格评审优惠政策）</w:t>
            </w:r>
          </w:p>
        </w:tc>
      </w:tr>
      <w:tr w14:paraId="3400A8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1" w:type="dxa"/>
            <w:vMerge w:val="restart"/>
            <w:tcBorders>
              <w:top w:val="single" w:color="auto" w:sz="6" w:space="0"/>
              <w:bottom w:val="single" w:color="auto" w:sz="6" w:space="0"/>
              <w:right w:val="single" w:color="auto" w:sz="6" w:space="0"/>
            </w:tcBorders>
            <w:vAlign w:val="center"/>
          </w:tcPr>
          <w:p w14:paraId="0DE4EECA">
            <w:pPr>
              <w:adjustRightInd w:val="0"/>
              <w:snapToGrid w:val="0"/>
              <w:spacing w:before="156" w:beforeLines="50" w:line="360" w:lineRule="auto"/>
              <w:jc w:val="center"/>
              <w:rPr>
                <w:rFonts w:ascii="宋体" w:hAnsi="宋体"/>
                <w:color w:val="auto"/>
                <w:szCs w:val="21"/>
                <w:highlight w:val="none"/>
              </w:rPr>
            </w:pPr>
            <w:r>
              <w:rPr>
                <w:rFonts w:hint="eastAsia" w:ascii="宋体" w:hAnsi="宋体"/>
                <w:color w:val="auto"/>
                <w:szCs w:val="21"/>
                <w:highlight w:val="none"/>
              </w:rPr>
              <w:t>第5.4（2）</w:t>
            </w:r>
            <w:r>
              <w:rPr>
                <w:rFonts w:hint="eastAsia" w:ascii="宋体" w:hAnsi="宋体" w:cs="宋体"/>
                <w:color w:val="auto"/>
                <w:kern w:val="0"/>
                <w:szCs w:val="21"/>
                <w:highlight w:val="none"/>
                <w:lang w:val="zh-CN"/>
              </w:rPr>
              <w:t>项</w:t>
            </w:r>
          </w:p>
        </w:tc>
        <w:tc>
          <w:tcPr>
            <w:tcW w:w="709" w:type="dxa"/>
            <w:vMerge w:val="restart"/>
            <w:tcBorders>
              <w:top w:val="single" w:color="auto" w:sz="6" w:space="0"/>
              <w:left w:val="single" w:color="auto" w:sz="6" w:space="0"/>
              <w:bottom w:val="single" w:color="auto" w:sz="6" w:space="0"/>
              <w:right w:val="single" w:color="auto" w:sz="6" w:space="0"/>
            </w:tcBorders>
            <w:vAlign w:val="center"/>
          </w:tcPr>
          <w:p w14:paraId="12B3E535">
            <w:pPr>
              <w:adjustRightInd w:val="0"/>
              <w:snapToGrid w:val="0"/>
              <w:spacing w:before="156" w:beforeLines="50" w:line="360" w:lineRule="auto"/>
              <w:jc w:val="center"/>
              <w:rPr>
                <w:rFonts w:ascii="宋体" w:hAnsi="宋体"/>
                <w:color w:val="auto"/>
                <w:szCs w:val="21"/>
                <w:highlight w:val="none"/>
              </w:rPr>
            </w:pPr>
            <w:r>
              <w:rPr>
                <w:rFonts w:hint="eastAsia" w:ascii="宋体" w:hAnsi="宋体"/>
                <w:color w:val="auto"/>
                <w:szCs w:val="21"/>
                <w:highlight w:val="none"/>
              </w:rPr>
              <w:t>优先采购</w:t>
            </w:r>
          </w:p>
        </w:tc>
        <w:tc>
          <w:tcPr>
            <w:tcW w:w="1559" w:type="dxa"/>
            <w:vMerge w:val="restart"/>
            <w:tcBorders>
              <w:top w:val="single" w:color="auto" w:sz="6" w:space="0"/>
              <w:left w:val="single" w:color="auto" w:sz="6" w:space="0"/>
              <w:right w:val="single" w:color="auto" w:sz="6" w:space="0"/>
            </w:tcBorders>
            <w:vAlign w:val="center"/>
          </w:tcPr>
          <w:p w14:paraId="1CD10E71">
            <w:pPr>
              <w:adjustRightInd w:val="0"/>
              <w:snapToGrid w:val="0"/>
              <w:spacing w:before="156" w:beforeLines="50" w:line="360" w:lineRule="auto"/>
              <w:jc w:val="center"/>
              <w:rPr>
                <w:rFonts w:ascii="宋体" w:hAnsi="宋体"/>
                <w:color w:val="auto"/>
                <w:szCs w:val="21"/>
                <w:highlight w:val="none"/>
              </w:rPr>
            </w:pPr>
            <w:r>
              <w:rPr>
                <w:rFonts w:hint="eastAsia" w:ascii="宋体" w:hAnsi="宋体"/>
                <w:color w:val="auto"/>
                <w:szCs w:val="21"/>
                <w:highlight w:val="none"/>
              </w:rPr>
              <w:t>节能产品或环境标志产品或两型产品</w:t>
            </w:r>
          </w:p>
        </w:tc>
        <w:tc>
          <w:tcPr>
            <w:tcW w:w="4820" w:type="dxa"/>
            <w:tcBorders>
              <w:top w:val="single" w:color="auto" w:sz="6" w:space="0"/>
              <w:left w:val="single" w:color="auto" w:sz="6" w:space="0"/>
              <w:bottom w:val="single" w:color="auto" w:sz="6" w:space="0"/>
            </w:tcBorders>
            <w:vAlign w:val="center"/>
          </w:tcPr>
          <w:p w14:paraId="12FEC377">
            <w:pPr>
              <w:snapToGrid w:val="0"/>
              <w:textAlignment w:val="baseline"/>
              <w:rPr>
                <w:rStyle w:val="49"/>
                <w:color w:val="auto"/>
                <w:highlight w:val="none"/>
              </w:rPr>
            </w:pPr>
            <w:r>
              <w:rPr>
                <w:rStyle w:val="49"/>
                <w:color w:val="auto"/>
                <w:highlight w:val="none"/>
              </w:rPr>
              <w:t>最低评标价法：</w:t>
            </w:r>
          </w:p>
          <w:p w14:paraId="4775FFB7">
            <w:pPr>
              <w:pStyle w:val="50"/>
              <w:widowControl/>
              <w:spacing w:after="0"/>
              <w:ind w:left="0" w:leftChars="0" w:firstLine="210" w:firstLineChars="100"/>
              <w:rPr>
                <w:rFonts w:ascii="宋体" w:hAnsi="宋体"/>
                <w:color w:val="auto"/>
                <w:szCs w:val="21"/>
                <w:highlight w:val="none"/>
              </w:rPr>
            </w:pPr>
            <w:r>
              <w:rPr>
                <w:rStyle w:val="49"/>
                <w:color w:val="auto"/>
                <w:highlight w:val="none"/>
              </w:rPr>
              <w:t>符合节能产品、环境标志产品或两型产品优先采购政策的，对于投标报价，</w:t>
            </w:r>
            <w:r>
              <w:rPr>
                <w:rStyle w:val="49"/>
                <w:rFonts w:ascii="宋体" w:hAnsi="宋体"/>
                <w:color w:val="auto"/>
                <w:kern w:val="0"/>
                <w:szCs w:val="21"/>
                <w:highlight w:val="none"/>
              </w:rPr>
              <w:t>应给予5%-10%的价格扣除，本项目具体扣除比例为</w:t>
            </w:r>
            <w:r>
              <w:rPr>
                <w:rStyle w:val="49"/>
                <w:rFonts w:ascii="宋体" w:hAnsi="宋体"/>
                <w:color w:val="auto"/>
                <w:kern w:val="0"/>
                <w:szCs w:val="21"/>
                <w:highlight w:val="none"/>
                <w:u w:val="single" w:color="000000"/>
              </w:rPr>
              <w:t xml:space="preserve"> / </w:t>
            </w:r>
            <w:r>
              <w:rPr>
                <w:rStyle w:val="49"/>
                <w:rFonts w:ascii="宋体" w:hAnsi="宋体"/>
                <w:color w:val="auto"/>
                <w:kern w:val="0"/>
                <w:szCs w:val="21"/>
                <w:highlight w:val="none"/>
              </w:rPr>
              <w:t>%。</w:t>
            </w:r>
          </w:p>
        </w:tc>
      </w:tr>
      <w:tr w14:paraId="5327CE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1" w:type="dxa"/>
            <w:vMerge w:val="continue"/>
            <w:tcBorders>
              <w:top w:val="single" w:color="auto" w:sz="6" w:space="0"/>
              <w:bottom w:val="single" w:color="auto" w:sz="6" w:space="0"/>
              <w:right w:val="single" w:color="auto" w:sz="6" w:space="0"/>
            </w:tcBorders>
            <w:vAlign w:val="center"/>
          </w:tcPr>
          <w:p w14:paraId="7FCF5E1A">
            <w:pPr>
              <w:adjustRightInd w:val="0"/>
              <w:snapToGrid w:val="0"/>
              <w:spacing w:before="156" w:beforeLines="50" w:line="360" w:lineRule="auto"/>
              <w:jc w:val="center"/>
              <w:rPr>
                <w:rFonts w:ascii="宋体" w:hAnsi="宋体"/>
                <w:color w:val="auto"/>
                <w:szCs w:val="21"/>
                <w:highlight w:val="none"/>
              </w:rPr>
            </w:pPr>
          </w:p>
        </w:tc>
        <w:tc>
          <w:tcPr>
            <w:tcW w:w="709" w:type="dxa"/>
            <w:vMerge w:val="continue"/>
            <w:tcBorders>
              <w:top w:val="single" w:color="auto" w:sz="6" w:space="0"/>
              <w:left w:val="single" w:color="auto" w:sz="6" w:space="0"/>
              <w:bottom w:val="single" w:color="auto" w:sz="6" w:space="0"/>
              <w:right w:val="single" w:color="auto" w:sz="6" w:space="0"/>
            </w:tcBorders>
            <w:vAlign w:val="center"/>
          </w:tcPr>
          <w:p w14:paraId="5C5A7B43">
            <w:pPr>
              <w:adjustRightInd w:val="0"/>
              <w:snapToGrid w:val="0"/>
              <w:spacing w:before="156" w:beforeLines="50" w:line="360" w:lineRule="auto"/>
              <w:jc w:val="center"/>
              <w:rPr>
                <w:rFonts w:ascii="宋体" w:hAnsi="宋体"/>
                <w:color w:val="auto"/>
                <w:szCs w:val="21"/>
                <w:highlight w:val="none"/>
              </w:rPr>
            </w:pPr>
          </w:p>
        </w:tc>
        <w:tc>
          <w:tcPr>
            <w:tcW w:w="1559" w:type="dxa"/>
            <w:vMerge w:val="continue"/>
            <w:tcBorders>
              <w:left w:val="single" w:color="auto" w:sz="6" w:space="0"/>
              <w:bottom w:val="single" w:color="auto" w:sz="6" w:space="0"/>
              <w:right w:val="single" w:color="auto" w:sz="6" w:space="0"/>
            </w:tcBorders>
            <w:vAlign w:val="center"/>
          </w:tcPr>
          <w:p w14:paraId="7086E8B7">
            <w:pPr>
              <w:adjustRightInd w:val="0"/>
              <w:snapToGrid w:val="0"/>
              <w:spacing w:before="156" w:beforeLines="50" w:line="360" w:lineRule="auto"/>
              <w:jc w:val="center"/>
              <w:rPr>
                <w:rFonts w:ascii="宋体" w:hAnsi="宋体"/>
                <w:color w:val="auto"/>
                <w:szCs w:val="21"/>
                <w:highlight w:val="none"/>
              </w:rPr>
            </w:pPr>
          </w:p>
        </w:tc>
        <w:tc>
          <w:tcPr>
            <w:tcW w:w="4820" w:type="dxa"/>
            <w:tcBorders>
              <w:top w:val="single" w:color="auto" w:sz="6" w:space="0"/>
              <w:left w:val="single" w:color="auto" w:sz="6" w:space="0"/>
              <w:bottom w:val="single" w:color="auto" w:sz="6" w:space="0"/>
              <w:right w:val="double" w:color="auto" w:sz="4" w:space="0"/>
            </w:tcBorders>
            <w:vAlign w:val="center"/>
          </w:tcPr>
          <w:p w14:paraId="53D947B6">
            <w:pPr>
              <w:snapToGrid w:val="0"/>
              <w:textAlignment w:val="baseline"/>
              <w:rPr>
                <w:rStyle w:val="49"/>
                <w:color w:val="auto"/>
                <w:highlight w:val="none"/>
              </w:rPr>
            </w:pPr>
            <w:r>
              <w:rPr>
                <w:rStyle w:val="49"/>
                <w:color w:val="auto"/>
                <w:highlight w:val="none"/>
              </w:rPr>
              <w:t>综合评分法：</w:t>
            </w:r>
          </w:p>
          <w:p w14:paraId="3083EECB">
            <w:pPr>
              <w:pStyle w:val="50"/>
              <w:widowControl/>
              <w:spacing w:after="0"/>
              <w:ind w:left="0" w:leftChars="0" w:firstLine="210" w:firstLineChars="100"/>
              <w:rPr>
                <w:rStyle w:val="49"/>
                <w:color w:val="auto"/>
                <w:highlight w:val="none"/>
              </w:rPr>
            </w:pPr>
            <w:r>
              <w:rPr>
                <w:rStyle w:val="49"/>
                <w:color w:val="auto"/>
                <w:highlight w:val="none"/>
              </w:rPr>
              <w:t>符合节能产品、环境标志产品优先采购政策的：</w:t>
            </w:r>
          </w:p>
          <w:p w14:paraId="1C9AA6C8">
            <w:pPr>
              <w:pStyle w:val="50"/>
              <w:widowControl/>
              <w:spacing w:after="0"/>
              <w:ind w:left="0" w:leftChars="0" w:firstLine="210" w:firstLineChars="100"/>
              <w:rPr>
                <w:rStyle w:val="49"/>
                <w:rFonts w:ascii="宋体" w:hAnsi="宋体"/>
                <w:color w:val="auto"/>
                <w:szCs w:val="21"/>
                <w:highlight w:val="none"/>
              </w:rPr>
            </w:pPr>
            <w:r>
              <w:rPr>
                <w:rStyle w:val="49"/>
                <w:rFonts w:ascii="宋体" w:hAnsi="宋体"/>
                <w:color w:val="auto"/>
                <w:szCs w:val="21"/>
                <w:highlight w:val="none"/>
              </w:rPr>
              <w:t>对于价格和技术分，应分别给予总分值4%-8%的加分。本项目具体加分比例分别为：价格总分值的</w:t>
            </w:r>
            <w:r>
              <w:rPr>
                <w:rStyle w:val="49"/>
                <w:rFonts w:ascii="宋体" w:hAnsi="宋体"/>
                <w:color w:val="auto"/>
                <w:szCs w:val="21"/>
                <w:highlight w:val="none"/>
                <w:u w:val="single" w:color="000000"/>
              </w:rPr>
              <w:t>4%</w:t>
            </w:r>
            <w:r>
              <w:rPr>
                <w:rStyle w:val="49"/>
                <w:rFonts w:ascii="宋体" w:hAnsi="宋体"/>
                <w:color w:val="auto"/>
                <w:szCs w:val="21"/>
                <w:highlight w:val="none"/>
              </w:rPr>
              <w:t>分、技术总分值的</w:t>
            </w:r>
            <w:r>
              <w:rPr>
                <w:rStyle w:val="49"/>
                <w:rFonts w:ascii="宋体" w:hAnsi="宋体"/>
                <w:color w:val="auto"/>
                <w:szCs w:val="21"/>
                <w:highlight w:val="none"/>
                <w:u w:val="single" w:color="000000"/>
              </w:rPr>
              <w:t>4%</w:t>
            </w:r>
            <w:r>
              <w:rPr>
                <w:rStyle w:val="49"/>
                <w:rFonts w:ascii="宋体" w:hAnsi="宋体"/>
                <w:color w:val="auto"/>
                <w:szCs w:val="21"/>
                <w:highlight w:val="none"/>
              </w:rPr>
              <w:t>分。</w:t>
            </w:r>
          </w:p>
          <w:p w14:paraId="47C69D90">
            <w:pPr>
              <w:pStyle w:val="50"/>
              <w:widowControl/>
              <w:spacing w:after="0"/>
              <w:ind w:left="0" w:leftChars="0" w:firstLine="210" w:firstLineChars="100"/>
              <w:rPr>
                <w:rStyle w:val="49"/>
                <w:color w:val="auto"/>
                <w:highlight w:val="none"/>
              </w:rPr>
            </w:pPr>
            <w:r>
              <w:rPr>
                <w:rStyle w:val="49"/>
                <w:color w:val="auto"/>
                <w:highlight w:val="none"/>
              </w:rPr>
              <w:t>符合两型产品优先采购政策的：</w:t>
            </w:r>
          </w:p>
          <w:p w14:paraId="1C08DEAB">
            <w:pPr>
              <w:pStyle w:val="50"/>
              <w:widowControl/>
              <w:spacing w:after="0"/>
              <w:ind w:left="0" w:leftChars="0" w:firstLine="210" w:firstLineChars="100"/>
              <w:rPr>
                <w:rFonts w:ascii="宋体" w:hAnsi="宋体"/>
                <w:color w:val="auto"/>
                <w:szCs w:val="21"/>
                <w:highlight w:val="none"/>
              </w:rPr>
            </w:pPr>
            <w:r>
              <w:rPr>
                <w:rStyle w:val="49"/>
                <w:rFonts w:ascii="宋体" w:hAnsi="宋体"/>
                <w:color w:val="auto"/>
                <w:szCs w:val="21"/>
                <w:highlight w:val="none"/>
              </w:rPr>
              <w:t>对于价格、技术和商务分，应分别给予总分值4%-8%的加分。本项目具体加分比例分别为：价格总分值的</w:t>
            </w:r>
            <w:r>
              <w:rPr>
                <w:rStyle w:val="49"/>
                <w:rFonts w:ascii="宋体" w:hAnsi="宋体"/>
                <w:color w:val="auto"/>
                <w:szCs w:val="21"/>
                <w:highlight w:val="none"/>
                <w:u w:val="single" w:color="000000"/>
              </w:rPr>
              <w:t>4%</w:t>
            </w:r>
            <w:r>
              <w:rPr>
                <w:rStyle w:val="49"/>
                <w:rFonts w:ascii="宋体" w:hAnsi="宋体"/>
                <w:color w:val="auto"/>
                <w:szCs w:val="21"/>
                <w:highlight w:val="none"/>
              </w:rPr>
              <w:t>分、技术总分值的</w:t>
            </w:r>
            <w:r>
              <w:rPr>
                <w:rStyle w:val="49"/>
                <w:rFonts w:ascii="宋体" w:hAnsi="宋体"/>
                <w:color w:val="auto"/>
                <w:szCs w:val="21"/>
                <w:highlight w:val="none"/>
                <w:u w:val="single" w:color="000000"/>
              </w:rPr>
              <w:t>4%</w:t>
            </w:r>
            <w:r>
              <w:rPr>
                <w:rStyle w:val="49"/>
                <w:rFonts w:ascii="宋体" w:hAnsi="宋体"/>
                <w:color w:val="auto"/>
                <w:szCs w:val="21"/>
                <w:highlight w:val="none"/>
              </w:rPr>
              <w:t>分、商务总分值的</w:t>
            </w:r>
            <w:r>
              <w:rPr>
                <w:rStyle w:val="49"/>
                <w:rFonts w:ascii="宋体" w:hAnsi="宋体"/>
                <w:color w:val="auto"/>
                <w:szCs w:val="21"/>
                <w:highlight w:val="none"/>
                <w:u w:val="single" w:color="000000"/>
              </w:rPr>
              <w:t>4%</w:t>
            </w:r>
            <w:r>
              <w:rPr>
                <w:rStyle w:val="49"/>
                <w:rFonts w:ascii="宋体" w:hAnsi="宋体"/>
                <w:color w:val="auto"/>
                <w:szCs w:val="21"/>
                <w:highlight w:val="none"/>
              </w:rPr>
              <w:t>分。</w:t>
            </w:r>
          </w:p>
        </w:tc>
      </w:tr>
      <w:tr w14:paraId="3274EB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1" w:type="dxa"/>
            <w:tcBorders>
              <w:top w:val="single" w:color="auto" w:sz="6" w:space="0"/>
              <w:bottom w:val="single" w:color="auto" w:sz="6" w:space="0"/>
            </w:tcBorders>
            <w:vAlign w:val="center"/>
          </w:tcPr>
          <w:p w14:paraId="3516D26C">
            <w:pPr>
              <w:adjustRightInd w:val="0"/>
              <w:snapToGrid w:val="0"/>
              <w:spacing w:before="156" w:beforeLines="50" w:line="360" w:lineRule="auto"/>
              <w:jc w:val="center"/>
              <w:rPr>
                <w:rFonts w:ascii="宋体" w:hAnsi="宋体"/>
                <w:color w:val="auto"/>
                <w:szCs w:val="21"/>
                <w:highlight w:val="none"/>
              </w:rPr>
            </w:pPr>
            <w:r>
              <w:rPr>
                <w:rFonts w:hint="eastAsia" w:ascii="宋体" w:hAnsi="宋体"/>
                <w:color w:val="auto"/>
                <w:szCs w:val="21"/>
                <w:highlight w:val="none"/>
              </w:rPr>
              <w:t>第6.1</w:t>
            </w:r>
            <w:r>
              <w:rPr>
                <w:rFonts w:hint="eastAsia" w:ascii="宋体" w:hAnsi="宋体" w:cs="宋体"/>
                <w:color w:val="auto"/>
                <w:kern w:val="0"/>
                <w:szCs w:val="21"/>
                <w:highlight w:val="none"/>
                <w:lang w:val="zh-CN"/>
              </w:rPr>
              <w:t>款</w:t>
            </w:r>
          </w:p>
        </w:tc>
        <w:tc>
          <w:tcPr>
            <w:tcW w:w="2268" w:type="dxa"/>
            <w:gridSpan w:val="2"/>
            <w:tcBorders>
              <w:top w:val="single" w:color="auto" w:sz="6" w:space="0"/>
              <w:bottom w:val="single" w:color="auto" w:sz="6" w:space="0"/>
              <w:right w:val="single" w:color="auto" w:sz="6" w:space="0"/>
            </w:tcBorders>
            <w:vAlign w:val="center"/>
          </w:tcPr>
          <w:p w14:paraId="105F0861">
            <w:pPr>
              <w:adjustRightInd w:val="0"/>
              <w:snapToGrid w:val="0"/>
              <w:spacing w:before="156" w:beforeLines="50" w:line="360" w:lineRule="auto"/>
              <w:jc w:val="center"/>
              <w:rPr>
                <w:rFonts w:ascii="宋体" w:hAnsi="宋体"/>
                <w:color w:val="auto"/>
                <w:szCs w:val="21"/>
                <w:highlight w:val="none"/>
              </w:rPr>
            </w:pPr>
            <w:r>
              <w:rPr>
                <w:rFonts w:hint="eastAsia" w:ascii="宋体" w:hAnsi="宋体"/>
                <w:color w:val="auto"/>
                <w:szCs w:val="21"/>
                <w:highlight w:val="none"/>
              </w:rPr>
              <w:t>中标候选人并列的确定中标人的方式</w:t>
            </w:r>
          </w:p>
        </w:tc>
        <w:tc>
          <w:tcPr>
            <w:tcW w:w="4820" w:type="dxa"/>
            <w:tcBorders>
              <w:top w:val="single" w:color="auto" w:sz="6" w:space="0"/>
              <w:left w:val="single" w:color="auto" w:sz="6" w:space="0"/>
              <w:bottom w:val="single" w:color="auto" w:sz="6" w:space="0"/>
              <w:right w:val="double" w:color="auto" w:sz="4" w:space="0"/>
            </w:tcBorders>
            <w:vAlign w:val="center"/>
          </w:tcPr>
          <w:p w14:paraId="4C2F2310">
            <w:pPr>
              <w:snapToGrid w:val="0"/>
              <w:textAlignment w:val="baseline"/>
              <w:rPr>
                <w:rFonts w:ascii="宋体" w:hAnsi="宋体"/>
                <w:color w:val="auto"/>
                <w:szCs w:val="21"/>
                <w:highlight w:val="none"/>
              </w:rPr>
            </w:pPr>
            <w:r>
              <w:rPr>
                <w:rStyle w:val="49"/>
                <w:color w:val="auto"/>
                <w:szCs w:val="21"/>
                <w:highlight w:val="none"/>
              </w:rPr>
              <w:t>由业主评委直接确定，业主方未委派评委的由评标组长现场随机抽签确定（最低评标价法）。</w:t>
            </w:r>
          </w:p>
        </w:tc>
      </w:tr>
      <w:tr w14:paraId="6AA864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7" w:hRule="atLeast"/>
        </w:trPr>
        <w:tc>
          <w:tcPr>
            <w:tcW w:w="1701" w:type="dxa"/>
            <w:tcBorders>
              <w:top w:val="single" w:color="auto" w:sz="6" w:space="0"/>
              <w:bottom w:val="double" w:color="auto" w:sz="4" w:space="0"/>
            </w:tcBorders>
            <w:vAlign w:val="center"/>
          </w:tcPr>
          <w:p w14:paraId="6FAA432F">
            <w:pPr>
              <w:adjustRightInd w:val="0"/>
              <w:snapToGrid w:val="0"/>
              <w:spacing w:before="156" w:beforeLines="50" w:line="360" w:lineRule="auto"/>
              <w:jc w:val="center"/>
              <w:rPr>
                <w:rFonts w:ascii="宋体" w:hAnsi="宋体"/>
                <w:color w:val="auto"/>
                <w:szCs w:val="21"/>
                <w:highlight w:val="none"/>
              </w:rPr>
            </w:pPr>
            <w:r>
              <w:rPr>
                <w:rFonts w:hint="eastAsia" w:ascii="宋体" w:hAnsi="宋体"/>
                <w:color w:val="auto"/>
                <w:szCs w:val="21"/>
                <w:highlight w:val="none"/>
              </w:rPr>
              <w:t>第6.2</w:t>
            </w:r>
            <w:r>
              <w:rPr>
                <w:rFonts w:hint="eastAsia" w:ascii="宋体" w:hAnsi="宋体" w:cs="宋体"/>
                <w:color w:val="auto"/>
                <w:kern w:val="0"/>
                <w:szCs w:val="21"/>
                <w:highlight w:val="none"/>
                <w:lang w:val="zh-CN"/>
              </w:rPr>
              <w:t>款</w:t>
            </w:r>
          </w:p>
        </w:tc>
        <w:tc>
          <w:tcPr>
            <w:tcW w:w="2268" w:type="dxa"/>
            <w:gridSpan w:val="2"/>
            <w:tcBorders>
              <w:top w:val="single" w:color="auto" w:sz="6" w:space="0"/>
              <w:bottom w:val="double" w:color="auto" w:sz="4" w:space="0"/>
              <w:right w:val="single" w:color="auto" w:sz="6" w:space="0"/>
            </w:tcBorders>
            <w:vAlign w:val="center"/>
          </w:tcPr>
          <w:p w14:paraId="70A70E2D">
            <w:pPr>
              <w:adjustRightInd w:val="0"/>
              <w:snapToGrid w:val="0"/>
              <w:spacing w:before="156" w:beforeLines="50" w:line="360" w:lineRule="auto"/>
              <w:jc w:val="center"/>
              <w:rPr>
                <w:rFonts w:ascii="宋体" w:hAnsi="宋体"/>
                <w:color w:val="auto"/>
                <w:szCs w:val="21"/>
                <w:highlight w:val="none"/>
              </w:rPr>
            </w:pPr>
            <w:r>
              <w:rPr>
                <w:rFonts w:hint="eastAsia" w:ascii="宋体" w:hAnsi="宋体"/>
                <w:color w:val="auto"/>
                <w:szCs w:val="21"/>
                <w:highlight w:val="none"/>
              </w:rPr>
              <w:t>中标候选人并列的确定中标人的方式</w:t>
            </w:r>
          </w:p>
        </w:tc>
        <w:tc>
          <w:tcPr>
            <w:tcW w:w="4820" w:type="dxa"/>
            <w:tcBorders>
              <w:top w:val="single" w:color="auto" w:sz="6" w:space="0"/>
              <w:left w:val="single" w:color="auto" w:sz="6" w:space="0"/>
              <w:bottom w:val="double" w:color="auto" w:sz="4" w:space="0"/>
              <w:right w:val="double" w:color="auto" w:sz="4" w:space="0"/>
            </w:tcBorders>
            <w:vAlign w:val="center"/>
          </w:tcPr>
          <w:p w14:paraId="0A2664BA">
            <w:pPr>
              <w:snapToGrid w:val="0"/>
              <w:textAlignment w:val="baseline"/>
              <w:rPr>
                <w:rFonts w:ascii="宋体" w:hAnsi="宋体"/>
                <w:color w:val="auto"/>
                <w:szCs w:val="21"/>
                <w:highlight w:val="none"/>
              </w:rPr>
            </w:pPr>
            <w:r>
              <w:rPr>
                <w:rStyle w:val="49"/>
                <w:rFonts w:ascii="宋体" w:hAnsi="宋体"/>
                <w:color w:val="auto"/>
                <w:szCs w:val="21"/>
                <w:highlight w:val="none"/>
              </w:rPr>
              <w:t>投标报价相同的按技术总分从高至低确定排序，技术总分相同的由评标组长现场随机抽签确定排序。</w:t>
            </w:r>
            <w:r>
              <w:rPr>
                <w:rStyle w:val="49"/>
                <w:rFonts w:hint="eastAsia" w:ascii="宋体" w:hAnsi="宋体"/>
                <w:color w:val="auto"/>
                <w:szCs w:val="21"/>
                <w:highlight w:val="none"/>
              </w:rPr>
              <w:t>（</w:t>
            </w:r>
            <w:r>
              <w:rPr>
                <w:rStyle w:val="49"/>
                <w:rFonts w:hint="eastAsia" w:ascii="宋体" w:hAnsi="宋体"/>
                <w:color w:val="auto"/>
                <w:szCs w:val="21"/>
                <w:highlight w:val="none"/>
                <w:lang w:val="en-US"/>
              </w:rPr>
              <w:t>综合评分法</w:t>
            </w:r>
            <w:r>
              <w:rPr>
                <w:rStyle w:val="49"/>
                <w:rFonts w:hint="eastAsia" w:ascii="宋体" w:hAnsi="宋体"/>
                <w:color w:val="auto"/>
                <w:szCs w:val="21"/>
                <w:highlight w:val="none"/>
              </w:rPr>
              <w:t>）</w:t>
            </w:r>
          </w:p>
        </w:tc>
      </w:tr>
    </w:tbl>
    <w:p w14:paraId="3D3515D5">
      <w:pPr>
        <w:adjustRightInd w:val="0"/>
        <w:snapToGrid w:val="0"/>
        <w:spacing w:before="156" w:beforeLines="50" w:line="360" w:lineRule="auto"/>
        <w:jc w:val="left"/>
        <w:rPr>
          <w:rFonts w:ascii="黑体" w:hAnsi="华文中宋" w:eastAsia="黑体"/>
          <w:b/>
          <w:color w:val="auto"/>
          <w:sz w:val="10"/>
          <w:szCs w:val="10"/>
          <w:highlight w:val="none"/>
        </w:rPr>
      </w:pPr>
      <w:r>
        <w:rPr>
          <w:rFonts w:ascii="宋体" w:hAnsi="宋体"/>
          <w:color w:val="auto"/>
          <w:highlight w:val="none"/>
        </w:rPr>
        <w:br w:type="page"/>
      </w:r>
    </w:p>
    <w:p w14:paraId="6A01E791">
      <w:pPr>
        <w:pStyle w:val="10"/>
        <w:keepNext w:val="0"/>
        <w:keepLines w:val="0"/>
        <w:adjustRightInd w:val="0"/>
        <w:snapToGrid w:val="0"/>
        <w:spacing w:before="156" w:beforeLines="50"/>
        <w:jc w:val="center"/>
        <w:rPr>
          <w:rFonts w:ascii="黑体" w:hAnsi="华文中宋" w:eastAsia="黑体"/>
          <w:color w:val="auto"/>
          <w:sz w:val="28"/>
          <w:szCs w:val="28"/>
          <w:highlight w:val="none"/>
        </w:rPr>
      </w:pPr>
      <w:bookmarkStart w:id="44" w:name="_Toc13038"/>
      <w:r>
        <w:rPr>
          <w:rFonts w:hint="eastAsia" w:ascii="黑体" w:hAnsi="华文中宋" w:eastAsia="黑体"/>
          <w:color w:val="auto"/>
          <w:sz w:val="28"/>
          <w:szCs w:val="28"/>
          <w:highlight w:val="none"/>
        </w:rPr>
        <w:t>第二节 评标方法及标准</w:t>
      </w:r>
      <w:bookmarkEnd w:id="44"/>
    </w:p>
    <w:p w14:paraId="1D601002">
      <w:pPr>
        <w:pStyle w:val="11"/>
        <w:keepNext w:val="0"/>
        <w:keepLines w:val="0"/>
        <w:adjustRightInd w:val="0"/>
        <w:snapToGrid w:val="0"/>
        <w:spacing w:before="156" w:beforeLines="50" w:after="0" w:line="360" w:lineRule="auto"/>
        <w:rPr>
          <w:rFonts w:ascii="黑体" w:hAnsi="黑体" w:eastAsia="黑体"/>
          <w:color w:val="auto"/>
          <w:sz w:val="24"/>
          <w:szCs w:val="24"/>
          <w:highlight w:val="none"/>
        </w:rPr>
      </w:pPr>
      <w:bookmarkStart w:id="45" w:name="_Toc19507"/>
      <w:r>
        <w:rPr>
          <w:rFonts w:hint="eastAsia" w:ascii="黑体" w:hAnsi="黑体" w:eastAsia="黑体"/>
          <w:color w:val="auto"/>
          <w:sz w:val="24"/>
          <w:szCs w:val="24"/>
          <w:highlight w:val="none"/>
        </w:rPr>
        <w:t>1．评标方法</w:t>
      </w:r>
      <w:bookmarkEnd w:id="45"/>
    </w:p>
    <w:p w14:paraId="59B313A6">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1.1综合评分法，指投标文件满足招标文件全部实质性要求，且按照评审因素的量化指标评审得分最高的投标人为中标候选人的评标方法。</w:t>
      </w:r>
    </w:p>
    <w:p w14:paraId="4D35D17E">
      <w:pPr>
        <w:adjustRightInd w:val="0"/>
        <w:snapToGrid w:val="0"/>
        <w:spacing w:before="156" w:beforeLines="50"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1.2最低评标价，是指投标文件满足招标文件全部实质性要求，且投标报价最低的投标人为中标候选人的评标方法。</w:t>
      </w:r>
    </w:p>
    <w:p w14:paraId="084BA88D">
      <w:pPr>
        <w:adjustRightInd w:val="0"/>
        <w:snapToGrid w:val="0"/>
        <w:spacing w:before="156" w:beforeLines="50"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1.3本采购项目评标方法见本章第一节</w:t>
      </w:r>
      <w:r>
        <w:rPr>
          <w:rFonts w:hint="eastAsia" w:ascii="宋体" w:hAnsi="宋体"/>
          <w:b/>
          <w:color w:val="auto"/>
          <w:szCs w:val="21"/>
          <w:highlight w:val="none"/>
        </w:rPr>
        <w:t>【评标方法及标准前附表】</w:t>
      </w:r>
      <w:r>
        <w:rPr>
          <w:rFonts w:hint="eastAsia" w:ascii="宋体" w:hAnsi="宋体"/>
          <w:color w:val="auto"/>
          <w:szCs w:val="21"/>
          <w:highlight w:val="none"/>
        </w:rPr>
        <w:t>。</w:t>
      </w:r>
    </w:p>
    <w:p w14:paraId="78A3AE46">
      <w:pPr>
        <w:pStyle w:val="11"/>
        <w:keepNext w:val="0"/>
        <w:keepLines w:val="0"/>
        <w:adjustRightInd w:val="0"/>
        <w:snapToGrid w:val="0"/>
        <w:spacing w:before="156" w:beforeLines="50" w:after="0" w:line="360" w:lineRule="auto"/>
        <w:rPr>
          <w:rFonts w:ascii="黑体" w:hAnsi="黑体" w:eastAsia="黑体"/>
          <w:bCs w:val="0"/>
          <w:color w:val="auto"/>
          <w:sz w:val="24"/>
          <w:szCs w:val="24"/>
          <w:highlight w:val="none"/>
        </w:rPr>
      </w:pPr>
      <w:bookmarkStart w:id="46" w:name="_Toc11491"/>
      <w:r>
        <w:rPr>
          <w:rFonts w:hint="eastAsia" w:ascii="黑体" w:hAnsi="黑体" w:eastAsia="黑体"/>
          <w:bCs w:val="0"/>
          <w:color w:val="auto"/>
          <w:sz w:val="24"/>
          <w:szCs w:val="24"/>
          <w:highlight w:val="none"/>
        </w:rPr>
        <w:t>2．评标程序</w:t>
      </w:r>
      <w:bookmarkEnd w:id="46"/>
    </w:p>
    <w:p w14:paraId="205BEC5C">
      <w:pPr>
        <w:adjustRightInd w:val="0"/>
        <w:snapToGrid w:val="0"/>
        <w:spacing w:before="156" w:beforeLines="50"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2.1评标程序分为投标文件符合性审查、澄清有关问题、比较和评价、推荐中标候选人。</w:t>
      </w:r>
    </w:p>
    <w:p w14:paraId="3DA7EBF7">
      <w:pPr>
        <w:pStyle w:val="11"/>
        <w:keepNext w:val="0"/>
        <w:keepLines w:val="0"/>
        <w:adjustRightInd w:val="0"/>
        <w:snapToGrid w:val="0"/>
        <w:spacing w:before="156" w:beforeLines="50" w:after="0" w:line="360" w:lineRule="auto"/>
        <w:rPr>
          <w:rFonts w:ascii="黑体" w:hAnsi="黑体" w:eastAsia="黑体"/>
          <w:bCs w:val="0"/>
          <w:color w:val="auto"/>
          <w:sz w:val="24"/>
          <w:szCs w:val="24"/>
          <w:highlight w:val="none"/>
        </w:rPr>
      </w:pPr>
      <w:bookmarkStart w:id="47" w:name="_Toc10697"/>
      <w:r>
        <w:rPr>
          <w:rFonts w:hint="eastAsia" w:ascii="黑体" w:hAnsi="黑体" w:eastAsia="黑体"/>
          <w:bCs w:val="0"/>
          <w:color w:val="auto"/>
          <w:sz w:val="24"/>
          <w:szCs w:val="24"/>
          <w:highlight w:val="none"/>
        </w:rPr>
        <w:t>3．投标文件的符合性审查</w:t>
      </w:r>
      <w:bookmarkEnd w:id="47"/>
    </w:p>
    <w:p w14:paraId="4A1975B6">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3.1资格审查结束后，评标委员会依法按照本章第三节“投标文件的符合性审查”规定进行投标文件符合性审查。</w:t>
      </w:r>
    </w:p>
    <w:p w14:paraId="0E9DA4CE">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3.2符合性审查合格投标人少于3家的，应予废标。</w:t>
      </w:r>
    </w:p>
    <w:p w14:paraId="71EA03A1">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3.3单一产品采购项目：提供相同品牌产品的不同投标人参加同一合同项下投标的，按一家投标人计算。提供不同品牌产品的投标人不足三家的，应予废标。</w:t>
      </w:r>
    </w:p>
    <w:p w14:paraId="5D8C7E40">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3.4非单一产品采购项目：采购人或者采购代理机构将在</w:t>
      </w:r>
      <w:r>
        <w:rPr>
          <w:rFonts w:hint="eastAsia" w:ascii="宋体" w:hAnsi="宋体"/>
          <w:b/>
          <w:color w:val="auto"/>
          <w:szCs w:val="21"/>
          <w:highlight w:val="none"/>
        </w:rPr>
        <w:t>【评标方法及标准前附表】</w:t>
      </w:r>
      <w:r>
        <w:rPr>
          <w:rFonts w:hint="eastAsia" w:ascii="宋体" w:hAnsi="宋体"/>
          <w:color w:val="auto"/>
          <w:szCs w:val="21"/>
          <w:highlight w:val="none"/>
        </w:rPr>
        <w:t>中载明核心产品。多家投标人提供的核心产品品牌相同的，视为相同品牌，按本章本节第3.3款规定处理。</w:t>
      </w:r>
    </w:p>
    <w:p w14:paraId="2F44AF39">
      <w:pPr>
        <w:pStyle w:val="11"/>
        <w:keepNext w:val="0"/>
        <w:keepLines w:val="0"/>
        <w:adjustRightInd w:val="0"/>
        <w:snapToGrid w:val="0"/>
        <w:spacing w:before="156" w:beforeLines="50" w:after="0" w:line="360" w:lineRule="auto"/>
        <w:rPr>
          <w:rFonts w:ascii="黑体" w:hAnsi="黑体" w:eastAsia="黑体"/>
          <w:bCs w:val="0"/>
          <w:color w:val="auto"/>
          <w:sz w:val="24"/>
          <w:szCs w:val="24"/>
          <w:highlight w:val="none"/>
        </w:rPr>
      </w:pPr>
      <w:bookmarkStart w:id="48" w:name="_Toc10471"/>
      <w:r>
        <w:rPr>
          <w:rFonts w:hint="eastAsia" w:ascii="黑体" w:hAnsi="黑体" w:eastAsia="黑体"/>
          <w:bCs w:val="0"/>
          <w:color w:val="auto"/>
          <w:sz w:val="24"/>
          <w:szCs w:val="24"/>
          <w:highlight w:val="none"/>
        </w:rPr>
        <w:t>4．投标文件的澄清</w:t>
      </w:r>
      <w:bookmarkEnd w:id="48"/>
    </w:p>
    <w:p w14:paraId="177C6A62">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4.1对于投标文件中含义不明确、同类问题表述不一致或者有明显文字和计算错误的内容，评标委员会应当以书面形式要求投标人作出必要的澄清、说明或者补正。</w:t>
      </w:r>
    </w:p>
    <w:p w14:paraId="6451428E">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4.2投标文件的投标报价出现前后不一致的，除</w:t>
      </w:r>
      <w:r>
        <w:rPr>
          <w:rFonts w:hint="eastAsia" w:ascii="宋体" w:hAnsi="宋体"/>
          <w:b/>
          <w:color w:val="auto"/>
          <w:szCs w:val="21"/>
          <w:highlight w:val="none"/>
        </w:rPr>
        <w:t>【评标方法及标准前附表】</w:t>
      </w:r>
      <w:r>
        <w:rPr>
          <w:rFonts w:hint="eastAsia" w:ascii="宋体" w:hAnsi="宋体"/>
          <w:color w:val="auto"/>
          <w:szCs w:val="21"/>
          <w:highlight w:val="none"/>
        </w:rPr>
        <w:t>另有规定外，按照下列规定修正：</w:t>
      </w:r>
    </w:p>
    <w:p w14:paraId="64B9715C">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（1）投标文件中开标一览表内容与投标文件中相应内容不一致的，以开标一览表为准；</w:t>
      </w:r>
    </w:p>
    <w:p w14:paraId="2A069308">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（2）大写金额和小写金额不一致的，以大写金额为准；</w:t>
      </w:r>
    </w:p>
    <w:p w14:paraId="7443BC31">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（3）单价金额小数点或者百分比有明显错位的，以开标一览表的总价为准，并修改单价；</w:t>
      </w:r>
    </w:p>
    <w:p w14:paraId="4C723BBA">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（4）总价金额与按单价汇总金额不一致的，以单价金额计算结果为准。</w:t>
      </w:r>
    </w:p>
    <w:p w14:paraId="460C24D0">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4.3投标文件报价同时出现两种以上不一致的，按照前款规定的顺序修正。修正后的报价由投标人代表签字或者加盖单位章确认后产生约束力，投标人不确认的，其投标无效。</w:t>
      </w:r>
    </w:p>
    <w:p w14:paraId="723F8334">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4.4投标人的澄清、说明或者补正应当采用书面形式，并加盖公章，或者由法定代表人或其授权的代表签字，并按评标委员会的通知要求递交。投标人的澄清、说明或者补正不得超出投标文件的范围或者改变投标文件的实质性内容。</w:t>
      </w:r>
    </w:p>
    <w:p w14:paraId="488F0D6A">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4.5有效的书面澄清材料，是投标文件的补充材料，成为投标文件的组成部分。</w:t>
      </w:r>
    </w:p>
    <w:p w14:paraId="2EB15E45">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4.6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投标无效处理。</w:t>
      </w:r>
    </w:p>
    <w:p w14:paraId="2A970A2F">
      <w:pPr>
        <w:pStyle w:val="11"/>
        <w:keepNext w:val="0"/>
        <w:keepLines w:val="0"/>
        <w:adjustRightInd w:val="0"/>
        <w:snapToGrid w:val="0"/>
        <w:spacing w:before="156" w:beforeLines="50" w:after="0" w:line="360" w:lineRule="auto"/>
        <w:rPr>
          <w:rFonts w:ascii="黑体" w:hAnsi="黑体" w:eastAsia="黑体"/>
          <w:bCs w:val="0"/>
          <w:color w:val="auto"/>
          <w:sz w:val="24"/>
          <w:szCs w:val="24"/>
          <w:highlight w:val="none"/>
        </w:rPr>
      </w:pPr>
      <w:bookmarkStart w:id="49" w:name="_Toc4618"/>
      <w:r>
        <w:rPr>
          <w:rFonts w:hint="eastAsia" w:ascii="黑体" w:hAnsi="黑体" w:eastAsia="黑体"/>
          <w:bCs w:val="0"/>
          <w:color w:val="auto"/>
          <w:sz w:val="24"/>
          <w:szCs w:val="24"/>
          <w:highlight w:val="none"/>
        </w:rPr>
        <w:t>5．投标文件的比较与评价</w:t>
      </w:r>
      <w:bookmarkEnd w:id="49"/>
    </w:p>
    <w:p w14:paraId="06F3D3C2">
      <w:pPr>
        <w:adjustRightInd w:val="0"/>
        <w:snapToGrid w:val="0"/>
        <w:spacing w:before="156" w:beforeLines="50"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5.1评标委员会依法按照本章第三节“投标文件的比较与评价”规定，对资格性检查和符合性检查合格的投标文件进行比较和评价。</w:t>
      </w:r>
    </w:p>
    <w:p w14:paraId="1E3A499B">
      <w:pPr>
        <w:adjustRightInd w:val="0"/>
        <w:snapToGrid w:val="0"/>
        <w:spacing w:before="156" w:beforeLines="50"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5.2单一产品采购项目：</w:t>
      </w:r>
    </w:p>
    <w:p w14:paraId="5145DDCC">
      <w:pPr>
        <w:adjustRightInd w:val="0"/>
        <w:snapToGrid w:val="0"/>
        <w:spacing w:before="156" w:beforeLines="50" w:line="360" w:lineRule="auto"/>
        <w:ind w:firstLine="420" w:firstLineChars="200"/>
        <w:jc w:val="left"/>
        <w:rPr>
          <w:rFonts w:ascii="宋体" w:hAnsi="宋体"/>
          <w:bCs/>
          <w:color w:val="auto"/>
          <w:szCs w:val="21"/>
          <w:highlight w:val="none"/>
        </w:rPr>
      </w:pPr>
      <w:r>
        <w:rPr>
          <w:rFonts w:hint="eastAsia" w:ascii="宋体" w:hAnsi="宋体"/>
          <w:color w:val="auto"/>
          <w:szCs w:val="21"/>
          <w:highlight w:val="none"/>
        </w:rPr>
        <w:t>（1）最低评标价法：</w:t>
      </w:r>
      <w:r>
        <w:rPr>
          <w:rFonts w:hint="eastAsia" w:ascii="宋体" w:hAnsi="宋体"/>
          <w:bCs/>
          <w:color w:val="auto"/>
          <w:szCs w:val="21"/>
          <w:highlight w:val="none"/>
        </w:rPr>
        <w:t>提供相同品牌产品的不同投标人参加同一合同项下投标的，以其中通过资格审查、符合性审查且报价最低的参加评标，其他投标无效；报价相同的，按照</w:t>
      </w:r>
      <w:r>
        <w:rPr>
          <w:rFonts w:hint="eastAsia" w:ascii="宋体" w:hAnsi="宋体"/>
          <w:b/>
          <w:bCs/>
          <w:color w:val="auto"/>
          <w:szCs w:val="21"/>
          <w:highlight w:val="none"/>
        </w:rPr>
        <w:t>【评标方法及标准前附表】</w:t>
      </w:r>
      <w:r>
        <w:rPr>
          <w:rFonts w:hint="eastAsia" w:ascii="宋体" w:hAnsi="宋体"/>
          <w:bCs/>
          <w:color w:val="auto"/>
          <w:szCs w:val="21"/>
          <w:highlight w:val="none"/>
        </w:rPr>
        <w:t>规定的方式确定一个参加评标的投标人，招标文件未规定的采取随机抽取方式确定，其他</w:t>
      </w:r>
      <w:r>
        <w:rPr>
          <w:rFonts w:hint="eastAsia" w:ascii="宋体" w:hAnsi="宋体"/>
          <w:b/>
          <w:bCs/>
          <w:color w:val="auto"/>
          <w:szCs w:val="21"/>
          <w:highlight w:val="none"/>
        </w:rPr>
        <w:t>投标无效</w:t>
      </w:r>
      <w:r>
        <w:rPr>
          <w:rFonts w:hint="eastAsia" w:ascii="宋体" w:hAnsi="宋体"/>
          <w:bCs/>
          <w:color w:val="auto"/>
          <w:szCs w:val="21"/>
          <w:highlight w:val="none"/>
        </w:rPr>
        <w:t>。</w:t>
      </w:r>
    </w:p>
    <w:p w14:paraId="57572628">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（2）综合评分法：提供相同品牌产品且通过资格审查、符合性审查的不同投标人参加同一合同项下投标的，评审后得分最高的同品牌投标人获得中标人推荐资格；评审得分相同的，按照</w:t>
      </w:r>
      <w:r>
        <w:rPr>
          <w:rFonts w:hint="eastAsia" w:ascii="宋体" w:hAnsi="宋体"/>
          <w:b/>
          <w:color w:val="auto"/>
          <w:szCs w:val="21"/>
          <w:highlight w:val="none"/>
        </w:rPr>
        <w:t>【评标方法及标准前附表】</w:t>
      </w:r>
      <w:r>
        <w:rPr>
          <w:rFonts w:hint="eastAsia" w:ascii="宋体" w:hAnsi="宋体"/>
          <w:color w:val="auto"/>
          <w:szCs w:val="21"/>
          <w:highlight w:val="none"/>
        </w:rPr>
        <w:t>规定的方式确定一个投标人获得中标人推荐资格，招标文件未规定的采取随机抽取方式确定，其他同品牌投标人</w:t>
      </w:r>
      <w:r>
        <w:rPr>
          <w:rFonts w:hint="eastAsia" w:ascii="宋体" w:hAnsi="宋体"/>
          <w:b/>
          <w:color w:val="auto"/>
          <w:szCs w:val="21"/>
          <w:highlight w:val="none"/>
        </w:rPr>
        <w:t>不作为中标候选人</w:t>
      </w:r>
      <w:r>
        <w:rPr>
          <w:rFonts w:hint="eastAsia" w:ascii="宋体" w:hAnsi="宋体"/>
          <w:color w:val="auto"/>
          <w:szCs w:val="21"/>
          <w:highlight w:val="none"/>
        </w:rPr>
        <w:t>。</w:t>
      </w:r>
    </w:p>
    <w:p w14:paraId="5603ECB9">
      <w:pPr>
        <w:adjustRightInd w:val="0"/>
        <w:snapToGrid w:val="0"/>
        <w:spacing w:before="156" w:beforeLines="50"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5.3非单一产品采购项目：多家投标人提供的核心产品品牌相同的，视为相同品牌，按本章本节第 5.2 款规定处理。</w:t>
      </w:r>
    </w:p>
    <w:p w14:paraId="36ACADF7">
      <w:pPr>
        <w:adjustRightInd w:val="0"/>
        <w:snapToGrid w:val="0"/>
        <w:spacing w:before="156" w:beforeLines="50"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5.4政府采购政策：</w:t>
      </w:r>
    </w:p>
    <w:p w14:paraId="19F674C3">
      <w:pPr>
        <w:adjustRightInd w:val="0"/>
        <w:snapToGrid w:val="0"/>
        <w:spacing w:before="156" w:beforeLines="50" w:line="360" w:lineRule="auto"/>
        <w:ind w:firstLine="420" w:firstLineChars="200"/>
        <w:jc w:val="left"/>
        <w:rPr>
          <w:rFonts w:ascii="宋体" w:hAnsi="宋体"/>
          <w:bCs/>
          <w:color w:val="auto"/>
          <w:szCs w:val="21"/>
          <w:highlight w:val="none"/>
        </w:rPr>
      </w:pPr>
      <w:r>
        <w:rPr>
          <w:rFonts w:hint="eastAsia" w:ascii="宋体" w:hAnsi="宋体"/>
          <w:color w:val="auto"/>
          <w:szCs w:val="21"/>
          <w:highlight w:val="none"/>
        </w:rPr>
        <w:t>（1）</w:t>
      </w:r>
      <w:r>
        <w:rPr>
          <w:rFonts w:hint="eastAsia" w:ascii="宋体" w:hAnsi="宋体"/>
          <w:bCs/>
          <w:color w:val="auto"/>
          <w:szCs w:val="21"/>
          <w:highlight w:val="none"/>
        </w:rPr>
        <w:t>价格评审优惠：评审时</w:t>
      </w:r>
      <w:r>
        <w:rPr>
          <w:rFonts w:hint="eastAsia" w:ascii="宋体" w:hAnsi="宋体"/>
          <w:color w:val="auto"/>
          <w:szCs w:val="21"/>
          <w:highlight w:val="none"/>
        </w:rPr>
        <w:t>按</w:t>
      </w:r>
      <w:r>
        <w:rPr>
          <w:rFonts w:hint="eastAsia" w:ascii="宋体" w:hAnsi="宋体"/>
          <w:b/>
          <w:color w:val="auto"/>
          <w:szCs w:val="21"/>
          <w:highlight w:val="none"/>
        </w:rPr>
        <w:t>【评标方法及标准前附表】</w:t>
      </w:r>
      <w:r>
        <w:rPr>
          <w:rFonts w:hint="eastAsia" w:ascii="宋体" w:hAnsi="宋体"/>
          <w:color w:val="auto"/>
          <w:szCs w:val="21"/>
          <w:highlight w:val="none"/>
        </w:rPr>
        <w:t>及第二章“投标须知”的相关规定给予相应比例的价格折扣。</w:t>
      </w:r>
    </w:p>
    <w:p w14:paraId="13426027">
      <w:pPr>
        <w:adjustRightInd w:val="0"/>
        <w:snapToGrid w:val="0"/>
        <w:spacing w:before="156" w:beforeLines="50" w:line="360" w:lineRule="auto"/>
        <w:ind w:firstLine="420" w:firstLineChars="200"/>
        <w:jc w:val="left"/>
        <w:rPr>
          <w:rFonts w:ascii="宋体" w:hAnsi="宋体"/>
          <w:bCs/>
          <w:color w:val="auto"/>
          <w:szCs w:val="21"/>
          <w:highlight w:val="none"/>
        </w:rPr>
      </w:pPr>
      <w:r>
        <w:rPr>
          <w:rFonts w:hint="eastAsia" w:ascii="宋体" w:hAnsi="宋体"/>
          <w:color w:val="auto"/>
          <w:szCs w:val="21"/>
          <w:highlight w:val="none"/>
        </w:rPr>
        <w:t>（2）优先采购：</w:t>
      </w:r>
      <w:r>
        <w:rPr>
          <w:rFonts w:hint="eastAsia" w:ascii="宋体" w:hAnsi="宋体"/>
          <w:bCs/>
          <w:color w:val="auto"/>
          <w:szCs w:val="21"/>
          <w:highlight w:val="none"/>
        </w:rPr>
        <w:t>评审时按</w:t>
      </w:r>
      <w:r>
        <w:rPr>
          <w:rFonts w:hint="eastAsia" w:ascii="宋体" w:hAnsi="宋体"/>
          <w:b/>
          <w:color w:val="auto"/>
          <w:szCs w:val="21"/>
          <w:highlight w:val="none"/>
        </w:rPr>
        <w:t>【评标方法及标准前附表】</w:t>
      </w:r>
      <w:r>
        <w:rPr>
          <w:rFonts w:hint="eastAsia" w:ascii="宋体" w:hAnsi="宋体"/>
          <w:bCs/>
          <w:color w:val="auto"/>
          <w:szCs w:val="21"/>
          <w:highlight w:val="none"/>
        </w:rPr>
        <w:t>及第二章</w:t>
      </w:r>
      <w:r>
        <w:rPr>
          <w:rFonts w:hint="eastAsia" w:ascii="宋体" w:hAnsi="宋体"/>
          <w:color w:val="auto"/>
          <w:szCs w:val="21"/>
          <w:highlight w:val="none"/>
        </w:rPr>
        <w:t>“投标须知”</w:t>
      </w:r>
      <w:r>
        <w:rPr>
          <w:rFonts w:hint="eastAsia" w:ascii="宋体" w:hAnsi="宋体"/>
          <w:bCs/>
          <w:color w:val="auto"/>
          <w:szCs w:val="21"/>
          <w:highlight w:val="none"/>
        </w:rPr>
        <w:t>的相关规定给予相应比例的价格折扣或者加分。</w:t>
      </w:r>
    </w:p>
    <w:p w14:paraId="4E3C1441">
      <w:pPr>
        <w:pStyle w:val="11"/>
        <w:keepNext w:val="0"/>
        <w:keepLines w:val="0"/>
        <w:adjustRightInd w:val="0"/>
        <w:snapToGrid w:val="0"/>
        <w:spacing w:before="156" w:beforeLines="50" w:after="0" w:line="360" w:lineRule="auto"/>
        <w:rPr>
          <w:rFonts w:ascii="黑体" w:hAnsi="黑体" w:eastAsia="黑体"/>
          <w:color w:val="auto"/>
          <w:sz w:val="24"/>
          <w:szCs w:val="24"/>
          <w:highlight w:val="none"/>
        </w:rPr>
      </w:pPr>
      <w:bookmarkStart w:id="50" w:name="_Toc2910"/>
      <w:r>
        <w:rPr>
          <w:rFonts w:hint="eastAsia" w:ascii="黑体" w:hAnsi="黑体" w:eastAsia="黑体"/>
          <w:bCs w:val="0"/>
          <w:color w:val="auto"/>
          <w:sz w:val="24"/>
          <w:szCs w:val="24"/>
          <w:highlight w:val="none"/>
        </w:rPr>
        <w:t>6．</w:t>
      </w:r>
      <w:r>
        <w:rPr>
          <w:rFonts w:hint="eastAsia" w:ascii="黑体" w:hAnsi="黑体" w:eastAsia="黑体"/>
          <w:color w:val="auto"/>
          <w:sz w:val="24"/>
          <w:szCs w:val="24"/>
          <w:highlight w:val="none"/>
        </w:rPr>
        <w:t>推荐中标候选人</w:t>
      </w:r>
      <w:bookmarkEnd w:id="50"/>
    </w:p>
    <w:p w14:paraId="33783F68">
      <w:pPr>
        <w:adjustRightInd w:val="0"/>
        <w:snapToGrid w:val="0"/>
        <w:spacing w:before="156" w:beforeLines="50" w:line="360" w:lineRule="auto"/>
        <w:ind w:firstLine="420" w:firstLineChars="200"/>
        <w:jc w:val="left"/>
        <w:rPr>
          <w:rFonts w:ascii="宋体" w:hAnsi="宋体"/>
          <w:bCs/>
          <w:color w:val="auto"/>
          <w:szCs w:val="21"/>
          <w:highlight w:val="none"/>
        </w:rPr>
      </w:pPr>
      <w:r>
        <w:rPr>
          <w:rFonts w:hint="eastAsia" w:ascii="宋体" w:hAnsi="宋体"/>
          <w:color w:val="auto"/>
          <w:szCs w:val="21"/>
          <w:highlight w:val="none"/>
        </w:rPr>
        <w:t>6.1最低评标价法：</w:t>
      </w:r>
      <w:r>
        <w:rPr>
          <w:rFonts w:hint="eastAsia" w:ascii="宋体" w:hAnsi="宋体"/>
          <w:bCs/>
          <w:color w:val="auto"/>
          <w:szCs w:val="21"/>
          <w:highlight w:val="none"/>
        </w:rPr>
        <w:t>评标结果按算术修正和落实政府采购政策需进行的价格扣除后的投标报价由低到高顺序排列。报价相同的并列，按</w:t>
      </w:r>
      <w:r>
        <w:rPr>
          <w:rFonts w:hint="eastAsia" w:ascii="宋体" w:hAnsi="宋体"/>
          <w:b/>
          <w:color w:val="auto"/>
          <w:szCs w:val="21"/>
          <w:highlight w:val="none"/>
        </w:rPr>
        <w:t>【评标方法及标准前附表】</w:t>
      </w:r>
      <w:r>
        <w:rPr>
          <w:rFonts w:hint="eastAsia" w:ascii="宋体" w:hAnsi="宋体"/>
          <w:color w:val="auto"/>
          <w:szCs w:val="21"/>
          <w:highlight w:val="none"/>
        </w:rPr>
        <w:t>规定的方式确定中标人；</w:t>
      </w:r>
      <w:r>
        <w:rPr>
          <w:rFonts w:hint="eastAsia" w:ascii="宋体" w:hAnsi="宋体"/>
          <w:bCs/>
          <w:color w:val="auto"/>
          <w:szCs w:val="21"/>
          <w:highlight w:val="none"/>
        </w:rPr>
        <w:t>招标文件未规定的，采取随机抽取的方式确定。</w:t>
      </w:r>
    </w:p>
    <w:p w14:paraId="02B1DCA1">
      <w:pPr>
        <w:adjustRightInd w:val="0"/>
        <w:snapToGrid w:val="0"/>
        <w:spacing w:before="156" w:beforeLines="50"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6.2综合评分法：评标结果按评审后得分由高到低顺序排列。得分相同的，按投标报价由低到高顺序排列。得分且投标报价相同的并列，按</w:t>
      </w:r>
      <w:r>
        <w:rPr>
          <w:rFonts w:hint="eastAsia" w:ascii="宋体" w:hAnsi="宋体"/>
          <w:b/>
          <w:bCs/>
          <w:color w:val="auto"/>
          <w:szCs w:val="21"/>
          <w:highlight w:val="none"/>
        </w:rPr>
        <w:t>【评标方法及标准前附表】</w:t>
      </w:r>
      <w:r>
        <w:rPr>
          <w:rFonts w:hint="eastAsia" w:ascii="宋体" w:hAnsi="宋体"/>
          <w:bCs/>
          <w:color w:val="auto"/>
          <w:szCs w:val="21"/>
          <w:highlight w:val="none"/>
        </w:rPr>
        <w:t>规定的方式确定中标人；招标文件未规定的，采取随机抽取的方式确定。</w:t>
      </w:r>
    </w:p>
    <w:p w14:paraId="225E45C0">
      <w:pPr>
        <w:pStyle w:val="11"/>
        <w:keepNext w:val="0"/>
        <w:keepLines w:val="0"/>
        <w:adjustRightInd w:val="0"/>
        <w:snapToGrid w:val="0"/>
        <w:spacing w:before="156" w:beforeLines="50" w:after="0" w:line="360" w:lineRule="auto"/>
        <w:rPr>
          <w:rFonts w:ascii="黑体" w:hAnsi="黑体" w:eastAsia="黑体"/>
          <w:color w:val="auto"/>
          <w:sz w:val="24"/>
          <w:szCs w:val="24"/>
          <w:highlight w:val="none"/>
        </w:rPr>
      </w:pPr>
      <w:bookmarkStart w:id="51" w:name="_Toc2208"/>
      <w:r>
        <w:rPr>
          <w:rFonts w:hint="eastAsia" w:ascii="黑体" w:hAnsi="黑体" w:eastAsia="黑体"/>
          <w:bCs w:val="0"/>
          <w:color w:val="auto"/>
          <w:sz w:val="24"/>
          <w:szCs w:val="24"/>
          <w:highlight w:val="none"/>
        </w:rPr>
        <w:t>7．</w:t>
      </w:r>
      <w:r>
        <w:rPr>
          <w:rFonts w:hint="eastAsia" w:ascii="黑体" w:hAnsi="黑体" w:eastAsia="黑体"/>
          <w:color w:val="auto"/>
          <w:sz w:val="24"/>
          <w:szCs w:val="24"/>
          <w:highlight w:val="none"/>
        </w:rPr>
        <w:t>编写评标报告</w:t>
      </w:r>
      <w:bookmarkEnd w:id="51"/>
    </w:p>
    <w:p w14:paraId="710634F9">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7.1评标</w:t>
      </w:r>
      <w:r>
        <w:rPr>
          <w:rFonts w:hint="eastAsia" w:ascii="宋体" w:hAnsi="宋体"/>
          <w:bCs/>
          <w:color w:val="auto"/>
          <w:szCs w:val="21"/>
          <w:highlight w:val="none"/>
        </w:rPr>
        <w:t>委员会</w:t>
      </w:r>
      <w:r>
        <w:rPr>
          <w:rFonts w:hint="eastAsia" w:ascii="宋体" w:hAnsi="宋体"/>
          <w:color w:val="auto"/>
          <w:szCs w:val="21"/>
          <w:highlight w:val="none"/>
        </w:rPr>
        <w:t>根据全体评标成员签字的原始评标记录和评标结果编写评标报告。</w:t>
      </w:r>
    </w:p>
    <w:p w14:paraId="687BADB9">
      <w:pPr>
        <w:adjustRightInd w:val="0"/>
        <w:snapToGrid w:val="0"/>
        <w:spacing w:before="156" w:beforeLines="50" w:line="360" w:lineRule="auto"/>
        <w:ind w:firstLine="420" w:firstLineChars="200"/>
        <w:jc w:val="left"/>
        <w:rPr>
          <w:rFonts w:ascii="宋体" w:hAnsi="宋体"/>
          <w:bCs/>
          <w:color w:val="auto"/>
          <w:szCs w:val="21"/>
          <w:highlight w:val="none"/>
        </w:rPr>
      </w:pPr>
      <w:r>
        <w:rPr>
          <w:rFonts w:hint="eastAsia" w:ascii="宋体" w:hAnsi="宋体"/>
          <w:color w:val="auto"/>
          <w:szCs w:val="21"/>
          <w:highlight w:val="none"/>
        </w:rPr>
        <w:t>7.2</w:t>
      </w:r>
      <w:r>
        <w:rPr>
          <w:rFonts w:hint="eastAsia" w:ascii="宋体" w:hAnsi="宋体"/>
          <w:bCs/>
          <w:color w:val="auto"/>
          <w:szCs w:val="21"/>
          <w:highlight w:val="none"/>
        </w:rPr>
        <w:t>评标委员会成员对需要共同认定的事项存在争议的，应当按照少数服从多数的原则作出结论。持不同意见的评标委员会成员应当在评标报告上签署不同意见及理由，否则视为同意评标报告。</w:t>
      </w:r>
    </w:p>
    <w:p w14:paraId="7E764EF2">
      <w:pPr>
        <w:pStyle w:val="11"/>
        <w:keepNext w:val="0"/>
        <w:keepLines w:val="0"/>
        <w:adjustRightInd w:val="0"/>
        <w:snapToGrid w:val="0"/>
        <w:spacing w:before="156" w:beforeLines="50" w:after="0" w:line="360" w:lineRule="auto"/>
        <w:rPr>
          <w:rFonts w:ascii="黑体" w:hAnsi="黑体" w:eastAsia="黑体"/>
          <w:bCs w:val="0"/>
          <w:color w:val="auto"/>
          <w:sz w:val="24"/>
          <w:szCs w:val="24"/>
          <w:highlight w:val="none"/>
        </w:rPr>
      </w:pPr>
      <w:bookmarkStart w:id="52" w:name="_Toc32460"/>
      <w:r>
        <w:rPr>
          <w:rFonts w:hint="eastAsia" w:ascii="黑体" w:hAnsi="黑体" w:eastAsia="黑体"/>
          <w:bCs w:val="0"/>
          <w:color w:val="auto"/>
          <w:sz w:val="24"/>
          <w:szCs w:val="24"/>
          <w:highlight w:val="none"/>
        </w:rPr>
        <w:t>8．</w:t>
      </w:r>
      <w:r>
        <w:rPr>
          <w:rFonts w:hint="eastAsia" w:ascii="黑体" w:hAnsi="黑体" w:eastAsia="黑体"/>
          <w:color w:val="auto"/>
          <w:sz w:val="24"/>
          <w:szCs w:val="24"/>
          <w:highlight w:val="none"/>
        </w:rPr>
        <w:t>评标报告</w:t>
      </w:r>
      <w:r>
        <w:rPr>
          <w:rFonts w:hint="eastAsia" w:ascii="黑体" w:hAnsi="黑体" w:eastAsia="黑体"/>
          <w:bCs w:val="0"/>
          <w:color w:val="auto"/>
          <w:sz w:val="24"/>
          <w:szCs w:val="24"/>
          <w:highlight w:val="none"/>
        </w:rPr>
        <w:t>复核</w:t>
      </w:r>
      <w:bookmarkEnd w:id="52"/>
    </w:p>
    <w:p w14:paraId="1D5A7CF1">
      <w:pPr>
        <w:adjustRightInd w:val="0"/>
        <w:snapToGrid w:val="0"/>
        <w:spacing w:before="156" w:beforeLines="50"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8.1汇总结束后，评标委员会应当进行复核，特别要对拟推荐为中标候选供应商的、报价最低的、投标文件被认定为无效的进行重点复核。</w:t>
      </w:r>
    </w:p>
    <w:p w14:paraId="6FAA79CC">
      <w:pPr>
        <w:adjustRightInd w:val="0"/>
        <w:snapToGrid w:val="0"/>
        <w:spacing w:before="156" w:beforeLines="50"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8.2汇总完成后，除下列情形外，任何人不得修改评标结果：</w:t>
      </w:r>
    </w:p>
    <w:p w14:paraId="698A2B07">
      <w:pPr>
        <w:adjustRightInd w:val="0"/>
        <w:snapToGrid w:val="0"/>
        <w:spacing w:before="156" w:beforeLines="50"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（1）分值汇总计算错误的；</w:t>
      </w:r>
    </w:p>
    <w:p w14:paraId="78C50A1E">
      <w:pPr>
        <w:adjustRightInd w:val="0"/>
        <w:snapToGrid w:val="0"/>
        <w:spacing w:before="156" w:beforeLines="50"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（2）分项评分超出评分标准范围的；</w:t>
      </w:r>
    </w:p>
    <w:p w14:paraId="7F2FEFD1">
      <w:pPr>
        <w:adjustRightInd w:val="0"/>
        <w:snapToGrid w:val="0"/>
        <w:spacing w:before="156" w:beforeLines="50"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（3）评标委员会成员对客观评审因素评分不一致的；</w:t>
      </w:r>
    </w:p>
    <w:p w14:paraId="1765783E">
      <w:pPr>
        <w:adjustRightInd w:val="0"/>
        <w:snapToGrid w:val="0"/>
        <w:spacing w:before="156" w:beforeLines="50"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（4）经评标委员会认定评分畸高、畸低的。</w:t>
      </w:r>
    </w:p>
    <w:p w14:paraId="5AAEC982">
      <w:pPr>
        <w:adjustRightInd w:val="0"/>
        <w:snapToGrid w:val="0"/>
        <w:spacing w:before="156" w:beforeLines="50" w:line="360" w:lineRule="auto"/>
        <w:ind w:firstLine="420" w:firstLineChars="200"/>
        <w:jc w:val="left"/>
        <w:rPr>
          <w:rFonts w:ascii="宋体" w:hAnsi="宋体"/>
          <w:b/>
          <w:bCs/>
          <w:color w:val="auto"/>
          <w:szCs w:val="21"/>
          <w:highlight w:val="none"/>
        </w:rPr>
      </w:pPr>
      <w:r>
        <w:rPr>
          <w:rFonts w:hint="eastAsia" w:ascii="宋体" w:hAnsi="宋体"/>
          <w:bCs/>
          <w:color w:val="auto"/>
          <w:szCs w:val="21"/>
          <w:highlight w:val="none"/>
        </w:rPr>
        <w:t>8.3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275B082A">
      <w:pPr>
        <w:pStyle w:val="11"/>
        <w:keepNext w:val="0"/>
        <w:keepLines w:val="0"/>
        <w:adjustRightInd w:val="0"/>
        <w:snapToGrid w:val="0"/>
        <w:spacing w:before="156" w:beforeLines="50" w:after="0" w:line="360" w:lineRule="auto"/>
        <w:rPr>
          <w:rFonts w:ascii="黑体" w:hAnsi="黑体" w:eastAsia="黑体"/>
          <w:bCs w:val="0"/>
          <w:color w:val="auto"/>
          <w:sz w:val="24"/>
          <w:szCs w:val="24"/>
          <w:highlight w:val="none"/>
        </w:rPr>
      </w:pPr>
      <w:bookmarkStart w:id="53" w:name="_Toc5468"/>
      <w:r>
        <w:rPr>
          <w:rFonts w:hint="eastAsia" w:ascii="黑体" w:hAnsi="黑体" w:eastAsia="黑体"/>
          <w:color w:val="auto"/>
          <w:sz w:val="24"/>
          <w:szCs w:val="24"/>
          <w:highlight w:val="none"/>
        </w:rPr>
        <w:t>9．</w:t>
      </w:r>
      <w:r>
        <w:rPr>
          <w:rFonts w:hint="eastAsia" w:ascii="黑体" w:hAnsi="黑体" w:eastAsia="黑体"/>
          <w:bCs w:val="0"/>
          <w:color w:val="auto"/>
          <w:sz w:val="24"/>
          <w:szCs w:val="24"/>
          <w:highlight w:val="none"/>
        </w:rPr>
        <w:t>停止评标</w:t>
      </w:r>
      <w:bookmarkEnd w:id="53"/>
    </w:p>
    <w:p w14:paraId="5B066A7E">
      <w:pPr>
        <w:adjustRightInd w:val="0"/>
        <w:snapToGrid w:val="0"/>
        <w:spacing w:before="156" w:beforeLines="50" w:line="360" w:lineRule="auto"/>
        <w:ind w:firstLine="420" w:firstLineChars="200"/>
        <w:jc w:val="left"/>
        <w:rPr>
          <w:rFonts w:ascii="宋体" w:hAnsi="宋体" w:cs="宋体"/>
          <w:color w:val="auto"/>
          <w:kern w:val="0"/>
          <w:szCs w:val="21"/>
          <w:highlight w:val="none"/>
        </w:rPr>
      </w:pPr>
      <w:r>
        <w:rPr>
          <w:rFonts w:hint="eastAsia" w:ascii="宋体" w:hAnsi="宋体"/>
          <w:bCs/>
          <w:color w:val="auto"/>
          <w:szCs w:val="21"/>
          <w:highlight w:val="none"/>
        </w:rPr>
        <w:t>9.1</w:t>
      </w:r>
      <w:r>
        <w:rPr>
          <w:rFonts w:hint="eastAsia" w:ascii="宋体" w:hAnsi="宋体" w:cs="宋体"/>
          <w:color w:val="auto"/>
          <w:kern w:val="0"/>
          <w:szCs w:val="21"/>
          <w:highlight w:val="none"/>
        </w:rPr>
        <w:t>评标委员会发现招标文件存在歧义、重大缺陷导致评标工作无法进行，或者招标文件内容违反国家有关强制性规定的，应当停止评标工作，与采购人、采购代理机构沟通并作书面记录。采购人、采购代理机构确认后，应当修改招标文件，重新组织采购活动。</w:t>
      </w:r>
    </w:p>
    <w:p w14:paraId="56F1AF71">
      <w:pPr>
        <w:pStyle w:val="11"/>
        <w:keepNext w:val="0"/>
        <w:keepLines w:val="0"/>
        <w:adjustRightInd w:val="0"/>
        <w:snapToGrid w:val="0"/>
        <w:spacing w:before="156" w:beforeLines="50" w:after="0" w:line="360" w:lineRule="auto"/>
        <w:rPr>
          <w:rFonts w:ascii="黑体" w:hAnsi="黑体" w:eastAsia="黑体"/>
          <w:color w:val="auto"/>
          <w:sz w:val="24"/>
          <w:szCs w:val="24"/>
          <w:highlight w:val="none"/>
        </w:rPr>
      </w:pPr>
      <w:bookmarkStart w:id="54" w:name="_Toc23970"/>
      <w:r>
        <w:rPr>
          <w:rFonts w:hint="eastAsia" w:ascii="黑体" w:hAnsi="黑体" w:eastAsia="黑体"/>
          <w:color w:val="auto"/>
          <w:sz w:val="24"/>
          <w:szCs w:val="24"/>
          <w:highlight w:val="none"/>
        </w:rPr>
        <w:t>10</w:t>
      </w:r>
      <w:r>
        <w:rPr>
          <w:rFonts w:hint="eastAsia" w:ascii="黑体" w:hAnsi="黑体" w:eastAsia="黑体" w:cs="宋体"/>
          <w:color w:val="auto"/>
          <w:kern w:val="0"/>
          <w:sz w:val="24"/>
          <w:szCs w:val="24"/>
          <w:highlight w:val="none"/>
        </w:rPr>
        <w:t>．</w:t>
      </w:r>
      <w:r>
        <w:rPr>
          <w:rFonts w:hint="eastAsia" w:ascii="黑体" w:hAnsi="黑体" w:eastAsia="黑体"/>
          <w:color w:val="auto"/>
          <w:sz w:val="24"/>
          <w:szCs w:val="24"/>
          <w:highlight w:val="none"/>
        </w:rPr>
        <w:t>废标</w:t>
      </w:r>
      <w:bookmarkEnd w:id="54"/>
    </w:p>
    <w:p w14:paraId="1D005B07">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10.1 根据有关法律法规和招标文件的有关规定，如出现下列情况之一的，应予以废标：</w:t>
      </w:r>
    </w:p>
    <w:p w14:paraId="7D46AE3D">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（1）符合专业条件的投标人或者对招标文件作实质响应的投标人不足三家的；</w:t>
      </w:r>
    </w:p>
    <w:p w14:paraId="6848A889">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（2）出现影响采购公正的违法、违规行为的；</w:t>
      </w:r>
    </w:p>
    <w:p w14:paraId="4481CB4B">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（3）投标人的报价均超过采购项目预算，采购人不能支付的；</w:t>
      </w:r>
    </w:p>
    <w:p w14:paraId="595859F1">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（4）因重大变故，采购任务取消的。</w:t>
      </w:r>
    </w:p>
    <w:p w14:paraId="2188C310">
      <w:pPr>
        <w:pStyle w:val="11"/>
        <w:keepNext w:val="0"/>
        <w:keepLines w:val="0"/>
        <w:adjustRightInd w:val="0"/>
        <w:snapToGrid w:val="0"/>
        <w:spacing w:before="156" w:beforeLines="50" w:after="0" w:line="360" w:lineRule="auto"/>
        <w:rPr>
          <w:rFonts w:ascii="黑体" w:hAnsi="黑体" w:eastAsia="黑体"/>
          <w:bCs w:val="0"/>
          <w:color w:val="auto"/>
          <w:sz w:val="24"/>
          <w:szCs w:val="24"/>
          <w:highlight w:val="none"/>
        </w:rPr>
      </w:pPr>
      <w:bookmarkStart w:id="55" w:name="_Toc15204"/>
      <w:r>
        <w:rPr>
          <w:rFonts w:hint="eastAsia" w:ascii="黑体" w:hAnsi="黑体" w:eastAsia="黑体" w:cs="宋体"/>
          <w:color w:val="auto"/>
          <w:kern w:val="0"/>
          <w:sz w:val="24"/>
          <w:szCs w:val="24"/>
          <w:highlight w:val="none"/>
        </w:rPr>
        <w:t>11．重新组建评标委员会进行评标</w:t>
      </w:r>
      <w:bookmarkEnd w:id="55"/>
    </w:p>
    <w:p w14:paraId="503C458E">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11.1评标委员会或者其成员存在下列情形导致评标结果无效的，采购人、采购代理机构可以重新组建评标委员会进行评标，并书面报告本级财政部门，但采购合同已经履行的除外：</w:t>
      </w:r>
    </w:p>
    <w:p w14:paraId="041167BD">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（1）评标委员会组成不符合《政府采购货物和服务招标投标管理办法》规定的；</w:t>
      </w:r>
    </w:p>
    <w:p w14:paraId="6BC73715">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（2）有《政府采购货物和服务招标投标管理办法》第六十二条第一至五项情形的；</w:t>
      </w:r>
    </w:p>
    <w:p w14:paraId="36676DA4">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（3）评标委员会及其成员独立评标受到非法干预的；</w:t>
      </w:r>
    </w:p>
    <w:p w14:paraId="12646885">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（4）有政府采购法实施条例第七十五条规定的违法行为的。</w:t>
      </w:r>
    </w:p>
    <w:p w14:paraId="2EE6B23A">
      <w:pPr>
        <w:adjustRightInd w:val="0"/>
        <w:snapToGrid w:val="0"/>
        <w:spacing w:before="156" w:beforeLines="50" w:line="360" w:lineRule="auto"/>
        <w:ind w:firstLine="420" w:firstLineChars="200"/>
        <w:jc w:val="left"/>
        <w:rPr>
          <w:rFonts w:ascii="黑体" w:hAnsi="华文中宋" w:eastAsia="黑体"/>
          <w:b/>
          <w:color w:val="auto"/>
          <w:sz w:val="13"/>
          <w:szCs w:val="13"/>
          <w:highlight w:val="none"/>
        </w:rPr>
      </w:pPr>
      <w:r>
        <w:rPr>
          <w:rFonts w:hint="eastAsia" w:ascii="宋体" w:hAnsi="宋体"/>
          <w:color w:val="auto"/>
          <w:szCs w:val="21"/>
          <w:highlight w:val="none"/>
        </w:rPr>
        <w:t>11.2有违法违规行为的原评标委员会成员不得参加重新组建的评标委员会。</w:t>
      </w:r>
      <w:r>
        <w:rPr>
          <w:rFonts w:ascii="黑体" w:hAnsi="华文中宋" w:eastAsia="黑体"/>
          <w:b/>
          <w:color w:val="auto"/>
          <w:sz w:val="32"/>
          <w:szCs w:val="32"/>
          <w:highlight w:val="none"/>
        </w:rPr>
        <w:br w:type="page"/>
      </w:r>
    </w:p>
    <w:p w14:paraId="7CE3A415">
      <w:pPr>
        <w:pStyle w:val="10"/>
        <w:adjustRightInd w:val="0"/>
        <w:snapToGrid w:val="0"/>
        <w:jc w:val="center"/>
        <w:rPr>
          <w:rFonts w:ascii="黑体" w:hAnsi="华文中宋" w:eastAsia="黑体"/>
          <w:color w:val="auto"/>
          <w:sz w:val="28"/>
          <w:szCs w:val="28"/>
          <w:highlight w:val="none"/>
        </w:rPr>
      </w:pPr>
      <w:bookmarkStart w:id="56" w:name="_Toc12047"/>
      <w:r>
        <w:rPr>
          <w:rFonts w:hint="eastAsia" w:ascii="黑体" w:hAnsi="华文中宋" w:eastAsia="黑体"/>
          <w:color w:val="auto"/>
          <w:sz w:val="28"/>
          <w:szCs w:val="28"/>
          <w:highlight w:val="none"/>
        </w:rPr>
        <w:t>第三节 投标文件的符合性审查</w:t>
      </w:r>
      <w:bookmarkEnd w:id="56"/>
    </w:p>
    <w:p w14:paraId="1F8048D6">
      <w:pPr>
        <w:adjustRightInd w:val="0"/>
        <w:snapToGrid w:val="0"/>
        <w:spacing w:before="156" w:beforeLines="50" w:line="360" w:lineRule="auto"/>
        <w:rPr>
          <w:rFonts w:ascii="黑体" w:hAnsi="黑体" w:eastAsia="黑体"/>
          <w:b/>
          <w:color w:val="auto"/>
          <w:sz w:val="24"/>
          <w:highlight w:val="none"/>
        </w:rPr>
      </w:pPr>
      <w:r>
        <w:rPr>
          <w:rFonts w:hint="eastAsia" w:ascii="黑体" w:hAnsi="黑体" w:eastAsia="黑体"/>
          <w:b/>
          <w:color w:val="auto"/>
          <w:sz w:val="24"/>
          <w:highlight w:val="none"/>
        </w:rPr>
        <w:t>1.符合性审查</w:t>
      </w:r>
    </w:p>
    <w:p w14:paraId="767F4078">
      <w:pPr>
        <w:adjustRightInd w:val="0"/>
        <w:snapToGrid w:val="0"/>
        <w:spacing w:before="156" w:beforeLines="50" w:line="360" w:lineRule="auto"/>
        <w:ind w:firstLine="420" w:firstLineChars="200"/>
        <w:rPr>
          <w:rFonts w:ascii="宋体" w:hAnsi="宋体"/>
          <w:color w:val="auto"/>
          <w:highlight w:val="none"/>
        </w:rPr>
      </w:pPr>
      <w:r>
        <w:rPr>
          <w:rFonts w:hint="eastAsia" w:ascii="宋体" w:hAnsi="宋体"/>
          <w:color w:val="auto"/>
          <w:highlight w:val="none"/>
        </w:rPr>
        <w:t>1.1</w:t>
      </w:r>
      <w:r>
        <w:rPr>
          <w:rFonts w:hint="eastAsia" w:ascii="宋体" w:hAnsi="宋体"/>
          <w:color w:val="auto"/>
          <w:szCs w:val="21"/>
          <w:highlight w:val="none"/>
        </w:rPr>
        <w:t>评标委员会应按本章本节附表1“符合性审查表”所列审查项目及审查标准，</w:t>
      </w:r>
      <w:r>
        <w:rPr>
          <w:rFonts w:hint="eastAsia" w:ascii="宋体" w:hAnsi="宋体"/>
          <w:color w:val="auto"/>
          <w:highlight w:val="none"/>
        </w:rPr>
        <w:t>对符合资格条件的投标人的投标文件进行符合性审查，以确定其是否满足招标文件的实质性要求。</w:t>
      </w:r>
    </w:p>
    <w:p w14:paraId="1284E8F6">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依据招标文件的规定，从投标文件的有效性、完整性和对招标文件的响应程度进行审查，以确定是否对招标文件的实质性要求作出响应。评标委员会判断投标文件的响应性只根据投标文件的内容，而不依据外部的证据。</w:t>
      </w:r>
    </w:p>
    <w:p w14:paraId="32B6BE92">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（2）投标人不得通过修正或撤销不合要求的偏离从而使其投标成为实质上响应的投标。</w:t>
      </w:r>
    </w:p>
    <w:p w14:paraId="2FDA2CDE">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kern w:val="0"/>
          <w:szCs w:val="21"/>
          <w:highlight w:val="none"/>
        </w:rPr>
        <w:t>1.2</w:t>
      </w:r>
      <w:r>
        <w:rPr>
          <w:rFonts w:hint="eastAsia" w:ascii="宋体" w:hAnsi="宋体"/>
          <w:color w:val="auto"/>
          <w:highlight w:val="none"/>
        </w:rPr>
        <w:t>未通过符合性审查的投标人，其投标将被认定为投标无效，不能进入下一阶段评审。通过符合性审查的投标人数量不足 3 家的，不得作进一步的比较和评价。</w:t>
      </w:r>
    </w:p>
    <w:p w14:paraId="62320988">
      <w:pPr>
        <w:adjustRightInd w:val="0"/>
        <w:snapToGrid w:val="0"/>
        <w:spacing w:before="156" w:beforeLines="50" w:line="360" w:lineRule="auto"/>
        <w:jc w:val="left"/>
        <w:rPr>
          <w:rFonts w:ascii="黑体" w:hAnsi="黑体" w:eastAsia="黑体"/>
          <w:b/>
          <w:color w:val="auto"/>
          <w:sz w:val="24"/>
          <w:highlight w:val="none"/>
        </w:rPr>
      </w:pPr>
      <w:r>
        <w:rPr>
          <w:rFonts w:hint="eastAsia" w:ascii="黑体" w:hAnsi="黑体" w:eastAsia="黑体"/>
          <w:b/>
          <w:color w:val="auto"/>
          <w:sz w:val="24"/>
          <w:highlight w:val="none"/>
        </w:rPr>
        <w:t>2.投标无效</w:t>
      </w:r>
    </w:p>
    <w:p w14:paraId="7D493A1D">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2.1投标人存在下列情况之一的，符合性审查不合格，投标无效：</w:t>
      </w:r>
    </w:p>
    <w:p w14:paraId="79AFE563">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（1）投标文件中商务技术文件未按照招标文件规定要求签署、盖章的；</w:t>
      </w:r>
    </w:p>
    <w:p w14:paraId="216A5E2C">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（2）投标文件没有对招标文件的实质性要求和条件作出响应，或者对招标文件的偏离超出招标文件规定的偏离</w:t>
      </w:r>
      <w:r>
        <w:rPr>
          <w:rFonts w:hint="eastAsia" w:ascii="宋体" w:hAnsi="宋体"/>
          <w:color w:val="auto"/>
          <w:highlight w:val="none"/>
        </w:rPr>
        <w:t>范围和幅度</w:t>
      </w:r>
      <w:r>
        <w:rPr>
          <w:rFonts w:hint="eastAsia" w:ascii="宋体" w:hAnsi="宋体"/>
          <w:color w:val="auto"/>
          <w:szCs w:val="21"/>
          <w:highlight w:val="none"/>
        </w:rPr>
        <w:t>；</w:t>
      </w:r>
    </w:p>
    <w:p w14:paraId="6C810ED7">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（3）投标有效期不足的；</w:t>
      </w:r>
    </w:p>
    <w:p w14:paraId="579F82C7">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（4）投标文件含有采购人不能接受的附加条件的；</w:t>
      </w:r>
    </w:p>
    <w:p w14:paraId="2645AD07">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（5）不符合本节第1.1款规定符合性审查标准的；</w:t>
      </w:r>
    </w:p>
    <w:p w14:paraId="7E5055BA">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（6）法律、法规和招标文件规定的其他投标无效情形的。</w:t>
      </w:r>
    </w:p>
    <w:p w14:paraId="3FBD2FF4">
      <w:pPr>
        <w:adjustRightInd w:val="0"/>
        <w:snapToGrid w:val="0"/>
        <w:spacing w:before="156" w:beforeLines="50"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2.2在评标过程中发现投标人有不遵循公平竞争的原则，恶意串通，妨碍其他投标人的竞争行为，损害采购人或者其他投标人的合法权益的，评标委员会应当认定其</w:t>
      </w:r>
      <w:r>
        <w:rPr>
          <w:rFonts w:hint="eastAsia" w:ascii="宋体" w:hAnsi="宋体"/>
          <w:b/>
          <w:color w:val="auto"/>
          <w:kern w:val="0"/>
          <w:szCs w:val="21"/>
          <w:highlight w:val="none"/>
        </w:rPr>
        <w:t>投标无效</w:t>
      </w:r>
      <w:r>
        <w:rPr>
          <w:rFonts w:hint="eastAsia" w:ascii="宋体" w:hAnsi="宋体"/>
          <w:color w:val="auto"/>
          <w:kern w:val="0"/>
          <w:szCs w:val="21"/>
          <w:highlight w:val="none"/>
        </w:rPr>
        <w:t>，并书面报告本级财政部门。</w:t>
      </w:r>
    </w:p>
    <w:p w14:paraId="2F00D029">
      <w:pPr>
        <w:rPr>
          <w:color w:val="auto"/>
          <w:highlight w:val="none"/>
        </w:rPr>
      </w:pPr>
    </w:p>
    <w:p w14:paraId="5E97E97F">
      <w:pPr>
        <w:rPr>
          <w:color w:val="auto"/>
          <w:highlight w:val="none"/>
        </w:rPr>
      </w:pPr>
    </w:p>
    <w:p w14:paraId="387367D5">
      <w:pPr>
        <w:widowControl/>
        <w:jc w:val="left"/>
        <w:rPr>
          <w:rFonts w:ascii="黑体" w:hAnsi="黑体"/>
          <w:b/>
          <w:color w:val="auto"/>
          <w:sz w:val="10"/>
          <w:szCs w:val="10"/>
          <w:highlight w:val="none"/>
        </w:rPr>
      </w:pPr>
      <w:r>
        <w:rPr>
          <w:rFonts w:ascii="黑体" w:hAnsi="黑体"/>
          <w:b/>
          <w:color w:val="auto"/>
          <w:szCs w:val="21"/>
          <w:highlight w:val="none"/>
        </w:rPr>
        <w:br w:type="page"/>
      </w:r>
    </w:p>
    <w:p w14:paraId="0E81A08D">
      <w:pPr>
        <w:pStyle w:val="11"/>
        <w:adjustRightInd w:val="0"/>
        <w:snapToGrid w:val="0"/>
        <w:spacing w:before="156" w:beforeLines="50" w:after="0" w:line="360" w:lineRule="auto"/>
        <w:rPr>
          <w:rFonts w:ascii="黑体" w:hAnsi="黑体" w:eastAsia="黑体" w:cs="黑体"/>
          <w:b w:val="0"/>
          <w:bCs w:val="0"/>
          <w:color w:val="auto"/>
          <w:sz w:val="21"/>
          <w:szCs w:val="21"/>
          <w:highlight w:val="none"/>
        </w:rPr>
      </w:pPr>
      <w:bookmarkStart w:id="57" w:name="_Toc23335"/>
      <w:r>
        <w:rPr>
          <w:rFonts w:hint="eastAsia" w:ascii="黑体" w:hAnsi="黑体" w:eastAsia="黑体" w:cs="黑体"/>
          <w:b w:val="0"/>
          <w:bCs w:val="0"/>
          <w:color w:val="auto"/>
          <w:sz w:val="21"/>
          <w:szCs w:val="21"/>
          <w:highlight w:val="none"/>
        </w:rPr>
        <w:t>附表1 符合性审查表</w:t>
      </w:r>
      <w:bookmarkEnd w:id="57"/>
    </w:p>
    <w:p w14:paraId="5919F1EA">
      <w:pPr>
        <w:adjustRightInd w:val="0"/>
        <w:snapToGrid w:val="0"/>
        <w:spacing w:before="156" w:beforeLines="50" w:line="360" w:lineRule="auto"/>
        <w:jc w:val="center"/>
        <w:rPr>
          <w:rFonts w:ascii="黑体" w:hAnsi="黑体" w:eastAsia="黑体"/>
          <w:b/>
          <w:color w:val="auto"/>
          <w:sz w:val="28"/>
          <w:szCs w:val="28"/>
          <w:highlight w:val="none"/>
        </w:rPr>
      </w:pPr>
      <w:r>
        <w:rPr>
          <w:rFonts w:hint="eastAsia" w:ascii="黑体" w:hAnsi="黑体" w:eastAsia="黑体"/>
          <w:b/>
          <w:color w:val="auto"/>
          <w:sz w:val="28"/>
          <w:szCs w:val="28"/>
          <w:highlight w:val="none"/>
        </w:rPr>
        <w:t>符合性审查表</w:t>
      </w:r>
    </w:p>
    <w:p w14:paraId="0A966C9E">
      <w:pPr>
        <w:adjustRightInd w:val="0"/>
        <w:snapToGrid w:val="0"/>
        <w:spacing w:before="156" w:beforeLines="50" w:line="360" w:lineRule="auto"/>
        <w:rPr>
          <w:rFonts w:ascii="宋体" w:hAnsi="宋体"/>
          <w:color w:val="auto"/>
          <w:szCs w:val="21"/>
          <w:highlight w:val="none"/>
        </w:rPr>
      </w:pPr>
      <w:r>
        <w:rPr>
          <w:rFonts w:hint="eastAsia" w:ascii="宋体" w:hAnsi="宋体"/>
          <w:color w:val="auto"/>
          <w:szCs w:val="21"/>
          <w:highlight w:val="none"/>
        </w:rPr>
        <w:t xml:space="preserve">项目名称：                                           政府采购计划编号： </w:t>
      </w:r>
    </w:p>
    <w:tbl>
      <w:tblPr>
        <w:tblStyle w:val="29"/>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3"/>
        <w:gridCol w:w="2686"/>
        <w:gridCol w:w="5691"/>
      </w:tblGrid>
      <w:tr w14:paraId="0BE437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trPr>
        <w:tc>
          <w:tcPr>
            <w:tcW w:w="683" w:type="dxa"/>
            <w:shd w:val="clear" w:color="auto" w:fill="auto"/>
            <w:vAlign w:val="center"/>
          </w:tcPr>
          <w:p w14:paraId="1062F78F">
            <w:pPr>
              <w:adjustRightInd w:val="0"/>
              <w:snapToGrid w:val="0"/>
              <w:spacing w:before="156" w:beforeLines="50" w:line="360" w:lineRule="auto"/>
              <w:jc w:val="center"/>
              <w:rPr>
                <w:rFonts w:ascii="宋体" w:hAnsi="宋体" w:cs="宋体"/>
                <w:b/>
                <w:color w:val="auto"/>
                <w:kern w:val="0"/>
                <w:szCs w:val="21"/>
                <w:highlight w:val="none"/>
              </w:rPr>
            </w:pPr>
            <w:r>
              <w:rPr>
                <w:rFonts w:hint="eastAsia" w:ascii="宋体" w:hAnsi="宋体" w:cs="宋体"/>
                <w:b/>
                <w:color w:val="auto"/>
                <w:kern w:val="0"/>
                <w:szCs w:val="21"/>
                <w:highlight w:val="none"/>
              </w:rPr>
              <w:t>序号</w:t>
            </w:r>
          </w:p>
        </w:tc>
        <w:tc>
          <w:tcPr>
            <w:tcW w:w="2686" w:type="dxa"/>
            <w:shd w:val="clear" w:color="auto" w:fill="auto"/>
            <w:vAlign w:val="center"/>
          </w:tcPr>
          <w:p w14:paraId="441E2322">
            <w:pPr>
              <w:adjustRightInd w:val="0"/>
              <w:snapToGrid w:val="0"/>
              <w:spacing w:before="156" w:beforeLines="50" w:line="360" w:lineRule="auto"/>
              <w:jc w:val="center"/>
              <w:rPr>
                <w:rFonts w:ascii="宋体" w:hAnsi="宋体" w:cs="宋体"/>
                <w:b/>
                <w:color w:val="auto"/>
                <w:kern w:val="0"/>
                <w:szCs w:val="21"/>
                <w:highlight w:val="none"/>
              </w:rPr>
            </w:pPr>
            <w:r>
              <w:rPr>
                <w:rFonts w:hint="eastAsia" w:ascii="宋体" w:hAnsi="宋体" w:cs="宋体"/>
                <w:b/>
                <w:color w:val="auto"/>
                <w:kern w:val="0"/>
                <w:szCs w:val="21"/>
                <w:highlight w:val="none"/>
              </w:rPr>
              <w:t>审查项目</w:t>
            </w:r>
          </w:p>
        </w:tc>
        <w:tc>
          <w:tcPr>
            <w:tcW w:w="5691" w:type="dxa"/>
            <w:shd w:val="clear" w:color="auto" w:fill="auto"/>
            <w:vAlign w:val="center"/>
          </w:tcPr>
          <w:p w14:paraId="77D1652B">
            <w:pPr>
              <w:adjustRightInd w:val="0"/>
              <w:snapToGrid w:val="0"/>
              <w:spacing w:before="156" w:beforeLines="50" w:line="360" w:lineRule="auto"/>
              <w:jc w:val="center"/>
              <w:rPr>
                <w:rFonts w:ascii="宋体" w:hAnsi="宋体" w:cs="宋体"/>
                <w:b/>
                <w:color w:val="auto"/>
                <w:kern w:val="0"/>
                <w:szCs w:val="21"/>
                <w:highlight w:val="none"/>
              </w:rPr>
            </w:pPr>
            <w:r>
              <w:rPr>
                <w:rFonts w:hint="eastAsia" w:ascii="宋体" w:hAnsi="宋体" w:cs="宋体"/>
                <w:b/>
                <w:color w:val="auto"/>
                <w:kern w:val="0"/>
                <w:szCs w:val="21"/>
                <w:highlight w:val="none"/>
              </w:rPr>
              <w:t>审查标准</w:t>
            </w:r>
          </w:p>
        </w:tc>
      </w:tr>
      <w:tr w14:paraId="201B11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shd w:val="clear" w:color="auto" w:fill="auto"/>
            <w:vAlign w:val="center"/>
          </w:tcPr>
          <w:p w14:paraId="5B216D4C">
            <w:pPr>
              <w:snapToGrid w:val="0"/>
              <w:spacing w:before="156" w:line="360" w:lineRule="auto"/>
              <w:jc w:val="center"/>
              <w:textAlignment w:val="baseline"/>
              <w:rPr>
                <w:rFonts w:ascii="宋体" w:hAnsi="宋体" w:cs="宋体"/>
                <w:color w:val="auto"/>
                <w:kern w:val="0"/>
                <w:szCs w:val="21"/>
                <w:highlight w:val="none"/>
              </w:rPr>
            </w:pPr>
            <w:r>
              <w:rPr>
                <w:rStyle w:val="49"/>
                <w:rFonts w:ascii="宋体" w:hAnsi="宋体"/>
                <w:color w:val="auto"/>
                <w:kern w:val="0"/>
                <w:szCs w:val="21"/>
                <w:highlight w:val="none"/>
              </w:rPr>
              <w:t>1</w:t>
            </w:r>
          </w:p>
        </w:tc>
        <w:tc>
          <w:tcPr>
            <w:tcW w:w="2686" w:type="dxa"/>
            <w:shd w:val="clear" w:color="auto" w:fill="auto"/>
            <w:vAlign w:val="center"/>
          </w:tcPr>
          <w:p w14:paraId="464636FE">
            <w:pPr>
              <w:snapToGrid w:val="0"/>
              <w:spacing w:before="156" w:line="360" w:lineRule="auto"/>
              <w:textAlignment w:val="baseline"/>
              <w:rPr>
                <w:rFonts w:ascii="宋体" w:hAnsi="宋体" w:cs="宋体"/>
                <w:color w:val="auto"/>
                <w:kern w:val="0"/>
                <w:szCs w:val="21"/>
                <w:highlight w:val="none"/>
              </w:rPr>
            </w:pPr>
            <w:r>
              <w:rPr>
                <w:rStyle w:val="49"/>
                <w:rFonts w:ascii="宋体" w:hAnsi="宋体"/>
                <w:color w:val="auto"/>
                <w:kern w:val="0"/>
                <w:szCs w:val="21"/>
                <w:highlight w:val="none"/>
              </w:rPr>
              <w:t>投标文件的签署、盖章</w:t>
            </w:r>
          </w:p>
        </w:tc>
        <w:tc>
          <w:tcPr>
            <w:tcW w:w="5691" w:type="dxa"/>
            <w:shd w:val="clear" w:color="auto" w:fill="auto"/>
            <w:vAlign w:val="center"/>
          </w:tcPr>
          <w:p w14:paraId="72EEB1A2">
            <w:pPr>
              <w:snapToGrid w:val="0"/>
              <w:spacing w:before="156" w:line="360" w:lineRule="auto"/>
              <w:jc w:val="left"/>
              <w:textAlignment w:val="baseline"/>
              <w:rPr>
                <w:rFonts w:ascii="宋体" w:hAnsi="宋体" w:cs="宋体"/>
                <w:color w:val="auto"/>
                <w:kern w:val="0"/>
                <w:szCs w:val="21"/>
                <w:highlight w:val="none"/>
              </w:rPr>
            </w:pPr>
            <w:r>
              <w:rPr>
                <w:rStyle w:val="49"/>
                <w:rFonts w:ascii="宋体" w:hAnsi="宋体"/>
                <w:color w:val="auto"/>
                <w:szCs w:val="21"/>
                <w:highlight w:val="none"/>
              </w:rPr>
              <w:t>投标文件中商务技术文件未按照招标文件规定要求签署、盖章的，其符合性审查不合格。</w:t>
            </w:r>
          </w:p>
        </w:tc>
      </w:tr>
      <w:tr w14:paraId="2461016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shd w:val="clear" w:color="auto" w:fill="auto"/>
            <w:vAlign w:val="center"/>
          </w:tcPr>
          <w:p w14:paraId="59F88082">
            <w:pPr>
              <w:snapToGrid w:val="0"/>
              <w:spacing w:before="156" w:line="360" w:lineRule="auto"/>
              <w:jc w:val="center"/>
              <w:textAlignment w:val="baseline"/>
              <w:rPr>
                <w:rFonts w:ascii="宋体" w:hAnsi="宋体" w:cs="宋体"/>
                <w:color w:val="auto"/>
                <w:kern w:val="0"/>
                <w:szCs w:val="21"/>
                <w:highlight w:val="none"/>
              </w:rPr>
            </w:pPr>
            <w:r>
              <w:rPr>
                <w:rStyle w:val="49"/>
                <w:rFonts w:ascii="宋体" w:hAnsi="宋体"/>
                <w:color w:val="auto"/>
                <w:kern w:val="0"/>
                <w:szCs w:val="21"/>
                <w:highlight w:val="none"/>
              </w:rPr>
              <w:t>2</w:t>
            </w:r>
          </w:p>
        </w:tc>
        <w:tc>
          <w:tcPr>
            <w:tcW w:w="2686" w:type="dxa"/>
            <w:shd w:val="clear" w:color="auto" w:fill="auto"/>
            <w:vAlign w:val="center"/>
          </w:tcPr>
          <w:p w14:paraId="268EF9C2">
            <w:pPr>
              <w:snapToGrid w:val="0"/>
              <w:spacing w:before="156" w:line="360" w:lineRule="auto"/>
              <w:textAlignment w:val="baseline"/>
              <w:rPr>
                <w:rFonts w:ascii="宋体" w:hAnsi="宋体" w:cs="宋体"/>
                <w:color w:val="auto"/>
                <w:kern w:val="0"/>
                <w:szCs w:val="21"/>
                <w:highlight w:val="none"/>
              </w:rPr>
            </w:pPr>
            <w:r>
              <w:rPr>
                <w:rStyle w:val="49"/>
                <w:rFonts w:ascii="宋体" w:hAnsi="宋体"/>
                <w:color w:val="auto"/>
                <w:kern w:val="0"/>
                <w:szCs w:val="21"/>
                <w:highlight w:val="none"/>
              </w:rPr>
              <w:t>对招标文件条款的响应</w:t>
            </w:r>
          </w:p>
        </w:tc>
        <w:tc>
          <w:tcPr>
            <w:tcW w:w="5691" w:type="dxa"/>
            <w:shd w:val="clear" w:color="auto" w:fill="auto"/>
            <w:vAlign w:val="center"/>
          </w:tcPr>
          <w:p w14:paraId="0BF5D3D8">
            <w:pPr>
              <w:snapToGrid w:val="0"/>
              <w:spacing w:before="156" w:line="360" w:lineRule="auto"/>
              <w:jc w:val="left"/>
              <w:textAlignment w:val="baseline"/>
              <w:rPr>
                <w:rFonts w:ascii="宋体" w:hAnsi="宋体" w:cs="宋体"/>
                <w:color w:val="auto"/>
                <w:kern w:val="0"/>
                <w:szCs w:val="21"/>
                <w:highlight w:val="none"/>
              </w:rPr>
            </w:pPr>
            <w:r>
              <w:rPr>
                <w:rStyle w:val="49"/>
                <w:rFonts w:ascii="宋体" w:hAnsi="宋体"/>
                <w:color w:val="auto"/>
                <w:szCs w:val="21"/>
                <w:highlight w:val="none"/>
              </w:rPr>
              <w:t>投标文件没有对招标文件的实质性要求和条件作出响应，或者对招标文件的偏离超出招标文件规定的偏离</w:t>
            </w:r>
            <w:r>
              <w:rPr>
                <w:rStyle w:val="49"/>
                <w:rFonts w:ascii="宋体" w:hAnsi="宋体"/>
                <w:color w:val="auto"/>
                <w:highlight w:val="none"/>
              </w:rPr>
              <w:t>范围和幅度的，其符合性审查不合格。</w:t>
            </w:r>
          </w:p>
        </w:tc>
      </w:tr>
      <w:tr w14:paraId="05392B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shd w:val="clear" w:color="auto" w:fill="auto"/>
            <w:vAlign w:val="center"/>
          </w:tcPr>
          <w:p w14:paraId="2E51855C">
            <w:pPr>
              <w:snapToGrid w:val="0"/>
              <w:spacing w:before="156" w:line="360" w:lineRule="auto"/>
              <w:jc w:val="center"/>
              <w:textAlignment w:val="baseline"/>
              <w:rPr>
                <w:rFonts w:ascii="宋体" w:hAnsi="宋体" w:cs="宋体"/>
                <w:color w:val="auto"/>
                <w:kern w:val="0"/>
                <w:szCs w:val="21"/>
                <w:highlight w:val="none"/>
              </w:rPr>
            </w:pPr>
            <w:r>
              <w:rPr>
                <w:rStyle w:val="49"/>
                <w:rFonts w:ascii="宋体" w:hAnsi="宋体"/>
                <w:color w:val="auto"/>
                <w:kern w:val="0"/>
                <w:szCs w:val="21"/>
                <w:highlight w:val="none"/>
              </w:rPr>
              <w:t>3</w:t>
            </w:r>
          </w:p>
        </w:tc>
        <w:tc>
          <w:tcPr>
            <w:tcW w:w="2686" w:type="dxa"/>
            <w:shd w:val="clear" w:color="auto" w:fill="auto"/>
            <w:vAlign w:val="center"/>
          </w:tcPr>
          <w:p w14:paraId="0D80814C">
            <w:pPr>
              <w:snapToGrid w:val="0"/>
              <w:spacing w:before="156" w:line="360" w:lineRule="auto"/>
              <w:textAlignment w:val="baseline"/>
              <w:rPr>
                <w:rFonts w:ascii="宋体" w:hAnsi="宋体" w:cs="宋体"/>
                <w:color w:val="auto"/>
                <w:kern w:val="0"/>
                <w:szCs w:val="21"/>
                <w:highlight w:val="none"/>
              </w:rPr>
            </w:pPr>
            <w:r>
              <w:rPr>
                <w:rStyle w:val="49"/>
                <w:rFonts w:ascii="宋体" w:hAnsi="宋体"/>
                <w:color w:val="auto"/>
                <w:kern w:val="0"/>
                <w:szCs w:val="21"/>
                <w:highlight w:val="none"/>
              </w:rPr>
              <w:t>投标有效期</w:t>
            </w:r>
          </w:p>
        </w:tc>
        <w:tc>
          <w:tcPr>
            <w:tcW w:w="5691" w:type="dxa"/>
            <w:shd w:val="clear" w:color="auto" w:fill="auto"/>
            <w:vAlign w:val="center"/>
          </w:tcPr>
          <w:p w14:paraId="4E62361E">
            <w:pPr>
              <w:snapToGrid w:val="0"/>
              <w:spacing w:before="156" w:line="360" w:lineRule="auto"/>
              <w:jc w:val="left"/>
              <w:textAlignment w:val="baseline"/>
              <w:rPr>
                <w:rFonts w:ascii="宋体" w:hAnsi="宋体" w:cs="宋体"/>
                <w:color w:val="auto"/>
                <w:kern w:val="0"/>
                <w:szCs w:val="21"/>
                <w:highlight w:val="none"/>
              </w:rPr>
            </w:pPr>
            <w:r>
              <w:rPr>
                <w:rStyle w:val="49"/>
                <w:rFonts w:ascii="宋体" w:hAnsi="宋体"/>
                <w:color w:val="auto"/>
                <w:kern w:val="0"/>
                <w:szCs w:val="21"/>
                <w:highlight w:val="none"/>
              </w:rPr>
              <w:t>投标有效期不足的，</w:t>
            </w:r>
            <w:r>
              <w:rPr>
                <w:rStyle w:val="49"/>
                <w:rFonts w:ascii="宋体" w:hAnsi="宋体"/>
                <w:color w:val="auto"/>
                <w:highlight w:val="none"/>
              </w:rPr>
              <w:t>其符合性审查不合格。</w:t>
            </w:r>
          </w:p>
        </w:tc>
      </w:tr>
      <w:tr w14:paraId="70E4771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shd w:val="clear" w:color="auto" w:fill="auto"/>
            <w:vAlign w:val="center"/>
          </w:tcPr>
          <w:p w14:paraId="1FB8CA59">
            <w:pPr>
              <w:snapToGrid w:val="0"/>
              <w:spacing w:before="156" w:line="360" w:lineRule="auto"/>
              <w:jc w:val="center"/>
              <w:textAlignment w:val="baseline"/>
              <w:rPr>
                <w:rFonts w:ascii="宋体" w:hAnsi="宋体" w:cs="宋体"/>
                <w:color w:val="auto"/>
                <w:kern w:val="0"/>
                <w:szCs w:val="21"/>
                <w:highlight w:val="none"/>
              </w:rPr>
            </w:pPr>
            <w:r>
              <w:rPr>
                <w:rStyle w:val="49"/>
                <w:rFonts w:ascii="宋体" w:hAnsi="宋体"/>
                <w:color w:val="auto"/>
                <w:kern w:val="0"/>
                <w:szCs w:val="21"/>
                <w:highlight w:val="none"/>
              </w:rPr>
              <w:t>4</w:t>
            </w:r>
          </w:p>
        </w:tc>
        <w:tc>
          <w:tcPr>
            <w:tcW w:w="2686" w:type="dxa"/>
            <w:shd w:val="clear" w:color="auto" w:fill="auto"/>
            <w:vAlign w:val="center"/>
          </w:tcPr>
          <w:p w14:paraId="1BAAAEBD">
            <w:pPr>
              <w:snapToGrid w:val="0"/>
              <w:spacing w:before="156" w:line="360" w:lineRule="auto"/>
              <w:textAlignment w:val="baseline"/>
              <w:rPr>
                <w:rFonts w:ascii="宋体" w:hAnsi="宋体"/>
                <w:color w:val="auto"/>
                <w:kern w:val="0"/>
                <w:szCs w:val="21"/>
                <w:highlight w:val="none"/>
              </w:rPr>
            </w:pPr>
            <w:r>
              <w:rPr>
                <w:rStyle w:val="49"/>
                <w:rFonts w:ascii="宋体" w:hAnsi="宋体"/>
                <w:color w:val="auto"/>
                <w:kern w:val="0"/>
                <w:szCs w:val="21"/>
                <w:highlight w:val="none"/>
              </w:rPr>
              <w:t>附加条件</w:t>
            </w:r>
          </w:p>
        </w:tc>
        <w:tc>
          <w:tcPr>
            <w:tcW w:w="5691" w:type="dxa"/>
            <w:shd w:val="clear" w:color="auto" w:fill="auto"/>
            <w:vAlign w:val="center"/>
          </w:tcPr>
          <w:p w14:paraId="61E85811">
            <w:pPr>
              <w:snapToGrid w:val="0"/>
              <w:spacing w:before="156" w:line="360" w:lineRule="auto"/>
              <w:jc w:val="left"/>
              <w:textAlignment w:val="baseline"/>
              <w:rPr>
                <w:rFonts w:ascii="宋体" w:hAnsi="宋体" w:cs="宋体"/>
                <w:color w:val="auto"/>
                <w:kern w:val="0"/>
                <w:szCs w:val="21"/>
                <w:highlight w:val="none"/>
              </w:rPr>
            </w:pPr>
            <w:r>
              <w:rPr>
                <w:rStyle w:val="49"/>
                <w:rFonts w:ascii="宋体" w:hAnsi="宋体"/>
                <w:color w:val="auto"/>
                <w:szCs w:val="21"/>
                <w:highlight w:val="none"/>
              </w:rPr>
              <w:t>投标文件含有采购人不能接受的附加条件的，其符合性审查不合格。</w:t>
            </w:r>
          </w:p>
        </w:tc>
      </w:tr>
      <w:tr w14:paraId="64FB960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shd w:val="clear" w:color="auto" w:fill="auto"/>
            <w:vAlign w:val="center"/>
          </w:tcPr>
          <w:p w14:paraId="06B8366C">
            <w:pPr>
              <w:snapToGrid w:val="0"/>
              <w:spacing w:before="156" w:line="360" w:lineRule="auto"/>
              <w:jc w:val="center"/>
              <w:textAlignment w:val="baseline"/>
              <w:rPr>
                <w:rFonts w:ascii="宋体" w:hAnsi="宋体" w:cs="宋体"/>
                <w:color w:val="auto"/>
                <w:kern w:val="0"/>
                <w:szCs w:val="21"/>
                <w:highlight w:val="none"/>
              </w:rPr>
            </w:pPr>
            <w:r>
              <w:rPr>
                <w:rStyle w:val="49"/>
                <w:rFonts w:ascii="宋体" w:hAnsi="宋体"/>
                <w:color w:val="auto"/>
                <w:kern w:val="0"/>
                <w:szCs w:val="21"/>
                <w:highlight w:val="none"/>
              </w:rPr>
              <w:t>5</w:t>
            </w:r>
          </w:p>
        </w:tc>
        <w:tc>
          <w:tcPr>
            <w:tcW w:w="2686" w:type="dxa"/>
            <w:shd w:val="clear" w:color="auto" w:fill="auto"/>
            <w:vAlign w:val="center"/>
          </w:tcPr>
          <w:p w14:paraId="66018E5A">
            <w:pPr>
              <w:snapToGrid w:val="0"/>
              <w:spacing w:before="156" w:line="360" w:lineRule="auto"/>
              <w:textAlignment w:val="baseline"/>
              <w:rPr>
                <w:rFonts w:ascii="宋体" w:hAnsi="宋体"/>
                <w:color w:val="auto"/>
                <w:kern w:val="0"/>
                <w:szCs w:val="21"/>
                <w:highlight w:val="none"/>
              </w:rPr>
            </w:pPr>
            <w:r>
              <w:rPr>
                <w:rStyle w:val="49"/>
                <w:rFonts w:ascii="宋体" w:hAnsi="宋体"/>
                <w:color w:val="auto"/>
                <w:kern w:val="0"/>
                <w:szCs w:val="21"/>
                <w:highlight w:val="none"/>
              </w:rPr>
              <w:t>其他情形</w:t>
            </w:r>
          </w:p>
        </w:tc>
        <w:tc>
          <w:tcPr>
            <w:tcW w:w="5691" w:type="dxa"/>
            <w:shd w:val="clear" w:color="auto" w:fill="auto"/>
            <w:vAlign w:val="center"/>
          </w:tcPr>
          <w:p w14:paraId="68EACAE0">
            <w:pPr>
              <w:snapToGrid w:val="0"/>
              <w:spacing w:before="156" w:line="360" w:lineRule="auto"/>
              <w:jc w:val="left"/>
              <w:textAlignment w:val="baseline"/>
              <w:rPr>
                <w:rFonts w:ascii="宋体" w:hAnsi="宋体" w:cs="宋体"/>
                <w:color w:val="auto"/>
                <w:kern w:val="0"/>
                <w:szCs w:val="21"/>
                <w:highlight w:val="none"/>
              </w:rPr>
            </w:pPr>
            <w:r>
              <w:rPr>
                <w:rStyle w:val="49"/>
                <w:rFonts w:ascii="宋体" w:hAnsi="宋体"/>
                <w:color w:val="auto"/>
                <w:szCs w:val="21"/>
                <w:highlight w:val="none"/>
              </w:rPr>
              <w:t>存在不符合本章第三节第1.1款规定符合性审查标准的，或者法律、法规和招标文件规定的其他投标无效情形的，</w:t>
            </w:r>
            <w:r>
              <w:rPr>
                <w:rStyle w:val="49"/>
                <w:rFonts w:ascii="宋体" w:hAnsi="宋体"/>
                <w:color w:val="auto"/>
                <w:highlight w:val="none"/>
              </w:rPr>
              <w:t>其符合性审查不合格。</w:t>
            </w:r>
          </w:p>
        </w:tc>
      </w:tr>
      <w:tr w14:paraId="03E9B7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shd w:val="clear" w:color="auto" w:fill="auto"/>
            <w:vAlign w:val="center"/>
          </w:tcPr>
          <w:p w14:paraId="4D6F2D9C">
            <w:pPr>
              <w:adjustRightInd w:val="0"/>
              <w:snapToGrid w:val="0"/>
              <w:spacing w:before="156" w:beforeLines="50" w:line="360" w:lineRule="auto"/>
              <w:jc w:val="center"/>
              <w:rPr>
                <w:rFonts w:ascii="宋体" w:hAnsi="宋体" w:cs="宋体"/>
                <w:color w:val="auto"/>
                <w:kern w:val="0"/>
                <w:sz w:val="20"/>
                <w:szCs w:val="21"/>
                <w:highlight w:val="none"/>
              </w:rPr>
            </w:pPr>
            <w:r>
              <w:rPr>
                <w:rFonts w:hint="eastAsia" w:ascii="宋体" w:hAnsi="宋体" w:cs="宋体"/>
                <w:color w:val="auto"/>
                <w:kern w:val="0"/>
                <w:sz w:val="20"/>
                <w:szCs w:val="21"/>
                <w:highlight w:val="none"/>
              </w:rPr>
              <w:t>结论</w:t>
            </w:r>
          </w:p>
        </w:tc>
        <w:tc>
          <w:tcPr>
            <w:tcW w:w="8377" w:type="dxa"/>
            <w:gridSpan w:val="2"/>
            <w:shd w:val="clear" w:color="auto" w:fill="auto"/>
            <w:vAlign w:val="center"/>
          </w:tcPr>
          <w:p w14:paraId="6FB54C34">
            <w:pPr>
              <w:adjustRightInd w:val="0"/>
              <w:snapToGrid w:val="0"/>
              <w:spacing w:before="156" w:beforeLines="50" w:line="360" w:lineRule="auto"/>
              <w:jc w:val="center"/>
              <w:rPr>
                <w:rFonts w:ascii="宋体" w:hAnsi="宋体" w:cs="宋体"/>
                <w:color w:val="auto"/>
                <w:kern w:val="0"/>
                <w:sz w:val="20"/>
                <w:szCs w:val="21"/>
                <w:highlight w:val="none"/>
              </w:rPr>
            </w:pPr>
          </w:p>
        </w:tc>
      </w:tr>
    </w:tbl>
    <w:p w14:paraId="5F7E4968">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 xml:space="preserve"> </w:t>
      </w:r>
    </w:p>
    <w:p w14:paraId="1B1A46ED">
      <w:pPr>
        <w:widowControl/>
        <w:jc w:val="left"/>
        <w:rPr>
          <w:rFonts w:ascii="宋体" w:hAnsi="宋体"/>
          <w:color w:val="auto"/>
          <w:sz w:val="10"/>
          <w:szCs w:val="10"/>
          <w:highlight w:val="none"/>
        </w:rPr>
      </w:pPr>
      <w:r>
        <w:rPr>
          <w:rFonts w:ascii="宋体" w:hAnsi="宋体"/>
          <w:color w:val="auto"/>
          <w:szCs w:val="21"/>
          <w:highlight w:val="none"/>
        </w:rPr>
        <w:br w:type="page"/>
      </w:r>
    </w:p>
    <w:p w14:paraId="3A6FAE7F">
      <w:pPr>
        <w:pStyle w:val="11"/>
        <w:adjustRightInd w:val="0"/>
        <w:snapToGrid w:val="0"/>
        <w:spacing w:before="156" w:beforeLines="50" w:after="0" w:line="360" w:lineRule="auto"/>
        <w:rPr>
          <w:rFonts w:ascii="黑体" w:hAnsi="黑体" w:eastAsia="黑体" w:cs="黑体"/>
          <w:b w:val="0"/>
          <w:bCs w:val="0"/>
          <w:color w:val="auto"/>
          <w:sz w:val="21"/>
          <w:szCs w:val="21"/>
          <w:highlight w:val="none"/>
        </w:rPr>
      </w:pPr>
      <w:bookmarkStart w:id="58" w:name="_Toc30662"/>
      <w:r>
        <w:rPr>
          <w:rFonts w:hint="eastAsia" w:ascii="黑体" w:hAnsi="黑体" w:eastAsia="黑体" w:cs="黑体"/>
          <w:b w:val="0"/>
          <w:bCs w:val="0"/>
          <w:color w:val="auto"/>
          <w:sz w:val="21"/>
          <w:szCs w:val="21"/>
          <w:highlight w:val="none"/>
        </w:rPr>
        <w:t>附表2 符合性审查结果一览表</w:t>
      </w:r>
      <w:bookmarkEnd w:id="58"/>
    </w:p>
    <w:p w14:paraId="7D61A1B5">
      <w:pPr>
        <w:adjustRightInd w:val="0"/>
        <w:snapToGrid w:val="0"/>
        <w:spacing w:before="156" w:beforeLines="50" w:line="360" w:lineRule="auto"/>
        <w:jc w:val="center"/>
        <w:rPr>
          <w:rFonts w:ascii="黑体" w:hAnsi="黑体" w:eastAsia="黑体"/>
          <w:b/>
          <w:color w:val="auto"/>
          <w:sz w:val="28"/>
          <w:szCs w:val="28"/>
          <w:highlight w:val="none"/>
        </w:rPr>
      </w:pPr>
      <w:r>
        <w:rPr>
          <w:rFonts w:hint="eastAsia" w:ascii="黑体" w:hAnsi="黑体" w:eastAsia="黑体"/>
          <w:b/>
          <w:color w:val="auto"/>
          <w:sz w:val="28"/>
          <w:szCs w:val="28"/>
          <w:highlight w:val="none"/>
        </w:rPr>
        <w:t>符合性审查结果一览表</w:t>
      </w:r>
    </w:p>
    <w:p w14:paraId="4C735E80">
      <w:pPr>
        <w:adjustRightInd w:val="0"/>
        <w:snapToGrid w:val="0"/>
        <w:spacing w:before="156" w:beforeLines="50" w:line="360" w:lineRule="auto"/>
        <w:rPr>
          <w:rFonts w:ascii="宋体" w:hAnsi="宋体"/>
          <w:color w:val="auto"/>
          <w:szCs w:val="21"/>
          <w:highlight w:val="none"/>
        </w:rPr>
      </w:pPr>
      <w:r>
        <w:rPr>
          <w:rFonts w:hint="eastAsia" w:ascii="宋体" w:hAnsi="宋体"/>
          <w:color w:val="auto"/>
          <w:szCs w:val="21"/>
          <w:highlight w:val="none"/>
        </w:rPr>
        <w:t>项目名称：                                           政府采购计划编号：</w:t>
      </w:r>
    </w:p>
    <w:tbl>
      <w:tblPr>
        <w:tblStyle w:val="29"/>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7"/>
        <w:gridCol w:w="2963"/>
        <w:gridCol w:w="2439"/>
        <w:gridCol w:w="2961"/>
      </w:tblGrid>
      <w:tr w14:paraId="7DA2A5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shd w:val="clear" w:color="auto" w:fill="auto"/>
            <w:vAlign w:val="center"/>
          </w:tcPr>
          <w:p w14:paraId="2A935185">
            <w:pPr>
              <w:jc w:val="center"/>
              <w:rPr>
                <w:rFonts w:ascii="宋体" w:hAnsi="宋体"/>
                <w:b/>
                <w:color w:val="auto"/>
                <w:kern w:val="0"/>
                <w:szCs w:val="21"/>
                <w:highlight w:val="none"/>
              </w:rPr>
            </w:pPr>
            <w:r>
              <w:rPr>
                <w:rFonts w:hint="eastAsia" w:ascii="宋体" w:hAnsi="宋体"/>
                <w:b/>
                <w:color w:val="auto"/>
                <w:kern w:val="0"/>
                <w:szCs w:val="21"/>
                <w:highlight w:val="none"/>
              </w:rPr>
              <w:t>序号</w:t>
            </w:r>
          </w:p>
        </w:tc>
        <w:tc>
          <w:tcPr>
            <w:tcW w:w="2963" w:type="dxa"/>
            <w:shd w:val="clear" w:color="auto" w:fill="auto"/>
            <w:vAlign w:val="center"/>
          </w:tcPr>
          <w:p w14:paraId="707441FB">
            <w:pPr>
              <w:jc w:val="center"/>
              <w:rPr>
                <w:rFonts w:ascii="宋体" w:hAnsi="宋体"/>
                <w:b/>
                <w:color w:val="auto"/>
                <w:kern w:val="0"/>
                <w:szCs w:val="21"/>
                <w:highlight w:val="none"/>
              </w:rPr>
            </w:pPr>
            <w:r>
              <w:rPr>
                <w:rFonts w:hint="eastAsia" w:ascii="宋体" w:hAnsi="宋体"/>
                <w:b/>
                <w:color w:val="auto"/>
                <w:kern w:val="0"/>
                <w:szCs w:val="21"/>
                <w:highlight w:val="none"/>
              </w:rPr>
              <w:t>投标人名称</w:t>
            </w:r>
          </w:p>
        </w:tc>
        <w:tc>
          <w:tcPr>
            <w:tcW w:w="2439" w:type="dxa"/>
            <w:shd w:val="clear" w:color="auto" w:fill="auto"/>
            <w:vAlign w:val="center"/>
          </w:tcPr>
          <w:p w14:paraId="23713649">
            <w:pPr>
              <w:jc w:val="center"/>
              <w:rPr>
                <w:rFonts w:ascii="宋体" w:hAnsi="宋体"/>
                <w:b/>
                <w:color w:val="auto"/>
                <w:kern w:val="0"/>
                <w:szCs w:val="21"/>
                <w:highlight w:val="none"/>
              </w:rPr>
            </w:pPr>
            <w:r>
              <w:rPr>
                <w:rFonts w:hint="eastAsia" w:ascii="宋体" w:hAnsi="宋体"/>
                <w:b/>
                <w:color w:val="auto"/>
                <w:kern w:val="0"/>
                <w:szCs w:val="21"/>
                <w:highlight w:val="none"/>
              </w:rPr>
              <w:t>符合性审查结果</w:t>
            </w:r>
          </w:p>
          <w:p w14:paraId="323DB339">
            <w:pPr>
              <w:jc w:val="center"/>
              <w:rPr>
                <w:rFonts w:ascii="宋体" w:hAnsi="宋体"/>
                <w:b/>
                <w:color w:val="auto"/>
                <w:kern w:val="0"/>
                <w:szCs w:val="21"/>
                <w:highlight w:val="none"/>
              </w:rPr>
            </w:pPr>
            <w:r>
              <w:rPr>
                <w:rFonts w:hint="eastAsia" w:ascii="宋体" w:hAnsi="宋体"/>
                <w:b/>
                <w:color w:val="auto"/>
                <w:kern w:val="0"/>
                <w:szCs w:val="21"/>
                <w:highlight w:val="none"/>
              </w:rPr>
              <w:t>（合格/不合格）</w:t>
            </w:r>
          </w:p>
        </w:tc>
        <w:tc>
          <w:tcPr>
            <w:tcW w:w="2961" w:type="dxa"/>
            <w:shd w:val="clear" w:color="auto" w:fill="auto"/>
            <w:vAlign w:val="center"/>
          </w:tcPr>
          <w:p w14:paraId="6AEFAF3E">
            <w:pPr>
              <w:jc w:val="center"/>
              <w:rPr>
                <w:rFonts w:ascii="宋体" w:hAnsi="宋体"/>
                <w:b/>
                <w:color w:val="auto"/>
                <w:kern w:val="0"/>
                <w:szCs w:val="21"/>
                <w:highlight w:val="none"/>
              </w:rPr>
            </w:pPr>
            <w:r>
              <w:rPr>
                <w:rFonts w:hint="eastAsia" w:ascii="宋体" w:hAnsi="宋体"/>
                <w:b/>
                <w:color w:val="auto"/>
                <w:kern w:val="0"/>
                <w:szCs w:val="21"/>
                <w:highlight w:val="none"/>
              </w:rPr>
              <w:t>符合性审查不合格原因</w:t>
            </w:r>
          </w:p>
        </w:tc>
      </w:tr>
      <w:tr w14:paraId="085820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shd w:val="clear" w:color="auto" w:fill="auto"/>
          </w:tcPr>
          <w:p w14:paraId="321EA1B2">
            <w:pPr>
              <w:adjustRightInd w:val="0"/>
              <w:snapToGrid w:val="0"/>
              <w:spacing w:line="360" w:lineRule="auto"/>
              <w:rPr>
                <w:rFonts w:ascii="宋体" w:hAnsi="宋体"/>
                <w:color w:val="auto"/>
                <w:kern w:val="0"/>
                <w:sz w:val="24"/>
                <w:highlight w:val="none"/>
              </w:rPr>
            </w:pPr>
          </w:p>
        </w:tc>
        <w:tc>
          <w:tcPr>
            <w:tcW w:w="2963" w:type="dxa"/>
            <w:shd w:val="clear" w:color="auto" w:fill="auto"/>
          </w:tcPr>
          <w:p w14:paraId="49243CCF">
            <w:pPr>
              <w:adjustRightInd w:val="0"/>
              <w:snapToGrid w:val="0"/>
              <w:spacing w:line="360" w:lineRule="auto"/>
              <w:rPr>
                <w:rFonts w:ascii="宋体" w:hAnsi="宋体"/>
                <w:color w:val="auto"/>
                <w:kern w:val="0"/>
                <w:sz w:val="24"/>
                <w:highlight w:val="none"/>
              </w:rPr>
            </w:pPr>
          </w:p>
        </w:tc>
        <w:tc>
          <w:tcPr>
            <w:tcW w:w="2439" w:type="dxa"/>
            <w:shd w:val="clear" w:color="auto" w:fill="auto"/>
          </w:tcPr>
          <w:p w14:paraId="5D240CF9">
            <w:pPr>
              <w:adjustRightInd w:val="0"/>
              <w:snapToGrid w:val="0"/>
              <w:spacing w:line="360" w:lineRule="auto"/>
              <w:rPr>
                <w:rFonts w:ascii="宋体" w:hAnsi="宋体"/>
                <w:color w:val="auto"/>
                <w:kern w:val="0"/>
                <w:sz w:val="24"/>
                <w:highlight w:val="none"/>
              </w:rPr>
            </w:pPr>
          </w:p>
        </w:tc>
        <w:tc>
          <w:tcPr>
            <w:tcW w:w="2961" w:type="dxa"/>
            <w:shd w:val="clear" w:color="auto" w:fill="auto"/>
          </w:tcPr>
          <w:p w14:paraId="4803D64E">
            <w:pPr>
              <w:adjustRightInd w:val="0"/>
              <w:snapToGrid w:val="0"/>
              <w:spacing w:line="360" w:lineRule="auto"/>
              <w:rPr>
                <w:rFonts w:ascii="宋体" w:hAnsi="宋体"/>
                <w:color w:val="auto"/>
                <w:kern w:val="0"/>
                <w:sz w:val="24"/>
                <w:highlight w:val="none"/>
              </w:rPr>
            </w:pPr>
          </w:p>
        </w:tc>
      </w:tr>
      <w:tr w14:paraId="32099C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shd w:val="clear" w:color="auto" w:fill="auto"/>
          </w:tcPr>
          <w:p w14:paraId="4335CA12">
            <w:pPr>
              <w:adjustRightInd w:val="0"/>
              <w:snapToGrid w:val="0"/>
              <w:spacing w:line="360" w:lineRule="auto"/>
              <w:rPr>
                <w:rFonts w:ascii="宋体" w:hAnsi="宋体"/>
                <w:color w:val="auto"/>
                <w:kern w:val="0"/>
                <w:sz w:val="24"/>
                <w:highlight w:val="none"/>
              </w:rPr>
            </w:pPr>
          </w:p>
        </w:tc>
        <w:tc>
          <w:tcPr>
            <w:tcW w:w="2963" w:type="dxa"/>
            <w:shd w:val="clear" w:color="auto" w:fill="auto"/>
          </w:tcPr>
          <w:p w14:paraId="0B9D4968">
            <w:pPr>
              <w:adjustRightInd w:val="0"/>
              <w:snapToGrid w:val="0"/>
              <w:spacing w:line="360" w:lineRule="auto"/>
              <w:rPr>
                <w:rFonts w:ascii="宋体" w:hAnsi="宋体"/>
                <w:color w:val="auto"/>
                <w:kern w:val="0"/>
                <w:sz w:val="24"/>
                <w:highlight w:val="none"/>
              </w:rPr>
            </w:pPr>
          </w:p>
        </w:tc>
        <w:tc>
          <w:tcPr>
            <w:tcW w:w="2439" w:type="dxa"/>
            <w:shd w:val="clear" w:color="auto" w:fill="auto"/>
          </w:tcPr>
          <w:p w14:paraId="709CB09D">
            <w:pPr>
              <w:adjustRightInd w:val="0"/>
              <w:snapToGrid w:val="0"/>
              <w:spacing w:line="360" w:lineRule="auto"/>
              <w:rPr>
                <w:rFonts w:ascii="宋体" w:hAnsi="宋体"/>
                <w:color w:val="auto"/>
                <w:kern w:val="0"/>
                <w:sz w:val="24"/>
                <w:highlight w:val="none"/>
              </w:rPr>
            </w:pPr>
          </w:p>
        </w:tc>
        <w:tc>
          <w:tcPr>
            <w:tcW w:w="2961" w:type="dxa"/>
            <w:shd w:val="clear" w:color="auto" w:fill="auto"/>
          </w:tcPr>
          <w:p w14:paraId="035623D9">
            <w:pPr>
              <w:adjustRightInd w:val="0"/>
              <w:snapToGrid w:val="0"/>
              <w:spacing w:line="360" w:lineRule="auto"/>
              <w:rPr>
                <w:rFonts w:ascii="宋体" w:hAnsi="宋体"/>
                <w:color w:val="auto"/>
                <w:kern w:val="0"/>
                <w:sz w:val="24"/>
                <w:highlight w:val="none"/>
              </w:rPr>
            </w:pPr>
          </w:p>
        </w:tc>
      </w:tr>
      <w:tr w14:paraId="66663A4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shd w:val="clear" w:color="auto" w:fill="auto"/>
          </w:tcPr>
          <w:p w14:paraId="41773F89">
            <w:pPr>
              <w:adjustRightInd w:val="0"/>
              <w:snapToGrid w:val="0"/>
              <w:spacing w:line="360" w:lineRule="auto"/>
              <w:rPr>
                <w:rFonts w:ascii="宋体" w:hAnsi="宋体"/>
                <w:color w:val="auto"/>
                <w:kern w:val="0"/>
                <w:sz w:val="24"/>
                <w:highlight w:val="none"/>
              </w:rPr>
            </w:pPr>
          </w:p>
        </w:tc>
        <w:tc>
          <w:tcPr>
            <w:tcW w:w="2963" w:type="dxa"/>
            <w:shd w:val="clear" w:color="auto" w:fill="auto"/>
          </w:tcPr>
          <w:p w14:paraId="1E913F66">
            <w:pPr>
              <w:adjustRightInd w:val="0"/>
              <w:snapToGrid w:val="0"/>
              <w:spacing w:line="360" w:lineRule="auto"/>
              <w:rPr>
                <w:rFonts w:ascii="宋体" w:hAnsi="宋体"/>
                <w:color w:val="auto"/>
                <w:kern w:val="0"/>
                <w:sz w:val="24"/>
                <w:highlight w:val="none"/>
              </w:rPr>
            </w:pPr>
          </w:p>
        </w:tc>
        <w:tc>
          <w:tcPr>
            <w:tcW w:w="2439" w:type="dxa"/>
            <w:shd w:val="clear" w:color="auto" w:fill="auto"/>
          </w:tcPr>
          <w:p w14:paraId="4993F793">
            <w:pPr>
              <w:adjustRightInd w:val="0"/>
              <w:snapToGrid w:val="0"/>
              <w:spacing w:line="360" w:lineRule="auto"/>
              <w:rPr>
                <w:rFonts w:ascii="宋体" w:hAnsi="宋体"/>
                <w:color w:val="auto"/>
                <w:kern w:val="0"/>
                <w:sz w:val="24"/>
                <w:highlight w:val="none"/>
              </w:rPr>
            </w:pPr>
          </w:p>
        </w:tc>
        <w:tc>
          <w:tcPr>
            <w:tcW w:w="2961" w:type="dxa"/>
            <w:shd w:val="clear" w:color="auto" w:fill="auto"/>
          </w:tcPr>
          <w:p w14:paraId="6DFED7AE">
            <w:pPr>
              <w:adjustRightInd w:val="0"/>
              <w:snapToGrid w:val="0"/>
              <w:spacing w:line="360" w:lineRule="auto"/>
              <w:rPr>
                <w:rFonts w:ascii="宋体" w:hAnsi="宋体"/>
                <w:color w:val="auto"/>
                <w:kern w:val="0"/>
                <w:sz w:val="24"/>
                <w:highlight w:val="none"/>
              </w:rPr>
            </w:pPr>
          </w:p>
        </w:tc>
      </w:tr>
      <w:tr w14:paraId="73A14C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shd w:val="clear" w:color="auto" w:fill="auto"/>
          </w:tcPr>
          <w:p w14:paraId="1A93EC87">
            <w:pPr>
              <w:adjustRightInd w:val="0"/>
              <w:snapToGrid w:val="0"/>
              <w:spacing w:line="360" w:lineRule="auto"/>
              <w:rPr>
                <w:rFonts w:ascii="宋体" w:hAnsi="宋体"/>
                <w:color w:val="auto"/>
                <w:kern w:val="0"/>
                <w:sz w:val="24"/>
                <w:highlight w:val="none"/>
              </w:rPr>
            </w:pPr>
          </w:p>
        </w:tc>
        <w:tc>
          <w:tcPr>
            <w:tcW w:w="2963" w:type="dxa"/>
            <w:shd w:val="clear" w:color="auto" w:fill="auto"/>
          </w:tcPr>
          <w:p w14:paraId="63BB09D0">
            <w:pPr>
              <w:adjustRightInd w:val="0"/>
              <w:snapToGrid w:val="0"/>
              <w:spacing w:line="360" w:lineRule="auto"/>
              <w:rPr>
                <w:rFonts w:ascii="宋体" w:hAnsi="宋体"/>
                <w:color w:val="auto"/>
                <w:kern w:val="0"/>
                <w:sz w:val="24"/>
                <w:highlight w:val="none"/>
              </w:rPr>
            </w:pPr>
          </w:p>
        </w:tc>
        <w:tc>
          <w:tcPr>
            <w:tcW w:w="2439" w:type="dxa"/>
            <w:shd w:val="clear" w:color="auto" w:fill="auto"/>
          </w:tcPr>
          <w:p w14:paraId="4DD5BBBD">
            <w:pPr>
              <w:adjustRightInd w:val="0"/>
              <w:snapToGrid w:val="0"/>
              <w:spacing w:line="360" w:lineRule="auto"/>
              <w:rPr>
                <w:rFonts w:ascii="宋体" w:hAnsi="宋体"/>
                <w:color w:val="auto"/>
                <w:kern w:val="0"/>
                <w:sz w:val="24"/>
                <w:highlight w:val="none"/>
              </w:rPr>
            </w:pPr>
          </w:p>
        </w:tc>
        <w:tc>
          <w:tcPr>
            <w:tcW w:w="2961" w:type="dxa"/>
            <w:shd w:val="clear" w:color="auto" w:fill="auto"/>
          </w:tcPr>
          <w:p w14:paraId="3A853B55">
            <w:pPr>
              <w:adjustRightInd w:val="0"/>
              <w:snapToGrid w:val="0"/>
              <w:spacing w:line="360" w:lineRule="auto"/>
              <w:rPr>
                <w:rFonts w:ascii="宋体" w:hAnsi="宋体"/>
                <w:color w:val="auto"/>
                <w:kern w:val="0"/>
                <w:sz w:val="24"/>
                <w:highlight w:val="none"/>
              </w:rPr>
            </w:pPr>
          </w:p>
        </w:tc>
      </w:tr>
      <w:tr w14:paraId="31AF616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shd w:val="clear" w:color="auto" w:fill="auto"/>
          </w:tcPr>
          <w:p w14:paraId="16D58556">
            <w:pPr>
              <w:adjustRightInd w:val="0"/>
              <w:snapToGrid w:val="0"/>
              <w:spacing w:line="360" w:lineRule="auto"/>
              <w:rPr>
                <w:rFonts w:ascii="宋体" w:hAnsi="宋体"/>
                <w:color w:val="auto"/>
                <w:kern w:val="0"/>
                <w:sz w:val="24"/>
                <w:highlight w:val="none"/>
              </w:rPr>
            </w:pPr>
          </w:p>
        </w:tc>
        <w:tc>
          <w:tcPr>
            <w:tcW w:w="2963" w:type="dxa"/>
            <w:shd w:val="clear" w:color="auto" w:fill="auto"/>
          </w:tcPr>
          <w:p w14:paraId="4F9E2583">
            <w:pPr>
              <w:adjustRightInd w:val="0"/>
              <w:snapToGrid w:val="0"/>
              <w:spacing w:line="360" w:lineRule="auto"/>
              <w:rPr>
                <w:rFonts w:ascii="宋体" w:hAnsi="宋体"/>
                <w:color w:val="auto"/>
                <w:kern w:val="0"/>
                <w:sz w:val="24"/>
                <w:highlight w:val="none"/>
              </w:rPr>
            </w:pPr>
          </w:p>
        </w:tc>
        <w:tc>
          <w:tcPr>
            <w:tcW w:w="2439" w:type="dxa"/>
            <w:shd w:val="clear" w:color="auto" w:fill="auto"/>
          </w:tcPr>
          <w:p w14:paraId="709A85F4">
            <w:pPr>
              <w:adjustRightInd w:val="0"/>
              <w:snapToGrid w:val="0"/>
              <w:spacing w:line="360" w:lineRule="auto"/>
              <w:rPr>
                <w:rFonts w:ascii="宋体" w:hAnsi="宋体"/>
                <w:color w:val="auto"/>
                <w:kern w:val="0"/>
                <w:sz w:val="24"/>
                <w:highlight w:val="none"/>
              </w:rPr>
            </w:pPr>
          </w:p>
        </w:tc>
        <w:tc>
          <w:tcPr>
            <w:tcW w:w="2961" w:type="dxa"/>
            <w:shd w:val="clear" w:color="auto" w:fill="auto"/>
          </w:tcPr>
          <w:p w14:paraId="3F8B2F87">
            <w:pPr>
              <w:adjustRightInd w:val="0"/>
              <w:snapToGrid w:val="0"/>
              <w:spacing w:line="360" w:lineRule="auto"/>
              <w:rPr>
                <w:rFonts w:ascii="宋体" w:hAnsi="宋体"/>
                <w:color w:val="auto"/>
                <w:kern w:val="0"/>
                <w:sz w:val="24"/>
                <w:highlight w:val="none"/>
              </w:rPr>
            </w:pPr>
          </w:p>
        </w:tc>
      </w:tr>
      <w:tr w14:paraId="46BCCA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shd w:val="clear" w:color="auto" w:fill="auto"/>
          </w:tcPr>
          <w:p w14:paraId="66B82DC5">
            <w:pPr>
              <w:adjustRightInd w:val="0"/>
              <w:snapToGrid w:val="0"/>
              <w:spacing w:line="360" w:lineRule="auto"/>
              <w:rPr>
                <w:rFonts w:ascii="宋体" w:hAnsi="宋体"/>
                <w:color w:val="auto"/>
                <w:kern w:val="0"/>
                <w:sz w:val="24"/>
                <w:highlight w:val="none"/>
              </w:rPr>
            </w:pPr>
          </w:p>
        </w:tc>
        <w:tc>
          <w:tcPr>
            <w:tcW w:w="2963" w:type="dxa"/>
            <w:shd w:val="clear" w:color="auto" w:fill="auto"/>
          </w:tcPr>
          <w:p w14:paraId="462CB502">
            <w:pPr>
              <w:adjustRightInd w:val="0"/>
              <w:snapToGrid w:val="0"/>
              <w:spacing w:line="360" w:lineRule="auto"/>
              <w:rPr>
                <w:rFonts w:ascii="宋体" w:hAnsi="宋体"/>
                <w:color w:val="auto"/>
                <w:kern w:val="0"/>
                <w:sz w:val="24"/>
                <w:highlight w:val="none"/>
              </w:rPr>
            </w:pPr>
          </w:p>
        </w:tc>
        <w:tc>
          <w:tcPr>
            <w:tcW w:w="2439" w:type="dxa"/>
            <w:shd w:val="clear" w:color="auto" w:fill="auto"/>
          </w:tcPr>
          <w:p w14:paraId="795C5BA2">
            <w:pPr>
              <w:adjustRightInd w:val="0"/>
              <w:snapToGrid w:val="0"/>
              <w:spacing w:line="360" w:lineRule="auto"/>
              <w:rPr>
                <w:rFonts w:ascii="宋体" w:hAnsi="宋体"/>
                <w:color w:val="auto"/>
                <w:kern w:val="0"/>
                <w:sz w:val="24"/>
                <w:highlight w:val="none"/>
              </w:rPr>
            </w:pPr>
          </w:p>
        </w:tc>
        <w:tc>
          <w:tcPr>
            <w:tcW w:w="2961" w:type="dxa"/>
            <w:shd w:val="clear" w:color="auto" w:fill="auto"/>
          </w:tcPr>
          <w:p w14:paraId="455A3AB8">
            <w:pPr>
              <w:adjustRightInd w:val="0"/>
              <w:snapToGrid w:val="0"/>
              <w:spacing w:line="360" w:lineRule="auto"/>
              <w:rPr>
                <w:rFonts w:ascii="宋体" w:hAnsi="宋体"/>
                <w:color w:val="auto"/>
                <w:kern w:val="0"/>
                <w:sz w:val="24"/>
                <w:highlight w:val="none"/>
              </w:rPr>
            </w:pPr>
          </w:p>
        </w:tc>
      </w:tr>
      <w:tr w14:paraId="4EE840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shd w:val="clear" w:color="auto" w:fill="auto"/>
          </w:tcPr>
          <w:p w14:paraId="0846F1AB">
            <w:pPr>
              <w:adjustRightInd w:val="0"/>
              <w:snapToGrid w:val="0"/>
              <w:spacing w:line="360" w:lineRule="auto"/>
              <w:rPr>
                <w:rFonts w:ascii="宋体" w:hAnsi="宋体"/>
                <w:color w:val="auto"/>
                <w:kern w:val="0"/>
                <w:sz w:val="24"/>
                <w:highlight w:val="none"/>
              </w:rPr>
            </w:pPr>
          </w:p>
        </w:tc>
        <w:tc>
          <w:tcPr>
            <w:tcW w:w="2963" w:type="dxa"/>
            <w:shd w:val="clear" w:color="auto" w:fill="auto"/>
          </w:tcPr>
          <w:p w14:paraId="5B8EBF9F">
            <w:pPr>
              <w:adjustRightInd w:val="0"/>
              <w:snapToGrid w:val="0"/>
              <w:spacing w:line="360" w:lineRule="auto"/>
              <w:rPr>
                <w:rFonts w:ascii="宋体" w:hAnsi="宋体"/>
                <w:color w:val="auto"/>
                <w:kern w:val="0"/>
                <w:sz w:val="24"/>
                <w:highlight w:val="none"/>
              </w:rPr>
            </w:pPr>
          </w:p>
        </w:tc>
        <w:tc>
          <w:tcPr>
            <w:tcW w:w="2439" w:type="dxa"/>
            <w:shd w:val="clear" w:color="auto" w:fill="auto"/>
          </w:tcPr>
          <w:p w14:paraId="47A6A60A">
            <w:pPr>
              <w:adjustRightInd w:val="0"/>
              <w:snapToGrid w:val="0"/>
              <w:spacing w:line="360" w:lineRule="auto"/>
              <w:rPr>
                <w:rFonts w:ascii="宋体" w:hAnsi="宋体"/>
                <w:color w:val="auto"/>
                <w:kern w:val="0"/>
                <w:sz w:val="24"/>
                <w:highlight w:val="none"/>
              </w:rPr>
            </w:pPr>
          </w:p>
        </w:tc>
        <w:tc>
          <w:tcPr>
            <w:tcW w:w="2961" w:type="dxa"/>
            <w:shd w:val="clear" w:color="auto" w:fill="auto"/>
          </w:tcPr>
          <w:p w14:paraId="6D2FC67B">
            <w:pPr>
              <w:adjustRightInd w:val="0"/>
              <w:snapToGrid w:val="0"/>
              <w:spacing w:line="360" w:lineRule="auto"/>
              <w:rPr>
                <w:rFonts w:ascii="宋体" w:hAnsi="宋体"/>
                <w:color w:val="auto"/>
                <w:kern w:val="0"/>
                <w:sz w:val="24"/>
                <w:highlight w:val="none"/>
              </w:rPr>
            </w:pPr>
          </w:p>
        </w:tc>
      </w:tr>
      <w:tr w14:paraId="16183F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shd w:val="clear" w:color="auto" w:fill="auto"/>
          </w:tcPr>
          <w:p w14:paraId="01FBCDF5">
            <w:pPr>
              <w:adjustRightInd w:val="0"/>
              <w:snapToGrid w:val="0"/>
              <w:spacing w:line="360" w:lineRule="auto"/>
              <w:rPr>
                <w:rFonts w:ascii="宋体" w:hAnsi="宋体"/>
                <w:color w:val="auto"/>
                <w:kern w:val="0"/>
                <w:sz w:val="24"/>
                <w:highlight w:val="none"/>
              </w:rPr>
            </w:pPr>
          </w:p>
        </w:tc>
        <w:tc>
          <w:tcPr>
            <w:tcW w:w="2963" w:type="dxa"/>
            <w:shd w:val="clear" w:color="auto" w:fill="auto"/>
          </w:tcPr>
          <w:p w14:paraId="5ABE6FA5">
            <w:pPr>
              <w:adjustRightInd w:val="0"/>
              <w:snapToGrid w:val="0"/>
              <w:spacing w:line="360" w:lineRule="auto"/>
              <w:rPr>
                <w:rFonts w:ascii="宋体" w:hAnsi="宋体"/>
                <w:color w:val="auto"/>
                <w:kern w:val="0"/>
                <w:sz w:val="24"/>
                <w:highlight w:val="none"/>
              </w:rPr>
            </w:pPr>
          </w:p>
        </w:tc>
        <w:tc>
          <w:tcPr>
            <w:tcW w:w="2439" w:type="dxa"/>
            <w:shd w:val="clear" w:color="auto" w:fill="auto"/>
          </w:tcPr>
          <w:p w14:paraId="00E78067">
            <w:pPr>
              <w:adjustRightInd w:val="0"/>
              <w:snapToGrid w:val="0"/>
              <w:spacing w:line="360" w:lineRule="auto"/>
              <w:rPr>
                <w:rFonts w:ascii="宋体" w:hAnsi="宋体"/>
                <w:color w:val="auto"/>
                <w:kern w:val="0"/>
                <w:sz w:val="24"/>
                <w:highlight w:val="none"/>
              </w:rPr>
            </w:pPr>
          </w:p>
        </w:tc>
        <w:tc>
          <w:tcPr>
            <w:tcW w:w="2961" w:type="dxa"/>
            <w:shd w:val="clear" w:color="auto" w:fill="auto"/>
          </w:tcPr>
          <w:p w14:paraId="79D10E6C">
            <w:pPr>
              <w:adjustRightInd w:val="0"/>
              <w:snapToGrid w:val="0"/>
              <w:spacing w:line="360" w:lineRule="auto"/>
              <w:rPr>
                <w:rFonts w:ascii="宋体" w:hAnsi="宋体"/>
                <w:color w:val="auto"/>
                <w:kern w:val="0"/>
                <w:sz w:val="24"/>
                <w:highlight w:val="none"/>
              </w:rPr>
            </w:pPr>
          </w:p>
        </w:tc>
      </w:tr>
      <w:tr w14:paraId="655136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shd w:val="clear" w:color="auto" w:fill="auto"/>
          </w:tcPr>
          <w:p w14:paraId="4AA43A1E">
            <w:pPr>
              <w:adjustRightInd w:val="0"/>
              <w:snapToGrid w:val="0"/>
              <w:spacing w:line="360" w:lineRule="auto"/>
              <w:rPr>
                <w:rFonts w:ascii="宋体" w:hAnsi="宋体"/>
                <w:color w:val="auto"/>
                <w:kern w:val="0"/>
                <w:sz w:val="24"/>
                <w:highlight w:val="none"/>
              </w:rPr>
            </w:pPr>
          </w:p>
        </w:tc>
        <w:tc>
          <w:tcPr>
            <w:tcW w:w="2963" w:type="dxa"/>
            <w:shd w:val="clear" w:color="auto" w:fill="auto"/>
          </w:tcPr>
          <w:p w14:paraId="349B5226">
            <w:pPr>
              <w:adjustRightInd w:val="0"/>
              <w:snapToGrid w:val="0"/>
              <w:spacing w:line="360" w:lineRule="auto"/>
              <w:rPr>
                <w:rFonts w:ascii="宋体" w:hAnsi="宋体"/>
                <w:color w:val="auto"/>
                <w:kern w:val="0"/>
                <w:sz w:val="24"/>
                <w:highlight w:val="none"/>
              </w:rPr>
            </w:pPr>
          </w:p>
        </w:tc>
        <w:tc>
          <w:tcPr>
            <w:tcW w:w="2439" w:type="dxa"/>
            <w:shd w:val="clear" w:color="auto" w:fill="auto"/>
          </w:tcPr>
          <w:p w14:paraId="3DB94A85">
            <w:pPr>
              <w:adjustRightInd w:val="0"/>
              <w:snapToGrid w:val="0"/>
              <w:spacing w:line="360" w:lineRule="auto"/>
              <w:rPr>
                <w:rFonts w:ascii="宋体" w:hAnsi="宋体"/>
                <w:color w:val="auto"/>
                <w:kern w:val="0"/>
                <w:sz w:val="24"/>
                <w:highlight w:val="none"/>
              </w:rPr>
            </w:pPr>
          </w:p>
        </w:tc>
        <w:tc>
          <w:tcPr>
            <w:tcW w:w="2961" w:type="dxa"/>
            <w:shd w:val="clear" w:color="auto" w:fill="auto"/>
          </w:tcPr>
          <w:p w14:paraId="3D1E939F">
            <w:pPr>
              <w:adjustRightInd w:val="0"/>
              <w:snapToGrid w:val="0"/>
              <w:spacing w:line="360" w:lineRule="auto"/>
              <w:rPr>
                <w:rFonts w:ascii="宋体" w:hAnsi="宋体"/>
                <w:color w:val="auto"/>
                <w:kern w:val="0"/>
                <w:sz w:val="24"/>
                <w:highlight w:val="none"/>
              </w:rPr>
            </w:pPr>
          </w:p>
        </w:tc>
      </w:tr>
    </w:tbl>
    <w:p w14:paraId="10664F13">
      <w:pPr>
        <w:widowControl/>
        <w:jc w:val="left"/>
        <w:rPr>
          <w:rFonts w:ascii="黑体" w:hAnsi="黑体" w:eastAsia="黑体"/>
          <w:bCs/>
          <w:color w:val="auto"/>
          <w:szCs w:val="21"/>
          <w:highlight w:val="none"/>
        </w:rPr>
      </w:pPr>
      <w:r>
        <w:rPr>
          <w:rFonts w:ascii="黑体" w:hAnsi="黑体"/>
          <w:b/>
          <w:color w:val="auto"/>
          <w:szCs w:val="21"/>
          <w:highlight w:val="none"/>
        </w:rPr>
        <w:br w:type="page"/>
      </w:r>
    </w:p>
    <w:p w14:paraId="01B62CA1">
      <w:pPr>
        <w:pStyle w:val="11"/>
        <w:adjustRightInd w:val="0"/>
        <w:snapToGrid w:val="0"/>
        <w:spacing w:before="156" w:beforeLines="50" w:after="0" w:line="360" w:lineRule="auto"/>
        <w:rPr>
          <w:rFonts w:ascii="黑体" w:hAnsi="黑体" w:eastAsia="黑体" w:cs="黑体"/>
          <w:b w:val="0"/>
          <w:bCs w:val="0"/>
          <w:color w:val="auto"/>
          <w:sz w:val="21"/>
          <w:szCs w:val="21"/>
          <w:highlight w:val="none"/>
        </w:rPr>
      </w:pPr>
      <w:bookmarkStart w:id="59" w:name="_Toc23711"/>
      <w:r>
        <w:rPr>
          <w:rFonts w:hint="eastAsia" w:ascii="黑体" w:hAnsi="黑体" w:eastAsia="黑体" w:cs="黑体"/>
          <w:b w:val="0"/>
          <w:bCs w:val="0"/>
          <w:color w:val="auto"/>
          <w:sz w:val="21"/>
          <w:szCs w:val="21"/>
          <w:highlight w:val="none"/>
        </w:rPr>
        <w:t>附表3 符合性审查合格投标人名单</w:t>
      </w:r>
      <w:bookmarkEnd w:id="59"/>
    </w:p>
    <w:p w14:paraId="0C879904">
      <w:pPr>
        <w:adjustRightInd w:val="0"/>
        <w:snapToGrid w:val="0"/>
        <w:spacing w:before="156" w:beforeLines="50" w:line="360" w:lineRule="auto"/>
        <w:jc w:val="center"/>
        <w:rPr>
          <w:rFonts w:ascii="黑体" w:hAnsi="黑体" w:eastAsia="黑体"/>
          <w:b/>
          <w:color w:val="auto"/>
          <w:sz w:val="28"/>
          <w:szCs w:val="28"/>
          <w:highlight w:val="none"/>
        </w:rPr>
      </w:pPr>
      <w:r>
        <w:rPr>
          <w:rFonts w:hint="eastAsia" w:ascii="黑体" w:hAnsi="黑体" w:eastAsia="黑体"/>
          <w:b/>
          <w:color w:val="auto"/>
          <w:sz w:val="28"/>
          <w:szCs w:val="28"/>
          <w:highlight w:val="none"/>
        </w:rPr>
        <w:t>符合性审查合格投标人名单</w:t>
      </w:r>
    </w:p>
    <w:p w14:paraId="44B1C3D2">
      <w:pPr>
        <w:adjustRightInd w:val="0"/>
        <w:snapToGrid w:val="0"/>
        <w:spacing w:before="156" w:beforeLines="50" w:line="360" w:lineRule="auto"/>
        <w:rPr>
          <w:rFonts w:ascii="华文中宋" w:hAnsi="华文中宋" w:eastAsia="华文中宋"/>
          <w:color w:val="auto"/>
          <w:sz w:val="32"/>
          <w:szCs w:val="32"/>
          <w:highlight w:val="none"/>
        </w:rPr>
      </w:pPr>
      <w:r>
        <w:rPr>
          <w:rFonts w:hint="eastAsia" w:ascii="宋体" w:hAnsi="宋体"/>
          <w:color w:val="auto"/>
          <w:szCs w:val="21"/>
          <w:highlight w:val="none"/>
        </w:rPr>
        <w:t>项目名称：                                        政府采购计划编号：</w:t>
      </w:r>
    </w:p>
    <w:tbl>
      <w:tblPr>
        <w:tblStyle w:val="29"/>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93"/>
        <w:gridCol w:w="7796"/>
      </w:tblGrid>
      <w:tr w14:paraId="6FB598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shd w:val="clear" w:color="auto" w:fill="auto"/>
            <w:vAlign w:val="center"/>
          </w:tcPr>
          <w:p w14:paraId="0C31915F">
            <w:pPr>
              <w:jc w:val="center"/>
              <w:rPr>
                <w:b/>
                <w:color w:val="auto"/>
                <w:kern w:val="0"/>
                <w:szCs w:val="21"/>
                <w:highlight w:val="none"/>
              </w:rPr>
            </w:pPr>
            <w:r>
              <w:rPr>
                <w:rFonts w:hint="eastAsia"/>
                <w:b/>
                <w:color w:val="auto"/>
                <w:kern w:val="0"/>
                <w:szCs w:val="21"/>
                <w:highlight w:val="none"/>
              </w:rPr>
              <w:t>序号</w:t>
            </w:r>
          </w:p>
        </w:tc>
        <w:tc>
          <w:tcPr>
            <w:tcW w:w="7796" w:type="dxa"/>
            <w:shd w:val="clear" w:color="auto" w:fill="auto"/>
            <w:vAlign w:val="center"/>
          </w:tcPr>
          <w:p w14:paraId="3A466C86">
            <w:pPr>
              <w:jc w:val="center"/>
              <w:rPr>
                <w:b/>
                <w:color w:val="auto"/>
                <w:kern w:val="0"/>
                <w:szCs w:val="21"/>
                <w:highlight w:val="none"/>
              </w:rPr>
            </w:pPr>
            <w:r>
              <w:rPr>
                <w:rFonts w:hint="eastAsia"/>
                <w:b/>
                <w:color w:val="auto"/>
                <w:kern w:val="0"/>
                <w:szCs w:val="21"/>
                <w:highlight w:val="none"/>
              </w:rPr>
              <w:t>合格投标人名称</w:t>
            </w:r>
          </w:p>
        </w:tc>
      </w:tr>
      <w:tr w14:paraId="449FEE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shd w:val="clear" w:color="auto" w:fill="auto"/>
          </w:tcPr>
          <w:p w14:paraId="5AF7189D">
            <w:pPr>
              <w:adjustRightInd w:val="0"/>
              <w:snapToGrid w:val="0"/>
              <w:spacing w:line="360" w:lineRule="auto"/>
              <w:rPr>
                <w:rFonts w:ascii="宋体" w:hAnsi="宋体"/>
                <w:color w:val="auto"/>
                <w:kern w:val="0"/>
                <w:szCs w:val="21"/>
                <w:highlight w:val="none"/>
              </w:rPr>
            </w:pPr>
          </w:p>
        </w:tc>
        <w:tc>
          <w:tcPr>
            <w:tcW w:w="7796" w:type="dxa"/>
            <w:shd w:val="clear" w:color="auto" w:fill="auto"/>
          </w:tcPr>
          <w:p w14:paraId="726AE56D">
            <w:pPr>
              <w:adjustRightInd w:val="0"/>
              <w:snapToGrid w:val="0"/>
              <w:spacing w:line="360" w:lineRule="auto"/>
              <w:rPr>
                <w:rFonts w:ascii="宋体" w:hAnsi="宋体"/>
                <w:color w:val="auto"/>
                <w:kern w:val="0"/>
                <w:szCs w:val="21"/>
                <w:highlight w:val="none"/>
              </w:rPr>
            </w:pPr>
          </w:p>
        </w:tc>
      </w:tr>
      <w:tr w14:paraId="4A13A9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shd w:val="clear" w:color="auto" w:fill="auto"/>
          </w:tcPr>
          <w:p w14:paraId="38AFEBA0">
            <w:pPr>
              <w:adjustRightInd w:val="0"/>
              <w:snapToGrid w:val="0"/>
              <w:spacing w:line="360" w:lineRule="auto"/>
              <w:rPr>
                <w:rFonts w:ascii="宋体" w:hAnsi="宋体"/>
                <w:color w:val="auto"/>
                <w:kern w:val="0"/>
                <w:sz w:val="24"/>
                <w:highlight w:val="none"/>
              </w:rPr>
            </w:pPr>
          </w:p>
        </w:tc>
        <w:tc>
          <w:tcPr>
            <w:tcW w:w="7796" w:type="dxa"/>
            <w:shd w:val="clear" w:color="auto" w:fill="auto"/>
          </w:tcPr>
          <w:p w14:paraId="66DEB708">
            <w:pPr>
              <w:adjustRightInd w:val="0"/>
              <w:snapToGrid w:val="0"/>
              <w:spacing w:line="360" w:lineRule="auto"/>
              <w:rPr>
                <w:rFonts w:ascii="宋体" w:hAnsi="宋体"/>
                <w:color w:val="auto"/>
                <w:kern w:val="0"/>
                <w:sz w:val="24"/>
                <w:highlight w:val="none"/>
              </w:rPr>
            </w:pPr>
          </w:p>
        </w:tc>
      </w:tr>
      <w:tr w14:paraId="06852D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shd w:val="clear" w:color="auto" w:fill="auto"/>
          </w:tcPr>
          <w:p w14:paraId="30F6C97D">
            <w:pPr>
              <w:adjustRightInd w:val="0"/>
              <w:snapToGrid w:val="0"/>
              <w:spacing w:line="360" w:lineRule="auto"/>
              <w:rPr>
                <w:rFonts w:ascii="宋体" w:hAnsi="宋体"/>
                <w:color w:val="auto"/>
                <w:kern w:val="0"/>
                <w:sz w:val="24"/>
                <w:highlight w:val="none"/>
              </w:rPr>
            </w:pPr>
          </w:p>
        </w:tc>
        <w:tc>
          <w:tcPr>
            <w:tcW w:w="7796" w:type="dxa"/>
            <w:shd w:val="clear" w:color="auto" w:fill="auto"/>
          </w:tcPr>
          <w:p w14:paraId="4EDB2FC2">
            <w:pPr>
              <w:adjustRightInd w:val="0"/>
              <w:snapToGrid w:val="0"/>
              <w:spacing w:line="360" w:lineRule="auto"/>
              <w:rPr>
                <w:rFonts w:ascii="宋体" w:hAnsi="宋体"/>
                <w:color w:val="auto"/>
                <w:kern w:val="0"/>
                <w:sz w:val="24"/>
                <w:highlight w:val="none"/>
              </w:rPr>
            </w:pPr>
          </w:p>
        </w:tc>
      </w:tr>
      <w:tr w14:paraId="7C6A69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shd w:val="clear" w:color="auto" w:fill="auto"/>
          </w:tcPr>
          <w:p w14:paraId="033A2DE4">
            <w:pPr>
              <w:adjustRightInd w:val="0"/>
              <w:snapToGrid w:val="0"/>
              <w:spacing w:line="360" w:lineRule="auto"/>
              <w:rPr>
                <w:rFonts w:ascii="宋体" w:hAnsi="宋体"/>
                <w:color w:val="auto"/>
                <w:kern w:val="0"/>
                <w:sz w:val="24"/>
                <w:highlight w:val="none"/>
              </w:rPr>
            </w:pPr>
          </w:p>
        </w:tc>
        <w:tc>
          <w:tcPr>
            <w:tcW w:w="7796" w:type="dxa"/>
            <w:shd w:val="clear" w:color="auto" w:fill="auto"/>
          </w:tcPr>
          <w:p w14:paraId="33F1E10F">
            <w:pPr>
              <w:adjustRightInd w:val="0"/>
              <w:snapToGrid w:val="0"/>
              <w:spacing w:line="360" w:lineRule="auto"/>
              <w:rPr>
                <w:rFonts w:ascii="宋体" w:hAnsi="宋体"/>
                <w:color w:val="auto"/>
                <w:kern w:val="0"/>
                <w:sz w:val="24"/>
                <w:highlight w:val="none"/>
              </w:rPr>
            </w:pPr>
          </w:p>
        </w:tc>
      </w:tr>
      <w:tr w14:paraId="69FE3AD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shd w:val="clear" w:color="auto" w:fill="auto"/>
          </w:tcPr>
          <w:p w14:paraId="153AA1AF">
            <w:pPr>
              <w:adjustRightInd w:val="0"/>
              <w:snapToGrid w:val="0"/>
              <w:spacing w:line="360" w:lineRule="auto"/>
              <w:rPr>
                <w:rFonts w:ascii="宋体" w:hAnsi="宋体"/>
                <w:color w:val="auto"/>
                <w:kern w:val="0"/>
                <w:sz w:val="24"/>
                <w:highlight w:val="none"/>
              </w:rPr>
            </w:pPr>
          </w:p>
        </w:tc>
        <w:tc>
          <w:tcPr>
            <w:tcW w:w="7796" w:type="dxa"/>
            <w:shd w:val="clear" w:color="auto" w:fill="auto"/>
          </w:tcPr>
          <w:p w14:paraId="13EB394D">
            <w:pPr>
              <w:adjustRightInd w:val="0"/>
              <w:snapToGrid w:val="0"/>
              <w:spacing w:line="360" w:lineRule="auto"/>
              <w:rPr>
                <w:rFonts w:ascii="宋体" w:hAnsi="宋体"/>
                <w:color w:val="auto"/>
                <w:kern w:val="0"/>
                <w:sz w:val="24"/>
                <w:highlight w:val="none"/>
              </w:rPr>
            </w:pPr>
          </w:p>
        </w:tc>
      </w:tr>
      <w:tr w14:paraId="4A1FA7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shd w:val="clear" w:color="auto" w:fill="auto"/>
          </w:tcPr>
          <w:p w14:paraId="632B6B32">
            <w:pPr>
              <w:adjustRightInd w:val="0"/>
              <w:snapToGrid w:val="0"/>
              <w:spacing w:line="360" w:lineRule="auto"/>
              <w:rPr>
                <w:rFonts w:ascii="宋体" w:hAnsi="宋体"/>
                <w:color w:val="auto"/>
                <w:kern w:val="0"/>
                <w:sz w:val="24"/>
                <w:highlight w:val="none"/>
              </w:rPr>
            </w:pPr>
          </w:p>
        </w:tc>
        <w:tc>
          <w:tcPr>
            <w:tcW w:w="7796" w:type="dxa"/>
            <w:shd w:val="clear" w:color="auto" w:fill="auto"/>
          </w:tcPr>
          <w:p w14:paraId="374D9EB6">
            <w:pPr>
              <w:adjustRightInd w:val="0"/>
              <w:snapToGrid w:val="0"/>
              <w:spacing w:line="360" w:lineRule="auto"/>
              <w:rPr>
                <w:rFonts w:ascii="宋体" w:hAnsi="宋体"/>
                <w:color w:val="auto"/>
                <w:kern w:val="0"/>
                <w:sz w:val="24"/>
                <w:highlight w:val="none"/>
              </w:rPr>
            </w:pPr>
          </w:p>
        </w:tc>
      </w:tr>
    </w:tbl>
    <w:p w14:paraId="3D36A919">
      <w:pPr>
        <w:rPr>
          <w:color w:val="auto"/>
          <w:w w:val="90"/>
          <w:highlight w:val="none"/>
        </w:rPr>
      </w:pPr>
    </w:p>
    <w:p w14:paraId="1E5F32FB">
      <w:pPr>
        <w:rPr>
          <w:rFonts w:ascii="黑体" w:hAnsi="黑体" w:eastAsia="黑体"/>
          <w:b/>
          <w:color w:val="auto"/>
          <w:sz w:val="32"/>
          <w:szCs w:val="32"/>
          <w:highlight w:val="none"/>
        </w:rPr>
      </w:pPr>
    </w:p>
    <w:p w14:paraId="1DD31383">
      <w:pPr>
        <w:pStyle w:val="10"/>
        <w:adjustRightInd w:val="0"/>
        <w:snapToGrid w:val="0"/>
        <w:jc w:val="center"/>
        <w:rPr>
          <w:rFonts w:ascii="黑体" w:hAnsi="华文中宋" w:eastAsia="黑体"/>
          <w:color w:val="auto"/>
          <w:sz w:val="28"/>
          <w:szCs w:val="28"/>
          <w:highlight w:val="none"/>
        </w:rPr>
      </w:pPr>
      <w:r>
        <w:rPr>
          <w:rFonts w:ascii="黑体" w:hAnsi="黑体" w:eastAsia="黑体"/>
          <w:b w:val="0"/>
          <w:color w:val="auto"/>
          <w:sz w:val="32"/>
          <w:highlight w:val="none"/>
        </w:rPr>
        <w:br w:type="page"/>
      </w:r>
      <w:bookmarkStart w:id="60" w:name="_Toc26017"/>
      <w:r>
        <w:rPr>
          <w:rFonts w:hint="eastAsia" w:ascii="黑体" w:hAnsi="华文中宋" w:eastAsia="黑体"/>
          <w:color w:val="auto"/>
          <w:sz w:val="28"/>
          <w:szCs w:val="28"/>
          <w:highlight w:val="none"/>
        </w:rPr>
        <w:t>第四节 投标文件的比较与评价</w:t>
      </w:r>
      <w:bookmarkEnd w:id="60"/>
    </w:p>
    <w:p w14:paraId="0DEC7B3D">
      <w:pPr>
        <w:widowControl/>
        <w:adjustRightInd w:val="0"/>
        <w:snapToGrid w:val="0"/>
        <w:spacing w:before="156" w:beforeLines="50" w:line="360" w:lineRule="auto"/>
        <w:jc w:val="left"/>
        <w:rPr>
          <w:rFonts w:ascii="黑体" w:hAnsi="黑体" w:eastAsia="黑体"/>
          <w:b/>
          <w:color w:val="auto"/>
          <w:sz w:val="24"/>
          <w:highlight w:val="none"/>
        </w:rPr>
      </w:pPr>
      <w:r>
        <w:rPr>
          <w:rFonts w:hint="eastAsia" w:ascii="黑体" w:hAnsi="黑体" w:eastAsia="黑体"/>
          <w:b/>
          <w:color w:val="auto"/>
          <w:sz w:val="24"/>
          <w:highlight w:val="none"/>
        </w:rPr>
        <w:t>1.</w:t>
      </w:r>
      <w:r>
        <w:rPr>
          <w:rFonts w:hint="eastAsia"/>
          <w:color w:val="auto"/>
          <w:highlight w:val="none"/>
        </w:rPr>
        <w:t xml:space="preserve"> </w:t>
      </w:r>
      <w:r>
        <w:rPr>
          <w:rFonts w:hint="eastAsia" w:ascii="黑体" w:hAnsi="黑体" w:eastAsia="黑体"/>
          <w:b/>
          <w:color w:val="auto"/>
          <w:sz w:val="24"/>
          <w:highlight w:val="none"/>
        </w:rPr>
        <w:t>综合评分法</w:t>
      </w:r>
    </w:p>
    <w:p w14:paraId="53615E7B">
      <w:pPr>
        <w:adjustRightInd w:val="0"/>
        <w:snapToGrid w:val="0"/>
        <w:spacing w:before="156" w:beforeLines="50"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1.1综合评分法，指投标文件满足招标文件全部实质性要求，且按照评审因素的量化指标评审得分最高的投标人为中标候选人的评标方法。</w:t>
      </w:r>
    </w:p>
    <w:p w14:paraId="24A4CF92">
      <w:pPr>
        <w:adjustRightInd w:val="0"/>
        <w:snapToGrid w:val="0"/>
        <w:spacing w:before="156" w:beforeLines="50"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1.2评标因素：评审因素的设定应当与投标人所提供货物服务的质量相关，包括投标报价、技术或者服务水平、履约能力、售后服务等，但不包括第一章投标人的资格要求。本采购项目的评标因素和标准见本章本节附表1“评标方法及标准表”。</w:t>
      </w:r>
    </w:p>
    <w:p w14:paraId="63691516">
      <w:pPr>
        <w:adjustRightInd w:val="0"/>
        <w:snapToGrid w:val="0"/>
        <w:spacing w:before="156" w:beforeLines="50"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1.3未通过符合性审查的投标文件不得进入比较与评价。</w:t>
      </w:r>
    </w:p>
    <w:p w14:paraId="001505AF">
      <w:pPr>
        <w:adjustRightInd w:val="0"/>
        <w:snapToGrid w:val="0"/>
        <w:spacing w:before="156" w:beforeLines="50" w:line="360" w:lineRule="auto"/>
        <w:jc w:val="left"/>
        <w:rPr>
          <w:rFonts w:ascii="黑体" w:hAnsi="黑体" w:eastAsia="黑体"/>
          <w:b/>
          <w:bCs/>
          <w:color w:val="auto"/>
          <w:sz w:val="24"/>
          <w:highlight w:val="none"/>
        </w:rPr>
      </w:pPr>
      <w:r>
        <w:rPr>
          <w:rFonts w:hint="eastAsia" w:ascii="黑体" w:hAnsi="黑体" w:eastAsia="黑体"/>
          <w:b/>
          <w:bCs/>
          <w:color w:val="auto"/>
          <w:sz w:val="24"/>
          <w:highlight w:val="none"/>
        </w:rPr>
        <w:t>2.</w:t>
      </w:r>
      <w:r>
        <w:rPr>
          <w:rFonts w:hint="eastAsia"/>
          <w:color w:val="auto"/>
          <w:highlight w:val="none"/>
        </w:rPr>
        <w:t xml:space="preserve"> </w:t>
      </w:r>
      <w:r>
        <w:rPr>
          <w:rFonts w:hint="eastAsia" w:ascii="黑体" w:hAnsi="黑体" w:eastAsia="黑体"/>
          <w:b/>
          <w:bCs/>
          <w:color w:val="auto"/>
          <w:sz w:val="24"/>
          <w:highlight w:val="none"/>
        </w:rPr>
        <w:t>投标报价的算术修正及政府采购政策调整</w:t>
      </w:r>
    </w:p>
    <w:p w14:paraId="7F6DF1A4">
      <w:pPr>
        <w:adjustRightInd w:val="0"/>
        <w:snapToGrid w:val="0"/>
        <w:spacing w:before="156" w:beforeLines="50"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2.1如果有算术错误，投标报价将按本章第二节第4.2款、第4.3款规定进行算术修正。</w:t>
      </w:r>
    </w:p>
    <w:p w14:paraId="4973A82A">
      <w:pPr>
        <w:adjustRightInd w:val="0"/>
        <w:snapToGrid w:val="0"/>
        <w:spacing w:before="156" w:beforeLines="50"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2.2需落实政府采购政策（价格评审优惠）的，按第二章“投标须知”及本章第二节第</w:t>
      </w:r>
      <w:r>
        <w:rPr>
          <w:rFonts w:ascii="宋体" w:hAnsi="宋体"/>
          <w:bCs/>
          <w:color w:val="auto"/>
          <w:szCs w:val="21"/>
          <w:highlight w:val="none"/>
        </w:rPr>
        <w:t>5.</w:t>
      </w:r>
      <w:r>
        <w:rPr>
          <w:rFonts w:hint="eastAsia" w:ascii="宋体" w:hAnsi="宋体"/>
          <w:bCs/>
          <w:color w:val="auto"/>
          <w:szCs w:val="21"/>
          <w:highlight w:val="none"/>
        </w:rPr>
        <w:t>4（1）项的相关规定进行价格调整。</w:t>
      </w:r>
    </w:p>
    <w:p w14:paraId="1208A3B1">
      <w:pPr>
        <w:adjustRightInd w:val="0"/>
        <w:snapToGrid w:val="0"/>
        <w:spacing w:before="156" w:beforeLines="50"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2.3按本章本节第2.1款、第2.2款规定，以修正或调整后的价格确定投标人的投标报价和评标基准价，用于投标报价评价。</w:t>
      </w:r>
    </w:p>
    <w:p w14:paraId="06148F80">
      <w:pPr>
        <w:adjustRightInd w:val="0"/>
        <w:snapToGrid w:val="0"/>
        <w:spacing w:before="156" w:beforeLines="50" w:line="360" w:lineRule="auto"/>
        <w:jc w:val="left"/>
        <w:rPr>
          <w:rFonts w:ascii="黑体" w:hAnsi="黑体" w:eastAsia="黑体"/>
          <w:b/>
          <w:bCs/>
          <w:color w:val="auto"/>
          <w:sz w:val="24"/>
          <w:highlight w:val="none"/>
        </w:rPr>
      </w:pPr>
      <w:r>
        <w:rPr>
          <w:rFonts w:hint="eastAsia" w:ascii="黑体" w:hAnsi="黑体" w:eastAsia="黑体"/>
          <w:b/>
          <w:bCs/>
          <w:color w:val="auto"/>
          <w:sz w:val="24"/>
          <w:highlight w:val="none"/>
        </w:rPr>
        <w:t>3.</w:t>
      </w:r>
      <w:r>
        <w:rPr>
          <w:rFonts w:hint="eastAsia"/>
          <w:color w:val="auto"/>
          <w:highlight w:val="none"/>
        </w:rPr>
        <w:t xml:space="preserve"> </w:t>
      </w:r>
      <w:r>
        <w:rPr>
          <w:rFonts w:hint="eastAsia" w:ascii="黑体" w:hAnsi="黑体" w:eastAsia="黑体"/>
          <w:b/>
          <w:bCs/>
          <w:color w:val="auto"/>
          <w:sz w:val="24"/>
          <w:highlight w:val="none"/>
        </w:rPr>
        <w:t>投标报价评价</w:t>
      </w:r>
    </w:p>
    <w:p w14:paraId="22A661FC">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3.1投标报价评价：价格分应当采用低价优先法计算，即满足招标文件要求且投标价格最低的投标报价为评标基准价，其价格分为满分（报价权重分）。其他投标人的价格分统一按照下列公式计算：</w:t>
      </w:r>
    </w:p>
    <w:p w14:paraId="00150067">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投标报价得分=（评标基准价</w:t>
      </w:r>
      <w:r>
        <w:rPr>
          <w:rFonts w:hint="eastAsia" w:ascii="宋体" w:hAnsi="宋体"/>
          <w:color w:val="auto"/>
          <w:szCs w:val="21"/>
          <w:highlight w:val="none"/>
          <w:vertAlign w:val="subscript"/>
        </w:rPr>
        <w:t>修正或调整</w:t>
      </w:r>
      <w:r>
        <w:rPr>
          <w:rFonts w:hint="eastAsia" w:ascii="宋体" w:hAnsi="宋体"/>
          <w:color w:val="auto"/>
          <w:szCs w:val="21"/>
          <w:highlight w:val="none"/>
        </w:rPr>
        <w:t>／投标报价</w:t>
      </w:r>
      <w:r>
        <w:rPr>
          <w:rFonts w:hint="eastAsia" w:ascii="宋体" w:hAnsi="宋体"/>
          <w:color w:val="auto"/>
          <w:szCs w:val="21"/>
          <w:highlight w:val="none"/>
          <w:vertAlign w:val="subscript"/>
        </w:rPr>
        <w:t>修正或调整</w:t>
      </w:r>
      <w:r>
        <w:rPr>
          <w:rFonts w:hint="eastAsia" w:ascii="宋体" w:hAnsi="宋体"/>
          <w:color w:val="auto"/>
          <w:szCs w:val="21"/>
          <w:highlight w:val="none"/>
        </w:rPr>
        <w:t>） ×100×报价权值</w:t>
      </w:r>
    </w:p>
    <w:p w14:paraId="4479EFCB">
      <w:pPr>
        <w:numPr>
          <w:ilvl w:val="0"/>
          <w:numId w:val="1"/>
        </w:numPr>
        <w:adjustRightInd w:val="0"/>
        <w:snapToGrid w:val="0"/>
        <w:spacing w:before="156" w:beforeLines="50" w:line="360" w:lineRule="auto"/>
        <w:jc w:val="left"/>
        <w:rPr>
          <w:rFonts w:ascii="黑体" w:hAnsi="黑体" w:eastAsia="黑体"/>
          <w:b/>
          <w:color w:val="auto"/>
          <w:sz w:val="24"/>
          <w:highlight w:val="none"/>
        </w:rPr>
      </w:pPr>
      <w:r>
        <w:rPr>
          <w:rFonts w:hint="eastAsia" w:ascii="黑体" w:hAnsi="黑体" w:eastAsia="黑体"/>
          <w:b/>
          <w:color w:val="auto"/>
          <w:sz w:val="24"/>
          <w:highlight w:val="none"/>
        </w:rPr>
        <w:t>技术、商务等评分项响应评价及政府采购政策加分</w:t>
      </w:r>
    </w:p>
    <w:p w14:paraId="27C70C06">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4.1技术、商务等评分项响应评分。按</w:t>
      </w:r>
      <w:r>
        <w:rPr>
          <w:rFonts w:hint="eastAsia" w:ascii="宋体" w:hAnsi="宋体"/>
          <w:bCs/>
          <w:color w:val="auto"/>
          <w:szCs w:val="21"/>
          <w:highlight w:val="none"/>
        </w:rPr>
        <w:t>本章</w:t>
      </w:r>
      <w:r>
        <w:rPr>
          <w:rFonts w:hint="eastAsia" w:ascii="宋体" w:hAnsi="宋体"/>
          <w:color w:val="auto"/>
          <w:szCs w:val="21"/>
          <w:highlight w:val="none"/>
        </w:rPr>
        <w:t>本节附表1“评标方法及标准表”规定的评标因素和标准，对技术、商务等评分项计算得分。</w:t>
      </w:r>
    </w:p>
    <w:p w14:paraId="4AC47578">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4.2需落实政府采购政策（优先采购）的，按第二章、本章第二节第5.4（2）项以及本节附表1“评标方法及标准表”的相关规定进行技术、价格、商务</w:t>
      </w:r>
      <w:r>
        <w:rPr>
          <w:rFonts w:hint="eastAsia" w:ascii="宋体" w:hAnsi="宋体"/>
          <w:color w:val="auto"/>
          <w:szCs w:val="21"/>
          <w:highlight w:val="none"/>
          <w:lang w:val="en-US" w:eastAsia="zh-CN"/>
        </w:rPr>
        <w:tab/>
      </w:r>
      <w:r>
        <w:rPr>
          <w:rFonts w:hint="eastAsia" w:ascii="宋体" w:hAnsi="宋体"/>
          <w:color w:val="auto"/>
          <w:szCs w:val="21"/>
          <w:highlight w:val="none"/>
        </w:rPr>
        <w:t>项得分(加分)计算。</w:t>
      </w:r>
    </w:p>
    <w:p w14:paraId="3B82F745">
      <w:pPr>
        <w:numPr>
          <w:ilvl w:val="0"/>
          <w:numId w:val="1"/>
        </w:numPr>
        <w:adjustRightInd w:val="0"/>
        <w:snapToGrid w:val="0"/>
        <w:spacing w:before="156" w:beforeLines="50" w:line="360" w:lineRule="auto"/>
        <w:jc w:val="left"/>
        <w:rPr>
          <w:rFonts w:ascii="黑体" w:hAnsi="黑体" w:eastAsia="黑体"/>
          <w:b/>
          <w:color w:val="auto"/>
          <w:sz w:val="24"/>
          <w:highlight w:val="none"/>
        </w:rPr>
      </w:pPr>
      <w:r>
        <w:rPr>
          <w:rFonts w:hint="eastAsia" w:ascii="黑体" w:hAnsi="黑体" w:eastAsia="黑体"/>
          <w:b/>
          <w:color w:val="auto"/>
          <w:sz w:val="24"/>
          <w:highlight w:val="none"/>
        </w:rPr>
        <w:t>评标总得分</w:t>
      </w:r>
    </w:p>
    <w:p w14:paraId="710635C4">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5.1评标总得分为投标报价、技术、商务等评分项得分(含优先采购政策加分)之和。</w:t>
      </w:r>
    </w:p>
    <w:p w14:paraId="63A5978B">
      <w:pPr>
        <w:adjustRightInd w:val="0"/>
        <w:snapToGrid w:val="0"/>
        <w:spacing w:line="460" w:lineRule="exact"/>
        <w:ind w:firstLine="420" w:firstLineChars="200"/>
        <w:rPr>
          <w:rFonts w:ascii="宋体" w:hAnsi="宋体" w:cs="宋体"/>
          <w:color w:val="auto"/>
          <w:kern w:val="0"/>
          <w:szCs w:val="21"/>
          <w:highlight w:val="none"/>
          <w:lang w:val="ru-RU" w:eastAsia="ru-RU"/>
        </w:rPr>
      </w:pPr>
      <w:r>
        <w:rPr>
          <w:rFonts w:hint="eastAsia" w:ascii="宋体" w:hAnsi="宋体" w:cs="宋体"/>
          <w:color w:val="auto"/>
          <w:kern w:val="0"/>
          <w:szCs w:val="21"/>
          <w:highlight w:val="none"/>
          <w:lang w:val="ru-RU" w:eastAsia="ru-RU"/>
        </w:rPr>
        <w:t>评标总得分＝F</w:t>
      </w:r>
      <w:r>
        <w:rPr>
          <w:rFonts w:hint="eastAsia" w:ascii="宋体" w:hAnsi="宋体" w:cs="宋体"/>
          <w:color w:val="auto"/>
          <w:kern w:val="0"/>
          <w:szCs w:val="21"/>
          <w:highlight w:val="none"/>
          <w:vertAlign w:val="subscript"/>
          <w:lang w:val="ru-RU" w:eastAsia="ru-RU"/>
        </w:rPr>
        <w:t>1</w:t>
      </w:r>
      <w:r>
        <w:rPr>
          <w:rFonts w:hint="eastAsia" w:ascii="宋体" w:hAnsi="宋体" w:cs="宋体"/>
          <w:color w:val="auto"/>
          <w:kern w:val="0"/>
          <w:szCs w:val="21"/>
          <w:highlight w:val="none"/>
          <w:lang w:val="ru-RU" w:eastAsia="ru-RU"/>
        </w:rPr>
        <w:t>×A</w:t>
      </w:r>
      <w:r>
        <w:rPr>
          <w:rFonts w:hint="eastAsia" w:ascii="宋体" w:hAnsi="宋体" w:cs="宋体"/>
          <w:color w:val="auto"/>
          <w:kern w:val="0"/>
          <w:szCs w:val="21"/>
          <w:highlight w:val="none"/>
          <w:vertAlign w:val="subscript"/>
          <w:lang w:val="ru-RU" w:eastAsia="ru-RU"/>
        </w:rPr>
        <w:t>1</w:t>
      </w:r>
      <w:r>
        <w:rPr>
          <w:rFonts w:hint="eastAsia" w:ascii="宋体" w:hAnsi="宋体" w:cs="宋体"/>
          <w:color w:val="auto"/>
          <w:kern w:val="0"/>
          <w:szCs w:val="21"/>
          <w:highlight w:val="none"/>
          <w:lang w:val="ru-RU" w:eastAsia="ru-RU"/>
        </w:rPr>
        <w:t>＋F</w:t>
      </w:r>
      <w:r>
        <w:rPr>
          <w:rFonts w:hint="eastAsia" w:ascii="宋体" w:hAnsi="宋体" w:cs="宋体"/>
          <w:color w:val="auto"/>
          <w:kern w:val="0"/>
          <w:szCs w:val="21"/>
          <w:highlight w:val="none"/>
          <w:vertAlign w:val="subscript"/>
          <w:lang w:val="ru-RU" w:eastAsia="ru-RU"/>
        </w:rPr>
        <w:t>2</w:t>
      </w:r>
      <w:r>
        <w:rPr>
          <w:rFonts w:hint="eastAsia" w:ascii="宋体" w:hAnsi="宋体" w:cs="宋体"/>
          <w:color w:val="auto"/>
          <w:kern w:val="0"/>
          <w:szCs w:val="21"/>
          <w:highlight w:val="none"/>
          <w:lang w:val="ru-RU" w:eastAsia="ru-RU"/>
        </w:rPr>
        <w:t>×A</w:t>
      </w:r>
      <w:r>
        <w:rPr>
          <w:rFonts w:hint="eastAsia" w:ascii="宋体" w:hAnsi="宋体" w:cs="宋体"/>
          <w:color w:val="auto"/>
          <w:kern w:val="0"/>
          <w:szCs w:val="21"/>
          <w:highlight w:val="none"/>
          <w:vertAlign w:val="subscript"/>
          <w:lang w:val="ru-RU" w:eastAsia="ru-RU"/>
        </w:rPr>
        <w:t>2</w:t>
      </w:r>
      <w:r>
        <w:rPr>
          <w:rFonts w:hint="eastAsia" w:ascii="宋体" w:hAnsi="宋体" w:cs="宋体"/>
          <w:color w:val="auto"/>
          <w:kern w:val="0"/>
          <w:szCs w:val="21"/>
          <w:highlight w:val="none"/>
          <w:lang w:val="ru-RU" w:eastAsia="ru-RU"/>
        </w:rPr>
        <w:t>＋……＋F</w:t>
      </w:r>
      <w:r>
        <w:rPr>
          <w:rFonts w:hint="eastAsia" w:ascii="宋体" w:hAnsi="宋体" w:cs="宋体"/>
          <w:color w:val="auto"/>
          <w:kern w:val="0"/>
          <w:szCs w:val="21"/>
          <w:highlight w:val="none"/>
          <w:vertAlign w:val="subscript"/>
          <w:lang w:val="ru-RU" w:eastAsia="ru-RU"/>
        </w:rPr>
        <w:t>n</w:t>
      </w:r>
      <w:r>
        <w:rPr>
          <w:rFonts w:hint="eastAsia" w:ascii="宋体" w:hAnsi="宋体" w:cs="宋体"/>
          <w:color w:val="auto"/>
          <w:kern w:val="0"/>
          <w:szCs w:val="21"/>
          <w:highlight w:val="none"/>
          <w:lang w:val="ru-RU" w:eastAsia="ru-RU"/>
        </w:rPr>
        <w:t>×A</w:t>
      </w:r>
      <w:r>
        <w:rPr>
          <w:rFonts w:hint="eastAsia" w:ascii="宋体" w:hAnsi="宋体" w:cs="宋体"/>
          <w:color w:val="auto"/>
          <w:kern w:val="0"/>
          <w:szCs w:val="21"/>
          <w:highlight w:val="none"/>
          <w:vertAlign w:val="subscript"/>
          <w:lang w:val="ru-RU" w:eastAsia="ru-RU"/>
        </w:rPr>
        <w:t>n</w:t>
      </w:r>
    </w:p>
    <w:p w14:paraId="37FEAC3B">
      <w:pPr>
        <w:adjustRightInd w:val="0"/>
        <w:snapToGrid w:val="0"/>
        <w:spacing w:line="460" w:lineRule="exact"/>
        <w:ind w:firstLine="420" w:firstLineChars="200"/>
        <w:rPr>
          <w:rFonts w:ascii="宋体" w:hAnsi="宋体" w:cs="宋体"/>
          <w:color w:val="auto"/>
          <w:kern w:val="0"/>
          <w:szCs w:val="21"/>
          <w:highlight w:val="none"/>
          <w:lang w:val="ru-RU" w:eastAsia="ru-RU"/>
        </w:rPr>
      </w:pPr>
      <w:r>
        <w:rPr>
          <w:rFonts w:hint="eastAsia" w:ascii="宋体" w:hAnsi="宋体" w:cs="宋体"/>
          <w:color w:val="auto"/>
          <w:kern w:val="0"/>
          <w:szCs w:val="21"/>
          <w:highlight w:val="none"/>
          <w:lang w:val="ru-RU" w:eastAsia="ru-RU"/>
        </w:rPr>
        <w:t>F</w:t>
      </w:r>
      <w:r>
        <w:rPr>
          <w:rFonts w:hint="eastAsia" w:ascii="宋体" w:hAnsi="宋体" w:cs="宋体"/>
          <w:color w:val="auto"/>
          <w:kern w:val="0"/>
          <w:szCs w:val="21"/>
          <w:highlight w:val="none"/>
          <w:vertAlign w:val="subscript"/>
          <w:lang w:val="ru-RU" w:eastAsia="ru-RU"/>
        </w:rPr>
        <w:t>1</w:t>
      </w:r>
      <w:r>
        <w:rPr>
          <w:rFonts w:hint="eastAsia" w:ascii="宋体" w:hAnsi="宋体" w:cs="宋体"/>
          <w:color w:val="auto"/>
          <w:kern w:val="0"/>
          <w:szCs w:val="21"/>
          <w:highlight w:val="none"/>
          <w:lang w:val="ru-RU" w:eastAsia="ru-RU"/>
        </w:rPr>
        <w:t>、F</w:t>
      </w:r>
      <w:r>
        <w:rPr>
          <w:rFonts w:hint="eastAsia" w:ascii="宋体" w:hAnsi="宋体" w:cs="宋体"/>
          <w:color w:val="auto"/>
          <w:kern w:val="0"/>
          <w:szCs w:val="21"/>
          <w:highlight w:val="none"/>
          <w:vertAlign w:val="subscript"/>
          <w:lang w:val="ru-RU" w:eastAsia="ru-RU"/>
        </w:rPr>
        <w:t>2</w:t>
      </w:r>
      <w:r>
        <w:rPr>
          <w:rFonts w:hint="eastAsia" w:ascii="宋体" w:hAnsi="宋体" w:cs="宋体"/>
          <w:color w:val="auto"/>
          <w:kern w:val="0"/>
          <w:szCs w:val="21"/>
          <w:highlight w:val="none"/>
          <w:lang w:val="ru-RU" w:eastAsia="ru-RU"/>
        </w:rPr>
        <w:t>……F</w:t>
      </w:r>
      <w:r>
        <w:rPr>
          <w:rFonts w:hint="eastAsia" w:ascii="宋体" w:hAnsi="宋体" w:cs="宋体"/>
          <w:color w:val="auto"/>
          <w:kern w:val="0"/>
          <w:szCs w:val="21"/>
          <w:highlight w:val="none"/>
          <w:vertAlign w:val="subscript"/>
          <w:lang w:val="ru-RU" w:eastAsia="ru-RU"/>
        </w:rPr>
        <w:t>n</w:t>
      </w:r>
      <w:r>
        <w:rPr>
          <w:rFonts w:hint="eastAsia" w:ascii="宋体" w:hAnsi="宋体" w:cs="宋体"/>
          <w:color w:val="auto"/>
          <w:kern w:val="0"/>
          <w:szCs w:val="21"/>
          <w:highlight w:val="none"/>
          <w:lang w:val="ru-RU" w:eastAsia="ru-RU"/>
        </w:rPr>
        <w:t>分别为各项评审因素的得分；</w:t>
      </w:r>
    </w:p>
    <w:p w14:paraId="69666CB0">
      <w:pPr>
        <w:adjustRightInd w:val="0"/>
        <w:snapToGrid w:val="0"/>
        <w:spacing w:line="460" w:lineRule="exact"/>
        <w:ind w:firstLine="420" w:firstLineChars="200"/>
        <w:rPr>
          <w:rFonts w:ascii="宋体" w:hAnsi="宋体" w:cs="宋体"/>
          <w:color w:val="auto"/>
          <w:kern w:val="0"/>
          <w:szCs w:val="21"/>
          <w:highlight w:val="none"/>
          <w:lang w:val="ru-RU" w:eastAsia="ru-RU"/>
        </w:rPr>
      </w:pPr>
      <w:r>
        <w:rPr>
          <w:rFonts w:hint="eastAsia" w:ascii="宋体" w:hAnsi="宋体" w:cs="宋体"/>
          <w:color w:val="auto"/>
          <w:kern w:val="0"/>
          <w:szCs w:val="21"/>
          <w:highlight w:val="none"/>
          <w:lang w:val="ru-RU" w:eastAsia="ru-RU"/>
        </w:rPr>
        <w:t>A</w:t>
      </w:r>
      <w:r>
        <w:rPr>
          <w:rFonts w:hint="eastAsia" w:ascii="宋体" w:hAnsi="宋体" w:cs="宋体"/>
          <w:color w:val="auto"/>
          <w:kern w:val="0"/>
          <w:szCs w:val="21"/>
          <w:highlight w:val="none"/>
          <w:vertAlign w:val="subscript"/>
          <w:lang w:val="ru-RU" w:eastAsia="ru-RU"/>
        </w:rPr>
        <w:t>1</w:t>
      </w:r>
      <w:r>
        <w:rPr>
          <w:rFonts w:hint="eastAsia" w:ascii="宋体" w:hAnsi="宋体" w:cs="宋体"/>
          <w:color w:val="auto"/>
          <w:kern w:val="0"/>
          <w:szCs w:val="21"/>
          <w:highlight w:val="none"/>
          <w:lang w:val="ru-RU" w:eastAsia="ru-RU"/>
        </w:rPr>
        <w:t>、A</w:t>
      </w:r>
      <w:r>
        <w:rPr>
          <w:rFonts w:hint="eastAsia" w:ascii="宋体" w:hAnsi="宋体" w:cs="宋体"/>
          <w:color w:val="auto"/>
          <w:kern w:val="0"/>
          <w:szCs w:val="21"/>
          <w:highlight w:val="none"/>
          <w:vertAlign w:val="subscript"/>
          <w:lang w:val="ru-RU" w:eastAsia="ru-RU"/>
        </w:rPr>
        <w:t>2</w:t>
      </w:r>
      <w:r>
        <w:rPr>
          <w:rFonts w:hint="eastAsia" w:ascii="宋体" w:hAnsi="宋体" w:cs="宋体"/>
          <w:color w:val="auto"/>
          <w:kern w:val="0"/>
          <w:szCs w:val="21"/>
          <w:highlight w:val="none"/>
          <w:lang w:val="ru-RU" w:eastAsia="ru-RU"/>
        </w:rPr>
        <w:t>、……A</w:t>
      </w:r>
      <w:r>
        <w:rPr>
          <w:rFonts w:hint="eastAsia" w:ascii="宋体" w:hAnsi="宋体" w:cs="宋体"/>
          <w:color w:val="auto"/>
          <w:kern w:val="0"/>
          <w:szCs w:val="21"/>
          <w:highlight w:val="none"/>
          <w:vertAlign w:val="subscript"/>
          <w:lang w:val="ru-RU" w:eastAsia="ru-RU"/>
        </w:rPr>
        <w:t>n</w:t>
      </w:r>
      <w:r>
        <w:rPr>
          <w:rFonts w:hint="eastAsia" w:ascii="宋体" w:hAnsi="宋体" w:cs="宋体"/>
          <w:color w:val="auto"/>
          <w:kern w:val="0"/>
          <w:szCs w:val="21"/>
          <w:highlight w:val="none"/>
          <w:lang w:val="ru-RU" w:eastAsia="ru-RU"/>
        </w:rPr>
        <w:t>分别为各项评审因素所占的权重（A</w:t>
      </w:r>
      <w:r>
        <w:rPr>
          <w:rFonts w:hint="eastAsia" w:ascii="宋体" w:hAnsi="宋体" w:cs="宋体"/>
          <w:color w:val="auto"/>
          <w:kern w:val="0"/>
          <w:szCs w:val="21"/>
          <w:highlight w:val="none"/>
          <w:vertAlign w:val="subscript"/>
          <w:lang w:val="ru-RU" w:eastAsia="ru-RU"/>
        </w:rPr>
        <w:t>1</w:t>
      </w:r>
      <w:r>
        <w:rPr>
          <w:rFonts w:hint="eastAsia" w:ascii="宋体" w:hAnsi="宋体" w:cs="宋体"/>
          <w:color w:val="auto"/>
          <w:kern w:val="0"/>
          <w:szCs w:val="21"/>
          <w:highlight w:val="none"/>
          <w:lang w:val="ru-RU" w:eastAsia="ru-RU"/>
        </w:rPr>
        <w:t>＋A</w:t>
      </w:r>
      <w:r>
        <w:rPr>
          <w:rFonts w:hint="eastAsia" w:ascii="宋体" w:hAnsi="宋体" w:cs="宋体"/>
          <w:color w:val="auto"/>
          <w:kern w:val="0"/>
          <w:szCs w:val="21"/>
          <w:highlight w:val="none"/>
          <w:vertAlign w:val="subscript"/>
          <w:lang w:val="ru-RU" w:eastAsia="ru-RU"/>
        </w:rPr>
        <w:t>2</w:t>
      </w:r>
      <w:r>
        <w:rPr>
          <w:rFonts w:hint="eastAsia" w:ascii="宋体" w:hAnsi="宋体" w:cs="宋体"/>
          <w:color w:val="auto"/>
          <w:kern w:val="0"/>
          <w:szCs w:val="21"/>
          <w:highlight w:val="none"/>
          <w:lang w:val="ru-RU" w:eastAsia="ru-RU"/>
        </w:rPr>
        <w:t>＋…＋A</w:t>
      </w:r>
      <w:r>
        <w:rPr>
          <w:rFonts w:hint="eastAsia" w:ascii="宋体" w:hAnsi="宋体" w:cs="宋体"/>
          <w:color w:val="auto"/>
          <w:kern w:val="0"/>
          <w:szCs w:val="21"/>
          <w:highlight w:val="none"/>
          <w:vertAlign w:val="subscript"/>
          <w:lang w:val="ru-RU" w:eastAsia="ru-RU"/>
        </w:rPr>
        <w:t>n</w:t>
      </w:r>
      <w:r>
        <w:rPr>
          <w:rFonts w:hint="eastAsia" w:ascii="宋体" w:hAnsi="宋体" w:cs="宋体"/>
          <w:color w:val="auto"/>
          <w:kern w:val="0"/>
          <w:szCs w:val="21"/>
          <w:highlight w:val="none"/>
          <w:lang w:val="ru-RU" w:eastAsia="ru-RU"/>
        </w:rPr>
        <w:t>＝1）。</w:t>
      </w:r>
    </w:p>
    <w:p w14:paraId="29BC14FA">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5.2评分分值计算保留小数点后两位，小数点后第三位“四舍五入”。</w:t>
      </w:r>
    </w:p>
    <w:p w14:paraId="4C83AE39">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s="宋体"/>
          <w:color w:val="auto"/>
          <w:kern w:val="0"/>
          <w:szCs w:val="21"/>
          <w:highlight w:val="none"/>
        </w:rPr>
        <w:t>5.3</w:t>
      </w:r>
      <w:r>
        <w:rPr>
          <w:rFonts w:hint="eastAsia" w:ascii="宋体" w:hAnsi="宋体"/>
          <w:color w:val="auto"/>
          <w:szCs w:val="21"/>
          <w:highlight w:val="none"/>
        </w:rPr>
        <w:t>评标时，评标委员会成员应当独立对满足招标文件全部实质性要求投标人的</w:t>
      </w:r>
      <w:r>
        <w:rPr>
          <w:rFonts w:hint="eastAsia" w:ascii="宋体" w:hAnsi="宋体"/>
          <w:bCs/>
          <w:color w:val="auto"/>
          <w:szCs w:val="21"/>
          <w:highlight w:val="none"/>
        </w:rPr>
        <w:t>投标文件</w:t>
      </w:r>
      <w:r>
        <w:rPr>
          <w:rFonts w:hint="eastAsia" w:ascii="宋体" w:hAnsi="宋体"/>
          <w:color w:val="auto"/>
          <w:szCs w:val="21"/>
          <w:highlight w:val="none"/>
        </w:rPr>
        <w:t>进行评价、评分，然后汇总每个投标人每项评分因素的得分。每个投标人的最终得分为所有评标委员会成员评分的算术平均值。</w:t>
      </w:r>
    </w:p>
    <w:p w14:paraId="7371A1DD">
      <w:pPr>
        <w:numPr>
          <w:ilvl w:val="0"/>
          <w:numId w:val="1"/>
        </w:numPr>
        <w:adjustRightInd w:val="0"/>
        <w:snapToGrid w:val="0"/>
        <w:spacing w:before="156" w:beforeLines="50" w:line="360" w:lineRule="auto"/>
        <w:jc w:val="left"/>
        <w:rPr>
          <w:rFonts w:ascii="黑体" w:hAnsi="黑体" w:eastAsia="黑体"/>
          <w:b/>
          <w:bCs/>
          <w:color w:val="auto"/>
          <w:sz w:val="24"/>
          <w:highlight w:val="none"/>
        </w:rPr>
      </w:pPr>
      <w:r>
        <w:rPr>
          <w:rFonts w:hint="eastAsia" w:ascii="黑体" w:hAnsi="黑体" w:eastAsia="黑体"/>
          <w:b/>
          <w:bCs/>
          <w:color w:val="auto"/>
          <w:sz w:val="24"/>
          <w:highlight w:val="none"/>
        </w:rPr>
        <w:t>中标候选人的推荐方法</w:t>
      </w:r>
    </w:p>
    <w:p w14:paraId="420ED3BE">
      <w:pPr>
        <w:adjustRightInd w:val="0"/>
        <w:snapToGrid w:val="0"/>
        <w:spacing w:before="156" w:beforeLines="50"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6.1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6B471287">
      <w:pPr>
        <w:adjustRightInd w:val="0"/>
        <w:snapToGrid w:val="0"/>
        <w:spacing w:before="156" w:beforeLines="50"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6.2得分且投标报价相同的并列，按本章第二节规定确定中标候选人。</w:t>
      </w:r>
    </w:p>
    <w:p w14:paraId="1AEDF184">
      <w:pPr>
        <w:adjustRightInd w:val="0"/>
        <w:snapToGrid w:val="0"/>
        <w:spacing w:before="156" w:beforeLines="50" w:line="360" w:lineRule="auto"/>
        <w:ind w:firstLine="420" w:firstLineChars="200"/>
        <w:jc w:val="left"/>
        <w:rPr>
          <w:rFonts w:ascii="宋体" w:hAnsi="宋体"/>
          <w:bCs/>
          <w:color w:val="auto"/>
          <w:szCs w:val="21"/>
          <w:highlight w:val="none"/>
        </w:rPr>
      </w:pPr>
    </w:p>
    <w:p w14:paraId="6411C993">
      <w:pPr>
        <w:widowControl/>
        <w:jc w:val="left"/>
        <w:rPr>
          <w:rFonts w:ascii="宋体" w:hAnsi="宋体"/>
          <w:bCs/>
          <w:color w:val="auto"/>
          <w:sz w:val="10"/>
          <w:szCs w:val="10"/>
          <w:highlight w:val="none"/>
        </w:rPr>
      </w:pPr>
      <w:r>
        <w:rPr>
          <w:rFonts w:ascii="宋体" w:hAnsi="宋体"/>
          <w:bCs/>
          <w:color w:val="auto"/>
          <w:szCs w:val="21"/>
          <w:highlight w:val="none"/>
        </w:rPr>
        <w:br w:type="page"/>
      </w:r>
    </w:p>
    <w:p w14:paraId="0E02F030">
      <w:pPr>
        <w:pStyle w:val="11"/>
        <w:adjustRightInd w:val="0"/>
        <w:snapToGrid w:val="0"/>
        <w:spacing w:before="156" w:beforeLines="50" w:after="0" w:line="360" w:lineRule="auto"/>
        <w:rPr>
          <w:rFonts w:ascii="黑体" w:hAnsi="黑体" w:eastAsia="黑体" w:cs="黑体"/>
          <w:b w:val="0"/>
          <w:bCs w:val="0"/>
          <w:color w:val="auto"/>
          <w:sz w:val="21"/>
          <w:szCs w:val="21"/>
          <w:highlight w:val="none"/>
        </w:rPr>
      </w:pPr>
      <w:bookmarkStart w:id="61" w:name="_Toc21879"/>
      <w:r>
        <w:rPr>
          <w:rFonts w:hint="eastAsia" w:ascii="黑体" w:hAnsi="黑体" w:eastAsia="黑体" w:cs="黑体"/>
          <w:b w:val="0"/>
          <w:bCs w:val="0"/>
          <w:color w:val="auto"/>
          <w:sz w:val="21"/>
          <w:szCs w:val="21"/>
          <w:highlight w:val="none"/>
        </w:rPr>
        <w:t>附表1 评标方法及标准表</w:t>
      </w:r>
      <w:bookmarkEnd w:id="61"/>
    </w:p>
    <w:p w14:paraId="129D549C">
      <w:pPr>
        <w:pStyle w:val="4"/>
        <w:ind w:left="0" w:leftChars="0" w:firstLine="0" w:firstLineChars="0"/>
        <w:jc w:val="center"/>
        <w:rPr>
          <w:b/>
          <w:bCs/>
          <w:color w:val="auto"/>
          <w:highlight w:val="none"/>
        </w:rPr>
      </w:pPr>
      <w:r>
        <w:rPr>
          <w:rFonts w:hint="eastAsia"/>
          <w:b/>
          <w:bCs/>
          <w:color w:val="auto"/>
          <w:highlight w:val="none"/>
        </w:rPr>
        <w:t>本采购项目的权值见下表</w:t>
      </w:r>
    </w:p>
    <w:tbl>
      <w:tblPr>
        <w:tblStyle w:val="29"/>
        <w:tblW w:w="882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0"/>
        <w:gridCol w:w="4680"/>
        <w:gridCol w:w="3420"/>
      </w:tblGrid>
      <w:tr w14:paraId="4CDD84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720" w:type="dxa"/>
            <w:noWrap w:val="0"/>
            <w:vAlign w:val="center"/>
          </w:tcPr>
          <w:p w14:paraId="2AD05B69">
            <w:pPr>
              <w:adjustRightInd w:val="0"/>
              <w:snapToGrid w:val="0"/>
              <w:spacing w:line="240" w:lineRule="exact"/>
              <w:rPr>
                <w:rFonts w:ascii="宋体" w:hAnsi="宋体" w:cs="宋体"/>
                <w:b/>
                <w:bCs/>
                <w:color w:val="auto"/>
                <w:kern w:val="0"/>
                <w:sz w:val="20"/>
                <w:szCs w:val="21"/>
                <w:highlight w:val="none"/>
                <w:lang w:val="ru-RU" w:eastAsia="ru-RU"/>
              </w:rPr>
            </w:pPr>
            <w:r>
              <w:rPr>
                <w:rFonts w:hint="eastAsia" w:ascii="宋体" w:hAnsi="宋体" w:cs="宋体"/>
                <w:b/>
                <w:bCs/>
                <w:color w:val="auto"/>
                <w:kern w:val="0"/>
                <w:sz w:val="20"/>
                <w:szCs w:val="21"/>
                <w:highlight w:val="none"/>
                <w:lang w:val="ru-RU" w:eastAsia="ru-RU"/>
              </w:rPr>
              <w:t>序号</w:t>
            </w:r>
          </w:p>
        </w:tc>
        <w:tc>
          <w:tcPr>
            <w:tcW w:w="4680" w:type="dxa"/>
            <w:noWrap w:val="0"/>
            <w:vAlign w:val="center"/>
          </w:tcPr>
          <w:p w14:paraId="69A4B9AC">
            <w:pPr>
              <w:adjustRightInd w:val="0"/>
              <w:snapToGrid w:val="0"/>
              <w:spacing w:line="240" w:lineRule="exact"/>
              <w:jc w:val="center"/>
              <w:rPr>
                <w:rFonts w:ascii="宋体" w:hAnsi="宋体" w:cs="宋体"/>
                <w:b/>
                <w:bCs/>
                <w:color w:val="auto"/>
                <w:kern w:val="0"/>
                <w:sz w:val="20"/>
                <w:szCs w:val="21"/>
                <w:highlight w:val="none"/>
                <w:lang w:val="ru-RU" w:eastAsia="ru-RU"/>
              </w:rPr>
            </w:pPr>
            <w:r>
              <w:rPr>
                <w:rFonts w:hint="eastAsia" w:ascii="宋体" w:hAnsi="宋体" w:cs="宋体"/>
                <w:b/>
                <w:bCs/>
                <w:color w:val="auto"/>
                <w:kern w:val="0"/>
                <w:sz w:val="20"/>
                <w:szCs w:val="21"/>
                <w:highlight w:val="none"/>
                <w:lang w:val="ru-RU" w:eastAsia="ru-RU"/>
              </w:rPr>
              <w:t>项     目</w:t>
            </w:r>
          </w:p>
        </w:tc>
        <w:tc>
          <w:tcPr>
            <w:tcW w:w="3420" w:type="dxa"/>
            <w:noWrap w:val="0"/>
            <w:vAlign w:val="center"/>
          </w:tcPr>
          <w:p w14:paraId="28E2EB51">
            <w:pPr>
              <w:adjustRightInd w:val="0"/>
              <w:snapToGrid w:val="0"/>
              <w:spacing w:line="240" w:lineRule="exact"/>
              <w:jc w:val="center"/>
              <w:rPr>
                <w:rFonts w:ascii="宋体" w:hAnsi="宋体" w:cs="宋体"/>
                <w:b/>
                <w:bCs/>
                <w:color w:val="auto"/>
                <w:kern w:val="0"/>
                <w:sz w:val="20"/>
                <w:szCs w:val="21"/>
                <w:highlight w:val="none"/>
                <w:lang w:val="ru-RU" w:eastAsia="ru-RU"/>
              </w:rPr>
            </w:pPr>
            <w:r>
              <w:rPr>
                <w:rFonts w:hint="eastAsia" w:ascii="宋体" w:hAnsi="宋体" w:cs="宋体"/>
                <w:b/>
                <w:bCs/>
                <w:color w:val="auto"/>
                <w:kern w:val="0"/>
                <w:sz w:val="20"/>
                <w:szCs w:val="21"/>
                <w:highlight w:val="none"/>
                <w:lang w:val="ru-RU" w:eastAsia="ru-RU"/>
              </w:rPr>
              <w:t>权值的取值</w:t>
            </w:r>
          </w:p>
        </w:tc>
      </w:tr>
      <w:tr w14:paraId="06998E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9" w:hRule="atLeast"/>
          <w:jc w:val="center"/>
        </w:trPr>
        <w:tc>
          <w:tcPr>
            <w:tcW w:w="720" w:type="dxa"/>
            <w:noWrap w:val="0"/>
            <w:vAlign w:val="center"/>
          </w:tcPr>
          <w:p w14:paraId="6ACE01F7">
            <w:pPr>
              <w:adjustRightInd w:val="0"/>
              <w:snapToGrid w:val="0"/>
              <w:spacing w:line="240" w:lineRule="exact"/>
              <w:jc w:val="center"/>
              <w:rPr>
                <w:rFonts w:ascii="宋体" w:hAnsi="宋体" w:cs="宋体"/>
                <w:color w:val="auto"/>
                <w:kern w:val="0"/>
                <w:sz w:val="18"/>
                <w:szCs w:val="18"/>
                <w:highlight w:val="none"/>
                <w:lang w:val="ru-RU" w:eastAsia="ru-RU"/>
              </w:rPr>
            </w:pPr>
            <w:r>
              <w:rPr>
                <w:rFonts w:hint="eastAsia" w:ascii="宋体" w:hAnsi="宋体" w:cs="宋体"/>
                <w:color w:val="auto"/>
                <w:kern w:val="0"/>
                <w:sz w:val="18"/>
                <w:szCs w:val="18"/>
                <w:highlight w:val="none"/>
                <w:lang w:val="ru-RU" w:eastAsia="ru-RU"/>
              </w:rPr>
              <w:t>1</w:t>
            </w:r>
          </w:p>
        </w:tc>
        <w:tc>
          <w:tcPr>
            <w:tcW w:w="4680" w:type="dxa"/>
            <w:noWrap w:val="0"/>
            <w:vAlign w:val="center"/>
          </w:tcPr>
          <w:p w14:paraId="2653A9D1">
            <w:pPr>
              <w:adjustRightInd w:val="0"/>
              <w:snapToGrid w:val="0"/>
              <w:spacing w:line="240" w:lineRule="exact"/>
              <w:jc w:val="center"/>
              <w:rPr>
                <w:rFonts w:ascii="宋体" w:hAnsi="宋体" w:cs="宋体"/>
                <w:color w:val="auto"/>
                <w:kern w:val="0"/>
                <w:sz w:val="20"/>
                <w:szCs w:val="21"/>
                <w:highlight w:val="none"/>
                <w:lang w:val="ru-RU"/>
              </w:rPr>
            </w:pPr>
            <w:r>
              <w:rPr>
                <w:rFonts w:hint="eastAsia" w:ascii="宋体" w:hAnsi="宋体" w:cs="宋体"/>
                <w:color w:val="auto"/>
                <w:kern w:val="0"/>
                <w:sz w:val="20"/>
                <w:szCs w:val="21"/>
                <w:highlight w:val="none"/>
                <w:lang w:val="ru-RU" w:eastAsia="ru-RU"/>
              </w:rPr>
              <w:t>报价</w:t>
            </w:r>
            <w:r>
              <w:rPr>
                <w:rFonts w:hint="eastAsia" w:ascii="宋体" w:hAnsi="宋体" w:cs="宋体"/>
                <w:color w:val="auto"/>
                <w:kern w:val="0"/>
                <w:sz w:val="20"/>
                <w:szCs w:val="21"/>
                <w:highlight w:val="none"/>
                <w:lang w:val="ru-RU"/>
              </w:rPr>
              <w:t>（A</w:t>
            </w:r>
            <w:r>
              <w:rPr>
                <w:rFonts w:ascii="Calibri" w:hAnsi="Calibri" w:cs="宋体"/>
                <w:color w:val="auto"/>
                <w:kern w:val="0"/>
                <w:sz w:val="13"/>
                <w:szCs w:val="13"/>
                <w:highlight w:val="none"/>
                <w:lang w:val="ru-RU"/>
              </w:rPr>
              <w:t>1</w:t>
            </w:r>
            <w:r>
              <w:rPr>
                <w:rFonts w:hint="eastAsia" w:ascii="宋体" w:hAnsi="宋体" w:cs="宋体"/>
                <w:color w:val="auto"/>
                <w:kern w:val="0"/>
                <w:sz w:val="20"/>
                <w:szCs w:val="21"/>
                <w:highlight w:val="none"/>
                <w:lang w:val="ru-RU"/>
              </w:rPr>
              <w:t>）</w:t>
            </w:r>
          </w:p>
        </w:tc>
        <w:tc>
          <w:tcPr>
            <w:tcW w:w="3420" w:type="dxa"/>
            <w:noWrap w:val="0"/>
            <w:vAlign w:val="center"/>
          </w:tcPr>
          <w:p w14:paraId="45B69FC8">
            <w:pPr>
              <w:pStyle w:val="4"/>
              <w:spacing w:after="0"/>
              <w:ind w:left="0" w:leftChars="0" w:firstLine="0" w:firstLineChars="0"/>
              <w:jc w:val="center"/>
              <w:rPr>
                <w:rFonts w:hint="default" w:ascii="宋体" w:hAnsi="宋体" w:eastAsia="宋体" w:cs="宋体"/>
                <w:color w:val="auto"/>
                <w:kern w:val="0"/>
                <w:sz w:val="20"/>
                <w:szCs w:val="21"/>
                <w:highlight w:val="none"/>
                <w:lang w:val="en-US" w:eastAsia="ru-RU" w:bidi="ar-SA"/>
              </w:rPr>
            </w:pPr>
            <w:r>
              <w:rPr>
                <w:rFonts w:hint="eastAsia" w:ascii="宋体" w:hAnsi="宋体" w:eastAsia="宋体" w:cs="宋体"/>
                <w:color w:val="auto"/>
                <w:kern w:val="0"/>
                <w:sz w:val="20"/>
                <w:szCs w:val="21"/>
                <w:highlight w:val="none"/>
                <w:lang w:val="en-US" w:eastAsia="zh-CN" w:bidi="ar-SA"/>
              </w:rPr>
              <w:t>0.</w:t>
            </w:r>
            <w:r>
              <w:rPr>
                <w:rFonts w:hint="eastAsia" w:ascii="宋体" w:hAnsi="宋体" w:cs="宋体"/>
                <w:color w:val="auto"/>
                <w:kern w:val="0"/>
                <w:sz w:val="20"/>
                <w:szCs w:val="21"/>
                <w:highlight w:val="none"/>
                <w:lang w:val="en-US" w:eastAsia="zh-CN" w:bidi="ar-SA"/>
              </w:rPr>
              <w:t>6</w:t>
            </w:r>
            <w:r>
              <w:rPr>
                <w:rFonts w:hint="eastAsia" w:ascii="宋体" w:hAnsi="宋体" w:eastAsia="宋体" w:cs="宋体"/>
                <w:color w:val="auto"/>
                <w:kern w:val="0"/>
                <w:sz w:val="20"/>
                <w:szCs w:val="21"/>
                <w:highlight w:val="none"/>
                <w:lang w:val="en-US" w:eastAsia="zh-CN" w:bidi="ar-SA"/>
              </w:rPr>
              <w:t>0</w:t>
            </w:r>
          </w:p>
        </w:tc>
      </w:tr>
      <w:tr w14:paraId="0C827CC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72" w:hRule="atLeast"/>
          <w:jc w:val="center"/>
        </w:trPr>
        <w:tc>
          <w:tcPr>
            <w:tcW w:w="720" w:type="dxa"/>
            <w:noWrap w:val="0"/>
            <w:vAlign w:val="center"/>
          </w:tcPr>
          <w:p w14:paraId="43A5EA2F">
            <w:pPr>
              <w:adjustRightInd w:val="0"/>
              <w:snapToGrid w:val="0"/>
              <w:spacing w:line="240" w:lineRule="exact"/>
              <w:jc w:val="center"/>
              <w:rPr>
                <w:rFonts w:ascii="宋体" w:hAnsi="宋体" w:cs="宋体"/>
                <w:color w:val="auto"/>
                <w:kern w:val="0"/>
                <w:sz w:val="18"/>
                <w:szCs w:val="18"/>
                <w:highlight w:val="none"/>
                <w:lang w:val="ru-RU" w:eastAsia="ru-RU"/>
              </w:rPr>
            </w:pPr>
            <w:r>
              <w:rPr>
                <w:rFonts w:hint="eastAsia" w:ascii="宋体" w:hAnsi="宋体" w:cs="宋体"/>
                <w:color w:val="auto"/>
                <w:kern w:val="0"/>
                <w:sz w:val="18"/>
                <w:szCs w:val="18"/>
                <w:highlight w:val="none"/>
                <w:lang w:val="ru-RU" w:eastAsia="ru-RU"/>
              </w:rPr>
              <w:t>2</w:t>
            </w:r>
          </w:p>
        </w:tc>
        <w:tc>
          <w:tcPr>
            <w:tcW w:w="4680" w:type="dxa"/>
            <w:noWrap w:val="0"/>
            <w:vAlign w:val="center"/>
          </w:tcPr>
          <w:p w14:paraId="5E3E4BE5">
            <w:pPr>
              <w:adjustRightInd w:val="0"/>
              <w:snapToGrid w:val="0"/>
              <w:spacing w:line="240" w:lineRule="exact"/>
              <w:jc w:val="center"/>
              <w:rPr>
                <w:rFonts w:ascii="宋体" w:hAnsi="宋体" w:cs="宋体"/>
                <w:color w:val="auto"/>
                <w:kern w:val="0"/>
                <w:sz w:val="20"/>
                <w:szCs w:val="21"/>
                <w:highlight w:val="none"/>
                <w:lang w:val="ru-RU" w:eastAsia="ru-RU"/>
              </w:rPr>
            </w:pPr>
            <w:r>
              <w:rPr>
                <w:rFonts w:hint="eastAsia" w:ascii="宋体" w:hAnsi="宋体" w:cs="宋体"/>
                <w:color w:val="auto"/>
                <w:kern w:val="0"/>
                <w:sz w:val="20"/>
                <w:szCs w:val="21"/>
                <w:highlight w:val="none"/>
                <w:lang w:val="ru-RU" w:eastAsia="ru-RU"/>
              </w:rPr>
              <w:t>技术</w:t>
            </w:r>
            <w:r>
              <w:rPr>
                <w:rFonts w:hint="eastAsia" w:ascii="宋体" w:hAnsi="宋体" w:cs="宋体"/>
                <w:color w:val="auto"/>
                <w:kern w:val="0"/>
                <w:sz w:val="20"/>
                <w:szCs w:val="21"/>
                <w:highlight w:val="none"/>
                <w:lang w:val="ru-RU"/>
              </w:rPr>
              <w:t>（A</w:t>
            </w:r>
            <w:r>
              <w:rPr>
                <w:rFonts w:ascii="Calibri" w:hAnsi="Calibri" w:cs="宋体"/>
                <w:color w:val="auto"/>
                <w:kern w:val="0"/>
                <w:sz w:val="13"/>
                <w:szCs w:val="13"/>
                <w:highlight w:val="none"/>
                <w:lang w:val="ru-RU"/>
              </w:rPr>
              <w:t>2</w:t>
            </w:r>
            <w:r>
              <w:rPr>
                <w:rFonts w:hint="eastAsia" w:ascii="宋体" w:hAnsi="宋体" w:cs="宋体"/>
                <w:color w:val="auto"/>
                <w:kern w:val="0"/>
                <w:sz w:val="20"/>
                <w:szCs w:val="21"/>
                <w:highlight w:val="none"/>
                <w:lang w:val="ru-RU"/>
              </w:rPr>
              <w:t>）</w:t>
            </w:r>
          </w:p>
        </w:tc>
        <w:tc>
          <w:tcPr>
            <w:tcW w:w="3420" w:type="dxa"/>
            <w:noWrap w:val="0"/>
            <w:vAlign w:val="center"/>
          </w:tcPr>
          <w:p w14:paraId="26D4C397">
            <w:pPr>
              <w:pStyle w:val="4"/>
              <w:spacing w:after="0"/>
              <w:ind w:left="0" w:leftChars="0" w:firstLine="0" w:firstLineChars="0"/>
              <w:jc w:val="center"/>
              <w:rPr>
                <w:rFonts w:hint="default" w:ascii="宋体" w:hAnsi="宋体" w:eastAsia="宋体" w:cs="宋体"/>
                <w:color w:val="auto"/>
                <w:kern w:val="0"/>
                <w:sz w:val="20"/>
                <w:szCs w:val="21"/>
                <w:highlight w:val="none"/>
                <w:lang w:val="en-US" w:eastAsia="ru-RU" w:bidi="ar-SA"/>
              </w:rPr>
            </w:pPr>
            <w:r>
              <w:rPr>
                <w:rFonts w:hint="eastAsia" w:ascii="宋体" w:hAnsi="宋体" w:eastAsia="宋体" w:cs="宋体"/>
                <w:color w:val="auto"/>
                <w:kern w:val="0"/>
                <w:sz w:val="20"/>
                <w:szCs w:val="21"/>
                <w:highlight w:val="none"/>
                <w:lang w:val="en-US" w:eastAsia="zh-CN" w:bidi="ar-SA"/>
              </w:rPr>
              <w:t>0.</w:t>
            </w:r>
            <w:r>
              <w:rPr>
                <w:rFonts w:hint="eastAsia" w:ascii="宋体" w:hAnsi="宋体" w:cs="宋体"/>
                <w:color w:val="auto"/>
                <w:kern w:val="0"/>
                <w:sz w:val="20"/>
                <w:szCs w:val="21"/>
                <w:highlight w:val="none"/>
                <w:lang w:val="en-US" w:eastAsia="zh-CN" w:bidi="ar-SA"/>
              </w:rPr>
              <w:t>30</w:t>
            </w:r>
          </w:p>
        </w:tc>
      </w:tr>
      <w:tr w14:paraId="630370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720" w:type="dxa"/>
            <w:noWrap w:val="0"/>
            <w:vAlign w:val="center"/>
          </w:tcPr>
          <w:p w14:paraId="617F6025">
            <w:pPr>
              <w:adjustRightInd w:val="0"/>
              <w:snapToGrid w:val="0"/>
              <w:spacing w:line="240" w:lineRule="exact"/>
              <w:jc w:val="center"/>
              <w:rPr>
                <w:rFonts w:ascii="宋体" w:hAnsi="宋体" w:cs="宋体"/>
                <w:color w:val="auto"/>
                <w:kern w:val="0"/>
                <w:sz w:val="18"/>
                <w:szCs w:val="18"/>
                <w:highlight w:val="none"/>
                <w:lang w:val="ru-RU" w:eastAsia="ru-RU"/>
              </w:rPr>
            </w:pPr>
            <w:r>
              <w:rPr>
                <w:rFonts w:hint="eastAsia" w:ascii="宋体" w:hAnsi="宋体" w:cs="宋体"/>
                <w:color w:val="auto"/>
                <w:kern w:val="0"/>
                <w:sz w:val="18"/>
                <w:szCs w:val="18"/>
                <w:highlight w:val="none"/>
                <w:lang w:val="ru-RU" w:eastAsia="ru-RU"/>
              </w:rPr>
              <w:t>3</w:t>
            </w:r>
          </w:p>
        </w:tc>
        <w:tc>
          <w:tcPr>
            <w:tcW w:w="4680" w:type="dxa"/>
            <w:noWrap w:val="0"/>
            <w:vAlign w:val="center"/>
          </w:tcPr>
          <w:p w14:paraId="2E21E4E5">
            <w:pPr>
              <w:adjustRightInd w:val="0"/>
              <w:snapToGrid w:val="0"/>
              <w:spacing w:line="240" w:lineRule="exact"/>
              <w:jc w:val="center"/>
              <w:rPr>
                <w:rFonts w:ascii="宋体" w:hAnsi="宋体" w:cs="宋体"/>
                <w:color w:val="auto"/>
                <w:kern w:val="0"/>
                <w:sz w:val="20"/>
                <w:szCs w:val="21"/>
                <w:highlight w:val="none"/>
                <w:lang w:val="ru-RU"/>
              </w:rPr>
            </w:pPr>
            <w:r>
              <w:rPr>
                <w:rFonts w:hint="eastAsia" w:ascii="宋体" w:hAnsi="宋体" w:cs="宋体"/>
                <w:color w:val="auto"/>
                <w:kern w:val="0"/>
                <w:sz w:val="20"/>
                <w:szCs w:val="21"/>
                <w:highlight w:val="none"/>
                <w:lang w:val="ru-RU"/>
              </w:rPr>
              <w:t>商务（A</w:t>
            </w:r>
            <w:r>
              <w:rPr>
                <w:rFonts w:ascii="Calibri" w:hAnsi="Calibri" w:cs="宋体"/>
                <w:color w:val="auto"/>
                <w:kern w:val="0"/>
                <w:sz w:val="13"/>
                <w:szCs w:val="13"/>
                <w:highlight w:val="none"/>
                <w:lang w:val="ru-RU"/>
              </w:rPr>
              <w:t>3</w:t>
            </w:r>
            <w:r>
              <w:rPr>
                <w:rFonts w:hint="eastAsia" w:ascii="宋体" w:hAnsi="宋体" w:cs="宋体"/>
                <w:color w:val="auto"/>
                <w:kern w:val="0"/>
                <w:sz w:val="20"/>
                <w:szCs w:val="21"/>
                <w:highlight w:val="none"/>
                <w:lang w:val="ru-RU"/>
              </w:rPr>
              <w:t>）</w:t>
            </w:r>
          </w:p>
        </w:tc>
        <w:tc>
          <w:tcPr>
            <w:tcW w:w="3420" w:type="dxa"/>
            <w:noWrap w:val="0"/>
            <w:vAlign w:val="center"/>
          </w:tcPr>
          <w:p w14:paraId="4D9ABD08">
            <w:pPr>
              <w:pStyle w:val="4"/>
              <w:spacing w:after="0"/>
              <w:ind w:left="0" w:leftChars="0" w:firstLine="0" w:firstLineChars="0"/>
              <w:jc w:val="center"/>
              <w:rPr>
                <w:rFonts w:hint="default" w:ascii="宋体" w:hAnsi="宋体" w:eastAsia="宋体" w:cs="宋体"/>
                <w:color w:val="auto"/>
                <w:kern w:val="0"/>
                <w:sz w:val="20"/>
                <w:szCs w:val="21"/>
                <w:highlight w:val="none"/>
                <w:lang w:val="en-US" w:eastAsia="ru-RU" w:bidi="ar-SA"/>
              </w:rPr>
            </w:pPr>
            <w:r>
              <w:rPr>
                <w:rFonts w:hint="eastAsia" w:ascii="宋体" w:hAnsi="宋体" w:eastAsia="宋体" w:cs="宋体"/>
                <w:color w:val="auto"/>
                <w:kern w:val="0"/>
                <w:sz w:val="20"/>
                <w:szCs w:val="21"/>
                <w:highlight w:val="none"/>
                <w:lang w:val="en-US" w:eastAsia="zh-CN" w:bidi="ar-SA"/>
              </w:rPr>
              <w:t>0.</w:t>
            </w:r>
            <w:r>
              <w:rPr>
                <w:rFonts w:hint="eastAsia" w:ascii="宋体" w:hAnsi="宋体" w:cs="宋体"/>
                <w:color w:val="auto"/>
                <w:kern w:val="0"/>
                <w:sz w:val="20"/>
                <w:szCs w:val="21"/>
                <w:highlight w:val="none"/>
                <w:lang w:val="en-US" w:eastAsia="zh-CN" w:bidi="ar-SA"/>
              </w:rPr>
              <w:t>10</w:t>
            </w:r>
          </w:p>
        </w:tc>
      </w:tr>
      <w:tr w14:paraId="0784B1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5400" w:type="dxa"/>
            <w:gridSpan w:val="2"/>
            <w:noWrap w:val="0"/>
            <w:vAlign w:val="center"/>
          </w:tcPr>
          <w:p w14:paraId="54163B2F">
            <w:pPr>
              <w:adjustRightInd w:val="0"/>
              <w:snapToGrid w:val="0"/>
              <w:spacing w:line="240" w:lineRule="exact"/>
              <w:jc w:val="center"/>
              <w:rPr>
                <w:rFonts w:hint="eastAsia" w:ascii="宋体" w:hAnsi="宋体" w:eastAsia="宋体" w:cs="宋体"/>
                <w:color w:val="auto"/>
                <w:kern w:val="2"/>
                <w:sz w:val="21"/>
                <w:szCs w:val="21"/>
                <w:highlight w:val="none"/>
                <w:lang w:val="ru-RU" w:eastAsia="ru-RU" w:bidi="ar-SA"/>
              </w:rPr>
            </w:pPr>
            <w:r>
              <w:rPr>
                <w:rFonts w:hint="eastAsia" w:ascii="宋体" w:hAnsi="宋体" w:eastAsia="宋体" w:cs="宋体"/>
                <w:color w:val="auto"/>
                <w:kern w:val="2"/>
                <w:sz w:val="21"/>
                <w:szCs w:val="21"/>
                <w:highlight w:val="none"/>
                <w:lang w:val="en-US" w:eastAsia="zh-CN" w:bidi="ar-SA"/>
              </w:rPr>
              <w:t xml:space="preserve">       </w:t>
            </w:r>
            <w:r>
              <w:rPr>
                <w:rFonts w:hint="eastAsia" w:ascii="宋体" w:hAnsi="宋体" w:eastAsia="宋体" w:cs="宋体"/>
                <w:color w:val="auto"/>
                <w:kern w:val="2"/>
                <w:sz w:val="21"/>
                <w:szCs w:val="21"/>
                <w:highlight w:val="none"/>
                <w:lang w:val="ru-RU" w:eastAsia="zh-CN" w:bidi="ar-SA"/>
              </w:rPr>
              <w:t>合计</w:t>
            </w:r>
          </w:p>
        </w:tc>
        <w:tc>
          <w:tcPr>
            <w:tcW w:w="3420" w:type="dxa"/>
            <w:noWrap w:val="0"/>
            <w:vAlign w:val="center"/>
          </w:tcPr>
          <w:p w14:paraId="4D8259AF">
            <w:pPr>
              <w:adjustRightInd w:val="0"/>
              <w:snapToGrid w:val="0"/>
              <w:spacing w:line="240" w:lineRule="exact"/>
              <w:jc w:val="center"/>
              <w:rPr>
                <w:rFonts w:hint="eastAsia" w:ascii="宋体" w:hAnsi="宋体" w:eastAsia="宋体" w:cs="宋体"/>
                <w:color w:val="auto"/>
                <w:kern w:val="0"/>
                <w:sz w:val="20"/>
                <w:szCs w:val="21"/>
                <w:highlight w:val="none"/>
                <w:lang w:val="en-US" w:eastAsia="zh-CN"/>
              </w:rPr>
            </w:pPr>
            <w:r>
              <w:rPr>
                <w:rFonts w:hint="eastAsia" w:ascii="宋体" w:hAnsi="宋体" w:eastAsia="宋体" w:cs="宋体"/>
                <w:color w:val="auto"/>
                <w:kern w:val="0"/>
                <w:sz w:val="20"/>
                <w:szCs w:val="21"/>
                <w:highlight w:val="none"/>
                <w:lang w:val="en-US" w:eastAsia="zh-CN"/>
              </w:rPr>
              <w:t>1.00</w:t>
            </w:r>
          </w:p>
        </w:tc>
      </w:tr>
    </w:tbl>
    <w:p w14:paraId="1B4B680F">
      <w:pPr>
        <w:adjustRightInd w:val="0"/>
        <w:snapToGrid w:val="0"/>
        <w:spacing w:before="156" w:beforeLines="50" w:line="360" w:lineRule="auto"/>
        <w:jc w:val="center"/>
        <w:rPr>
          <w:rFonts w:hint="eastAsia"/>
          <w:b/>
          <w:bCs/>
          <w:color w:val="auto"/>
          <w:highlight w:val="none"/>
        </w:rPr>
      </w:pPr>
    </w:p>
    <w:p w14:paraId="45D449BE">
      <w:pPr>
        <w:adjustRightInd w:val="0"/>
        <w:snapToGrid w:val="0"/>
        <w:spacing w:before="156" w:beforeLines="50" w:line="360" w:lineRule="auto"/>
        <w:jc w:val="center"/>
        <w:rPr>
          <w:b/>
          <w:bCs/>
          <w:color w:val="auto"/>
          <w:highlight w:val="none"/>
        </w:rPr>
      </w:pPr>
      <w:r>
        <w:rPr>
          <w:rFonts w:hint="eastAsia"/>
          <w:b/>
          <w:bCs/>
          <w:color w:val="auto"/>
          <w:highlight w:val="none"/>
        </w:rPr>
        <w:t>附表1.1投标报价评审标准表</w:t>
      </w:r>
    </w:p>
    <w:tbl>
      <w:tblPr>
        <w:tblStyle w:val="29"/>
        <w:tblW w:w="8916"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3"/>
        <w:gridCol w:w="2160"/>
        <w:gridCol w:w="6253"/>
      </w:tblGrid>
      <w:tr w14:paraId="455BF1B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3" w:type="dxa"/>
            <w:tcBorders>
              <w:right w:val="single" w:color="auto" w:sz="4" w:space="0"/>
            </w:tcBorders>
            <w:noWrap w:val="0"/>
            <w:vAlign w:val="center"/>
          </w:tcPr>
          <w:p w14:paraId="029DC7E4">
            <w:pPr>
              <w:adjustRightInd w:val="0"/>
              <w:snapToGrid w:val="0"/>
              <w:jc w:val="center"/>
              <w:rPr>
                <w:rFonts w:ascii="宋体" w:hAnsi="宋体"/>
                <w:b/>
                <w:color w:val="auto"/>
                <w:sz w:val="18"/>
                <w:szCs w:val="18"/>
                <w:highlight w:val="none"/>
              </w:rPr>
            </w:pPr>
            <w:r>
              <w:rPr>
                <w:rFonts w:hint="eastAsia" w:ascii="宋体" w:hAnsi="宋体"/>
                <w:b/>
                <w:color w:val="auto"/>
                <w:sz w:val="18"/>
                <w:szCs w:val="18"/>
                <w:highlight w:val="none"/>
              </w:rPr>
              <w:t>序号</w:t>
            </w:r>
          </w:p>
        </w:tc>
        <w:tc>
          <w:tcPr>
            <w:tcW w:w="2160" w:type="dxa"/>
            <w:tcBorders>
              <w:left w:val="single" w:color="auto" w:sz="4" w:space="0"/>
              <w:right w:val="single" w:color="auto" w:sz="4" w:space="0"/>
            </w:tcBorders>
            <w:noWrap w:val="0"/>
            <w:vAlign w:val="center"/>
          </w:tcPr>
          <w:p w14:paraId="348F953F">
            <w:pPr>
              <w:adjustRightInd w:val="0"/>
              <w:snapToGrid w:val="0"/>
              <w:jc w:val="center"/>
              <w:rPr>
                <w:rFonts w:ascii="宋体" w:hAnsi="宋体"/>
                <w:b/>
                <w:color w:val="auto"/>
                <w:sz w:val="18"/>
                <w:szCs w:val="18"/>
                <w:highlight w:val="none"/>
              </w:rPr>
            </w:pPr>
            <w:r>
              <w:rPr>
                <w:rFonts w:hint="eastAsia" w:ascii="宋体" w:hAnsi="宋体"/>
                <w:b/>
                <w:color w:val="auto"/>
                <w:sz w:val="18"/>
                <w:szCs w:val="18"/>
                <w:highlight w:val="none"/>
              </w:rPr>
              <w:t>评标因素（分值）</w:t>
            </w:r>
          </w:p>
        </w:tc>
        <w:tc>
          <w:tcPr>
            <w:tcW w:w="6253" w:type="dxa"/>
            <w:tcBorders>
              <w:left w:val="single" w:color="auto" w:sz="4" w:space="0"/>
            </w:tcBorders>
            <w:noWrap w:val="0"/>
            <w:vAlign w:val="center"/>
          </w:tcPr>
          <w:p w14:paraId="379A9166">
            <w:pPr>
              <w:adjustRightInd w:val="0"/>
              <w:snapToGrid w:val="0"/>
              <w:jc w:val="center"/>
              <w:rPr>
                <w:rFonts w:ascii="宋体" w:hAnsi="宋体"/>
                <w:b/>
                <w:color w:val="auto"/>
                <w:sz w:val="18"/>
                <w:szCs w:val="18"/>
                <w:highlight w:val="none"/>
              </w:rPr>
            </w:pPr>
            <w:r>
              <w:rPr>
                <w:rFonts w:hint="eastAsia" w:ascii="宋体" w:hAnsi="宋体"/>
                <w:b/>
                <w:color w:val="auto"/>
                <w:sz w:val="18"/>
                <w:szCs w:val="18"/>
                <w:highlight w:val="none"/>
              </w:rPr>
              <w:t>评标标准</w:t>
            </w:r>
          </w:p>
        </w:tc>
      </w:tr>
      <w:tr w14:paraId="4FD0F9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503" w:type="dxa"/>
            <w:tcBorders>
              <w:right w:val="single" w:color="auto" w:sz="4" w:space="0"/>
            </w:tcBorders>
            <w:noWrap w:val="0"/>
            <w:vAlign w:val="center"/>
          </w:tcPr>
          <w:p w14:paraId="64FEC694">
            <w:pPr>
              <w:adjustRightInd w:val="0"/>
              <w:snapToGrid w:val="0"/>
              <w:spacing w:before="156" w:beforeLines="50"/>
              <w:jc w:val="center"/>
              <w:rPr>
                <w:rFonts w:ascii="宋体" w:hAnsi="宋体"/>
                <w:color w:val="auto"/>
                <w:sz w:val="18"/>
                <w:szCs w:val="18"/>
                <w:highlight w:val="none"/>
              </w:rPr>
            </w:pPr>
            <w:r>
              <w:rPr>
                <w:rFonts w:hint="eastAsia" w:ascii="宋体" w:hAnsi="宋体"/>
                <w:color w:val="auto"/>
                <w:sz w:val="18"/>
                <w:szCs w:val="18"/>
                <w:highlight w:val="none"/>
              </w:rPr>
              <w:t>1</w:t>
            </w:r>
          </w:p>
        </w:tc>
        <w:tc>
          <w:tcPr>
            <w:tcW w:w="2160" w:type="dxa"/>
            <w:tcBorders>
              <w:left w:val="single" w:color="auto" w:sz="4" w:space="0"/>
              <w:right w:val="single" w:color="auto" w:sz="4" w:space="0"/>
            </w:tcBorders>
            <w:noWrap w:val="0"/>
            <w:vAlign w:val="center"/>
          </w:tcPr>
          <w:p w14:paraId="1C9B3C9C">
            <w:pPr>
              <w:adjustRightInd w:val="0"/>
              <w:snapToGrid w:val="0"/>
              <w:jc w:val="center"/>
              <w:rPr>
                <w:rFonts w:ascii="宋体" w:hAnsi="宋体"/>
                <w:color w:val="auto"/>
                <w:sz w:val="18"/>
                <w:szCs w:val="18"/>
                <w:highlight w:val="none"/>
              </w:rPr>
            </w:pPr>
            <w:r>
              <w:rPr>
                <w:rFonts w:hint="eastAsia" w:ascii="宋体" w:hAnsi="宋体"/>
                <w:color w:val="auto"/>
                <w:sz w:val="18"/>
                <w:szCs w:val="18"/>
                <w:highlight w:val="none"/>
              </w:rPr>
              <w:t>价格评价项</w:t>
            </w:r>
          </w:p>
          <w:p w14:paraId="0D0907E9">
            <w:pPr>
              <w:adjustRightInd w:val="0"/>
              <w:snapToGrid w:val="0"/>
              <w:jc w:val="center"/>
              <w:rPr>
                <w:rFonts w:ascii="宋体" w:hAnsi="宋体"/>
                <w:color w:val="auto"/>
                <w:sz w:val="18"/>
                <w:szCs w:val="18"/>
                <w:highlight w:val="none"/>
              </w:rPr>
            </w:pPr>
            <w:r>
              <w:rPr>
                <w:rFonts w:hint="eastAsia" w:ascii="宋体" w:hAnsi="宋体"/>
                <w:color w:val="auto"/>
                <w:sz w:val="18"/>
                <w:szCs w:val="18"/>
                <w:highlight w:val="none"/>
              </w:rPr>
              <w:t>（F=100分）</w:t>
            </w:r>
          </w:p>
        </w:tc>
        <w:tc>
          <w:tcPr>
            <w:tcW w:w="6253" w:type="dxa"/>
            <w:tcBorders>
              <w:left w:val="single" w:color="auto" w:sz="4" w:space="0"/>
            </w:tcBorders>
            <w:noWrap w:val="0"/>
            <w:vAlign w:val="center"/>
          </w:tcPr>
          <w:p w14:paraId="496A488F">
            <w:pPr>
              <w:pStyle w:val="72"/>
              <w:keepNext w:val="0"/>
              <w:keepLines w:val="0"/>
              <w:pageBreakBefore w:val="0"/>
              <w:kinsoku/>
              <w:wordWrap/>
              <w:overflowPunct/>
              <w:topLinePunct w:val="0"/>
              <w:autoSpaceDE/>
              <w:autoSpaceDN/>
              <w:bidi w:val="0"/>
              <w:adjustRightInd/>
              <w:snapToGrid/>
              <w:spacing w:line="312" w:lineRule="auto"/>
              <w:jc w:val="left"/>
              <w:textAlignment w:val="auto"/>
              <w:rPr>
                <w:rStyle w:val="31"/>
                <w:rFonts w:hint="eastAsia" w:ascii="宋体" w:hAnsi="宋体" w:eastAsia="宋体" w:cs="宋体"/>
                <w:b w:val="0"/>
                <w:sz w:val="21"/>
                <w:szCs w:val="24"/>
                <w:lang w:val="en-US" w:eastAsia="zh-CN"/>
              </w:rPr>
            </w:pPr>
            <w:r>
              <w:rPr>
                <w:rStyle w:val="31"/>
                <w:rFonts w:hint="eastAsia" w:ascii="宋体" w:hAnsi="宋体" w:eastAsia="宋体" w:cs="宋体"/>
                <w:b w:val="0"/>
                <w:sz w:val="21"/>
                <w:szCs w:val="24"/>
                <w:lang w:val="en-US" w:eastAsia="zh-CN"/>
              </w:rPr>
              <w:t>满足招标文件要求且投标价格最低的投标报价为评标基准价，投标报价得分（=评标基准价修正或调整／投标报价修正或调整）×100分。</w:t>
            </w:r>
          </w:p>
          <w:p w14:paraId="20D32CFB">
            <w:pPr>
              <w:pStyle w:val="72"/>
              <w:keepNext w:val="0"/>
              <w:keepLines w:val="0"/>
              <w:pageBreakBefore w:val="0"/>
              <w:kinsoku/>
              <w:wordWrap/>
              <w:overflowPunct/>
              <w:topLinePunct w:val="0"/>
              <w:autoSpaceDE/>
              <w:autoSpaceDN/>
              <w:bidi w:val="0"/>
              <w:adjustRightInd/>
              <w:snapToGrid/>
              <w:spacing w:line="312" w:lineRule="auto"/>
              <w:jc w:val="left"/>
              <w:textAlignment w:val="auto"/>
              <w:rPr>
                <w:rStyle w:val="31"/>
                <w:rFonts w:hint="eastAsia" w:ascii="宋体" w:hAnsi="宋体" w:eastAsia="宋体" w:cs="宋体"/>
                <w:b w:val="0"/>
                <w:sz w:val="21"/>
                <w:szCs w:val="24"/>
                <w:lang w:val="en-US" w:eastAsia="zh-CN"/>
              </w:rPr>
            </w:pPr>
            <w:r>
              <w:rPr>
                <w:rStyle w:val="31"/>
                <w:rFonts w:hint="eastAsia" w:ascii="宋体" w:hAnsi="宋体" w:eastAsia="宋体" w:cs="宋体"/>
                <w:b w:val="0"/>
                <w:sz w:val="21"/>
                <w:szCs w:val="24"/>
                <w:lang w:val="en-US" w:eastAsia="zh-CN"/>
              </w:rPr>
              <w:t>注：异常低价审查：</w:t>
            </w:r>
          </w:p>
          <w:p w14:paraId="490921A5">
            <w:pPr>
              <w:pStyle w:val="72"/>
              <w:keepNext w:val="0"/>
              <w:keepLines w:val="0"/>
              <w:pageBreakBefore w:val="0"/>
              <w:kinsoku/>
              <w:wordWrap/>
              <w:overflowPunct/>
              <w:topLinePunct w:val="0"/>
              <w:autoSpaceDE/>
              <w:autoSpaceDN/>
              <w:bidi w:val="0"/>
              <w:adjustRightInd/>
              <w:snapToGrid/>
              <w:spacing w:line="312" w:lineRule="auto"/>
              <w:jc w:val="left"/>
              <w:textAlignment w:val="auto"/>
              <w:rPr>
                <w:rStyle w:val="31"/>
                <w:rFonts w:hint="eastAsia" w:ascii="宋体" w:hAnsi="宋体" w:eastAsia="宋体" w:cs="宋体"/>
                <w:b w:val="0"/>
                <w:sz w:val="21"/>
                <w:szCs w:val="24"/>
                <w:highlight w:val="none"/>
                <w:lang w:val="en-US" w:eastAsia="zh-CN"/>
              </w:rPr>
            </w:pPr>
            <w:r>
              <w:rPr>
                <w:rStyle w:val="31"/>
                <w:rFonts w:hint="eastAsia" w:ascii="宋体" w:hAnsi="宋体" w:eastAsia="宋体" w:cs="宋体"/>
                <w:b w:val="0"/>
                <w:sz w:val="21"/>
                <w:szCs w:val="24"/>
                <w:highlight w:val="none"/>
                <w:lang w:val="en-US" w:eastAsia="zh-CN"/>
              </w:rPr>
              <w:t>（一）政府采购评审中出现下列情形之一的，评审委员会应当启动异常低价投标（响应）审查程序：</w:t>
            </w:r>
          </w:p>
          <w:p w14:paraId="1F2962DF">
            <w:pPr>
              <w:pStyle w:val="72"/>
              <w:keepNext w:val="0"/>
              <w:keepLines w:val="0"/>
              <w:pageBreakBefore w:val="0"/>
              <w:kinsoku/>
              <w:wordWrap/>
              <w:overflowPunct/>
              <w:topLinePunct w:val="0"/>
              <w:autoSpaceDE/>
              <w:autoSpaceDN/>
              <w:bidi w:val="0"/>
              <w:adjustRightInd/>
              <w:snapToGrid/>
              <w:spacing w:line="312" w:lineRule="auto"/>
              <w:jc w:val="left"/>
              <w:textAlignment w:val="auto"/>
              <w:rPr>
                <w:rStyle w:val="31"/>
                <w:rFonts w:hint="eastAsia" w:ascii="宋体" w:hAnsi="宋体" w:eastAsia="宋体" w:cs="宋体"/>
                <w:b w:val="0"/>
                <w:sz w:val="21"/>
                <w:szCs w:val="24"/>
                <w:lang w:val="en-US" w:eastAsia="zh-CN"/>
              </w:rPr>
            </w:pPr>
            <w:r>
              <w:rPr>
                <w:rStyle w:val="31"/>
                <w:rFonts w:hint="eastAsia" w:ascii="宋体" w:hAnsi="宋体" w:eastAsia="宋体" w:cs="宋体"/>
                <w:b w:val="0"/>
                <w:sz w:val="21"/>
                <w:szCs w:val="24"/>
                <w:lang w:val="en-US" w:eastAsia="zh-CN"/>
              </w:rPr>
              <w:t>（1）投标（响应）报价低于全部通过符合性审查供应商投标（响应）报价平均值65%的，即投标（响应）报价&lt;全部通过符合性审查供应商投标（响应）报价平均值×65%；</w:t>
            </w:r>
          </w:p>
          <w:p w14:paraId="267CE4A6">
            <w:pPr>
              <w:pStyle w:val="72"/>
              <w:keepNext w:val="0"/>
              <w:keepLines w:val="0"/>
              <w:pageBreakBefore w:val="0"/>
              <w:kinsoku/>
              <w:wordWrap/>
              <w:overflowPunct/>
              <w:topLinePunct w:val="0"/>
              <w:autoSpaceDE/>
              <w:autoSpaceDN/>
              <w:bidi w:val="0"/>
              <w:adjustRightInd/>
              <w:snapToGrid/>
              <w:spacing w:line="312" w:lineRule="auto"/>
              <w:jc w:val="left"/>
              <w:textAlignment w:val="auto"/>
              <w:rPr>
                <w:rStyle w:val="31"/>
                <w:rFonts w:hint="eastAsia" w:ascii="宋体" w:hAnsi="宋体" w:eastAsia="宋体" w:cs="宋体"/>
                <w:b w:val="0"/>
                <w:sz w:val="21"/>
                <w:szCs w:val="24"/>
                <w:lang w:val="en-US" w:eastAsia="zh-CN"/>
              </w:rPr>
            </w:pPr>
            <w:r>
              <w:rPr>
                <w:rStyle w:val="31"/>
                <w:rFonts w:hint="eastAsia" w:ascii="宋体" w:hAnsi="宋体" w:eastAsia="宋体" w:cs="宋体"/>
                <w:b w:val="0"/>
                <w:sz w:val="21"/>
                <w:szCs w:val="24"/>
                <w:lang w:val="en-US" w:eastAsia="zh-CN"/>
              </w:rPr>
              <w:t>（2）投标（响应）报价低于通过符合性审查的次低报价供应商投标（响应）报价65%的，即投标（响应）报价&lt;通过符合性审查的次低报价供应商投标（响应）报价×65%；</w:t>
            </w:r>
          </w:p>
          <w:p w14:paraId="4044CCEF">
            <w:pPr>
              <w:pStyle w:val="72"/>
              <w:keepNext w:val="0"/>
              <w:keepLines w:val="0"/>
              <w:pageBreakBefore w:val="0"/>
              <w:kinsoku/>
              <w:wordWrap/>
              <w:overflowPunct/>
              <w:topLinePunct w:val="0"/>
              <w:autoSpaceDE/>
              <w:autoSpaceDN/>
              <w:bidi w:val="0"/>
              <w:adjustRightInd/>
              <w:snapToGrid/>
              <w:spacing w:line="312" w:lineRule="auto"/>
              <w:jc w:val="left"/>
              <w:textAlignment w:val="auto"/>
              <w:rPr>
                <w:rStyle w:val="31"/>
                <w:rFonts w:hint="eastAsia" w:ascii="宋体" w:hAnsi="宋体" w:eastAsia="宋体" w:cs="宋体"/>
                <w:b w:val="0"/>
                <w:sz w:val="21"/>
                <w:szCs w:val="24"/>
                <w:lang w:val="en-US" w:eastAsia="zh-CN"/>
              </w:rPr>
            </w:pPr>
            <w:r>
              <w:rPr>
                <w:rStyle w:val="31"/>
                <w:rFonts w:hint="eastAsia" w:ascii="宋体" w:hAnsi="宋体" w:eastAsia="宋体" w:cs="宋体"/>
                <w:b w:val="0"/>
                <w:sz w:val="21"/>
                <w:szCs w:val="24"/>
                <w:lang w:val="en-US" w:eastAsia="zh-CN"/>
              </w:rPr>
              <w:t>（3）投标（响应）报价低于采购项目最高限价65%的，即投标（响应）报价&lt;采购项目最高限价×65%；</w:t>
            </w:r>
          </w:p>
          <w:p w14:paraId="0DF67F89">
            <w:pPr>
              <w:pStyle w:val="72"/>
              <w:keepNext w:val="0"/>
              <w:keepLines w:val="0"/>
              <w:pageBreakBefore w:val="0"/>
              <w:kinsoku/>
              <w:wordWrap/>
              <w:overflowPunct/>
              <w:topLinePunct w:val="0"/>
              <w:autoSpaceDE/>
              <w:autoSpaceDN/>
              <w:bidi w:val="0"/>
              <w:adjustRightInd/>
              <w:snapToGrid/>
              <w:spacing w:line="312" w:lineRule="auto"/>
              <w:jc w:val="left"/>
              <w:textAlignment w:val="auto"/>
              <w:rPr>
                <w:rStyle w:val="31"/>
                <w:rFonts w:hint="eastAsia" w:ascii="宋体" w:hAnsi="宋体" w:eastAsia="宋体" w:cs="宋体"/>
                <w:b w:val="0"/>
                <w:sz w:val="21"/>
                <w:szCs w:val="24"/>
                <w:lang w:val="en-US" w:eastAsia="zh-CN"/>
              </w:rPr>
            </w:pPr>
            <w:r>
              <w:rPr>
                <w:rStyle w:val="31"/>
                <w:rFonts w:hint="eastAsia" w:ascii="宋体" w:hAnsi="宋体" w:eastAsia="宋体" w:cs="宋体"/>
                <w:b w:val="0"/>
                <w:sz w:val="21"/>
                <w:szCs w:val="24"/>
                <w:lang w:val="en-US" w:eastAsia="zh-CN"/>
              </w:rPr>
              <w:t>（4）评审委员会基于专业判断，认为供应商报价过低，有可能影响产品质量或者不能诚信履约的其他情形。</w:t>
            </w:r>
          </w:p>
          <w:p w14:paraId="16D8846E">
            <w:pPr>
              <w:pStyle w:val="72"/>
              <w:keepNext w:val="0"/>
              <w:keepLines w:val="0"/>
              <w:pageBreakBefore w:val="0"/>
              <w:kinsoku/>
              <w:wordWrap/>
              <w:overflowPunct/>
              <w:topLinePunct w:val="0"/>
              <w:autoSpaceDE/>
              <w:autoSpaceDN/>
              <w:bidi w:val="0"/>
              <w:adjustRightInd/>
              <w:snapToGrid/>
              <w:spacing w:line="312" w:lineRule="auto"/>
              <w:jc w:val="left"/>
              <w:textAlignment w:val="auto"/>
              <w:rPr>
                <w:rStyle w:val="31"/>
                <w:rFonts w:hint="eastAsia" w:ascii="宋体" w:hAnsi="宋体" w:eastAsia="宋体" w:cs="宋体"/>
                <w:b w:val="0"/>
                <w:sz w:val="21"/>
                <w:szCs w:val="24"/>
                <w:lang w:val="en-US" w:eastAsia="zh-CN"/>
              </w:rPr>
            </w:pPr>
            <w:r>
              <w:rPr>
                <w:rStyle w:val="31"/>
                <w:rFonts w:hint="eastAsia" w:ascii="宋体" w:hAnsi="宋体" w:eastAsia="宋体" w:cs="宋体"/>
                <w:b w:val="0"/>
                <w:sz w:val="21"/>
                <w:szCs w:val="24"/>
                <w:lang w:val="en-US" w:eastAsia="zh-CN"/>
              </w:rPr>
              <w:t>（二）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投标人提交证明材料的时间</w:t>
            </w:r>
            <w:r>
              <w:rPr>
                <w:rFonts w:hint="eastAsia" w:ascii="宋体" w:hAnsi="宋体" w:eastAsia="宋体" w:cs="宋体"/>
                <w:color w:val="auto"/>
                <w:sz w:val="21"/>
                <w:szCs w:val="21"/>
                <w:highlight w:val="none"/>
                <w:lang w:val="en-US" w:eastAsia="zh-CN"/>
              </w:rPr>
              <w:t>不得超过</w:t>
            </w:r>
            <w:r>
              <w:rPr>
                <w:rStyle w:val="31"/>
                <w:rFonts w:hint="eastAsia" w:ascii="宋体" w:hAnsi="宋体" w:eastAsia="宋体" w:cs="宋体"/>
                <w:b w:val="0"/>
                <w:sz w:val="21"/>
                <w:szCs w:val="24"/>
                <w:lang w:val="en-US" w:eastAsia="zh-CN"/>
              </w:rPr>
              <w:t>60分钟。其中，属于第3项情形，供应商已随投标（响应）文件一并提交相关书面说明及必要的证明材料的，在评审现场可不再重复提交。</w:t>
            </w:r>
          </w:p>
          <w:p w14:paraId="7E8A461A">
            <w:pPr>
              <w:pStyle w:val="72"/>
              <w:keepNext w:val="0"/>
              <w:keepLines w:val="0"/>
              <w:pageBreakBefore w:val="0"/>
              <w:kinsoku/>
              <w:wordWrap/>
              <w:overflowPunct/>
              <w:topLinePunct w:val="0"/>
              <w:autoSpaceDE/>
              <w:autoSpaceDN/>
              <w:bidi w:val="0"/>
              <w:adjustRightInd/>
              <w:snapToGrid/>
              <w:spacing w:line="312" w:lineRule="auto"/>
              <w:ind w:firstLine="420" w:firstLineChars="200"/>
              <w:jc w:val="left"/>
              <w:textAlignment w:val="auto"/>
              <w:rPr>
                <w:rStyle w:val="31"/>
                <w:rFonts w:hint="eastAsia" w:ascii="宋体" w:hAnsi="宋体" w:eastAsia="宋体" w:cs="宋体"/>
                <w:b w:val="0"/>
                <w:sz w:val="21"/>
                <w:szCs w:val="24"/>
                <w:lang w:val="en-US" w:eastAsia="zh-CN"/>
              </w:rPr>
            </w:pPr>
            <w:r>
              <w:rPr>
                <w:rStyle w:val="31"/>
                <w:rFonts w:hint="eastAsia" w:ascii="宋体" w:hAnsi="宋体" w:eastAsia="宋体" w:cs="宋体"/>
                <w:b w:val="0"/>
                <w:sz w:val="21"/>
                <w:szCs w:val="24"/>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78789B4D">
            <w:pPr>
              <w:pStyle w:val="55"/>
              <w:rPr>
                <w:color w:val="auto"/>
                <w:highlight w:val="none"/>
              </w:rPr>
            </w:pPr>
            <w:r>
              <w:rPr>
                <w:rStyle w:val="31"/>
                <w:rFonts w:hint="eastAsia" w:ascii="宋体" w:hAnsi="宋体" w:eastAsia="宋体" w:cs="宋体"/>
                <w:b/>
                <w:bCs/>
                <w:sz w:val="21"/>
                <w:szCs w:val="24"/>
                <w:lang w:val="en-US" w:eastAsia="zh-CN"/>
              </w:rPr>
              <w:t>注：本项目采用全流程电子交易系统，投标报价的澄清由评标委员会通过电子交易系统发起，投标人应及时关注电子交易系统的信息提示，采购人或采购代理机构不再另行通知。因投标人自身原因未能在规定时限内提交澄清材料的，由此带来的不利后果，由投标人自行承担。</w:t>
            </w:r>
          </w:p>
        </w:tc>
      </w:tr>
      <w:tr w14:paraId="688907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0" w:hRule="atLeast"/>
          <w:jc w:val="center"/>
        </w:trPr>
        <w:tc>
          <w:tcPr>
            <w:tcW w:w="503" w:type="dxa"/>
            <w:tcBorders>
              <w:right w:val="single" w:color="auto" w:sz="4" w:space="0"/>
            </w:tcBorders>
            <w:noWrap w:val="0"/>
            <w:vAlign w:val="center"/>
          </w:tcPr>
          <w:p w14:paraId="49CAE28B">
            <w:pPr>
              <w:adjustRightInd w:val="0"/>
              <w:snapToGrid w:val="0"/>
              <w:spacing w:before="156" w:beforeLines="50"/>
              <w:jc w:val="center"/>
              <w:rPr>
                <w:rFonts w:ascii="宋体" w:hAnsi="宋体"/>
                <w:color w:val="auto"/>
                <w:sz w:val="18"/>
                <w:szCs w:val="18"/>
                <w:highlight w:val="none"/>
              </w:rPr>
            </w:pPr>
            <w:r>
              <w:rPr>
                <w:rFonts w:hint="eastAsia" w:ascii="宋体" w:hAnsi="宋体"/>
                <w:color w:val="auto"/>
                <w:sz w:val="18"/>
                <w:szCs w:val="18"/>
                <w:highlight w:val="none"/>
              </w:rPr>
              <w:t>2</w:t>
            </w:r>
          </w:p>
        </w:tc>
        <w:tc>
          <w:tcPr>
            <w:tcW w:w="2160" w:type="dxa"/>
            <w:tcBorders>
              <w:left w:val="single" w:color="auto" w:sz="4" w:space="0"/>
            </w:tcBorders>
            <w:noWrap w:val="0"/>
            <w:vAlign w:val="center"/>
          </w:tcPr>
          <w:p w14:paraId="04E6B273">
            <w:pPr>
              <w:adjustRightInd w:val="0"/>
              <w:snapToGrid w:val="0"/>
              <w:jc w:val="center"/>
              <w:rPr>
                <w:rFonts w:ascii="宋体" w:hAnsi="宋体"/>
                <w:color w:val="auto"/>
                <w:sz w:val="18"/>
                <w:szCs w:val="18"/>
                <w:highlight w:val="none"/>
              </w:rPr>
            </w:pPr>
            <w:r>
              <w:rPr>
                <w:rFonts w:hint="eastAsia" w:ascii="宋体" w:hAnsi="宋体"/>
                <w:color w:val="auto"/>
                <w:sz w:val="18"/>
                <w:szCs w:val="18"/>
                <w:highlight w:val="none"/>
              </w:rPr>
              <w:t>优先采购加分（F</w:t>
            </w:r>
            <w:r>
              <w:rPr>
                <w:rFonts w:hint="eastAsia" w:ascii="宋体" w:hAnsi="宋体"/>
                <w:color w:val="auto"/>
                <w:sz w:val="18"/>
                <w:szCs w:val="18"/>
                <w:highlight w:val="none"/>
                <w:vertAlign w:val="subscript"/>
              </w:rPr>
              <w:t>优先采购加分</w:t>
            </w:r>
            <w:r>
              <w:rPr>
                <w:rFonts w:hint="eastAsia" w:ascii="宋体" w:hAnsi="宋体"/>
                <w:color w:val="auto"/>
                <w:sz w:val="18"/>
                <w:szCs w:val="18"/>
                <w:highlight w:val="none"/>
              </w:rPr>
              <w:t>）</w:t>
            </w:r>
          </w:p>
        </w:tc>
        <w:tc>
          <w:tcPr>
            <w:tcW w:w="6253" w:type="dxa"/>
            <w:tcBorders>
              <w:bottom w:val="single" w:color="auto" w:sz="4" w:space="0"/>
            </w:tcBorders>
            <w:noWrap w:val="0"/>
            <w:vAlign w:val="center"/>
          </w:tcPr>
          <w:p w14:paraId="04C4EB0F">
            <w:pPr>
              <w:autoSpaceDE w:val="0"/>
              <w:autoSpaceDN w:val="0"/>
              <w:spacing w:before="156" w:beforeLines="50"/>
              <w:jc w:val="left"/>
              <w:rPr>
                <w:rFonts w:hint="eastAsia" w:ascii="宋体" w:hAnsi="宋体" w:eastAsia="宋体" w:cs="宋体"/>
                <w:b w:val="0"/>
                <w:bCs w:val="0"/>
                <w:color w:val="auto"/>
                <w:position w:val="-10"/>
                <w:sz w:val="21"/>
                <w:szCs w:val="21"/>
                <w:highlight w:val="none"/>
                <w:lang w:val="zh-CN" w:bidi="zh-CN"/>
              </w:rPr>
            </w:pPr>
            <w:r>
              <w:rPr>
                <w:rFonts w:hint="eastAsia" w:ascii="宋体" w:hAnsi="宋体" w:eastAsia="宋体" w:cs="宋体"/>
                <w:b w:val="0"/>
                <w:bCs w:val="0"/>
                <w:color w:val="auto"/>
                <w:sz w:val="21"/>
                <w:szCs w:val="21"/>
                <w:highlight w:val="none"/>
                <w:u w:val="single"/>
              </w:rPr>
              <w:t>所投节能、环境标志、两型产品的价格</w:t>
            </w:r>
            <w:r>
              <w:rPr>
                <w:rFonts w:hint="eastAsia" w:ascii="宋体" w:hAnsi="宋体" w:eastAsia="宋体" w:cs="宋体"/>
                <w:b w:val="0"/>
                <w:bCs w:val="0"/>
                <w:color w:val="auto"/>
                <w:sz w:val="21"/>
                <w:szCs w:val="21"/>
                <w:highlight w:val="none"/>
                <w:lang w:val="zh-CN"/>
              </w:rPr>
              <w:t>×100×本项目加分比例</w:t>
            </w:r>
          </w:p>
          <w:p w14:paraId="7F209C93">
            <w:pPr>
              <w:autoSpaceDE w:val="0"/>
              <w:autoSpaceDN w:val="0"/>
              <w:ind w:firstLine="1260" w:firstLineChars="600"/>
              <w:jc w:val="left"/>
              <w:rPr>
                <w:rFonts w:ascii="宋体" w:hAnsi="宋体"/>
                <w:color w:val="auto"/>
                <w:sz w:val="18"/>
                <w:szCs w:val="18"/>
                <w:highlight w:val="none"/>
              </w:rPr>
            </w:pPr>
            <w:r>
              <w:rPr>
                <w:rFonts w:hint="eastAsia" w:ascii="宋体" w:hAnsi="宋体" w:eastAsia="宋体" w:cs="宋体"/>
                <w:b w:val="0"/>
                <w:bCs w:val="0"/>
                <w:color w:val="auto"/>
                <w:sz w:val="21"/>
                <w:szCs w:val="21"/>
                <w:highlight w:val="none"/>
              </w:rPr>
              <w:t>投标总价格</w:t>
            </w:r>
          </w:p>
        </w:tc>
      </w:tr>
      <w:tr w14:paraId="0EEAD3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0" w:hRule="atLeast"/>
          <w:jc w:val="center"/>
        </w:trPr>
        <w:tc>
          <w:tcPr>
            <w:tcW w:w="503" w:type="dxa"/>
            <w:tcBorders>
              <w:right w:val="single" w:color="auto" w:sz="4" w:space="0"/>
            </w:tcBorders>
            <w:noWrap w:val="0"/>
            <w:vAlign w:val="center"/>
          </w:tcPr>
          <w:p w14:paraId="531D0E27">
            <w:pPr>
              <w:adjustRightInd w:val="0"/>
              <w:snapToGrid w:val="0"/>
              <w:jc w:val="center"/>
              <w:rPr>
                <w:rFonts w:ascii="宋体" w:hAnsi="宋体"/>
                <w:color w:val="auto"/>
                <w:sz w:val="18"/>
                <w:szCs w:val="18"/>
                <w:highlight w:val="none"/>
              </w:rPr>
            </w:pPr>
            <w:r>
              <w:rPr>
                <w:rFonts w:hint="eastAsia" w:ascii="宋体" w:hAnsi="宋体"/>
                <w:color w:val="auto"/>
                <w:sz w:val="18"/>
                <w:szCs w:val="18"/>
                <w:highlight w:val="none"/>
              </w:rPr>
              <w:t>∑</w:t>
            </w:r>
          </w:p>
        </w:tc>
        <w:tc>
          <w:tcPr>
            <w:tcW w:w="8413" w:type="dxa"/>
            <w:gridSpan w:val="2"/>
            <w:tcBorders>
              <w:left w:val="single" w:color="auto" w:sz="4" w:space="0"/>
            </w:tcBorders>
            <w:noWrap w:val="0"/>
            <w:vAlign w:val="center"/>
          </w:tcPr>
          <w:p w14:paraId="5C735D79">
            <w:pPr>
              <w:adjustRightInd w:val="0"/>
              <w:snapToGrid w:val="0"/>
              <w:rPr>
                <w:rFonts w:ascii="宋体" w:hAnsi="宋体"/>
                <w:color w:val="auto"/>
                <w:sz w:val="18"/>
                <w:szCs w:val="18"/>
                <w:highlight w:val="none"/>
              </w:rPr>
            </w:pPr>
            <w:r>
              <w:rPr>
                <w:rFonts w:hint="eastAsia" w:ascii="宋体" w:hAnsi="宋体"/>
                <w:color w:val="auto"/>
                <w:sz w:val="18"/>
                <w:szCs w:val="18"/>
                <w:highlight w:val="none"/>
              </w:rPr>
              <w:t>F</w:t>
            </w:r>
            <w:r>
              <w:rPr>
                <w:rFonts w:hint="eastAsia" w:ascii="宋体" w:hAnsi="宋体"/>
                <w:color w:val="auto"/>
                <w:sz w:val="18"/>
                <w:szCs w:val="18"/>
                <w:highlight w:val="none"/>
                <w:vertAlign w:val="subscript"/>
              </w:rPr>
              <w:t>1</w:t>
            </w:r>
            <w:r>
              <w:rPr>
                <w:rFonts w:hint="eastAsia" w:ascii="宋体" w:hAnsi="宋体"/>
                <w:color w:val="auto"/>
                <w:sz w:val="18"/>
                <w:szCs w:val="18"/>
                <w:highlight w:val="none"/>
              </w:rPr>
              <w:t>=F+</w:t>
            </w:r>
            <w:r>
              <w:rPr>
                <w:rFonts w:hint="eastAsia"/>
                <w:color w:val="auto"/>
                <w:sz w:val="18"/>
                <w:szCs w:val="18"/>
                <w:highlight w:val="none"/>
              </w:rPr>
              <w:t xml:space="preserve"> </w:t>
            </w:r>
            <w:r>
              <w:rPr>
                <w:rFonts w:hint="eastAsia" w:ascii="宋体" w:hAnsi="宋体"/>
                <w:color w:val="auto"/>
                <w:sz w:val="18"/>
                <w:szCs w:val="18"/>
                <w:highlight w:val="none"/>
              </w:rPr>
              <w:t>F</w:t>
            </w:r>
            <w:r>
              <w:rPr>
                <w:rFonts w:hint="eastAsia" w:ascii="宋体" w:hAnsi="宋体"/>
                <w:color w:val="auto"/>
                <w:sz w:val="18"/>
                <w:szCs w:val="18"/>
                <w:highlight w:val="none"/>
                <w:vertAlign w:val="subscript"/>
              </w:rPr>
              <w:t>优先采购加分</w:t>
            </w:r>
          </w:p>
        </w:tc>
      </w:tr>
    </w:tbl>
    <w:p w14:paraId="28ECB5AF">
      <w:pPr>
        <w:adjustRightInd w:val="0"/>
        <w:snapToGrid w:val="0"/>
        <w:spacing w:before="156" w:beforeLines="50" w:line="360" w:lineRule="auto"/>
        <w:jc w:val="center"/>
        <w:rPr>
          <w:b/>
          <w:bCs/>
          <w:color w:val="auto"/>
          <w:highlight w:val="none"/>
        </w:rPr>
      </w:pPr>
      <w:r>
        <w:rPr>
          <w:rFonts w:hint="eastAsia"/>
          <w:b/>
          <w:bCs/>
          <w:color w:val="auto"/>
          <w:highlight w:val="none"/>
        </w:rPr>
        <w:t>附表1.2技术部分评审标准表</w:t>
      </w:r>
    </w:p>
    <w:tbl>
      <w:tblPr>
        <w:tblStyle w:val="29"/>
        <w:tblW w:w="894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3"/>
        <w:gridCol w:w="2160"/>
        <w:gridCol w:w="1545"/>
        <w:gridCol w:w="4732"/>
      </w:tblGrid>
      <w:tr w14:paraId="31333C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3" w:type="dxa"/>
            <w:tcBorders>
              <w:right w:val="single" w:color="auto" w:sz="4" w:space="0"/>
            </w:tcBorders>
            <w:noWrap w:val="0"/>
            <w:vAlign w:val="center"/>
          </w:tcPr>
          <w:p w14:paraId="79B61AFD">
            <w:pPr>
              <w:adjustRightInd w:val="0"/>
              <w:snapToGrid w:val="0"/>
              <w:jc w:val="center"/>
              <w:rPr>
                <w:rFonts w:ascii="宋体" w:hAnsi="宋体"/>
                <w:b/>
                <w:color w:val="auto"/>
                <w:sz w:val="18"/>
                <w:szCs w:val="18"/>
                <w:highlight w:val="none"/>
              </w:rPr>
            </w:pPr>
            <w:r>
              <w:rPr>
                <w:rFonts w:hint="eastAsia" w:ascii="宋体" w:hAnsi="宋体"/>
                <w:b/>
                <w:color w:val="auto"/>
                <w:sz w:val="18"/>
                <w:szCs w:val="18"/>
                <w:highlight w:val="none"/>
              </w:rPr>
              <w:t>序号</w:t>
            </w:r>
          </w:p>
        </w:tc>
        <w:tc>
          <w:tcPr>
            <w:tcW w:w="2160" w:type="dxa"/>
            <w:tcBorders>
              <w:left w:val="single" w:color="auto" w:sz="4" w:space="0"/>
              <w:right w:val="single" w:color="auto" w:sz="4" w:space="0"/>
            </w:tcBorders>
            <w:noWrap w:val="0"/>
            <w:vAlign w:val="center"/>
          </w:tcPr>
          <w:p w14:paraId="2DDC3534">
            <w:pPr>
              <w:adjustRightInd w:val="0"/>
              <w:snapToGrid w:val="0"/>
              <w:jc w:val="center"/>
              <w:rPr>
                <w:rFonts w:ascii="宋体" w:hAnsi="宋体"/>
                <w:b/>
                <w:color w:val="auto"/>
                <w:sz w:val="18"/>
                <w:szCs w:val="18"/>
                <w:highlight w:val="none"/>
              </w:rPr>
            </w:pPr>
            <w:r>
              <w:rPr>
                <w:rFonts w:hint="eastAsia" w:ascii="宋体" w:hAnsi="宋体"/>
                <w:b/>
                <w:color w:val="auto"/>
                <w:sz w:val="18"/>
                <w:szCs w:val="18"/>
                <w:highlight w:val="none"/>
              </w:rPr>
              <w:t>评标因素（分值）</w:t>
            </w:r>
          </w:p>
        </w:tc>
        <w:tc>
          <w:tcPr>
            <w:tcW w:w="6277" w:type="dxa"/>
            <w:gridSpan w:val="2"/>
            <w:tcBorders>
              <w:left w:val="single" w:color="auto" w:sz="4" w:space="0"/>
            </w:tcBorders>
            <w:noWrap w:val="0"/>
            <w:vAlign w:val="center"/>
          </w:tcPr>
          <w:p w14:paraId="3EBA394D">
            <w:pPr>
              <w:adjustRightInd w:val="0"/>
              <w:snapToGrid w:val="0"/>
              <w:jc w:val="center"/>
              <w:rPr>
                <w:rFonts w:ascii="宋体" w:hAnsi="宋体"/>
                <w:b/>
                <w:color w:val="auto"/>
                <w:sz w:val="18"/>
                <w:szCs w:val="18"/>
                <w:highlight w:val="none"/>
              </w:rPr>
            </w:pPr>
            <w:r>
              <w:rPr>
                <w:rFonts w:hint="eastAsia" w:ascii="宋体" w:hAnsi="宋体"/>
                <w:b/>
                <w:color w:val="auto"/>
                <w:sz w:val="18"/>
                <w:szCs w:val="18"/>
                <w:highlight w:val="none"/>
              </w:rPr>
              <w:t>评标标准</w:t>
            </w:r>
          </w:p>
        </w:tc>
      </w:tr>
      <w:tr w14:paraId="78D65DE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503" w:type="dxa"/>
            <w:vMerge w:val="restart"/>
            <w:tcBorders>
              <w:right w:val="single" w:color="auto" w:sz="4" w:space="0"/>
            </w:tcBorders>
            <w:noWrap w:val="0"/>
            <w:vAlign w:val="center"/>
          </w:tcPr>
          <w:p w14:paraId="7C2439C0">
            <w:pPr>
              <w:adjustRightInd w:val="0"/>
              <w:snapToGrid w:val="0"/>
              <w:spacing w:before="156" w:beforeLines="50"/>
              <w:jc w:val="center"/>
              <w:rPr>
                <w:rFonts w:ascii="宋体" w:hAnsi="宋体"/>
                <w:color w:val="auto"/>
                <w:sz w:val="18"/>
                <w:szCs w:val="18"/>
                <w:highlight w:val="none"/>
              </w:rPr>
            </w:pPr>
            <w:r>
              <w:rPr>
                <w:rFonts w:hint="eastAsia" w:ascii="宋体" w:hAnsi="宋体"/>
                <w:color w:val="auto"/>
                <w:sz w:val="18"/>
                <w:szCs w:val="18"/>
                <w:highlight w:val="none"/>
              </w:rPr>
              <w:t>1</w:t>
            </w:r>
          </w:p>
        </w:tc>
        <w:tc>
          <w:tcPr>
            <w:tcW w:w="2160" w:type="dxa"/>
            <w:vMerge w:val="restart"/>
            <w:tcBorders>
              <w:left w:val="single" w:color="auto" w:sz="4" w:space="0"/>
            </w:tcBorders>
            <w:noWrap w:val="0"/>
            <w:vAlign w:val="center"/>
          </w:tcPr>
          <w:p w14:paraId="56AE04D3">
            <w:pPr>
              <w:adjustRightInd w:val="0"/>
              <w:snapToGrid w:val="0"/>
              <w:jc w:val="center"/>
              <w:rPr>
                <w:rFonts w:ascii="宋体" w:hAnsi="宋体"/>
                <w:color w:val="auto"/>
                <w:sz w:val="18"/>
                <w:szCs w:val="18"/>
                <w:highlight w:val="none"/>
              </w:rPr>
            </w:pPr>
            <w:r>
              <w:rPr>
                <w:rFonts w:hint="eastAsia" w:ascii="宋体" w:hAnsi="宋体"/>
                <w:color w:val="auto"/>
                <w:sz w:val="18"/>
                <w:szCs w:val="18"/>
                <w:highlight w:val="none"/>
              </w:rPr>
              <w:t>技术评价项</w:t>
            </w:r>
          </w:p>
          <w:p w14:paraId="330E6C21">
            <w:pPr>
              <w:adjustRightInd w:val="0"/>
              <w:snapToGrid w:val="0"/>
              <w:jc w:val="center"/>
              <w:rPr>
                <w:rFonts w:ascii="宋体" w:hAnsi="宋体"/>
                <w:color w:val="auto"/>
                <w:sz w:val="18"/>
                <w:szCs w:val="18"/>
                <w:highlight w:val="none"/>
              </w:rPr>
            </w:pPr>
            <w:r>
              <w:rPr>
                <w:rFonts w:hint="eastAsia" w:ascii="宋体" w:hAnsi="宋体"/>
                <w:color w:val="auto"/>
                <w:sz w:val="18"/>
                <w:szCs w:val="18"/>
                <w:highlight w:val="none"/>
              </w:rPr>
              <w:t>（F=100分）</w:t>
            </w:r>
          </w:p>
        </w:tc>
        <w:tc>
          <w:tcPr>
            <w:tcW w:w="1545" w:type="dxa"/>
            <w:noWrap w:val="0"/>
            <w:vAlign w:val="center"/>
          </w:tcPr>
          <w:p w14:paraId="27E50B22">
            <w:pPr>
              <w:pStyle w:val="27"/>
              <w:spacing w:line="320" w:lineRule="exact"/>
              <w:ind w:firstLine="0" w:firstLineChars="0"/>
              <w:rPr>
                <w:rFonts w:hint="default" w:ascii="宋体" w:hAnsi="宋体" w:eastAsia="宋体" w:cs="宋体"/>
                <w:color w:val="auto"/>
                <w:sz w:val="18"/>
                <w:szCs w:val="18"/>
                <w:highlight w:val="none"/>
                <w:lang w:val="en-US" w:eastAsia="zh-CN"/>
              </w:rPr>
            </w:pPr>
            <w:r>
              <w:rPr>
                <w:rFonts w:hint="eastAsia" w:ascii="宋体" w:hAnsi="宋体" w:cs="宋体"/>
                <w:color w:val="auto"/>
                <w:sz w:val="20"/>
                <w:highlight w:val="none"/>
                <w:lang w:eastAsia="zh-CN"/>
              </w:rPr>
              <w:t>技术响应（</w:t>
            </w:r>
            <w:r>
              <w:rPr>
                <w:rFonts w:hint="eastAsia" w:ascii="宋体" w:hAnsi="宋体" w:cs="宋体"/>
                <w:color w:val="auto"/>
                <w:sz w:val="20"/>
                <w:highlight w:val="none"/>
                <w:lang w:val="en-US" w:eastAsia="zh-CN"/>
              </w:rPr>
              <w:t>70</w:t>
            </w:r>
            <w:r>
              <w:rPr>
                <w:rFonts w:hint="eastAsia" w:ascii="宋体" w:hAnsi="宋体" w:cs="宋体"/>
                <w:color w:val="auto"/>
                <w:sz w:val="20"/>
                <w:highlight w:val="none"/>
                <w:lang w:eastAsia="zh-CN"/>
              </w:rPr>
              <w:t>）</w:t>
            </w:r>
          </w:p>
        </w:tc>
        <w:tc>
          <w:tcPr>
            <w:tcW w:w="4732" w:type="dxa"/>
            <w:noWrap w:val="0"/>
            <w:vAlign w:val="center"/>
          </w:tcPr>
          <w:p w14:paraId="52374457">
            <w:pPr>
              <w:pStyle w:val="27"/>
              <w:spacing w:after="0" w:afterAutospacing="0" w:line="240" w:lineRule="auto"/>
              <w:ind w:firstLine="0" w:firstLineChars="0"/>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根据投标单位所投产品的技术响应情况进行评价，技术参数全部满足招标文件要求的计满分，带“▲”符号为重要参数条款每项偏离扣1</w:t>
            </w:r>
            <w:r>
              <w:rPr>
                <w:rFonts w:hint="eastAsia" w:ascii="宋体" w:hAnsi="宋体" w:cs="宋体"/>
                <w:color w:val="auto"/>
                <w:kern w:val="2"/>
                <w:sz w:val="18"/>
                <w:szCs w:val="18"/>
                <w:highlight w:val="none"/>
                <w:lang w:val="en-US" w:eastAsia="zh-CN" w:bidi="ar-SA"/>
              </w:rPr>
              <w:t>2</w:t>
            </w:r>
            <w:r>
              <w:rPr>
                <w:rFonts w:hint="eastAsia" w:ascii="宋体" w:hAnsi="宋体" w:eastAsia="宋体" w:cs="宋体"/>
                <w:color w:val="auto"/>
                <w:kern w:val="2"/>
                <w:sz w:val="18"/>
                <w:szCs w:val="18"/>
                <w:highlight w:val="none"/>
                <w:lang w:val="en-US" w:eastAsia="zh-CN" w:bidi="ar-SA"/>
              </w:rPr>
              <w:t>分，其他一般参数每项偏离扣</w:t>
            </w:r>
            <w:r>
              <w:rPr>
                <w:rFonts w:hint="eastAsia" w:ascii="宋体" w:hAnsi="宋体" w:cs="宋体"/>
                <w:color w:val="auto"/>
                <w:kern w:val="2"/>
                <w:sz w:val="18"/>
                <w:szCs w:val="18"/>
                <w:highlight w:val="none"/>
                <w:lang w:val="en-US" w:eastAsia="zh-CN" w:bidi="ar-SA"/>
              </w:rPr>
              <w:t>6</w:t>
            </w:r>
            <w:r>
              <w:rPr>
                <w:rFonts w:hint="eastAsia" w:ascii="宋体" w:hAnsi="宋体" w:eastAsia="宋体" w:cs="宋体"/>
                <w:color w:val="auto"/>
                <w:kern w:val="2"/>
                <w:sz w:val="18"/>
                <w:szCs w:val="18"/>
                <w:highlight w:val="none"/>
                <w:lang w:val="en-US" w:eastAsia="zh-CN" w:bidi="ar-SA"/>
              </w:rPr>
              <w:t>分，扣完为止。</w:t>
            </w:r>
          </w:p>
          <w:p w14:paraId="7DEBAD7F">
            <w:pPr>
              <w:pStyle w:val="27"/>
              <w:spacing w:after="0" w:afterAutospacing="0" w:line="240" w:lineRule="auto"/>
              <w:ind w:firstLine="0" w:firstLineChars="0"/>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（注：技术参数如有偏离，必须说明偏离情况；产品配置不详，技术参数不清，缺项、漏项，方案阐述不清楚，未提供或提供的证明材料不满足要求的均视同偏离。）</w:t>
            </w:r>
          </w:p>
        </w:tc>
      </w:tr>
      <w:tr w14:paraId="77640C4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503" w:type="dxa"/>
            <w:vMerge w:val="continue"/>
            <w:tcBorders>
              <w:right w:val="single" w:color="auto" w:sz="4" w:space="0"/>
            </w:tcBorders>
            <w:noWrap w:val="0"/>
            <w:vAlign w:val="center"/>
          </w:tcPr>
          <w:p w14:paraId="4FB87371">
            <w:pPr>
              <w:adjustRightInd w:val="0"/>
              <w:snapToGrid w:val="0"/>
              <w:spacing w:before="156" w:beforeLines="50"/>
              <w:jc w:val="center"/>
              <w:rPr>
                <w:rFonts w:hint="eastAsia" w:ascii="宋体" w:hAnsi="宋体"/>
                <w:color w:val="auto"/>
                <w:sz w:val="18"/>
                <w:szCs w:val="18"/>
                <w:highlight w:val="none"/>
              </w:rPr>
            </w:pPr>
          </w:p>
        </w:tc>
        <w:tc>
          <w:tcPr>
            <w:tcW w:w="2160" w:type="dxa"/>
            <w:vMerge w:val="continue"/>
            <w:tcBorders>
              <w:left w:val="single" w:color="auto" w:sz="4" w:space="0"/>
            </w:tcBorders>
            <w:noWrap w:val="0"/>
            <w:vAlign w:val="center"/>
          </w:tcPr>
          <w:p w14:paraId="3B9F1F75">
            <w:pPr>
              <w:adjustRightInd w:val="0"/>
              <w:snapToGrid w:val="0"/>
              <w:jc w:val="center"/>
              <w:rPr>
                <w:rFonts w:hint="eastAsia" w:ascii="宋体" w:hAnsi="宋体"/>
                <w:color w:val="auto"/>
                <w:sz w:val="18"/>
                <w:szCs w:val="18"/>
                <w:highlight w:val="none"/>
              </w:rPr>
            </w:pPr>
          </w:p>
        </w:tc>
        <w:tc>
          <w:tcPr>
            <w:tcW w:w="1545" w:type="dxa"/>
            <w:noWrap w:val="0"/>
            <w:vAlign w:val="center"/>
          </w:tcPr>
          <w:p w14:paraId="5671CF1C">
            <w:pPr>
              <w:pStyle w:val="27"/>
              <w:spacing w:line="320" w:lineRule="exact"/>
              <w:ind w:firstLine="0" w:firstLineChars="0"/>
              <w:rPr>
                <w:rFonts w:hint="eastAsia"/>
                <w:color w:val="auto"/>
                <w:highlight w:val="none"/>
                <w:lang w:val="en-US" w:eastAsia="zh-CN"/>
              </w:rPr>
            </w:pPr>
            <w:r>
              <w:rPr>
                <w:rFonts w:hint="eastAsia" w:ascii="宋体" w:hAnsi="宋体" w:cs="宋体"/>
                <w:color w:val="auto"/>
                <w:sz w:val="20"/>
                <w:highlight w:val="none"/>
                <w:lang w:eastAsia="zh-CN"/>
              </w:rPr>
              <w:t>供货方案（</w:t>
            </w:r>
            <w:r>
              <w:rPr>
                <w:rFonts w:hint="eastAsia" w:ascii="宋体" w:hAnsi="宋体" w:cs="宋体"/>
                <w:color w:val="auto"/>
                <w:sz w:val="20"/>
                <w:highlight w:val="none"/>
                <w:lang w:val="en-US" w:eastAsia="zh-CN"/>
              </w:rPr>
              <w:t>20</w:t>
            </w:r>
            <w:r>
              <w:rPr>
                <w:rFonts w:hint="eastAsia" w:ascii="宋体" w:hAnsi="宋体" w:cs="宋体"/>
                <w:color w:val="auto"/>
                <w:sz w:val="20"/>
                <w:highlight w:val="none"/>
                <w:lang w:eastAsia="zh-CN"/>
              </w:rPr>
              <w:t>）</w:t>
            </w:r>
          </w:p>
        </w:tc>
        <w:tc>
          <w:tcPr>
            <w:tcW w:w="4732" w:type="dxa"/>
            <w:noWrap w:val="0"/>
            <w:vAlign w:val="center"/>
          </w:tcPr>
          <w:p w14:paraId="6A70BE23">
            <w:pPr>
              <w:keepNext w:val="0"/>
              <w:keepLines w:val="0"/>
              <w:pageBreakBefore w:val="0"/>
              <w:widowControl w:val="0"/>
              <w:kinsoku/>
              <w:wordWrap/>
              <w:overflowPunct/>
              <w:topLinePunct w:val="0"/>
              <w:autoSpaceDE w:val="0"/>
              <w:autoSpaceDN w:val="0"/>
              <w:bidi w:val="0"/>
              <w:adjustRightInd/>
              <w:snapToGrid/>
              <w:spacing w:line="440" w:lineRule="exact"/>
              <w:jc w:val="left"/>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根据投标单位针对本项目的供货计划、运输、安装及调试、验收等方案内容进行评价，方案符合实际情况、科学合理、完善且对本项目具有针对性、可靠性和可实施性强能完全贴合满足采购人需求的计满分，方案存在缺项、不足或缺陷的每处扣</w:t>
            </w:r>
            <w:r>
              <w:rPr>
                <w:rFonts w:hint="eastAsia" w:ascii="宋体" w:hAnsi="宋体" w:cs="宋体"/>
                <w:color w:val="auto"/>
                <w:sz w:val="18"/>
                <w:szCs w:val="18"/>
                <w:highlight w:val="none"/>
                <w:lang w:val="en-US" w:eastAsia="zh-CN"/>
              </w:rPr>
              <w:t>8</w:t>
            </w:r>
            <w:r>
              <w:rPr>
                <w:rFonts w:hint="eastAsia" w:ascii="宋体" w:hAnsi="宋体" w:eastAsia="宋体" w:cs="宋体"/>
                <w:color w:val="auto"/>
                <w:sz w:val="18"/>
                <w:szCs w:val="18"/>
                <w:highlight w:val="none"/>
                <w:lang w:val="en-US" w:eastAsia="zh-CN"/>
              </w:rPr>
              <w:t>分，扣完为止。</w:t>
            </w:r>
          </w:p>
        </w:tc>
      </w:tr>
      <w:tr w14:paraId="36EBA7E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4" w:hRule="atLeast"/>
          <w:jc w:val="center"/>
        </w:trPr>
        <w:tc>
          <w:tcPr>
            <w:tcW w:w="503" w:type="dxa"/>
            <w:vMerge w:val="continue"/>
            <w:tcBorders>
              <w:right w:val="single" w:color="auto" w:sz="4" w:space="0"/>
            </w:tcBorders>
            <w:noWrap w:val="0"/>
            <w:vAlign w:val="center"/>
          </w:tcPr>
          <w:p w14:paraId="754AEF55">
            <w:pPr>
              <w:adjustRightInd w:val="0"/>
              <w:snapToGrid w:val="0"/>
              <w:spacing w:before="156" w:beforeLines="50"/>
              <w:jc w:val="center"/>
              <w:rPr>
                <w:rFonts w:ascii="宋体" w:hAnsi="宋体"/>
                <w:color w:val="auto"/>
                <w:sz w:val="18"/>
                <w:szCs w:val="18"/>
                <w:highlight w:val="none"/>
              </w:rPr>
            </w:pPr>
          </w:p>
        </w:tc>
        <w:tc>
          <w:tcPr>
            <w:tcW w:w="2160" w:type="dxa"/>
            <w:vMerge w:val="continue"/>
            <w:tcBorders>
              <w:left w:val="single" w:color="auto" w:sz="4" w:space="0"/>
            </w:tcBorders>
            <w:noWrap w:val="0"/>
            <w:vAlign w:val="center"/>
          </w:tcPr>
          <w:p w14:paraId="351A258A">
            <w:pPr>
              <w:adjustRightInd w:val="0"/>
              <w:snapToGrid w:val="0"/>
              <w:spacing w:before="156" w:beforeLines="50"/>
              <w:jc w:val="center"/>
              <w:rPr>
                <w:rFonts w:ascii="宋体" w:hAnsi="宋体"/>
                <w:color w:val="auto"/>
                <w:sz w:val="18"/>
                <w:szCs w:val="18"/>
                <w:highlight w:val="none"/>
              </w:rPr>
            </w:pPr>
          </w:p>
        </w:tc>
        <w:tc>
          <w:tcPr>
            <w:tcW w:w="1545" w:type="dxa"/>
            <w:noWrap w:val="0"/>
            <w:vAlign w:val="center"/>
          </w:tcPr>
          <w:p w14:paraId="028DBD26">
            <w:pPr>
              <w:pStyle w:val="53"/>
              <w:widowControl/>
              <w:spacing w:line="320" w:lineRule="exact"/>
              <w:rPr>
                <w:rFonts w:hint="default" w:ascii="宋体" w:hAnsi="宋体" w:eastAsia="宋体" w:cs="宋体"/>
                <w:color w:val="auto"/>
                <w:kern w:val="2"/>
                <w:sz w:val="20"/>
                <w:szCs w:val="24"/>
                <w:highlight w:val="none"/>
                <w:lang w:val="en-US" w:eastAsia="zh-CN" w:bidi="ar-SA"/>
              </w:rPr>
            </w:pPr>
            <w:r>
              <w:rPr>
                <w:rFonts w:hint="eastAsia" w:ascii="宋体" w:hAnsi="宋体" w:eastAsia="宋体" w:cs="宋体"/>
                <w:color w:val="auto"/>
                <w:kern w:val="2"/>
                <w:sz w:val="20"/>
                <w:szCs w:val="24"/>
                <w:highlight w:val="none"/>
                <w:lang w:val="en-US" w:eastAsia="zh-CN" w:bidi="ar-SA"/>
              </w:rPr>
              <w:t>培训计划（</w:t>
            </w:r>
            <w:r>
              <w:rPr>
                <w:rFonts w:hint="eastAsia" w:ascii="宋体" w:hAnsi="宋体" w:cs="宋体"/>
                <w:color w:val="auto"/>
                <w:kern w:val="2"/>
                <w:sz w:val="20"/>
                <w:szCs w:val="24"/>
                <w:highlight w:val="none"/>
                <w:lang w:val="en-US" w:eastAsia="zh-CN" w:bidi="ar-SA"/>
              </w:rPr>
              <w:t>5</w:t>
            </w:r>
            <w:r>
              <w:rPr>
                <w:rFonts w:hint="eastAsia" w:ascii="宋体" w:hAnsi="宋体" w:eastAsia="宋体" w:cs="宋体"/>
                <w:color w:val="auto"/>
                <w:kern w:val="2"/>
                <w:sz w:val="20"/>
                <w:szCs w:val="24"/>
                <w:highlight w:val="none"/>
                <w:lang w:val="en-US" w:eastAsia="zh-CN" w:bidi="ar-SA"/>
              </w:rPr>
              <w:t>）</w:t>
            </w:r>
          </w:p>
        </w:tc>
        <w:tc>
          <w:tcPr>
            <w:tcW w:w="4732" w:type="dxa"/>
            <w:noWrap w:val="0"/>
            <w:vAlign w:val="center"/>
          </w:tcPr>
          <w:p w14:paraId="62B8C2FF">
            <w:pPr>
              <w:keepNext w:val="0"/>
              <w:keepLines w:val="0"/>
              <w:pageBreakBefore w:val="0"/>
              <w:widowControl w:val="0"/>
              <w:kinsoku/>
              <w:wordWrap/>
              <w:overflowPunct/>
              <w:topLinePunct w:val="0"/>
              <w:autoSpaceDE w:val="0"/>
              <w:autoSpaceDN w:val="0"/>
              <w:bidi w:val="0"/>
              <w:adjustRightInd/>
              <w:snapToGrid/>
              <w:spacing w:line="440" w:lineRule="exact"/>
              <w:jc w:val="left"/>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根据各投标单位针对招标人制定的现场操作及培训、日常维护保养培训等方案进行评价，培训方案详细、内容完整、培训流程清晰、合理可行、方案符合实际情况、科学合理、完善且对本项目具有针对性、可靠性和可实施性强能完全贴合满足采购人需求的计满分，方案存在缺项、不足或缺陷的每处扣</w:t>
            </w:r>
            <w:r>
              <w:rPr>
                <w:rFonts w:hint="eastAsia" w:ascii="宋体" w:hAnsi="宋体" w:cs="宋体"/>
                <w:color w:val="auto"/>
                <w:sz w:val="18"/>
                <w:szCs w:val="18"/>
                <w:highlight w:val="none"/>
                <w:lang w:val="en-US" w:eastAsia="zh-CN"/>
              </w:rPr>
              <w:t>2</w:t>
            </w:r>
            <w:r>
              <w:rPr>
                <w:rFonts w:hint="eastAsia" w:ascii="宋体" w:hAnsi="宋体" w:eastAsia="宋体" w:cs="宋体"/>
                <w:color w:val="auto"/>
                <w:sz w:val="18"/>
                <w:szCs w:val="18"/>
                <w:highlight w:val="none"/>
                <w:lang w:val="en-US" w:eastAsia="zh-CN"/>
              </w:rPr>
              <w:t>分，扣完为止。</w:t>
            </w:r>
          </w:p>
        </w:tc>
      </w:tr>
      <w:tr w14:paraId="3F0D090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4" w:hRule="atLeast"/>
          <w:jc w:val="center"/>
        </w:trPr>
        <w:tc>
          <w:tcPr>
            <w:tcW w:w="503" w:type="dxa"/>
            <w:vMerge w:val="continue"/>
            <w:tcBorders>
              <w:right w:val="single" w:color="auto" w:sz="4" w:space="0"/>
            </w:tcBorders>
            <w:noWrap w:val="0"/>
            <w:vAlign w:val="center"/>
          </w:tcPr>
          <w:p w14:paraId="5A7B806F">
            <w:pPr>
              <w:adjustRightInd w:val="0"/>
              <w:snapToGrid w:val="0"/>
              <w:spacing w:before="156" w:beforeLines="50"/>
              <w:jc w:val="center"/>
              <w:rPr>
                <w:rFonts w:ascii="宋体" w:hAnsi="宋体"/>
                <w:color w:val="auto"/>
                <w:sz w:val="18"/>
                <w:szCs w:val="18"/>
                <w:highlight w:val="none"/>
              </w:rPr>
            </w:pPr>
          </w:p>
        </w:tc>
        <w:tc>
          <w:tcPr>
            <w:tcW w:w="2160" w:type="dxa"/>
            <w:vMerge w:val="continue"/>
            <w:tcBorders>
              <w:left w:val="single" w:color="auto" w:sz="4" w:space="0"/>
            </w:tcBorders>
            <w:noWrap w:val="0"/>
            <w:vAlign w:val="center"/>
          </w:tcPr>
          <w:p w14:paraId="62366E55">
            <w:pPr>
              <w:adjustRightInd w:val="0"/>
              <w:snapToGrid w:val="0"/>
              <w:spacing w:before="156" w:beforeLines="50"/>
              <w:jc w:val="center"/>
              <w:rPr>
                <w:rFonts w:ascii="宋体" w:hAnsi="宋体"/>
                <w:color w:val="auto"/>
                <w:sz w:val="18"/>
                <w:szCs w:val="18"/>
                <w:highlight w:val="none"/>
              </w:rPr>
            </w:pPr>
          </w:p>
        </w:tc>
        <w:tc>
          <w:tcPr>
            <w:tcW w:w="1545" w:type="dxa"/>
            <w:noWrap w:val="0"/>
            <w:vAlign w:val="top"/>
          </w:tcPr>
          <w:p w14:paraId="6F61C0B6">
            <w:pPr>
              <w:rPr>
                <w:rFonts w:hint="eastAsia" w:ascii="宋体" w:hAnsi="宋体" w:eastAsia="宋体" w:cs="宋体"/>
                <w:color w:val="auto"/>
                <w:kern w:val="2"/>
                <w:sz w:val="20"/>
                <w:szCs w:val="24"/>
                <w:highlight w:val="none"/>
                <w:lang w:val="en-US" w:eastAsia="zh-CN" w:bidi="ar-SA"/>
              </w:rPr>
            </w:pPr>
          </w:p>
          <w:p w14:paraId="47169595">
            <w:pPr>
              <w:spacing w:line="241" w:lineRule="auto"/>
              <w:rPr>
                <w:rFonts w:hint="eastAsia" w:ascii="宋体" w:hAnsi="宋体" w:eastAsia="宋体" w:cs="宋体"/>
                <w:color w:val="auto"/>
                <w:kern w:val="2"/>
                <w:sz w:val="20"/>
                <w:szCs w:val="24"/>
                <w:highlight w:val="none"/>
                <w:lang w:val="en-US" w:eastAsia="zh-CN" w:bidi="ar-SA"/>
              </w:rPr>
            </w:pPr>
          </w:p>
          <w:p w14:paraId="51EE752F">
            <w:pPr>
              <w:spacing w:line="241" w:lineRule="auto"/>
              <w:rPr>
                <w:rFonts w:hint="eastAsia" w:ascii="宋体" w:hAnsi="宋体" w:eastAsia="宋体" w:cs="宋体"/>
                <w:color w:val="auto"/>
                <w:kern w:val="2"/>
                <w:sz w:val="20"/>
                <w:szCs w:val="24"/>
                <w:highlight w:val="none"/>
                <w:lang w:val="en-US" w:eastAsia="zh-CN" w:bidi="ar-SA"/>
              </w:rPr>
            </w:pPr>
          </w:p>
          <w:p w14:paraId="5D32E768">
            <w:pPr>
              <w:spacing w:line="241" w:lineRule="auto"/>
              <w:rPr>
                <w:rFonts w:hint="eastAsia" w:ascii="宋体" w:hAnsi="宋体" w:eastAsia="宋体" w:cs="宋体"/>
                <w:color w:val="auto"/>
                <w:kern w:val="2"/>
                <w:sz w:val="20"/>
                <w:szCs w:val="24"/>
                <w:highlight w:val="none"/>
                <w:lang w:val="en-US" w:eastAsia="zh-CN" w:bidi="ar-SA"/>
              </w:rPr>
            </w:pPr>
          </w:p>
          <w:p w14:paraId="5E786B1B">
            <w:pPr>
              <w:pStyle w:val="67"/>
              <w:spacing w:before="62" w:line="228" w:lineRule="auto"/>
              <w:jc w:val="both"/>
              <w:rPr>
                <w:rFonts w:hint="eastAsia" w:ascii="宋体" w:hAnsi="宋体" w:eastAsia="宋体" w:cs="宋体"/>
                <w:color w:val="auto"/>
                <w:kern w:val="2"/>
                <w:sz w:val="20"/>
                <w:szCs w:val="24"/>
                <w:highlight w:val="none"/>
                <w:lang w:val="en-US" w:eastAsia="zh-CN" w:bidi="ar-SA"/>
              </w:rPr>
            </w:pPr>
            <w:r>
              <w:rPr>
                <w:rFonts w:hint="eastAsia" w:ascii="宋体" w:hAnsi="宋体" w:eastAsia="宋体" w:cs="宋体"/>
                <w:color w:val="auto"/>
                <w:kern w:val="2"/>
                <w:sz w:val="20"/>
                <w:szCs w:val="24"/>
                <w:highlight w:val="none"/>
                <w:lang w:val="en-US" w:eastAsia="zh-CN" w:bidi="ar-SA"/>
              </w:rPr>
              <w:t>备品备件（</w:t>
            </w:r>
            <w:r>
              <w:rPr>
                <w:rFonts w:hint="eastAsia" w:cs="宋体"/>
                <w:color w:val="auto"/>
                <w:kern w:val="2"/>
                <w:sz w:val="20"/>
                <w:szCs w:val="24"/>
                <w:highlight w:val="none"/>
                <w:lang w:val="en-US" w:eastAsia="zh-CN" w:bidi="ar-SA"/>
              </w:rPr>
              <w:t>5</w:t>
            </w:r>
            <w:r>
              <w:rPr>
                <w:rFonts w:hint="eastAsia" w:ascii="宋体" w:hAnsi="宋体" w:eastAsia="宋体" w:cs="宋体"/>
                <w:color w:val="auto"/>
                <w:kern w:val="2"/>
                <w:sz w:val="20"/>
                <w:szCs w:val="24"/>
                <w:highlight w:val="none"/>
                <w:lang w:val="en-US" w:eastAsia="zh-CN" w:bidi="ar-SA"/>
              </w:rPr>
              <w:t>）</w:t>
            </w:r>
          </w:p>
        </w:tc>
        <w:tc>
          <w:tcPr>
            <w:tcW w:w="4732" w:type="dxa"/>
            <w:noWrap w:val="0"/>
            <w:vAlign w:val="top"/>
          </w:tcPr>
          <w:p w14:paraId="7667CBFD">
            <w:pPr>
              <w:keepNext w:val="0"/>
              <w:keepLines w:val="0"/>
              <w:pageBreakBefore w:val="0"/>
              <w:widowControl w:val="0"/>
              <w:kinsoku/>
              <w:wordWrap/>
              <w:overflowPunct/>
              <w:topLinePunct w:val="0"/>
              <w:autoSpaceDE w:val="0"/>
              <w:autoSpaceDN w:val="0"/>
              <w:bidi w:val="0"/>
              <w:adjustRightInd/>
              <w:snapToGrid/>
              <w:spacing w:line="440" w:lineRule="exact"/>
              <w:jc w:val="left"/>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根据投标单位针对所投产品耗材及相关零部件的储存、备份及备品备件情况进行计分，提供了详细的方案，零配件及耗材清单种类齐全、产品供应充足，品牌、型号、详细真实、质量可靠、价格合理并附有可追溯的真实客户联系方式的计满分；方案笼统，零配件及耗材清单种类少、供应能力差，品牌、型号 无法查证，价格不合理，未提供客户联系方式，方案存在缺项、不足或缺陷的每处扣</w:t>
            </w:r>
            <w:r>
              <w:rPr>
                <w:rFonts w:hint="eastAsia" w:ascii="宋体" w:hAnsi="宋体" w:cs="宋体"/>
                <w:color w:val="auto"/>
                <w:sz w:val="18"/>
                <w:szCs w:val="18"/>
                <w:highlight w:val="none"/>
                <w:lang w:val="en-US" w:eastAsia="zh-CN"/>
              </w:rPr>
              <w:t>2</w:t>
            </w:r>
            <w:r>
              <w:rPr>
                <w:rFonts w:hint="eastAsia" w:ascii="宋体" w:hAnsi="宋体" w:eastAsia="宋体" w:cs="宋体"/>
                <w:color w:val="auto"/>
                <w:sz w:val="18"/>
                <w:szCs w:val="18"/>
                <w:highlight w:val="none"/>
                <w:lang w:val="en-US" w:eastAsia="zh-CN"/>
              </w:rPr>
              <w:t xml:space="preserve">分；未提供零配件及耗材价格、品牌一览表，或提供虚假零配件及耗材供应表(即提供的零配件表与所投型号不符的）每处扣 </w:t>
            </w:r>
            <w:r>
              <w:rPr>
                <w:rFonts w:hint="eastAsia" w:ascii="宋体" w:hAnsi="宋体" w:cs="宋体"/>
                <w:color w:val="auto"/>
                <w:sz w:val="18"/>
                <w:szCs w:val="18"/>
                <w:highlight w:val="none"/>
                <w:lang w:val="en-US" w:eastAsia="zh-CN"/>
              </w:rPr>
              <w:t>3</w:t>
            </w:r>
            <w:r>
              <w:rPr>
                <w:rFonts w:hint="eastAsia" w:ascii="宋体" w:hAnsi="宋体" w:eastAsia="宋体" w:cs="宋体"/>
                <w:color w:val="auto"/>
                <w:sz w:val="18"/>
                <w:szCs w:val="18"/>
                <w:highlight w:val="none"/>
                <w:lang w:val="en-US" w:eastAsia="zh-CN"/>
              </w:rPr>
              <w:t>分。未提供方案的不计分。</w:t>
            </w:r>
          </w:p>
        </w:tc>
      </w:tr>
      <w:tr w14:paraId="377A4C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0" w:hRule="atLeast"/>
          <w:jc w:val="center"/>
        </w:trPr>
        <w:tc>
          <w:tcPr>
            <w:tcW w:w="503" w:type="dxa"/>
            <w:tcBorders>
              <w:right w:val="single" w:color="auto" w:sz="4" w:space="0"/>
            </w:tcBorders>
            <w:noWrap w:val="0"/>
            <w:vAlign w:val="center"/>
          </w:tcPr>
          <w:p w14:paraId="16A7DDBD">
            <w:pPr>
              <w:adjustRightInd w:val="0"/>
              <w:snapToGrid w:val="0"/>
              <w:spacing w:before="156" w:beforeLines="50"/>
              <w:jc w:val="center"/>
              <w:rPr>
                <w:rFonts w:ascii="宋体" w:hAnsi="宋体"/>
                <w:color w:val="auto"/>
                <w:sz w:val="18"/>
                <w:szCs w:val="18"/>
                <w:highlight w:val="none"/>
              </w:rPr>
            </w:pPr>
            <w:r>
              <w:rPr>
                <w:rFonts w:hint="eastAsia" w:ascii="宋体" w:hAnsi="宋体"/>
                <w:color w:val="auto"/>
                <w:sz w:val="18"/>
                <w:szCs w:val="18"/>
                <w:highlight w:val="none"/>
              </w:rPr>
              <w:t>2</w:t>
            </w:r>
          </w:p>
        </w:tc>
        <w:tc>
          <w:tcPr>
            <w:tcW w:w="2160" w:type="dxa"/>
            <w:tcBorders>
              <w:left w:val="single" w:color="auto" w:sz="4" w:space="0"/>
            </w:tcBorders>
            <w:noWrap w:val="0"/>
            <w:vAlign w:val="center"/>
          </w:tcPr>
          <w:p w14:paraId="35EFE172">
            <w:pPr>
              <w:adjustRightInd w:val="0"/>
              <w:snapToGrid w:val="0"/>
              <w:jc w:val="center"/>
              <w:rPr>
                <w:rFonts w:ascii="宋体" w:hAnsi="宋体"/>
                <w:color w:val="auto"/>
                <w:sz w:val="18"/>
                <w:szCs w:val="18"/>
                <w:highlight w:val="none"/>
              </w:rPr>
            </w:pPr>
            <w:r>
              <w:rPr>
                <w:rFonts w:hint="eastAsia" w:ascii="宋体" w:hAnsi="宋体"/>
                <w:color w:val="auto"/>
                <w:sz w:val="18"/>
                <w:szCs w:val="18"/>
                <w:highlight w:val="none"/>
              </w:rPr>
              <w:t>优先采购加分（F</w:t>
            </w:r>
            <w:r>
              <w:rPr>
                <w:rFonts w:hint="eastAsia" w:ascii="宋体" w:hAnsi="宋体"/>
                <w:color w:val="auto"/>
                <w:sz w:val="18"/>
                <w:szCs w:val="18"/>
                <w:highlight w:val="none"/>
                <w:vertAlign w:val="subscript"/>
              </w:rPr>
              <w:t>优先采购加分</w:t>
            </w:r>
            <w:r>
              <w:rPr>
                <w:rFonts w:hint="eastAsia" w:ascii="宋体" w:hAnsi="宋体"/>
                <w:color w:val="auto"/>
                <w:sz w:val="18"/>
                <w:szCs w:val="18"/>
                <w:highlight w:val="none"/>
              </w:rPr>
              <w:t>）</w:t>
            </w:r>
          </w:p>
        </w:tc>
        <w:tc>
          <w:tcPr>
            <w:tcW w:w="6277" w:type="dxa"/>
            <w:gridSpan w:val="2"/>
            <w:tcBorders>
              <w:bottom w:val="single" w:color="auto" w:sz="4" w:space="0"/>
            </w:tcBorders>
            <w:noWrap w:val="0"/>
            <w:vAlign w:val="center"/>
          </w:tcPr>
          <w:p w14:paraId="0697F748">
            <w:pPr>
              <w:autoSpaceDE w:val="0"/>
              <w:autoSpaceDN w:val="0"/>
              <w:jc w:val="left"/>
              <w:rPr>
                <w:rFonts w:hint="eastAsia" w:ascii="宋体" w:hAnsi="宋体" w:eastAsia="宋体" w:cs="宋体"/>
                <w:b w:val="0"/>
                <w:bCs w:val="0"/>
                <w:color w:val="auto"/>
                <w:position w:val="-10"/>
                <w:sz w:val="21"/>
                <w:szCs w:val="21"/>
                <w:highlight w:val="none"/>
                <w:lang w:val="zh-CN" w:bidi="zh-CN"/>
              </w:rPr>
            </w:pPr>
            <w:r>
              <w:rPr>
                <w:rFonts w:hint="eastAsia" w:ascii="宋体" w:hAnsi="宋体" w:eastAsia="宋体" w:cs="宋体"/>
                <w:b w:val="0"/>
                <w:bCs w:val="0"/>
                <w:color w:val="auto"/>
                <w:sz w:val="21"/>
                <w:szCs w:val="21"/>
                <w:highlight w:val="none"/>
                <w:u w:val="single"/>
              </w:rPr>
              <w:t>所投节能、环境标志、两型产品的价格</w:t>
            </w:r>
            <w:r>
              <w:rPr>
                <w:rFonts w:hint="eastAsia" w:ascii="宋体" w:hAnsi="宋体" w:eastAsia="宋体" w:cs="宋体"/>
                <w:b w:val="0"/>
                <w:bCs w:val="0"/>
                <w:color w:val="auto"/>
                <w:sz w:val="21"/>
                <w:szCs w:val="21"/>
                <w:highlight w:val="none"/>
                <w:lang w:val="zh-CN"/>
              </w:rPr>
              <w:t>×100×本项目加分比例</w:t>
            </w:r>
          </w:p>
          <w:p w14:paraId="7E9F79E7">
            <w:pPr>
              <w:adjustRightInd w:val="0"/>
              <w:snapToGrid w:val="0"/>
              <w:spacing w:before="156" w:beforeLines="50"/>
              <w:rPr>
                <w:rFonts w:ascii="宋体" w:hAnsi="宋体"/>
                <w:color w:val="auto"/>
                <w:sz w:val="18"/>
                <w:szCs w:val="18"/>
                <w:highlight w:val="none"/>
              </w:rPr>
            </w:pPr>
            <w:r>
              <w:rPr>
                <w:rFonts w:hint="eastAsia" w:ascii="宋体" w:hAnsi="宋体" w:eastAsia="宋体" w:cs="宋体"/>
                <w:b w:val="0"/>
                <w:bCs w:val="0"/>
                <w:color w:val="auto"/>
                <w:sz w:val="21"/>
                <w:szCs w:val="21"/>
                <w:highlight w:val="none"/>
              </w:rPr>
              <w:t>投标总价格</w:t>
            </w:r>
          </w:p>
        </w:tc>
      </w:tr>
      <w:tr w14:paraId="437D65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0" w:hRule="atLeast"/>
          <w:jc w:val="center"/>
        </w:trPr>
        <w:tc>
          <w:tcPr>
            <w:tcW w:w="503" w:type="dxa"/>
            <w:tcBorders>
              <w:right w:val="single" w:color="auto" w:sz="4" w:space="0"/>
            </w:tcBorders>
            <w:noWrap w:val="0"/>
            <w:vAlign w:val="center"/>
          </w:tcPr>
          <w:p w14:paraId="11A703A8">
            <w:pPr>
              <w:adjustRightInd w:val="0"/>
              <w:snapToGrid w:val="0"/>
              <w:jc w:val="center"/>
              <w:rPr>
                <w:rFonts w:ascii="宋体" w:hAnsi="宋体"/>
                <w:color w:val="auto"/>
                <w:sz w:val="18"/>
                <w:szCs w:val="18"/>
                <w:highlight w:val="none"/>
              </w:rPr>
            </w:pPr>
            <w:r>
              <w:rPr>
                <w:rFonts w:hint="eastAsia" w:ascii="宋体" w:hAnsi="宋体"/>
                <w:color w:val="auto"/>
                <w:sz w:val="18"/>
                <w:szCs w:val="18"/>
                <w:highlight w:val="none"/>
              </w:rPr>
              <w:t>∑</w:t>
            </w:r>
          </w:p>
        </w:tc>
        <w:tc>
          <w:tcPr>
            <w:tcW w:w="8437" w:type="dxa"/>
            <w:gridSpan w:val="3"/>
            <w:tcBorders>
              <w:left w:val="single" w:color="auto" w:sz="4" w:space="0"/>
            </w:tcBorders>
            <w:noWrap w:val="0"/>
            <w:vAlign w:val="center"/>
          </w:tcPr>
          <w:p w14:paraId="42409CCB">
            <w:pPr>
              <w:adjustRightInd w:val="0"/>
              <w:snapToGrid w:val="0"/>
              <w:rPr>
                <w:rFonts w:ascii="宋体" w:hAnsi="宋体"/>
                <w:color w:val="auto"/>
                <w:sz w:val="18"/>
                <w:szCs w:val="18"/>
                <w:highlight w:val="none"/>
              </w:rPr>
            </w:pPr>
            <w:r>
              <w:rPr>
                <w:rFonts w:hint="eastAsia" w:ascii="宋体" w:hAnsi="宋体"/>
                <w:color w:val="auto"/>
                <w:sz w:val="18"/>
                <w:szCs w:val="18"/>
                <w:highlight w:val="none"/>
              </w:rPr>
              <w:t>F</w:t>
            </w:r>
            <w:r>
              <w:rPr>
                <w:rFonts w:ascii="宋体" w:hAnsi="宋体"/>
                <w:color w:val="auto"/>
                <w:sz w:val="18"/>
                <w:szCs w:val="18"/>
                <w:highlight w:val="none"/>
                <w:vertAlign w:val="subscript"/>
              </w:rPr>
              <w:t>2</w:t>
            </w:r>
            <w:r>
              <w:rPr>
                <w:rFonts w:hint="eastAsia" w:ascii="宋体" w:hAnsi="宋体"/>
                <w:color w:val="auto"/>
                <w:sz w:val="18"/>
                <w:szCs w:val="18"/>
                <w:highlight w:val="none"/>
              </w:rPr>
              <w:t>=F+</w:t>
            </w:r>
            <w:r>
              <w:rPr>
                <w:rFonts w:hint="eastAsia"/>
                <w:color w:val="auto"/>
                <w:sz w:val="18"/>
                <w:szCs w:val="18"/>
                <w:highlight w:val="none"/>
              </w:rPr>
              <w:t xml:space="preserve"> </w:t>
            </w:r>
            <w:r>
              <w:rPr>
                <w:rFonts w:hint="eastAsia" w:ascii="宋体" w:hAnsi="宋体"/>
                <w:color w:val="auto"/>
                <w:sz w:val="18"/>
                <w:szCs w:val="18"/>
                <w:highlight w:val="none"/>
              </w:rPr>
              <w:t>F</w:t>
            </w:r>
            <w:r>
              <w:rPr>
                <w:rFonts w:hint="eastAsia" w:ascii="宋体" w:hAnsi="宋体"/>
                <w:color w:val="auto"/>
                <w:sz w:val="18"/>
                <w:szCs w:val="18"/>
                <w:highlight w:val="none"/>
                <w:vertAlign w:val="subscript"/>
              </w:rPr>
              <w:t>优先采购加分</w:t>
            </w:r>
          </w:p>
        </w:tc>
      </w:tr>
      <w:tr w14:paraId="4D91E4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0" w:hRule="atLeast"/>
          <w:jc w:val="center"/>
        </w:trPr>
        <w:tc>
          <w:tcPr>
            <w:tcW w:w="503" w:type="dxa"/>
            <w:tcBorders>
              <w:right w:val="single" w:color="auto" w:sz="4" w:space="0"/>
            </w:tcBorders>
            <w:noWrap w:val="0"/>
            <w:vAlign w:val="center"/>
          </w:tcPr>
          <w:p w14:paraId="7D47615E">
            <w:pPr>
              <w:adjustRightInd w:val="0"/>
              <w:snapToGrid w:val="0"/>
              <w:jc w:val="center"/>
              <w:rPr>
                <w:rFonts w:hint="eastAsia" w:ascii="宋体" w:hAnsi="宋体"/>
                <w:color w:val="auto"/>
                <w:sz w:val="18"/>
                <w:szCs w:val="18"/>
                <w:highlight w:val="none"/>
              </w:rPr>
            </w:pPr>
          </w:p>
        </w:tc>
        <w:tc>
          <w:tcPr>
            <w:tcW w:w="8437" w:type="dxa"/>
            <w:gridSpan w:val="3"/>
            <w:tcBorders>
              <w:left w:val="single" w:color="auto" w:sz="4" w:space="0"/>
            </w:tcBorders>
            <w:noWrap w:val="0"/>
            <w:vAlign w:val="center"/>
          </w:tcPr>
          <w:p w14:paraId="7E660DD0">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olor w:val="auto"/>
                <w:sz w:val="18"/>
                <w:szCs w:val="18"/>
                <w:highlight w:val="none"/>
                <w:lang w:val="en-US" w:eastAsia="zh-CN"/>
              </w:rPr>
            </w:pPr>
            <w:r>
              <w:rPr>
                <w:rFonts w:hint="eastAsia" w:ascii="宋体" w:hAnsi="宋体" w:eastAsia="宋体" w:cs="宋体"/>
                <w:snapToGrid w:val="0"/>
                <w:color w:val="auto"/>
                <w:spacing w:val="-4"/>
                <w:szCs w:val="21"/>
                <w:highlight w:val="none"/>
                <w:lang w:val="en" w:eastAsia="ru-RU"/>
              </w:rPr>
              <w:t>缺陷是指：</w:t>
            </w:r>
            <w:r>
              <w:rPr>
                <w:rFonts w:hint="eastAsia" w:ascii="宋体" w:hAnsi="宋体" w:eastAsia="宋体" w:cs="宋体"/>
                <w:snapToGrid w:val="0"/>
                <w:color w:val="auto"/>
                <w:spacing w:val="-4"/>
                <w:szCs w:val="21"/>
                <w:highlight w:val="none"/>
                <w:lang w:val="en-US" w:eastAsia="zh-CN"/>
              </w:rPr>
              <w:t>方案针对性不强、存在不足、不够详细、影响项目实施的、不适应实际情况的、</w:t>
            </w:r>
            <w:r>
              <w:rPr>
                <w:rFonts w:hint="eastAsia" w:ascii="宋体" w:hAnsi="宋体" w:eastAsia="宋体" w:cs="宋体"/>
                <w:snapToGrid w:val="0"/>
                <w:color w:val="auto"/>
                <w:spacing w:val="-4"/>
                <w:szCs w:val="21"/>
                <w:highlight w:val="none"/>
                <w:lang w:val="en" w:eastAsia="ru-RU"/>
              </w:rPr>
              <w:t>非专门针对本项目</w:t>
            </w:r>
            <w:r>
              <w:rPr>
                <w:rFonts w:hint="eastAsia" w:ascii="宋体" w:hAnsi="宋体" w:eastAsia="宋体" w:cs="宋体"/>
                <w:snapToGrid w:val="0"/>
                <w:color w:val="auto"/>
                <w:spacing w:val="-4"/>
                <w:szCs w:val="21"/>
                <w:highlight w:val="none"/>
                <w:lang w:val="en" w:eastAsia="zh-CN"/>
              </w:rPr>
              <w:t>、</w:t>
            </w:r>
            <w:r>
              <w:rPr>
                <w:rFonts w:hint="eastAsia" w:ascii="宋体" w:hAnsi="宋体" w:eastAsia="宋体" w:cs="宋体"/>
                <w:snapToGrid w:val="0"/>
                <w:color w:val="auto"/>
                <w:spacing w:val="-4"/>
                <w:szCs w:val="21"/>
                <w:highlight w:val="none"/>
                <w:lang w:val="en" w:eastAsia="ru-RU"/>
              </w:rPr>
              <w:t>不适用项目特性的情形</w:t>
            </w:r>
            <w:r>
              <w:rPr>
                <w:rFonts w:hint="eastAsia" w:ascii="宋体" w:hAnsi="宋体" w:eastAsia="宋体" w:cs="宋体"/>
                <w:snapToGrid w:val="0"/>
                <w:color w:val="auto"/>
                <w:spacing w:val="-4"/>
                <w:szCs w:val="21"/>
                <w:highlight w:val="none"/>
                <w:lang w:val="en" w:eastAsia="zh-CN"/>
              </w:rPr>
              <w:t>、</w:t>
            </w:r>
            <w:r>
              <w:rPr>
                <w:rFonts w:hint="eastAsia" w:ascii="宋体" w:hAnsi="宋体" w:eastAsia="宋体" w:cs="宋体"/>
                <w:snapToGrid w:val="0"/>
                <w:color w:val="auto"/>
                <w:spacing w:val="-4"/>
                <w:szCs w:val="21"/>
                <w:highlight w:val="none"/>
                <w:lang w:val="en" w:eastAsia="ru-RU"/>
              </w:rPr>
              <w:t>内容不完整</w:t>
            </w:r>
            <w:r>
              <w:rPr>
                <w:rFonts w:hint="eastAsia" w:ascii="宋体" w:hAnsi="宋体" w:eastAsia="宋体" w:cs="宋体"/>
                <w:snapToGrid w:val="0"/>
                <w:color w:val="auto"/>
                <w:spacing w:val="-4"/>
                <w:szCs w:val="21"/>
                <w:highlight w:val="none"/>
                <w:lang w:val="en" w:eastAsia="zh-CN"/>
              </w:rPr>
              <w:t>、</w:t>
            </w:r>
            <w:r>
              <w:rPr>
                <w:rFonts w:hint="eastAsia" w:ascii="宋体" w:hAnsi="宋体" w:eastAsia="宋体" w:cs="宋体"/>
                <w:snapToGrid w:val="0"/>
                <w:color w:val="auto"/>
                <w:spacing w:val="-4"/>
                <w:szCs w:val="21"/>
                <w:highlight w:val="none"/>
                <w:lang w:val="en" w:eastAsia="ru-RU"/>
              </w:rPr>
              <w:t>缺少关键节点</w:t>
            </w:r>
            <w:r>
              <w:rPr>
                <w:rFonts w:hint="eastAsia" w:ascii="宋体" w:hAnsi="宋体" w:eastAsia="宋体" w:cs="宋体"/>
                <w:snapToGrid w:val="0"/>
                <w:color w:val="auto"/>
                <w:spacing w:val="-4"/>
                <w:szCs w:val="21"/>
                <w:highlight w:val="none"/>
                <w:lang w:val="en" w:eastAsia="zh-CN"/>
              </w:rPr>
              <w:t>、</w:t>
            </w:r>
            <w:r>
              <w:rPr>
                <w:rFonts w:hint="eastAsia" w:ascii="宋体" w:hAnsi="宋体" w:eastAsia="宋体" w:cs="宋体"/>
                <w:snapToGrid w:val="0"/>
                <w:color w:val="auto"/>
                <w:spacing w:val="-4"/>
                <w:szCs w:val="21"/>
                <w:highlight w:val="none"/>
                <w:lang w:val="en" w:eastAsia="ru-RU"/>
              </w:rPr>
              <w:t>套用其他项目方案</w:t>
            </w:r>
            <w:r>
              <w:rPr>
                <w:rFonts w:hint="eastAsia" w:ascii="宋体" w:hAnsi="宋体" w:eastAsia="宋体" w:cs="宋体"/>
                <w:snapToGrid w:val="0"/>
                <w:color w:val="auto"/>
                <w:spacing w:val="-4"/>
                <w:szCs w:val="21"/>
                <w:highlight w:val="none"/>
                <w:lang w:val="en" w:eastAsia="zh-CN"/>
              </w:rPr>
              <w:t>、</w:t>
            </w:r>
            <w:r>
              <w:rPr>
                <w:rFonts w:hint="eastAsia" w:ascii="宋体" w:hAnsi="宋体" w:eastAsia="宋体" w:cs="宋体"/>
                <w:snapToGrid w:val="0"/>
                <w:color w:val="auto"/>
                <w:spacing w:val="-4"/>
                <w:szCs w:val="21"/>
                <w:highlight w:val="none"/>
                <w:lang w:val="en" w:eastAsia="ru-RU"/>
              </w:rPr>
              <w:t>内容前后矛盾</w:t>
            </w:r>
            <w:r>
              <w:rPr>
                <w:rFonts w:hint="eastAsia" w:ascii="宋体" w:hAnsi="宋体" w:eastAsia="宋体" w:cs="宋体"/>
                <w:snapToGrid w:val="0"/>
                <w:color w:val="auto"/>
                <w:spacing w:val="-4"/>
                <w:szCs w:val="21"/>
                <w:highlight w:val="none"/>
                <w:lang w:val="en" w:eastAsia="zh-CN"/>
              </w:rPr>
              <w:t>、</w:t>
            </w:r>
            <w:r>
              <w:rPr>
                <w:rFonts w:hint="eastAsia" w:ascii="宋体" w:hAnsi="宋体" w:eastAsia="宋体" w:cs="宋体"/>
                <w:snapToGrid w:val="0"/>
                <w:color w:val="auto"/>
                <w:spacing w:val="-4"/>
                <w:szCs w:val="21"/>
                <w:highlight w:val="none"/>
                <w:lang w:val="en" w:eastAsia="ru-RU"/>
              </w:rPr>
              <w:t>涉及的规范及标准错误</w:t>
            </w:r>
            <w:r>
              <w:rPr>
                <w:rFonts w:hint="eastAsia" w:ascii="宋体" w:hAnsi="宋体" w:eastAsia="宋体" w:cs="宋体"/>
                <w:snapToGrid w:val="0"/>
                <w:color w:val="auto"/>
                <w:spacing w:val="-4"/>
                <w:szCs w:val="21"/>
                <w:highlight w:val="none"/>
                <w:lang w:val="en" w:eastAsia="zh-CN"/>
              </w:rPr>
              <w:t>、</w:t>
            </w:r>
            <w:r>
              <w:rPr>
                <w:rFonts w:hint="eastAsia" w:ascii="宋体" w:hAnsi="宋体" w:eastAsia="宋体" w:cs="宋体"/>
                <w:snapToGrid w:val="0"/>
                <w:color w:val="auto"/>
                <w:spacing w:val="-4"/>
                <w:szCs w:val="21"/>
                <w:highlight w:val="none"/>
                <w:lang w:val="en" w:eastAsia="ru-RU"/>
              </w:rPr>
              <w:t>不利于项目实施</w:t>
            </w:r>
            <w:r>
              <w:rPr>
                <w:rFonts w:hint="eastAsia" w:ascii="宋体" w:hAnsi="宋体" w:eastAsia="宋体" w:cs="宋体"/>
                <w:snapToGrid w:val="0"/>
                <w:color w:val="auto"/>
                <w:spacing w:val="-4"/>
                <w:szCs w:val="21"/>
                <w:highlight w:val="none"/>
                <w:lang w:val="en" w:eastAsia="zh-CN"/>
              </w:rPr>
              <w:t>、</w:t>
            </w:r>
            <w:r>
              <w:rPr>
                <w:rFonts w:hint="eastAsia" w:ascii="宋体" w:hAnsi="宋体" w:eastAsia="宋体" w:cs="宋体"/>
                <w:snapToGrid w:val="0"/>
                <w:color w:val="auto"/>
                <w:spacing w:val="-4"/>
                <w:szCs w:val="21"/>
                <w:highlight w:val="none"/>
                <w:lang w:val="en" w:eastAsia="ru-RU"/>
              </w:rPr>
              <w:t>不可能实现的情形</w:t>
            </w:r>
            <w:r>
              <w:rPr>
                <w:rFonts w:hint="eastAsia" w:ascii="宋体" w:hAnsi="宋体" w:eastAsia="宋体" w:cs="宋体"/>
                <w:snapToGrid w:val="0"/>
                <w:color w:val="auto"/>
                <w:spacing w:val="-4"/>
                <w:szCs w:val="21"/>
                <w:highlight w:val="none"/>
                <w:lang w:val="en" w:eastAsia="zh-CN"/>
              </w:rPr>
              <w:t>、</w:t>
            </w:r>
            <w:r>
              <w:rPr>
                <w:rFonts w:hint="eastAsia" w:ascii="宋体" w:hAnsi="宋体" w:eastAsia="宋体" w:cs="宋体"/>
                <w:snapToGrid w:val="0"/>
                <w:color w:val="auto"/>
                <w:spacing w:val="-4"/>
                <w:szCs w:val="21"/>
                <w:highlight w:val="none"/>
                <w:lang w:val="en" w:eastAsia="ru-RU"/>
              </w:rPr>
              <w:t>不满足本项目招标要求</w:t>
            </w:r>
            <w:r>
              <w:rPr>
                <w:rFonts w:hint="eastAsia" w:ascii="宋体" w:hAnsi="宋体" w:eastAsia="宋体" w:cs="宋体"/>
                <w:snapToGrid w:val="0"/>
                <w:color w:val="auto"/>
                <w:spacing w:val="-4"/>
                <w:szCs w:val="21"/>
                <w:highlight w:val="none"/>
                <w:lang w:val="en" w:eastAsia="zh-CN"/>
              </w:rPr>
              <w:t>、</w:t>
            </w:r>
            <w:r>
              <w:rPr>
                <w:rFonts w:hint="eastAsia" w:ascii="宋体" w:hAnsi="宋体" w:eastAsia="宋体" w:cs="宋体"/>
                <w:snapToGrid w:val="0"/>
                <w:color w:val="auto"/>
                <w:spacing w:val="-4"/>
                <w:szCs w:val="21"/>
                <w:highlight w:val="none"/>
                <w:lang w:val="en-US" w:eastAsia="zh-CN"/>
              </w:rPr>
              <w:t>不符合采购人实际需求</w:t>
            </w:r>
            <w:r>
              <w:rPr>
                <w:rFonts w:hint="eastAsia" w:ascii="宋体" w:hAnsi="宋体" w:eastAsia="宋体" w:cs="宋体"/>
                <w:snapToGrid w:val="0"/>
                <w:color w:val="auto"/>
                <w:spacing w:val="-4"/>
                <w:szCs w:val="21"/>
                <w:highlight w:val="none"/>
                <w:lang w:val="en" w:eastAsia="ru-RU"/>
              </w:rPr>
              <w:t>等任意一种情形</w:t>
            </w:r>
            <w:r>
              <w:rPr>
                <w:rFonts w:hint="eastAsia" w:ascii="宋体" w:hAnsi="宋体" w:cs="宋体"/>
                <w:snapToGrid w:val="0"/>
                <w:color w:val="auto"/>
                <w:spacing w:val="-4"/>
                <w:szCs w:val="21"/>
                <w:highlight w:val="none"/>
                <w:lang w:val="en" w:eastAsia="zh-CN"/>
              </w:rPr>
              <w:t>。</w:t>
            </w:r>
          </w:p>
        </w:tc>
      </w:tr>
    </w:tbl>
    <w:p w14:paraId="5E811458">
      <w:pPr>
        <w:adjustRightInd w:val="0"/>
        <w:snapToGrid w:val="0"/>
        <w:spacing w:before="156" w:beforeLines="50" w:line="360" w:lineRule="auto"/>
        <w:jc w:val="center"/>
        <w:rPr>
          <w:rFonts w:hint="eastAsia"/>
          <w:b/>
          <w:bCs/>
          <w:color w:val="auto"/>
          <w:highlight w:val="none"/>
        </w:rPr>
      </w:pPr>
    </w:p>
    <w:p w14:paraId="48256274">
      <w:pPr>
        <w:adjustRightInd w:val="0"/>
        <w:snapToGrid w:val="0"/>
        <w:spacing w:before="156" w:beforeLines="50" w:line="360" w:lineRule="auto"/>
        <w:jc w:val="both"/>
        <w:rPr>
          <w:rFonts w:hint="eastAsia"/>
          <w:b/>
          <w:bCs/>
          <w:color w:val="auto"/>
          <w:highlight w:val="none"/>
        </w:rPr>
      </w:pPr>
    </w:p>
    <w:p w14:paraId="7BBDFA78">
      <w:pPr>
        <w:adjustRightInd w:val="0"/>
        <w:snapToGrid w:val="0"/>
        <w:spacing w:before="156" w:beforeLines="50" w:line="360" w:lineRule="auto"/>
        <w:jc w:val="center"/>
        <w:rPr>
          <w:b/>
          <w:bCs/>
          <w:color w:val="auto"/>
          <w:highlight w:val="none"/>
        </w:rPr>
      </w:pPr>
      <w:r>
        <w:rPr>
          <w:rFonts w:hint="eastAsia"/>
          <w:b/>
          <w:bCs/>
          <w:color w:val="auto"/>
          <w:highlight w:val="none"/>
        </w:rPr>
        <w:t>附表1.3商务部分评审标准表</w:t>
      </w:r>
    </w:p>
    <w:tbl>
      <w:tblPr>
        <w:tblStyle w:val="29"/>
        <w:tblW w:w="8985"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3"/>
        <w:gridCol w:w="2160"/>
        <w:gridCol w:w="1545"/>
        <w:gridCol w:w="4777"/>
      </w:tblGrid>
      <w:tr w14:paraId="75DE61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3" w:type="dxa"/>
            <w:tcBorders>
              <w:right w:val="single" w:color="auto" w:sz="4" w:space="0"/>
            </w:tcBorders>
            <w:noWrap w:val="0"/>
            <w:vAlign w:val="center"/>
          </w:tcPr>
          <w:p w14:paraId="77A8EFBA">
            <w:pPr>
              <w:adjustRightInd w:val="0"/>
              <w:snapToGrid w:val="0"/>
              <w:jc w:val="center"/>
              <w:rPr>
                <w:rFonts w:ascii="宋体" w:hAnsi="宋体"/>
                <w:b/>
                <w:color w:val="auto"/>
                <w:sz w:val="18"/>
                <w:szCs w:val="18"/>
                <w:highlight w:val="none"/>
              </w:rPr>
            </w:pPr>
            <w:r>
              <w:rPr>
                <w:rFonts w:hint="eastAsia" w:ascii="宋体" w:hAnsi="宋体"/>
                <w:b/>
                <w:color w:val="auto"/>
                <w:sz w:val="18"/>
                <w:szCs w:val="18"/>
                <w:highlight w:val="none"/>
              </w:rPr>
              <w:t>序号</w:t>
            </w:r>
          </w:p>
        </w:tc>
        <w:tc>
          <w:tcPr>
            <w:tcW w:w="2160" w:type="dxa"/>
            <w:tcBorders>
              <w:left w:val="single" w:color="auto" w:sz="4" w:space="0"/>
              <w:right w:val="single" w:color="auto" w:sz="4" w:space="0"/>
            </w:tcBorders>
            <w:noWrap w:val="0"/>
            <w:vAlign w:val="center"/>
          </w:tcPr>
          <w:p w14:paraId="138834F5">
            <w:pPr>
              <w:adjustRightInd w:val="0"/>
              <w:snapToGrid w:val="0"/>
              <w:jc w:val="center"/>
              <w:rPr>
                <w:rFonts w:ascii="宋体" w:hAnsi="宋体"/>
                <w:b/>
                <w:color w:val="auto"/>
                <w:sz w:val="18"/>
                <w:szCs w:val="18"/>
                <w:highlight w:val="none"/>
              </w:rPr>
            </w:pPr>
            <w:r>
              <w:rPr>
                <w:rFonts w:hint="eastAsia" w:ascii="宋体" w:hAnsi="宋体"/>
                <w:b/>
                <w:color w:val="auto"/>
                <w:sz w:val="18"/>
                <w:szCs w:val="18"/>
                <w:highlight w:val="none"/>
              </w:rPr>
              <w:t>评标因素（分值）</w:t>
            </w:r>
          </w:p>
        </w:tc>
        <w:tc>
          <w:tcPr>
            <w:tcW w:w="6322" w:type="dxa"/>
            <w:gridSpan w:val="2"/>
            <w:tcBorders>
              <w:left w:val="single" w:color="auto" w:sz="4" w:space="0"/>
            </w:tcBorders>
            <w:noWrap w:val="0"/>
            <w:vAlign w:val="center"/>
          </w:tcPr>
          <w:p w14:paraId="60180BAD">
            <w:pPr>
              <w:adjustRightInd w:val="0"/>
              <w:snapToGrid w:val="0"/>
              <w:jc w:val="center"/>
              <w:rPr>
                <w:rFonts w:ascii="宋体" w:hAnsi="宋体"/>
                <w:b/>
                <w:color w:val="auto"/>
                <w:sz w:val="18"/>
                <w:szCs w:val="18"/>
                <w:highlight w:val="none"/>
              </w:rPr>
            </w:pPr>
            <w:r>
              <w:rPr>
                <w:rFonts w:hint="eastAsia" w:ascii="宋体" w:hAnsi="宋体"/>
                <w:b/>
                <w:color w:val="auto"/>
                <w:sz w:val="18"/>
                <w:szCs w:val="18"/>
                <w:highlight w:val="none"/>
              </w:rPr>
              <w:t>评标标准</w:t>
            </w:r>
          </w:p>
        </w:tc>
      </w:tr>
      <w:tr w14:paraId="53B24F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503" w:type="dxa"/>
            <w:vMerge w:val="restart"/>
            <w:tcBorders>
              <w:right w:val="single" w:color="auto" w:sz="4" w:space="0"/>
            </w:tcBorders>
            <w:noWrap w:val="0"/>
            <w:vAlign w:val="center"/>
          </w:tcPr>
          <w:p w14:paraId="105573F5">
            <w:pPr>
              <w:adjustRightInd w:val="0"/>
              <w:snapToGrid w:val="0"/>
              <w:spacing w:before="156" w:beforeLines="50"/>
              <w:jc w:val="center"/>
              <w:rPr>
                <w:rFonts w:ascii="宋体" w:hAnsi="宋体"/>
                <w:color w:val="auto"/>
                <w:sz w:val="18"/>
                <w:szCs w:val="18"/>
                <w:highlight w:val="none"/>
              </w:rPr>
            </w:pPr>
            <w:r>
              <w:rPr>
                <w:rFonts w:hint="eastAsia" w:ascii="宋体" w:hAnsi="宋体"/>
                <w:color w:val="auto"/>
                <w:sz w:val="18"/>
                <w:szCs w:val="18"/>
                <w:highlight w:val="none"/>
              </w:rPr>
              <w:t>1</w:t>
            </w:r>
          </w:p>
        </w:tc>
        <w:tc>
          <w:tcPr>
            <w:tcW w:w="2160" w:type="dxa"/>
            <w:vMerge w:val="restart"/>
            <w:tcBorders>
              <w:left w:val="single" w:color="auto" w:sz="4" w:space="0"/>
            </w:tcBorders>
            <w:noWrap w:val="0"/>
            <w:vAlign w:val="center"/>
          </w:tcPr>
          <w:p w14:paraId="73DEFC25">
            <w:pPr>
              <w:adjustRightInd w:val="0"/>
              <w:snapToGrid w:val="0"/>
              <w:jc w:val="center"/>
              <w:rPr>
                <w:rFonts w:ascii="宋体" w:hAnsi="宋体"/>
                <w:color w:val="auto"/>
                <w:sz w:val="18"/>
                <w:szCs w:val="18"/>
                <w:highlight w:val="none"/>
              </w:rPr>
            </w:pPr>
            <w:r>
              <w:rPr>
                <w:rFonts w:hint="eastAsia" w:ascii="宋体" w:hAnsi="宋体"/>
                <w:color w:val="auto"/>
                <w:sz w:val="18"/>
                <w:szCs w:val="18"/>
                <w:highlight w:val="none"/>
              </w:rPr>
              <w:t>商务评价项</w:t>
            </w:r>
          </w:p>
          <w:p w14:paraId="0E888468">
            <w:pPr>
              <w:adjustRightInd w:val="0"/>
              <w:snapToGrid w:val="0"/>
              <w:jc w:val="center"/>
              <w:rPr>
                <w:rFonts w:ascii="宋体" w:hAnsi="宋体"/>
                <w:color w:val="auto"/>
                <w:sz w:val="18"/>
                <w:szCs w:val="18"/>
                <w:highlight w:val="none"/>
              </w:rPr>
            </w:pPr>
            <w:r>
              <w:rPr>
                <w:rFonts w:hint="eastAsia" w:ascii="宋体" w:hAnsi="宋体"/>
                <w:color w:val="auto"/>
                <w:sz w:val="18"/>
                <w:szCs w:val="18"/>
                <w:highlight w:val="none"/>
              </w:rPr>
              <w:t>（F=100分）</w:t>
            </w:r>
          </w:p>
        </w:tc>
        <w:tc>
          <w:tcPr>
            <w:tcW w:w="1545" w:type="dxa"/>
            <w:tcBorders>
              <w:bottom w:val="single" w:color="auto" w:sz="4" w:space="0"/>
            </w:tcBorders>
            <w:noWrap w:val="0"/>
            <w:vAlign w:val="center"/>
          </w:tcPr>
          <w:p w14:paraId="5F8A643D">
            <w:pPr>
              <w:keepNext w:val="0"/>
              <w:keepLines w:val="0"/>
              <w:pageBreakBefore w:val="0"/>
              <w:widowControl w:val="0"/>
              <w:kinsoku/>
              <w:wordWrap/>
              <w:overflowPunct/>
              <w:topLinePunct w:val="0"/>
              <w:autoSpaceDE w:val="0"/>
              <w:autoSpaceDN w:val="0"/>
              <w:bidi w:val="0"/>
              <w:adjustRightInd/>
              <w:snapToGrid/>
              <w:spacing w:line="440" w:lineRule="exact"/>
              <w:jc w:val="center"/>
              <w:textAlignment w:val="auto"/>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售后服务</w:t>
            </w:r>
          </w:p>
          <w:p w14:paraId="49FB92BB">
            <w:pPr>
              <w:keepNext w:val="0"/>
              <w:keepLines w:val="0"/>
              <w:pageBreakBefore w:val="0"/>
              <w:widowControl w:val="0"/>
              <w:kinsoku/>
              <w:wordWrap/>
              <w:overflowPunct/>
              <w:topLinePunct w:val="0"/>
              <w:autoSpaceDE w:val="0"/>
              <w:autoSpaceDN w:val="0"/>
              <w:bidi w:val="0"/>
              <w:adjustRightInd/>
              <w:snapToGrid/>
              <w:spacing w:line="440" w:lineRule="exact"/>
              <w:jc w:val="center"/>
              <w:textAlignment w:val="auto"/>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（4</w:t>
            </w:r>
            <w:r>
              <w:rPr>
                <w:rFonts w:hint="eastAsia" w:ascii="宋体" w:hAnsi="宋体" w:cs="宋体"/>
                <w:color w:val="auto"/>
                <w:sz w:val="18"/>
                <w:szCs w:val="18"/>
                <w:highlight w:val="none"/>
                <w:lang w:val="en-US" w:eastAsia="zh-CN"/>
              </w:rPr>
              <w:t>5</w:t>
            </w:r>
            <w:r>
              <w:rPr>
                <w:rFonts w:hint="eastAsia" w:ascii="宋体" w:hAnsi="宋体" w:eastAsia="宋体" w:cs="宋体"/>
                <w:color w:val="auto"/>
                <w:sz w:val="18"/>
                <w:szCs w:val="18"/>
                <w:highlight w:val="none"/>
                <w:lang w:val="en-US" w:eastAsia="zh-CN"/>
              </w:rPr>
              <w:t>分）</w:t>
            </w:r>
          </w:p>
        </w:tc>
        <w:tc>
          <w:tcPr>
            <w:tcW w:w="4777" w:type="dxa"/>
            <w:tcBorders>
              <w:bottom w:val="single" w:color="auto" w:sz="4" w:space="0"/>
            </w:tcBorders>
            <w:noWrap w:val="0"/>
            <w:vAlign w:val="center"/>
          </w:tcPr>
          <w:p w14:paraId="774764F9">
            <w:pPr>
              <w:keepNext w:val="0"/>
              <w:keepLines w:val="0"/>
              <w:pageBreakBefore w:val="0"/>
              <w:widowControl w:val="0"/>
              <w:kinsoku/>
              <w:wordWrap/>
              <w:overflowPunct/>
              <w:topLinePunct w:val="0"/>
              <w:autoSpaceDE w:val="0"/>
              <w:autoSpaceDN w:val="0"/>
              <w:bidi w:val="0"/>
              <w:adjustRightInd/>
              <w:snapToGrid/>
              <w:spacing w:line="440" w:lineRule="exact"/>
              <w:jc w:val="left"/>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根据各投标单位针对本项目</w:t>
            </w:r>
            <w:r>
              <w:rPr>
                <w:rFonts w:hint="eastAsia" w:ascii="宋体" w:hAnsi="宋体" w:eastAsia="宋体" w:cs="宋体"/>
                <w:color w:val="auto"/>
                <w:sz w:val="18"/>
                <w:szCs w:val="18"/>
                <w:highlight w:val="none"/>
                <w:lang w:eastAsia="zh-CN"/>
              </w:rPr>
              <w:t>制订的售后服务方案（包括但不限于售后服务机构、服务标准、服务人员及响应时间等）进行评价，方案内容全面，条理清晰，售后响应及时，</w:t>
            </w:r>
            <w:r>
              <w:rPr>
                <w:rFonts w:hint="eastAsia" w:ascii="宋体" w:hAnsi="宋体" w:eastAsia="宋体" w:cs="宋体"/>
                <w:color w:val="auto"/>
                <w:sz w:val="18"/>
                <w:szCs w:val="18"/>
                <w:highlight w:val="none"/>
                <w:lang w:val="en-US" w:eastAsia="zh-CN"/>
              </w:rPr>
              <w:t>符合实际情况、科学合理、完善且对本项目具有针对性、可靠性和可实施性强能完全贴合满足采购人需求的计满分，方案存在缺项、不足或缺陷的每处扣</w:t>
            </w:r>
            <w:r>
              <w:rPr>
                <w:rFonts w:hint="eastAsia" w:ascii="宋体" w:hAnsi="宋体" w:cs="宋体"/>
                <w:color w:val="auto"/>
                <w:sz w:val="18"/>
                <w:szCs w:val="18"/>
                <w:highlight w:val="none"/>
                <w:lang w:val="en-US" w:eastAsia="zh-CN"/>
              </w:rPr>
              <w:t>20</w:t>
            </w:r>
            <w:r>
              <w:rPr>
                <w:rFonts w:hint="eastAsia" w:ascii="宋体" w:hAnsi="宋体" w:eastAsia="宋体" w:cs="宋体"/>
                <w:color w:val="auto"/>
                <w:sz w:val="18"/>
                <w:szCs w:val="18"/>
                <w:highlight w:val="none"/>
                <w:lang w:val="en-US" w:eastAsia="zh-CN"/>
              </w:rPr>
              <w:t>分，扣完为止。</w:t>
            </w:r>
          </w:p>
        </w:tc>
      </w:tr>
      <w:tr w14:paraId="08F05B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22" w:hRule="atLeast"/>
          <w:jc w:val="center"/>
        </w:trPr>
        <w:tc>
          <w:tcPr>
            <w:tcW w:w="503" w:type="dxa"/>
            <w:vMerge w:val="continue"/>
            <w:tcBorders>
              <w:right w:val="single" w:color="auto" w:sz="4" w:space="0"/>
            </w:tcBorders>
            <w:noWrap w:val="0"/>
            <w:vAlign w:val="center"/>
          </w:tcPr>
          <w:p w14:paraId="6C270AEC">
            <w:pPr>
              <w:adjustRightInd w:val="0"/>
              <w:snapToGrid w:val="0"/>
              <w:spacing w:before="156" w:beforeLines="50"/>
              <w:jc w:val="center"/>
              <w:rPr>
                <w:rFonts w:hint="eastAsia" w:ascii="宋体" w:hAnsi="宋体"/>
                <w:color w:val="auto"/>
                <w:sz w:val="18"/>
                <w:szCs w:val="18"/>
                <w:highlight w:val="none"/>
              </w:rPr>
            </w:pPr>
          </w:p>
        </w:tc>
        <w:tc>
          <w:tcPr>
            <w:tcW w:w="2160" w:type="dxa"/>
            <w:vMerge w:val="continue"/>
            <w:tcBorders>
              <w:left w:val="single" w:color="auto" w:sz="4" w:space="0"/>
            </w:tcBorders>
            <w:noWrap w:val="0"/>
            <w:vAlign w:val="center"/>
          </w:tcPr>
          <w:p w14:paraId="101EBB74">
            <w:pPr>
              <w:adjustRightInd w:val="0"/>
              <w:snapToGrid w:val="0"/>
              <w:jc w:val="center"/>
              <w:rPr>
                <w:rFonts w:hint="eastAsia" w:ascii="宋体" w:hAnsi="宋体"/>
                <w:color w:val="auto"/>
                <w:sz w:val="18"/>
                <w:szCs w:val="18"/>
                <w:highlight w:val="none"/>
              </w:rPr>
            </w:pPr>
          </w:p>
        </w:tc>
        <w:tc>
          <w:tcPr>
            <w:tcW w:w="1545" w:type="dxa"/>
            <w:tcBorders>
              <w:top w:val="single" w:color="auto" w:sz="4" w:space="0"/>
            </w:tcBorders>
            <w:noWrap w:val="0"/>
            <w:vAlign w:val="center"/>
          </w:tcPr>
          <w:p w14:paraId="349E271C">
            <w:pPr>
              <w:pStyle w:val="46"/>
              <w:ind w:left="0" w:leftChars="0" w:firstLine="0" w:firstLineChars="0"/>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应急处理方案</w:t>
            </w:r>
          </w:p>
          <w:p w14:paraId="10475A1E">
            <w:pPr>
              <w:pStyle w:val="46"/>
              <w:ind w:left="0" w:leftChars="0" w:firstLine="0" w:firstLineChars="0"/>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（4</w:t>
            </w:r>
            <w:r>
              <w:rPr>
                <w:rFonts w:hint="eastAsia" w:ascii="宋体" w:hAnsi="宋体" w:cs="宋体"/>
                <w:color w:val="auto"/>
                <w:kern w:val="2"/>
                <w:sz w:val="18"/>
                <w:szCs w:val="18"/>
                <w:highlight w:val="none"/>
                <w:lang w:val="en-US" w:eastAsia="zh-CN" w:bidi="ar-SA"/>
              </w:rPr>
              <w:t>5</w:t>
            </w:r>
            <w:r>
              <w:rPr>
                <w:rFonts w:hint="eastAsia" w:ascii="宋体" w:hAnsi="宋体" w:eastAsia="宋体" w:cs="宋体"/>
                <w:color w:val="auto"/>
                <w:kern w:val="2"/>
                <w:sz w:val="18"/>
                <w:szCs w:val="18"/>
                <w:highlight w:val="none"/>
                <w:lang w:val="en-US" w:eastAsia="zh-CN" w:bidi="ar-SA"/>
              </w:rPr>
              <w:t>分）</w:t>
            </w:r>
          </w:p>
        </w:tc>
        <w:tc>
          <w:tcPr>
            <w:tcW w:w="4777" w:type="dxa"/>
            <w:tcBorders>
              <w:top w:val="single" w:color="auto" w:sz="4" w:space="0"/>
            </w:tcBorders>
            <w:noWrap w:val="0"/>
            <w:vAlign w:val="center"/>
          </w:tcPr>
          <w:p w14:paraId="10254843">
            <w:pPr>
              <w:keepNext w:val="0"/>
              <w:keepLines w:val="0"/>
              <w:pageBreakBefore w:val="0"/>
              <w:widowControl w:val="0"/>
              <w:kinsoku/>
              <w:wordWrap/>
              <w:overflowPunct/>
              <w:topLinePunct w:val="0"/>
              <w:autoSpaceDE w:val="0"/>
              <w:autoSpaceDN w:val="0"/>
              <w:bidi w:val="0"/>
              <w:adjustRightInd/>
              <w:snapToGrid/>
              <w:spacing w:line="440" w:lineRule="exact"/>
              <w:jc w:val="left"/>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val="en-US" w:eastAsia="zh-CN"/>
              </w:rPr>
              <w:t>根据投标人针对本项目采购人试剂使用需求的突发事件应急处理方案进行评价，方案符合实际情况、科学合理、完善且对本项目具有针对性、可靠性和可实施性强能完全贴合满足采购人需求的计满分，方案存在缺项、不足或缺陷的每处扣</w:t>
            </w:r>
            <w:r>
              <w:rPr>
                <w:rFonts w:hint="eastAsia" w:ascii="宋体" w:hAnsi="宋体" w:cs="宋体"/>
                <w:color w:val="auto"/>
                <w:sz w:val="18"/>
                <w:szCs w:val="18"/>
                <w:highlight w:val="none"/>
                <w:lang w:val="en-US" w:eastAsia="zh-CN"/>
              </w:rPr>
              <w:t>20</w:t>
            </w:r>
            <w:r>
              <w:rPr>
                <w:rFonts w:hint="eastAsia" w:ascii="宋体" w:hAnsi="宋体" w:eastAsia="宋体" w:cs="宋体"/>
                <w:color w:val="auto"/>
                <w:sz w:val="18"/>
                <w:szCs w:val="18"/>
                <w:highlight w:val="none"/>
                <w:lang w:val="en-US" w:eastAsia="zh-CN"/>
              </w:rPr>
              <w:t>分，扣完为止。</w:t>
            </w:r>
          </w:p>
        </w:tc>
      </w:tr>
      <w:tr w14:paraId="7AB540D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45" w:hRule="atLeast"/>
          <w:jc w:val="center"/>
        </w:trPr>
        <w:tc>
          <w:tcPr>
            <w:tcW w:w="503" w:type="dxa"/>
            <w:vMerge w:val="continue"/>
            <w:tcBorders>
              <w:right w:val="single" w:color="auto" w:sz="4" w:space="0"/>
            </w:tcBorders>
            <w:noWrap w:val="0"/>
            <w:vAlign w:val="center"/>
          </w:tcPr>
          <w:p w14:paraId="3BFB0A8D">
            <w:pPr>
              <w:adjustRightInd w:val="0"/>
              <w:snapToGrid w:val="0"/>
              <w:spacing w:before="156" w:beforeLines="50"/>
              <w:jc w:val="center"/>
              <w:rPr>
                <w:rFonts w:ascii="宋体" w:hAnsi="宋体"/>
                <w:color w:val="auto"/>
                <w:sz w:val="18"/>
                <w:szCs w:val="18"/>
                <w:highlight w:val="none"/>
              </w:rPr>
            </w:pPr>
          </w:p>
        </w:tc>
        <w:tc>
          <w:tcPr>
            <w:tcW w:w="2160" w:type="dxa"/>
            <w:vMerge w:val="continue"/>
            <w:tcBorders>
              <w:left w:val="single" w:color="auto" w:sz="4" w:space="0"/>
            </w:tcBorders>
            <w:noWrap w:val="0"/>
            <w:vAlign w:val="center"/>
          </w:tcPr>
          <w:p w14:paraId="12BD86A9">
            <w:pPr>
              <w:adjustRightInd w:val="0"/>
              <w:snapToGrid w:val="0"/>
              <w:spacing w:before="156" w:beforeLines="50"/>
              <w:jc w:val="center"/>
              <w:rPr>
                <w:rFonts w:ascii="宋体" w:hAnsi="宋体"/>
                <w:color w:val="auto"/>
                <w:sz w:val="18"/>
                <w:szCs w:val="18"/>
                <w:highlight w:val="none"/>
              </w:rPr>
            </w:pPr>
          </w:p>
        </w:tc>
        <w:tc>
          <w:tcPr>
            <w:tcW w:w="1545" w:type="dxa"/>
            <w:noWrap w:val="0"/>
            <w:vAlign w:val="center"/>
          </w:tcPr>
          <w:p w14:paraId="52F3237E">
            <w:pPr>
              <w:keepNext w:val="0"/>
              <w:keepLines w:val="0"/>
              <w:pageBreakBefore w:val="0"/>
              <w:widowControl w:val="0"/>
              <w:kinsoku/>
              <w:wordWrap/>
              <w:overflowPunct/>
              <w:topLinePunct w:val="0"/>
              <w:autoSpaceDE w:val="0"/>
              <w:autoSpaceDN w:val="0"/>
              <w:bidi w:val="0"/>
              <w:adjustRightInd/>
              <w:snapToGrid/>
              <w:spacing w:line="440" w:lineRule="exact"/>
              <w:jc w:val="center"/>
              <w:textAlignment w:val="auto"/>
              <w:rPr>
                <w:rFonts w:hint="eastAsia" w:ascii="宋体" w:hAnsi="宋体" w:eastAsia="宋体" w:cs="宋体"/>
                <w:color w:val="auto"/>
                <w:kern w:val="2"/>
                <w:sz w:val="18"/>
                <w:szCs w:val="18"/>
                <w:highlight w:val="none"/>
                <w:lang w:val="zh-CN" w:eastAsia="zh-CN" w:bidi="ar-SA"/>
              </w:rPr>
            </w:pPr>
            <w:r>
              <w:rPr>
                <w:rFonts w:hint="eastAsia" w:ascii="宋体" w:hAnsi="宋体" w:eastAsia="宋体" w:cs="宋体"/>
                <w:color w:val="auto"/>
                <w:kern w:val="2"/>
                <w:sz w:val="18"/>
                <w:szCs w:val="18"/>
                <w:highlight w:val="none"/>
                <w:lang w:val="zh-CN" w:eastAsia="zh-CN" w:bidi="ar-SA"/>
              </w:rPr>
              <w:t>业绩</w:t>
            </w:r>
          </w:p>
          <w:p w14:paraId="4CEE5BF7">
            <w:pPr>
              <w:keepNext w:val="0"/>
              <w:keepLines w:val="0"/>
              <w:pageBreakBefore w:val="0"/>
              <w:widowControl w:val="0"/>
              <w:kinsoku/>
              <w:wordWrap/>
              <w:overflowPunct/>
              <w:topLinePunct w:val="0"/>
              <w:autoSpaceDE w:val="0"/>
              <w:autoSpaceDN w:val="0"/>
              <w:bidi w:val="0"/>
              <w:adjustRightInd/>
              <w:snapToGrid/>
              <w:spacing w:line="440" w:lineRule="exact"/>
              <w:jc w:val="center"/>
              <w:textAlignment w:val="auto"/>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w:t>
            </w:r>
            <w:r>
              <w:rPr>
                <w:rFonts w:hint="eastAsia" w:ascii="宋体" w:hAnsi="宋体" w:cs="宋体"/>
                <w:color w:val="auto"/>
                <w:kern w:val="2"/>
                <w:sz w:val="18"/>
                <w:szCs w:val="18"/>
                <w:highlight w:val="none"/>
                <w:lang w:val="en-US" w:eastAsia="zh-CN" w:bidi="ar-SA"/>
              </w:rPr>
              <w:t>1</w:t>
            </w:r>
            <w:r>
              <w:rPr>
                <w:rFonts w:hint="eastAsia" w:ascii="宋体" w:hAnsi="宋体" w:eastAsia="宋体" w:cs="宋体"/>
                <w:color w:val="auto"/>
                <w:kern w:val="2"/>
                <w:sz w:val="18"/>
                <w:szCs w:val="18"/>
                <w:highlight w:val="none"/>
                <w:lang w:val="en-US" w:eastAsia="zh-CN" w:bidi="ar-SA"/>
              </w:rPr>
              <w:t>0分）</w:t>
            </w:r>
          </w:p>
        </w:tc>
        <w:tc>
          <w:tcPr>
            <w:tcW w:w="4777" w:type="dxa"/>
            <w:noWrap w:val="0"/>
            <w:vAlign w:val="center"/>
          </w:tcPr>
          <w:p w14:paraId="232F4E5D">
            <w:pPr>
              <w:keepNext w:val="0"/>
              <w:keepLines w:val="0"/>
              <w:pageBreakBefore w:val="0"/>
              <w:widowControl w:val="0"/>
              <w:kinsoku/>
              <w:wordWrap/>
              <w:overflowPunct/>
              <w:topLinePunct w:val="0"/>
              <w:autoSpaceDE w:val="0"/>
              <w:autoSpaceDN w:val="0"/>
              <w:bidi w:val="0"/>
              <w:adjustRightInd/>
              <w:snapToGrid/>
              <w:spacing w:line="440" w:lineRule="exact"/>
              <w:jc w:val="left"/>
              <w:textAlignment w:val="auto"/>
              <w:rPr>
                <w:rFonts w:hint="eastAsia" w:ascii="宋体" w:hAnsi="宋体" w:eastAsia="宋体" w:cs="宋体"/>
                <w:color w:val="auto"/>
                <w:sz w:val="18"/>
                <w:szCs w:val="18"/>
                <w:highlight w:val="none"/>
              </w:rPr>
            </w:pPr>
            <w:r>
              <w:rPr>
                <w:rFonts w:hint="eastAsia" w:ascii="宋体" w:hAnsi="宋体" w:cs="宋体"/>
                <w:color w:val="auto"/>
                <w:sz w:val="18"/>
                <w:szCs w:val="18"/>
                <w:highlight w:val="none"/>
                <w:lang w:val="en-US" w:eastAsia="zh-CN"/>
              </w:rPr>
              <w:t>根据投标人或所投核心产品制造商</w:t>
            </w:r>
            <w:r>
              <w:rPr>
                <w:rFonts w:hint="eastAsia" w:ascii="宋体" w:hAnsi="宋体" w:eastAsia="宋体" w:cs="宋体"/>
                <w:color w:val="auto"/>
                <w:sz w:val="18"/>
                <w:szCs w:val="18"/>
                <w:highlight w:val="none"/>
                <w:lang w:val="en-US" w:eastAsia="zh-CN"/>
              </w:rPr>
              <w:t>提供</w:t>
            </w:r>
            <w:r>
              <w:rPr>
                <w:rFonts w:hint="eastAsia" w:ascii="宋体" w:hAnsi="宋体" w:cs="宋体"/>
                <w:color w:val="auto"/>
                <w:sz w:val="18"/>
                <w:szCs w:val="18"/>
                <w:highlight w:val="none"/>
                <w:lang w:val="en-US" w:eastAsia="zh-CN"/>
              </w:rPr>
              <w:t>的</w:t>
            </w:r>
            <w:r>
              <w:rPr>
                <w:rFonts w:hint="eastAsia" w:ascii="宋体" w:hAnsi="宋体" w:eastAsia="宋体" w:cs="宋体"/>
                <w:color w:val="auto"/>
                <w:sz w:val="18"/>
                <w:szCs w:val="18"/>
                <w:highlight w:val="none"/>
                <w:lang w:val="en-US" w:eastAsia="zh-CN"/>
              </w:rPr>
              <w:t>自2023年01月01日签订的</w:t>
            </w:r>
            <w:r>
              <w:rPr>
                <w:rFonts w:hint="eastAsia" w:ascii="宋体" w:hAnsi="宋体" w:cs="宋体"/>
                <w:color w:val="auto"/>
                <w:sz w:val="18"/>
                <w:szCs w:val="18"/>
                <w:highlight w:val="none"/>
                <w:lang w:val="en-US" w:eastAsia="zh-CN"/>
              </w:rPr>
              <w:t>所投核心产品销售</w:t>
            </w:r>
            <w:r>
              <w:rPr>
                <w:rFonts w:hint="eastAsia" w:ascii="宋体" w:hAnsi="宋体" w:eastAsia="宋体" w:cs="宋体"/>
                <w:color w:val="auto"/>
                <w:sz w:val="18"/>
                <w:szCs w:val="18"/>
                <w:highlight w:val="none"/>
                <w:lang w:val="en-US" w:eastAsia="zh-CN"/>
              </w:rPr>
              <w:t>业绩情况（以合同签订时间为准），每提供一个计</w:t>
            </w:r>
            <w:r>
              <w:rPr>
                <w:rFonts w:hint="eastAsia" w:ascii="宋体" w:hAnsi="宋体" w:cs="宋体"/>
                <w:color w:val="auto"/>
                <w:sz w:val="18"/>
                <w:szCs w:val="18"/>
                <w:highlight w:val="none"/>
                <w:lang w:val="en-US" w:eastAsia="zh-CN"/>
              </w:rPr>
              <w:t>5</w:t>
            </w:r>
            <w:r>
              <w:rPr>
                <w:rFonts w:hint="eastAsia" w:ascii="宋体" w:hAnsi="宋体" w:eastAsia="宋体" w:cs="宋体"/>
                <w:color w:val="auto"/>
                <w:sz w:val="18"/>
                <w:szCs w:val="18"/>
                <w:highlight w:val="none"/>
                <w:lang w:val="en-US" w:eastAsia="zh-CN"/>
              </w:rPr>
              <w:t>分，满分</w:t>
            </w:r>
            <w:r>
              <w:rPr>
                <w:rFonts w:hint="eastAsia" w:ascii="宋体" w:hAnsi="宋体" w:cs="宋体"/>
                <w:color w:val="auto"/>
                <w:sz w:val="18"/>
                <w:szCs w:val="18"/>
                <w:highlight w:val="none"/>
                <w:lang w:val="en-US" w:eastAsia="zh-CN"/>
              </w:rPr>
              <w:t>10</w:t>
            </w:r>
            <w:r>
              <w:rPr>
                <w:rFonts w:hint="eastAsia" w:ascii="宋体" w:hAnsi="宋体" w:eastAsia="宋体" w:cs="宋体"/>
                <w:color w:val="auto"/>
                <w:sz w:val="18"/>
                <w:szCs w:val="18"/>
                <w:highlight w:val="none"/>
                <w:lang w:val="en-US" w:eastAsia="zh-CN"/>
              </w:rPr>
              <w:t>分，未提供不计分。（注：提供业绩合同或中标通知书复印件并加盖投标单位公章，否则不计分。）</w:t>
            </w:r>
          </w:p>
        </w:tc>
      </w:tr>
      <w:tr w14:paraId="061728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0" w:hRule="atLeast"/>
          <w:jc w:val="center"/>
        </w:trPr>
        <w:tc>
          <w:tcPr>
            <w:tcW w:w="503" w:type="dxa"/>
            <w:tcBorders>
              <w:right w:val="single" w:color="auto" w:sz="4" w:space="0"/>
            </w:tcBorders>
            <w:noWrap w:val="0"/>
            <w:vAlign w:val="center"/>
          </w:tcPr>
          <w:p w14:paraId="4F8C6CD5">
            <w:pPr>
              <w:adjustRightInd w:val="0"/>
              <w:snapToGrid w:val="0"/>
              <w:spacing w:before="156" w:beforeLines="50"/>
              <w:jc w:val="center"/>
              <w:rPr>
                <w:rFonts w:ascii="宋体" w:hAnsi="宋体"/>
                <w:color w:val="auto"/>
                <w:sz w:val="18"/>
                <w:szCs w:val="18"/>
                <w:highlight w:val="none"/>
              </w:rPr>
            </w:pPr>
            <w:r>
              <w:rPr>
                <w:rFonts w:hint="eastAsia" w:ascii="宋体" w:hAnsi="宋体"/>
                <w:color w:val="auto"/>
                <w:sz w:val="18"/>
                <w:szCs w:val="18"/>
                <w:highlight w:val="none"/>
              </w:rPr>
              <w:t>2</w:t>
            </w:r>
          </w:p>
        </w:tc>
        <w:tc>
          <w:tcPr>
            <w:tcW w:w="2160" w:type="dxa"/>
            <w:tcBorders>
              <w:left w:val="single" w:color="auto" w:sz="4" w:space="0"/>
            </w:tcBorders>
            <w:noWrap w:val="0"/>
            <w:vAlign w:val="center"/>
          </w:tcPr>
          <w:p w14:paraId="628EC427">
            <w:pPr>
              <w:adjustRightInd w:val="0"/>
              <w:snapToGrid w:val="0"/>
              <w:jc w:val="center"/>
              <w:rPr>
                <w:rFonts w:ascii="宋体" w:hAnsi="宋体"/>
                <w:color w:val="auto"/>
                <w:sz w:val="18"/>
                <w:szCs w:val="18"/>
                <w:highlight w:val="none"/>
              </w:rPr>
            </w:pPr>
            <w:r>
              <w:rPr>
                <w:rFonts w:hint="eastAsia" w:ascii="宋体" w:hAnsi="宋体"/>
                <w:color w:val="auto"/>
                <w:sz w:val="18"/>
                <w:szCs w:val="18"/>
                <w:highlight w:val="none"/>
              </w:rPr>
              <w:t>优先采购加分（F</w:t>
            </w:r>
            <w:r>
              <w:rPr>
                <w:rFonts w:hint="eastAsia" w:ascii="宋体" w:hAnsi="宋体"/>
                <w:color w:val="auto"/>
                <w:sz w:val="18"/>
                <w:szCs w:val="18"/>
                <w:highlight w:val="none"/>
                <w:vertAlign w:val="subscript"/>
              </w:rPr>
              <w:t>优先采购加分</w:t>
            </w:r>
            <w:r>
              <w:rPr>
                <w:rFonts w:hint="eastAsia" w:ascii="宋体" w:hAnsi="宋体"/>
                <w:color w:val="auto"/>
                <w:sz w:val="18"/>
                <w:szCs w:val="18"/>
                <w:highlight w:val="none"/>
              </w:rPr>
              <w:t>）</w:t>
            </w:r>
          </w:p>
        </w:tc>
        <w:tc>
          <w:tcPr>
            <w:tcW w:w="6322" w:type="dxa"/>
            <w:gridSpan w:val="2"/>
            <w:tcBorders>
              <w:bottom w:val="single" w:color="auto" w:sz="4" w:space="0"/>
            </w:tcBorders>
            <w:noWrap w:val="0"/>
            <w:vAlign w:val="center"/>
          </w:tcPr>
          <w:p w14:paraId="4D75FE70">
            <w:pPr>
              <w:autoSpaceDE w:val="0"/>
              <w:autoSpaceDN w:val="0"/>
              <w:jc w:val="left"/>
              <w:rPr>
                <w:rFonts w:hint="eastAsia" w:ascii="宋体" w:hAnsi="宋体" w:eastAsia="宋体" w:cs="宋体"/>
                <w:b w:val="0"/>
                <w:bCs w:val="0"/>
                <w:color w:val="auto"/>
                <w:position w:val="-10"/>
                <w:sz w:val="21"/>
                <w:szCs w:val="21"/>
                <w:highlight w:val="none"/>
                <w:lang w:val="zh-CN" w:bidi="zh-CN"/>
              </w:rPr>
            </w:pPr>
            <w:r>
              <w:rPr>
                <w:rFonts w:hint="eastAsia" w:ascii="宋体" w:hAnsi="宋体" w:eastAsia="宋体" w:cs="宋体"/>
                <w:b w:val="0"/>
                <w:bCs w:val="0"/>
                <w:color w:val="auto"/>
                <w:sz w:val="21"/>
                <w:szCs w:val="21"/>
                <w:highlight w:val="none"/>
                <w:u w:val="single"/>
              </w:rPr>
              <w:t>所投节能、环境标志、两型产品的价格</w:t>
            </w:r>
            <w:r>
              <w:rPr>
                <w:rFonts w:hint="eastAsia" w:ascii="宋体" w:hAnsi="宋体" w:eastAsia="宋体" w:cs="宋体"/>
                <w:b w:val="0"/>
                <w:bCs w:val="0"/>
                <w:color w:val="auto"/>
                <w:sz w:val="21"/>
                <w:szCs w:val="21"/>
                <w:highlight w:val="none"/>
                <w:lang w:val="zh-CN"/>
              </w:rPr>
              <w:t>×100×本项目加分比例</w:t>
            </w:r>
          </w:p>
          <w:p w14:paraId="408A52BE">
            <w:pPr>
              <w:adjustRightInd w:val="0"/>
              <w:snapToGrid w:val="0"/>
              <w:spacing w:before="156" w:beforeLines="50"/>
              <w:rPr>
                <w:rFonts w:ascii="宋体" w:hAnsi="宋体"/>
                <w:color w:val="auto"/>
                <w:sz w:val="18"/>
                <w:szCs w:val="18"/>
                <w:highlight w:val="none"/>
              </w:rPr>
            </w:pPr>
            <w:r>
              <w:rPr>
                <w:rFonts w:hint="eastAsia" w:ascii="宋体" w:hAnsi="宋体" w:eastAsia="宋体" w:cs="宋体"/>
                <w:b w:val="0"/>
                <w:bCs w:val="0"/>
                <w:color w:val="auto"/>
                <w:sz w:val="21"/>
                <w:szCs w:val="21"/>
                <w:highlight w:val="none"/>
              </w:rPr>
              <w:t>投标总价格</w:t>
            </w:r>
          </w:p>
        </w:tc>
      </w:tr>
      <w:tr w14:paraId="0ED5CBF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0" w:hRule="atLeast"/>
          <w:jc w:val="center"/>
        </w:trPr>
        <w:tc>
          <w:tcPr>
            <w:tcW w:w="503" w:type="dxa"/>
            <w:tcBorders>
              <w:right w:val="single" w:color="auto" w:sz="4" w:space="0"/>
            </w:tcBorders>
            <w:noWrap w:val="0"/>
            <w:vAlign w:val="center"/>
          </w:tcPr>
          <w:p w14:paraId="341605BD">
            <w:pPr>
              <w:adjustRightInd w:val="0"/>
              <w:snapToGrid w:val="0"/>
              <w:jc w:val="center"/>
              <w:rPr>
                <w:rFonts w:ascii="宋体" w:hAnsi="宋体"/>
                <w:color w:val="auto"/>
                <w:sz w:val="18"/>
                <w:szCs w:val="18"/>
                <w:highlight w:val="none"/>
              </w:rPr>
            </w:pPr>
            <w:r>
              <w:rPr>
                <w:rFonts w:hint="eastAsia" w:ascii="宋体" w:hAnsi="宋体"/>
                <w:color w:val="auto"/>
                <w:sz w:val="18"/>
                <w:szCs w:val="18"/>
                <w:highlight w:val="none"/>
              </w:rPr>
              <w:t>∑</w:t>
            </w:r>
          </w:p>
        </w:tc>
        <w:tc>
          <w:tcPr>
            <w:tcW w:w="8482" w:type="dxa"/>
            <w:gridSpan w:val="3"/>
            <w:tcBorders>
              <w:left w:val="single" w:color="auto" w:sz="4" w:space="0"/>
            </w:tcBorders>
            <w:noWrap w:val="0"/>
            <w:vAlign w:val="center"/>
          </w:tcPr>
          <w:p w14:paraId="26B13C37">
            <w:pPr>
              <w:adjustRightInd w:val="0"/>
              <w:snapToGrid w:val="0"/>
              <w:rPr>
                <w:rFonts w:ascii="宋体" w:hAnsi="宋体"/>
                <w:color w:val="auto"/>
                <w:sz w:val="18"/>
                <w:szCs w:val="18"/>
                <w:highlight w:val="none"/>
              </w:rPr>
            </w:pPr>
            <w:r>
              <w:rPr>
                <w:rFonts w:hint="eastAsia" w:ascii="宋体" w:hAnsi="宋体"/>
                <w:color w:val="auto"/>
                <w:sz w:val="18"/>
                <w:szCs w:val="18"/>
                <w:highlight w:val="none"/>
              </w:rPr>
              <w:t>F</w:t>
            </w:r>
            <w:r>
              <w:rPr>
                <w:rFonts w:hint="eastAsia" w:ascii="宋体" w:hAnsi="宋体"/>
                <w:color w:val="auto"/>
                <w:sz w:val="18"/>
                <w:szCs w:val="18"/>
                <w:highlight w:val="none"/>
                <w:vertAlign w:val="subscript"/>
              </w:rPr>
              <w:t>3</w:t>
            </w:r>
            <w:r>
              <w:rPr>
                <w:rFonts w:hint="eastAsia" w:ascii="宋体" w:hAnsi="宋体"/>
                <w:color w:val="auto"/>
                <w:sz w:val="18"/>
                <w:szCs w:val="18"/>
                <w:highlight w:val="none"/>
              </w:rPr>
              <w:t>=F+</w:t>
            </w:r>
            <w:r>
              <w:rPr>
                <w:rFonts w:hint="eastAsia"/>
                <w:color w:val="auto"/>
                <w:sz w:val="18"/>
                <w:szCs w:val="18"/>
                <w:highlight w:val="none"/>
              </w:rPr>
              <w:t xml:space="preserve"> </w:t>
            </w:r>
            <w:r>
              <w:rPr>
                <w:rFonts w:hint="eastAsia" w:ascii="宋体" w:hAnsi="宋体"/>
                <w:color w:val="auto"/>
                <w:sz w:val="18"/>
                <w:szCs w:val="18"/>
                <w:highlight w:val="none"/>
              </w:rPr>
              <w:t>F</w:t>
            </w:r>
            <w:r>
              <w:rPr>
                <w:rFonts w:hint="eastAsia" w:ascii="宋体" w:hAnsi="宋体"/>
                <w:color w:val="auto"/>
                <w:sz w:val="18"/>
                <w:szCs w:val="18"/>
                <w:highlight w:val="none"/>
                <w:vertAlign w:val="subscript"/>
              </w:rPr>
              <w:t>优先采购加分</w:t>
            </w:r>
          </w:p>
        </w:tc>
      </w:tr>
      <w:tr w14:paraId="33A4BF4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0" w:hRule="atLeast"/>
          <w:jc w:val="center"/>
        </w:trPr>
        <w:tc>
          <w:tcPr>
            <w:tcW w:w="503" w:type="dxa"/>
            <w:tcBorders>
              <w:right w:val="single" w:color="auto" w:sz="4" w:space="0"/>
            </w:tcBorders>
            <w:noWrap w:val="0"/>
            <w:vAlign w:val="center"/>
          </w:tcPr>
          <w:p w14:paraId="61B11F11">
            <w:pPr>
              <w:adjustRightInd w:val="0"/>
              <w:snapToGrid w:val="0"/>
              <w:jc w:val="center"/>
              <w:rPr>
                <w:rFonts w:hint="eastAsia" w:ascii="宋体" w:hAnsi="宋体"/>
                <w:color w:val="auto"/>
                <w:sz w:val="18"/>
                <w:szCs w:val="18"/>
                <w:highlight w:val="none"/>
              </w:rPr>
            </w:pPr>
          </w:p>
        </w:tc>
        <w:tc>
          <w:tcPr>
            <w:tcW w:w="8482" w:type="dxa"/>
            <w:gridSpan w:val="3"/>
            <w:tcBorders>
              <w:left w:val="single" w:color="auto" w:sz="4" w:space="0"/>
            </w:tcBorders>
            <w:noWrap w:val="0"/>
            <w:vAlign w:val="center"/>
          </w:tcPr>
          <w:p w14:paraId="2180E900">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color w:val="auto"/>
                <w:sz w:val="18"/>
                <w:szCs w:val="18"/>
                <w:highlight w:val="none"/>
              </w:rPr>
            </w:pPr>
            <w:r>
              <w:rPr>
                <w:rFonts w:hint="eastAsia" w:ascii="宋体" w:hAnsi="宋体" w:eastAsia="宋体" w:cs="宋体"/>
                <w:snapToGrid w:val="0"/>
                <w:color w:val="auto"/>
                <w:spacing w:val="-4"/>
                <w:szCs w:val="21"/>
                <w:highlight w:val="none"/>
                <w:lang w:val="en" w:eastAsia="ru-RU"/>
              </w:rPr>
              <w:t>缺陷是指：</w:t>
            </w:r>
            <w:r>
              <w:rPr>
                <w:rFonts w:hint="eastAsia" w:ascii="宋体" w:hAnsi="宋体" w:eastAsia="宋体" w:cs="宋体"/>
                <w:snapToGrid w:val="0"/>
                <w:color w:val="auto"/>
                <w:spacing w:val="-4"/>
                <w:szCs w:val="21"/>
                <w:highlight w:val="none"/>
                <w:lang w:val="en-US" w:eastAsia="zh-CN"/>
              </w:rPr>
              <w:t>方案针对性不强、存在不足、不够详细、影响项目实施的、不适应实际情况的、</w:t>
            </w:r>
            <w:r>
              <w:rPr>
                <w:rFonts w:hint="eastAsia" w:ascii="宋体" w:hAnsi="宋体" w:eastAsia="宋体" w:cs="宋体"/>
                <w:snapToGrid w:val="0"/>
                <w:color w:val="auto"/>
                <w:spacing w:val="-4"/>
                <w:szCs w:val="21"/>
                <w:highlight w:val="none"/>
                <w:lang w:val="en" w:eastAsia="ru-RU"/>
              </w:rPr>
              <w:t>非专门针对本项目</w:t>
            </w:r>
            <w:r>
              <w:rPr>
                <w:rFonts w:hint="eastAsia" w:ascii="宋体" w:hAnsi="宋体" w:eastAsia="宋体" w:cs="宋体"/>
                <w:snapToGrid w:val="0"/>
                <w:color w:val="auto"/>
                <w:spacing w:val="-4"/>
                <w:szCs w:val="21"/>
                <w:highlight w:val="none"/>
                <w:lang w:val="en" w:eastAsia="zh-CN"/>
              </w:rPr>
              <w:t>、</w:t>
            </w:r>
            <w:r>
              <w:rPr>
                <w:rFonts w:hint="eastAsia" w:ascii="宋体" w:hAnsi="宋体" w:eastAsia="宋体" w:cs="宋体"/>
                <w:snapToGrid w:val="0"/>
                <w:color w:val="auto"/>
                <w:spacing w:val="-4"/>
                <w:szCs w:val="21"/>
                <w:highlight w:val="none"/>
                <w:lang w:val="en" w:eastAsia="ru-RU"/>
              </w:rPr>
              <w:t>不适用项目特性的情形</w:t>
            </w:r>
            <w:r>
              <w:rPr>
                <w:rFonts w:hint="eastAsia" w:ascii="宋体" w:hAnsi="宋体" w:eastAsia="宋体" w:cs="宋体"/>
                <w:snapToGrid w:val="0"/>
                <w:color w:val="auto"/>
                <w:spacing w:val="-4"/>
                <w:szCs w:val="21"/>
                <w:highlight w:val="none"/>
                <w:lang w:val="en" w:eastAsia="zh-CN"/>
              </w:rPr>
              <w:t>、</w:t>
            </w:r>
            <w:r>
              <w:rPr>
                <w:rFonts w:hint="eastAsia" w:ascii="宋体" w:hAnsi="宋体" w:eastAsia="宋体" w:cs="宋体"/>
                <w:snapToGrid w:val="0"/>
                <w:color w:val="auto"/>
                <w:spacing w:val="-4"/>
                <w:szCs w:val="21"/>
                <w:highlight w:val="none"/>
                <w:lang w:val="en" w:eastAsia="ru-RU"/>
              </w:rPr>
              <w:t>内容不完整</w:t>
            </w:r>
            <w:r>
              <w:rPr>
                <w:rFonts w:hint="eastAsia" w:ascii="宋体" w:hAnsi="宋体" w:eastAsia="宋体" w:cs="宋体"/>
                <w:snapToGrid w:val="0"/>
                <w:color w:val="auto"/>
                <w:spacing w:val="-4"/>
                <w:szCs w:val="21"/>
                <w:highlight w:val="none"/>
                <w:lang w:val="en" w:eastAsia="zh-CN"/>
              </w:rPr>
              <w:t>、</w:t>
            </w:r>
            <w:r>
              <w:rPr>
                <w:rFonts w:hint="eastAsia" w:ascii="宋体" w:hAnsi="宋体" w:eastAsia="宋体" w:cs="宋体"/>
                <w:snapToGrid w:val="0"/>
                <w:color w:val="auto"/>
                <w:spacing w:val="-4"/>
                <w:szCs w:val="21"/>
                <w:highlight w:val="none"/>
                <w:lang w:val="en" w:eastAsia="ru-RU"/>
              </w:rPr>
              <w:t>缺少关键节点</w:t>
            </w:r>
            <w:r>
              <w:rPr>
                <w:rFonts w:hint="eastAsia" w:ascii="宋体" w:hAnsi="宋体" w:eastAsia="宋体" w:cs="宋体"/>
                <w:snapToGrid w:val="0"/>
                <w:color w:val="auto"/>
                <w:spacing w:val="-4"/>
                <w:szCs w:val="21"/>
                <w:highlight w:val="none"/>
                <w:lang w:val="en" w:eastAsia="zh-CN"/>
              </w:rPr>
              <w:t>、</w:t>
            </w:r>
            <w:r>
              <w:rPr>
                <w:rFonts w:hint="eastAsia" w:ascii="宋体" w:hAnsi="宋体" w:eastAsia="宋体" w:cs="宋体"/>
                <w:snapToGrid w:val="0"/>
                <w:color w:val="auto"/>
                <w:spacing w:val="-4"/>
                <w:szCs w:val="21"/>
                <w:highlight w:val="none"/>
                <w:lang w:val="en" w:eastAsia="ru-RU"/>
              </w:rPr>
              <w:t>套用其他项目方案</w:t>
            </w:r>
            <w:r>
              <w:rPr>
                <w:rFonts w:hint="eastAsia" w:ascii="宋体" w:hAnsi="宋体" w:eastAsia="宋体" w:cs="宋体"/>
                <w:snapToGrid w:val="0"/>
                <w:color w:val="auto"/>
                <w:spacing w:val="-4"/>
                <w:szCs w:val="21"/>
                <w:highlight w:val="none"/>
                <w:lang w:val="en" w:eastAsia="zh-CN"/>
              </w:rPr>
              <w:t>、</w:t>
            </w:r>
            <w:r>
              <w:rPr>
                <w:rFonts w:hint="eastAsia" w:ascii="宋体" w:hAnsi="宋体" w:eastAsia="宋体" w:cs="宋体"/>
                <w:snapToGrid w:val="0"/>
                <w:color w:val="auto"/>
                <w:spacing w:val="-4"/>
                <w:szCs w:val="21"/>
                <w:highlight w:val="none"/>
                <w:lang w:val="en" w:eastAsia="ru-RU"/>
              </w:rPr>
              <w:t>内容前后矛盾</w:t>
            </w:r>
            <w:r>
              <w:rPr>
                <w:rFonts w:hint="eastAsia" w:ascii="宋体" w:hAnsi="宋体" w:eastAsia="宋体" w:cs="宋体"/>
                <w:snapToGrid w:val="0"/>
                <w:color w:val="auto"/>
                <w:spacing w:val="-4"/>
                <w:szCs w:val="21"/>
                <w:highlight w:val="none"/>
                <w:lang w:val="en" w:eastAsia="zh-CN"/>
              </w:rPr>
              <w:t>、</w:t>
            </w:r>
            <w:r>
              <w:rPr>
                <w:rFonts w:hint="eastAsia" w:ascii="宋体" w:hAnsi="宋体" w:eastAsia="宋体" w:cs="宋体"/>
                <w:snapToGrid w:val="0"/>
                <w:color w:val="auto"/>
                <w:spacing w:val="-4"/>
                <w:szCs w:val="21"/>
                <w:highlight w:val="none"/>
                <w:lang w:val="en" w:eastAsia="ru-RU"/>
              </w:rPr>
              <w:t>涉及的规范及标准错误</w:t>
            </w:r>
            <w:r>
              <w:rPr>
                <w:rFonts w:hint="eastAsia" w:ascii="宋体" w:hAnsi="宋体" w:eastAsia="宋体" w:cs="宋体"/>
                <w:snapToGrid w:val="0"/>
                <w:color w:val="auto"/>
                <w:spacing w:val="-4"/>
                <w:szCs w:val="21"/>
                <w:highlight w:val="none"/>
                <w:lang w:val="en" w:eastAsia="zh-CN"/>
              </w:rPr>
              <w:t>、</w:t>
            </w:r>
            <w:r>
              <w:rPr>
                <w:rFonts w:hint="eastAsia" w:ascii="宋体" w:hAnsi="宋体" w:eastAsia="宋体" w:cs="宋体"/>
                <w:snapToGrid w:val="0"/>
                <w:color w:val="auto"/>
                <w:spacing w:val="-4"/>
                <w:szCs w:val="21"/>
                <w:highlight w:val="none"/>
                <w:lang w:val="en" w:eastAsia="ru-RU"/>
              </w:rPr>
              <w:t>不利于项目实施</w:t>
            </w:r>
            <w:r>
              <w:rPr>
                <w:rFonts w:hint="eastAsia" w:ascii="宋体" w:hAnsi="宋体" w:eastAsia="宋体" w:cs="宋体"/>
                <w:snapToGrid w:val="0"/>
                <w:color w:val="auto"/>
                <w:spacing w:val="-4"/>
                <w:szCs w:val="21"/>
                <w:highlight w:val="none"/>
                <w:lang w:val="en" w:eastAsia="zh-CN"/>
              </w:rPr>
              <w:t>、</w:t>
            </w:r>
            <w:r>
              <w:rPr>
                <w:rFonts w:hint="eastAsia" w:ascii="宋体" w:hAnsi="宋体" w:eastAsia="宋体" w:cs="宋体"/>
                <w:snapToGrid w:val="0"/>
                <w:color w:val="auto"/>
                <w:spacing w:val="-4"/>
                <w:szCs w:val="21"/>
                <w:highlight w:val="none"/>
                <w:lang w:val="en" w:eastAsia="ru-RU"/>
              </w:rPr>
              <w:t>不可能实现的情形</w:t>
            </w:r>
            <w:r>
              <w:rPr>
                <w:rFonts w:hint="eastAsia" w:ascii="宋体" w:hAnsi="宋体" w:eastAsia="宋体" w:cs="宋体"/>
                <w:snapToGrid w:val="0"/>
                <w:color w:val="auto"/>
                <w:spacing w:val="-4"/>
                <w:szCs w:val="21"/>
                <w:highlight w:val="none"/>
                <w:lang w:val="en" w:eastAsia="zh-CN"/>
              </w:rPr>
              <w:t>、</w:t>
            </w:r>
            <w:r>
              <w:rPr>
                <w:rFonts w:hint="eastAsia" w:ascii="宋体" w:hAnsi="宋体" w:eastAsia="宋体" w:cs="宋体"/>
                <w:snapToGrid w:val="0"/>
                <w:color w:val="auto"/>
                <w:spacing w:val="-4"/>
                <w:szCs w:val="21"/>
                <w:highlight w:val="none"/>
                <w:lang w:val="en" w:eastAsia="ru-RU"/>
              </w:rPr>
              <w:t>不满足本项目招标要求</w:t>
            </w:r>
            <w:r>
              <w:rPr>
                <w:rFonts w:hint="eastAsia" w:ascii="宋体" w:hAnsi="宋体" w:eastAsia="宋体" w:cs="宋体"/>
                <w:snapToGrid w:val="0"/>
                <w:color w:val="auto"/>
                <w:spacing w:val="-4"/>
                <w:szCs w:val="21"/>
                <w:highlight w:val="none"/>
                <w:lang w:val="en" w:eastAsia="zh-CN"/>
              </w:rPr>
              <w:t>、</w:t>
            </w:r>
            <w:r>
              <w:rPr>
                <w:rFonts w:hint="eastAsia" w:ascii="宋体" w:hAnsi="宋体" w:eastAsia="宋体" w:cs="宋体"/>
                <w:snapToGrid w:val="0"/>
                <w:color w:val="auto"/>
                <w:spacing w:val="-4"/>
                <w:szCs w:val="21"/>
                <w:highlight w:val="none"/>
                <w:lang w:val="en-US" w:eastAsia="zh-CN"/>
              </w:rPr>
              <w:t>不符合采购人实际需求</w:t>
            </w:r>
            <w:r>
              <w:rPr>
                <w:rFonts w:hint="eastAsia" w:ascii="宋体" w:hAnsi="宋体" w:eastAsia="宋体" w:cs="宋体"/>
                <w:snapToGrid w:val="0"/>
                <w:color w:val="auto"/>
                <w:spacing w:val="-4"/>
                <w:szCs w:val="21"/>
                <w:highlight w:val="none"/>
                <w:lang w:val="en" w:eastAsia="ru-RU"/>
              </w:rPr>
              <w:t>等任意一种情形</w:t>
            </w:r>
            <w:r>
              <w:rPr>
                <w:rFonts w:hint="eastAsia" w:ascii="宋体" w:hAnsi="宋体" w:eastAsia="宋体" w:cs="宋体"/>
                <w:snapToGrid w:val="0"/>
                <w:color w:val="auto"/>
                <w:spacing w:val="-4"/>
                <w:szCs w:val="21"/>
                <w:highlight w:val="none"/>
                <w:lang w:val="en" w:eastAsia="zh-CN"/>
              </w:rPr>
              <w:t>。</w:t>
            </w:r>
          </w:p>
        </w:tc>
      </w:tr>
    </w:tbl>
    <w:p w14:paraId="1C677084">
      <w:pPr>
        <w:pStyle w:val="48"/>
        <w:widowControl/>
        <w:ind w:firstLine="422"/>
        <w:rPr>
          <w:rStyle w:val="49"/>
          <w:b/>
          <w:bCs/>
          <w:color w:val="auto"/>
          <w:szCs w:val="21"/>
          <w:highlight w:val="none"/>
        </w:rPr>
      </w:pPr>
    </w:p>
    <w:p w14:paraId="11BBB0C7">
      <w:pPr>
        <w:adjustRightInd w:val="0"/>
        <w:snapToGrid w:val="0"/>
        <w:spacing w:before="156" w:beforeLines="50" w:line="360" w:lineRule="auto"/>
        <w:ind w:firstLine="402" w:firstLineChars="200"/>
        <w:jc w:val="left"/>
        <w:rPr>
          <w:rFonts w:ascii="宋体" w:hAnsi="宋体"/>
          <w:bCs/>
          <w:color w:val="auto"/>
          <w:w w:val="90"/>
          <w:sz w:val="32"/>
          <w:szCs w:val="32"/>
          <w:highlight w:val="none"/>
        </w:rPr>
      </w:pPr>
      <w:r>
        <w:rPr>
          <w:rStyle w:val="49"/>
          <w:rFonts w:ascii="宋体" w:hAnsi="宋体"/>
          <w:b/>
          <w:bCs/>
          <w:color w:val="auto"/>
          <w:sz w:val="20"/>
          <w:szCs w:val="20"/>
          <w:highlight w:val="none"/>
        </w:rPr>
        <w:t>说明：以上评分办法及标准适用于本项目所有包。</w:t>
      </w:r>
    </w:p>
    <w:p w14:paraId="60DB59AC">
      <w:pPr>
        <w:widowControl/>
        <w:jc w:val="left"/>
        <w:rPr>
          <w:rFonts w:ascii="黑体" w:hAnsi="华文中宋" w:eastAsia="黑体"/>
          <w:b/>
          <w:bCs/>
          <w:color w:val="auto"/>
          <w:sz w:val="10"/>
          <w:szCs w:val="10"/>
          <w:highlight w:val="none"/>
        </w:rPr>
      </w:pPr>
      <w:r>
        <w:rPr>
          <w:rFonts w:ascii="黑体" w:hAnsi="华文中宋" w:eastAsia="黑体"/>
          <w:color w:val="auto"/>
          <w:sz w:val="32"/>
          <w:szCs w:val="32"/>
          <w:highlight w:val="none"/>
        </w:rPr>
        <w:br w:type="page"/>
      </w:r>
    </w:p>
    <w:p w14:paraId="3D193B69">
      <w:pPr>
        <w:pStyle w:val="9"/>
        <w:keepNext w:val="0"/>
        <w:adjustRightInd w:val="0"/>
        <w:snapToGrid w:val="0"/>
        <w:spacing w:before="156" w:beforeLines="50" w:line="360" w:lineRule="auto"/>
        <w:rPr>
          <w:rFonts w:ascii="黑体" w:hAnsi="华文中宋" w:eastAsia="黑体"/>
          <w:color w:val="auto"/>
          <w:sz w:val="32"/>
          <w:szCs w:val="32"/>
          <w:highlight w:val="none"/>
        </w:rPr>
      </w:pPr>
      <w:bookmarkStart w:id="62" w:name="_Toc12574"/>
      <w:r>
        <w:rPr>
          <w:rFonts w:hint="eastAsia" w:ascii="黑体" w:hAnsi="华文中宋" w:eastAsia="黑体"/>
          <w:color w:val="auto"/>
          <w:sz w:val="32"/>
          <w:szCs w:val="32"/>
          <w:highlight w:val="none"/>
        </w:rPr>
        <w:t>第五章 采购需求</w:t>
      </w:r>
      <w:bookmarkEnd w:id="62"/>
    </w:p>
    <w:p w14:paraId="25AB828B">
      <w:pPr>
        <w:pStyle w:val="10"/>
        <w:adjustRightInd w:val="0"/>
        <w:snapToGrid w:val="0"/>
        <w:spacing w:before="156" w:beforeLines="50"/>
        <w:jc w:val="center"/>
        <w:rPr>
          <w:rFonts w:ascii="黑体" w:hAnsi="黑体" w:eastAsia="黑体"/>
          <w:color w:val="auto"/>
          <w:sz w:val="28"/>
          <w:szCs w:val="28"/>
          <w:highlight w:val="none"/>
        </w:rPr>
      </w:pPr>
      <w:bookmarkStart w:id="63" w:name="_Toc27822"/>
      <w:r>
        <w:rPr>
          <w:rFonts w:hint="eastAsia" w:ascii="黑体" w:hAnsi="黑体" w:eastAsia="黑体"/>
          <w:color w:val="auto"/>
          <w:sz w:val="28"/>
          <w:szCs w:val="28"/>
          <w:highlight w:val="none"/>
        </w:rPr>
        <w:t>第一节 采购清单一览表</w:t>
      </w:r>
      <w:bookmarkEnd w:id="63"/>
    </w:p>
    <w:tbl>
      <w:tblPr>
        <w:tblStyle w:val="29"/>
        <w:tblW w:w="9177"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76"/>
        <w:gridCol w:w="2071"/>
        <w:gridCol w:w="2016"/>
        <w:gridCol w:w="1668"/>
        <w:gridCol w:w="730"/>
        <w:gridCol w:w="927"/>
        <w:gridCol w:w="989"/>
      </w:tblGrid>
      <w:tr w14:paraId="216B3B1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44" w:hRule="atLeast"/>
        </w:trPr>
        <w:tc>
          <w:tcPr>
            <w:tcW w:w="776" w:type="dxa"/>
            <w:vAlign w:val="center"/>
          </w:tcPr>
          <w:p w14:paraId="799178A6">
            <w:pPr>
              <w:adjustRightInd w:val="0"/>
              <w:snapToGrid w:val="0"/>
              <w:jc w:val="center"/>
              <w:rPr>
                <w:color w:val="auto"/>
                <w:szCs w:val="21"/>
                <w:highlight w:val="none"/>
              </w:rPr>
            </w:pPr>
            <w:r>
              <w:rPr>
                <w:rFonts w:hint="eastAsia"/>
                <w:color w:val="auto"/>
                <w:szCs w:val="21"/>
                <w:highlight w:val="none"/>
              </w:rPr>
              <w:t xml:space="preserve">包号 </w:t>
            </w:r>
          </w:p>
        </w:tc>
        <w:tc>
          <w:tcPr>
            <w:tcW w:w="2071" w:type="dxa"/>
            <w:vAlign w:val="center"/>
          </w:tcPr>
          <w:p w14:paraId="72267F36">
            <w:pPr>
              <w:adjustRightInd w:val="0"/>
              <w:snapToGrid w:val="0"/>
              <w:jc w:val="center"/>
              <w:rPr>
                <w:color w:val="auto"/>
                <w:szCs w:val="21"/>
                <w:highlight w:val="none"/>
              </w:rPr>
            </w:pPr>
            <w:r>
              <w:rPr>
                <w:rFonts w:hint="eastAsia"/>
                <w:color w:val="auto"/>
                <w:szCs w:val="21"/>
                <w:highlight w:val="none"/>
              </w:rPr>
              <w:t>包名称</w:t>
            </w:r>
          </w:p>
        </w:tc>
        <w:tc>
          <w:tcPr>
            <w:tcW w:w="2016" w:type="dxa"/>
            <w:vAlign w:val="center"/>
          </w:tcPr>
          <w:p w14:paraId="757EBDC4">
            <w:pPr>
              <w:adjustRightInd w:val="0"/>
              <w:snapToGrid w:val="0"/>
              <w:jc w:val="center"/>
              <w:rPr>
                <w:color w:val="auto"/>
                <w:szCs w:val="21"/>
                <w:highlight w:val="none"/>
              </w:rPr>
            </w:pPr>
            <w:r>
              <w:rPr>
                <w:rFonts w:hint="eastAsia"/>
                <w:color w:val="auto"/>
                <w:szCs w:val="21"/>
                <w:highlight w:val="none"/>
              </w:rPr>
              <w:t>标的名称</w:t>
            </w:r>
          </w:p>
        </w:tc>
        <w:tc>
          <w:tcPr>
            <w:tcW w:w="1668" w:type="dxa"/>
            <w:tcBorders>
              <w:left w:val="single" w:color="auto" w:sz="4" w:space="0"/>
            </w:tcBorders>
            <w:vAlign w:val="center"/>
          </w:tcPr>
          <w:p w14:paraId="1C1152A8">
            <w:pPr>
              <w:adjustRightInd w:val="0"/>
              <w:snapToGrid w:val="0"/>
              <w:jc w:val="center"/>
              <w:rPr>
                <w:color w:val="auto"/>
                <w:szCs w:val="21"/>
                <w:highlight w:val="none"/>
              </w:rPr>
            </w:pPr>
            <w:r>
              <w:rPr>
                <w:rFonts w:hint="eastAsia"/>
                <w:color w:val="auto"/>
                <w:szCs w:val="21"/>
                <w:highlight w:val="none"/>
              </w:rPr>
              <w:t>简要技术要求</w:t>
            </w:r>
          </w:p>
        </w:tc>
        <w:tc>
          <w:tcPr>
            <w:tcW w:w="730" w:type="dxa"/>
            <w:tcBorders>
              <w:left w:val="single" w:color="auto" w:sz="4" w:space="0"/>
            </w:tcBorders>
            <w:vAlign w:val="center"/>
          </w:tcPr>
          <w:p w14:paraId="3B8D7BA7">
            <w:pPr>
              <w:adjustRightInd w:val="0"/>
              <w:snapToGrid w:val="0"/>
              <w:jc w:val="center"/>
              <w:rPr>
                <w:rFonts w:ascii="宋体" w:hAnsi="宋体" w:cs="宋体"/>
                <w:color w:val="auto"/>
                <w:kern w:val="0"/>
                <w:szCs w:val="21"/>
                <w:highlight w:val="none"/>
              </w:rPr>
            </w:pPr>
            <w:r>
              <w:rPr>
                <w:rFonts w:hint="eastAsia"/>
                <w:color w:val="auto"/>
                <w:szCs w:val="21"/>
                <w:highlight w:val="none"/>
              </w:rPr>
              <w:t>数量</w:t>
            </w:r>
          </w:p>
        </w:tc>
        <w:tc>
          <w:tcPr>
            <w:tcW w:w="927" w:type="dxa"/>
            <w:vAlign w:val="center"/>
          </w:tcPr>
          <w:p w14:paraId="0AB7B2B4">
            <w:pPr>
              <w:adjustRightInd w:val="0"/>
              <w:snapToGrid w:val="0"/>
              <w:jc w:val="center"/>
              <w:rPr>
                <w:color w:val="auto"/>
                <w:szCs w:val="21"/>
                <w:highlight w:val="none"/>
              </w:rPr>
            </w:pPr>
            <w:r>
              <w:rPr>
                <w:rFonts w:hint="eastAsia"/>
                <w:color w:val="auto"/>
                <w:szCs w:val="21"/>
                <w:highlight w:val="none"/>
              </w:rPr>
              <w:t>节能</w:t>
            </w:r>
          </w:p>
          <w:p w14:paraId="662BF407">
            <w:pPr>
              <w:adjustRightInd w:val="0"/>
              <w:snapToGrid w:val="0"/>
              <w:jc w:val="center"/>
              <w:rPr>
                <w:color w:val="auto"/>
                <w:szCs w:val="21"/>
                <w:highlight w:val="none"/>
              </w:rPr>
            </w:pPr>
            <w:r>
              <w:rPr>
                <w:rFonts w:hint="eastAsia"/>
                <w:color w:val="auto"/>
                <w:szCs w:val="21"/>
                <w:highlight w:val="none"/>
              </w:rPr>
              <w:t>产品</w:t>
            </w:r>
          </w:p>
        </w:tc>
        <w:tc>
          <w:tcPr>
            <w:tcW w:w="989" w:type="dxa"/>
            <w:vAlign w:val="center"/>
          </w:tcPr>
          <w:p w14:paraId="563454AA">
            <w:pPr>
              <w:adjustRightInd w:val="0"/>
              <w:snapToGrid w:val="0"/>
              <w:jc w:val="center"/>
              <w:rPr>
                <w:color w:val="auto"/>
                <w:szCs w:val="21"/>
                <w:highlight w:val="none"/>
              </w:rPr>
            </w:pPr>
            <w:r>
              <w:rPr>
                <w:rFonts w:hint="eastAsia"/>
                <w:color w:val="auto"/>
                <w:szCs w:val="21"/>
                <w:highlight w:val="none"/>
              </w:rPr>
              <w:t>进口</w:t>
            </w:r>
          </w:p>
          <w:p w14:paraId="4B0216CE">
            <w:pPr>
              <w:adjustRightInd w:val="0"/>
              <w:snapToGrid w:val="0"/>
              <w:jc w:val="center"/>
              <w:rPr>
                <w:color w:val="auto"/>
                <w:szCs w:val="21"/>
                <w:highlight w:val="none"/>
              </w:rPr>
            </w:pPr>
            <w:r>
              <w:rPr>
                <w:rFonts w:hint="eastAsia"/>
                <w:color w:val="auto"/>
                <w:szCs w:val="21"/>
                <w:highlight w:val="none"/>
              </w:rPr>
              <w:t>产品</w:t>
            </w:r>
          </w:p>
        </w:tc>
      </w:tr>
      <w:tr w14:paraId="51F358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88" w:hRule="atLeast"/>
        </w:trPr>
        <w:tc>
          <w:tcPr>
            <w:tcW w:w="776" w:type="dxa"/>
            <w:vAlign w:val="center"/>
          </w:tcPr>
          <w:p w14:paraId="6D86AD9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szCs w:val="21"/>
                <w:highlight w:val="none"/>
              </w:rPr>
            </w:pPr>
            <w:r>
              <w:rPr>
                <w:rFonts w:hint="eastAsia"/>
                <w:color w:val="auto"/>
                <w:szCs w:val="21"/>
                <w:highlight w:val="none"/>
              </w:rPr>
              <w:t>1</w:t>
            </w:r>
          </w:p>
        </w:tc>
        <w:tc>
          <w:tcPr>
            <w:tcW w:w="2071" w:type="dxa"/>
            <w:vAlign w:val="center"/>
          </w:tcPr>
          <w:p w14:paraId="1D945263">
            <w:pPr>
              <w:adjustRightInd w:val="0"/>
              <w:snapToGrid w:val="0"/>
              <w:spacing w:before="156" w:beforeLines="50"/>
              <w:jc w:val="center"/>
              <w:rPr>
                <w:rFonts w:hint="eastAsia" w:ascii="Times New Roman" w:hAnsi="Times New Roman" w:eastAsia="宋体" w:cs="Times New Roman"/>
                <w:color w:val="auto"/>
                <w:szCs w:val="21"/>
                <w:highlight w:val="none"/>
              </w:rPr>
            </w:pPr>
            <w:r>
              <w:rPr>
                <w:rFonts w:hint="eastAsia"/>
                <w:color w:val="auto"/>
                <w:szCs w:val="21"/>
                <w:highlight w:val="none"/>
                <w:lang w:val="en-US" w:eastAsia="zh-CN"/>
              </w:rPr>
              <w:t>测序检测相关仪器设备</w:t>
            </w:r>
          </w:p>
        </w:tc>
        <w:tc>
          <w:tcPr>
            <w:tcW w:w="2016" w:type="dxa"/>
            <w:vAlign w:val="center"/>
          </w:tcPr>
          <w:p w14:paraId="78CFD1C7">
            <w:pPr>
              <w:adjustRightInd w:val="0"/>
              <w:snapToGrid w:val="0"/>
              <w:spacing w:before="156" w:beforeLines="50"/>
              <w:jc w:val="center"/>
              <w:rPr>
                <w:rFonts w:hint="eastAsia" w:ascii="Times New Roman" w:hAnsi="Times New Roman" w:eastAsia="宋体" w:cs="Times New Roman"/>
                <w:color w:val="auto"/>
                <w:szCs w:val="21"/>
                <w:highlight w:val="none"/>
              </w:rPr>
            </w:pPr>
            <w:r>
              <w:rPr>
                <w:rFonts w:hint="eastAsia"/>
                <w:color w:val="auto"/>
                <w:szCs w:val="21"/>
                <w:highlight w:val="none"/>
                <w:lang w:val="en-US" w:eastAsia="zh-CN"/>
              </w:rPr>
              <w:t>测序检测相关仪器设备</w:t>
            </w:r>
          </w:p>
        </w:tc>
        <w:tc>
          <w:tcPr>
            <w:tcW w:w="1668" w:type="dxa"/>
            <w:tcBorders>
              <w:left w:val="single" w:color="auto" w:sz="4" w:space="0"/>
            </w:tcBorders>
            <w:vAlign w:val="center"/>
          </w:tcPr>
          <w:p w14:paraId="7A40C466">
            <w:pPr>
              <w:adjustRightInd w:val="0"/>
              <w:snapToGrid w:val="0"/>
              <w:spacing w:before="156" w:beforeLines="50"/>
              <w:jc w:val="center"/>
              <w:rPr>
                <w:color w:val="auto"/>
                <w:szCs w:val="21"/>
                <w:highlight w:val="none"/>
              </w:rPr>
            </w:pPr>
            <w:r>
              <w:rPr>
                <w:rFonts w:hint="eastAsia"/>
                <w:color w:val="auto"/>
                <w:szCs w:val="21"/>
                <w:highlight w:val="none"/>
              </w:rPr>
              <w:t>详见采购需求</w:t>
            </w:r>
          </w:p>
        </w:tc>
        <w:tc>
          <w:tcPr>
            <w:tcW w:w="730" w:type="dxa"/>
            <w:tcBorders>
              <w:left w:val="single" w:color="auto" w:sz="4" w:space="0"/>
            </w:tcBorders>
            <w:vAlign w:val="center"/>
          </w:tcPr>
          <w:p w14:paraId="466BF735">
            <w:pPr>
              <w:adjustRightInd w:val="0"/>
              <w:snapToGrid w:val="0"/>
              <w:spacing w:before="156" w:beforeLines="50"/>
              <w:jc w:val="center"/>
              <w:rPr>
                <w:rFonts w:hint="eastAsia" w:eastAsia="宋体"/>
                <w:color w:val="auto"/>
                <w:szCs w:val="21"/>
                <w:highlight w:val="none"/>
                <w:lang w:val="en-US" w:eastAsia="zh-CN"/>
              </w:rPr>
            </w:pPr>
            <w:r>
              <w:rPr>
                <w:rFonts w:hint="eastAsia"/>
                <w:color w:val="auto"/>
                <w:szCs w:val="21"/>
                <w:highlight w:val="none"/>
              </w:rPr>
              <w:t>1</w:t>
            </w:r>
            <w:r>
              <w:rPr>
                <w:rFonts w:hint="eastAsia"/>
                <w:color w:val="auto"/>
                <w:szCs w:val="21"/>
                <w:highlight w:val="none"/>
                <w:lang w:val="en-US" w:eastAsia="zh-CN"/>
              </w:rPr>
              <w:t>批</w:t>
            </w:r>
          </w:p>
        </w:tc>
        <w:tc>
          <w:tcPr>
            <w:tcW w:w="927" w:type="dxa"/>
            <w:vAlign w:val="center"/>
          </w:tcPr>
          <w:p w14:paraId="269B99B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szCs w:val="21"/>
                <w:highlight w:val="none"/>
              </w:rPr>
            </w:pPr>
            <w:r>
              <w:rPr>
                <w:rFonts w:hint="eastAsia" w:ascii="宋体" w:hAnsi="宋体"/>
                <w:iCs/>
                <w:color w:val="auto"/>
                <w:szCs w:val="21"/>
                <w:highlight w:val="none"/>
              </w:rPr>
              <w:sym w:font="Wingdings" w:char="00A8"/>
            </w:r>
          </w:p>
        </w:tc>
        <w:tc>
          <w:tcPr>
            <w:tcW w:w="989" w:type="dxa"/>
            <w:vAlign w:val="center"/>
          </w:tcPr>
          <w:p w14:paraId="30AAEE9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szCs w:val="21"/>
                <w:highlight w:val="none"/>
              </w:rPr>
            </w:pPr>
            <w:r>
              <w:rPr>
                <w:rFonts w:hint="eastAsia" w:ascii="宋体" w:hAnsi="宋体"/>
                <w:iCs/>
                <w:color w:val="auto"/>
                <w:szCs w:val="21"/>
                <w:highlight w:val="none"/>
              </w:rPr>
              <w:sym w:font="Wingdings" w:char="00A8"/>
            </w:r>
          </w:p>
        </w:tc>
      </w:tr>
      <w:tr w14:paraId="7736AA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88" w:hRule="atLeast"/>
        </w:trPr>
        <w:tc>
          <w:tcPr>
            <w:tcW w:w="776" w:type="dxa"/>
            <w:vAlign w:val="center"/>
          </w:tcPr>
          <w:p w14:paraId="21ECA74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szCs w:val="21"/>
                <w:highlight w:val="none"/>
              </w:rPr>
            </w:pPr>
            <w:r>
              <w:rPr>
                <w:rFonts w:hint="eastAsia"/>
                <w:color w:val="auto"/>
                <w:szCs w:val="21"/>
                <w:highlight w:val="none"/>
              </w:rPr>
              <w:t>2</w:t>
            </w:r>
          </w:p>
        </w:tc>
        <w:tc>
          <w:tcPr>
            <w:tcW w:w="2071" w:type="dxa"/>
            <w:vAlign w:val="center"/>
          </w:tcPr>
          <w:p w14:paraId="08500864">
            <w:pPr>
              <w:adjustRightInd w:val="0"/>
              <w:snapToGrid w:val="0"/>
              <w:spacing w:before="156" w:beforeLines="50"/>
              <w:jc w:val="center"/>
              <w:rPr>
                <w:rFonts w:hint="eastAsia" w:ascii="Times New Roman" w:hAnsi="Times New Roman" w:eastAsia="宋体" w:cs="Times New Roman"/>
                <w:color w:val="auto"/>
                <w:szCs w:val="21"/>
                <w:highlight w:val="none"/>
                <w:lang w:eastAsia="zh-CN"/>
              </w:rPr>
            </w:pPr>
            <w:r>
              <w:rPr>
                <w:rFonts w:hint="eastAsia"/>
                <w:color w:val="auto"/>
                <w:szCs w:val="21"/>
                <w:highlight w:val="none"/>
                <w:lang w:val="en-US" w:eastAsia="zh-CN"/>
              </w:rPr>
              <w:t>传染病检测相关仪器设备</w:t>
            </w:r>
          </w:p>
        </w:tc>
        <w:tc>
          <w:tcPr>
            <w:tcW w:w="2016" w:type="dxa"/>
            <w:vAlign w:val="center"/>
          </w:tcPr>
          <w:p w14:paraId="20383F64">
            <w:pPr>
              <w:adjustRightInd w:val="0"/>
              <w:snapToGrid w:val="0"/>
              <w:spacing w:before="156" w:beforeLines="50"/>
              <w:jc w:val="center"/>
              <w:rPr>
                <w:rFonts w:hint="eastAsia" w:ascii="Times New Roman" w:hAnsi="Times New Roman" w:eastAsia="宋体" w:cs="Times New Roman"/>
                <w:color w:val="auto"/>
                <w:szCs w:val="21"/>
                <w:highlight w:val="none"/>
                <w:lang w:eastAsia="zh-CN"/>
              </w:rPr>
            </w:pPr>
            <w:r>
              <w:rPr>
                <w:rFonts w:hint="eastAsia"/>
                <w:color w:val="auto"/>
                <w:szCs w:val="21"/>
                <w:highlight w:val="none"/>
                <w:lang w:val="en-US" w:eastAsia="zh-CN"/>
              </w:rPr>
              <w:t>传染病检测相关仪器设备</w:t>
            </w:r>
          </w:p>
        </w:tc>
        <w:tc>
          <w:tcPr>
            <w:tcW w:w="1668" w:type="dxa"/>
            <w:tcBorders>
              <w:left w:val="single" w:color="auto" w:sz="4" w:space="0"/>
            </w:tcBorders>
            <w:vAlign w:val="center"/>
          </w:tcPr>
          <w:p w14:paraId="30F2A8EE">
            <w:pPr>
              <w:adjustRightInd w:val="0"/>
              <w:snapToGrid w:val="0"/>
              <w:spacing w:before="156" w:beforeLines="50"/>
              <w:jc w:val="center"/>
              <w:rPr>
                <w:color w:val="auto"/>
                <w:szCs w:val="21"/>
                <w:highlight w:val="none"/>
              </w:rPr>
            </w:pPr>
            <w:r>
              <w:rPr>
                <w:rFonts w:hint="eastAsia"/>
                <w:color w:val="auto"/>
                <w:szCs w:val="21"/>
                <w:highlight w:val="none"/>
              </w:rPr>
              <w:t>详见采购需求</w:t>
            </w:r>
          </w:p>
        </w:tc>
        <w:tc>
          <w:tcPr>
            <w:tcW w:w="730" w:type="dxa"/>
            <w:tcBorders>
              <w:left w:val="single" w:color="auto" w:sz="4" w:space="0"/>
            </w:tcBorders>
            <w:vAlign w:val="center"/>
          </w:tcPr>
          <w:p w14:paraId="1A452987">
            <w:pPr>
              <w:adjustRightInd w:val="0"/>
              <w:snapToGrid w:val="0"/>
              <w:spacing w:before="156" w:beforeLines="50"/>
              <w:jc w:val="center"/>
              <w:rPr>
                <w:rFonts w:hint="eastAsia" w:eastAsia="宋体"/>
                <w:color w:val="auto"/>
                <w:szCs w:val="21"/>
                <w:highlight w:val="none"/>
                <w:lang w:val="en-US" w:eastAsia="zh-CN"/>
              </w:rPr>
            </w:pPr>
            <w:r>
              <w:rPr>
                <w:rFonts w:hint="eastAsia"/>
                <w:color w:val="auto"/>
                <w:szCs w:val="21"/>
                <w:highlight w:val="none"/>
              </w:rPr>
              <w:t>1</w:t>
            </w:r>
            <w:r>
              <w:rPr>
                <w:rFonts w:hint="eastAsia"/>
                <w:color w:val="auto"/>
                <w:szCs w:val="21"/>
                <w:highlight w:val="none"/>
                <w:lang w:val="en-US" w:eastAsia="zh-CN"/>
              </w:rPr>
              <w:t>批</w:t>
            </w:r>
          </w:p>
        </w:tc>
        <w:tc>
          <w:tcPr>
            <w:tcW w:w="927" w:type="dxa"/>
            <w:vAlign w:val="center"/>
          </w:tcPr>
          <w:p w14:paraId="2865535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szCs w:val="21"/>
                <w:highlight w:val="none"/>
              </w:rPr>
            </w:pPr>
            <w:r>
              <w:rPr>
                <w:rFonts w:hint="eastAsia" w:ascii="宋体" w:hAnsi="宋体"/>
                <w:iCs/>
                <w:color w:val="auto"/>
                <w:szCs w:val="21"/>
                <w:highlight w:val="none"/>
              </w:rPr>
              <w:sym w:font="Wingdings" w:char="00A8"/>
            </w:r>
          </w:p>
        </w:tc>
        <w:tc>
          <w:tcPr>
            <w:tcW w:w="989" w:type="dxa"/>
            <w:vAlign w:val="center"/>
          </w:tcPr>
          <w:p w14:paraId="356EE73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szCs w:val="21"/>
                <w:highlight w:val="none"/>
              </w:rPr>
            </w:pPr>
            <w:r>
              <w:rPr>
                <w:rFonts w:hint="eastAsia" w:ascii="宋体" w:hAnsi="宋体"/>
                <w:iCs/>
                <w:color w:val="auto"/>
                <w:szCs w:val="21"/>
                <w:highlight w:val="none"/>
              </w:rPr>
              <w:sym w:font="Wingdings" w:char="00A8"/>
            </w:r>
          </w:p>
        </w:tc>
      </w:tr>
    </w:tbl>
    <w:p w14:paraId="6400733B">
      <w:pPr>
        <w:adjustRightInd w:val="0"/>
        <w:snapToGrid w:val="0"/>
        <w:spacing w:before="156" w:beforeLines="50" w:line="360" w:lineRule="auto"/>
        <w:rPr>
          <w:rFonts w:ascii="宋体" w:hAnsi="宋体"/>
          <w:color w:val="auto"/>
          <w:szCs w:val="21"/>
          <w:highlight w:val="none"/>
        </w:rPr>
      </w:pPr>
      <w:r>
        <w:rPr>
          <w:rFonts w:hint="eastAsia" w:ascii="宋体" w:hAnsi="宋体"/>
          <w:color w:val="auto"/>
          <w:szCs w:val="21"/>
          <w:highlight w:val="none"/>
        </w:rPr>
        <w:t>注：1.“包”为最小合同单位（最小投标单位）。每“包”内容应细化到具体标的。</w:t>
      </w:r>
    </w:p>
    <w:p w14:paraId="4771B967">
      <w:pPr>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2.投标人必须对一个完整、独立的包进行投标，不得仅对一个包中的部分标的投标，否则</w:t>
      </w:r>
      <w:r>
        <w:rPr>
          <w:rFonts w:hint="eastAsia" w:ascii="宋体" w:hAnsi="宋体"/>
          <w:b/>
          <w:color w:val="auto"/>
          <w:szCs w:val="21"/>
          <w:highlight w:val="none"/>
        </w:rPr>
        <w:t>投标无效。</w:t>
      </w:r>
    </w:p>
    <w:p w14:paraId="7E05BE05">
      <w:pPr>
        <w:adjustRightInd w:val="0"/>
        <w:snapToGrid w:val="0"/>
        <w:spacing w:before="156" w:beforeLines="50" w:line="360" w:lineRule="auto"/>
        <w:ind w:firstLine="420" w:firstLineChars="200"/>
        <w:rPr>
          <w:rFonts w:ascii="宋体" w:hAnsi="宋体" w:cs="宋体"/>
          <w:color w:val="auto"/>
          <w:kern w:val="0"/>
          <w:szCs w:val="21"/>
          <w:highlight w:val="none"/>
        </w:rPr>
      </w:pPr>
      <w:r>
        <w:rPr>
          <w:rFonts w:hint="eastAsia" w:ascii="宋体" w:hAnsi="宋体"/>
          <w:color w:val="auto"/>
          <w:szCs w:val="21"/>
          <w:highlight w:val="none"/>
        </w:rPr>
        <w:t>3.货物的主要技术参数或规格：</w:t>
      </w:r>
      <w:r>
        <w:rPr>
          <w:rFonts w:ascii="宋体" w:hAnsi="宋体" w:cs="宋体"/>
          <w:color w:val="auto"/>
          <w:kern w:val="0"/>
          <w:szCs w:val="21"/>
          <w:highlight w:val="none"/>
        </w:rPr>
        <w:t>详见“技术要求”中的具体技术参数</w:t>
      </w:r>
      <w:r>
        <w:rPr>
          <w:rFonts w:hint="eastAsia" w:ascii="宋体" w:hAnsi="宋体" w:cs="宋体"/>
          <w:color w:val="auto"/>
          <w:kern w:val="0"/>
          <w:szCs w:val="21"/>
          <w:highlight w:val="none"/>
        </w:rPr>
        <w:t>。</w:t>
      </w:r>
    </w:p>
    <w:p w14:paraId="46319816">
      <w:pPr>
        <w:adjustRightInd w:val="0"/>
        <w:snapToGrid w:val="0"/>
        <w:spacing w:before="156" w:beforeLines="50" w:line="360" w:lineRule="auto"/>
        <w:ind w:firstLine="420" w:firstLineChars="200"/>
        <w:rPr>
          <w:rFonts w:ascii="宋体" w:hAnsi="宋体" w:cs="宋体"/>
          <w:color w:val="auto"/>
          <w:kern w:val="0"/>
          <w:szCs w:val="21"/>
          <w:highlight w:val="none"/>
        </w:rPr>
      </w:pPr>
      <w:r>
        <w:rPr>
          <w:rFonts w:hint="eastAsia" w:ascii="宋体" w:hAnsi="宋体" w:cs="宋体"/>
          <w:bCs/>
          <w:color w:val="auto"/>
          <w:kern w:val="0"/>
          <w:szCs w:val="21"/>
          <w:highlight w:val="none"/>
        </w:rPr>
        <w:t>4.投标人应</w:t>
      </w:r>
      <w:r>
        <w:rPr>
          <w:rFonts w:hint="eastAsia" w:ascii="宋体" w:hAnsi="宋体" w:cs="宋体"/>
          <w:color w:val="auto"/>
          <w:kern w:val="0"/>
          <w:szCs w:val="21"/>
          <w:highlight w:val="none"/>
        </w:rPr>
        <w:t>在投标文件《分项报价明细表》中按</w:t>
      </w:r>
      <w:r>
        <w:rPr>
          <w:rFonts w:hint="eastAsia" w:ascii="宋体" w:hAnsi="宋体"/>
          <w:color w:val="auto"/>
          <w:szCs w:val="21"/>
          <w:highlight w:val="none"/>
        </w:rPr>
        <w:t>标的名称</w:t>
      </w:r>
      <w:r>
        <w:rPr>
          <w:rFonts w:hint="eastAsia" w:ascii="宋体" w:hAnsi="宋体" w:cs="宋体"/>
          <w:color w:val="auto"/>
          <w:kern w:val="0"/>
          <w:szCs w:val="21"/>
          <w:highlight w:val="none"/>
        </w:rPr>
        <w:t>顺序逐项填写，且每个标的中的条目均需按招标文件规定报价。如有缺项、漏项，其</w:t>
      </w:r>
      <w:r>
        <w:rPr>
          <w:rFonts w:hint="eastAsia" w:ascii="宋体" w:hAnsi="宋体" w:cs="宋体"/>
          <w:b/>
          <w:color w:val="auto"/>
          <w:kern w:val="0"/>
          <w:szCs w:val="21"/>
          <w:highlight w:val="none"/>
        </w:rPr>
        <w:t>投标无效</w:t>
      </w:r>
      <w:r>
        <w:rPr>
          <w:rFonts w:hint="eastAsia" w:ascii="宋体" w:hAnsi="宋体" w:cs="宋体"/>
          <w:color w:val="auto"/>
          <w:kern w:val="0"/>
          <w:szCs w:val="21"/>
          <w:highlight w:val="none"/>
        </w:rPr>
        <w:t>。</w:t>
      </w:r>
    </w:p>
    <w:p w14:paraId="59F306F2">
      <w:pPr>
        <w:pStyle w:val="2"/>
        <w:rPr>
          <w:rFonts w:ascii="宋体" w:hAnsi="宋体" w:cs="宋体"/>
          <w:color w:val="auto"/>
          <w:kern w:val="0"/>
          <w:highlight w:val="none"/>
        </w:rPr>
      </w:pPr>
    </w:p>
    <w:p w14:paraId="6D3667F1">
      <w:pPr>
        <w:pStyle w:val="2"/>
        <w:rPr>
          <w:rFonts w:ascii="宋体" w:hAnsi="宋体" w:cs="宋体"/>
          <w:color w:val="auto"/>
          <w:kern w:val="0"/>
          <w:highlight w:val="none"/>
        </w:rPr>
      </w:pPr>
    </w:p>
    <w:p w14:paraId="3641D508">
      <w:pPr>
        <w:pStyle w:val="2"/>
        <w:rPr>
          <w:rFonts w:ascii="宋体" w:hAnsi="宋体" w:cs="宋体"/>
          <w:color w:val="auto"/>
          <w:kern w:val="0"/>
          <w:highlight w:val="none"/>
        </w:rPr>
      </w:pPr>
    </w:p>
    <w:p w14:paraId="5AF26AB9">
      <w:pPr>
        <w:pStyle w:val="2"/>
        <w:rPr>
          <w:rFonts w:ascii="宋体" w:hAnsi="宋体" w:cs="宋体"/>
          <w:color w:val="auto"/>
          <w:kern w:val="0"/>
          <w:highlight w:val="none"/>
        </w:rPr>
      </w:pPr>
    </w:p>
    <w:p w14:paraId="7B2908A6">
      <w:pPr>
        <w:pStyle w:val="2"/>
        <w:rPr>
          <w:rFonts w:ascii="宋体" w:hAnsi="宋体" w:cs="宋体"/>
          <w:color w:val="auto"/>
          <w:kern w:val="0"/>
          <w:highlight w:val="none"/>
        </w:rPr>
      </w:pPr>
    </w:p>
    <w:p w14:paraId="47643058">
      <w:pPr>
        <w:pStyle w:val="2"/>
        <w:rPr>
          <w:rFonts w:ascii="宋体" w:hAnsi="宋体" w:cs="宋体"/>
          <w:color w:val="auto"/>
          <w:kern w:val="0"/>
          <w:highlight w:val="none"/>
        </w:rPr>
      </w:pPr>
    </w:p>
    <w:p w14:paraId="120650EC">
      <w:pPr>
        <w:pStyle w:val="2"/>
        <w:rPr>
          <w:rFonts w:ascii="宋体" w:hAnsi="宋体" w:cs="宋体"/>
          <w:color w:val="auto"/>
          <w:kern w:val="0"/>
          <w:highlight w:val="none"/>
        </w:rPr>
      </w:pPr>
    </w:p>
    <w:p w14:paraId="60220ADE">
      <w:pPr>
        <w:pStyle w:val="2"/>
        <w:rPr>
          <w:rFonts w:ascii="宋体" w:hAnsi="宋体" w:cs="宋体"/>
          <w:color w:val="auto"/>
          <w:kern w:val="0"/>
          <w:highlight w:val="none"/>
        </w:rPr>
      </w:pPr>
    </w:p>
    <w:p w14:paraId="062E247D">
      <w:pPr>
        <w:pStyle w:val="2"/>
        <w:rPr>
          <w:rFonts w:ascii="宋体" w:hAnsi="宋体" w:cs="宋体"/>
          <w:color w:val="auto"/>
          <w:kern w:val="0"/>
          <w:highlight w:val="none"/>
        </w:rPr>
      </w:pPr>
    </w:p>
    <w:p w14:paraId="50C683A7">
      <w:pPr>
        <w:pStyle w:val="2"/>
        <w:rPr>
          <w:rFonts w:ascii="宋体" w:hAnsi="宋体" w:cs="宋体"/>
          <w:color w:val="auto"/>
          <w:kern w:val="0"/>
          <w:highlight w:val="none"/>
        </w:rPr>
      </w:pPr>
    </w:p>
    <w:p w14:paraId="4ED5D5B4">
      <w:pPr>
        <w:pStyle w:val="2"/>
        <w:rPr>
          <w:rFonts w:ascii="宋体" w:hAnsi="宋体" w:cs="宋体"/>
          <w:color w:val="auto"/>
          <w:kern w:val="0"/>
          <w:highlight w:val="none"/>
        </w:rPr>
      </w:pPr>
    </w:p>
    <w:p w14:paraId="15A0E9C0">
      <w:pPr>
        <w:pStyle w:val="2"/>
        <w:rPr>
          <w:rFonts w:ascii="宋体" w:hAnsi="宋体" w:cs="宋体"/>
          <w:color w:val="auto"/>
          <w:kern w:val="0"/>
          <w:highlight w:val="none"/>
        </w:rPr>
      </w:pPr>
    </w:p>
    <w:p w14:paraId="054C3FD6">
      <w:pPr>
        <w:pStyle w:val="2"/>
        <w:rPr>
          <w:rFonts w:ascii="宋体" w:hAnsi="宋体" w:cs="宋体"/>
          <w:color w:val="auto"/>
          <w:kern w:val="0"/>
          <w:highlight w:val="none"/>
        </w:rPr>
      </w:pPr>
    </w:p>
    <w:p w14:paraId="46FAAD7F">
      <w:pPr>
        <w:pStyle w:val="2"/>
        <w:rPr>
          <w:rFonts w:ascii="宋体" w:hAnsi="宋体" w:cs="宋体"/>
          <w:color w:val="auto"/>
          <w:kern w:val="0"/>
          <w:highlight w:val="none"/>
        </w:rPr>
      </w:pPr>
    </w:p>
    <w:p w14:paraId="15237E03">
      <w:pPr>
        <w:pStyle w:val="2"/>
        <w:rPr>
          <w:rFonts w:ascii="宋体" w:hAnsi="宋体" w:cs="宋体"/>
          <w:color w:val="auto"/>
          <w:kern w:val="0"/>
          <w:highlight w:val="none"/>
        </w:rPr>
      </w:pPr>
    </w:p>
    <w:p w14:paraId="6BC4806F">
      <w:pPr>
        <w:pStyle w:val="2"/>
        <w:rPr>
          <w:rFonts w:ascii="宋体" w:hAnsi="宋体" w:cs="宋体"/>
          <w:color w:val="auto"/>
          <w:kern w:val="0"/>
          <w:highlight w:val="none"/>
        </w:rPr>
      </w:pPr>
    </w:p>
    <w:p w14:paraId="2FC79F4C">
      <w:pPr>
        <w:pStyle w:val="2"/>
        <w:rPr>
          <w:rFonts w:ascii="宋体" w:hAnsi="宋体" w:cs="宋体"/>
          <w:color w:val="auto"/>
          <w:kern w:val="0"/>
          <w:highlight w:val="none"/>
        </w:rPr>
      </w:pPr>
    </w:p>
    <w:p w14:paraId="161C713F">
      <w:pPr>
        <w:pStyle w:val="2"/>
        <w:rPr>
          <w:rFonts w:ascii="宋体" w:hAnsi="宋体" w:cs="宋体"/>
          <w:color w:val="auto"/>
          <w:kern w:val="0"/>
          <w:highlight w:val="none"/>
        </w:rPr>
      </w:pPr>
    </w:p>
    <w:p w14:paraId="063DB306">
      <w:pPr>
        <w:pStyle w:val="2"/>
        <w:rPr>
          <w:rFonts w:ascii="宋体" w:hAnsi="宋体" w:cs="宋体"/>
          <w:color w:val="auto"/>
          <w:kern w:val="0"/>
          <w:highlight w:val="none"/>
        </w:rPr>
      </w:pPr>
    </w:p>
    <w:p w14:paraId="38600D5E">
      <w:pPr>
        <w:pStyle w:val="2"/>
        <w:rPr>
          <w:rFonts w:ascii="宋体" w:hAnsi="宋体" w:cs="宋体"/>
          <w:color w:val="auto"/>
          <w:kern w:val="0"/>
          <w:highlight w:val="none"/>
        </w:rPr>
      </w:pPr>
    </w:p>
    <w:p w14:paraId="2EF94EB3">
      <w:pPr>
        <w:pStyle w:val="2"/>
        <w:rPr>
          <w:rFonts w:ascii="宋体" w:hAnsi="宋体" w:cs="宋体"/>
          <w:color w:val="auto"/>
          <w:kern w:val="0"/>
          <w:highlight w:val="none"/>
        </w:rPr>
      </w:pPr>
    </w:p>
    <w:p w14:paraId="2DA95893">
      <w:pPr>
        <w:pStyle w:val="2"/>
        <w:rPr>
          <w:rFonts w:ascii="宋体" w:hAnsi="宋体" w:cs="宋体"/>
          <w:color w:val="auto"/>
          <w:kern w:val="0"/>
          <w:highlight w:val="none"/>
        </w:rPr>
      </w:pPr>
    </w:p>
    <w:p w14:paraId="61EF8C95">
      <w:pPr>
        <w:pStyle w:val="10"/>
        <w:adjustRightInd w:val="0"/>
        <w:snapToGrid w:val="0"/>
        <w:spacing w:before="156" w:beforeLines="50"/>
        <w:jc w:val="center"/>
        <w:rPr>
          <w:rFonts w:ascii="黑体" w:hAnsi="黑体" w:eastAsia="黑体"/>
          <w:color w:val="auto"/>
          <w:sz w:val="28"/>
          <w:szCs w:val="28"/>
          <w:highlight w:val="none"/>
        </w:rPr>
      </w:pPr>
      <w:bookmarkStart w:id="64" w:name="_Toc8803"/>
      <w:r>
        <w:rPr>
          <w:rFonts w:hint="eastAsia" w:ascii="黑体" w:hAnsi="黑体" w:eastAsia="黑体"/>
          <w:color w:val="auto"/>
          <w:sz w:val="28"/>
          <w:szCs w:val="28"/>
          <w:highlight w:val="none"/>
        </w:rPr>
        <w:t xml:space="preserve">第二节 </w:t>
      </w:r>
      <w:r>
        <w:rPr>
          <w:rFonts w:ascii="黑体" w:hAnsi="黑体" w:eastAsia="黑体"/>
          <w:color w:val="auto"/>
          <w:sz w:val="28"/>
          <w:szCs w:val="28"/>
          <w:highlight w:val="none"/>
        </w:rPr>
        <w:t>技术要求</w:t>
      </w:r>
      <w:bookmarkEnd w:id="64"/>
    </w:p>
    <w:p w14:paraId="003E5B2D">
      <w:pPr>
        <w:numPr>
          <w:ilvl w:val="0"/>
          <w:numId w:val="0"/>
        </w:numPr>
        <w:jc w:val="center"/>
        <w:rPr>
          <w:rFonts w:hint="eastAsia" w:ascii="仿宋" w:hAnsi="仿宋" w:eastAsia="仿宋"/>
          <w:b/>
          <w:bCs/>
          <w:sz w:val="28"/>
          <w:szCs w:val="28"/>
          <w:lang w:val="en-US" w:eastAsia="zh-CN"/>
        </w:rPr>
      </w:pPr>
      <w:r>
        <w:rPr>
          <w:rFonts w:hint="eastAsia" w:ascii="宋体" w:hAnsi="宋体" w:eastAsia="宋体" w:cs="宋体"/>
          <w:b/>
          <w:bCs/>
          <w:sz w:val="28"/>
          <w:szCs w:val="28"/>
          <w:lang w:val="en-US" w:eastAsia="zh-CN"/>
        </w:rPr>
        <w:t>包1：测序检测相关仪器设备</w:t>
      </w:r>
    </w:p>
    <w:p w14:paraId="0C50E297">
      <w:pPr>
        <w:keepNext w:val="0"/>
        <w:keepLines w:val="0"/>
        <w:pageBreakBefore w:val="0"/>
        <w:widowControl w:val="0"/>
        <w:numPr>
          <w:ilvl w:val="0"/>
          <w:numId w:val="0"/>
        </w:numPr>
        <w:kinsoku/>
        <w:wordWrap/>
        <w:overflowPunct/>
        <w:topLinePunct w:val="0"/>
        <w:bidi w:val="0"/>
        <w:spacing w:line="360" w:lineRule="auto"/>
        <w:ind w:left="0" w:firstLine="482" w:firstLineChars="200"/>
        <w:jc w:val="left"/>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一、高通量测序仪（核心产品）</w:t>
      </w:r>
    </w:p>
    <w:p w14:paraId="26711546">
      <w:pPr>
        <w:keepNext w:val="0"/>
        <w:keepLines w:val="0"/>
        <w:pageBreakBefore w:val="0"/>
        <w:widowControl w:val="0"/>
        <w:numPr>
          <w:ilvl w:val="0"/>
          <w:numId w:val="0"/>
        </w:numPr>
        <w:kinsoku/>
        <w:wordWrap/>
        <w:overflowPunct/>
        <w:topLinePunct w:val="0"/>
        <w:bidi w:val="0"/>
        <w:spacing w:line="360" w:lineRule="auto"/>
        <w:ind w:left="0" w:firstLine="480" w:firstLineChars="20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适用范围：该产品采用可逆末端终止测序法，用于对来源于人体样本中的脱氧核糖核酸（DNA）进行测序，以获批的医疗器械注册证的适用范围为准。（提供医疗器械注册证佐证）</w:t>
      </w:r>
    </w:p>
    <w:p w14:paraId="00346F4B">
      <w:pPr>
        <w:keepNext w:val="0"/>
        <w:keepLines w:val="0"/>
        <w:pageBreakBefore w:val="0"/>
        <w:widowControl w:val="0"/>
        <w:numPr>
          <w:ilvl w:val="0"/>
          <w:numId w:val="0"/>
        </w:numPr>
        <w:kinsoku/>
        <w:wordWrap/>
        <w:overflowPunct/>
        <w:topLinePunct w:val="0"/>
        <w:bidi w:val="0"/>
        <w:spacing w:line="360" w:lineRule="auto"/>
        <w:ind w:left="0" w:firstLine="480" w:firstLineChars="20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 xml:space="preserve">信号放大方式：采用芯片表面扩增。 </w:t>
      </w:r>
    </w:p>
    <w:p w14:paraId="0E3F817D">
      <w:pPr>
        <w:keepNext w:val="0"/>
        <w:keepLines w:val="0"/>
        <w:pageBreakBefore w:val="0"/>
        <w:widowControl w:val="0"/>
        <w:numPr>
          <w:ilvl w:val="0"/>
          <w:numId w:val="0"/>
        </w:numPr>
        <w:kinsoku/>
        <w:wordWrap/>
        <w:overflowPunct/>
        <w:topLinePunct w:val="0"/>
        <w:bidi w:val="0"/>
        <w:spacing w:line="360" w:lineRule="auto"/>
        <w:ind w:left="0" w:firstLine="480" w:firstLineChars="20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 xml:space="preserve">即用型测序试剂，即放即用，单端测序和双端测序均无需按压或额外试剂配制。 </w:t>
      </w:r>
    </w:p>
    <w:p w14:paraId="5C85ED59">
      <w:pPr>
        <w:keepNext w:val="0"/>
        <w:keepLines w:val="0"/>
        <w:pageBreakBefore w:val="0"/>
        <w:widowControl w:val="0"/>
        <w:numPr>
          <w:ilvl w:val="0"/>
          <w:numId w:val="0"/>
        </w:numPr>
        <w:kinsoku/>
        <w:wordWrap/>
        <w:overflowPunct/>
        <w:topLinePunct w:val="0"/>
        <w:bidi w:val="0"/>
        <w:spacing w:line="360" w:lineRule="auto"/>
        <w:ind w:left="0" w:firstLine="480" w:firstLineChars="20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4</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支持单端测序（SE）和双端测序（PE）；支持读长模式为SE50，SE75，SE100，PE75，PE150。</w:t>
      </w:r>
    </w:p>
    <w:p w14:paraId="01522B8B">
      <w:pPr>
        <w:keepNext w:val="0"/>
        <w:keepLines w:val="0"/>
        <w:pageBreakBefore w:val="0"/>
        <w:widowControl w:val="0"/>
        <w:numPr>
          <w:ilvl w:val="0"/>
          <w:numId w:val="0"/>
        </w:numPr>
        <w:kinsoku/>
        <w:wordWrap/>
        <w:overflowPunct/>
        <w:topLinePunct w:val="0"/>
        <w:bidi w:val="0"/>
        <w:spacing w:line="360" w:lineRule="auto"/>
        <w:ind w:left="0" w:firstLine="480" w:firstLineChars="20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★5</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支持≥2种芯片规格，最高通量测序单张芯片规格≥400M reads，芯片规格以产品制造商官网公布为准。（提供产品制造商官网相关技术参数截图佐证）</w:t>
      </w:r>
    </w:p>
    <w:p w14:paraId="1A420255">
      <w:pPr>
        <w:keepNext w:val="0"/>
        <w:keepLines w:val="0"/>
        <w:pageBreakBefore w:val="0"/>
        <w:widowControl w:val="0"/>
        <w:numPr>
          <w:ilvl w:val="0"/>
          <w:numId w:val="0"/>
        </w:numPr>
        <w:kinsoku/>
        <w:wordWrap/>
        <w:overflowPunct/>
        <w:topLinePunct w:val="0"/>
        <w:bidi w:val="0"/>
        <w:spacing w:line="360" w:lineRule="auto"/>
        <w:ind w:left="0" w:firstLine="480" w:firstLineChars="20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6</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 xml:space="preserve">通量：在PE150测序模式下，单次芯片最高数据通量≥120G。 </w:t>
      </w:r>
    </w:p>
    <w:p w14:paraId="2FC327F1">
      <w:pPr>
        <w:keepNext w:val="0"/>
        <w:keepLines w:val="0"/>
        <w:pageBreakBefore w:val="0"/>
        <w:widowControl w:val="0"/>
        <w:numPr>
          <w:ilvl w:val="0"/>
          <w:numId w:val="0"/>
        </w:numPr>
        <w:kinsoku/>
        <w:wordWrap/>
        <w:overflowPunct/>
        <w:topLinePunct w:val="0"/>
        <w:bidi w:val="0"/>
        <w:spacing w:line="360" w:lineRule="auto"/>
        <w:ind w:left="0" w:firstLine="480" w:firstLineChars="20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7</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读长PE150，标准文库下机数据Q30≥85%。</w:t>
      </w:r>
    </w:p>
    <w:p w14:paraId="5C3C652A">
      <w:pPr>
        <w:keepNext w:val="0"/>
        <w:keepLines w:val="0"/>
        <w:pageBreakBefore w:val="0"/>
        <w:widowControl w:val="0"/>
        <w:numPr>
          <w:ilvl w:val="0"/>
          <w:numId w:val="0"/>
        </w:numPr>
        <w:kinsoku/>
        <w:wordWrap/>
        <w:overflowPunct/>
        <w:topLinePunct w:val="0"/>
        <w:bidi w:val="0"/>
        <w:spacing w:line="360" w:lineRule="auto"/>
        <w:ind w:left="0" w:firstLine="480" w:firstLineChars="20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★8</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光学系统：拥有四通道光路识别四色荧光信号，非双色通道，对文库碱基不平衡的兼容性更高。（提供</w:t>
      </w:r>
      <w:r>
        <w:rPr>
          <w:rFonts w:hint="eastAsia" w:ascii="宋体" w:hAnsi="宋体" w:cs="宋体"/>
          <w:b w:val="0"/>
          <w:bCs w:val="0"/>
          <w:color w:val="auto"/>
          <w:sz w:val="24"/>
          <w:szCs w:val="24"/>
          <w:lang w:val="en-US" w:eastAsia="zh-CN"/>
        </w:rPr>
        <w:t>产品</w:t>
      </w:r>
      <w:r>
        <w:rPr>
          <w:rFonts w:hint="eastAsia" w:ascii="宋体" w:hAnsi="宋体" w:eastAsia="宋体" w:cs="宋体"/>
          <w:b w:val="0"/>
          <w:bCs w:val="0"/>
          <w:color w:val="auto"/>
          <w:sz w:val="24"/>
          <w:szCs w:val="24"/>
          <w:lang w:val="en-US" w:eastAsia="zh-CN"/>
        </w:rPr>
        <w:t xml:space="preserve">制造商公开发布的产品彩页佐证） </w:t>
      </w:r>
    </w:p>
    <w:p w14:paraId="1F11837F">
      <w:pPr>
        <w:keepNext w:val="0"/>
        <w:keepLines w:val="0"/>
        <w:pageBreakBefore w:val="0"/>
        <w:widowControl w:val="0"/>
        <w:numPr>
          <w:ilvl w:val="0"/>
          <w:numId w:val="0"/>
        </w:numPr>
        <w:kinsoku/>
        <w:wordWrap/>
        <w:overflowPunct/>
        <w:topLinePunct w:val="0"/>
        <w:bidi w:val="0"/>
        <w:spacing w:line="360" w:lineRule="auto"/>
        <w:ind w:left="0" w:firstLine="480" w:firstLineChars="20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9</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 xml:space="preserve">信号放大和测序均在测序仪中进行，信号放大不需要借助PCR仪等额外扩增设备。 </w:t>
      </w:r>
    </w:p>
    <w:p w14:paraId="5965F0D5">
      <w:pPr>
        <w:keepNext w:val="0"/>
        <w:keepLines w:val="0"/>
        <w:pageBreakBefore w:val="0"/>
        <w:widowControl w:val="0"/>
        <w:numPr>
          <w:ilvl w:val="0"/>
          <w:numId w:val="0"/>
        </w:numPr>
        <w:kinsoku/>
        <w:wordWrap/>
        <w:overflowPunct/>
        <w:topLinePunct w:val="0"/>
        <w:bidi w:val="0"/>
        <w:spacing w:line="360" w:lineRule="auto"/>
        <w:ind w:left="0" w:firstLine="480" w:firstLineChars="20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★10</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芯片固定方式：采用压合板机械固定方式，可有效规避真空吸附固定方式受压强波动影响而产生测序故障，保障测序稳定性。（提供产品说明书和产品实物照片佐证）</w:t>
      </w:r>
    </w:p>
    <w:p w14:paraId="0037D5B2">
      <w:pPr>
        <w:keepNext w:val="0"/>
        <w:keepLines w:val="0"/>
        <w:pageBreakBefore w:val="0"/>
        <w:widowControl w:val="0"/>
        <w:kinsoku/>
        <w:wordWrap/>
        <w:overflowPunct/>
        <w:topLinePunct w:val="0"/>
        <w:bidi w:val="0"/>
        <w:spacing w:line="360" w:lineRule="auto"/>
        <w:ind w:left="0" w:firstLine="480" w:firstLineChars="200"/>
        <w:textAlignment w:val="auto"/>
        <w:rPr>
          <w:rFonts w:hint="eastAsia" w:ascii="宋体" w:hAnsi="宋体" w:eastAsia="宋体" w:cs="宋体"/>
          <w:sz w:val="24"/>
          <w:szCs w:val="24"/>
        </w:rPr>
      </w:pPr>
      <w:r>
        <w:rPr>
          <w:rFonts w:hint="eastAsia" w:ascii="宋体" w:hAnsi="宋体" w:eastAsia="宋体" w:cs="宋体"/>
          <w:b w:val="0"/>
          <w:bCs w:val="0"/>
          <w:color w:val="auto"/>
          <w:sz w:val="24"/>
          <w:szCs w:val="24"/>
          <w:lang w:val="en-US" w:eastAsia="zh-CN"/>
        </w:rPr>
        <w:t>11</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单张芯片≥4流道（lane）</w:t>
      </w:r>
    </w:p>
    <w:p w14:paraId="2B39B0F5">
      <w:pPr>
        <w:keepNext w:val="0"/>
        <w:keepLines w:val="0"/>
        <w:pageBreakBefore w:val="0"/>
        <w:widowControl w:val="0"/>
        <w:numPr>
          <w:ilvl w:val="0"/>
          <w:numId w:val="0"/>
        </w:numPr>
        <w:kinsoku/>
        <w:wordWrap/>
        <w:overflowPunct/>
        <w:topLinePunct w:val="0"/>
        <w:bidi w:val="0"/>
        <w:spacing w:line="360" w:lineRule="auto"/>
        <w:ind w:left="0" w:firstLine="482" w:firstLineChars="200"/>
        <w:jc w:val="left"/>
        <w:textAlignment w:val="auto"/>
        <w:rPr>
          <w:rFonts w:hint="eastAsia" w:ascii="宋体" w:hAnsi="宋体" w:eastAsia="宋体" w:cs="宋体"/>
          <w:b/>
          <w:bCs/>
          <w:color w:val="auto"/>
          <w:sz w:val="24"/>
          <w:szCs w:val="24"/>
          <w:lang w:val="en-US" w:eastAsia="zh-CN"/>
        </w:rPr>
      </w:pPr>
    </w:p>
    <w:p w14:paraId="2619E6A6">
      <w:pPr>
        <w:keepNext w:val="0"/>
        <w:keepLines w:val="0"/>
        <w:pageBreakBefore w:val="0"/>
        <w:widowControl w:val="0"/>
        <w:kinsoku/>
        <w:wordWrap/>
        <w:overflowPunct/>
        <w:topLinePunct w:val="0"/>
        <w:bidi w:val="0"/>
        <w:spacing w:line="360" w:lineRule="auto"/>
        <w:ind w:left="0" w:firstLine="482" w:firstLineChars="200"/>
        <w:jc w:val="left"/>
        <w:textAlignment w:val="auto"/>
        <w:rPr>
          <w:rFonts w:hint="eastAsia" w:ascii="宋体" w:hAnsi="宋体" w:eastAsia="宋体" w:cs="宋体"/>
          <w:bCs/>
          <w:sz w:val="24"/>
          <w:szCs w:val="24"/>
          <w:lang w:val="nb-NO"/>
        </w:rPr>
      </w:pPr>
      <w:r>
        <w:rPr>
          <w:rFonts w:hint="eastAsia" w:ascii="宋体" w:hAnsi="宋体" w:eastAsia="宋体" w:cs="宋体"/>
          <w:b/>
          <w:bCs w:val="0"/>
          <w:color w:val="auto"/>
          <w:sz w:val="24"/>
          <w:szCs w:val="24"/>
          <w:lang w:val="en-US" w:eastAsia="zh-CN"/>
        </w:rPr>
        <w:t>二、</w:t>
      </w:r>
      <w:r>
        <w:rPr>
          <w:rFonts w:hint="eastAsia" w:ascii="宋体" w:hAnsi="宋体" w:eastAsia="宋体" w:cs="宋体"/>
          <w:b/>
          <w:sz w:val="24"/>
          <w:szCs w:val="24"/>
          <w:lang w:val="nb-NO"/>
        </w:rPr>
        <w:t>全自动核酸提取仪</w:t>
      </w:r>
    </w:p>
    <w:p w14:paraId="64ACF21E">
      <w:pPr>
        <w:keepNext w:val="0"/>
        <w:keepLines w:val="0"/>
        <w:pageBreakBefore w:val="0"/>
        <w:widowControl w:val="0"/>
        <w:kinsoku/>
        <w:wordWrap/>
        <w:overflowPunct/>
        <w:topLinePunct w:val="0"/>
        <w:bidi w:val="0"/>
        <w:spacing w:line="360" w:lineRule="auto"/>
        <w:ind w:left="0" w:firstLine="482" w:firstLineChars="200"/>
        <w:textAlignment w:val="auto"/>
        <w:rPr>
          <w:rFonts w:hint="eastAsia" w:ascii="宋体" w:hAnsi="宋体" w:eastAsia="宋体" w:cs="宋体"/>
          <w:bCs/>
          <w:sz w:val="24"/>
          <w:szCs w:val="24"/>
        </w:rPr>
      </w:pPr>
      <w:r>
        <w:rPr>
          <w:rFonts w:hint="eastAsia" w:ascii="宋体" w:hAnsi="宋体" w:eastAsia="宋体" w:cs="宋体"/>
          <w:b/>
          <w:sz w:val="24"/>
          <w:szCs w:val="24"/>
          <w:lang w:val="nb-NO"/>
        </w:rPr>
        <w:t>1</w:t>
      </w:r>
      <w:r>
        <w:rPr>
          <w:rFonts w:hint="eastAsia" w:ascii="宋体" w:hAnsi="宋体" w:eastAsia="宋体" w:cs="宋体"/>
          <w:b/>
          <w:sz w:val="24"/>
          <w:szCs w:val="24"/>
          <w:lang w:val="en-US" w:eastAsia="zh-CN"/>
        </w:rPr>
        <w:t>.</w:t>
      </w:r>
      <w:r>
        <w:rPr>
          <w:rFonts w:hint="eastAsia" w:ascii="宋体" w:hAnsi="宋体" w:eastAsia="宋体" w:cs="宋体"/>
          <w:b/>
          <w:sz w:val="24"/>
          <w:szCs w:val="24"/>
        </w:rPr>
        <w:t>设备用途</w:t>
      </w:r>
      <w:r>
        <w:rPr>
          <w:rFonts w:hint="eastAsia" w:ascii="宋体" w:hAnsi="宋体" w:eastAsia="宋体" w:cs="宋体"/>
          <w:b/>
          <w:sz w:val="24"/>
          <w:szCs w:val="24"/>
          <w:lang w:eastAsia="zh-CN"/>
        </w:rPr>
        <w:t>：</w:t>
      </w:r>
      <w:r>
        <w:rPr>
          <w:rFonts w:hint="eastAsia" w:ascii="宋体" w:hAnsi="宋体" w:eastAsia="宋体" w:cs="宋体"/>
          <w:bCs/>
          <w:sz w:val="24"/>
          <w:szCs w:val="24"/>
        </w:rPr>
        <w:t>抽提纯化微生物中的DNA和RNA；抽提纯化植物组织中的DNA、RNA；抽提纯化动物组织中的DNA、RNA；microRNA纯化；质粒DNA纯化；纯化全血或体液的基因组DNA；纯化E.coli或真核细胞的6×His-tagged蛋白；去除血清或血浆高丰度蛋白；DNA和RNA的纯化回收。</w:t>
      </w:r>
    </w:p>
    <w:p w14:paraId="12400642">
      <w:pPr>
        <w:pStyle w:val="68"/>
        <w:keepNext w:val="0"/>
        <w:keepLines w:val="0"/>
        <w:pageBreakBefore w:val="0"/>
        <w:widowControl w:val="0"/>
        <w:kinsoku/>
        <w:wordWrap/>
        <w:overflowPunct/>
        <w:topLinePunct w:val="0"/>
        <w:bidi w:val="0"/>
        <w:spacing w:line="360" w:lineRule="auto"/>
        <w:ind w:left="0" w:firstLine="482" w:firstLineChars="200"/>
        <w:textAlignment w:val="auto"/>
        <w:rPr>
          <w:rFonts w:hint="eastAsia" w:ascii="宋体" w:hAnsi="宋体" w:eastAsia="宋体" w:cs="宋体"/>
          <w:bCs/>
          <w:sz w:val="24"/>
          <w:szCs w:val="24"/>
        </w:rPr>
      </w:pPr>
      <w:r>
        <w:rPr>
          <w:rFonts w:hint="eastAsia" w:ascii="宋体" w:hAnsi="宋体" w:eastAsia="宋体" w:cs="宋体"/>
          <w:b/>
          <w:sz w:val="24"/>
          <w:szCs w:val="24"/>
        </w:rPr>
        <w:t>2</w:t>
      </w:r>
      <w:r>
        <w:rPr>
          <w:rFonts w:hint="eastAsia" w:ascii="宋体" w:hAnsi="宋体" w:eastAsia="宋体" w:cs="宋体"/>
          <w:b/>
          <w:sz w:val="24"/>
          <w:szCs w:val="24"/>
          <w:lang w:val="en-US" w:eastAsia="zh-CN"/>
        </w:rPr>
        <w:t>.</w:t>
      </w:r>
      <w:r>
        <w:rPr>
          <w:rFonts w:hint="eastAsia" w:ascii="宋体" w:hAnsi="宋体" w:eastAsia="宋体" w:cs="宋体"/>
          <w:bCs/>
          <w:sz w:val="24"/>
          <w:szCs w:val="24"/>
        </w:rPr>
        <w:t>工作电压 ：100–240 V AC, 50/60 Hz, 650 VA</w:t>
      </w:r>
    </w:p>
    <w:p w14:paraId="1AF5181C">
      <w:pPr>
        <w:pStyle w:val="14"/>
        <w:keepNext w:val="0"/>
        <w:keepLines w:val="0"/>
        <w:pageBreakBefore w:val="0"/>
        <w:widowControl w:val="0"/>
        <w:kinsoku/>
        <w:wordWrap/>
        <w:overflowPunct/>
        <w:topLinePunct w:val="0"/>
        <w:bidi w:val="0"/>
        <w:spacing w:line="360" w:lineRule="auto"/>
        <w:ind w:left="0"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lang w:val="en-US" w:eastAsia="zh-CN"/>
        </w:rPr>
        <w:t>3.</w:t>
      </w:r>
      <w:r>
        <w:rPr>
          <w:rFonts w:hint="eastAsia" w:ascii="宋体" w:hAnsi="宋体" w:eastAsia="宋体" w:cs="宋体"/>
          <w:bCs/>
          <w:sz w:val="24"/>
          <w:szCs w:val="24"/>
        </w:rPr>
        <w:t>工作温度：18-28℃；湿度：10-90%</w:t>
      </w:r>
    </w:p>
    <w:p w14:paraId="1B0195A1">
      <w:pPr>
        <w:pStyle w:val="68"/>
        <w:keepNext w:val="0"/>
        <w:keepLines w:val="0"/>
        <w:pageBreakBefore w:val="0"/>
        <w:widowControl w:val="0"/>
        <w:kinsoku/>
        <w:wordWrap/>
        <w:overflowPunct/>
        <w:topLinePunct w:val="0"/>
        <w:bidi w:val="0"/>
        <w:spacing w:line="360" w:lineRule="auto"/>
        <w:ind w:left="0"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w:t>
      </w:r>
      <w:r>
        <w:rPr>
          <w:rFonts w:hint="eastAsia" w:ascii="宋体" w:hAnsi="宋体" w:eastAsia="宋体" w:cs="宋体"/>
          <w:bCs/>
          <w:sz w:val="24"/>
          <w:szCs w:val="24"/>
          <w:lang w:val="en-US" w:eastAsia="zh-CN"/>
        </w:rPr>
        <w:t>4.</w:t>
      </w:r>
      <w:r>
        <w:rPr>
          <w:rFonts w:hint="eastAsia" w:ascii="宋体" w:hAnsi="宋体" w:eastAsia="宋体" w:cs="宋体"/>
          <w:bCs/>
          <w:sz w:val="24"/>
          <w:szCs w:val="24"/>
        </w:rPr>
        <w:t>纯化原理：基于硅胶膜离心柱法，可实现样品</w:t>
      </w:r>
      <w:r>
        <w:rPr>
          <w:rFonts w:hint="eastAsia" w:ascii="宋体" w:hAnsi="宋体" w:eastAsia="宋体" w:cs="宋体"/>
          <w:bCs/>
          <w:sz w:val="24"/>
          <w:szCs w:val="24"/>
          <w:lang w:val="en-US" w:eastAsia="zh-CN"/>
        </w:rPr>
        <w:t>机内加热</w:t>
      </w:r>
      <w:r>
        <w:rPr>
          <w:rFonts w:hint="eastAsia" w:ascii="宋体" w:hAnsi="宋体" w:eastAsia="宋体" w:cs="宋体"/>
          <w:bCs/>
          <w:sz w:val="24"/>
          <w:szCs w:val="24"/>
        </w:rPr>
        <w:t>裂解、裂解液转移、</w:t>
      </w:r>
      <w:r>
        <w:rPr>
          <w:rFonts w:hint="eastAsia" w:ascii="宋体" w:hAnsi="宋体" w:eastAsia="宋体" w:cs="宋体"/>
          <w:bCs/>
          <w:sz w:val="24"/>
          <w:szCs w:val="24"/>
          <w:lang w:val="en-US" w:eastAsia="zh-CN"/>
        </w:rPr>
        <w:t>自动化离心、</w:t>
      </w:r>
      <w:r>
        <w:rPr>
          <w:rFonts w:hint="eastAsia" w:ascii="宋体" w:hAnsi="宋体" w:eastAsia="宋体" w:cs="宋体"/>
          <w:bCs/>
          <w:sz w:val="24"/>
          <w:szCs w:val="24"/>
        </w:rPr>
        <w:t>柱</w:t>
      </w:r>
      <w:r>
        <w:rPr>
          <w:rFonts w:hint="eastAsia" w:ascii="宋体" w:hAnsi="宋体" w:eastAsia="宋体" w:cs="宋体"/>
          <w:bCs/>
          <w:sz w:val="24"/>
          <w:szCs w:val="24"/>
          <w:lang w:val="en-US" w:eastAsia="zh-CN"/>
        </w:rPr>
        <w:t>膜</w:t>
      </w:r>
      <w:r>
        <w:rPr>
          <w:rFonts w:hint="eastAsia" w:ascii="宋体" w:hAnsi="宋体" w:eastAsia="宋体" w:cs="宋体"/>
          <w:bCs/>
          <w:sz w:val="24"/>
          <w:szCs w:val="24"/>
        </w:rPr>
        <w:t>清洗、洗脱液回收等实验步骤的全自动操作，无需人工介入；</w:t>
      </w:r>
    </w:p>
    <w:p w14:paraId="02DD3AED">
      <w:pPr>
        <w:pStyle w:val="68"/>
        <w:keepNext w:val="0"/>
        <w:keepLines w:val="0"/>
        <w:pageBreakBefore w:val="0"/>
        <w:widowControl w:val="0"/>
        <w:kinsoku/>
        <w:wordWrap/>
        <w:overflowPunct/>
        <w:topLinePunct w:val="0"/>
        <w:bidi w:val="0"/>
        <w:spacing w:line="360" w:lineRule="auto"/>
        <w:ind w:left="0"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lang w:val="en-US" w:eastAsia="zh-CN"/>
        </w:rPr>
        <w:t>5.</w:t>
      </w:r>
      <w:r>
        <w:rPr>
          <w:rFonts w:hint="eastAsia" w:ascii="宋体" w:hAnsi="宋体" w:eastAsia="宋体" w:cs="宋体"/>
          <w:bCs/>
          <w:sz w:val="24"/>
          <w:szCs w:val="24"/>
        </w:rPr>
        <w:t>样品通量：至少兼容1~12个样品灵活上机；</w:t>
      </w:r>
    </w:p>
    <w:p w14:paraId="6FEB6F85">
      <w:pPr>
        <w:pStyle w:val="68"/>
        <w:keepNext w:val="0"/>
        <w:keepLines w:val="0"/>
        <w:pageBreakBefore w:val="0"/>
        <w:widowControl w:val="0"/>
        <w:kinsoku/>
        <w:wordWrap/>
        <w:overflowPunct/>
        <w:topLinePunct w:val="0"/>
        <w:bidi w:val="0"/>
        <w:spacing w:line="360" w:lineRule="auto"/>
        <w:ind w:left="0" w:firstLine="480" w:firstLineChars="200"/>
        <w:textAlignment w:val="auto"/>
        <w:rPr>
          <w:rFonts w:hint="eastAsia" w:ascii="宋体" w:hAnsi="宋体" w:eastAsia="宋体" w:cs="宋体"/>
          <w:bCs/>
          <w:sz w:val="24"/>
          <w:szCs w:val="24"/>
        </w:rPr>
      </w:pPr>
      <w:r>
        <w:rPr>
          <w:rFonts w:hint="eastAsia" w:ascii="宋体" w:hAnsi="宋体" w:eastAsia="宋体" w:cs="宋体"/>
          <w:sz w:val="24"/>
          <w:szCs w:val="24"/>
        </w:rPr>
        <w:t>▲</w:t>
      </w:r>
      <w:r>
        <w:rPr>
          <w:rFonts w:hint="eastAsia" w:ascii="宋体" w:hAnsi="宋体" w:eastAsia="宋体" w:cs="宋体"/>
          <w:bCs/>
          <w:sz w:val="24"/>
          <w:szCs w:val="24"/>
          <w:lang w:val="en-US" w:eastAsia="zh-CN"/>
        </w:rPr>
        <w:t>6.</w:t>
      </w:r>
      <w:r>
        <w:rPr>
          <w:rFonts w:hint="eastAsia" w:ascii="宋体" w:hAnsi="宋体" w:eastAsia="宋体" w:cs="宋体"/>
          <w:bCs/>
          <w:sz w:val="24"/>
          <w:szCs w:val="24"/>
        </w:rPr>
        <w:t xml:space="preserve"> 试剂盒手工和机器通用</w:t>
      </w:r>
      <w:r>
        <w:rPr>
          <w:rFonts w:hint="eastAsia" w:ascii="宋体" w:hAnsi="宋体" w:eastAsia="宋体" w:cs="宋体"/>
          <w:bCs/>
          <w:sz w:val="24"/>
          <w:szCs w:val="24"/>
          <w:lang w:eastAsia="zh-CN"/>
        </w:rPr>
        <w:t>，</w:t>
      </w:r>
      <w:r>
        <w:rPr>
          <w:rFonts w:hint="eastAsia" w:ascii="宋体" w:hAnsi="宋体" w:eastAsia="宋体" w:cs="宋体"/>
          <w:bCs/>
          <w:sz w:val="24"/>
          <w:szCs w:val="24"/>
        </w:rPr>
        <w:t>可配套原厂试剂盒种类</w:t>
      </w:r>
      <w:bookmarkStart w:id="65" w:name="OLE_LINK1"/>
      <w:r>
        <w:rPr>
          <w:rFonts w:hint="eastAsia" w:ascii="宋体" w:hAnsi="宋体" w:eastAsia="宋体" w:cs="宋体"/>
          <w:bCs/>
          <w:sz w:val="24"/>
          <w:szCs w:val="24"/>
        </w:rPr>
        <w:t>≥</w:t>
      </w:r>
      <w:bookmarkEnd w:id="65"/>
      <w:r>
        <w:rPr>
          <w:rFonts w:hint="eastAsia" w:ascii="宋体" w:hAnsi="宋体" w:eastAsia="宋体" w:cs="宋体"/>
          <w:bCs/>
          <w:sz w:val="24"/>
          <w:szCs w:val="24"/>
        </w:rPr>
        <w:t xml:space="preserve">80种，≥300个程序可选择； </w:t>
      </w:r>
    </w:p>
    <w:p w14:paraId="7D96C0C4">
      <w:pPr>
        <w:pStyle w:val="68"/>
        <w:keepNext w:val="0"/>
        <w:keepLines w:val="0"/>
        <w:pageBreakBefore w:val="0"/>
        <w:widowControl w:val="0"/>
        <w:kinsoku/>
        <w:wordWrap/>
        <w:overflowPunct/>
        <w:topLinePunct w:val="0"/>
        <w:bidi w:val="0"/>
        <w:spacing w:line="360" w:lineRule="auto"/>
        <w:ind w:left="0"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lang w:val="en-US" w:eastAsia="zh-CN"/>
        </w:rPr>
        <w:t>7.</w:t>
      </w:r>
      <w:r>
        <w:rPr>
          <w:rFonts w:hint="eastAsia" w:ascii="宋体" w:hAnsi="宋体" w:eastAsia="宋体" w:cs="宋体"/>
          <w:bCs/>
          <w:sz w:val="24"/>
          <w:szCs w:val="24"/>
        </w:rPr>
        <w:t>可自动化实现多种类型样本尤其是环境、土壤、粪便等疑难样本中DNA、RNA、蛋白纯化以及回收等功能；</w:t>
      </w:r>
    </w:p>
    <w:p w14:paraId="0F732F74">
      <w:pPr>
        <w:pStyle w:val="68"/>
        <w:keepNext w:val="0"/>
        <w:keepLines w:val="0"/>
        <w:pageBreakBefore w:val="0"/>
        <w:widowControl w:val="0"/>
        <w:kinsoku/>
        <w:wordWrap/>
        <w:overflowPunct/>
        <w:topLinePunct w:val="0"/>
        <w:bidi w:val="0"/>
        <w:spacing w:line="360" w:lineRule="auto"/>
        <w:ind w:left="0" w:firstLine="480" w:firstLineChars="200"/>
        <w:textAlignment w:val="auto"/>
        <w:rPr>
          <w:rFonts w:hint="eastAsia" w:ascii="宋体" w:hAnsi="宋体" w:eastAsia="宋体" w:cs="宋体"/>
          <w:bCs/>
          <w:kern w:val="0"/>
          <w:sz w:val="24"/>
          <w:szCs w:val="24"/>
          <w:lang w:eastAsia="zh-CN"/>
        </w:rPr>
      </w:pPr>
      <w:r>
        <w:rPr>
          <w:rFonts w:hint="eastAsia" w:ascii="宋体" w:hAnsi="宋体" w:eastAsia="宋体" w:cs="宋体"/>
          <w:sz w:val="24"/>
          <w:szCs w:val="24"/>
        </w:rPr>
        <w:t>▲</w:t>
      </w:r>
      <w:r>
        <w:rPr>
          <w:rFonts w:hint="eastAsia" w:ascii="宋体" w:hAnsi="宋体" w:eastAsia="宋体" w:cs="宋体"/>
          <w:bCs/>
          <w:sz w:val="24"/>
          <w:szCs w:val="24"/>
          <w:lang w:val="en-US" w:eastAsia="zh-CN"/>
        </w:rPr>
        <w:t>8.</w:t>
      </w:r>
      <w:r>
        <w:rPr>
          <w:rFonts w:hint="eastAsia" w:ascii="宋体" w:hAnsi="宋体" w:eastAsia="宋体" w:cs="宋体"/>
          <w:bCs/>
          <w:sz w:val="24"/>
          <w:szCs w:val="24"/>
        </w:rPr>
        <w:t>仪器内整合离心机和加热震荡模块，</w:t>
      </w:r>
      <w:r>
        <w:rPr>
          <w:rFonts w:hint="eastAsia" w:ascii="宋体" w:hAnsi="宋体" w:eastAsia="宋体" w:cs="宋体"/>
          <w:bCs/>
          <w:sz w:val="24"/>
          <w:szCs w:val="24"/>
          <w:lang w:val="en-US" w:eastAsia="zh-CN"/>
        </w:rPr>
        <w:t>且</w:t>
      </w:r>
      <w:r>
        <w:rPr>
          <w:rFonts w:hint="eastAsia" w:ascii="宋体" w:hAnsi="宋体" w:eastAsia="宋体" w:cs="宋体"/>
          <w:bCs/>
          <w:sz w:val="24"/>
          <w:szCs w:val="24"/>
        </w:rPr>
        <w:t>离心机及加热振荡模块均可单独使用；</w:t>
      </w:r>
      <w:r>
        <w:rPr>
          <w:rFonts w:hint="eastAsia" w:ascii="宋体" w:hAnsi="宋体" w:eastAsia="宋体" w:cs="宋体"/>
          <w:bCs/>
          <w:sz w:val="24"/>
          <w:szCs w:val="24"/>
          <w:lang w:eastAsia="zh-CN"/>
        </w:rPr>
        <w:t>（</w:t>
      </w:r>
      <w:r>
        <w:rPr>
          <w:rFonts w:hint="eastAsia" w:ascii="宋体" w:hAnsi="宋体" w:eastAsia="宋体" w:cs="宋体"/>
          <w:bCs/>
          <w:sz w:val="24"/>
          <w:szCs w:val="24"/>
          <w:lang w:val="en-US" w:eastAsia="zh-CN"/>
        </w:rPr>
        <w:t>提供机内部件图片证明</w:t>
      </w:r>
      <w:r>
        <w:rPr>
          <w:rFonts w:hint="eastAsia" w:ascii="宋体" w:hAnsi="宋体" w:eastAsia="宋体" w:cs="宋体"/>
          <w:bCs/>
          <w:sz w:val="24"/>
          <w:szCs w:val="24"/>
          <w:lang w:eastAsia="zh-CN"/>
        </w:rPr>
        <w:t>）</w:t>
      </w:r>
    </w:p>
    <w:p w14:paraId="35E271BF">
      <w:pPr>
        <w:pStyle w:val="68"/>
        <w:keepNext w:val="0"/>
        <w:keepLines w:val="0"/>
        <w:pageBreakBefore w:val="0"/>
        <w:widowControl w:val="0"/>
        <w:kinsoku/>
        <w:wordWrap/>
        <w:overflowPunct/>
        <w:topLinePunct w:val="0"/>
        <w:bidi w:val="0"/>
        <w:spacing w:line="360" w:lineRule="auto"/>
        <w:ind w:left="0" w:firstLine="480" w:firstLineChars="200"/>
        <w:textAlignment w:val="auto"/>
        <w:rPr>
          <w:rFonts w:hint="eastAsia" w:ascii="宋体" w:hAnsi="宋体" w:eastAsia="宋体" w:cs="宋体"/>
          <w:bCs/>
          <w:sz w:val="24"/>
          <w:szCs w:val="24"/>
          <w:lang w:eastAsia="zh-CN"/>
        </w:rPr>
      </w:pPr>
      <w:r>
        <w:rPr>
          <w:rFonts w:hint="eastAsia" w:ascii="宋体" w:hAnsi="宋体" w:eastAsia="宋体" w:cs="宋体"/>
          <w:bCs/>
          <w:kern w:val="0"/>
          <w:sz w:val="24"/>
          <w:szCs w:val="24"/>
          <w:lang w:val="en-US" w:eastAsia="zh-CN"/>
        </w:rPr>
        <w:t>9.</w:t>
      </w:r>
      <w:r>
        <w:rPr>
          <w:rFonts w:hint="eastAsia" w:ascii="宋体" w:hAnsi="宋体" w:eastAsia="宋体" w:cs="宋体"/>
          <w:bCs/>
          <w:sz w:val="24"/>
          <w:szCs w:val="24"/>
        </w:rPr>
        <w:t>配备光学感应器和超声液面探测器，能够自动感应检查样品数量、试剂与耗材的类型和数量，防止人为摆放错误；</w:t>
      </w:r>
    </w:p>
    <w:p w14:paraId="31966178">
      <w:pPr>
        <w:pStyle w:val="68"/>
        <w:keepNext w:val="0"/>
        <w:keepLines w:val="0"/>
        <w:pageBreakBefore w:val="0"/>
        <w:widowControl w:val="0"/>
        <w:kinsoku/>
        <w:wordWrap/>
        <w:overflowPunct/>
        <w:topLinePunct w:val="0"/>
        <w:bidi w:val="0"/>
        <w:spacing w:line="360" w:lineRule="auto"/>
        <w:ind w:left="0"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lang w:val="en-US" w:eastAsia="zh-CN"/>
        </w:rPr>
        <w:t>10.</w:t>
      </w:r>
      <w:r>
        <w:rPr>
          <w:rFonts w:hint="eastAsia" w:ascii="宋体" w:hAnsi="宋体" w:eastAsia="宋体" w:cs="宋体"/>
          <w:bCs/>
          <w:sz w:val="24"/>
          <w:szCs w:val="24"/>
        </w:rPr>
        <w:t>内置试剂耗材模块，至少支持≥3个枪头架位，额外匹配≥3个辅助试剂位，可放置生物酶等辅助试剂，用于疑难样本的前处理；</w:t>
      </w:r>
    </w:p>
    <w:p w14:paraId="1C9F538F">
      <w:pPr>
        <w:pStyle w:val="68"/>
        <w:keepNext w:val="0"/>
        <w:keepLines w:val="0"/>
        <w:pageBreakBefore w:val="0"/>
        <w:widowControl w:val="0"/>
        <w:kinsoku/>
        <w:wordWrap/>
        <w:overflowPunct/>
        <w:topLinePunct w:val="0"/>
        <w:bidi w:val="0"/>
        <w:spacing w:line="360" w:lineRule="auto"/>
        <w:ind w:left="0"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lang w:val="en-US" w:eastAsia="zh-CN"/>
        </w:rPr>
        <w:t>11.</w:t>
      </w:r>
      <w:r>
        <w:rPr>
          <w:rFonts w:hint="eastAsia" w:ascii="宋体" w:hAnsi="宋体" w:eastAsia="宋体" w:cs="宋体"/>
          <w:bCs/>
          <w:sz w:val="24"/>
          <w:szCs w:val="24"/>
        </w:rPr>
        <w:t xml:space="preserve"> 配备紫外灯灭菌及工作台照明灯，使用一次性带滤芯枪头，防止样品交叉污染；</w:t>
      </w:r>
    </w:p>
    <w:p w14:paraId="416494DD">
      <w:pPr>
        <w:pStyle w:val="68"/>
        <w:keepNext w:val="0"/>
        <w:keepLines w:val="0"/>
        <w:pageBreakBefore w:val="0"/>
        <w:widowControl w:val="0"/>
        <w:kinsoku/>
        <w:wordWrap/>
        <w:overflowPunct/>
        <w:topLinePunct w:val="0"/>
        <w:bidi w:val="0"/>
        <w:spacing w:line="360" w:lineRule="auto"/>
        <w:ind w:left="0"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lang w:val="en-US" w:eastAsia="zh-CN"/>
        </w:rPr>
        <w:t>12.</w:t>
      </w:r>
      <w:r>
        <w:rPr>
          <w:rFonts w:hint="eastAsia" w:ascii="宋体" w:hAnsi="宋体" w:eastAsia="宋体" w:cs="宋体"/>
          <w:bCs/>
          <w:sz w:val="24"/>
          <w:szCs w:val="24"/>
        </w:rPr>
        <w:t>配备手持式扫描枪，智能二维码扫描，可自动识别试剂盒类型并自动匹配应用程序，无需手工设置；</w:t>
      </w:r>
    </w:p>
    <w:p w14:paraId="5E0A6AD0">
      <w:pPr>
        <w:pStyle w:val="68"/>
        <w:keepNext w:val="0"/>
        <w:keepLines w:val="0"/>
        <w:pageBreakBefore w:val="0"/>
        <w:widowControl w:val="0"/>
        <w:kinsoku/>
        <w:wordWrap/>
        <w:overflowPunct/>
        <w:topLinePunct w:val="0"/>
        <w:bidi w:val="0"/>
        <w:spacing w:line="360" w:lineRule="auto"/>
        <w:ind w:left="0"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lang w:val="en-US" w:eastAsia="zh-CN"/>
        </w:rPr>
        <w:t>13.</w:t>
      </w:r>
      <w:r>
        <w:rPr>
          <w:rFonts w:hint="eastAsia" w:ascii="宋体" w:hAnsi="宋体" w:eastAsia="宋体" w:cs="宋体"/>
          <w:bCs/>
          <w:sz w:val="24"/>
          <w:szCs w:val="24"/>
        </w:rPr>
        <w:t>配备≥10</w:t>
      </w:r>
      <w:r>
        <w:rPr>
          <w:rFonts w:hint="eastAsia" w:ascii="宋体" w:hAnsi="宋体" w:eastAsia="宋体" w:cs="宋体"/>
          <w:bCs/>
          <w:sz w:val="24"/>
          <w:szCs w:val="24"/>
          <w:lang w:val="en-US" w:eastAsia="zh-CN"/>
        </w:rPr>
        <w:t>英</w:t>
      </w:r>
      <w:r>
        <w:rPr>
          <w:rFonts w:hint="eastAsia" w:ascii="宋体" w:hAnsi="宋体" w:eastAsia="宋体" w:cs="宋体"/>
          <w:bCs/>
          <w:sz w:val="24"/>
          <w:szCs w:val="24"/>
        </w:rPr>
        <w:t>寸LED触摸操作屏，通过触摸屏操作，无需外接电脑，且操作程序预置，且可定制，无需人工编程；</w:t>
      </w:r>
    </w:p>
    <w:p w14:paraId="0F7F9E75">
      <w:pPr>
        <w:pStyle w:val="68"/>
        <w:keepNext w:val="0"/>
        <w:keepLines w:val="0"/>
        <w:pageBreakBefore w:val="0"/>
        <w:widowControl w:val="0"/>
        <w:kinsoku/>
        <w:wordWrap/>
        <w:overflowPunct/>
        <w:topLinePunct w:val="0"/>
        <w:bidi w:val="0"/>
        <w:spacing w:line="360" w:lineRule="auto"/>
        <w:ind w:left="0"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1</w:t>
      </w:r>
      <w:r>
        <w:rPr>
          <w:rFonts w:hint="eastAsia" w:ascii="宋体" w:hAnsi="宋体" w:eastAsia="宋体" w:cs="宋体"/>
          <w:bCs/>
          <w:sz w:val="24"/>
          <w:szCs w:val="24"/>
          <w:lang w:val="en-US" w:eastAsia="zh-CN"/>
        </w:rPr>
        <w:t>4.</w:t>
      </w:r>
      <w:r>
        <w:rPr>
          <w:rFonts w:hint="eastAsia" w:ascii="宋体" w:hAnsi="宋体" w:eastAsia="宋体" w:cs="宋体"/>
          <w:bCs/>
          <w:sz w:val="24"/>
          <w:szCs w:val="24"/>
        </w:rPr>
        <w:t>适配USB2.0，可配置APP实现远程程序设置、过程监控及运行报告打印等功能。</w:t>
      </w:r>
    </w:p>
    <w:p w14:paraId="346F5F5A">
      <w:pPr>
        <w:pStyle w:val="68"/>
        <w:keepNext w:val="0"/>
        <w:keepLines w:val="0"/>
        <w:pageBreakBefore w:val="0"/>
        <w:widowControl w:val="0"/>
        <w:kinsoku/>
        <w:wordWrap/>
        <w:overflowPunct/>
        <w:topLinePunct w:val="0"/>
        <w:bidi w:val="0"/>
        <w:spacing w:line="360" w:lineRule="auto"/>
        <w:ind w:left="0"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1</w:t>
      </w:r>
      <w:r>
        <w:rPr>
          <w:rFonts w:hint="eastAsia" w:ascii="宋体" w:hAnsi="宋体" w:eastAsia="宋体" w:cs="宋体"/>
          <w:bCs/>
          <w:sz w:val="24"/>
          <w:szCs w:val="24"/>
          <w:lang w:val="en-US" w:eastAsia="zh-CN"/>
        </w:rPr>
        <w:t>5.</w:t>
      </w:r>
      <w:r>
        <w:rPr>
          <w:rFonts w:hint="eastAsia" w:ascii="宋体" w:hAnsi="宋体" w:eastAsia="宋体" w:cs="宋体"/>
          <w:bCs/>
          <w:sz w:val="24"/>
          <w:szCs w:val="24"/>
        </w:rPr>
        <w:t>带有安全保护门，全封闭运行，防止样品污染及保护人身安全。</w:t>
      </w:r>
    </w:p>
    <w:p w14:paraId="419535A4">
      <w:pPr>
        <w:keepNext w:val="0"/>
        <w:keepLines w:val="0"/>
        <w:pageBreakBefore w:val="0"/>
        <w:widowControl w:val="0"/>
        <w:kinsoku/>
        <w:wordWrap/>
        <w:overflowPunct/>
        <w:topLinePunct w:val="0"/>
        <w:bidi w:val="0"/>
        <w:spacing w:line="360" w:lineRule="auto"/>
        <w:ind w:left="0" w:firstLine="482" w:firstLineChars="200"/>
        <w:textAlignment w:val="auto"/>
        <w:rPr>
          <w:rFonts w:hint="eastAsia" w:ascii="宋体" w:hAnsi="宋体" w:eastAsia="宋体" w:cs="宋体"/>
          <w:bCs/>
          <w:color w:val="auto"/>
          <w:sz w:val="24"/>
          <w:szCs w:val="24"/>
        </w:rPr>
      </w:pPr>
      <w:r>
        <w:rPr>
          <w:rFonts w:hint="eastAsia" w:ascii="宋体" w:hAnsi="宋体" w:eastAsia="宋体" w:cs="宋体"/>
          <w:b/>
          <w:sz w:val="24"/>
          <w:szCs w:val="24"/>
          <w:lang w:val="en-US" w:eastAsia="zh-CN"/>
        </w:rPr>
        <w:t>16.</w:t>
      </w:r>
      <w:r>
        <w:rPr>
          <w:rFonts w:hint="eastAsia" w:ascii="宋体" w:hAnsi="宋体" w:eastAsia="宋体" w:cs="宋体"/>
          <w:b/>
          <w:sz w:val="24"/>
          <w:szCs w:val="24"/>
        </w:rPr>
        <w:t>基本配置</w:t>
      </w:r>
      <w:r>
        <w:rPr>
          <w:rFonts w:hint="eastAsia" w:ascii="宋体" w:hAnsi="宋体" w:eastAsia="宋体" w:cs="宋体"/>
          <w:b/>
          <w:sz w:val="24"/>
          <w:szCs w:val="24"/>
          <w:lang w:eastAsia="zh-CN"/>
        </w:rPr>
        <w:t>：</w:t>
      </w:r>
      <w:r>
        <w:rPr>
          <w:rFonts w:hint="eastAsia" w:ascii="宋体" w:hAnsi="宋体" w:eastAsia="宋体" w:cs="宋体"/>
          <w:bCs/>
          <w:sz w:val="24"/>
          <w:szCs w:val="24"/>
        </w:rPr>
        <w:t xml:space="preserve"> 主机一台</w:t>
      </w:r>
      <w:r>
        <w:rPr>
          <w:rFonts w:hint="eastAsia" w:ascii="宋体" w:hAnsi="宋体" w:eastAsia="宋体" w:cs="宋体"/>
          <w:bCs/>
          <w:sz w:val="24"/>
          <w:szCs w:val="24"/>
          <w:lang w:eastAsia="zh-CN"/>
        </w:rPr>
        <w:t>、</w:t>
      </w:r>
      <w:r>
        <w:rPr>
          <w:rFonts w:hint="eastAsia" w:ascii="宋体" w:hAnsi="宋体" w:eastAsia="宋体" w:cs="宋体"/>
          <w:bCs/>
          <w:sz w:val="24"/>
          <w:szCs w:val="24"/>
        </w:rPr>
        <w:t xml:space="preserve"> 起始装机包一套</w:t>
      </w:r>
    </w:p>
    <w:p w14:paraId="6CA9AABA">
      <w:pPr>
        <w:keepNext w:val="0"/>
        <w:keepLines w:val="0"/>
        <w:pageBreakBefore w:val="0"/>
        <w:widowControl w:val="0"/>
        <w:numPr>
          <w:ilvl w:val="0"/>
          <w:numId w:val="0"/>
        </w:numPr>
        <w:kinsoku/>
        <w:wordWrap/>
        <w:overflowPunct/>
        <w:topLinePunct w:val="0"/>
        <w:bidi w:val="0"/>
        <w:spacing w:line="360" w:lineRule="auto"/>
        <w:ind w:left="0" w:firstLine="480" w:firstLineChars="200"/>
        <w:textAlignment w:val="auto"/>
        <w:rPr>
          <w:rFonts w:hint="eastAsia" w:ascii="宋体" w:hAnsi="宋体" w:eastAsia="宋体" w:cs="宋体"/>
          <w:color w:val="auto"/>
          <w:sz w:val="24"/>
          <w:szCs w:val="24"/>
        </w:rPr>
      </w:pPr>
    </w:p>
    <w:p w14:paraId="7CC97477">
      <w:pPr>
        <w:keepNext w:val="0"/>
        <w:keepLines w:val="0"/>
        <w:pageBreakBefore w:val="0"/>
        <w:widowControl w:val="0"/>
        <w:numPr>
          <w:ilvl w:val="0"/>
          <w:numId w:val="0"/>
        </w:numPr>
        <w:kinsoku/>
        <w:wordWrap/>
        <w:overflowPunct/>
        <w:topLinePunct w:val="0"/>
        <w:bidi w:val="0"/>
        <w:spacing w:line="360" w:lineRule="auto"/>
        <w:ind w:left="0" w:firstLine="482" w:firstLineChars="20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三、实时荧光PCR仪</w:t>
      </w:r>
    </w:p>
    <w:p w14:paraId="23855B3F">
      <w:pPr>
        <w:pStyle w:val="69"/>
        <w:keepNext w:val="0"/>
        <w:keepLines w:val="0"/>
        <w:pageBreakBefore w:val="0"/>
        <w:widowControl w:val="0"/>
        <w:numPr>
          <w:ilvl w:val="0"/>
          <w:numId w:val="0"/>
        </w:numPr>
        <w:kinsoku/>
        <w:wordWrap/>
        <w:overflowPunct/>
        <w:topLinePunct w:val="0"/>
        <w:autoSpaceDE/>
        <w:autoSpaceDN/>
        <w:bidi w:val="0"/>
        <w:spacing w:line="360" w:lineRule="auto"/>
        <w:ind w:left="0" w:leftChars="0" w:firstLine="480"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kern w:val="2"/>
          <w:sz w:val="24"/>
          <w:szCs w:val="24"/>
          <w:lang w:val="en-US" w:eastAsia="zh-CN" w:bidi="ar-SA"/>
        </w:rPr>
        <w:t>1.</w:t>
      </w:r>
      <w:r>
        <w:rPr>
          <w:rFonts w:hint="eastAsia" w:ascii="宋体" w:hAnsi="宋体" w:eastAsia="宋体" w:cs="宋体"/>
          <w:bCs/>
          <w:color w:val="auto"/>
          <w:sz w:val="24"/>
          <w:szCs w:val="24"/>
        </w:rPr>
        <w:t>主要功能：能够完成绝对定量、相对定量、基于 MGB 探针的高成功率 SNP 分析和熔解曲线分析；</w:t>
      </w:r>
    </w:p>
    <w:p w14:paraId="2BC6ECB6">
      <w:pPr>
        <w:pStyle w:val="69"/>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kern w:val="2"/>
          <w:sz w:val="24"/>
          <w:szCs w:val="24"/>
          <w:lang w:val="en-US" w:eastAsia="zh-CN" w:bidi="ar-SA"/>
        </w:rPr>
        <w:t>2.</w:t>
      </w:r>
      <w:r>
        <w:rPr>
          <w:rFonts w:hint="eastAsia" w:ascii="宋体" w:hAnsi="宋体" w:eastAsia="宋体" w:cs="宋体"/>
          <w:bCs/>
          <w:color w:val="auto"/>
          <w:sz w:val="24"/>
          <w:szCs w:val="24"/>
        </w:rPr>
        <w:t>热循环采用帕尔贴效应系统，加热冷却方式为半导体；</w:t>
      </w:r>
    </w:p>
    <w:p w14:paraId="0CD46D2C">
      <w:pPr>
        <w:pStyle w:val="69"/>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kern w:val="2"/>
          <w:sz w:val="24"/>
          <w:szCs w:val="24"/>
          <w:lang w:val="en-US" w:eastAsia="zh-CN" w:bidi="ar-SA"/>
        </w:rPr>
        <w:t>3.</w:t>
      </w:r>
      <w:r>
        <w:rPr>
          <w:rFonts w:hint="eastAsia" w:ascii="宋体" w:hAnsi="宋体" w:eastAsia="宋体" w:cs="宋体"/>
          <w:bCs/>
          <w:color w:val="auto"/>
          <w:sz w:val="24"/>
          <w:szCs w:val="24"/>
        </w:rPr>
        <w:t>温度控制范围：4–99.9℃；</w:t>
      </w:r>
    </w:p>
    <w:p w14:paraId="36849453">
      <w:pPr>
        <w:pStyle w:val="69"/>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kern w:val="2"/>
          <w:sz w:val="24"/>
          <w:szCs w:val="24"/>
          <w:lang w:val="en-US" w:eastAsia="zh-CN" w:bidi="ar-SA"/>
        </w:rPr>
        <w:t>4.</w:t>
      </w:r>
      <w:r>
        <w:rPr>
          <w:rFonts w:hint="eastAsia" w:ascii="宋体" w:hAnsi="宋体" w:eastAsia="宋体" w:cs="宋体"/>
          <w:bCs/>
          <w:color w:val="auto"/>
          <w:sz w:val="24"/>
          <w:szCs w:val="24"/>
        </w:rPr>
        <w:t>三种加热模块可选：0.2ml ×96孔模块，反应体积：10-100ul ；0.1ml ×96孔模块，反应体积：10-30ul；384孔模块，反应体积：5–20 u</w:t>
      </w:r>
      <w:r>
        <w:rPr>
          <w:rFonts w:hint="eastAsia" w:ascii="宋体" w:hAnsi="宋体" w:eastAsia="宋体" w:cs="宋体"/>
          <w:bCs/>
          <w:color w:val="auto"/>
          <w:sz w:val="24"/>
          <w:szCs w:val="24"/>
        </w:rPr>
        <w:softHyphen/>
      </w:r>
      <w:r>
        <w:rPr>
          <w:rFonts w:hint="eastAsia" w:ascii="宋体" w:hAnsi="宋体" w:eastAsia="宋体" w:cs="宋体"/>
          <w:bCs/>
          <w:color w:val="auto"/>
          <w:sz w:val="24"/>
          <w:szCs w:val="24"/>
        </w:rPr>
        <w:t>L；</w:t>
      </w:r>
    </w:p>
    <w:p w14:paraId="5CED57F8">
      <w:pPr>
        <w:pStyle w:val="69"/>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w:t>
      </w:r>
      <w:r>
        <w:rPr>
          <w:rFonts w:hint="eastAsia" w:ascii="宋体" w:hAnsi="宋体" w:eastAsia="宋体" w:cs="宋体"/>
          <w:bCs/>
          <w:color w:val="auto"/>
          <w:kern w:val="2"/>
          <w:sz w:val="24"/>
          <w:szCs w:val="24"/>
          <w:lang w:val="en-US" w:eastAsia="zh-CN" w:bidi="ar-SA"/>
        </w:rPr>
        <w:t>5.</w:t>
      </w:r>
      <w:r>
        <w:rPr>
          <w:rFonts w:hint="eastAsia" w:ascii="宋体" w:hAnsi="宋体" w:eastAsia="宋体" w:cs="宋体"/>
          <w:bCs/>
          <w:color w:val="auto"/>
          <w:sz w:val="24"/>
          <w:szCs w:val="24"/>
        </w:rPr>
        <w:t xml:space="preserve">96孔模块具有温度梯度功能：由≥6个独立控温区组成，可分别设定温度参数，可同时进行≥6个不同样品的不同温度梯度实验； </w:t>
      </w:r>
    </w:p>
    <w:p w14:paraId="08989825">
      <w:pPr>
        <w:pStyle w:val="69"/>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kern w:val="2"/>
          <w:sz w:val="24"/>
          <w:szCs w:val="24"/>
          <w:lang w:val="en-US" w:eastAsia="zh-CN" w:bidi="ar-SA"/>
        </w:rPr>
        <w:t>6.</w:t>
      </w:r>
      <w:r>
        <w:rPr>
          <w:rFonts w:hint="eastAsia" w:ascii="宋体" w:hAnsi="宋体" w:eastAsia="宋体" w:cs="宋体"/>
          <w:bCs/>
          <w:color w:val="auto"/>
          <w:sz w:val="24"/>
          <w:szCs w:val="24"/>
        </w:rPr>
        <w:t>相邻温控区温度差异≥5℃，最大温度差异为25℃；</w:t>
      </w:r>
    </w:p>
    <w:p w14:paraId="23B7102D">
      <w:pPr>
        <w:keepNext w:val="0"/>
        <w:keepLines w:val="0"/>
        <w:pageBreakBefore w:val="0"/>
        <w:widowControl w:val="0"/>
        <w:numPr>
          <w:ilvl w:val="0"/>
          <w:numId w:val="0"/>
        </w:numPr>
        <w:kinsoku/>
        <w:wordWrap/>
        <w:overflowPunct/>
        <w:topLinePunct w:val="0"/>
        <w:autoSpaceDE/>
        <w:autoSpaceDN/>
        <w:bidi w:val="0"/>
        <w:spacing w:line="360" w:lineRule="auto"/>
        <w:ind w:left="0" w:leftChars="0" w:firstLine="480" w:firstLineChars="200"/>
        <w:jc w:val="both"/>
        <w:textAlignment w:val="auto"/>
        <w:rPr>
          <w:rFonts w:hint="eastAsia" w:ascii="宋体" w:hAnsi="宋体" w:eastAsia="宋体" w:cs="宋体"/>
          <w:bCs/>
          <w:color w:val="auto"/>
          <w:sz w:val="24"/>
          <w:szCs w:val="24"/>
        </w:rPr>
      </w:pPr>
      <w:r>
        <w:rPr>
          <w:rFonts w:hint="eastAsia" w:ascii="宋体" w:hAnsi="宋体" w:eastAsia="宋体" w:cs="宋体"/>
          <w:bCs/>
          <w:color w:val="auto"/>
          <w:kern w:val="2"/>
          <w:sz w:val="24"/>
          <w:szCs w:val="24"/>
          <w:lang w:val="en-US" w:eastAsia="zh-CN" w:bidi="ar-SA"/>
        </w:rPr>
        <w:t>7.</w:t>
      </w:r>
      <w:r>
        <w:rPr>
          <w:rFonts w:hint="eastAsia" w:ascii="宋体" w:hAnsi="宋体" w:eastAsia="宋体" w:cs="宋体"/>
          <w:bCs/>
          <w:color w:val="auto"/>
          <w:sz w:val="24"/>
          <w:szCs w:val="24"/>
        </w:rPr>
        <w:t>激发光源为高亮度白光半导体光源，工作寿命≥50000小时；</w:t>
      </w:r>
    </w:p>
    <w:p w14:paraId="0832BA7C">
      <w:pPr>
        <w:keepNext w:val="0"/>
        <w:keepLines w:val="0"/>
        <w:pageBreakBefore w:val="0"/>
        <w:widowControl w:val="0"/>
        <w:numPr>
          <w:ilvl w:val="0"/>
          <w:numId w:val="0"/>
        </w:numPr>
        <w:kinsoku/>
        <w:wordWrap/>
        <w:overflowPunct/>
        <w:topLinePunct w:val="0"/>
        <w:autoSpaceDE/>
        <w:autoSpaceDN/>
        <w:bidi w:val="0"/>
        <w:spacing w:line="360" w:lineRule="auto"/>
        <w:ind w:left="0" w:leftChars="0" w:firstLine="480" w:firstLineChars="200"/>
        <w:jc w:val="both"/>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w:t>
      </w:r>
      <w:r>
        <w:rPr>
          <w:rFonts w:hint="eastAsia" w:ascii="宋体" w:hAnsi="宋体" w:eastAsia="宋体" w:cs="宋体"/>
          <w:bCs/>
          <w:color w:val="auto"/>
          <w:kern w:val="2"/>
          <w:sz w:val="24"/>
          <w:szCs w:val="24"/>
          <w:lang w:val="en-US" w:eastAsia="zh-CN" w:bidi="ar-SA"/>
        </w:rPr>
        <w:t>8.</w:t>
      </w:r>
      <w:r>
        <w:rPr>
          <w:rFonts w:hint="eastAsia" w:ascii="宋体" w:hAnsi="宋体" w:eastAsia="宋体" w:cs="宋体"/>
          <w:bCs/>
          <w:color w:val="auto"/>
          <w:sz w:val="24"/>
          <w:szCs w:val="24"/>
        </w:rPr>
        <w:t>检测系统：低温</w:t>
      </w:r>
      <w:r>
        <w:rPr>
          <w:rFonts w:hint="eastAsia" w:ascii="宋体" w:hAnsi="宋体" w:eastAsia="宋体" w:cs="宋体"/>
          <w:color w:val="auto"/>
          <w:sz w:val="24"/>
          <w:szCs w:val="24"/>
        </w:rPr>
        <w:t>高分辨CMOS</w:t>
      </w:r>
      <w:r>
        <w:rPr>
          <w:rFonts w:hint="eastAsia" w:ascii="宋体" w:hAnsi="宋体" w:eastAsia="宋体" w:cs="宋体"/>
          <w:bCs/>
          <w:color w:val="auto"/>
          <w:sz w:val="24"/>
          <w:szCs w:val="24"/>
        </w:rPr>
        <w:t xml:space="preserve">，所有反应孔同时采集荧光数据，不同孔之间不存在扫描时间差，无需通过光纤传导以避免信号衰减； </w:t>
      </w:r>
    </w:p>
    <w:p w14:paraId="008D4877">
      <w:pPr>
        <w:keepNext w:val="0"/>
        <w:keepLines w:val="0"/>
        <w:pageBreakBefore w:val="0"/>
        <w:widowControl w:val="0"/>
        <w:numPr>
          <w:ilvl w:val="0"/>
          <w:numId w:val="0"/>
        </w:numPr>
        <w:kinsoku/>
        <w:wordWrap/>
        <w:overflowPunct/>
        <w:topLinePunct w:val="0"/>
        <w:autoSpaceDE/>
        <w:autoSpaceDN/>
        <w:bidi w:val="0"/>
        <w:spacing w:line="360" w:lineRule="auto"/>
        <w:ind w:left="0" w:leftChars="0" w:firstLine="480" w:firstLineChars="200"/>
        <w:jc w:val="both"/>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w:t>
      </w:r>
      <w:r>
        <w:rPr>
          <w:rFonts w:hint="eastAsia" w:ascii="宋体" w:hAnsi="宋体" w:eastAsia="宋体" w:cs="宋体"/>
          <w:bCs/>
          <w:color w:val="auto"/>
          <w:kern w:val="2"/>
          <w:sz w:val="24"/>
          <w:szCs w:val="24"/>
          <w:lang w:val="en-US" w:eastAsia="zh-CN" w:bidi="ar-SA"/>
        </w:rPr>
        <w:t>9.</w:t>
      </w:r>
      <w:r>
        <w:rPr>
          <w:rFonts w:hint="eastAsia" w:ascii="宋体" w:hAnsi="宋体" w:eastAsia="宋体" w:cs="宋体"/>
          <w:bCs/>
          <w:color w:val="auto"/>
          <w:sz w:val="24"/>
          <w:szCs w:val="24"/>
        </w:rPr>
        <w:t xml:space="preserve">荧光通道数：≥6个荧光激发通道，≥6个荧光检测通道，可以同时进行≥6重定量； </w:t>
      </w:r>
    </w:p>
    <w:p w14:paraId="46480151">
      <w:pPr>
        <w:keepNext w:val="0"/>
        <w:keepLines w:val="0"/>
        <w:pageBreakBefore w:val="0"/>
        <w:widowControl w:val="0"/>
        <w:numPr>
          <w:ilvl w:val="0"/>
          <w:numId w:val="0"/>
        </w:numPr>
        <w:kinsoku/>
        <w:wordWrap/>
        <w:overflowPunct/>
        <w:topLinePunct w:val="0"/>
        <w:autoSpaceDE/>
        <w:autoSpaceDN/>
        <w:bidi w:val="0"/>
        <w:spacing w:line="360" w:lineRule="auto"/>
        <w:ind w:left="0" w:leftChars="0" w:firstLine="480" w:firstLineChars="200"/>
        <w:jc w:val="both"/>
        <w:textAlignment w:val="auto"/>
        <w:rPr>
          <w:rFonts w:hint="eastAsia" w:ascii="宋体" w:hAnsi="宋体" w:eastAsia="宋体" w:cs="宋体"/>
          <w:bCs/>
          <w:color w:val="auto"/>
          <w:sz w:val="24"/>
          <w:szCs w:val="24"/>
        </w:rPr>
      </w:pPr>
      <w:r>
        <w:rPr>
          <w:rFonts w:hint="eastAsia" w:ascii="宋体" w:hAnsi="宋体" w:eastAsia="宋体" w:cs="宋体"/>
          <w:bCs/>
          <w:color w:val="auto"/>
          <w:kern w:val="2"/>
          <w:sz w:val="24"/>
          <w:szCs w:val="24"/>
          <w:lang w:val="en-US" w:eastAsia="zh-CN" w:bidi="ar-SA"/>
        </w:rPr>
        <w:t>10.</w:t>
      </w:r>
      <w:r>
        <w:rPr>
          <w:rFonts w:hint="eastAsia" w:ascii="宋体" w:hAnsi="宋体" w:eastAsia="宋体" w:cs="宋体"/>
          <w:bCs/>
          <w:color w:val="auto"/>
          <w:sz w:val="24"/>
          <w:szCs w:val="24"/>
        </w:rPr>
        <w:t>能同时检测并区分VIC荧光和TAMRA荧光，以用于基因拷贝数(CNV)检测；</w:t>
      </w:r>
    </w:p>
    <w:p w14:paraId="3A8AC394">
      <w:pPr>
        <w:keepNext w:val="0"/>
        <w:keepLines w:val="0"/>
        <w:pageBreakBefore w:val="0"/>
        <w:widowControl w:val="0"/>
        <w:numPr>
          <w:ilvl w:val="0"/>
          <w:numId w:val="0"/>
        </w:numPr>
        <w:kinsoku/>
        <w:wordWrap/>
        <w:overflowPunct/>
        <w:topLinePunct w:val="0"/>
        <w:autoSpaceDE/>
        <w:autoSpaceDN/>
        <w:bidi w:val="0"/>
        <w:spacing w:line="360" w:lineRule="auto"/>
        <w:ind w:left="0" w:leftChars="0" w:firstLine="480" w:firstLineChars="200"/>
        <w:jc w:val="both"/>
        <w:textAlignment w:val="auto"/>
        <w:rPr>
          <w:rFonts w:hint="eastAsia" w:ascii="宋体" w:hAnsi="宋体" w:eastAsia="宋体" w:cs="宋体"/>
          <w:bCs/>
          <w:color w:val="auto"/>
          <w:sz w:val="24"/>
          <w:szCs w:val="24"/>
        </w:rPr>
      </w:pPr>
      <w:r>
        <w:rPr>
          <w:rFonts w:hint="eastAsia" w:ascii="宋体" w:hAnsi="宋体" w:eastAsia="宋体" w:cs="宋体"/>
          <w:bCs/>
          <w:color w:val="auto"/>
          <w:kern w:val="2"/>
          <w:sz w:val="24"/>
          <w:szCs w:val="24"/>
          <w:lang w:val="en-US" w:eastAsia="zh-CN" w:bidi="ar-SA"/>
        </w:rPr>
        <w:t>11.</w:t>
      </w:r>
      <w:r>
        <w:rPr>
          <w:rFonts w:hint="eastAsia" w:ascii="宋体" w:hAnsi="宋体" w:eastAsia="宋体" w:cs="宋体"/>
          <w:bCs/>
          <w:color w:val="auto"/>
          <w:sz w:val="24"/>
          <w:szCs w:val="24"/>
        </w:rPr>
        <w:t>光学激发检测范围：450–680 nm/500–730 nm</w:t>
      </w:r>
    </w:p>
    <w:p w14:paraId="4D8481B8">
      <w:pPr>
        <w:keepNext w:val="0"/>
        <w:keepLines w:val="0"/>
        <w:pageBreakBefore w:val="0"/>
        <w:widowControl w:val="0"/>
        <w:numPr>
          <w:ilvl w:val="0"/>
          <w:numId w:val="0"/>
        </w:numPr>
        <w:kinsoku/>
        <w:wordWrap/>
        <w:overflowPunct/>
        <w:topLinePunct w:val="0"/>
        <w:autoSpaceDE/>
        <w:autoSpaceDN/>
        <w:bidi w:val="0"/>
        <w:spacing w:line="360" w:lineRule="auto"/>
        <w:ind w:left="0" w:leftChars="0" w:firstLine="480" w:firstLineChars="200"/>
        <w:jc w:val="both"/>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w:t>
      </w:r>
      <w:r>
        <w:rPr>
          <w:rFonts w:hint="eastAsia" w:ascii="宋体" w:hAnsi="宋体" w:eastAsia="宋体" w:cs="宋体"/>
          <w:bCs/>
          <w:color w:val="auto"/>
          <w:kern w:val="2"/>
          <w:sz w:val="24"/>
          <w:szCs w:val="24"/>
          <w:lang w:val="en-US" w:eastAsia="zh-CN" w:bidi="ar-SA"/>
        </w:rPr>
        <w:t>12.</w:t>
      </w:r>
      <w:r>
        <w:rPr>
          <w:rFonts w:hint="eastAsia" w:ascii="宋体" w:hAnsi="宋体" w:eastAsia="宋体" w:cs="宋体"/>
          <w:bCs/>
          <w:color w:val="auto"/>
          <w:sz w:val="24"/>
          <w:szCs w:val="24"/>
        </w:rPr>
        <w:t>配备校正实验物理误差的方案：利用参比荧光染料（包括但不限于ROX、Mustang Purple等）进行内参比荧光校正，同时校正加样误差和孔板耗材透光性差异</w:t>
      </w:r>
    </w:p>
    <w:p w14:paraId="1615FC3A">
      <w:pPr>
        <w:pStyle w:val="69"/>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kern w:val="2"/>
          <w:sz w:val="24"/>
          <w:szCs w:val="24"/>
          <w:lang w:val="en-US" w:eastAsia="zh-CN" w:bidi="ar-SA"/>
        </w:rPr>
        <w:t>13.</w:t>
      </w:r>
      <w:r>
        <w:rPr>
          <w:rFonts w:hint="eastAsia" w:ascii="宋体" w:hAnsi="宋体" w:eastAsia="宋体" w:cs="宋体"/>
          <w:bCs/>
          <w:color w:val="auto"/>
          <w:sz w:val="24"/>
          <w:szCs w:val="24"/>
        </w:rPr>
        <w:t>安装时已校准染料：通道一：FAM, SYBR Green I；通道二：VIC；通道三：NED, ABY, TAMRA；通道四：JUN, ROX；通道五Mustang Purple, Cy5；</w:t>
      </w:r>
    </w:p>
    <w:p w14:paraId="06AFE275">
      <w:pPr>
        <w:pStyle w:val="69"/>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kern w:val="2"/>
          <w:sz w:val="24"/>
          <w:szCs w:val="24"/>
          <w:lang w:val="en-US" w:eastAsia="zh-CN" w:bidi="ar-SA"/>
        </w:rPr>
        <w:t>14.</w:t>
      </w:r>
      <w:r>
        <w:rPr>
          <w:rFonts w:hint="eastAsia" w:ascii="宋体" w:hAnsi="宋体" w:eastAsia="宋体" w:cs="宋体"/>
          <w:bCs/>
          <w:color w:val="auto"/>
          <w:sz w:val="24"/>
          <w:szCs w:val="24"/>
        </w:rPr>
        <w:t>温度均一性：0.4°C</w:t>
      </w:r>
    </w:p>
    <w:p w14:paraId="5EA598C4">
      <w:pPr>
        <w:keepNext w:val="0"/>
        <w:keepLines w:val="0"/>
        <w:pageBreakBefore w:val="0"/>
        <w:widowControl w:val="0"/>
        <w:numPr>
          <w:ilvl w:val="0"/>
          <w:numId w:val="0"/>
        </w:numPr>
        <w:kinsoku/>
        <w:wordWrap/>
        <w:overflowPunct/>
        <w:topLinePunct w:val="0"/>
        <w:autoSpaceDE/>
        <w:autoSpaceDN/>
        <w:bidi w:val="0"/>
        <w:spacing w:line="360" w:lineRule="auto"/>
        <w:ind w:left="0" w:leftChars="0" w:firstLine="480" w:firstLineChars="200"/>
        <w:jc w:val="both"/>
        <w:textAlignment w:val="auto"/>
        <w:rPr>
          <w:rFonts w:hint="eastAsia" w:ascii="宋体" w:hAnsi="宋体" w:eastAsia="宋体" w:cs="宋体"/>
          <w:bCs/>
          <w:color w:val="auto"/>
          <w:sz w:val="24"/>
          <w:szCs w:val="24"/>
        </w:rPr>
      </w:pPr>
      <w:r>
        <w:rPr>
          <w:rFonts w:hint="eastAsia" w:ascii="宋体" w:hAnsi="宋体" w:eastAsia="宋体" w:cs="宋体"/>
          <w:bCs/>
          <w:color w:val="auto"/>
          <w:kern w:val="2"/>
          <w:sz w:val="24"/>
          <w:szCs w:val="24"/>
          <w:lang w:val="en-US" w:eastAsia="zh-CN" w:bidi="ar-SA"/>
        </w:rPr>
        <w:t>15.</w:t>
      </w:r>
      <w:r>
        <w:rPr>
          <w:rFonts w:hint="eastAsia" w:ascii="宋体" w:hAnsi="宋体" w:eastAsia="宋体" w:cs="宋体"/>
          <w:bCs/>
          <w:color w:val="auto"/>
          <w:sz w:val="24"/>
          <w:szCs w:val="24"/>
        </w:rPr>
        <w:t>温度准确性：0.25°C</w:t>
      </w:r>
    </w:p>
    <w:p w14:paraId="599EBF87">
      <w:pPr>
        <w:keepNext w:val="0"/>
        <w:keepLines w:val="0"/>
        <w:pageBreakBefore w:val="0"/>
        <w:widowControl w:val="0"/>
        <w:numPr>
          <w:ilvl w:val="0"/>
          <w:numId w:val="0"/>
        </w:numPr>
        <w:kinsoku/>
        <w:wordWrap/>
        <w:overflowPunct/>
        <w:topLinePunct w:val="0"/>
        <w:autoSpaceDE/>
        <w:autoSpaceDN/>
        <w:bidi w:val="0"/>
        <w:spacing w:line="360" w:lineRule="auto"/>
        <w:ind w:left="0" w:leftChars="0" w:firstLine="480" w:firstLineChars="200"/>
        <w:jc w:val="both"/>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w:t>
      </w:r>
      <w:r>
        <w:rPr>
          <w:rFonts w:hint="eastAsia" w:ascii="宋体" w:hAnsi="宋体" w:eastAsia="宋体" w:cs="宋体"/>
          <w:bCs/>
          <w:color w:val="auto"/>
          <w:kern w:val="2"/>
          <w:sz w:val="24"/>
          <w:szCs w:val="24"/>
          <w:lang w:val="en-US" w:eastAsia="zh-CN" w:bidi="ar-SA"/>
        </w:rPr>
        <w:t>16.</w:t>
      </w:r>
      <w:r>
        <w:rPr>
          <w:rFonts w:hint="eastAsia" w:ascii="宋体" w:hAnsi="宋体" w:eastAsia="宋体" w:cs="宋体"/>
          <w:bCs/>
          <w:color w:val="auto"/>
          <w:sz w:val="24"/>
          <w:szCs w:val="24"/>
        </w:rPr>
        <w:t>模块升降温速率≥6.5℃/秒；</w:t>
      </w:r>
    </w:p>
    <w:p w14:paraId="111EFD60">
      <w:pPr>
        <w:pStyle w:val="69"/>
        <w:keepNext w:val="0"/>
        <w:keepLines w:val="0"/>
        <w:pageBreakBefore w:val="0"/>
        <w:widowControl w:val="0"/>
        <w:numPr>
          <w:ilvl w:val="0"/>
          <w:numId w:val="0"/>
        </w:numPr>
        <w:kinsoku/>
        <w:wordWrap/>
        <w:overflowPunct/>
        <w:topLinePunct w:val="0"/>
        <w:autoSpaceDE/>
        <w:autoSpaceDN/>
        <w:bidi w:val="0"/>
        <w:spacing w:line="360" w:lineRule="auto"/>
        <w:ind w:left="0" w:leftChars="0" w:firstLine="480"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kern w:val="2"/>
          <w:sz w:val="24"/>
          <w:szCs w:val="24"/>
          <w:lang w:val="en-US" w:eastAsia="zh-CN" w:bidi="ar-SA"/>
        </w:rPr>
        <w:t>17.</w:t>
      </w:r>
      <w:r>
        <w:rPr>
          <w:rFonts w:hint="eastAsia" w:ascii="宋体" w:hAnsi="宋体" w:eastAsia="宋体" w:cs="宋体"/>
          <w:bCs/>
          <w:color w:val="auto"/>
          <w:sz w:val="24"/>
          <w:szCs w:val="24"/>
        </w:rPr>
        <w:t>反应模式：标准模式内40个循环≤2小时；快速模式40个循环≤30分钟；</w:t>
      </w:r>
    </w:p>
    <w:p w14:paraId="153B00C9">
      <w:pPr>
        <w:pStyle w:val="69"/>
        <w:keepNext w:val="0"/>
        <w:keepLines w:val="0"/>
        <w:pageBreakBefore w:val="0"/>
        <w:widowControl w:val="0"/>
        <w:numPr>
          <w:ilvl w:val="0"/>
          <w:numId w:val="0"/>
        </w:numPr>
        <w:kinsoku/>
        <w:wordWrap/>
        <w:overflowPunct/>
        <w:topLinePunct w:val="0"/>
        <w:autoSpaceDE/>
        <w:autoSpaceDN/>
        <w:bidi w:val="0"/>
        <w:spacing w:line="360" w:lineRule="auto"/>
        <w:ind w:left="0" w:leftChars="0" w:firstLine="480"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kern w:val="2"/>
          <w:sz w:val="24"/>
          <w:szCs w:val="24"/>
          <w:lang w:val="en-US" w:eastAsia="zh-CN" w:bidi="ar-SA"/>
        </w:rPr>
        <w:t>18.</w:t>
      </w:r>
      <w:r>
        <w:rPr>
          <w:rFonts w:hint="eastAsia" w:ascii="宋体" w:hAnsi="宋体" w:eastAsia="宋体" w:cs="宋体"/>
          <w:bCs/>
          <w:color w:val="auto"/>
          <w:sz w:val="24"/>
          <w:szCs w:val="24"/>
        </w:rPr>
        <w:t>检测灵敏度：≤1个拷贝；</w:t>
      </w:r>
    </w:p>
    <w:p w14:paraId="79EBE325">
      <w:pPr>
        <w:keepNext w:val="0"/>
        <w:keepLines w:val="0"/>
        <w:pageBreakBefore w:val="0"/>
        <w:widowControl w:val="0"/>
        <w:numPr>
          <w:ilvl w:val="0"/>
          <w:numId w:val="0"/>
        </w:numPr>
        <w:kinsoku/>
        <w:wordWrap/>
        <w:overflowPunct/>
        <w:topLinePunct w:val="0"/>
        <w:autoSpaceDE/>
        <w:autoSpaceDN/>
        <w:bidi w:val="0"/>
        <w:spacing w:line="360" w:lineRule="auto"/>
        <w:ind w:left="0" w:leftChars="0" w:firstLine="480" w:firstLineChars="200"/>
        <w:jc w:val="both"/>
        <w:textAlignment w:val="auto"/>
        <w:rPr>
          <w:rFonts w:hint="eastAsia" w:ascii="宋体" w:hAnsi="宋体" w:eastAsia="宋体" w:cs="宋体"/>
          <w:bCs/>
          <w:color w:val="auto"/>
          <w:sz w:val="24"/>
          <w:szCs w:val="24"/>
        </w:rPr>
      </w:pPr>
      <w:r>
        <w:rPr>
          <w:rFonts w:hint="eastAsia" w:ascii="宋体" w:hAnsi="宋体" w:eastAsia="宋体" w:cs="宋体"/>
          <w:bCs/>
          <w:color w:val="auto"/>
          <w:kern w:val="2"/>
          <w:sz w:val="24"/>
          <w:szCs w:val="24"/>
          <w:lang w:val="en-US" w:eastAsia="zh-CN" w:bidi="ar-SA"/>
        </w:rPr>
        <w:t>19.</w:t>
      </w:r>
      <w:r>
        <w:rPr>
          <w:rFonts w:hint="eastAsia" w:ascii="宋体" w:hAnsi="宋体" w:eastAsia="宋体" w:cs="宋体"/>
          <w:bCs/>
          <w:color w:val="auto"/>
          <w:sz w:val="24"/>
          <w:szCs w:val="24"/>
        </w:rPr>
        <w:t>检测精密度：≤1.5倍拷贝数差异；</w:t>
      </w:r>
    </w:p>
    <w:p w14:paraId="4B3102BA">
      <w:pPr>
        <w:pStyle w:val="69"/>
        <w:keepNext w:val="0"/>
        <w:keepLines w:val="0"/>
        <w:pageBreakBefore w:val="0"/>
        <w:widowControl w:val="0"/>
        <w:numPr>
          <w:ilvl w:val="0"/>
          <w:numId w:val="0"/>
        </w:numPr>
        <w:kinsoku/>
        <w:wordWrap/>
        <w:overflowPunct/>
        <w:topLinePunct w:val="0"/>
        <w:autoSpaceDE/>
        <w:autoSpaceDN/>
        <w:bidi w:val="0"/>
        <w:spacing w:line="360" w:lineRule="auto"/>
        <w:ind w:left="0" w:leftChars="0" w:firstLine="480"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kern w:val="2"/>
          <w:sz w:val="24"/>
          <w:szCs w:val="24"/>
          <w:lang w:val="en-US" w:eastAsia="zh-CN" w:bidi="ar-SA"/>
        </w:rPr>
        <w:t>20.</w:t>
      </w:r>
      <w:r>
        <w:rPr>
          <w:rFonts w:hint="eastAsia" w:ascii="宋体" w:hAnsi="宋体" w:eastAsia="宋体" w:cs="宋体"/>
          <w:bCs/>
          <w:color w:val="auto"/>
          <w:sz w:val="24"/>
          <w:szCs w:val="24"/>
        </w:rPr>
        <w:t>动态范围：≥10个数量级；</w:t>
      </w:r>
    </w:p>
    <w:p w14:paraId="3BE55723">
      <w:pPr>
        <w:keepNext w:val="0"/>
        <w:keepLines w:val="0"/>
        <w:pageBreakBefore w:val="0"/>
        <w:widowControl w:val="0"/>
        <w:numPr>
          <w:ilvl w:val="0"/>
          <w:numId w:val="0"/>
        </w:numPr>
        <w:kinsoku/>
        <w:wordWrap/>
        <w:overflowPunct/>
        <w:topLinePunct w:val="0"/>
        <w:autoSpaceDE/>
        <w:autoSpaceDN/>
        <w:bidi w:val="0"/>
        <w:spacing w:line="360" w:lineRule="auto"/>
        <w:ind w:left="0" w:leftChars="0" w:firstLine="480" w:firstLineChars="200"/>
        <w:jc w:val="both"/>
        <w:textAlignment w:val="auto"/>
        <w:rPr>
          <w:rFonts w:hint="eastAsia" w:ascii="宋体" w:hAnsi="宋体" w:eastAsia="宋体" w:cs="宋体"/>
          <w:bCs/>
          <w:color w:val="auto"/>
          <w:sz w:val="24"/>
          <w:szCs w:val="24"/>
        </w:rPr>
      </w:pPr>
      <w:r>
        <w:rPr>
          <w:rFonts w:hint="eastAsia" w:ascii="宋体" w:hAnsi="宋体" w:eastAsia="宋体" w:cs="宋体"/>
          <w:bCs/>
          <w:color w:val="auto"/>
          <w:kern w:val="2"/>
          <w:sz w:val="24"/>
          <w:szCs w:val="24"/>
          <w:lang w:val="en-US" w:eastAsia="zh-CN" w:bidi="ar-SA"/>
        </w:rPr>
        <w:t>21.</w:t>
      </w:r>
      <w:r>
        <w:rPr>
          <w:rFonts w:hint="eastAsia" w:ascii="宋体" w:hAnsi="宋体" w:eastAsia="宋体" w:cs="宋体"/>
          <w:bCs/>
          <w:color w:val="auto"/>
          <w:sz w:val="24"/>
          <w:szCs w:val="24"/>
        </w:rPr>
        <w:t>可选高分辨率熔解曲线 HRM分析功能，分辨率最小至 0.015°C；</w:t>
      </w:r>
    </w:p>
    <w:p w14:paraId="50B3F589">
      <w:pPr>
        <w:keepNext w:val="0"/>
        <w:keepLines w:val="0"/>
        <w:pageBreakBefore w:val="0"/>
        <w:widowControl w:val="0"/>
        <w:numPr>
          <w:ilvl w:val="0"/>
          <w:numId w:val="0"/>
        </w:numPr>
        <w:kinsoku/>
        <w:wordWrap/>
        <w:overflowPunct/>
        <w:topLinePunct w:val="0"/>
        <w:autoSpaceDE/>
        <w:autoSpaceDN/>
        <w:bidi w:val="0"/>
        <w:spacing w:line="360" w:lineRule="auto"/>
        <w:ind w:left="0" w:leftChars="0" w:firstLine="480" w:firstLineChars="200"/>
        <w:jc w:val="both"/>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w:t>
      </w:r>
      <w:r>
        <w:rPr>
          <w:rFonts w:hint="eastAsia" w:ascii="宋体" w:hAnsi="宋体" w:eastAsia="宋体" w:cs="宋体"/>
          <w:bCs/>
          <w:color w:val="auto"/>
          <w:kern w:val="2"/>
          <w:sz w:val="24"/>
          <w:szCs w:val="24"/>
          <w:lang w:val="en-US" w:eastAsia="zh-CN" w:bidi="ar-SA"/>
        </w:rPr>
        <w:t>22.</w:t>
      </w:r>
      <w:r>
        <w:rPr>
          <w:rFonts w:hint="eastAsia" w:ascii="宋体" w:hAnsi="宋体" w:eastAsia="宋体" w:cs="宋体"/>
          <w:bCs/>
          <w:color w:val="auto"/>
          <w:sz w:val="24"/>
          <w:szCs w:val="24"/>
        </w:rPr>
        <w:t>内置≥</w:t>
      </w:r>
      <w:bookmarkStart w:id="66" w:name="_Hlk118454269"/>
      <w:r>
        <w:rPr>
          <w:rFonts w:hint="eastAsia" w:ascii="宋体" w:hAnsi="宋体" w:eastAsia="宋体" w:cs="宋体"/>
          <w:bCs/>
          <w:color w:val="auto"/>
          <w:sz w:val="24"/>
          <w:szCs w:val="24"/>
        </w:rPr>
        <w:t>8.5英寸</w:t>
      </w:r>
      <w:bookmarkEnd w:id="66"/>
      <w:r>
        <w:rPr>
          <w:rFonts w:hint="eastAsia" w:ascii="宋体" w:hAnsi="宋体" w:eastAsia="宋体" w:cs="宋体"/>
          <w:bCs/>
          <w:color w:val="auto"/>
          <w:sz w:val="24"/>
          <w:szCs w:val="24"/>
        </w:rPr>
        <w:t>触摸屏，触摸板并可查看实时荧光定量PCR实验；</w:t>
      </w:r>
    </w:p>
    <w:p w14:paraId="522B73A8">
      <w:pPr>
        <w:keepNext w:val="0"/>
        <w:keepLines w:val="0"/>
        <w:pageBreakBefore w:val="0"/>
        <w:widowControl w:val="0"/>
        <w:numPr>
          <w:ilvl w:val="0"/>
          <w:numId w:val="0"/>
        </w:numPr>
        <w:kinsoku/>
        <w:wordWrap/>
        <w:overflowPunct/>
        <w:topLinePunct w:val="0"/>
        <w:autoSpaceDE/>
        <w:autoSpaceDN/>
        <w:bidi w:val="0"/>
        <w:spacing w:line="360" w:lineRule="auto"/>
        <w:ind w:left="0" w:leftChars="0" w:firstLine="480" w:firstLineChars="200"/>
        <w:jc w:val="both"/>
        <w:textAlignment w:val="auto"/>
        <w:rPr>
          <w:rFonts w:hint="eastAsia" w:ascii="宋体" w:hAnsi="宋体" w:eastAsia="宋体" w:cs="宋体"/>
          <w:bCs/>
          <w:color w:val="auto"/>
          <w:sz w:val="24"/>
          <w:szCs w:val="24"/>
        </w:rPr>
      </w:pPr>
      <w:r>
        <w:rPr>
          <w:rFonts w:hint="eastAsia" w:ascii="宋体" w:hAnsi="宋体" w:eastAsia="宋体" w:cs="宋体"/>
          <w:bCs/>
          <w:color w:val="auto"/>
          <w:kern w:val="2"/>
          <w:sz w:val="24"/>
          <w:szCs w:val="24"/>
          <w:lang w:val="en-US" w:eastAsia="zh-CN" w:bidi="ar-SA"/>
        </w:rPr>
        <w:t>23.</w:t>
      </w:r>
      <w:r>
        <w:rPr>
          <w:rFonts w:hint="eastAsia" w:ascii="宋体" w:hAnsi="宋体" w:eastAsia="宋体" w:cs="宋体"/>
          <w:bCs/>
          <w:color w:val="auto"/>
          <w:sz w:val="24"/>
          <w:szCs w:val="24"/>
        </w:rPr>
        <w:t>仪器自带存储空间≥10GB,可储存2000-2500次实验数据；</w:t>
      </w:r>
    </w:p>
    <w:p w14:paraId="4B5491C7">
      <w:pPr>
        <w:keepNext w:val="0"/>
        <w:keepLines w:val="0"/>
        <w:pageBreakBefore w:val="0"/>
        <w:widowControl w:val="0"/>
        <w:numPr>
          <w:ilvl w:val="0"/>
          <w:numId w:val="0"/>
        </w:numPr>
        <w:kinsoku/>
        <w:wordWrap/>
        <w:overflowPunct/>
        <w:topLinePunct w:val="0"/>
        <w:autoSpaceDE/>
        <w:autoSpaceDN/>
        <w:bidi w:val="0"/>
        <w:spacing w:line="360" w:lineRule="auto"/>
        <w:ind w:left="0" w:leftChars="0" w:firstLine="480" w:firstLineChars="200"/>
        <w:jc w:val="both"/>
        <w:textAlignment w:val="auto"/>
        <w:rPr>
          <w:rFonts w:hint="eastAsia" w:ascii="宋体" w:hAnsi="宋体" w:eastAsia="宋体" w:cs="宋体"/>
          <w:bCs/>
          <w:color w:val="auto"/>
          <w:sz w:val="24"/>
          <w:szCs w:val="24"/>
        </w:rPr>
      </w:pPr>
      <w:r>
        <w:rPr>
          <w:rFonts w:hint="eastAsia" w:ascii="宋体" w:hAnsi="宋体" w:eastAsia="宋体" w:cs="宋体"/>
          <w:bCs/>
          <w:color w:val="auto"/>
          <w:kern w:val="2"/>
          <w:sz w:val="24"/>
          <w:szCs w:val="24"/>
          <w:lang w:val="en-US" w:eastAsia="zh-CN" w:bidi="ar-SA"/>
        </w:rPr>
        <w:t>24.</w:t>
      </w:r>
      <w:r>
        <w:rPr>
          <w:rFonts w:hint="eastAsia" w:ascii="宋体" w:hAnsi="宋体" w:eastAsia="宋体" w:cs="宋体"/>
          <w:bCs/>
          <w:color w:val="auto"/>
          <w:sz w:val="24"/>
          <w:szCs w:val="24"/>
        </w:rPr>
        <w:t>仪器具有断电后一小时之内恢复来电实验自动恢复的功能；</w:t>
      </w:r>
    </w:p>
    <w:p w14:paraId="26D0A3C3">
      <w:pPr>
        <w:keepNext w:val="0"/>
        <w:keepLines w:val="0"/>
        <w:pageBreakBefore w:val="0"/>
        <w:widowControl w:val="0"/>
        <w:numPr>
          <w:ilvl w:val="0"/>
          <w:numId w:val="0"/>
        </w:numPr>
        <w:kinsoku/>
        <w:wordWrap/>
        <w:overflowPunct/>
        <w:topLinePunct w:val="0"/>
        <w:autoSpaceDE/>
        <w:autoSpaceDN/>
        <w:bidi w:val="0"/>
        <w:spacing w:line="360" w:lineRule="auto"/>
        <w:ind w:left="0" w:leftChars="0" w:firstLine="480" w:firstLineChars="200"/>
        <w:jc w:val="both"/>
        <w:textAlignment w:val="auto"/>
        <w:rPr>
          <w:rFonts w:hint="eastAsia" w:ascii="宋体" w:hAnsi="宋体" w:eastAsia="宋体" w:cs="宋体"/>
          <w:bCs/>
          <w:color w:val="auto"/>
          <w:sz w:val="24"/>
          <w:szCs w:val="24"/>
        </w:rPr>
      </w:pPr>
      <w:r>
        <w:rPr>
          <w:rFonts w:hint="eastAsia" w:ascii="宋体" w:hAnsi="宋体" w:eastAsia="宋体" w:cs="宋体"/>
          <w:bCs/>
          <w:color w:val="auto"/>
          <w:kern w:val="2"/>
          <w:sz w:val="24"/>
          <w:szCs w:val="24"/>
          <w:lang w:val="en-US" w:eastAsia="zh-CN" w:bidi="ar-SA"/>
        </w:rPr>
        <w:t>25.</w:t>
      </w:r>
      <w:r>
        <w:rPr>
          <w:rFonts w:hint="eastAsia" w:ascii="宋体" w:hAnsi="宋体" w:eastAsia="宋体" w:cs="宋体"/>
          <w:bCs/>
          <w:color w:val="auto"/>
          <w:sz w:val="24"/>
          <w:szCs w:val="24"/>
        </w:rPr>
        <w:t>开放的应用程序界面（API）允许整合第三方系统，如LIMS（实验室综合管理系统）或定制的自动化平台。软件自带原厂配套的符合21 CFR Part 11要求的标准SAE功能，以便数据的审查记录；</w:t>
      </w:r>
    </w:p>
    <w:p w14:paraId="6F425BAD">
      <w:pPr>
        <w:pStyle w:val="69"/>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kern w:val="2"/>
          <w:sz w:val="24"/>
          <w:szCs w:val="24"/>
          <w:lang w:val="en-US" w:eastAsia="zh-CN" w:bidi="ar-SA"/>
        </w:rPr>
        <w:t>26.</w:t>
      </w:r>
      <w:r>
        <w:rPr>
          <w:rFonts w:hint="eastAsia" w:ascii="宋体" w:hAnsi="宋体" w:eastAsia="宋体" w:cs="宋体"/>
          <w:bCs/>
          <w:color w:val="auto"/>
          <w:sz w:val="24"/>
          <w:szCs w:val="24"/>
        </w:rPr>
        <w:t xml:space="preserve">仪器的耗材和试剂盒均为开放式；用户可选择原厂同品牌多款耗材和试剂，也可选择市场上其他厂家的耗材和试剂： </w:t>
      </w:r>
    </w:p>
    <w:p w14:paraId="7A285613">
      <w:pPr>
        <w:keepNext w:val="0"/>
        <w:keepLines w:val="0"/>
        <w:pageBreakBefore w:val="0"/>
        <w:widowControl w:val="0"/>
        <w:numPr>
          <w:ilvl w:val="0"/>
          <w:numId w:val="0"/>
        </w:numPr>
        <w:kinsoku/>
        <w:wordWrap/>
        <w:overflowPunct/>
        <w:topLinePunct w:val="0"/>
        <w:autoSpaceDE/>
        <w:autoSpaceDN/>
        <w:bidi w:val="0"/>
        <w:spacing w:line="360" w:lineRule="auto"/>
        <w:ind w:left="0" w:leftChars="0" w:firstLine="480" w:firstLineChars="200"/>
        <w:jc w:val="both"/>
        <w:textAlignment w:val="auto"/>
        <w:rPr>
          <w:rFonts w:hint="eastAsia" w:ascii="宋体" w:hAnsi="宋体" w:eastAsia="宋体" w:cs="宋体"/>
          <w:bCs/>
          <w:color w:val="auto"/>
          <w:sz w:val="24"/>
          <w:szCs w:val="24"/>
        </w:rPr>
      </w:pPr>
      <w:r>
        <w:rPr>
          <w:rFonts w:hint="eastAsia" w:ascii="宋体" w:hAnsi="宋体" w:eastAsia="宋体" w:cs="宋体"/>
          <w:bCs/>
          <w:color w:val="auto"/>
          <w:kern w:val="2"/>
          <w:sz w:val="24"/>
          <w:szCs w:val="24"/>
          <w:lang w:val="en-US" w:eastAsia="zh-CN" w:bidi="ar-SA"/>
        </w:rPr>
        <w:t>27.</w:t>
      </w:r>
      <w:r>
        <w:rPr>
          <w:rFonts w:hint="eastAsia" w:ascii="宋体" w:hAnsi="宋体" w:eastAsia="宋体" w:cs="宋体"/>
          <w:bCs/>
          <w:color w:val="auto"/>
          <w:sz w:val="24"/>
          <w:szCs w:val="24"/>
        </w:rPr>
        <w:t>配置：荧光定量PCR主机一台，仪器控制分析系统一套；数据采集和分析软件一套；引物和探针设计软件一套；安装试剂盒一套；</w:t>
      </w:r>
    </w:p>
    <w:p w14:paraId="0EB541DE">
      <w:pPr>
        <w:keepNext w:val="0"/>
        <w:keepLines w:val="0"/>
        <w:pageBreakBefore w:val="0"/>
        <w:widowControl w:val="0"/>
        <w:numPr>
          <w:ilvl w:val="0"/>
          <w:numId w:val="0"/>
        </w:numPr>
        <w:kinsoku/>
        <w:wordWrap/>
        <w:overflowPunct/>
        <w:topLinePunct w:val="0"/>
        <w:bidi w:val="0"/>
        <w:spacing w:line="360" w:lineRule="auto"/>
        <w:ind w:left="0" w:firstLine="482" w:firstLineChars="200"/>
        <w:textAlignment w:val="auto"/>
        <w:rPr>
          <w:rFonts w:hint="eastAsia" w:ascii="宋体" w:hAnsi="宋体" w:eastAsia="宋体" w:cs="宋体"/>
          <w:b/>
          <w:bCs/>
          <w:color w:val="auto"/>
          <w:sz w:val="24"/>
          <w:szCs w:val="24"/>
          <w:lang w:val="en-US" w:eastAsia="zh-CN"/>
        </w:rPr>
      </w:pPr>
    </w:p>
    <w:p w14:paraId="69BEB23B">
      <w:pPr>
        <w:keepNext w:val="0"/>
        <w:keepLines w:val="0"/>
        <w:pageBreakBefore w:val="0"/>
        <w:widowControl w:val="0"/>
        <w:kinsoku/>
        <w:wordWrap/>
        <w:overflowPunct/>
        <w:topLinePunct w:val="0"/>
        <w:bidi w:val="0"/>
        <w:spacing w:line="360" w:lineRule="auto"/>
        <w:ind w:left="0"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sz w:val="24"/>
          <w:szCs w:val="24"/>
          <w:lang w:val="en-US" w:eastAsia="zh-CN"/>
        </w:rPr>
        <w:t>四、</w:t>
      </w:r>
      <w:r>
        <w:rPr>
          <w:rFonts w:hint="eastAsia" w:ascii="宋体" w:hAnsi="宋体" w:eastAsia="宋体" w:cs="宋体"/>
          <w:b/>
          <w:bCs/>
          <w:sz w:val="24"/>
          <w:szCs w:val="24"/>
        </w:rPr>
        <w:t>实时荧光定量PCR分析仪</w:t>
      </w:r>
    </w:p>
    <w:p w14:paraId="1C9CDC4A">
      <w:pPr>
        <w:keepNext w:val="0"/>
        <w:keepLines w:val="0"/>
        <w:pageBreakBefore w:val="0"/>
        <w:widowControl w:val="0"/>
        <w:kinsoku/>
        <w:wordWrap/>
        <w:overflowPunct/>
        <w:topLinePunct w:val="0"/>
        <w:bidi w:val="0"/>
        <w:snapToGrid w:val="0"/>
        <w:spacing w:line="360" w:lineRule="auto"/>
        <w:ind w:left="0" w:firstLine="480" w:firstLineChars="200"/>
        <w:textAlignment w:val="auto"/>
        <w:rPr>
          <w:rFonts w:hint="eastAsia" w:ascii="宋体" w:hAnsi="宋体" w:eastAsia="宋体" w:cs="宋体"/>
          <w:bCs/>
          <w:sz w:val="24"/>
          <w:szCs w:val="24"/>
        </w:rPr>
      </w:pPr>
      <w:r>
        <w:rPr>
          <w:rFonts w:hint="eastAsia" w:ascii="宋体" w:hAnsi="宋体" w:cs="宋体"/>
          <w:bCs/>
          <w:sz w:val="24"/>
          <w:szCs w:val="24"/>
          <w:lang w:val="en-US" w:eastAsia="zh-CN"/>
        </w:rPr>
        <w:t>1</w:t>
      </w:r>
      <w:r>
        <w:rPr>
          <w:rFonts w:hint="eastAsia" w:ascii="宋体" w:hAnsi="宋体" w:eastAsia="宋体" w:cs="宋体"/>
          <w:bCs/>
          <w:sz w:val="24"/>
          <w:szCs w:val="24"/>
        </w:rPr>
        <w:t>.光源: 免维护 LED</w:t>
      </w:r>
    </w:p>
    <w:p w14:paraId="21319A78">
      <w:pPr>
        <w:keepNext w:val="0"/>
        <w:keepLines w:val="0"/>
        <w:pageBreakBefore w:val="0"/>
        <w:widowControl w:val="0"/>
        <w:kinsoku/>
        <w:wordWrap/>
        <w:overflowPunct/>
        <w:topLinePunct w:val="0"/>
        <w:bidi w:val="0"/>
        <w:snapToGrid w:val="0"/>
        <w:spacing w:line="360" w:lineRule="auto"/>
        <w:ind w:left="0"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2.检测器: 光电二极管</w:t>
      </w:r>
    </w:p>
    <w:p w14:paraId="3216432A">
      <w:pPr>
        <w:keepNext w:val="0"/>
        <w:keepLines w:val="0"/>
        <w:pageBreakBefore w:val="0"/>
        <w:widowControl w:val="0"/>
        <w:kinsoku/>
        <w:wordWrap/>
        <w:overflowPunct/>
        <w:topLinePunct w:val="0"/>
        <w:bidi w:val="0"/>
        <w:snapToGrid w:val="0"/>
        <w:spacing w:line="360" w:lineRule="auto"/>
        <w:ind w:left="0" w:firstLine="480" w:firstLineChars="200"/>
        <w:textAlignment w:val="auto"/>
        <w:rPr>
          <w:rFonts w:hint="eastAsia" w:ascii="宋体" w:hAnsi="宋体" w:eastAsia="宋体" w:cs="宋体"/>
          <w:bCs/>
          <w:sz w:val="24"/>
          <w:szCs w:val="24"/>
        </w:rPr>
      </w:pPr>
      <w:r>
        <w:rPr>
          <w:rFonts w:hint="eastAsia" w:ascii="宋体" w:hAnsi="宋体" w:eastAsia="宋体" w:cs="宋体"/>
          <w:bCs/>
          <w:color w:val="auto"/>
          <w:sz w:val="24"/>
          <w:szCs w:val="24"/>
        </w:rPr>
        <w:t>▲</w:t>
      </w:r>
      <w:r>
        <w:rPr>
          <w:rFonts w:hint="eastAsia" w:ascii="宋体" w:hAnsi="宋体" w:cs="宋体"/>
          <w:bCs/>
          <w:color w:val="auto"/>
          <w:sz w:val="24"/>
          <w:szCs w:val="24"/>
          <w:lang w:val="en-US" w:eastAsia="zh-CN"/>
        </w:rPr>
        <w:t>3</w:t>
      </w:r>
      <w:r>
        <w:rPr>
          <w:rFonts w:hint="eastAsia" w:ascii="宋体" w:hAnsi="宋体" w:eastAsia="宋体" w:cs="宋体"/>
          <w:bCs/>
          <w:sz w:val="24"/>
          <w:szCs w:val="24"/>
        </w:rPr>
        <w:t>.样本容量：≥96孔</w:t>
      </w:r>
    </w:p>
    <w:p w14:paraId="00766D23">
      <w:pPr>
        <w:keepNext w:val="0"/>
        <w:keepLines w:val="0"/>
        <w:pageBreakBefore w:val="0"/>
        <w:widowControl w:val="0"/>
        <w:kinsoku/>
        <w:wordWrap/>
        <w:overflowPunct/>
        <w:topLinePunct w:val="0"/>
        <w:bidi w:val="0"/>
        <w:snapToGrid w:val="0"/>
        <w:spacing w:line="360" w:lineRule="auto"/>
        <w:ind w:left="0" w:firstLine="480" w:firstLineChars="200"/>
        <w:textAlignment w:val="auto"/>
        <w:rPr>
          <w:rFonts w:hint="eastAsia" w:ascii="宋体" w:hAnsi="宋体" w:eastAsia="宋体" w:cs="宋体"/>
          <w:bCs/>
          <w:sz w:val="24"/>
          <w:szCs w:val="24"/>
        </w:rPr>
      </w:pPr>
      <w:r>
        <w:rPr>
          <w:rFonts w:hint="eastAsia" w:ascii="宋体" w:hAnsi="宋体" w:eastAsia="宋体" w:cs="宋体"/>
          <w:bCs/>
          <w:color w:val="auto"/>
          <w:sz w:val="24"/>
          <w:szCs w:val="24"/>
        </w:rPr>
        <w:t>▲</w:t>
      </w:r>
      <w:r>
        <w:rPr>
          <w:rFonts w:hint="eastAsia" w:ascii="宋体" w:hAnsi="宋体" w:cs="宋体"/>
          <w:bCs/>
          <w:color w:val="auto"/>
          <w:sz w:val="24"/>
          <w:szCs w:val="24"/>
          <w:lang w:val="en-US" w:eastAsia="zh-CN"/>
        </w:rPr>
        <w:t>4</w:t>
      </w:r>
      <w:r>
        <w:rPr>
          <w:rFonts w:hint="eastAsia" w:ascii="宋体" w:hAnsi="宋体" w:eastAsia="宋体" w:cs="宋体"/>
          <w:bCs/>
          <w:sz w:val="24"/>
          <w:szCs w:val="24"/>
        </w:rPr>
        <w:t>.荧光检测波长:≥</w:t>
      </w:r>
      <w:r>
        <w:rPr>
          <w:rFonts w:hint="eastAsia" w:ascii="宋体" w:hAnsi="宋体" w:cs="宋体"/>
          <w:bCs/>
          <w:sz w:val="24"/>
          <w:szCs w:val="24"/>
          <w:lang w:val="en-US" w:eastAsia="zh-CN"/>
        </w:rPr>
        <w:t>8</w:t>
      </w:r>
      <w:r>
        <w:rPr>
          <w:rFonts w:hint="eastAsia" w:ascii="宋体" w:hAnsi="宋体" w:eastAsia="宋体" w:cs="宋体"/>
          <w:bCs/>
          <w:sz w:val="24"/>
          <w:szCs w:val="24"/>
        </w:rPr>
        <w:t>通道</w:t>
      </w:r>
    </w:p>
    <w:p w14:paraId="54143859">
      <w:pPr>
        <w:keepNext w:val="0"/>
        <w:keepLines w:val="0"/>
        <w:pageBreakBefore w:val="0"/>
        <w:widowControl w:val="0"/>
        <w:kinsoku/>
        <w:wordWrap/>
        <w:overflowPunct/>
        <w:topLinePunct w:val="0"/>
        <w:bidi w:val="0"/>
        <w:snapToGrid w:val="0"/>
        <w:spacing w:line="360" w:lineRule="auto"/>
        <w:ind w:left="0" w:firstLine="480" w:firstLineChars="200"/>
        <w:textAlignment w:val="auto"/>
        <w:rPr>
          <w:rFonts w:hint="eastAsia" w:ascii="宋体" w:hAnsi="宋体" w:eastAsia="宋体" w:cs="宋体"/>
          <w:bCs/>
          <w:sz w:val="24"/>
          <w:szCs w:val="24"/>
        </w:rPr>
      </w:pPr>
      <w:r>
        <w:rPr>
          <w:rFonts w:hint="eastAsia" w:ascii="宋体" w:hAnsi="宋体" w:cs="宋体"/>
          <w:bCs/>
          <w:sz w:val="24"/>
          <w:szCs w:val="24"/>
          <w:lang w:val="en-US" w:eastAsia="zh-CN"/>
        </w:rPr>
        <w:t>5</w:t>
      </w:r>
      <w:r>
        <w:rPr>
          <w:rFonts w:hint="eastAsia" w:ascii="宋体" w:hAnsi="宋体" w:eastAsia="宋体" w:cs="宋体"/>
          <w:bCs/>
          <w:sz w:val="24"/>
          <w:szCs w:val="24"/>
        </w:rPr>
        <w:t>.法规使用年限: ≥7年</w:t>
      </w:r>
    </w:p>
    <w:p w14:paraId="700794F8">
      <w:pPr>
        <w:keepNext w:val="0"/>
        <w:keepLines w:val="0"/>
        <w:pageBreakBefore w:val="0"/>
        <w:widowControl w:val="0"/>
        <w:kinsoku/>
        <w:wordWrap/>
        <w:overflowPunct/>
        <w:topLinePunct w:val="0"/>
        <w:bidi w:val="0"/>
        <w:snapToGrid w:val="0"/>
        <w:spacing w:line="360" w:lineRule="auto"/>
        <w:ind w:left="0" w:firstLine="480" w:firstLineChars="200"/>
        <w:textAlignment w:val="auto"/>
        <w:rPr>
          <w:rFonts w:hint="eastAsia" w:ascii="宋体" w:hAnsi="宋体" w:eastAsia="宋体" w:cs="宋体"/>
          <w:bCs/>
          <w:sz w:val="24"/>
          <w:szCs w:val="24"/>
        </w:rPr>
      </w:pPr>
      <w:r>
        <w:rPr>
          <w:rFonts w:hint="eastAsia" w:ascii="宋体" w:hAnsi="宋体" w:cs="宋体"/>
          <w:bCs/>
          <w:sz w:val="24"/>
          <w:szCs w:val="24"/>
          <w:lang w:val="en-US" w:eastAsia="zh-CN"/>
        </w:rPr>
        <w:t>6</w:t>
      </w:r>
      <w:r>
        <w:rPr>
          <w:rFonts w:hint="eastAsia" w:ascii="宋体" w:hAnsi="宋体" w:eastAsia="宋体" w:cs="宋体"/>
          <w:bCs/>
          <w:sz w:val="24"/>
          <w:szCs w:val="24"/>
        </w:rPr>
        <w:t>.运行控制: 一台电脑可连多台仪器，控制运行</w:t>
      </w:r>
    </w:p>
    <w:p w14:paraId="6E238592">
      <w:pPr>
        <w:keepNext w:val="0"/>
        <w:keepLines w:val="0"/>
        <w:pageBreakBefore w:val="0"/>
        <w:widowControl w:val="0"/>
        <w:kinsoku/>
        <w:wordWrap/>
        <w:overflowPunct/>
        <w:topLinePunct w:val="0"/>
        <w:bidi w:val="0"/>
        <w:snapToGrid w:val="0"/>
        <w:spacing w:line="360" w:lineRule="auto"/>
        <w:ind w:left="0" w:firstLine="480" w:firstLineChars="200"/>
        <w:textAlignment w:val="auto"/>
        <w:rPr>
          <w:rFonts w:hint="eastAsia" w:ascii="宋体" w:hAnsi="宋体" w:eastAsia="宋体" w:cs="宋体"/>
          <w:bCs/>
          <w:sz w:val="24"/>
          <w:szCs w:val="24"/>
        </w:rPr>
      </w:pPr>
      <w:r>
        <w:rPr>
          <w:rFonts w:hint="eastAsia" w:ascii="宋体" w:hAnsi="宋体" w:cs="宋体"/>
          <w:bCs/>
          <w:sz w:val="24"/>
          <w:szCs w:val="24"/>
          <w:lang w:eastAsia="zh-CN"/>
        </w:rPr>
        <w:t>7</w:t>
      </w:r>
      <w:r>
        <w:rPr>
          <w:rFonts w:hint="eastAsia" w:ascii="宋体" w:hAnsi="宋体" w:eastAsia="宋体" w:cs="宋体"/>
          <w:bCs/>
          <w:sz w:val="24"/>
          <w:szCs w:val="24"/>
        </w:rPr>
        <w:t>.模块温度范围: 4℃-99℃</w:t>
      </w:r>
    </w:p>
    <w:p w14:paraId="2C616574">
      <w:pPr>
        <w:keepNext w:val="0"/>
        <w:keepLines w:val="0"/>
        <w:pageBreakBefore w:val="0"/>
        <w:widowControl w:val="0"/>
        <w:kinsoku/>
        <w:wordWrap/>
        <w:overflowPunct/>
        <w:topLinePunct w:val="0"/>
        <w:bidi w:val="0"/>
        <w:snapToGrid w:val="0"/>
        <w:spacing w:line="360" w:lineRule="auto"/>
        <w:ind w:left="0" w:firstLine="480" w:firstLineChars="200"/>
        <w:textAlignment w:val="auto"/>
        <w:rPr>
          <w:rFonts w:hint="eastAsia" w:ascii="宋体" w:hAnsi="宋体" w:eastAsia="宋体" w:cs="宋体"/>
          <w:bCs/>
          <w:sz w:val="24"/>
          <w:szCs w:val="24"/>
        </w:rPr>
      </w:pPr>
      <w:r>
        <w:rPr>
          <w:rFonts w:hint="eastAsia" w:ascii="宋体" w:hAnsi="宋体" w:cs="宋体"/>
          <w:bCs/>
          <w:sz w:val="24"/>
          <w:szCs w:val="24"/>
          <w:lang w:eastAsia="zh-CN"/>
        </w:rPr>
        <w:t>8</w:t>
      </w:r>
      <w:r>
        <w:rPr>
          <w:rFonts w:hint="eastAsia" w:ascii="宋体" w:hAnsi="宋体" w:eastAsia="宋体" w:cs="宋体"/>
          <w:bCs/>
          <w:sz w:val="24"/>
          <w:szCs w:val="24"/>
        </w:rPr>
        <w:t>.检测动力学范围: 10</w:t>
      </w:r>
      <w:r>
        <w:rPr>
          <w:rFonts w:hint="eastAsia" w:ascii="宋体" w:hAnsi="宋体" w:eastAsia="宋体" w:cs="宋体"/>
          <w:bCs/>
          <w:sz w:val="24"/>
          <w:szCs w:val="24"/>
          <w:vertAlign w:val="superscript"/>
        </w:rPr>
        <w:t>0</w:t>
      </w:r>
      <w:r>
        <w:rPr>
          <w:rFonts w:hint="eastAsia" w:ascii="宋体" w:hAnsi="宋体" w:eastAsia="宋体" w:cs="宋体"/>
          <w:bCs/>
          <w:sz w:val="24"/>
          <w:szCs w:val="24"/>
        </w:rPr>
        <w:softHyphen/>
      </w:r>
      <w:r>
        <w:rPr>
          <w:rFonts w:hint="eastAsia" w:ascii="宋体" w:hAnsi="宋体" w:eastAsia="宋体" w:cs="宋体"/>
          <w:bCs/>
          <w:sz w:val="24"/>
          <w:szCs w:val="24"/>
        </w:rPr>
        <w:t>-10</w:t>
      </w:r>
      <w:r>
        <w:rPr>
          <w:rFonts w:hint="eastAsia" w:ascii="宋体" w:hAnsi="宋体" w:eastAsia="宋体" w:cs="宋体"/>
          <w:bCs/>
          <w:sz w:val="24"/>
          <w:szCs w:val="24"/>
          <w:vertAlign w:val="superscript"/>
        </w:rPr>
        <w:t>10</w:t>
      </w:r>
    </w:p>
    <w:p w14:paraId="14CFD8F9">
      <w:pPr>
        <w:keepNext w:val="0"/>
        <w:keepLines w:val="0"/>
        <w:pageBreakBefore w:val="0"/>
        <w:widowControl w:val="0"/>
        <w:kinsoku/>
        <w:wordWrap/>
        <w:overflowPunct/>
        <w:topLinePunct w:val="0"/>
        <w:bidi w:val="0"/>
        <w:snapToGrid w:val="0"/>
        <w:spacing w:line="360" w:lineRule="auto"/>
        <w:ind w:left="0" w:firstLine="480" w:firstLineChars="200"/>
        <w:textAlignment w:val="auto"/>
        <w:rPr>
          <w:rFonts w:hint="eastAsia" w:ascii="宋体" w:hAnsi="宋体" w:eastAsia="宋体" w:cs="宋体"/>
          <w:bCs/>
          <w:sz w:val="24"/>
          <w:szCs w:val="24"/>
        </w:rPr>
      </w:pPr>
      <w:r>
        <w:rPr>
          <w:rFonts w:hint="eastAsia" w:ascii="宋体" w:hAnsi="宋体" w:cs="宋体"/>
          <w:bCs/>
          <w:sz w:val="24"/>
          <w:szCs w:val="24"/>
          <w:lang w:eastAsia="zh-CN"/>
        </w:rPr>
        <w:t>9</w:t>
      </w:r>
      <w:r>
        <w:rPr>
          <w:rFonts w:hint="eastAsia" w:ascii="宋体" w:hAnsi="宋体" w:eastAsia="宋体" w:cs="宋体"/>
          <w:bCs/>
          <w:sz w:val="24"/>
          <w:szCs w:val="24"/>
        </w:rPr>
        <w:t>.最小检测模板: 单个拷贝</w:t>
      </w:r>
    </w:p>
    <w:p w14:paraId="30BA473C">
      <w:pPr>
        <w:keepNext w:val="0"/>
        <w:keepLines w:val="0"/>
        <w:pageBreakBefore w:val="0"/>
        <w:widowControl w:val="0"/>
        <w:kinsoku/>
        <w:wordWrap/>
        <w:overflowPunct/>
        <w:topLinePunct w:val="0"/>
        <w:bidi w:val="0"/>
        <w:snapToGrid w:val="0"/>
        <w:spacing w:line="360" w:lineRule="auto"/>
        <w:ind w:left="0" w:firstLine="480" w:firstLineChars="200"/>
        <w:textAlignment w:val="auto"/>
        <w:rPr>
          <w:rFonts w:hint="eastAsia" w:ascii="宋体" w:hAnsi="宋体" w:eastAsia="宋体" w:cs="宋体"/>
          <w:bCs/>
          <w:sz w:val="24"/>
          <w:szCs w:val="24"/>
        </w:rPr>
      </w:pPr>
      <w:r>
        <w:rPr>
          <w:rFonts w:hint="eastAsia" w:ascii="宋体" w:hAnsi="宋体" w:cs="宋体"/>
          <w:bCs/>
          <w:sz w:val="24"/>
          <w:szCs w:val="24"/>
          <w:lang w:val="en-US" w:eastAsia="zh-CN"/>
        </w:rPr>
        <w:t>10</w:t>
      </w:r>
      <w:r>
        <w:rPr>
          <w:rFonts w:hint="eastAsia" w:ascii="宋体" w:hAnsi="宋体" w:eastAsia="宋体" w:cs="宋体"/>
          <w:bCs/>
          <w:sz w:val="24"/>
          <w:szCs w:val="24"/>
        </w:rPr>
        <w:t>.控温模式: 标准控温/快速控温</w:t>
      </w:r>
    </w:p>
    <w:p w14:paraId="3FBE993C">
      <w:pPr>
        <w:keepNext w:val="0"/>
        <w:keepLines w:val="0"/>
        <w:pageBreakBefore w:val="0"/>
        <w:widowControl w:val="0"/>
        <w:kinsoku/>
        <w:wordWrap/>
        <w:overflowPunct/>
        <w:topLinePunct w:val="0"/>
        <w:bidi w:val="0"/>
        <w:snapToGrid w:val="0"/>
        <w:spacing w:line="360" w:lineRule="auto"/>
        <w:ind w:left="0" w:firstLine="480" w:firstLineChars="200"/>
        <w:textAlignment w:val="auto"/>
        <w:rPr>
          <w:rFonts w:hint="eastAsia" w:ascii="宋体" w:hAnsi="宋体" w:eastAsia="宋体" w:cs="宋体"/>
          <w:color w:val="auto"/>
          <w:sz w:val="24"/>
          <w:szCs w:val="24"/>
          <w:lang w:val="en-US" w:eastAsia="zh-CN"/>
        </w:rPr>
      </w:pPr>
      <w:r>
        <w:rPr>
          <w:rFonts w:hint="eastAsia" w:ascii="宋体" w:hAnsi="宋体" w:cs="宋体"/>
          <w:bCs/>
          <w:sz w:val="24"/>
          <w:szCs w:val="24"/>
          <w:lang w:val="en-US" w:eastAsia="zh-CN"/>
        </w:rPr>
        <w:t>11</w:t>
      </w:r>
      <w:r>
        <w:rPr>
          <w:rFonts w:hint="eastAsia" w:ascii="宋体" w:hAnsi="宋体" w:eastAsia="宋体" w:cs="宋体"/>
          <w:bCs/>
          <w:sz w:val="24"/>
          <w:szCs w:val="24"/>
        </w:rPr>
        <w:t>.断电保护: 有断电保护功能</w:t>
      </w:r>
    </w:p>
    <w:p w14:paraId="79EA7689">
      <w:pPr>
        <w:pStyle w:val="2"/>
        <w:ind w:left="0" w:leftChars="0" w:firstLine="0" w:firstLineChars="0"/>
        <w:rPr>
          <w:rFonts w:hint="eastAsia" w:ascii="宋体" w:hAnsi="宋体" w:eastAsia="宋体" w:cs="宋体"/>
          <w:sz w:val="24"/>
          <w:szCs w:val="24"/>
          <w:lang w:val="en-US" w:eastAsia="zh-CN"/>
        </w:rPr>
      </w:pPr>
    </w:p>
    <w:p w14:paraId="6B719627">
      <w:pPr>
        <w:pStyle w:val="2"/>
        <w:ind w:left="0" w:leftChars="0" w:firstLine="0" w:firstLineChars="0"/>
        <w:rPr>
          <w:rFonts w:hint="eastAsia" w:ascii="仿宋" w:hAnsi="仿宋" w:eastAsia="仿宋" w:cs="仿宋"/>
          <w:sz w:val="28"/>
          <w:szCs w:val="28"/>
          <w:lang w:val="en-US" w:eastAsia="zh-CN"/>
        </w:rPr>
      </w:pPr>
    </w:p>
    <w:p w14:paraId="030E317A">
      <w:pPr>
        <w:pStyle w:val="2"/>
        <w:ind w:left="0" w:leftChars="0" w:firstLine="0" w:firstLineChars="0"/>
        <w:rPr>
          <w:rFonts w:hint="eastAsia" w:ascii="仿宋" w:hAnsi="仿宋" w:eastAsia="仿宋" w:cs="仿宋"/>
          <w:sz w:val="28"/>
          <w:szCs w:val="28"/>
          <w:lang w:val="en-US" w:eastAsia="zh-CN"/>
        </w:rPr>
      </w:pPr>
    </w:p>
    <w:p w14:paraId="008FE4A7">
      <w:pPr>
        <w:pStyle w:val="2"/>
        <w:ind w:left="0" w:leftChars="0" w:firstLine="0" w:firstLineChars="0"/>
        <w:rPr>
          <w:rFonts w:hint="eastAsia" w:ascii="仿宋" w:hAnsi="仿宋" w:eastAsia="仿宋" w:cs="仿宋"/>
          <w:sz w:val="28"/>
          <w:szCs w:val="28"/>
          <w:lang w:val="en-US" w:eastAsia="zh-CN"/>
        </w:rPr>
      </w:pPr>
    </w:p>
    <w:p w14:paraId="01EAC8DE">
      <w:pPr>
        <w:pStyle w:val="2"/>
        <w:ind w:left="0" w:leftChars="0" w:firstLine="0" w:firstLineChars="0"/>
        <w:rPr>
          <w:rFonts w:hint="eastAsia" w:ascii="仿宋" w:hAnsi="仿宋" w:eastAsia="仿宋" w:cs="仿宋"/>
          <w:sz w:val="28"/>
          <w:szCs w:val="28"/>
          <w:lang w:val="en-US" w:eastAsia="zh-CN"/>
        </w:rPr>
      </w:pPr>
    </w:p>
    <w:p w14:paraId="330E6B77">
      <w:pPr>
        <w:pStyle w:val="2"/>
        <w:ind w:left="0" w:leftChars="0" w:firstLine="0" w:firstLineChars="0"/>
        <w:rPr>
          <w:rFonts w:hint="eastAsia" w:ascii="仿宋" w:hAnsi="仿宋" w:eastAsia="仿宋" w:cs="仿宋"/>
          <w:sz w:val="28"/>
          <w:szCs w:val="28"/>
          <w:lang w:val="en-US" w:eastAsia="zh-CN"/>
        </w:rPr>
      </w:pPr>
    </w:p>
    <w:p w14:paraId="1CADB294">
      <w:pPr>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br w:type="page"/>
      </w:r>
    </w:p>
    <w:p w14:paraId="4F2A1F05">
      <w:pPr>
        <w:pStyle w:val="2"/>
        <w:ind w:left="0" w:leftChars="0" w:firstLine="0" w:firstLineChars="0"/>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包2：传染病检测相关仪器设备</w:t>
      </w:r>
    </w:p>
    <w:p w14:paraId="4CFDBEE9">
      <w:pPr>
        <w:jc w:val="left"/>
        <w:rPr>
          <w:rFonts w:hint="eastAsia" w:ascii="宋体" w:hAnsi="宋体" w:eastAsia="宋体" w:cs="宋体"/>
          <w:b/>
          <w:bCs/>
          <w:sz w:val="21"/>
          <w:szCs w:val="21"/>
          <w:lang w:val="en-US" w:eastAsia="zh-CN"/>
        </w:rPr>
      </w:pPr>
    </w:p>
    <w:p w14:paraId="2A058106">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bCs/>
          <w:sz w:val="24"/>
          <w:szCs w:val="24"/>
        </w:rPr>
      </w:pPr>
      <w:r>
        <w:rPr>
          <w:rFonts w:hint="eastAsia" w:ascii="宋体" w:hAnsi="宋体" w:eastAsia="宋体" w:cs="宋体"/>
          <w:b/>
          <w:bCs/>
          <w:sz w:val="24"/>
          <w:szCs w:val="24"/>
          <w:lang w:val="en-US" w:eastAsia="zh-CN"/>
        </w:rPr>
        <w:t>一、</w:t>
      </w:r>
      <w:r>
        <w:rPr>
          <w:rFonts w:hint="eastAsia" w:ascii="宋体" w:hAnsi="宋体" w:eastAsia="宋体" w:cs="宋体"/>
          <w:b/>
          <w:bCs/>
          <w:sz w:val="24"/>
          <w:szCs w:val="24"/>
        </w:rPr>
        <w:t>两虫检测自动识别系统</w:t>
      </w:r>
      <w:r>
        <w:rPr>
          <w:rFonts w:hint="eastAsia" w:ascii="宋体" w:hAnsi="宋体" w:eastAsia="宋体" w:cs="宋体"/>
          <w:b/>
          <w:bCs/>
          <w:color w:val="auto"/>
          <w:sz w:val="24"/>
          <w:szCs w:val="24"/>
          <w:lang w:val="en-US" w:eastAsia="zh-CN"/>
        </w:rPr>
        <w:t>（核心产品）</w:t>
      </w:r>
    </w:p>
    <w:p w14:paraId="34BA68F8">
      <w:pPr>
        <w:pStyle w:val="69"/>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2" w:firstLineChars="200"/>
        <w:jc w:val="left"/>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1.技术规格、参数与要求</w:t>
      </w:r>
    </w:p>
    <w:p w14:paraId="68CCFF6E">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sz w:val="24"/>
          <w:szCs w:val="24"/>
        </w:rPr>
      </w:pPr>
      <w:bookmarkStart w:id="67" w:name="_Hlk203462451"/>
      <w:r>
        <w:rPr>
          <w:rFonts w:hint="eastAsia"/>
          <w:b w:val="0"/>
          <w:color w:val="000000"/>
          <w:sz w:val="24"/>
          <w:szCs w:val="24"/>
          <w:lang w:val="en-US" w:bidi="ar-SA"/>
        </w:rPr>
        <w:t>仪器用途：主要用于生活饮用水中贾第鞭毛虫和隐孢子虫的检验检测工作。检测方法满足《生活饮用水标准检验方法微生物指标》（GB/T5750.12-2023）中的8.2滤膜浓缩/密度梯度分离荧光抗体法</w:t>
      </w:r>
      <w:bookmarkEnd w:id="67"/>
      <w:r>
        <w:rPr>
          <w:rFonts w:hint="eastAsia"/>
          <w:b w:val="0"/>
          <w:color w:val="000000"/>
          <w:sz w:val="24"/>
          <w:szCs w:val="24"/>
          <w:lang w:val="en-US" w:eastAsia="zh-CN" w:bidi="ar-SA"/>
        </w:rPr>
        <w:t>。</w:t>
      </w:r>
    </w:p>
    <w:p w14:paraId="3E2F2037">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kern w:val="2"/>
          <w:sz w:val="24"/>
          <w:szCs w:val="24"/>
          <w:lang w:val="en-US" w:eastAsia="zh-CN" w:bidi="ar-SA"/>
        </w:rPr>
      </w:pPr>
      <w:bookmarkStart w:id="68" w:name="_Hlk203462484"/>
      <w:r>
        <w:rPr>
          <w:rFonts w:hint="eastAsia" w:ascii="宋体" w:hAnsi="宋体" w:eastAsia="宋体" w:cs="宋体"/>
          <w:b/>
          <w:bCs/>
          <w:kern w:val="2"/>
          <w:sz w:val="24"/>
          <w:szCs w:val="24"/>
          <w:lang w:val="en-US" w:eastAsia="zh-CN" w:bidi="ar-SA"/>
        </w:rPr>
        <w:t>1.1全自动两虫样品富集前处理装置</w:t>
      </w:r>
    </w:p>
    <w:p w14:paraId="527FCF64">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bidi="ar-SA"/>
        </w:rPr>
        <w:t xml:space="preserve">★1. </w:t>
      </w:r>
      <w:bookmarkStart w:id="69" w:name="_Hlk203587411"/>
      <w:r>
        <w:rPr>
          <w:rFonts w:hint="eastAsia" w:ascii="宋体" w:hAnsi="宋体" w:eastAsia="宋体" w:cs="宋体"/>
          <w:b w:val="0"/>
          <w:color w:val="000000"/>
          <w:sz w:val="24"/>
          <w:szCs w:val="24"/>
          <w:lang w:val="en-US" w:bidi="ar-SA"/>
        </w:rPr>
        <w:t>一台主机同时包含微孔滤膜过滤法和碳酸钙沉淀法双重通路，实现一机双用</w:t>
      </w:r>
      <w:bookmarkEnd w:id="69"/>
      <w:r>
        <w:rPr>
          <w:rFonts w:hint="eastAsia" w:ascii="宋体" w:hAnsi="宋体" w:eastAsia="宋体" w:cs="宋体"/>
          <w:b w:val="0"/>
          <w:color w:val="000000"/>
          <w:sz w:val="24"/>
          <w:szCs w:val="24"/>
          <w:lang w:val="en-US" w:eastAsia="zh-CN" w:bidi="ar-SA"/>
        </w:rPr>
        <w:t>；</w:t>
      </w:r>
      <w:r>
        <w:rPr>
          <w:rFonts w:hint="eastAsia" w:ascii="宋体" w:hAnsi="宋体" w:eastAsia="宋体" w:cs="宋体"/>
          <w:b w:val="0"/>
          <w:color w:val="000000"/>
          <w:sz w:val="24"/>
          <w:szCs w:val="24"/>
          <w:lang w:val="en-US" w:bidi="ar-SA"/>
        </w:rPr>
        <w:t>（提供实物照片</w:t>
      </w:r>
      <w:r>
        <w:rPr>
          <w:rFonts w:hint="eastAsia" w:cs="宋体"/>
          <w:b w:val="0"/>
          <w:color w:val="000000"/>
          <w:sz w:val="24"/>
          <w:szCs w:val="24"/>
          <w:lang w:val="en-US" w:eastAsia="zh-CN" w:bidi="ar-SA"/>
        </w:rPr>
        <w:t>予以佐证</w:t>
      </w:r>
      <w:r>
        <w:rPr>
          <w:rFonts w:hint="eastAsia" w:ascii="宋体" w:hAnsi="宋体" w:eastAsia="宋体" w:cs="宋体"/>
          <w:b w:val="0"/>
          <w:color w:val="000000"/>
          <w:sz w:val="24"/>
          <w:szCs w:val="24"/>
          <w:lang w:val="en-US" w:bidi="ar-SA"/>
        </w:rPr>
        <w:t>）</w:t>
      </w:r>
    </w:p>
    <w:p w14:paraId="58D46CDD">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bidi="ar-SA"/>
        </w:rPr>
        <w:t>2.屏幕：≥7寸触摸屏</w:t>
      </w:r>
      <w:r>
        <w:rPr>
          <w:rFonts w:hint="eastAsia" w:ascii="宋体" w:hAnsi="宋体" w:eastAsia="宋体" w:cs="宋体"/>
          <w:b w:val="0"/>
          <w:color w:val="000000"/>
          <w:sz w:val="24"/>
          <w:szCs w:val="24"/>
          <w:lang w:val="en-US" w:eastAsia="zh-CN" w:bidi="ar-SA"/>
        </w:rPr>
        <w:t>；</w:t>
      </w:r>
    </w:p>
    <w:p w14:paraId="0C2EF92F">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bookmarkStart w:id="70" w:name="OLE_LINK132"/>
      <w:bookmarkStart w:id="71" w:name="OLE_LINK133"/>
      <w:r>
        <w:rPr>
          <w:rFonts w:hint="eastAsia" w:ascii="宋体" w:hAnsi="宋体" w:eastAsia="宋体" w:cs="宋体"/>
          <w:b w:val="0"/>
          <w:color w:val="000000"/>
          <w:sz w:val="24"/>
          <w:szCs w:val="24"/>
          <w:lang w:val="en-US" w:bidi="ar-SA"/>
        </w:rPr>
        <w:t>▲3.使用滤膜法，</w:t>
      </w:r>
      <w:bookmarkEnd w:id="70"/>
      <w:bookmarkEnd w:id="71"/>
      <w:r>
        <w:rPr>
          <w:rFonts w:hint="eastAsia" w:ascii="宋体" w:hAnsi="宋体" w:eastAsia="宋体" w:cs="宋体"/>
          <w:b w:val="0"/>
          <w:color w:val="000000"/>
          <w:sz w:val="24"/>
          <w:szCs w:val="24"/>
          <w:lang w:val="en-US" w:bidi="ar-SA"/>
        </w:rPr>
        <w:t>支持用户自行设置处理样品体积，到达设定阈值后，设备实时提醒并自动停止</w:t>
      </w:r>
      <w:r>
        <w:rPr>
          <w:rFonts w:hint="eastAsia" w:ascii="宋体" w:hAnsi="宋体" w:eastAsia="宋体" w:cs="宋体"/>
          <w:b w:val="0"/>
          <w:color w:val="000000"/>
          <w:sz w:val="24"/>
          <w:szCs w:val="24"/>
          <w:lang w:val="en-US" w:eastAsia="zh-CN" w:bidi="ar-SA"/>
        </w:rPr>
        <w:t>；</w:t>
      </w:r>
    </w:p>
    <w:p w14:paraId="76253004">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bidi="ar-SA"/>
        </w:rPr>
        <w:t>▲4.过滤器圆盘采用316L不锈钢，T型螺母固定，适用各种压力环境，无需泄压</w:t>
      </w:r>
      <w:r>
        <w:rPr>
          <w:rFonts w:hint="eastAsia" w:ascii="宋体" w:hAnsi="宋体" w:eastAsia="宋体" w:cs="宋体"/>
          <w:b w:val="0"/>
          <w:color w:val="000000"/>
          <w:sz w:val="24"/>
          <w:szCs w:val="24"/>
          <w:lang w:val="en-US" w:eastAsia="zh-CN" w:bidi="ar-SA"/>
        </w:rPr>
        <w:t>；</w:t>
      </w:r>
    </w:p>
    <w:p w14:paraId="538317BF">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bidi="ar-SA"/>
        </w:rPr>
        <w:t>5.滤膜法样品处理量设置范围：0-9999L</w:t>
      </w:r>
      <w:r>
        <w:rPr>
          <w:rFonts w:hint="eastAsia" w:ascii="宋体" w:hAnsi="宋体" w:eastAsia="宋体" w:cs="宋体"/>
          <w:b w:val="0"/>
          <w:color w:val="000000"/>
          <w:sz w:val="24"/>
          <w:szCs w:val="24"/>
          <w:lang w:val="en-US" w:eastAsia="zh-CN" w:bidi="ar-SA"/>
        </w:rPr>
        <w:t>；</w:t>
      </w:r>
    </w:p>
    <w:p w14:paraId="2C7777CA">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bidi="ar-SA"/>
        </w:rPr>
        <w:t>6.滤膜法样品流速范围：0-2 L/min，流量可设定</w:t>
      </w:r>
      <w:r>
        <w:rPr>
          <w:rFonts w:hint="eastAsia" w:ascii="宋体" w:hAnsi="宋体" w:eastAsia="宋体" w:cs="宋体"/>
          <w:b w:val="0"/>
          <w:color w:val="000000"/>
          <w:sz w:val="24"/>
          <w:szCs w:val="24"/>
          <w:lang w:val="en-US" w:eastAsia="zh-CN" w:bidi="ar-SA"/>
        </w:rPr>
        <w:t>；</w:t>
      </w:r>
    </w:p>
    <w:p w14:paraId="58220880">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bidi="ar-SA"/>
        </w:rPr>
        <w:t>7.设备支持过滤法和沉淀法同时处理水样</w:t>
      </w:r>
      <w:r>
        <w:rPr>
          <w:rFonts w:hint="eastAsia" w:ascii="宋体" w:hAnsi="宋体" w:eastAsia="宋体" w:cs="宋体"/>
          <w:b w:val="0"/>
          <w:color w:val="000000"/>
          <w:sz w:val="24"/>
          <w:szCs w:val="24"/>
          <w:lang w:val="en-US" w:eastAsia="zh-CN" w:bidi="ar-SA"/>
        </w:rPr>
        <w:t>；</w:t>
      </w:r>
    </w:p>
    <w:p w14:paraId="2151CEF3">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bidi="ar-SA"/>
        </w:rPr>
        <w:t>8.沉淀法一个样品处理时间（除静置时间）≤15min</w:t>
      </w:r>
      <w:r>
        <w:rPr>
          <w:rFonts w:hint="eastAsia" w:ascii="宋体" w:hAnsi="宋体" w:eastAsia="宋体" w:cs="宋体"/>
          <w:b w:val="0"/>
          <w:color w:val="000000"/>
          <w:sz w:val="24"/>
          <w:szCs w:val="24"/>
          <w:lang w:val="en-US" w:eastAsia="zh-CN" w:bidi="ar-SA"/>
        </w:rPr>
        <w:t>；</w:t>
      </w:r>
    </w:p>
    <w:p w14:paraId="5D7AB1EA">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bidi="ar-SA"/>
        </w:rPr>
        <w:t>9.传感器量程：压力0-1.6MPa；pH传感器0-14</w:t>
      </w:r>
      <w:r>
        <w:rPr>
          <w:rFonts w:hint="eastAsia" w:ascii="宋体" w:hAnsi="宋体" w:eastAsia="宋体" w:cs="宋体"/>
          <w:b w:val="0"/>
          <w:color w:val="000000"/>
          <w:sz w:val="24"/>
          <w:szCs w:val="24"/>
          <w:lang w:val="en-US" w:eastAsia="zh-CN" w:bidi="ar-SA"/>
        </w:rPr>
        <w:t>；</w:t>
      </w:r>
    </w:p>
    <w:p w14:paraId="0378E037">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bidi="ar-SA"/>
        </w:rPr>
        <w:t>10.使用沉淀法，设备自动富集样品，自动加药，内置磁力搅拌器，自动搅拌</w:t>
      </w:r>
      <w:r>
        <w:rPr>
          <w:rFonts w:hint="eastAsia" w:ascii="宋体" w:hAnsi="宋体" w:eastAsia="宋体" w:cs="宋体"/>
          <w:b w:val="0"/>
          <w:color w:val="000000"/>
          <w:sz w:val="24"/>
          <w:szCs w:val="24"/>
          <w:lang w:val="en-US" w:eastAsia="zh-CN" w:bidi="ar-SA"/>
        </w:rPr>
        <w:t>，</w:t>
      </w:r>
      <w:r>
        <w:rPr>
          <w:rFonts w:hint="eastAsia" w:ascii="宋体" w:hAnsi="宋体" w:eastAsia="宋体" w:cs="宋体"/>
          <w:b w:val="0"/>
          <w:color w:val="000000"/>
          <w:sz w:val="24"/>
          <w:szCs w:val="24"/>
          <w:lang w:val="en-US" w:bidi="ar-SA"/>
        </w:rPr>
        <w:t>内置蠕动泵，自动去除上清液，自动清洗流路，无需人员现场值守</w:t>
      </w:r>
      <w:r>
        <w:rPr>
          <w:rFonts w:hint="eastAsia" w:ascii="宋体" w:hAnsi="宋体" w:eastAsia="宋体" w:cs="宋体"/>
          <w:b w:val="0"/>
          <w:color w:val="000000"/>
          <w:sz w:val="24"/>
          <w:szCs w:val="24"/>
          <w:lang w:val="en-US" w:eastAsia="zh-CN" w:bidi="ar-SA"/>
        </w:rPr>
        <w:t>；</w:t>
      </w:r>
    </w:p>
    <w:p w14:paraId="6BD852C7">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bidi="ar-SA"/>
        </w:rPr>
        <w:t>▲1</w:t>
      </w:r>
      <w:r>
        <w:rPr>
          <w:rFonts w:hint="eastAsia" w:ascii="宋体" w:hAnsi="宋体" w:eastAsia="宋体" w:cs="宋体"/>
          <w:b w:val="0"/>
          <w:color w:val="000000"/>
          <w:sz w:val="24"/>
          <w:szCs w:val="24"/>
          <w:lang w:val="en-US" w:eastAsia="zh-CN" w:bidi="ar-SA"/>
        </w:rPr>
        <w:t>1</w:t>
      </w:r>
      <w:r>
        <w:rPr>
          <w:rFonts w:hint="eastAsia" w:ascii="宋体" w:hAnsi="宋体" w:eastAsia="宋体" w:cs="宋体"/>
          <w:b w:val="0"/>
          <w:color w:val="000000"/>
          <w:sz w:val="24"/>
          <w:szCs w:val="24"/>
          <w:lang w:val="en-US" w:bidi="ar-SA"/>
        </w:rPr>
        <w:t>.贾第鞭毛虫综合回收率≥30%，需提供省级及以上国家法定计量检定机构出具的测试报告的复印件</w:t>
      </w:r>
      <w:r>
        <w:rPr>
          <w:rFonts w:hint="eastAsia" w:ascii="宋体" w:hAnsi="宋体" w:eastAsia="宋体" w:cs="宋体"/>
          <w:b w:val="0"/>
          <w:color w:val="000000"/>
          <w:sz w:val="24"/>
          <w:szCs w:val="24"/>
          <w:lang w:val="en-US" w:eastAsia="zh-CN" w:bidi="ar-SA"/>
        </w:rPr>
        <w:t>；</w:t>
      </w:r>
    </w:p>
    <w:p w14:paraId="203E39FD">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bidi="ar-SA"/>
        </w:rPr>
        <w:t>▲1</w:t>
      </w:r>
      <w:r>
        <w:rPr>
          <w:rFonts w:hint="eastAsia" w:cs="宋体"/>
          <w:b w:val="0"/>
          <w:color w:val="000000"/>
          <w:sz w:val="24"/>
          <w:szCs w:val="24"/>
          <w:lang w:val="en-US" w:eastAsia="zh-CN" w:bidi="ar-SA"/>
        </w:rPr>
        <w:t>2</w:t>
      </w:r>
      <w:r>
        <w:rPr>
          <w:rFonts w:hint="eastAsia" w:ascii="宋体" w:hAnsi="宋体" w:eastAsia="宋体" w:cs="宋体"/>
          <w:b w:val="0"/>
          <w:color w:val="000000"/>
          <w:sz w:val="24"/>
          <w:szCs w:val="24"/>
          <w:lang w:val="en-US" w:bidi="ar-SA"/>
        </w:rPr>
        <w:t>.隐孢子虫综合回收率≥30%，需提供省级及以上国家法定计量检定机构出具的测试报告的复印件</w:t>
      </w:r>
      <w:r>
        <w:rPr>
          <w:rFonts w:hint="eastAsia" w:cs="宋体"/>
          <w:b w:val="0"/>
          <w:color w:val="000000"/>
          <w:sz w:val="24"/>
          <w:szCs w:val="24"/>
          <w:lang w:val="en-US" w:eastAsia="zh-CN" w:bidi="ar-SA"/>
        </w:rPr>
        <w:t>。</w:t>
      </w:r>
    </w:p>
    <w:p w14:paraId="2E64623A">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1.2两虫自动识别系统（人工智能）</w:t>
      </w:r>
    </w:p>
    <w:p w14:paraId="2EB56E70">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1.</w:t>
      </w:r>
      <w:r>
        <w:rPr>
          <w:rFonts w:hint="eastAsia" w:ascii="宋体" w:hAnsi="宋体" w:eastAsia="宋体" w:cs="宋体"/>
          <w:b w:val="0"/>
          <w:color w:val="000000"/>
          <w:sz w:val="24"/>
          <w:szCs w:val="24"/>
          <w:lang w:val="en-US" w:bidi="ar-SA"/>
        </w:rPr>
        <w:t>光学系统：无限远光学系统，齐焦距离≥60mm，在呈现高对比度及最小杂光的清晰图像的同时，使得工作距离更长。配备明场、荧光、微分干涉观察方法</w:t>
      </w:r>
      <w:r>
        <w:rPr>
          <w:rFonts w:hint="eastAsia" w:ascii="宋体" w:hAnsi="宋体" w:eastAsia="宋体" w:cs="宋体"/>
          <w:b w:val="0"/>
          <w:color w:val="000000"/>
          <w:sz w:val="24"/>
          <w:szCs w:val="24"/>
          <w:lang w:val="en-US" w:eastAsia="zh-CN" w:bidi="ar-SA"/>
        </w:rPr>
        <w:t>，</w:t>
      </w:r>
      <w:r>
        <w:rPr>
          <w:rFonts w:hint="eastAsia" w:ascii="宋体" w:hAnsi="宋体" w:eastAsia="宋体" w:cs="宋体"/>
          <w:b w:val="0"/>
          <w:color w:val="000000"/>
          <w:sz w:val="24"/>
          <w:szCs w:val="24"/>
          <w:lang w:val="en-US" w:bidi="ar-SA"/>
        </w:rPr>
        <w:t>具备FITC、DAPI、DIC三种光源观察方式</w:t>
      </w:r>
      <w:r>
        <w:rPr>
          <w:rFonts w:hint="eastAsia" w:ascii="宋体" w:hAnsi="宋体" w:eastAsia="宋体" w:cs="宋体"/>
          <w:b w:val="0"/>
          <w:color w:val="000000"/>
          <w:sz w:val="24"/>
          <w:szCs w:val="24"/>
          <w:lang w:val="en-US" w:eastAsia="zh-CN" w:bidi="ar-SA"/>
        </w:rPr>
        <w:t>；</w:t>
      </w:r>
    </w:p>
    <w:p w14:paraId="4749C20D">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2</w:t>
      </w:r>
      <w:r>
        <w:rPr>
          <w:rFonts w:hint="eastAsia" w:ascii="宋体" w:hAnsi="宋体" w:eastAsia="宋体" w:cs="宋体"/>
          <w:b w:val="0"/>
          <w:color w:val="000000"/>
          <w:sz w:val="24"/>
          <w:szCs w:val="24"/>
          <w:lang w:val="en-US" w:bidi="ar-SA"/>
        </w:rPr>
        <w:t>. 显微镜系统需具备DIC转盘万能聚光镜及模块、电动移动载物台、电动转换器、触摸屏控制器、图像传感器，操作平台配备摇杆手柄</w:t>
      </w:r>
      <w:r>
        <w:rPr>
          <w:rFonts w:hint="eastAsia" w:ascii="宋体" w:hAnsi="宋体" w:eastAsia="宋体" w:cs="宋体"/>
          <w:b w:val="0"/>
          <w:color w:val="000000"/>
          <w:sz w:val="24"/>
          <w:szCs w:val="24"/>
          <w:lang w:val="en-US" w:eastAsia="zh-CN" w:bidi="ar-SA"/>
        </w:rPr>
        <w:t>；</w:t>
      </w:r>
    </w:p>
    <w:p w14:paraId="255E3F13">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bidi="ar-SA"/>
        </w:rPr>
        <w:t>▲</w:t>
      </w:r>
      <w:r>
        <w:rPr>
          <w:rFonts w:hint="eastAsia" w:ascii="宋体" w:hAnsi="宋体" w:eastAsia="宋体" w:cs="宋体"/>
          <w:b w:val="0"/>
          <w:color w:val="000000"/>
          <w:sz w:val="24"/>
          <w:szCs w:val="24"/>
          <w:lang w:val="en-US" w:eastAsia="zh-CN" w:bidi="ar-SA"/>
        </w:rPr>
        <w:t>3</w:t>
      </w:r>
      <w:r>
        <w:rPr>
          <w:rFonts w:hint="eastAsia" w:ascii="宋体" w:hAnsi="宋体" w:eastAsia="宋体" w:cs="宋体"/>
          <w:b w:val="0"/>
          <w:color w:val="000000"/>
          <w:sz w:val="24"/>
          <w:szCs w:val="24"/>
          <w:lang w:val="en-US" w:bidi="ar-SA"/>
        </w:rPr>
        <w:t>. 电动载物台可同时放置四张载玻片（必须提供实物照片）</w:t>
      </w:r>
      <w:r>
        <w:rPr>
          <w:rFonts w:hint="eastAsia" w:ascii="宋体" w:hAnsi="宋体" w:eastAsia="宋体" w:cs="宋体"/>
          <w:b w:val="0"/>
          <w:color w:val="000000"/>
          <w:sz w:val="24"/>
          <w:szCs w:val="24"/>
          <w:lang w:val="en-US" w:eastAsia="zh-CN" w:bidi="ar-SA"/>
        </w:rPr>
        <w:t>；</w:t>
      </w:r>
    </w:p>
    <w:p w14:paraId="18576B6A">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4</w:t>
      </w:r>
      <w:r>
        <w:rPr>
          <w:rFonts w:hint="eastAsia" w:ascii="宋体" w:hAnsi="宋体" w:eastAsia="宋体" w:cs="宋体"/>
          <w:b w:val="0"/>
          <w:color w:val="000000"/>
          <w:sz w:val="24"/>
          <w:szCs w:val="24"/>
          <w:lang w:val="en-US" w:bidi="ar-SA"/>
        </w:rPr>
        <w:t>. 调焦系统：低手位同轴调焦机构（带上限位及松紧调节环），符合人机工程学设计；调焦范围</w:t>
      </w:r>
      <w:r>
        <w:rPr>
          <w:rFonts w:hint="eastAsia" w:cs="宋体"/>
          <w:b w:val="0"/>
          <w:color w:val="000000"/>
          <w:sz w:val="24"/>
          <w:szCs w:val="24"/>
          <w:lang w:val="en-US" w:eastAsia="zh-CN" w:bidi="ar-SA"/>
        </w:rPr>
        <w:t>≤</w:t>
      </w:r>
      <w:r>
        <w:rPr>
          <w:rFonts w:hint="eastAsia" w:ascii="宋体" w:hAnsi="宋体" w:eastAsia="宋体" w:cs="宋体"/>
          <w:b w:val="0"/>
          <w:color w:val="000000"/>
          <w:sz w:val="24"/>
          <w:szCs w:val="24"/>
          <w:lang w:val="en-US" w:bidi="ar-SA"/>
        </w:rPr>
        <w:t>35mm，微调格值</w:t>
      </w:r>
      <w:r>
        <w:rPr>
          <w:rFonts w:hint="eastAsia" w:cs="宋体"/>
          <w:b w:val="0"/>
          <w:color w:val="000000"/>
          <w:sz w:val="24"/>
          <w:szCs w:val="24"/>
          <w:lang w:val="en-US" w:eastAsia="zh-CN" w:bidi="ar-SA"/>
        </w:rPr>
        <w:t>≤</w:t>
      </w:r>
      <w:r>
        <w:rPr>
          <w:rFonts w:hint="eastAsia" w:ascii="宋体" w:hAnsi="宋体" w:eastAsia="宋体" w:cs="宋体"/>
          <w:b w:val="0"/>
          <w:color w:val="000000"/>
          <w:sz w:val="24"/>
          <w:szCs w:val="24"/>
          <w:lang w:val="en-US" w:bidi="ar-SA"/>
        </w:rPr>
        <w:t>1μm</w:t>
      </w:r>
      <w:r>
        <w:rPr>
          <w:rFonts w:hint="eastAsia" w:ascii="宋体" w:hAnsi="宋体" w:eastAsia="宋体" w:cs="宋体"/>
          <w:b w:val="0"/>
          <w:color w:val="000000"/>
          <w:sz w:val="24"/>
          <w:szCs w:val="24"/>
          <w:lang w:val="en-US" w:eastAsia="zh-CN" w:bidi="ar-SA"/>
        </w:rPr>
        <w:t>；</w:t>
      </w:r>
    </w:p>
    <w:p w14:paraId="149FEFC4">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5</w:t>
      </w:r>
      <w:r>
        <w:rPr>
          <w:rFonts w:hint="eastAsia" w:ascii="宋体" w:hAnsi="宋体" w:eastAsia="宋体" w:cs="宋体"/>
          <w:b w:val="0"/>
          <w:color w:val="000000"/>
          <w:sz w:val="24"/>
          <w:szCs w:val="24"/>
          <w:lang w:val="en-US" w:bidi="ar-SA"/>
        </w:rPr>
        <w:t>. 显微镜运动控制程序：定义扫描区域，控制电动载物台三轴运动，切换物镜，控制相机拍照，记录目标物坐标和镜头信息，能自动还原记录状态辅助人工复核</w:t>
      </w:r>
      <w:r>
        <w:rPr>
          <w:rFonts w:hint="eastAsia" w:ascii="宋体" w:hAnsi="宋体" w:eastAsia="宋体" w:cs="宋体"/>
          <w:b w:val="0"/>
          <w:color w:val="000000"/>
          <w:sz w:val="24"/>
          <w:szCs w:val="24"/>
          <w:lang w:val="en-US" w:eastAsia="zh-CN" w:bidi="ar-SA"/>
        </w:rPr>
        <w:t>；</w:t>
      </w:r>
    </w:p>
    <w:p w14:paraId="709E5774">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6</w:t>
      </w:r>
      <w:r>
        <w:rPr>
          <w:rFonts w:hint="eastAsia" w:ascii="宋体" w:hAnsi="宋体" w:eastAsia="宋体" w:cs="宋体"/>
          <w:b w:val="0"/>
          <w:color w:val="000000"/>
          <w:sz w:val="24"/>
          <w:szCs w:val="24"/>
          <w:lang w:val="en-US" w:bidi="ar-SA"/>
        </w:rPr>
        <w:t>.终端实时显示扫描进程，包括扫描视野范围和对焦次数，可根据需求自定义控制扫描启停</w:t>
      </w:r>
      <w:r>
        <w:rPr>
          <w:rFonts w:hint="eastAsia" w:ascii="宋体" w:hAnsi="宋体" w:eastAsia="宋体" w:cs="宋体"/>
          <w:b w:val="0"/>
          <w:color w:val="000000"/>
          <w:sz w:val="24"/>
          <w:szCs w:val="24"/>
          <w:lang w:val="en-US" w:eastAsia="zh-CN" w:bidi="ar-SA"/>
        </w:rPr>
        <w:t>；</w:t>
      </w:r>
    </w:p>
    <w:p w14:paraId="75A4F690">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7</w:t>
      </w:r>
      <w:r>
        <w:rPr>
          <w:rFonts w:hint="eastAsia" w:ascii="宋体" w:hAnsi="宋体" w:eastAsia="宋体" w:cs="宋体"/>
          <w:b w:val="0"/>
          <w:color w:val="000000"/>
          <w:sz w:val="24"/>
          <w:szCs w:val="24"/>
          <w:lang w:val="en-US" w:bidi="ar-SA"/>
        </w:rPr>
        <w:t>. 两虫图像识别系统：采用嵌套循环逐像素扫描识别图片，采用DBSCAN聚类技术实现两虫标记，基于大数据利用积卷神经网络技术识别两虫类别</w:t>
      </w:r>
      <w:r>
        <w:rPr>
          <w:rFonts w:hint="eastAsia" w:ascii="宋体" w:hAnsi="宋体" w:eastAsia="宋体" w:cs="宋体"/>
          <w:b w:val="0"/>
          <w:color w:val="000000"/>
          <w:sz w:val="24"/>
          <w:szCs w:val="24"/>
          <w:lang w:val="en-US" w:eastAsia="zh-CN" w:bidi="ar-SA"/>
        </w:rPr>
        <w:t>；</w:t>
      </w:r>
    </w:p>
    <w:p w14:paraId="534419CF">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8</w:t>
      </w:r>
      <w:r>
        <w:rPr>
          <w:rFonts w:hint="eastAsia" w:ascii="宋体" w:hAnsi="宋体" w:eastAsia="宋体" w:cs="宋体"/>
          <w:b w:val="0"/>
          <w:color w:val="000000"/>
          <w:sz w:val="24"/>
          <w:szCs w:val="24"/>
          <w:lang w:val="en-US" w:bidi="ar-SA"/>
        </w:rPr>
        <w:t>. 识别率超过80%</w:t>
      </w:r>
      <w:r>
        <w:rPr>
          <w:rFonts w:hint="eastAsia" w:ascii="宋体" w:hAnsi="宋体" w:eastAsia="宋体" w:cs="宋体"/>
          <w:b w:val="0"/>
          <w:color w:val="000000"/>
          <w:sz w:val="24"/>
          <w:szCs w:val="24"/>
          <w:lang w:val="en-US" w:eastAsia="zh-CN" w:bidi="ar-SA"/>
        </w:rPr>
        <w:t>，</w:t>
      </w:r>
      <w:r>
        <w:rPr>
          <w:rFonts w:hint="eastAsia" w:ascii="宋体" w:hAnsi="宋体" w:eastAsia="宋体" w:cs="宋体"/>
          <w:b w:val="0"/>
          <w:color w:val="000000"/>
          <w:sz w:val="24"/>
          <w:szCs w:val="24"/>
          <w:lang w:val="en-US" w:bidi="ar-SA"/>
        </w:rPr>
        <w:t>放大倍数10X-1000X</w:t>
      </w:r>
      <w:r>
        <w:rPr>
          <w:rFonts w:hint="eastAsia" w:ascii="宋体" w:hAnsi="宋体" w:eastAsia="宋体" w:cs="宋体"/>
          <w:b w:val="0"/>
          <w:color w:val="000000"/>
          <w:sz w:val="24"/>
          <w:szCs w:val="24"/>
          <w:lang w:val="en-US" w:eastAsia="zh-CN" w:bidi="ar-SA"/>
        </w:rPr>
        <w:t>；</w:t>
      </w:r>
    </w:p>
    <w:p w14:paraId="4DD527FC">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9</w:t>
      </w:r>
      <w:r>
        <w:rPr>
          <w:rFonts w:hint="eastAsia" w:ascii="宋体" w:hAnsi="宋体" w:eastAsia="宋体" w:cs="宋体"/>
          <w:b w:val="0"/>
          <w:color w:val="000000"/>
          <w:sz w:val="24"/>
          <w:szCs w:val="24"/>
          <w:lang w:val="en-US" w:bidi="ar-SA"/>
        </w:rPr>
        <w:t>.扫描过程中支持对同一个视野进行多次对焦操作，对焦次数可调</w:t>
      </w:r>
      <w:r>
        <w:rPr>
          <w:rFonts w:hint="eastAsia" w:ascii="宋体" w:hAnsi="宋体" w:eastAsia="宋体" w:cs="宋体"/>
          <w:b w:val="0"/>
          <w:color w:val="000000"/>
          <w:sz w:val="24"/>
          <w:szCs w:val="24"/>
          <w:lang w:val="en-US" w:eastAsia="zh-CN" w:bidi="ar-SA"/>
        </w:rPr>
        <w:t>；</w:t>
      </w:r>
    </w:p>
    <w:p w14:paraId="31FD8B8A">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bidi="ar-SA"/>
        </w:rPr>
        <w:t>1</w:t>
      </w:r>
      <w:r>
        <w:rPr>
          <w:rFonts w:hint="eastAsia" w:ascii="宋体" w:hAnsi="宋体" w:eastAsia="宋体" w:cs="宋体"/>
          <w:b w:val="0"/>
          <w:color w:val="000000"/>
          <w:sz w:val="24"/>
          <w:szCs w:val="24"/>
          <w:lang w:val="en-US" w:eastAsia="zh-CN" w:bidi="ar-SA"/>
        </w:rPr>
        <w:t>0</w:t>
      </w:r>
      <w:r>
        <w:rPr>
          <w:rFonts w:hint="eastAsia" w:ascii="宋体" w:hAnsi="宋体" w:eastAsia="宋体" w:cs="宋体"/>
          <w:b w:val="0"/>
          <w:color w:val="000000"/>
          <w:sz w:val="24"/>
          <w:szCs w:val="24"/>
          <w:lang w:val="en-US" w:bidi="ar-SA"/>
        </w:rPr>
        <w:t>.内置先进的对焦清晰度评价算法，对多次对焦获取的图像进行分析对比，每个视野自动选取最清晰的一张图像作为输出结果</w:t>
      </w:r>
      <w:r>
        <w:rPr>
          <w:rFonts w:hint="eastAsia" w:ascii="宋体" w:hAnsi="宋体" w:eastAsia="宋体" w:cs="宋体"/>
          <w:b w:val="0"/>
          <w:color w:val="000000"/>
          <w:sz w:val="24"/>
          <w:szCs w:val="24"/>
          <w:lang w:val="en-US" w:eastAsia="zh-CN" w:bidi="ar-SA"/>
        </w:rPr>
        <w:t>；</w:t>
      </w:r>
    </w:p>
    <w:p w14:paraId="4B8FFF0D">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bidi="ar-SA"/>
        </w:rPr>
        <w:t>1</w:t>
      </w:r>
      <w:r>
        <w:rPr>
          <w:rFonts w:hint="eastAsia" w:ascii="宋体" w:hAnsi="宋体" w:eastAsia="宋体" w:cs="宋体"/>
          <w:b w:val="0"/>
          <w:color w:val="000000"/>
          <w:sz w:val="24"/>
          <w:szCs w:val="24"/>
          <w:lang w:val="en-US" w:eastAsia="zh-CN" w:bidi="ar-SA"/>
        </w:rPr>
        <w:t>1</w:t>
      </w:r>
      <w:r>
        <w:rPr>
          <w:rFonts w:hint="eastAsia" w:ascii="宋体" w:hAnsi="宋体" w:eastAsia="宋体" w:cs="宋体"/>
          <w:b w:val="0"/>
          <w:color w:val="000000"/>
          <w:sz w:val="24"/>
          <w:szCs w:val="24"/>
          <w:lang w:val="en-US" w:bidi="ar-SA"/>
        </w:rPr>
        <w:t>. 发现两虫存在，系统自动拍照并记录坐标并进行数据库存档，自动出具检测结果</w:t>
      </w:r>
      <w:r>
        <w:rPr>
          <w:rFonts w:hint="eastAsia" w:ascii="宋体" w:hAnsi="宋体" w:eastAsia="宋体" w:cs="宋体"/>
          <w:b w:val="0"/>
          <w:color w:val="000000"/>
          <w:sz w:val="24"/>
          <w:szCs w:val="24"/>
          <w:lang w:val="en-US" w:eastAsia="zh-CN" w:bidi="ar-SA"/>
        </w:rPr>
        <w:t>；</w:t>
      </w:r>
    </w:p>
    <w:p w14:paraId="3CB578B5">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12.</w:t>
      </w:r>
      <w:r>
        <w:rPr>
          <w:rFonts w:hint="eastAsia" w:ascii="宋体" w:hAnsi="宋体" w:eastAsia="宋体" w:cs="宋体"/>
          <w:b w:val="0"/>
          <w:color w:val="000000"/>
          <w:sz w:val="24"/>
          <w:szCs w:val="24"/>
          <w:lang w:val="en-US" w:bidi="ar-SA"/>
        </w:rPr>
        <w:t xml:space="preserve"> 支持人工验证，点击系统发现两虫坐标点，显微镜自动移动到该坐标点并自动配置观察倍数和观察模式</w:t>
      </w:r>
      <w:r>
        <w:rPr>
          <w:rFonts w:hint="eastAsia" w:ascii="宋体" w:hAnsi="宋体" w:eastAsia="宋体" w:cs="宋体"/>
          <w:b w:val="0"/>
          <w:color w:val="000000"/>
          <w:sz w:val="24"/>
          <w:szCs w:val="24"/>
          <w:lang w:val="en-US" w:eastAsia="zh-CN" w:bidi="ar-SA"/>
        </w:rPr>
        <w:t>；</w:t>
      </w:r>
    </w:p>
    <w:p w14:paraId="238C762D">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bidi="ar-SA"/>
        </w:rPr>
        <w:t>1</w:t>
      </w:r>
      <w:r>
        <w:rPr>
          <w:rFonts w:hint="eastAsia" w:ascii="宋体" w:hAnsi="宋体" w:eastAsia="宋体" w:cs="宋体"/>
          <w:b w:val="0"/>
          <w:color w:val="000000"/>
          <w:sz w:val="24"/>
          <w:szCs w:val="24"/>
          <w:lang w:val="en-US" w:eastAsia="zh-CN" w:bidi="ar-SA"/>
        </w:rPr>
        <w:t>3</w:t>
      </w:r>
      <w:r>
        <w:rPr>
          <w:rFonts w:hint="eastAsia" w:ascii="宋体" w:hAnsi="宋体" w:eastAsia="宋体" w:cs="宋体"/>
          <w:b w:val="0"/>
          <w:color w:val="000000"/>
          <w:sz w:val="24"/>
          <w:szCs w:val="24"/>
          <w:lang w:val="en-US" w:bidi="ar-SA"/>
        </w:rPr>
        <w:t>.支持将处理后的结果，包括图像、坐标等，导出为 Excel 表格格式</w:t>
      </w:r>
      <w:r>
        <w:rPr>
          <w:rFonts w:hint="eastAsia" w:ascii="宋体" w:hAnsi="宋体" w:eastAsia="宋体" w:cs="宋体"/>
          <w:b w:val="0"/>
          <w:color w:val="000000"/>
          <w:sz w:val="24"/>
          <w:szCs w:val="24"/>
          <w:lang w:val="en-US" w:eastAsia="zh-CN" w:bidi="ar-SA"/>
        </w:rPr>
        <w:t>；</w:t>
      </w:r>
    </w:p>
    <w:p w14:paraId="7C4C03F8">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bidi="ar-SA"/>
        </w:rPr>
      </w:pPr>
      <w:r>
        <w:rPr>
          <w:rFonts w:hint="eastAsia" w:ascii="宋体" w:hAnsi="宋体" w:eastAsia="宋体" w:cs="宋体"/>
          <w:b w:val="0"/>
          <w:color w:val="000000"/>
          <w:sz w:val="24"/>
          <w:szCs w:val="24"/>
          <w:lang w:val="en-US" w:bidi="ar-SA"/>
        </w:rPr>
        <w:t>1</w:t>
      </w:r>
      <w:r>
        <w:rPr>
          <w:rFonts w:hint="eastAsia" w:ascii="宋体" w:hAnsi="宋体" w:eastAsia="宋体" w:cs="宋体"/>
          <w:b w:val="0"/>
          <w:color w:val="000000"/>
          <w:sz w:val="24"/>
          <w:szCs w:val="24"/>
          <w:lang w:val="en-US" w:eastAsia="zh-CN" w:bidi="ar-SA"/>
        </w:rPr>
        <w:t>4</w:t>
      </w:r>
      <w:r>
        <w:rPr>
          <w:rFonts w:hint="eastAsia" w:ascii="宋体" w:hAnsi="宋体" w:eastAsia="宋体" w:cs="宋体"/>
          <w:b w:val="0"/>
          <w:color w:val="000000"/>
          <w:sz w:val="24"/>
          <w:szCs w:val="24"/>
          <w:lang w:val="en-US" w:bidi="ar-SA"/>
        </w:rPr>
        <w:t>.观察护目屏：具备防紫外挡板</w:t>
      </w:r>
      <w:r>
        <w:rPr>
          <w:rFonts w:hint="eastAsia" w:ascii="宋体" w:hAnsi="宋体" w:eastAsia="宋体" w:cs="宋体"/>
          <w:b w:val="0"/>
          <w:color w:val="000000"/>
          <w:sz w:val="24"/>
          <w:szCs w:val="24"/>
          <w:lang w:val="en-US" w:eastAsia="zh-CN" w:bidi="ar-SA"/>
        </w:rPr>
        <w:t>；</w:t>
      </w:r>
    </w:p>
    <w:p w14:paraId="5D4C65AA">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bidi="ar-SA"/>
        </w:rPr>
        <w:t>1</w:t>
      </w:r>
      <w:r>
        <w:rPr>
          <w:rFonts w:hint="eastAsia" w:ascii="宋体" w:hAnsi="宋体" w:eastAsia="宋体" w:cs="宋体"/>
          <w:b w:val="0"/>
          <w:color w:val="000000"/>
          <w:sz w:val="24"/>
          <w:szCs w:val="24"/>
          <w:lang w:val="en-US" w:eastAsia="zh-CN" w:bidi="ar-SA"/>
        </w:rPr>
        <w:t>5</w:t>
      </w:r>
      <w:r>
        <w:rPr>
          <w:rFonts w:hint="eastAsia" w:ascii="宋体" w:hAnsi="宋体" w:eastAsia="宋体" w:cs="宋体"/>
          <w:b w:val="0"/>
          <w:color w:val="000000"/>
          <w:sz w:val="24"/>
          <w:szCs w:val="24"/>
          <w:lang w:val="en-US" w:bidi="ar-SA"/>
        </w:rPr>
        <w:t>. ECO照明系统：220VAC，亮度可调；内置透射光滤色镜（LBD、ND6、ND25），内置抽拉式设计，避免灰尘进入；具备人走灯灭功能</w:t>
      </w:r>
      <w:r>
        <w:rPr>
          <w:rFonts w:hint="eastAsia" w:ascii="宋体" w:hAnsi="宋体" w:eastAsia="宋体" w:cs="宋体"/>
          <w:b w:val="0"/>
          <w:color w:val="000000"/>
          <w:sz w:val="24"/>
          <w:szCs w:val="24"/>
          <w:lang w:val="en-US" w:eastAsia="zh-CN" w:bidi="ar-SA"/>
        </w:rPr>
        <w:t>；</w:t>
      </w:r>
    </w:p>
    <w:p w14:paraId="6B997A69">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bidi="ar-SA"/>
        </w:rPr>
        <w:t>1</w:t>
      </w:r>
      <w:r>
        <w:rPr>
          <w:rFonts w:hint="eastAsia" w:ascii="宋体" w:hAnsi="宋体" w:eastAsia="宋体" w:cs="宋体"/>
          <w:b w:val="0"/>
          <w:color w:val="000000"/>
          <w:sz w:val="24"/>
          <w:szCs w:val="24"/>
          <w:lang w:val="en-US" w:eastAsia="zh-CN" w:bidi="ar-SA"/>
        </w:rPr>
        <w:t>6</w:t>
      </w:r>
      <w:r>
        <w:rPr>
          <w:rFonts w:hint="eastAsia" w:ascii="宋体" w:hAnsi="宋体" w:eastAsia="宋体" w:cs="宋体"/>
          <w:b w:val="0"/>
          <w:color w:val="000000"/>
          <w:sz w:val="24"/>
          <w:szCs w:val="24"/>
          <w:lang w:val="en-US" w:bidi="ar-SA"/>
        </w:rPr>
        <w:t>. 荧光光源：LED光源</w:t>
      </w:r>
      <w:r>
        <w:rPr>
          <w:rFonts w:hint="eastAsia" w:ascii="宋体" w:hAnsi="宋体" w:eastAsia="宋体" w:cs="宋体"/>
          <w:b w:val="0"/>
          <w:color w:val="000000"/>
          <w:sz w:val="24"/>
          <w:szCs w:val="24"/>
          <w:lang w:val="en-US" w:eastAsia="zh-CN" w:bidi="ar-SA"/>
        </w:rPr>
        <w:t>；</w:t>
      </w:r>
    </w:p>
    <w:p w14:paraId="30032F1B">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17</w:t>
      </w:r>
      <w:r>
        <w:rPr>
          <w:rFonts w:hint="eastAsia" w:ascii="宋体" w:hAnsi="宋体" w:eastAsia="宋体" w:cs="宋体"/>
          <w:b w:val="0"/>
          <w:color w:val="000000"/>
          <w:sz w:val="24"/>
          <w:szCs w:val="24"/>
          <w:lang w:val="en-US" w:bidi="ar-SA"/>
        </w:rPr>
        <w:t>. 显微镜逐行扫描，可扩展暗视野、相差、偏光光观察，可扩展多人共览装置</w:t>
      </w:r>
      <w:r>
        <w:rPr>
          <w:rFonts w:hint="eastAsia" w:ascii="宋体" w:hAnsi="宋体" w:eastAsia="宋体" w:cs="宋体"/>
          <w:b w:val="0"/>
          <w:color w:val="000000"/>
          <w:sz w:val="24"/>
          <w:szCs w:val="24"/>
          <w:lang w:val="en-US" w:eastAsia="zh-CN" w:bidi="ar-SA"/>
        </w:rPr>
        <w:t>；</w:t>
      </w:r>
    </w:p>
    <w:p w14:paraId="5341D2C3">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18</w:t>
      </w:r>
      <w:r>
        <w:rPr>
          <w:rFonts w:hint="eastAsia" w:ascii="宋体" w:hAnsi="宋体" w:eastAsia="宋体" w:cs="宋体"/>
          <w:b w:val="0"/>
          <w:color w:val="000000"/>
          <w:sz w:val="24"/>
          <w:szCs w:val="24"/>
          <w:lang w:val="en-US" w:bidi="ar-SA"/>
        </w:rPr>
        <w:t>. 图像拼接：全景图像拼接X-Y（非常适合大标本的全景拍摄）及实时景深扩展</w:t>
      </w:r>
      <w:r>
        <w:rPr>
          <w:rFonts w:hint="eastAsia" w:ascii="宋体" w:hAnsi="宋体" w:eastAsia="宋体" w:cs="宋体"/>
          <w:b w:val="0"/>
          <w:color w:val="000000"/>
          <w:sz w:val="24"/>
          <w:szCs w:val="24"/>
          <w:lang w:val="en-US" w:eastAsia="zh-CN" w:bidi="ar-SA"/>
        </w:rPr>
        <w:t>；</w:t>
      </w:r>
    </w:p>
    <w:p w14:paraId="7551325F">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ascii="Times New Roman" w:hAnsi="Times New Roman" w:eastAsia="宋体" w:cs="Times New Roman"/>
          <w:color w:val="000000"/>
          <w:sz w:val="24"/>
          <w:szCs w:val="24"/>
        </w:rPr>
      </w:pPr>
      <w:r>
        <w:rPr>
          <w:rFonts w:hint="eastAsia" w:ascii="宋体" w:hAnsi="宋体" w:eastAsia="宋体" w:cs="宋体"/>
          <w:b w:val="0"/>
          <w:color w:val="000000"/>
          <w:sz w:val="24"/>
          <w:szCs w:val="24"/>
          <w:lang w:val="en-US" w:bidi="ar-SA"/>
        </w:rPr>
        <w:t>24. 3D成像功能</w:t>
      </w:r>
      <w:r>
        <w:rPr>
          <w:rFonts w:hint="eastAsia" w:ascii="宋体" w:hAnsi="宋体" w:eastAsia="宋体" w:cs="宋体"/>
          <w:b w:val="0"/>
          <w:color w:val="000000"/>
          <w:sz w:val="24"/>
          <w:szCs w:val="24"/>
          <w:lang w:val="en-US" w:eastAsia="zh-CN" w:bidi="ar-SA"/>
        </w:rPr>
        <w:t>；</w:t>
      </w:r>
    </w:p>
    <w:p w14:paraId="371B11B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2、配置清单</w:t>
      </w:r>
    </w:p>
    <w:tbl>
      <w:tblPr>
        <w:tblStyle w:val="71"/>
        <w:tblpPr w:leftFromText="180" w:rightFromText="180" w:vertAnchor="text" w:tblpX="106" w:tblpY="159"/>
        <w:tblOverlap w:val="never"/>
        <w:tblW w:w="87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4"/>
        <w:gridCol w:w="5035"/>
        <w:gridCol w:w="1256"/>
        <w:gridCol w:w="1569"/>
      </w:tblGrid>
      <w:tr w14:paraId="753F6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924" w:type="dxa"/>
            <w:noWrap w:val="0"/>
            <w:vAlign w:val="top"/>
          </w:tcPr>
          <w:p w14:paraId="69311D2D">
            <w:pPr>
              <w:pStyle w:val="70"/>
              <w:spacing w:line="360" w:lineRule="auto"/>
              <w:jc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序号</w:t>
            </w:r>
          </w:p>
        </w:tc>
        <w:tc>
          <w:tcPr>
            <w:tcW w:w="5035" w:type="dxa"/>
            <w:noWrap w:val="0"/>
            <w:vAlign w:val="top"/>
          </w:tcPr>
          <w:p w14:paraId="7BA04362">
            <w:pPr>
              <w:pStyle w:val="70"/>
              <w:spacing w:line="360" w:lineRule="auto"/>
              <w:jc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设备名称</w:t>
            </w:r>
          </w:p>
        </w:tc>
        <w:tc>
          <w:tcPr>
            <w:tcW w:w="1256" w:type="dxa"/>
            <w:noWrap w:val="0"/>
            <w:vAlign w:val="top"/>
          </w:tcPr>
          <w:p w14:paraId="650885AE">
            <w:pPr>
              <w:pStyle w:val="70"/>
              <w:spacing w:line="360" w:lineRule="auto"/>
              <w:jc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数量</w:t>
            </w:r>
          </w:p>
        </w:tc>
        <w:tc>
          <w:tcPr>
            <w:tcW w:w="1569" w:type="dxa"/>
            <w:noWrap w:val="0"/>
            <w:vAlign w:val="top"/>
          </w:tcPr>
          <w:p w14:paraId="7BE49273">
            <w:pPr>
              <w:pStyle w:val="70"/>
              <w:spacing w:line="360" w:lineRule="auto"/>
              <w:jc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单位</w:t>
            </w:r>
          </w:p>
        </w:tc>
      </w:tr>
      <w:tr w14:paraId="2683C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924" w:type="dxa"/>
            <w:noWrap w:val="0"/>
            <w:vAlign w:val="top"/>
          </w:tcPr>
          <w:p w14:paraId="4811A10F">
            <w:pPr>
              <w:pStyle w:val="70"/>
              <w:spacing w:line="360" w:lineRule="auto"/>
              <w:jc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1</w:t>
            </w:r>
          </w:p>
        </w:tc>
        <w:tc>
          <w:tcPr>
            <w:tcW w:w="5035" w:type="dxa"/>
            <w:noWrap w:val="0"/>
            <w:vAlign w:val="center"/>
          </w:tcPr>
          <w:p w14:paraId="53B6E0B1">
            <w:pPr>
              <w:widowControl/>
              <w:jc w:val="left"/>
              <w:textAlignment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全自动两虫样品富集前处理装置</w:t>
            </w:r>
          </w:p>
        </w:tc>
        <w:tc>
          <w:tcPr>
            <w:tcW w:w="1256" w:type="dxa"/>
            <w:noWrap w:val="0"/>
            <w:vAlign w:val="center"/>
          </w:tcPr>
          <w:p w14:paraId="359C8CF6">
            <w:pPr>
              <w:widowControl/>
              <w:jc w:val="center"/>
              <w:textAlignment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1</w:t>
            </w:r>
          </w:p>
        </w:tc>
        <w:tc>
          <w:tcPr>
            <w:tcW w:w="1569" w:type="dxa"/>
            <w:noWrap w:val="0"/>
            <w:vAlign w:val="center"/>
          </w:tcPr>
          <w:p w14:paraId="62FBCC72">
            <w:pPr>
              <w:pStyle w:val="70"/>
              <w:spacing w:line="360" w:lineRule="auto"/>
              <w:jc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台</w:t>
            </w:r>
          </w:p>
        </w:tc>
      </w:tr>
      <w:tr w14:paraId="5B865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924" w:type="dxa"/>
            <w:noWrap w:val="0"/>
            <w:vAlign w:val="top"/>
          </w:tcPr>
          <w:p w14:paraId="45EE6472">
            <w:pPr>
              <w:pStyle w:val="70"/>
              <w:spacing w:line="360" w:lineRule="auto"/>
              <w:jc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2</w:t>
            </w:r>
          </w:p>
        </w:tc>
        <w:tc>
          <w:tcPr>
            <w:tcW w:w="5035" w:type="dxa"/>
            <w:noWrap w:val="0"/>
            <w:vAlign w:val="center"/>
          </w:tcPr>
          <w:p w14:paraId="58BFD134">
            <w:pPr>
              <w:widowControl/>
              <w:jc w:val="left"/>
              <w:textAlignment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两虫人工智能识别系统</w:t>
            </w:r>
          </w:p>
        </w:tc>
        <w:tc>
          <w:tcPr>
            <w:tcW w:w="1256" w:type="dxa"/>
            <w:noWrap w:val="0"/>
            <w:vAlign w:val="center"/>
          </w:tcPr>
          <w:p w14:paraId="129E306D">
            <w:pPr>
              <w:widowControl/>
              <w:jc w:val="center"/>
              <w:textAlignment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1</w:t>
            </w:r>
          </w:p>
        </w:tc>
        <w:tc>
          <w:tcPr>
            <w:tcW w:w="1569" w:type="dxa"/>
            <w:noWrap w:val="0"/>
            <w:vAlign w:val="center"/>
          </w:tcPr>
          <w:p w14:paraId="6E6B019C">
            <w:pPr>
              <w:pStyle w:val="70"/>
              <w:spacing w:line="360" w:lineRule="auto"/>
              <w:jc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套</w:t>
            </w:r>
          </w:p>
        </w:tc>
      </w:tr>
      <w:tr w14:paraId="3730C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924" w:type="dxa"/>
            <w:noWrap w:val="0"/>
            <w:vAlign w:val="top"/>
          </w:tcPr>
          <w:p w14:paraId="3421449B">
            <w:pPr>
              <w:pStyle w:val="70"/>
              <w:spacing w:line="360" w:lineRule="auto"/>
              <w:jc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3</w:t>
            </w:r>
          </w:p>
        </w:tc>
        <w:tc>
          <w:tcPr>
            <w:tcW w:w="5035" w:type="dxa"/>
            <w:noWrap w:val="0"/>
            <w:vAlign w:val="center"/>
          </w:tcPr>
          <w:p w14:paraId="0D9AC0DD">
            <w:pPr>
              <w:widowControl/>
              <w:jc w:val="left"/>
              <w:textAlignment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两虫专用离心机</w:t>
            </w:r>
          </w:p>
        </w:tc>
        <w:tc>
          <w:tcPr>
            <w:tcW w:w="1256" w:type="dxa"/>
            <w:noWrap w:val="0"/>
            <w:vAlign w:val="center"/>
          </w:tcPr>
          <w:p w14:paraId="09E3EABD">
            <w:pPr>
              <w:widowControl/>
              <w:jc w:val="center"/>
              <w:textAlignment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1</w:t>
            </w:r>
          </w:p>
        </w:tc>
        <w:tc>
          <w:tcPr>
            <w:tcW w:w="1569" w:type="dxa"/>
            <w:noWrap w:val="0"/>
            <w:vAlign w:val="center"/>
          </w:tcPr>
          <w:p w14:paraId="0031CE47">
            <w:pPr>
              <w:pStyle w:val="70"/>
              <w:spacing w:line="360" w:lineRule="auto"/>
              <w:jc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台</w:t>
            </w:r>
          </w:p>
        </w:tc>
      </w:tr>
      <w:tr w14:paraId="6010A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924" w:type="dxa"/>
            <w:noWrap w:val="0"/>
            <w:vAlign w:val="top"/>
          </w:tcPr>
          <w:p w14:paraId="4D487B4F">
            <w:pPr>
              <w:pStyle w:val="70"/>
              <w:spacing w:line="360" w:lineRule="auto"/>
              <w:jc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4</w:t>
            </w:r>
          </w:p>
        </w:tc>
        <w:tc>
          <w:tcPr>
            <w:tcW w:w="5035" w:type="dxa"/>
            <w:noWrap w:val="0"/>
            <w:vAlign w:val="center"/>
          </w:tcPr>
          <w:p w14:paraId="134D742C">
            <w:pPr>
              <w:widowControl/>
              <w:jc w:val="left"/>
              <w:textAlignment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涡旋振荡器</w:t>
            </w:r>
          </w:p>
        </w:tc>
        <w:tc>
          <w:tcPr>
            <w:tcW w:w="1256" w:type="dxa"/>
            <w:noWrap w:val="0"/>
            <w:vAlign w:val="center"/>
          </w:tcPr>
          <w:p w14:paraId="4627BA4B">
            <w:pPr>
              <w:widowControl/>
              <w:jc w:val="center"/>
              <w:textAlignment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1</w:t>
            </w:r>
          </w:p>
        </w:tc>
        <w:tc>
          <w:tcPr>
            <w:tcW w:w="1569" w:type="dxa"/>
            <w:noWrap w:val="0"/>
            <w:vAlign w:val="center"/>
          </w:tcPr>
          <w:p w14:paraId="38924ADA">
            <w:pPr>
              <w:pStyle w:val="70"/>
              <w:spacing w:line="360" w:lineRule="auto"/>
              <w:jc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台</w:t>
            </w:r>
          </w:p>
        </w:tc>
      </w:tr>
      <w:tr w14:paraId="37F27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924" w:type="dxa"/>
            <w:noWrap w:val="0"/>
            <w:vAlign w:val="top"/>
          </w:tcPr>
          <w:p w14:paraId="553963DD">
            <w:pPr>
              <w:pStyle w:val="70"/>
              <w:spacing w:line="360" w:lineRule="auto"/>
              <w:jc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5</w:t>
            </w:r>
          </w:p>
        </w:tc>
        <w:tc>
          <w:tcPr>
            <w:tcW w:w="5035" w:type="dxa"/>
            <w:noWrap w:val="0"/>
            <w:vAlign w:val="center"/>
          </w:tcPr>
          <w:p w14:paraId="701B6A06">
            <w:pPr>
              <w:widowControl/>
              <w:jc w:val="left"/>
              <w:textAlignment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真空抽滤装置</w:t>
            </w:r>
          </w:p>
        </w:tc>
        <w:tc>
          <w:tcPr>
            <w:tcW w:w="1256" w:type="dxa"/>
            <w:noWrap w:val="0"/>
            <w:vAlign w:val="center"/>
          </w:tcPr>
          <w:p w14:paraId="67305F5B">
            <w:pPr>
              <w:widowControl/>
              <w:jc w:val="center"/>
              <w:textAlignment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1</w:t>
            </w:r>
          </w:p>
        </w:tc>
        <w:tc>
          <w:tcPr>
            <w:tcW w:w="1569" w:type="dxa"/>
            <w:noWrap w:val="0"/>
            <w:vAlign w:val="center"/>
          </w:tcPr>
          <w:p w14:paraId="4A580B57">
            <w:pPr>
              <w:pStyle w:val="70"/>
              <w:spacing w:line="360" w:lineRule="auto"/>
              <w:jc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套</w:t>
            </w:r>
          </w:p>
        </w:tc>
      </w:tr>
      <w:tr w14:paraId="2899E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924" w:type="dxa"/>
            <w:noWrap w:val="0"/>
            <w:vAlign w:val="top"/>
          </w:tcPr>
          <w:p w14:paraId="12DBA4DE">
            <w:pPr>
              <w:pStyle w:val="70"/>
              <w:spacing w:line="360" w:lineRule="auto"/>
              <w:jc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6</w:t>
            </w:r>
          </w:p>
        </w:tc>
        <w:tc>
          <w:tcPr>
            <w:tcW w:w="5035" w:type="dxa"/>
            <w:noWrap w:val="0"/>
            <w:vAlign w:val="center"/>
          </w:tcPr>
          <w:p w14:paraId="7F54370D">
            <w:pPr>
              <w:widowControl/>
              <w:jc w:val="left"/>
              <w:textAlignment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电子天平</w:t>
            </w:r>
          </w:p>
        </w:tc>
        <w:tc>
          <w:tcPr>
            <w:tcW w:w="1256" w:type="dxa"/>
            <w:noWrap w:val="0"/>
            <w:vAlign w:val="center"/>
          </w:tcPr>
          <w:p w14:paraId="6EA29E5E">
            <w:pPr>
              <w:widowControl/>
              <w:jc w:val="center"/>
              <w:textAlignment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1</w:t>
            </w:r>
          </w:p>
        </w:tc>
        <w:tc>
          <w:tcPr>
            <w:tcW w:w="1569" w:type="dxa"/>
            <w:noWrap w:val="0"/>
            <w:vAlign w:val="center"/>
          </w:tcPr>
          <w:p w14:paraId="300EDA4A">
            <w:pPr>
              <w:pStyle w:val="70"/>
              <w:spacing w:line="360" w:lineRule="auto"/>
              <w:jc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台</w:t>
            </w:r>
          </w:p>
        </w:tc>
      </w:tr>
      <w:tr w14:paraId="26078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924" w:type="dxa"/>
            <w:noWrap w:val="0"/>
            <w:vAlign w:val="top"/>
          </w:tcPr>
          <w:p w14:paraId="136D0D0E">
            <w:pPr>
              <w:pStyle w:val="70"/>
              <w:spacing w:line="360" w:lineRule="auto"/>
              <w:jc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7</w:t>
            </w:r>
          </w:p>
        </w:tc>
        <w:tc>
          <w:tcPr>
            <w:tcW w:w="5035" w:type="dxa"/>
            <w:noWrap w:val="0"/>
            <w:vAlign w:val="center"/>
          </w:tcPr>
          <w:p w14:paraId="65DF9360">
            <w:pPr>
              <w:widowControl/>
              <w:jc w:val="left"/>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试剂耗材包</w:t>
            </w:r>
          </w:p>
        </w:tc>
        <w:tc>
          <w:tcPr>
            <w:tcW w:w="1256" w:type="dxa"/>
            <w:noWrap w:val="0"/>
            <w:vAlign w:val="center"/>
          </w:tcPr>
          <w:p w14:paraId="10547E74">
            <w:pPr>
              <w:widowControl/>
              <w:jc w:val="center"/>
              <w:textAlignment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1</w:t>
            </w:r>
          </w:p>
        </w:tc>
        <w:tc>
          <w:tcPr>
            <w:tcW w:w="1569" w:type="dxa"/>
            <w:noWrap w:val="0"/>
            <w:vAlign w:val="center"/>
          </w:tcPr>
          <w:p w14:paraId="639DF3A5">
            <w:pPr>
              <w:pStyle w:val="70"/>
              <w:spacing w:line="360" w:lineRule="auto"/>
              <w:jc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套</w:t>
            </w:r>
          </w:p>
        </w:tc>
      </w:tr>
    </w:tbl>
    <w:p w14:paraId="40DD7B21">
      <w:pPr>
        <w:rPr>
          <w:rFonts w:hint="eastAsia" w:ascii="宋体" w:hAnsi="宋体" w:eastAsia="宋体" w:cs="宋体"/>
          <w:b/>
          <w:bCs/>
          <w:kern w:val="2"/>
          <w:sz w:val="24"/>
          <w:szCs w:val="24"/>
          <w:lang w:val="en-US" w:eastAsia="zh-CN" w:bidi="ar-SA"/>
        </w:rPr>
      </w:pPr>
    </w:p>
    <w:p w14:paraId="59E5F4D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2.1配套设备</w:t>
      </w:r>
    </w:p>
    <w:p w14:paraId="7607470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2.1.1两虫专用离心机</w:t>
      </w:r>
    </w:p>
    <w:p w14:paraId="3121553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1.具备水平转子500mL、50mL、15mL锥底适配器</w:t>
      </w:r>
    </w:p>
    <w:p w14:paraId="3FB3DB6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2.离心力能够达到2000g</w:t>
      </w:r>
    </w:p>
    <w:p w14:paraId="54C9ABB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color w:val="000000"/>
          <w:sz w:val="24"/>
          <w:szCs w:val="24"/>
        </w:rPr>
      </w:pPr>
      <w:r>
        <w:rPr>
          <w:rFonts w:hint="eastAsia" w:ascii="宋体" w:hAnsi="宋体" w:eastAsia="宋体" w:cs="宋体"/>
          <w:b w:val="0"/>
          <w:bCs/>
          <w:color w:val="000000"/>
          <w:kern w:val="2"/>
          <w:sz w:val="24"/>
          <w:szCs w:val="24"/>
          <w:lang w:val="en-US" w:eastAsia="zh-CN" w:bidi="ar-SA"/>
        </w:rPr>
        <w:t>3.不使用刹车档，减速度为零</w:t>
      </w:r>
    </w:p>
    <w:p w14:paraId="0FF1603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2.1.2涡旋振荡器</w:t>
      </w:r>
    </w:p>
    <w:p w14:paraId="2BF720D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1.硅质底座，外型小巧，防震，适合高速工作</w:t>
      </w:r>
    </w:p>
    <w:p w14:paraId="4A706E7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color w:val="000000"/>
          <w:sz w:val="24"/>
          <w:szCs w:val="24"/>
        </w:rPr>
      </w:pPr>
      <w:r>
        <w:rPr>
          <w:rFonts w:hint="eastAsia" w:ascii="宋体" w:hAnsi="宋体" w:eastAsia="宋体" w:cs="宋体"/>
          <w:b w:val="0"/>
          <w:bCs/>
          <w:color w:val="000000"/>
          <w:kern w:val="2"/>
          <w:sz w:val="24"/>
          <w:szCs w:val="24"/>
          <w:lang w:val="en-US" w:eastAsia="zh-CN" w:bidi="ar-SA"/>
        </w:rPr>
        <w:t>2.无极调速，可达2500rpm</w:t>
      </w:r>
    </w:p>
    <w:p w14:paraId="36D11B1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2.1.3电子天平</w:t>
      </w:r>
    </w:p>
    <w:p w14:paraId="0E05040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1.最大称量：1000g</w:t>
      </w:r>
    </w:p>
    <w:p w14:paraId="327B5D3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color w:val="000000"/>
          <w:sz w:val="24"/>
          <w:szCs w:val="24"/>
        </w:rPr>
      </w:pPr>
      <w:r>
        <w:rPr>
          <w:rFonts w:hint="eastAsia" w:ascii="宋体" w:hAnsi="宋体" w:eastAsia="宋体" w:cs="宋体"/>
          <w:b w:val="0"/>
          <w:bCs/>
          <w:color w:val="000000"/>
          <w:kern w:val="2"/>
          <w:sz w:val="24"/>
          <w:szCs w:val="24"/>
          <w:lang w:val="en-US" w:eastAsia="zh-CN" w:bidi="ar-SA"/>
        </w:rPr>
        <w:t>2.可读性：0.1g</w:t>
      </w:r>
    </w:p>
    <w:p w14:paraId="726AC76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kern w:val="2"/>
          <w:sz w:val="24"/>
          <w:szCs w:val="24"/>
          <w:lang w:val="en-US" w:eastAsia="zh-CN" w:bidi="ar-SA"/>
        </w:rPr>
      </w:pPr>
      <w:bookmarkStart w:id="72" w:name="OLE_LINK2"/>
      <w:r>
        <w:rPr>
          <w:rFonts w:hint="eastAsia" w:ascii="宋体" w:hAnsi="宋体" w:eastAsia="宋体" w:cs="宋体"/>
          <w:b/>
          <w:bCs/>
          <w:kern w:val="2"/>
          <w:sz w:val="24"/>
          <w:szCs w:val="24"/>
          <w:lang w:val="en-US" w:eastAsia="zh-CN" w:bidi="ar-SA"/>
        </w:rPr>
        <w:t>2.1.4真空抽滤装置</w:t>
      </w:r>
    </w:p>
    <w:p w14:paraId="0AB3424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1.真空压力：0.75mpa</w:t>
      </w:r>
    </w:p>
    <w:bookmarkEnd w:id="72"/>
    <w:p w14:paraId="575284C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2.溶剂过滤器耐酸碱、耐高温、密闭性好、安装方便、过滤快速</w:t>
      </w:r>
    </w:p>
    <w:p w14:paraId="757037C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color w:val="000000"/>
          <w:sz w:val="24"/>
          <w:szCs w:val="24"/>
        </w:rPr>
      </w:pPr>
      <w:r>
        <w:rPr>
          <w:rFonts w:hint="eastAsia" w:ascii="宋体" w:hAnsi="宋体" w:eastAsia="宋体" w:cs="宋体"/>
          <w:b w:val="0"/>
          <w:bCs/>
          <w:color w:val="000000"/>
          <w:kern w:val="2"/>
          <w:sz w:val="24"/>
          <w:szCs w:val="24"/>
          <w:lang w:val="en-US" w:eastAsia="zh-CN" w:bidi="ar-SA"/>
        </w:rPr>
        <w:t>3.溶剂过滤器接收瓶容积</w:t>
      </w:r>
      <w:r>
        <w:rPr>
          <w:rFonts w:hint="eastAsia" w:ascii="宋体" w:hAnsi="宋体" w:cs="宋体"/>
          <w:b w:val="0"/>
          <w:bCs/>
          <w:color w:val="000000"/>
          <w:kern w:val="2"/>
          <w:sz w:val="24"/>
          <w:szCs w:val="24"/>
          <w:lang w:val="en-US" w:eastAsia="zh-CN" w:bidi="ar-SA"/>
        </w:rPr>
        <w:t>≥</w:t>
      </w:r>
      <w:r>
        <w:rPr>
          <w:rFonts w:hint="eastAsia" w:ascii="宋体" w:hAnsi="宋体" w:eastAsia="宋体" w:cs="宋体"/>
          <w:b w:val="0"/>
          <w:bCs/>
          <w:color w:val="000000"/>
          <w:kern w:val="2"/>
          <w:sz w:val="24"/>
          <w:szCs w:val="24"/>
          <w:lang w:val="en-US" w:eastAsia="zh-CN" w:bidi="ar-SA"/>
        </w:rPr>
        <w:t>1000mL，砂芯直径</w:t>
      </w:r>
      <w:r>
        <w:rPr>
          <w:rFonts w:hint="eastAsia" w:ascii="宋体" w:hAnsi="宋体" w:cs="宋体"/>
          <w:b w:val="0"/>
          <w:bCs/>
          <w:color w:val="000000"/>
          <w:kern w:val="2"/>
          <w:sz w:val="24"/>
          <w:szCs w:val="24"/>
          <w:lang w:val="en-US" w:eastAsia="zh-CN" w:bidi="ar-SA"/>
        </w:rPr>
        <w:t>≥</w:t>
      </w:r>
      <w:r>
        <w:rPr>
          <w:rFonts w:hint="eastAsia" w:ascii="宋体" w:hAnsi="宋体" w:eastAsia="宋体" w:cs="宋体"/>
          <w:b w:val="0"/>
          <w:bCs/>
          <w:color w:val="000000"/>
          <w:kern w:val="2"/>
          <w:sz w:val="24"/>
          <w:szCs w:val="24"/>
          <w:lang w:val="en-US" w:eastAsia="zh-CN" w:bidi="ar-SA"/>
        </w:rPr>
        <w:t>40mm，砂芯孔径</w:t>
      </w:r>
      <w:r>
        <w:rPr>
          <w:rFonts w:hint="eastAsia" w:ascii="宋体" w:hAnsi="宋体" w:cs="宋体"/>
          <w:b w:val="0"/>
          <w:bCs/>
          <w:color w:val="000000"/>
          <w:kern w:val="2"/>
          <w:sz w:val="24"/>
          <w:szCs w:val="24"/>
          <w:lang w:val="en-US" w:eastAsia="zh-CN" w:bidi="ar-SA"/>
        </w:rPr>
        <w:t>≥</w:t>
      </w:r>
      <w:r>
        <w:rPr>
          <w:rFonts w:hint="eastAsia" w:ascii="宋体" w:hAnsi="宋体" w:eastAsia="宋体" w:cs="宋体"/>
          <w:b w:val="0"/>
          <w:bCs/>
          <w:color w:val="000000"/>
          <w:kern w:val="2"/>
          <w:sz w:val="24"/>
          <w:szCs w:val="24"/>
          <w:lang w:val="en-US" w:eastAsia="zh-CN" w:bidi="ar-SA"/>
        </w:rPr>
        <w:t>10μm</w:t>
      </w:r>
      <w:bookmarkEnd w:id="68"/>
    </w:p>
    <w:p w14:paraId="6C122BF6">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2.1.5试剂耗材包</w:t>
      </w:r>
    </w:p>
    <w:p w14:paraId="6B21AAA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 xml:space="preserve">1.滤膜浓缩/密度梯度分离荧光抗体法检测试剂盒（含醋酸纤维滤膜、定制化混合纤维素酯微孔滤膜、细胞分离液 Percoll、即用型试剂等密度梯度法专用耗材） 10 次/盒 1 盒 </w:t>
      </w:r>
    </w:p>
    <w:p w14:paraId="3100D4E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 xml:space="preserve">2.两虫染色试剂盒 10 次/盒 1 盒 </w:t>
      </w:r>
    </w:p>
    <w:p w14:paraId="4A0F110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3.载玻片 20 片/盒 1 盒</w:t>
      </w:r>
    </w:p>
    <w:p w14:paraId="0865221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4.盖玻片 20 片/盒 1 盒</w:t>
      </w:r>
    </w:p>
    <w:p w14:paraId="79A867E3">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sz w:val="24"/>
          <w:szCs w:val="24"/>
          <w:lang w:val="en-US" w:eastAsia="zh-CN"/>
        </w:rPr>
      </w:pPr>
    </w:p>
    <w:p w14:paraId="32113DF6">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二、微生物鉴定及药敏分析系统</w:t>
      </w:r>
    </w:p>
    <w:p w14:paraId="124FF50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1、用途：用于细菌、真菌的鉴定和药敏试验。</w:t>
      </w:r>
    </w:p>
    <w:p w14:paraId="0234E7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2、鉴定菌种：鉴定菌种数量&gt;550种，包括：革兰氏阴性杆菌150种以上(含大肠杆菌O157及非发酵菌)、革兰氏阳性菌120种以上（含猪链球菌1型、2型和7种李斯特菌）、酵母菌50种以上、需氧芽胞杆菌40种以上（含炭疽芽孢杆菌）、奈瑟菌、嗜血杆菌、棒状杆菌、弯曲菌90种以上、厌氧菌（含专性厌氧菌）60种以上，提供与仪器型号一</w:t>
      </w:r>
      <w:r>
        <w:rPr>
          <w:rFonts w:hint="eastAsia" w:ascii="宋体" w:hAnsi="宋体" w:cs="宋体"/>
          <w:b w:val="0"/>
          <w:bCs/>
          <w:color w:val="000000"/>
          <w:kern w:val="2"/>
          <w:sz w:val="24"/>
          <w:szCs w:val="24"/>
          <w:lang w:val="en-US" w:eastAsia="zh-CN" w:bidi="ar-SA"/>
        </w:rPr>
        <w:t>致</w:t>
      </w:r>
      <w:r>
        <w:rPr>
          <w:rFonts w:hint="eastAsia" w:ascii="宋体" w:hAnsi="宋体" w:eastAsia="宋体" w:cs="宋体"/>
          <w:b w:val="0"/>
          <w:bCs/>
          <w:color w:val="000000"/>
          <w:kern w:val="2"/>
          <w:sz w:val="24"/>
          <w:szCs w:val="24"/>
          <w:lang w:val="en-US" w:eastAsia="zh-CN" w:bidi="ar-SA"/>
        </w:rPr>
        <w:t>的配套鉴定菌库。(提供彩页或说明书等证明材料)</w:t>
      </w:r>
    </w:p>
    <w:p w14:paraId="62C1018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3、检测原理：采用比色法或比浊动态分析法，24小时连续自动检测，实时出具检测报告。</w:t>
      </w:r>
    </w:p>
    <w:p w14:paraId="3EB1ACC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4、鉴定时间：革兰阴性菌≤10小时，革兰阳性菌≤8小时。</w:t>
      </w:r>
    </w:p>
    <w:p w14:paraId="0008BA0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5、卡片安全性：卡片生物安全性 卡片全密封，任何时间翻转不会泄露菌液。</w:t>
      </w:r>
    </w:p>
    <w:p w14:paraId="2E6140C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▲6、药敏测试范围和时间：药敏测试范围和时间 仪器可以完成革兰阴性杆菌、革兰阳性球菌、链球菌及酵母样真菌的快速药敏试验(细菌平均检测时间为8-10小时；真菌药敏平均报告时间&lt;16小时)（提供彩页或说明书等证明材料)</w:t>
      </w:r>
    </w:p>
    <w:p w14:paraId="4325DC8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7、药敏MIC检测范围：可提供5~7个MIC浓度报告范围，完全覆盖CLSI、EUCAST的折点。</w:t>
      </w:r>
    </w:p>
    <w:p w14:paraId="68CF7B1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8、药敏关键测试药物：对于革兰阴性菌，可以提供头孢他啶/阿维巴坦、美罗培南、氨苄西林/舒巴坦、替加环素等药物的药敏检测；对于革兰阳性球菌可以提供苯唑西林、万古霉素、达托霉素、替考拉宁等药物的药敏检测；对于链球菌，可以提供青霉素、头孢噻肟、莫西沙星、万古霉素等药物的药敏检测。（提供彩页或说明书等证明材料）。</w:t>
      </w:r>
    </w:p>
    <w:p w14:paraId="4C9E7D9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9、药敏可检测耐药机制：可检测可覆盖革兰氏阴性菌、阳性菌、链球菌、真菌药敏检测，包括ESBL，CRE，MRSA，VRE，高水平氨基糖苷类耐药，可诱导克林霉素耐药、头孢西丁耐药等多种耐药机制，可检测并提示少见/罕见耐药表型。</w:t>
      </w:r>
    </w:p>
    <w:p w14:paraId="64C9F7B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仪器性能</w:t>
      </w:r>
    </w:p>
    <w:p w14:paraId="3FC7D9D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★10、上样方式：</w:t>
      </w:r>
      <w:r>
        <w:rPr>
          <w:rFonts w:hint="eastAsia" w:ascii="宋体" w:hAnsi="宋体" w:cs="宋体"/>
          <w:b w:val="0"/>
          <w:bCs/>
          <w:color w:val="000000"/>
          <w:kern w:val="2"/>
          <w:sz w:val="24"/>
          <w:szCs w:val="24"/>
          <w:lang w:val="en-US" w:eastAsia="zh-CN" w:bidi="ar-SA"/>
        </w:rPr>
        <w:t>仪器内置自动</w:t>
      </w:r>
      <w:r>
        <w:rPr>
          <w:rFonts w:hint="eastAsia" w:ascii="宋体" w:hAnsi="宋体" w:eastAsia="宋体" w:cs="宋体"/>
          <w:b w:val="0"/>
          <w:bCs/>
          <w:color w:val="000000"/>
          <w:kern w:val="2"/>
          <w:sz w:val="24"/>
          <w:szCs w:val="24"/>
          <w:lang w:val="en-US" w:eastAsia="zh-CN" w:bidi="ar-SA"/>
        </w:rPr>
        <w:t>真空填充</w:t>
      </w:r>
      <w:r>
        <w:rPr>
          <w:rFonts w:hint="eastAsia" w:ascii="宋体" w:hAnsi="宋体" w:cs="宋体"/>
          <w:b w:val="0"/>
          <w:bCs/>
          <w:color w:val="000000"/>
          <w:kern w:val="2"/>
          <w:sz w:val="24"/>
          <w:szCs w:val="24"/>
          <w:lang w:val="en-US" w:eastAsia="zh-CN" w:bidi="ar-SA"/>
        </w:rPr>
        <w:t>模块</w:t>
      </w:r>
      <w:r>
        <w:rPr>
          <w:rFonts w:hint="eastAsia" w:ascii="宋体" w:hAnsi="宋体" w:eastAsia="宋体" w:cs="宋体"/>
          <w:b w:val="0"/>
          <w:bCs/>
          <w:color w:val="000000"/>
          <w:kern w:val="2"/>
          <w:sz w:val="24"/>
          <w:szCs w:val="24"/>
          <w:lang w:val="en-US" w:eastAsia="zh-CN" w:bidi="ar-SA"/>
        </w:rPr>
        <w:t>，</w:t>
      </w:r>
      <w:r>
        <w:rPr>
          <w:rFonts w:hint="eastAsia" w:ascii="宋体" w:hAnsi="宋体" w:cs="宋体"/>
          <w:b w:val="0"/>
          <w:bCs/>
          <w:color w:val="000000"/>
          <w:kern w:val="2"/>
          <w:sz w:val="24"/>
          <w:szCs w:val="24"/>
          <w:lang w:val="en-US" w:eastAsia="zh-CN" w:bidi="ar-SA"/>
        </w:rPr>
        <w:t>无需外置加样系统，</w:t>
      </w:r>
      <w:r>
        <w:rPr>
          <w:rFonts w:hint="eastAsia" w:ascii="宋体" w:hAnsi="宋体" w:eastAsia="宋体" w:cs="宋体"/>
          <w:b w:val="0"/>
          <w:bCs/>
          <w:color w:val="000000"/>
          <w:kern w:val="2"/>
          <w:sz w:val="24"/>
          <w:szCs w:val="24"/>
          <w:lang w:val="en-US" w:eastAsia="zh-CN" w:bidi="ar-SA"/>
        </w:rPr>
        <w:t>确保生物安全。（提供彩页或说明书等证明材料）</w:t>
      </w:r>
    </w:p>
    <w:p w14:paraId="3970D5E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11、卡片自动化装/卸载：仪器高度自动化，可实现自动加样、自动上卡、自动孵育、自动判读、自动评价药敏结果，自动卸载卡片，搭配LIS实时发送报告，全过程无需人工干预</w:t>
      </w:r>
      <w:r>
        <w:rPr>
          <w:rFonts w:hint="eastAsia" w:ascii="宋体" w:hAnsi="宋体" w:cs="宋体"/>
          <w:b w:val="0"/>
          <w:bCs/>
          <w:color w:val="000000"/>
          <w:kern w:val="2"/>
          <w:sz w:val="24"/>
          <w:szCs w:val="24"/>
          <w:lang w:val="en-US" w:eastAsia="zh-CN" w:bidi="ar-SA"/>
        </w:rPr>
        <w:t>。</w:t>
      </w:r>
    </w:p>
    <w:p w14:paraId="05BBA80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12、可视化操作流程：配备中文可视化触摸操作屏和LED指示灯系统，通过动态图示引导样本上机、故障排除、仪器维护等操作流程，并通过指示灯颜色变化提示仪器运行状态，设备操作友好性高</w:t>
      </w:r>
      <w:r>
        <w:rPr>
          <w:rFonts w:hint="eastAsia" w:ascii="宋体" w:hAnsi="宋体" w:cs="宋体"/>
          <w:b w:val="0"/>
          <w:bCs/>
          <w:color w:val="000000"/>
          <w:kern w:val="2"/>
          <w:sz w:val="24"/>
          <w:szCs w:val="24"/>
          <w:lang w:val="en-US" w:eastAsia="zh-CN" w:bidi="ar-SA"/>
        </w:rPr>
        <w:t>。</w:t>
      </w:r>
    </w:p>
    <w:p w14:paraId="3DF48E7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13、鉴定药敏卡片：配备单独的鉴定卡和药敏卡，灵活适配鉴定和药敏单独检测的应用场景</w:t>
      </w:r>
      <w:r>
        <w:rPr>
          <w:rFonts w:hint="eastAsia" w:ascii="宋体" w:hAnsi="宋体" w:cs="宋体"/>
          <w:b w:val="0"/>
          <w:bCs/>
          <w:color w:val="000000"/>
          <w:kern w:val="2"/>
          <w:sz w:val="24"/>
          <w:szCs w:val="24"/>
          <w:lang w:val="en-US" w:eastAsia="zh-CN" w:bidi="ar-SA"/>
        </w:rPr>
        <w:t>。</w:t>
      </w:r>
    </w:p>
    <w:p w14:paraId="07FF8CC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14、卡片封闭性：独立的鉴定/药敏测试卡，全密封微孔板设计，无需额外添加附加试剂</w:t>
      </w:r>
      <w:r>
        <w:rPr>
          <w:rFonts w:hint="eastAsia" w:ascii="宋体" w:hAnsi="宋体" w:cs="宋体"/>
          <w:b w:val="0"/>
          <w:bCs/>
          <w:color w:val="000000"/>
          <w:kern w:val="2"/>
          <w:sz w:val="24"/>
          <w:szCs w:val="24"/>
          <w:lang w:val="en-US" w:eastAsia="zh-CN" w:bidi="ar-SA"/>
        </w:rPr>
        <w:t>。</w:t>
      </w:r>
    </w:p>
    <w:p w14:paraId="5FBDF46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15、比浊仪：提供可与鉴定药敏系统连接的比浊仪，自动将配制的菌悬液浊度传输到仪器中储存，确保药敏结果直接溯源到菌液浊度。标准浊度管永久有效，保证比浊仪校准和药敏结果的可靠性。（提供彩页或说明书等证明材料）</w:t>
      </w:r>
    </w:p>
    <w:p w14:paraId="36F590A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软件与专家系统：</w:t>
      </w:r>
    </w:p>
    <w:p w14:paraId="6FB60E9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▲16、可检测耐药表型：软件内置高级专家系统，储存有超过 50,000 张MIC分布图谱，并可推导分析＞3,000种以上的耐药表型＞100种耐药机制，专家系统可根据耐药表型推导潜在耐药机制（提供彩页或说明书等证明材料）</w:t>
      </w:r>
    </w:p>
    <w:p w14:paraId="7422180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17、软件：软件可以储存≥30000个测试结果</w:t>
      </w:r>
    </w:p>
    <w:p w14:paraId="50FD3CB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18、质量控制模块：软件中具有专用的质控模块，可以对整体流程进行质量控制，可以发布鉴定/药敏质控报告。</w:t>
      </w:r>
    </w:p>
    <w:p w14:paraId="5F2DA6B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19、罕见耐药表型报警功能：通过中间软件实现万古霉素非敏感的金黄色葡萄球菌、利奈唑胺非敏感的金黄色葡萄球菌、黏菌素/多粘菌素耐药的肠杆菌目等12种罕见耐药菌实现监测预警，避免错误报告。</w:t>
      </w:r>
    </w:p>
    <w:p w14:paraId="24C41A5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20、自建库：支持用户自建菌库功能，并具有电子签名功能（具有追踪及溯源功能）。</w:t>
      </w:r>
    </w:p>
    <w:p w14:paraId="0A3C7E6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21、实验室连接功能：LIS连接 可实现和LIS系统的单向或双向通讯Whonet连接 可实现WHONET文件格式导出 Excel数据导出 可实现数据Excel批量导出。</w:t>
      </w:r>
    </w:p>
    <w:p w14:paraId="493FED3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w:t>
      </w:r>
      <w:r>
        <w:rPr>
          <w:rFonts w:hint="eastAsia" w:ascii="宋体" w:hAnsi="宋体" w:cs="宋体"/>
          <w:b w:val="0"/>
          <w:bCs/>
          <w:color w:val="000000"/>
          <w:kern w:val="2"/>
          <w:sz w:val="24"/>
          <w:szCs w:val="24"/>
          <w:lang w:val="en-US" w:eastAsia="zh-CN" w:bidi="ar-SA"/>
        </w:rPr>
        <w:t>22、投标产品取得国家药监部门颁发的三类医疗器械产品注册证，提供注册证复印件。</w:t>
      </w:r>
    </w:p>
    <w:p w14:paraId="4983818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2</w:t>
      </w:r>
      <w:r>
        <w:rPr>
          <w:rFonts w:hint="eastAsia" w:ascii="宋体" w:hAnsi="宋体" w:cs="宋体"/>
          <w:b w:val="0"/>
          <w:bCs/>
          <w:color w:val="000000"/>
          <w:kern w:val="2"/>
          <w:sz w:val="24"/>
          <w:szCs w:val="24"/>
          <w:lang w:val="en-US" w:eastAsia="zh-CN" w:bidi="ar-SA"/>
        </w:rPr>
        <w:t>3</w:t>
      </w:r>
      <w:r>
        <w:rPr>
          <w:rFonts w:hint="eastAsia" w:ascii="宋体" w:hAnsi="宋体" w:eastAsia="宋体" w:cs="宋体"/>
          <w:b w:val="0"/>
          <w:bCs/>
          <w:color w:val="000000"/>
          <w:kern w:val="2"/>
          <w:sz w:val="24"/>
          <w:szCs w:val="24"/>
          <w:lang w:val="en-US" w:eastAsia="zh-CN" w:bidi="ar-SA"/>
        </w:rPr>
        <w:t>、配置：</w:t>
      </w:r>
    </w:p>
    <w:p w14:paraId="0E79B45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符合参数的主机 1台</w:t>
      </w:r>
    </w:p>
    <w:p w14:paraId="76D2EA6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具有无线功能的比浊仪 1台</w:t>
      </w:r>
    </w:p>
    <w:p w14:paraId="7349B02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分析软件  1套</w:t>
      </w:r>
    </w:p>
    <w:p w14:paraId="4B7F203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数据线 1套</w:t>
      </w:r>
    </w:p>
    <w:p w14:paraId="06E2A701">
      <w:pPr>
        <w:rPr>
          <w:rFonts w:hint="eastAsia" w:ascii="黑体" w:hAnsi="黑体" w:eastAsia="黑体"/>
          <w:color w:val="auto"/>
          <w:sz w:val="28"/>
          <w:szCs w:val="28"/>
          <w:highlight w:val="none"/>
        </w:rPr>
      </w:pPr>
      <w:bookmarkStart w:id="73" w:name="_Toc3145"/>
      <w:r>
        <w:rPr>
          <w:rFonts w:hint="eastAsia" w:ascii="黑体" w:hAnsi="黑体" w:eastAsia="黑体"/>
          <w:color w:val="auto"/>
          <w:sz w:val="28"/>
          <w:szCs w:val="28"/>
          <w:highlight w:val="none"/>
        </w:rPr>
        <w:br w:type="page"/>
      </w:r>
    </w:p>
    <w:p w14:paraId="5BFC96CC">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center"/>
        <w:textAlignment w:val="auto"/>
        <w:rPr>
          <w:rFonts w:ascii="黑体" w:hAnsi="黑体" w:eastAsia="黑体"/>
          <w:color w:val="auto"/>
          <w:highlight w:val="none"/>
        </w:rPr>
      </w:pPr>
      <w:r>
        <w:rPr>
          <w:rFonts w:hint="eastAsia" w:ascii="黑体" w:hAnsi="黑体" w:eastAsia="黑体"/>
          <w:color w:val="auto"/>
          <w:sz w:val="28"/>
          <w:szCs w:val="28"/>
          <w:highlight w:val="none"/>
        </w:rPr>
        <w:t>第三节 商务</w:t>
      </w:r>
      <w:r>
        <w:rPr>
          <w:rFonts w:ascii="黑体" w:hAnsi="黑体" w:eastAsia="黑体"/>
          <w:color w:val="auto"/>
          <w:sz w:val="28"/>
          <w:szCs w:val="28"/>
          <w:highlight w:val="none"/>
        </w:rPr>
        <w:t>要求</w:t>
      </w:r>
      <w:bookmarkEnd w:id="73"/>
    </w:p>
    <w:p w14:paraId="0E729748">
      <w:pPr>
        <w:keepNext w:val="0"/>
        <w:keepLines w:val="0"/>
        <w:pageBreakBefore w:val="0"/>
        <w:kinsoku/>
        <w:autoSpaceDE/>
        <w:autoSpaceDN/>
        <w:bidi w:val="0"/>
        <w:adjustRightInd/>
        <w:snapToGrid/>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一</w:t>
      </w:r>
      <w:r>
        <w:rPr>
          <w:rFonts w:hint="eastAsia" w:ascii="宋体" w:hAnsi="宋体" w:eastAsia="宋体" w:cs="宋体"/>
          <w:b w:val="0"/>
          <w:bCs w:val="0"/>
          <w:color w:val="auto"/>
          <w:sz w:val="24"/>
          <w:szCs w:val="24"/>
          <w:highlight w:val="none"/>
        </w:rPr>
        <w:t>、供货、验收、付款及售后服务</w:t>
      </w:r>
    </w:p>
    <w:p w14:paraId="156D8C93">
      <w:pPr>
        <w:keepNext w:val="0"/>
        <w:keepLines w:val="0"/>
        <w:pageBreakBefore w:val="0"/>
        <w:kinsoku/>
        <w:autoSpaceDE/>
        <w:autoSpaceDN/>
        <w:bidi w:val="0"/>
        <w:adjustRightInd/>
        <w:snapToGrid/>
        <w:spacing w:line="360" w:lineRule="auto"/>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1、供货及运输</w:t>
      </w:r>
    </w:p>
    <w:p w14:paraId="5DE409C4">
      <w:pPr>
        <w:keepNext w:val="0"/>
        <w:keepLines w:val="0"/>
        <w:pageBreakBefore w:val="0"/>
        <w:kinsoku/>
        <w:autoSpaceDE/>
        <w:autoSpaceDN/>
        <w:bidi w:val="0"/>
        <w:adjustRightInd/>
        <w:snapToGrid/>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1.1 供货时间：</w:t>
      </w:r>
    </w:p>
    <w:p w14:paraId="21528F10">
      <w:pPr>
        <w:keepNext w:val="0"/>
        <w:keepLines w:val="0"/>
        <w:pageBreakBefore w:val="0"/>
        <w:kinsoku/>
        <w:autoSpaceDE/>
        <w:autoSpaceDN/>
        <w:bidi w:val="0"/>
        <w:adjustRightInd/>
        <w:snapToGrid/>
        <w:spacing w:line="360" w:lineRule="auto"/>
        <w:ind w:firstLine="480" w:firstLineChars="200"/>
        <w:textAlignment w:val="baseline"/>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包1：</w:t>
      </w:r>
      <w:r>
        <w:rPr>
          <w:rFonts w:hint="eastAsia" w:ascii="宋体" w:hAnsi="宋体" w:eastAsia="宋体" w:cs="宋体"/>
          <w:b w:val="0"/>
          <w:bCs w:val="0"/>
          <w:color w:val="auto"/>
          <w:sz w:val="24"/>
          <w:szCs w:val="24"/>
          <w:highlight w:val="none"/>
        </w:rPr>
        <w:t>合同签订后</w:t>
      </w:r>
      <w:r>
        <w:rPr>
          <w:rFonts w:hint="eastAsia" w:ascii="宋体" w:hAnsi="宋体" w:cs="宋体"/>
          <w:b w:val="0"/>
          <w:bCs w:val="0"/>
          <w:color w:val="auto"/>
          <w:sz w:val="24"/>
          <w:szCs w:val="24"/>
          <w:highlight w:val="none"/>
          <w:lang w:val="en-US" w:eastAsia="zh-CN"/>
        </w:rPr>
        <w:t>30天内</w:t>
      </w:r>
      <w:r>
        <w:rPr>
          <w:rFonts w:hint="eastAsia" w:ascii="宋体" w:hAnsi="宋体" w:eastAsia="宋体" w:cs="宋体"/>
          <w:b w:val="0"/>
          <w:bCs w:val="0"/>
          <w:color w:val="auto"/>
          <w:sz w:val="24"/>
          <w:szCs w:val="24"/>
          <w:highlight w:val="none"/>
        </w:rPr>
        <w:t>完成全部供货，并经采购人验收合格。</w:t>
      </w:r>
    </w:p>
    <w:p w14:paraId="5824927D">
      <w:pPr>
        <w:keepNext w:val="0"/>
        <w:keepLines w:val="0"/>
        <w:pageBreakBefore w:val="0"/>
        <w:kinsoku/>
        <w:autoSpaceDE/>
        <w:autoSpaceDN/>
        <w:bidi w:val="0"/>
        <w:adjustRightInd/>
        <w:snapToGrid/>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cs="宋体"/>
          <w:b w:val="0"/>
          <w:bCs w:val="0"/>
          <w:color w:val="auto"/>
          <w:sz w:val="24"/>
          <w:szCs w:val="24"/>
          <w:highlight w:val="none"/>
          <w:lang w:val="en-US" w:eastAsia="zh-CN"/>
        </w:rPr>
        <w:t>包2：</w:t>
      </w:r>
      <w:r>
        <w:rPr>
          <w:rFonts w:hint="eastAsia" w:ascii="宋体" w:hAnsi="宋体" w:eastAsia="宋体" w:cs="宋体"/>
          <w:b w:val="0"/>
          <w:bCs w:val="0"/>
          <w:color w:val="auto"/>
          <w:sz w:val="24"/>
          <w:szCs w:val="24"/>
          <w:highlight w:val="none"/>
        </w:rPr>
        <w:t>合同签订后</w:t>
      </w:r>
      <w:r>
        <w:rPr>
          <w:rFonts w:hint="eastAsia" w:ascii="宋体" w:hAnsi="宋体" w:cs="宋体"/>
          <w:b w:val="0"/>
          <w:bCs w:val="0"/>
          <w:color w:val="auto"/>
          <w:sz w:val="24"/>
          <w:szCs w:val="24"/>
          <w:highlight w:val="none"/>
          <w:lang w:val="en-US" w:eastAsia="zh-CN"/>
        </w:rPr>
        <w:t>30天内</w:t>
      </w:r>
      <w:r>
        <w:rPr>
          <w:rFonts w:hint="eastAsia" w:ascii="宋体" w:hAnsi="宋体" w:eastAsia="宋体" w:cs="宋体"/>
          <w:b w:val="0"/>
          <w:bCs w:val="0"/>
          <w:color w:val="auto"/>
          <w:sz w:val="24"/>
          <w:szCs w:val="24"/>
          <w:highlight w:val="none"/>
        </w:rPr>
        <w:t>完成全部供货，并经采购人验收合格。</w:t>
      </w:r>
    </w:p>
    <w:p w14:paraId="2903C651">
      <w:pPr>
        <w:keepNext w:val="0"/>
        <w:keepLines w:val="0"/>
        <w:pageBreakBefore w:val="0"/>
        <w:kinsoku/>
        <w:autoSpaceDE/>
        <w:autoSpaceDN/>
        <w:bidi w:val="0"/>
        <w:adjustRightInd/>
        <w:snapToGrid/>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1.2 供货地点：采购人指定地点。</w:t>
      </w:r>
    </w:p>
    <w:p w14:paraId="5C41038B">
      <w:pPr>
        <w:keepNext w:val="0"/>
        <w:keepLines w:val="0"/>
        <w:pageBreakBefore w:val="0"/>
        <w:kinsoku/>
        <w:autoSpaceDE/>
        <w:autoSpaceDN/>
        <w:bidi w:val="0"/>
        <w:adjustRightInd/>
        <w:snapToGrid/>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1.3 中标单位负责产品到交货地点的全部运输，包括装卸、现场运送等。</w:t>
      </w:r>
    </w:p>
    <w:p w14:paraId="25099C18">
      <w:pPr>
        <w:keepNext w:val="0"/>
        <w:keepLines w:val="0"/>
        <w:pageBreakBefore w:val="0"/>
        <w:kinsoku/>
        <w:autoSpaceDE/>
        <w:autoSpaceDN/>
        <w:bidi w:val="0"/>
        <w:adjustRightInd/>
        <w:snapToGrid/>
        <w:spacing w:line="360" w:lineRule="auto"/>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2、验收要求</w:t>
      </w:r>
    </w:p>
    <w:p w14:paraId="140386F6">
      <w:pPr>
        <w:keepNext w:val="0"/>
        <w:keepLines w:val="0"/>
        <w:pageBreakBefore w:val="0"/>
        <w:kinsoku/>
        <w:autoSpaceDE/>
        <w:autoSpaceDN/>
        <w:bidi w:val="0"/>
        <w:adjustRightInd/>
        <w:snapToGrid/>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2.1 货物配送时</w:t>
      </w:r>
      <w:r>
        <w:rPr>
          <w:rFonts w:hint="eastAsia" w:ascii="宋体" w:hAnsi="宋体" w:cs="宋体"/>
          <w:b w:val="0"/>
          <w:bCs w:val="0"/>
          <w:color w:val="auto"/>
          <w:sz w:val="24"/>
          <w:szCs w:val="24"/>
          <w:highlight w:val="none"/>
          <w:lang w:val="en-US" w:eastAsia="zh-CN"/>
        </w:rPr>
        <w:t>需根据货物品类</w:t>
      </w:r>
      <w:r>
        <w:rPr>
          <w:rFonts w:hint="eastAsia" w:ascii="宋体" w:hAnsi="宋体" w:eastAsia="宋体" w:cs="宋体"/>
          <w:b w:val="0"/>
          <w:bCs w:val="0"/>
          <w:color w:val="auto"/>
          <w:sz w:val="24"/>
          <w:szCs w:val="24"/>
          <w:highlight w:val="none"/>
        </w:rPr>
        <w:t>按国家及行业要求提供《产品合格证明》和《医疗器械生产企业许可证》复印件等产品质量及来源证明材料，否则，采购人可拒绝接收全部货物。</w:t>
      </w:r>
    </w:p>
    <w:p w14:paraId="0E1ED662">
      <w:pPr>
        <w:keepNext w:val="0"/>
        <w:keepLines w:val="0"/>
        <w:pageBreakBefore w:val="0"/>
        <w:kinsoku/>
        <w:autoSpaceDE/>
        <w:autoSpaceDN/>
        <w:bidi w:val="0"/>
        <w:adjustRightInd/>
        <w:snapToGrid/>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2.2 所投产品必须保证符合储藏、运输条件。</w:t>
      </w:r>
    </w:p>
    <w:p w14:paraId="63BAB77C">
      <w:pPr>
        <w:keepNext w:val="0"/>
        <w:keepLines w:val="0"/>
        <w:pageBreakBefore w:val="0"/>
        <w:kinsoku/>
        <w:autoSpaceDE/>
        <w:autoSpaceDN/>
        <w:bidi w:val="0"/>
        <w:adjustRightInd/>
        <w:snapToGrid/>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2.3 经</w:t>
      </w:r>
      <w:r>
        <w:rPr>
          <w:rFonts w:hint="default" w:ascii="宋体" w:hAnsi="宋体" w:cs="宋体"/>
          <w:b w:val="0"/>
          <w:bCs w:val="0"/>
          <w:color w:val="auto"/>
          <w:sz w:val="24"/>
          <w:szCs w:val="24"/>
          <w:highlight w:val="none"/>
          <w:lang w:val="en-US"/>
        </w:rPr>
        <w:t>株洲市疾病预防控制中心（株洲市卫生综合监督执法局）</w:t>
      </w:r>
      <w:r>
        <w:rPr>
          <w:rFonts w:hint="eastAsia" w:ascii="宋体" w:hAnsi="宋体" w:eastAsia="宋体" w:cs="宋体"/>
          <w:b w:val="0"/>
          <w:bCs w:val="0"/>
          <w:color w:val="auto"/>
          <w:sz w:val="24"/>
          <w:szCs w:val="24"/>
          <w:highlight w:val="none"/>
        </w:rPr>
        <w:t>实验室相关专业人员验收合格。</w:t>
      </w:r>
    </w:p>
    <w:p w14:paraId="7D227CC2">
      <w:pPr>
        <w:keepNext w:val="0"/>
        <w:keepLines w:val="0"/>
        <w:pageBreakBefore w:val="0"/>
        <w:kinsoku/>
        <w:autoSpaceDE/>
        <w:autoSpaceDN/>
        <w:bidi w:val="0"/>
        <w:adjustRightInd/>
        <w:snapToGrid/>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2.4 如有产品验收未通过的，中标人须及时更换合格产品，连续两次验收不合格的，中标人</w:t>
      </w:r>
    </w:p>
    <w:p w14:paraId="7BCE8D4A">
      <w:pPr>
        <w:keepNext w:val="0"/>
        <w:keepLines w:val="0"/>
        <w:pageBreakBefore w:val="0"/>
        <w:kinsoku/>
        <w:autoSpaceDE/>
        <w:autoSpaceDN/>
        <w:bidi w:val="0"/>
        <w:adjustRightInd/>
        <w:snapToGrid/>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可单方面终止采购合同，对采购人造成损失的，中标人同时须承担相应责任。</w:t>
      </w:r>
    </w:p>
    <w:p w14:paraId="1582A957">
      <w:pPr>
        <w:keepNext w:val="0"/>
        <w:keepLines w:val="0"/>
        <w:pageBreakBefore w:val="0"/>
        <w:kinsoku/>
        <w:autoSpaceDE/>
        <w:autoSpaceDN/>
        <w:bidi w:val="0"/>
        <w:adjustRightInd/>
        <w:snapToGrid/>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2.5 验收方式：本项目验收方式为采购人自行组织验收，合同履约及验收相关程序按照《株洲市政府采购项目履约验收管理暂行办法》的要求执行。</w:t>
      </w:r>
    </w:p>
    <w:p w14:paraId="508B4DA2">
      <w:pPr>
        <w:keepNext w:val="0"/>
        <w:keepLines w:val="0"/>
        <w:pageBreakBefore w:val="0"/>
        <w:kinsoku/>
        <w:autoSpaceDE/>
        <w:autoSpaceDN/>
        <w:bidi w:val="0"/>
        <w:adjustRightInd/>
        <w:snapToGrid/>
        <w:spacing w:line="360" w:lineRule="auto"/>
        <w:ind w:firstLine="480" w:firstLineChars="200"/>
        <w:textAlignment w:val="baseline"/>
        <w:rPr>
          <w:rFonts w:hint="eastAsia" w:ascii="宋体" w:hAnsi="宋体" w:eastAsia="宋体" w:cs="宋体"/>
          <w:b w:val="0"/>
          <w:bCs w:val="0"/>
          <w:color w:val="auto"/>
          <w:sz w:val="24"/>
          <w:szCs w:val="24"/>
          <w:highlight w:val="none"/>
        </w:rPr>
      </w:pPr>
    </w:p>
    <w:p w14:paraId="43A423F0">
      <w:pPr>
        <w:keepNext w:val="0"/>
        <w:keepLines w:val="0"/>
        <w:pageBreakBefore w:val="0"/>
        <w:kinsoku/>
        <w:autoSpaceDE/>
        <w:autoSpaceDN/>
        <w:bidi w:val="0"/>
        <w:adjustRightInd/>
        <w:snapToGrid/>
        <w:spacing w:line="360" w:lineRule="auto"/>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3、付款方式</w:t>
      </w:r>
    </w:p>
    <w:p w14:paraId="57C3978D">
      <w:pPr>
        <w:keepNext w:val="0"/>
        <w:keepLines w:val="0"/>
        <w:pageBreakBefore w:val="0"/>
        <w:kinsoku/>
        <w:autoSpaceDE/>
        <w:autoSpaceDN/>
        <w:bidi w:val="0"/>
        <w:adjustRightInd/>
        <w:snapToGrid/>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3.1</w:t>
      </w:r>
      <w:r>
        <w:rPr>
          <w:rFonts w:hint="eastAsia" w:ascii="宋体" w:hAnsi="宋体" w:cs="宋体"/>
          <w:b w:val="0"/>
          <w:bCs w:val="0"/>
          <w:snapToGrid w:val="0"/>
          <w:color w:val="auto"/>
          <w:kern w:val="0"/>
          <w:sz w:val="24"/>
          <w:szCs w:val="24"/>
          <w:highlight w:val="none"/>
        </w:rPr>
        <w:t>货物送达采购人指定地点并经验收合格后支付合同价款97%；合同总价3%作为质量保证金，</w:t>
      </w:r>
      <w:r>
        <w:rPr>
          <w:rFonts w:hint="eastAsia" w:ascii="宋体" w:hAnsi="宋体" w:cs="宋体"/>
          <w:b w:val="0"/>
          <w:bCs w:val="0"/>
          <w:snapToGrid w:val="0"/>
          <w:color w:val="auto"/>
          <w:kern w:val="0"/>
          <w:sz w:val="24"/>
          <w:szCs w:val="24"/>
          <w:highlight w:val="none"/>
          <w:lang w:eastAsia="zh-CN"/>
        </w:rPr>
        <w:t>自质保起算日届满 12 个月且无质量问题的，采购人将无息全额支付质量保证金；质量保证金支付后，中标人仍需完整履行剩余 1 年质保服务义务（具体以合同签订为准）。</w:t>
      </w:r>
    </w:p>
    <w:p w14:paraId="2D5441C1">
      <w:pPr>
        <w:keepNext w:val="0"/>
        <w:keepLines w:val="0"/>
        <w:pageBreakBefore w:val="0"/>
        <w:kinsoku/>
        <w:autoSpaceDE/>
        <w:autoSpaceDN/>
        <w:bidi w:val="0"/>
        <w:adjustRightInd/>
        <w:snapToGrid/>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3.2 付款凭正式的税务发票办理，发票由中标单位开具。</w:t>
      </w:r>
    </w:p>
    <w:p w14:paraId="1537B3DA">
      <w:pPr>
        <w:pStyle w:val="4"/>
        <w:rPr>
          <w:rFonts w:hint="eastAsia"/>
          <w:color w:val="auto"/>
          <w:highlight w:val="none"/>
        </w:rPr>
      </w:pPr>
    </w:p>
    <w:p w14:paraId="3792C3B4">
      <w:pPr>
        <w:keepNext w:val="0"/>
        <w:keepLines w:val="0"/>
        <w:pageBreakBefore w:val="0"/>
        <w:kinsoku/>
        <w:autoSpaceDE/>
        <w:autoSpaceDN/>
        <w:bidi w:val="0"/>
        <w:adjustRightInd/>
        <w:snapToGrid/>
        <w:spacing w:line="360" w:lineRule="auto"/>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4、质量保证及售后服务</w:t>
      </w:r>
    </w:p>
    <w:p w14:paraId="4E0DBDE9">
      <w:pPr>
        <w:keepNext w:val="0"/>
        <w:keepLines w:val="0"/>
        <w:pageBreakBefore w:val="0"/>
        <w:kinsoku/>
        <w:autoSpaceDE/>
        <w:autoSpaceDN/>
        <w:bidi w:val="0"/>
        <w:adjustRightInd/>
        <w:snapToGrid/>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4.1 所有货物应是符合国家及国际相关标准的合格产品，纳入国家医疗器械管理的主要产品生产厂家须具备《医疗器械生产企业许可证》，并提供产品合格证。</w:t>
      </w:r>
    </w:p>
    <w:p w14:paraId="71DE3D59">
      <w:pPr>
        <w:keepNext w:val="0"/>
        <w:keepLines w:val="0"/>
        <w:pageBreakBefore w:val="0"/>
        <w:kinsoku/>
        <w:autoSpaceDE/>
        <w:autoSpaceDN/>
        <w:bidi w:val="0"/>
        <w:adjustRightInd/>
        <w:snapToGrid/>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4.2 产品出厂具备检验报告的应在投标文件中提供相应的检测报告，验收时，采购人有要求的，应出具检验报告原件。</w:t>
      </w:r>
    </w:p>
    <w:p w14:paraId="11882054">
      <w:pPr>
        <w:keepNext w:val="0"/>
        <w:keepLines w:val="0"/>
        <w:pageBreakBefore w:val="0"/>
        <w:kinsoku/>
        <w:autoSpaceDE/>
        <w:autoSpaceDN/>
        <w:bidi w:val="0"/>
        <w:adjustRightInd/>
        <w:snapToGrid/>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 xml:space="preserve">4.3 </w:t>
      </w:r>
      <w:r>
        <w:rPr>
          <w:rFonts w:hint="eastAsia" w:ascii="宋体" w:hAnsi="宋体" w:cs="宋体"/>
          <w:b w:val="0"/>
          <w:bCs w:val="0"/>
          <w:color w:val="auto"/>
          <w:sz w:val="24"/>
          <w:szCs w:val="24"/>
          <w:highlight w:val="none"/>
          <w:lang w:val="en-US" w:eastAsia="zh-CN"/>
        </w:rPr>
        <w:t>本项目整体质保期2年，</w:t>
      </w:r>
      <w:r>
        <w:rPr>
          <w:rFonts w:hint="eastAsia" w:ascii="宋体" w:hAnsi="宋体" w:eastAsia="宋体" w:cs="宋体"/>
          <w:b w:val="0"/>
          <w:bCs w:val="0"/>
          <w:color w:val="auto"/>
          <w:sz w:val="24"/>
          <w:szCs w:val="24"/>
          <w:highlight w:val="none"/>
        </w:rPr>
        <w:t>所有产品按国家及行业标准执行质量保障，投标人应在投标时明确相应的质保期限。</w:t>
      </w:r>
    </w:p>
    <w:p w14:paraId="1B73CF0D">
      <w:pPr>
        <w:keepNext w:val="0"/>
        <w:keepLines w:val="0"/>
        <w:pageBreakBefore w:val="0"/>
        <w:kinsoku/>
        <w:autoSpaceDE/>
        <w:autoSpaceDN/>
        <w:bidi w:val="0"/>
        <w:adjustRightInd/>
        <w:snapToGrid/>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4.4 针对采购人的问题反馈等，中标人须积极配合采购人的工作，产品存在瑕疵或质量问题的，应及时免费更换合格产品。</w:t>
      </w:r>
    </w:p>
    <w:p w14:paraId="28F2739A">
      <w:pPr>
        <w:keepNext w:val="0"/>
        <w:keepLines w:val="0"/>
        <w:pageBreakBefore w:val="0"/>
        <w:kinsoku/>
        <w:autoSpaceDE/>
        <w:autoSpaceDN/>
        <w:bidi w:val="0"/>
        <w:adjustRightInd/>
        <w:snapToGrid/>
        <w:spacing w:line="360" w:lineRule="auto"/>
        <w:ind w:firstLine="480" w:firstLineChars="200"/>
        <w:textAlignment w:val="baseline"/>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sz w:val="24"/>
          <w:szCs w:val="24"/>
        </w:rPr>
        <w:t>★</w:t>
      </w:r>
      <w:r>
        <w:rPr>
          <w:rFonts w:hint="eastAsia" w:ascii="宋体" w:hAnsi="宋体" w:eastAsia="宋体" w:cs="宋体"/>
          <w:b w:val="0"/>
          <w:bCs w:val="0"/>
          <w:color w:val="auto"/>
          <w:sz w:val="24"/>
          <w:szCs w:val="24"/>
          <w:highlight w:val="none"/>
        </w:rPr>
        <w:t>4.</w:t>
      </w:r>
      <w:r>
        <w:rPr>
          <w:rFonts w:hint="eastAsia" w:ascii="宋体" w:hAnsi="宋体" w:eastAsia="宋体" w:cs="宋体"/>
          <w:b w:val="0"/>
          <w:bCs w:val="0"/>
          <w:color w:val="auto"/>
          <w:sz w:val="24"/>
          <w:szCs w:val="24"/>
          <w:highlight w:val="none"/>
          <w:lang w:val="en-US" w:eastAsia="zh-CN"/>
        </w:rPr>
        <w:t>5本项目所投全部设备的生产日期须为 2026 年 1 月 1 日（含）之后。</w:t>
      </w:r>
    </w:p>
    <w:p w14:paraId="55B2643C">
      <w:pPr>
        <w:keepNext w:val="0"/>
        <w:keepLines w:val="0"/>
        <w:pageBreakBefore w:val="0"/>
        <w:kinsoku/>
        <w:autoSpaceDE/>
        <w:autoSpaceDN/>
        <w:bidi w:val="0"/>
        <w:adjustRightInd/>
        <w:snapToGrid/>
        <w:spacing w:line="360" w:lineRule="auto"/>
        <w:ind w:firstLine="482" w:firstLineChars="200"/>
        <w:textAlignment w:val="baseline"/>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w:t>
      </w:r>
      <w:r>
        <w:rPr>
          <w:rFonts w:hint="eastAsia" w:ascii="宋体" w:hAnsi="宋体" w:eastAsia="宋体" w:cs="宋体"/>
          <w:b w:val="0"/>
          <w:bCs w:val="0"/>
          <w:color w:val="auto"/>
          <w:sz w:val="24"/>
          <w:szCs w:val="24"/>
          <w:highlight w:val="none"/>
        </w:rPr>
        <w:t>4.</w:t>
      </w:r>
      <w:r>
        <w:rPr>
          <w:rFonts w:hint="eastAsia" w:ascii="宋体" w:hAnsi="宋体" w:cs="宋体"/>
          <w:b w:val="0"/>
          <w:bCs w:val="0"/>
          <w:color w:val="auto"/>
          <w:sz w:val="24"/>
          <w:szCs w:val="24"/>
          <w:highlight w:val="none"/>
          <w:lang w:val="en-US" w:eastAsia="zh-CN"/>
        </w:rPr>
        <w:t>6</w:t>
      </w:r>
      <w:r>
        <w:rPr>
          <w:rFonts w:hint="eastAsia" w:ascii="宋体" w:hAnsi="宋体" w:eastAsia="宋体" w:cs="宋体"/>
          <w:b/>
          <w:bCs/>
          <w:color w:val="auto"/>
          <w:sz w:val="24"/>
          <w:szCs w:val="24"/>
          <w:highlight w:val="none"/>
          <w:lang w:eastAsia="zh-CN"/>
        </w:rPr>
        <w:t>、投标人须</w:t>
      </w:r>
      <w:r>
        <w:rPr>
          <w:rFonts w:hint="eastAsia" w:ascii="宋体" w:hAnsi="宋体" w:eastAsia="宋体" w:cs="宋体"/>
          <w:b/>
          <w:bCs/>
          <w:color w:val="auto"/>
          <w:sz w:val="24"/>
          <w:szCs w:val="24"/>
          <w:highlight w:val="none"/>
          <w:lang w:val="en-US" w:eastAsia="zh-CN"/>
        </w:rPr>
        <w:t>在投标文件中单独</w:t>
      </w:r>
      <w:r>
        <w:rPr>
          <w:rFonts w:hint="eastAsia" w:ascii="宋体" w:hAnsi="宋体" w:eastAsia="宋体" w:cs="宋体"/>
          <w:b/>
          <w:bCs/>
          <w:color w:val="auto"/>
          <w:sz w:val="24"/>
          <w:szCs w:val="24"/>
          <w:highlight w:val="none"/>
          <w:lang w:eastAsia="zh-CN"/>
        </w:rPr>
        <w:t>提供书面承诺：中标后须在中标通知书发出之日起七个工作日内提供投标产品制造商针对本项目出具的售后服务承诺书原件，否则视为提供虚假材料谋取中标。</w:t>
      </w:r>
    </w:p>
    <w:p w14:paraId="1BC26F6F">
      <w:pPr>
        <w:pStyle w:val="44"/>
        <w:rPr>
          <w:rFonts w:hint="eastAsia"/>
          <w:lang w:val="en-US" w:eastAsia="zh-CN"/>
        </w:rPr>
      </w:pPr>
    </w:p>
    <w:p w14:paraId="578F8AE0">
      <w:pPr>
        <w:keepNext w:val="0"/>
        <w:keepLines w:val="0"/>
        <w:pageBreakBefore w:val="0"/>
        <w:kinsoku/>
        <w:autoSpaceDE/>
        <w:autoSpaceDN/>
        <w:bidi w:val="0"/>
        <w:adjustRightInd/>
        <w:snapToGrid/>
        <w:spacing w:line="360" w:lineRule="auto"/>
        <w:ind w:firstLine="480" w:firstLineChars="200"/>
        <w:textAlignment w:val="baseline"/>
        <w:rPr>
          <w:rFonts w:hint="eastAsia" w:ascii="宋体" w:hAnsi="宋体" w:eastAsia="宋体" w:cs="宋体"/>
          <w:b w:val="0"/>
          <w:bCs w:val="0"/>
          <w:color w:val="auto"/>
          <w:sz w:val="24"/>
          <w:szCs w:val="24"/>
          <w:highlight w:val="none"/>
        </w:rPr>
      </w:pPr>
    </w:p>
    <w:p w14:paraId="5C33CA1C">
      <w:pPr>
        <w:keepNext w:val="0"/>
        <w:keepLines w:val="0"/>
        <w:pageBreakBefore w:val="0"/>
        <w:kinsoku/>
        <w:autoSpaceDE/>
        <w:autoSpaceDN/>
        <w:bidi w:val="0"/>
        <w:adjustRightInd/>
        <w:snapToGrid/>
        <w:spacing w:line="360" w:lineRule="auto"/>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二</w:t>
      </w:r>
      <w:r>
        <w:rPr>
          <w:rFonts w:hint="eastAsia" w:ascii="宋体" w:hAnsi="宋体" w:eastAsia="宋体" w:cs="宋体"/>
          <w:b/>
          <w:bCs/>
          <w:color w:val="auto"/>
          <w:sz w:val="24"/>
          <w:szCs w:val="24"/>
          <w:highlight w:val="none"/>
        </w:rPr>
        <w:t>、重要说明</w:t>
      </w:r>
    </w:p>
    <w:p w14:paraId="414981DE">
      <w:pPr>
        <w:keepNext w:val="0"/>
        <w:keepLines w:val="0"/>
        <w:pageBreakBefore w:val="0"/>
        <w:kinsoku/>
        <w:autoSpaceDE/>
        <w:autoSpaceDN/>
        <w:bidi w:val="0"/>
        <w:adjustRightInd/>
        <w:snapToGrid/>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1、本项目不统一组织现场踏勘，投标人必须自行前往采购单位对项目需求及采购人现有设备、仪器进行详细了解，以保证投标人提供的试剂及耗材能与相关设备配套使用，且不影响检测实验的准确度。</w:t>
      </w:r>
    </w:p>
    <w:p w14:paraId="3C26B7D3">
      <w:pPr>
        <w:keepNext w:val="0"/>
        <w:keepLines w:val="0"/>
        <w:pageBreakBefore w:val="0"/>
        <w:kinsoku/>
        <w:autoSpaceDE/>
        <w:autoSpaceDN/>
        <w:bidi w:val="0"/>
        <w:adjustRightInd/>
        <w:snapToGrid/>
        <w:spacing w:line="360" w:lineRule="auto"/>
        <w:ind w:firstLine="482" w:firstLineChars="200"/>
        <w:textAlignment w:val="baseline"/>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rPr>
        <w:t>2、</w:t>
      </w:r>
      <w:r>
        <w:rPr>
          <w:rFonts w:hint="eastAsia" w:ascii="宋体" w:hAnsi="宋体" w:eastAsia="宋体" w:cs="宋体"/>
          <w:b/>
          <w:bCs/>
          <w:color w:val="auto"/>
          <w:sz w:val="24"/>
          <w:szCs w:val="24"/>
          <w:highlight w:val="none"/>
          <w:lang w:eastAsia="zh-CN"/>
        </w:rPr>
        <w:t>投标人应保证其投标产品是符合国家相关标准的合格产品，如在采购人使用过程中发现投标产品质量或效果无法达到标准（因采购人实验人员操作不当除外），采购人有权要求中标人在同等价位的基础上更换相关产品，如更换后仍然不达标的，由中标人向采购人提供湖南省疾控系统内使用效果稳定的产品，所有费用由中标人自行承担；投标人</w:t>
      </w:r>
      <w:r>
        <w:rPr>
          <w:rFonts w:hint="eastAsia" w:ascii="宋体" w:hAnsi="宋体" w:eastAsia="宋体" w:cs="宋体"/>
          <w:b/>
          <w:bCs/>
          <w:color w:val="auto"/>
          <w:sz w:val="24"/>
          <w:szCs w:val="24"/>
          <w:highlight w:val="none"/>
          <w:lang w:val="en-US" w:eastAsia="zh-CN"/>
        </w:rPr>
        <w:t>必须在投标文件中单独</w:t>
      </w:r>
      <w:r>
        <w:rPr>
          <w:rFonts w:hint="eastAsia" w:ascii="宋体" w:hAnsi="宋体" w:eastAsia="宋体" w:cs="宋体"/>
          <w:b/>
          <w:bCs/>
          <w:color w:val="auto"/>
          <w:sz w:val="24"/>
          <w:szCs w:val="24"/>
          <w:highlight w:val="none"/>
          <w:lang w:eastAsia="zh-CN"/>
        </w:rPr>
        <w:t>提供上述要求的书面承诺，</w:t>
      </w:r>
      <w:r>
        <w:rPr>
          <w:rFonts w:hint="eastAsia" w:ascii="宋体" w:hAnsi="宋体" w:eastAsia="宋体" w:cs="宋体"/>
          <w:b/>
          <w:bCs/>
          <w:color w:val="auto"/>
          <w:sz w:val="24"/>
          <w:szCs w:val="24"/>
          <w:highlight w:val="none"/>
          <w:lang w:val="en-US" w:eastAsia="zh-CN"/>
        </w:rPr>
        <w:t>否则，</w:t>
      </w:r>
      <w:r>
        <w:rPr>
          <w:rFonts w:hint="eastAsia" w:ascii="宋体" w:hAnsi="宋体" w:eastAsia="宋体" w:cs="宋体"/>
          <w:b/>
          <w:bCs/>
          <w:color w:val="auto"/>
          <w:sz w:val="24"/>
          <w:szCs w:val="24"/>
          <w:highlight w:val="none"/>
          <w:lang w:eastAsia="zh-CN"/>
        </w:rPr>
        <w:t>视为无效投标。</w:t>
      </w:r>
    </w:p>
    <w:p w14:paraId="51D388A9">
      <w:pPr>
        <w:keepNext w:val="0"/>
        <w:keepLines w:val="0"/>
        <w:pageBreakBefore w:val="0"/>
        <w:kinsoku/>
        <w:autoSpaceDE/>
        <w:autoSpaceDN/>
        <w:bidi w:val="0"/>
        <w:adjustRightInd/>
        <w:snapToGrid/>
        <w:spacing w:line="360" w:lineRule="auto"/>
        <w:ind w:firstLine="480" w:firstLineChars="200"/>
        <w:textAlignment w:val="baseline"/>
        <w:rPr>
          <w:rFonts w:hint="eastAsia" w:ascii="宋体" w:hAnsi="宋体" w:eastAsia="宋体" w:cs="宋体"/>
          <w:b w:val="0"/>
          <w:bCs w:val="0"/>
          <w:color w:val="auto"/>
          <w:sz w:val="24"/>
          <w:szCs w:val="24"/>
          <w:highlight w:val="none"/>
        </w:rPr>
      </w:pPr>
    </w:p>
    <w:p w14:paraId="11991FF4">
      <w:pPr>
        <w:keepNext w:val="0"/>
        <w:keepLines w:val="0"/>
        <w:pageBreakBefore w:val="0"/>
        <w:kinsoku/>
        <w:autoSpaceDE/>
        <w:autoSpaceDN/>
        <w:bidi w:val="0"/>
        <w:adjustRightInd/>
        <w:snapToGrid/>
        <w:spacing w:line="360" w:lineRule="auto"/>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三</w:t>
      </w:r>
      <w:r>
        <w:rPr>
          <w:rFonts w:hint="eastAsia" w:ascii="宋体" w:hAnsi="宋体" w:eastAsia="宋体" w:cs="宋体"/>
          <w:b/>
          <w:bCs/>
          <w:color w:val="auto"/>
          <w:sz w:val="24"/>
          <w:szCs w:val="24"/>
          <w:highlight w:val="none"/>
        </w:rPr>
        <w:t>、其他要求</w:t>
      </w:r>
    </w:p>
    <w:p w14:paraId="5D4CDC6E">
      <w:pPr>
        <w:keepNext w:val="0"/>
        <w:keepLines w:val="0"/>
        <w:pageBreakBefore w:val="0"/>
        <w:kinsoku/>
        <w:autoSpaceDE/>
        <w:autoSpaceDN/>
        <w:bidi w:val="0"/>
        <w:adjustRightInd/>
        <w:snapToGrid/>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1、投标人应给出所投标产品的详细技术数据；主要技术参数及要求，投标人必须满足或超过，并不得有弄虚作假现象，否则作无效投标处理。</w:t>
      </w:r>
    </w:p>
    <w:p w14:paraId="38458C36">
      <w:pPr>
        <w:keepNext w:val="0"/>
        <w:keepLines w:val="0"/>
        <w:pageBreakBefore w:val="0"/>
        <w:kinsoku/>
        <w:autoSpaceDE/>
        <w:autoSpaceDN/>
        <w:bidi w:val="0"/>
        <w:adjustRightInd/>
        <w:snapToGrid/>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2、中标单位确保所供货物技术指标符合项目采购技术文件、以及国家或行业标准要求。</w:t>
      </w:r>
    </w:p>
    <w:p w14:paraId="4595B606">
      <w:pPr>
        <w:keepNext w:val="0"/>
        <w:keepLines w:val="0"/>
        <w:pageBreakBefore w:val="0"/>
        <w:kinsoku/>
        <w:autoSpaceDE/>
        <w:autoSpaceDN/>
        <w:bidi w:val="0"/>
        <w:adjustRightInd/>
        <w:snapToGrid/>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3、投标人应</w:t>
      </w:r>
      <w:r>
        <w:rPr>
          <w:rFonts w:hint="eastAsia" w:ascii="宋体" w:hAnsi="宋体" w:cs="宋体"/>
          <w:b w:val="0"/>
          <w:bCs w:val="0"/>
          <w:color w:val="auto"/>
          <w:sz w:val="24"/>
          <w:szCs w:val="24"/>
          <w:highlight w:val="none"/>
          <w:lang w:val="en-US" w:eastAsia="zh-CN"/>
        </w:rPr>
        <w:t>在中标后</w:t>
      </w:r>
      <w:r>
        <w:rPr>
          <w:rFonts w:hint="eastAsia" w:ascii="宋体" w:hAnsi="宋体" w:eastAsia="宋体" w:cs="宋体"/>
          <w:b w:val="0"/>
          <w:bCs w:val="0"/>
          <w:color w:val="auto"/>
          <w:sz w:val="24"/>
          <w:szCs w:val="24"/>
          <w:highlight w:val="none"/>
        </w:rPr>
        <w:t>说明所投产品相关的生产体系、认证情况、产品质量、产品检验报告等证明材料以证明产品的来源及质量合格。</w:t>
      </w:r>
    </w:p>
    <w:p w14:paraId="53C0BD8B">
      <w:pPr>
        <w:keepNext w:val="0"/>
        <w:keepLines w:val="0"/>
        <w:pageBreakBefore w:val="0"/>
        <w:widowControl w:val="0"/>
        <w:kinsoku/>
        <w:wordWrap/>
        <w:overflowPunct/>
        <w:topLinePunct w:val="0"/>
        <w:autoSpaceDE/>
        <w:autoSpaceDN/>
        <w:bidi w:val="0"/>
        <w:adjustRightInd w:val="0"/>
        <w:snapToGrid w:val="0"/>
        <w:spacing w:line="380" w:lineRule="exact"/>
        <w:jc w:val="left"/>
        <w:textAlignment w:val="auto"/>
        <w:rPr>
          <w:rFonts w:hint="eastAsia" w:ascii="宋体" w:hAnsi="宋体" w:cs="宋体"/>
          <w:b w:val="0"/>
          <w:bCs w:val="0"/>
          <w:color w:val="auto"/>
          <w:sz w:val="24"/>
          <w:szCs w:val="24"/>
          <w:highlight w:val="none"/>
        </w:rPr>
      </w:pPr>
    </w:p>
    <w:p w14:paraId="1CDAE1E9">
      <w:pPr>
        <w:keepNext w:val="0"/>
        <w:keepLines w:val="0"/>
        <w:pageBreakBefore w:val="0"/>
        <w:widowControl w:val="0"/>
        <w:kinsoku/>
        <w:wordWrap/>
        <w:overflowPunct/>
        <w:topLinePunct w:val="0"/>
        <w:autoSpaceDE/>
        <w:autoSpaceDN/>
        <w:bidi w:val="0"/>
        <w:adjustRightInd w:val="0"/>
        <w:snapToGrid w:val="0"/>
        <w:spacing w:line="380" w:lineRule="exact"/>
        <w:jc w:val="left"/>
        <w:textAlignment w:val="auto"/>
        <w:rPr>
          <w:rFonts w:hint="eastAsia" w:hAnsi="宋体"/>
          <w:b/>
          <w:bCs/>
          <w:color w:val="auto"/>
          <w:sz w:val="24"/>
          <w:szCs w:val="24"/>
          <w:highlight w:val="none"/>
          <w:lang w:val="en-US" w:eastAsia="zh-CN"/>
        </w:rPr>
      </w:pPr>
      <w:r>
        <w:rPr>
          <w:rFonts w:hint="eastAsia" w:hAnsi="宋体"/>
          <w:b/>
          <w:bCs/>
          <w:color w:val="auto"/>
          <w:sz w:val="24"/>
          <w:szCs w:val="24"/>
          <w:highlight w:val="none"/>
          <w:lang w:val="en-US" w:eastAsia="zh-CN"/>
        </w:rPr>
        <w:t>特别注意事项 ：</w:t>
      </w:r>
    </w:p>
    <w:p w14:paraId="4CF1479E">
      <w:pPr>
        <w:keepNext w:val="0"/>
        <w:keepLines w:val="0"/>
        <w:pageBreakBefore w:val="0"/>
        <w:widowControl w:val="0"/>
        <w:numPr>
          <w:ilvl w:val="0"/>
          <w:numId w:val="0"/>
        </w:numPr>
        <w:tabs>
          <w:tab w:val="left" w:pos="0"/>
        </w:tabs>
        <w:kinsoku/>
        <w:wordWrap/>
        <w:overflowPunct/>
        <w:topLinePunct w:val="0"/>
        <w:autoSpaceDE/>
        <w:autoSpaceDN/>
        <w:bidi w:val="0"/>
        <w:spacing w:before="156" w:beforeLines="50" w:after="156" w:afterLines="50" w:line="380" w:lineRule="exact"/>
        <w:ind w:firstLine="482" w:firstLineChars="200"/>
        <w:jc w:val="left"/>
        <w:textAlignment w:val="auto"/>
        <w:rPr>
          <w:rFonts w:hint="eastAsia" w:hAnsi="宋体"/>
          <w:b/>
          <w:bCs/>
          <w:color w:val="auto"/>
          <w:sz w:val="24"/>
          <w:szCs w:val="24"/>
          <w:highlight w:val="none"/>
          <w:lang w:val="en-US" w:eastAsia="zh-CN"/>
        </w:rPr>
      </w:pPr>
      <w:r>
        <w:rPr>
          <w:rFonts w:hint="eastAsia" w:hAnsi="宋体"/>
          <w:b/>
          <w:bCs/>
          <w:color w:val="auto"/>
          <w:sz w:val="24"/>
          <w:szCs w:val="24"/>
          <w:highlight w:val="none"/>
          <w:lang w:val="en-US" w:eastAsia="zh-CN"/>
        </w:rPr>
        <w:t>1、对于上述项目要求，投标人应在投标文件中进行回应，作出承诺、说明。</w:t>
      </w:r>
    </w:p>
    <w:p w14:paraId="74E4E980">
      <w:pPr>
        <w:keepNext w:val="0"/>
        <w:keepLines w:val="0"/>
        <w:pageBreakBefore w:val="0"/>
        <w:widowControl w:val="0"/>
        <w:numPr>
          <w:ilvl w:val="0"/>
          <w:numId w:val="0"/>
        </w:numPr>
        <w:tabs>
          <w:tab w:val="left" w:pos="0"/>
        </w:tabs>
        <w:kinsoku/>
        <w:wordWrap/>
        <w:overflowPunct/>
        <w:topLinePunct w:val="0"/>
        <w:autoSpaceDE/>
        <w:autoSpaceDN/>
        <w:bidi w:val="0"/>
        <w:spacing w:before="156" w:beforeLines="50" w:after="156" w:afterLines="50" w:line="380" w:lineRule="exact"/>
        <w:ind w:firstLine="482" w:firstLineChars="200"/>
        <w:jc w:val="left"/>
        <w:textAlignment w:val="auto"/>
        <w:rPr>
          <w:rFonts w:hint="eastAsia" w:hAnsi="宋体"/>
          <w:b/>
          <w:bCs/>
          <w:color w:val="auto"/>
          <w:sz w:val="24"/>
          <w:szCs w:val="24"/>
          <w:highlight w:val="none"/>
          <w:lang w:val="en-US" w:eastAsia="zh-CN"/>
        </w:rPr>
      </w:pPr>
      <w:r>
        <w:rPr>
          <w:rFonts w:hint="eastAsia" w:hAnsi="宋体"/>
          <w:b/>
          <w:bCs/>
          <w:color w:val="auto"/>
          <w:sz w:val="24"/>
          <w:szCs w:val="24"/>
          <w:highlight w:val="none"/>
          <w:lang w:val="en-US" w:eastAsia="zh-CN"/>
        </w:rPr>
        <w:t>2、</w:t>
      </w:r>
      <w:r>
        <w:rPr>
          <w:rFonts w:hint="default" w:hAnsi="宋体"/>
          <w:b/>
          <w:bCs/>
          <w:color w:val="auto"/>
          <w:sz w:val="24"/>
          <w:szCs w:val="24"/>
          <w:highlight w:val="none"/>
          <w:lang w:val="en-US" w:eastAsia="zh-CN"/>
        </w:rPr>
        <w:t>带“★”符号要求，投标人必须满足或超过，并不得有弄虚作假现象，否则投标无效。</w:t>
      </w:r>
    </w:p>
    <w:p w14:paraId="6EB06CE0">
      <w:pPr>
        <w:keepNext w:val="0"/>
        <w:keepLines w:val="0"/>
        <w:pageBreakBefore w:val="0"/>
        <w:widowControl w:val="0"/>
        <w:numPr>
          <w:ilvl w:val="0"/>
          <w:numId w:val="0"/>
        </w:numPr>
        <w:tabs>
          <w:tab w:val="left" w:pos="0"/>
        </w:tabs>
        <w:kinsoku/>
        <w:wordWrap/>
        <w:overflowPunct/>
        <w:topLinePunct w:val="0"/>
        <w:autoSpaceDE/>
        <w:autoSpaceDN/>
        <w:bidi w:val="0"/>
        <w:spacing w:before="156" w:beforeLines="50" w:after="156" w:afterLines="50" w:line="380" w:lineRule="exact"/>
        <w:ind w:firstLine="482" w:firstLineChars="200"/>
        <w:jc w:val="left"/>
        <w:textAlignment w:val="auto"/>
        <w:rPr>
          <w:rFonts w:hint="eastAsia" w:hAnsi="宋体"/>
          <w:b/>
          <w:bCs/>
          <w:color w:val="auto"/>
          <w:sz w:val="24"/>
          <w:szCs w:val="24"/>
          <w:highlight w:val="none"/>
          <w:lang w:val="en-US" w:eastAsia="zh-CN"/>
        </w:rPr>
      </w:pPr>
      <w:r>
        <w:rPr>
          <w:rFonts w:hint="eastAsia" w:hAnsi="宋体"/>
          <w:b/>
          <w:bCs/>
          <w:color w:val="auto"/>
          <w:sz w:val="24"/>
          <w:szCs w:val="24"/>
          <w:highlight w:val="none"/>
          <w:lang w:val="en-US" w:eastAsia="zh-CN"/>
        </w:rPr>
        <w:t>3、</w:t>
      </w:r>
      <w:r>
        <w:rPr>
          <w:rFonts w:hint="default" w:hAnsi="宋体"/>
          <w:b/>
          <w:bCs/>
          <w:color w:val="auto"/>
          <w:sz w:val="24"/>
          <w:szCs w:val="24"/>
          <w:highlight w:val="none"/>
          <w:lang w:val="en-US" w:eastAsia="zh-CN"/>
        </w:rPr>
        <w:t xml:space="preserve">投标人需承诺中标后所提供的产品与投标文件中提供的产品一致，若出现不一致，按虚假应标处理，中标无效，并上报至相关部门。 </w:t>
      </w:r>
    </w:p>
    <w:p w14:paraId="533AF0FE">
      <w:pPr>
        <w:spacing w:line="360" w:lineRule="auto"/>
        <w:rPr>
          <w:rFonts w:hint="eastAsia" w:ascii="宋体" w:hAnsi="宋体"/>
          <w:color w:val="auto"/>
          <w:szCs w:val="21"/>
          <w:highlight w:val="none"/>
        </w:rPr>
      </w:pPr>
      <w:r>
        <w:rPr>
          <w:rFonts w:hint="eastAsia" w:ascii="宋体" w:hAnsi="宋体"/>
          <w:b/>
          <w:bCs/>
          <w:color w:val="auto"/>
          <w:kern w:val="0"/>
          <w:szCs w:val="21"/>
          <w:highlight w:val="none"/>
        </w:rPr>
        <w:br w:type="page"/>
      </w:r>
    </w:p>
    <w:p w14:paraId="7AD6459F">
      <w:pPr>
        <w:pStyle w:val="19"/>
        <w:adjustRightInd w:val="0"/>
        <w:snapToGrid w:val="0"/>
        <w:spacing w:line="360" w:lineRule="auto"/>
        <w:jc w:val="center"/>
        <w:outlineLvl w:val="0"/>
        <w:rPr>
          <w:rFonts w:ascii="黑体" w:hAnsi="华文中宋" w:eastAsia="黑体"/>
          <w:b/>
          <w:color w:val="auto"/>
          <w:sz w:val="32"/>
          <w:szCs w:val="32"/>
          <w:highlight w:val="none"/>
        </w:rPr>
      </w:pPr>
      <w:bookmarkStart w:id="74" w:name="_Toc8437"/>
      <w:r>
        <w:rPr>
          <w:rFonts w:hint="eastAsia" w:ascii="黑体" w:hAnsi="华文中宋" w:eastAsia="黑体"/>
          <w:b/>
          <w:color w:val="auto"/>
          <w:sz w:val="32"/>
          <w:szCs w:val="32"/>
          <w:highlight w:val="none"/>
        </w:rPr>
        <w:t>第六章 政府采购合同</w:t>
      </w:r>
      <w:bookmarkEnd w:id="74"/>
    </w:p>
    <w:p w14:paraId="05DD2D64">
      <w:pPr>
        <w:pStyle w:val="10"/>
        <w:adjustRightInd w:val="0"/>
        <w:snapToGrid w:val="0"/>
        <w:jc w:val="center"/>
        <w:rPr>
          <w:rFonts w:ascii="黑体" w:hAnsi="华文中宋" w:eastAsia="黑体"/>
          <w:color w:val="auto"/>
          <w:sz w:val="28"/>
          <w:szCs w:val="28"/>
          <w:highlight w:val="none"/>
        </w:rPr>
      </w:pPr>
      <w:bookmarkStart w:id="75" w:name="_Toc20871"/>
      <w:r>
        <w:rPr>
          <w:rFonts w:hint="eastAsia" w:ascii="黑体" w:hAnsi="华文中宋" w:eastAsia="黑体"/>
          <w:color w:val="auto"/>
          <w:sz w:val="28"/>
          <w:szCs w:val="28"/>
          <w:highlight w:val="none"/>
        </w:rPr>
        <w:t>第一节 政府采购合同协议书</w:t>
      </w:r>
      <w:bookmarkEnd w:id="75"/>
    </w:p>
    <w:p w14:paraId="1B57F59E">
      <w:pPr>
        <w:adjustRightInd w:val="0"/>
        <w:snapToGrid w:val="0"/>
        <w:spacing w:before="156" w:beforeLines="50" w:line="360" w:lineRule="auto"/>
        <w:ind w:firstLine="5460" w:firstLineChars="2600"/>
        <w:rPr>
          <w:rFonts w:ascii="宋体" w:hAnsi="宋体"/>
          <w:b/>
          <w:color w:val="auto"/>
          <w:szCs w:val="21"/>
          <w:highlight w:val="none"/>
        </w:rPr>
      </w:pPr>
      <w:r>
        <w:rPr>
          <w:rFonts w:hint="eastAsia" w:ascii="宋体" w:hAnsi="宋体"/>
          <w:color w:val="auto"/>
          <w:szCs w:val="21"/>
          <w:highlight w:val="none"/>
        </w:rPr>
        <w:t>采购合同编号：</w:t>
      </w:r>
      <w:r>
        <w:rPr>
          <w:rFonts w:ascii="宋体" w:hAnsi="宋体"/>
          <w:color w:val="auto"/>
          <w:szCs w:val="21"/>
          <w:highlight w:val="none"/>
          <w:u w:val="single"/>
        </w:rPr>
        <w:t xml:space="preserve">                 </w:t>
      </w:r>
    </w:p>
    <w:p w14:paraId="1294B3B5">
      <w:pPr>
        <w:adjustRightInd w:val="0"/>
        <w:snapToGrid w:val="0"/>
        <w:spacing w:before="156" w:beforeLines="50" w:line="360" w:lineRule="auto"/>
        <w:jc w:val="center"/>
        <w:rPr>
          <w:rFonts w:ascii="宋体" w:hAnsi="宋体"/>
          <w:b/>
          <w:color w:val="auto"/>
          <w:szCs w:val="21"/>
          <w:highlight w:val="none"/>
        </w:rPr>
      </w:pPr>
    </w:p>
    <w:p w14:paraId="2DA1F46B">
      <w:pPr>
        <w:adjustRightInd w:val="0"/>
        <w:snapToGrid w:val="0"/>
        <w:spacing w:before="156" w:beforeLines="50" w:line="360" w:lineRule="auto"/>
        <w:rPr>
          <w:rFonts w:ascii="宋体" w:hAnsi="宋体"/>
          <w:color w:val="auto"/>
          <w:szCs w:val="21"/>
          <w:highlight w:val="none"/>
        </w:rPr>
      </w:pPr>
      <w:r>
        <w:rPr>
          <w:rFonts w:hint="eastAsia" w:ascii="宋体" w:hAnsi="宋体"/>
          <w:color w:val="auto"/>
          <w:szCs w:val="21"/>
          <w:highlight w:val="none"/>
        </w:rPr>
        <w:t>采购人（全称）：</w:t>
      </w:r>
      <w:r>
        <w:rPr>
          <w:rFonts w:hint="eastAsia" w:ascii="宋体" w:hAnsi="宋体"/>
          <w:color w:val="auto"/>
          <w:szCs w:val="21"/>
          <w:highlight w:val="none"/>
          <w:u w:val="single"/>
        </w:rPr>
        <w:t xml:space="preserve">                             </w:t>
      </w:r>
      <w:r>
        <w:rPr>
          <w:rFonts w:hint="eastAsia" w:ascii="宋体" w:hAnsi="宋体"/>
          <w:color w:val="auto"/>
          <w:szCs w:val="21"/>
          <w:highlight w:val="none"/>
        </w:rPr>
        <w:t>（甲方）</w:t>
      </w:r>
    </w:p>
    <w:p w14:paraId="17733CDC">
      <w:pPr>
        <w:adjustRightInd w:val="0"/>
        <w:snapToGrid w:val="0"/>
        <w:spacing w:before="156" w:beforeLines="50" w:line="360" w:lineRule="auto"/>
        <w:rPr>
          <w:rFonts w:ascii="宋体" w:hAnsi="宋体"/>
          <w:color w:val="auto"/>
          <w:szCs w:val="21"/>
          <w:highlight w:val="none"/>
        </w:rPr>
      </w:pPr>
      <w:r>
        <w:rPr>
          <w:rFonts w:hint="eastAsia" w:ascii="宋体" w:hAnsi="宋体"/>
          <w:color w:val="auto"/>
          <w:szCs w:val="21"/>
          <w:highlight w:val="none"/>
        </w:rPr>
        <w:t>供应商（全称）：</w:t>
      </w:r>
      <w:r>
        <w:rPr>
          <w:rFonts w:hint="eastAsia" w:ascii="宋体" w:hAnsi="宋体"/>
          <w:color w:val="auto"/>
          <w:szCs w:val="21"/>
          <w:highlight w:val="none"/>
          <w:u w:val="single"/>
        </w:rPr>
        <w:t xml:space="preserve">                             </w:t>
      </w:r>
      <w:r>
        <w:rPr>
          <w:rFonts w:hint="eastAsia" w:ascii="宋体" w:hAnsi="宋体"/>
          <w:color w:val="auto"/>
          <w:szCs w:val="21"/>
          <w:highlight w:val="none"/>
        </w:rPr>
        <w:t>（乙方）</w:t>
      </w:r>
    </w:p>
    <w:p w14:paraId="1B19EECB">
      <w:pPr>
        <w:pStyle w:val="17"/>
        <w:adjustRightInd w:val="0"/>
        <w:snapToGrid w:val="0"/>
        <w:spacing w:before="156" w:beforeLines="50" w:after="0" w:line="360" w:lineRule="auto"/>
        <w:rPr>
          <w:rFonts w:ascii="宋体" w:hAnsi="宋体"/>
          <w:color w:val="auto"/>
          <w:szCs w:val="21"/>
          <w:highlight w:val="none"/>
        </w:rPr>
      </w:pPr>
    </w:p>
    <w:p w14:paraId="79C6AF91">
      <w:pPr>
        <w:pStyle w:val="17"/>
        <w:adjustRightInd w:val="0"/>
        <w:snapToGrid w:val="0"/>
        <w:spacing w:before="156" w:beforeLines="50" w:after="0" w:line="360" w:lineRule="auto"/>
        <w:ind w:left="0" w:leftChars="0" w:firstLine="420" w:firstLineChars="200"/>
        <w:rPr>
          <w:rFonts w:ascii="宋体" w:hAnsi="宋体"/>
          <w:color w:val="auto"/>
          <w:szCs w:val="21"/>
          <w:highlight w:val="none"/>
        </w:rPr>
      </w:pPr>
      <w:r>
        <w:rPr>
          <w:rFonts w:hint="eastAsia" w:ascii="宋体" w:hAnsi="宋体"/>
          <w:color w:val="auto"/>
          <w:szCs w:val="21"/>
          <w:highlight w:val="none"/>
        </w:rPr>
        <w:t>为了保护甲、乙双方合法权益，根据《中华人民共和国民法典》、《中华人民共和国政府采购法》及其他有关法律、法规、规章，双方签订本合同协议书。</w:t>
      </w:r>
    </w:p>
    <w:p w14:paraId="0CB7BF5B">
      <w:pPr>
        <w:adjustRightInd w:val="0"/>
        <w:snapToGrid w:val="0"/>
        <w:spacing w:before="156" w:beforeLines="50" w:line="360" w:lineRule="auto"/>
        <w:ind w:firstLine="422" w:firstLineChars="200"/>
        <w:rPr>
          <w:rFonts w:ascii="宋体" w:hAnsi="宋体"/>
          <w:b/>
          <w:color w:val="auto"/>
          <w:szCs w:val="21"/>
          <w:highlight w:val="none"/>
        </w:rPr>
      </w:pPr>
      <w:r>
        <w:rPr>
          <w:rFonts w:hint="eastAsia" w:ascii="宋体" w:hAnsi="宋体"/>
          <w:b/>
          <w:color w:val="auto"/>
          <w:szCs w:val="21"/>
          <w:highlight w:val="none"/>
        </w:rPr>
        <w:t>1.项目信息</w:t>
      </w:r>
    </w:p>
    <w:p w14:paraId="5F01A73B">
      <w:pPr>
        <w:pStyle w:val="17"/>
        <w:adjustRightInd w:val="0"/>
        <w:snapToGrid w:val="0"/>
        <w:spacing w:before="156" w:beforeLines="50" w:after="0" w:line="360" w:lineRule="auto"/>
        <w:rPr>
          <w:rFonts w:ascii="宋体" w:hAnsi="宋体"/>
          <w:color w:val="auto"/>
          <w:szCs w:val="21"/>
          <w:highlight w:val="none"/>
        </w:rPr>
      </w:pPr>
      <w:r>
        <w:rPr>
          <w:rFonts w:hint="eastAsia" w:ascii="宋体" w:hAnsi="宋体"/>
          <w:color w:val="auto"/>
          <w:szCs w:val="21"/>
          <w:highlight w:val="none"/>
        </w:rPr>
        <w:t>（1）采购项目名称：</w:t>
      </w:r>
      <w:r>
        <w:rPr>
          <w:rFonts w:ascii="宋体" w:hAnsi="宋体"/>
          <w:color w:val="auto"/>
          <w:szCs w:val="21"/>
          <w:highlight w:val="none"/>
          <w:u w:val="single"/>
        </w:rPr>
        <w:t xml:space="preserve">                                          </w:t>
      </w:r>
    </w:p>
    <w:p w14:paraId="2801C06D">
      <w:pPr>
        <w:pStyle w:val="17"/>
        <w:adjustRightInd w:val="0"/>
        <w:snapToGrid w:val="0"/>
        <w:spacing w:before="156" w:beforeLines="50" w:after="0" w:line="360" w:lineRule="auto"/>
        <w:rPr>
          <w:rFonts w:ascii="宋体" w:hAnsi="宋体"/>
          <w:color w:val="auto"/>
          <w:szCs w:val="21"/>
          <w:highlight w:val="none"/>
        </w:rPr>
      </w:pPr>
      <w:r>
        <w:rPr>
          <w:rFonts w:hint="eastAsia" w:ascii="宋体" w:hAnsi="宋体"/>
          <w:color w:val="auto"/>
          <w:szCs w:val="21"/>
          <w:highlight w:val="none"/>
        </w:rPr>
        <w:t>（2）采购计划编号：</w:t>
      </w:r>
      <w:r>
        <w:rPr>
          <w:rFonts w:ascii="宋体" w:hAnsi="宋体"/>
          <w:color w:val="auto"/>
          <w:szCs w:val="21"/>
          <w:highlight w:val="none"/>
          <w:u w:val="single"/>
        </w:rPr>
        <w:t xml:space="preserve">                          </w:t>
      </w:r>
      <w:r>
        <w:rPr>
          <w:rFonts w:ascii="宋体" w:hAnsi="宋体"/>
          <w:color w:val="auto"/>
          <w:szCs w:val="21"/>
          <w:highlight w:val="none"/>
        </w:rPr>
        <w:t xml:space="preserve"> </w:t>
      </w:r>
    </w:p>
    <w:p w14:paraId="139955A5">
      <w:pPr>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（3）项目内容：</w:t>
      </w:r>
      <w:r>
        <w:rPr>
          <w:rFonts w:hint="eastAsia" w:ascii="宋体" w:hAnsi="宋体"/>
          <w:color w:val="auto"/>
          <w:szCs w:val="21"/>
          <w:highlight w:val="none"/>
          <w:u w:val="single"/>
        </w:rPr>
        <w:t xml:space="preserve">                             </w:t>
      </w:r>
    </w:p>
    <w:p w14:paraId="54E7F280">
      <w:pPr>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（4）是否分包：</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20D48ADC">
      <w:pPr>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（5）项目负责人：</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0F06C0B9">
      <w:pPr>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（6）联系电话：</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1115A64E">
      <w:pPr>
        <w:adjustRightInd w:val="0"/>
        <w:snapToGrid w:val="0"/>
        <w:spacing w:before="156" w:beforeLines="50" w:line="360" w:lineRule="auto"/>
        <w:ind w:firstLine="413" w:firstLineChars="196"/>
        <w:rPr>
          <w:rFonts w:ascii="宋体" w:hAnsi="宋体"/>
          <w:b/>
          <w:color w:val="auto"/>
          <w:szCs w:val="21"/>
          <w:highlight w:val="none"/>
        </w:rPr>
      </w:pPr>
      <w:r>
        <w:rPr>
          <w:rFonts w:hint="eastAsia" w:ascii="宋体" w:hAnsi="宋体"/>
          <w:b/>
          <w:color w:val="auto"/>
          <w:szCs w:val="21"/>
          <w:highlight w:val="none"/>
        </w:rPr>
        <w:t>2.合同金额</w:t>
      </w:r>
    </w:p>
    <w:p w14:paraId="14DD0D6A">
      <w:pPr>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（1）合同金额小写：</w:t>
      </w:r>
      <w:r>
        <w:rPr>
          <w:rFonts w:hint="eastAsia" w:ascii="宋体" w:hAnsi="宋体"/>
          <w:color w:val="auto"/>
          <w:szCs w:val="21"/>
          <w:highlight w:val="none"/>
          <w:u w:val="single"/>
        </w:rPr>
        <w:t xml:space="preserve">                      </w:t>
      </w:r>
    </w:p>
    <w:p w14:paraId="6DB0E41B">
      <w:pPr>
        <w:adjustRightInd w:val="0"/>
        <w:snapToGrid w:val="0"/>
        <w:spacing w:before="156" w:beforeLines="50" w:line="360" w:lineRule="auto"/>
        <w:ind w:firstLine="1260" w:firstLineChars="600"/>
        <w:rPr>
          <w:rFonts w:ascii="宋体" w:hAnsi="宋体"/>
          <w:b/>
          <w:color w:val="auto"/>
          <w:szCs w:val="21"/>
          <w:highlight w:val="none"/>
        </w:rPr>
      </w:pPr>
      <w:r>
        <w:rPr>
          <w:rFonts w:hint="eastAsia" w:ascii="宋体" w:hAnsi="宋体"/>
          <w:color w:val="auto"/>
          <w:szCs w:val="21"/>
          <w:highlight w:val="none"/>
        </w:rPr>
        <w:t>大写：</w:t>
      </w:r>
      <w:r>
        <w:rPr>
          <w:rFonts w:hint="eastAsia" w:ascii="宋体" w:hAnsi="宋体"/>
          <w:color w:val="auto"/>
          <w:szCs w:val="21"/>
          <w:highlight w:val="none"/>
          <w:u w:val="single"/>
        </w:rPr>
        <w:t xml:space="preserve">                      </w:t>
      </w:r>
    </w:p>
    <w:p w14:paraId="6BFEADF3">
      <w:pPr>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（2）具体标的见附件。</w:t>
      </w:r>
    </w:p>
    <w:p w14:paraId="2D53F72D">
      <w:pPr>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（3）合同定价方式：</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固定总价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固定单价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成本补偿 </w:t>
      </w:r>
      <w:r>
        <w:rPr>
          <w:rFonts w:hint="eastAsia" w:ascii="宋体" w:hAnsi="宋体"/>
          <w:iCs/>
          <w:color w:val="auto"/>
          <w:szCs w:val="21"/>
          <w:highlight w:val="none"/>
        </w:rPr>
        <w:sym w:font="Wingdings" w:char="00A8"/>
      </w:r>
      <w:r>
        <w:rPr>
          <w:rFonts w:hint="eastAsia" w:ascii="宋体" w:hAnsi="宋体"/>
          <w:iCs/>
          <w:color w:val="auto"/>
          <w:szCs w:val="21"/>
          <w:highlight w:val="none"/>
        </w:rPr>
        <w:t>绩效激励</w:t>
      </w:r>
    </w:p>
    <w:p w14:paraId="1D67E790">
      <w:pPr>
        <w:pStyle w:val="2"/>
        <w:spacing w:line="360" w:lineRule="auto"/>
        <w:rPr>
          <w:color w:val="auto"/>
          <w:highlight w:val="none"/>
        </w:rPr>
      </w:pPr>
      <w:r>
        <w:rPr>
          <w:rFonts w:hint="eastAsia" w:ascii="宋体" w:hAnsi="宋体"/>
          <w:color w:val="auto"/>
          <w:highlight w:val="none"/>
        </w:rPr>
        <w:t>（4）付款方式（按项目实际勾选填写）：</w:t>
      </w:r>
    </w:p>
    <w:p w14:paraId="6D741BDA">
      <w:pPr>
        <w:adjustRightInd w:val="0"/>
        <w:snapToGrid w:val="0"/>
        <w:spacing w:before="156" w:beforeLines="50" w:line="360" w:lineRule="auto"/>
        <w:ind w:firstLine="630" w:firstLineChars="300"/>
        <w:rPr>
          <w:rFonts w:ascii="宋体" w:hAnsi="宋体"/>
          <w:color w:val="auto"/>
          <w:szCs w:val="21"/>
          <w:highlight w:val="none"/>
          <w:u w:val="single"/>
        </w:rPr>
      </w:pPr>
      <w:r>
        <w:rPr>
          <w:rFonts w:hint="eastAsia" w:ascii="宋体" w:hAnsi="宋体"/>
          <w:color w:val="auto"/>
          <w:szCs w:val="21"/>
          <w:highlight w:val="none"/>
        </w:rPr>
        <w:sym w:font="Wingdings" w:char="00A8"/>
      </w:r>
      <w:r>
        <w:rPr>
          <w:rFonts w:hint="eastAsia" w:ascii="宋体" w:hAnsi="宋体"/>
          <w:color w:val="auto"/>
          <w:szCs w:val="21"/>
          <w:highlight w:val="none"/>
        </w:rPr>
        <w:t>全额付款：</w:t>
      </w:r>
      <w:r>
        <w:rPr>
          <w:rFonts w:hint="eastAsia" w:ascii="宋体" w:hAnsi="宋体"/>
          <w:color w:val="auto"/>
          <w:szCs w:val="21"/>
          <w:highlight w:val="none"/>
          <w:u w:val="single"/>
        </w:rPr>
        <w:t xml:space="preserve">     （应一次性支付全部合同款项）                    </w:t>
      </w:r>
    </w:p>
    <w:p w14:paraId="742824BA">
      <w:pPr>
        <w:adjustRightInd w:val="0"/>
        <w:snapToGrid w:val="0"/>
        <w:spacing w:before="156" w:beforeLines="50" w:line="360" w:lineRule="auto"/>
        <w:ind w:firstLine="630" w:firstLineChars="300"/>
        <w:rPr>
          <w:rFonts w:ascii="宋体" w:hAnsi="宋体"/>
          <w:color w:val="auto"/>
          <w:szCs w:val="21"/>
          <w:highlight w:val="none"/>
          <w:u w:val="single"/>
        </w:rPr>
      </w:pPr>
      <w:r>
        <w:rPr>
          <w:rFonts w:hint="eastAsia" w:ascii="宋体" w:hAnsi="宋体"/>
          <w:color w:val="auto"/>
          <w:szCs w:val="21"/>
          <w:highlight w:val="none"/>
        </w:rPr>
        <w:sym w:font="Wingdings" w:char="00A8"/>
      </w:r>
      <w:r>
        <w:rPr>
          <w:rFonts w:hint="eastAsia" w:ascii="宋体" w:hAnsi="宋体"/>
          <w:color w:val="auto"/>
          <w:szCs w:val="21"/>
          <w:highlight w:val="none"/>
        </w:rPr>
        <w:t>预付款：</w:t>
      </w:r>
      <w:r>
        <w:rPr>
          <w:rFonts w:hint="eastAsia" w:ascii="宋体" w:hAnsi="宋体"/>
          <w:color w:val="auto"/>
          <w:szCs w:val="21"/>
          <w:highlight w:val="none"/>
          <w:u w:val="single"/>
        </w:rPr>
        <w:t xml:space="preserve">    （应明确预付款的支付比例和支付条件）               </w:t>
      </w:r>
    </w:p>
    <w:p w14:paraId="0F769756">
      <w:pPr>
        <w:adjustRightInd w:val="0"/>
        <w:snapToGrid w:val="0"/>
        <w:spacing w:before="156" w:beforeLines="50" w:line="360" w:lineRule="auto"/>
        <w:ind w:firstLine="630" w:firstLineChars="300"/>
        <w:rPr>
          <w:rFonts w:ascii="宋体" w:hAnsi="宋体"/>
          <w:color w:val="auto"/>
          <w:szCs w:val="21"/>
          <w:highlight w:val="none"/>
        </w:rPr>
      </w:pPr>
      <w:r>
        <w:rPr>
          <w:rFonts w:hint="eastAsia" w:ascii="宋体" w:hAnsi="宋体"/>
          <w:color w:val="auto"/>
          <w:szCs w:val="21"/>
          <w:highlight w:val="none"/>
        </w:rPr>
        <w:sym w:font="Wingdings" w:char="00A8"/>
      </w:r>
      <w:r>
        <w:rPr>
          <w:rFonts w:hint="eastAsia" w:ascii="宋体" w:hAnsi="宋体"/>
          <w:color w:val="auto"/>
          <w:szCs w:val="21"/>
          <w:highlight w:val="none"/>
        </w:rPr>
        <w:t>分期付款：</w:t>
      </w:r>
      <w:r>
        <w:rPr>
          <w:rFonts w:hint="eastAsia" w:ascii="宋体" w:hAnsi="宋体"/>
          <w:color w:val="auto"/>
          <w:szCs w:val="21"/>
          <w:highlight w:val="none"/>
          <w:u w:val="single"/>
        </w:rPr>
        <w:t xml:space="preserve">     （应按照季度分期支付合同款项）                   </w:t>
      </w:r>
    </w:p>
    <w:p w14:paraId="6546D9FC">
      <w:pPr>
        <w:adjustRightInd w:val="0"/>
        <w:snapToGrid w:val="0"/>
        <w:spacing w:before="156" w:beforeLines="50" w:line="360" w:lineRule="auto"/>
        <w:ind w:firstLine="630" w:firstLineChars="300"/>
        <w:rPr>
          <w:rFonts w:ascii="宋体" w:hAnsi="宋体"/>
          <w:color w:val="auto"/>
          <w:szCs w:val="21"/>
          <w:highlight w:val="none"/>
        </w:rPr>
      </w:pPr>
      <w:r>
        <w:rPr>
          <w:rFonts w:hint="eastAsia" w:ascii="宋体" w:hAnsi="宋体"/>
          <w:color w:val="auto"/>
          <w:szCs w:val="21"/>
          <w:highlight w:val="none"/>
        </w:rPr>
        <w:sym w:font="Wingdings" w:char="00A8"/>
      </w:r>
      <w:r>
        <w:rPr>
          <w:rFonts w:hint="eastAsia" w:ascii="宋体" w:hAnsi="宋体"/>
          <w:color w:val="auto"/>
          <w:szCs w:val="21"/>
          <w:highlight w:val="none"/>
        </w:rPr>
        <w:t>成本补偿：</w:t>
      </w:r>
      <w:r>
        <w:rPr>
          <w:rFonts w:hint="eastAsia" w:ascii="宋体" w:hAnsi="宋体"/>
          <w:color w:val="auto"/>
          <w:szCs w:val="21"/>
          <w:highlight w:val="none"/>
          <w:u w:val="single"/>
        </w:rPr>
        <w:t xml:space="preserve">      （应明确按照成本补偿方式的支付方式和支付条件）   </w:t>
      </w:r>
    </w:p>
    <w:p w14:paraId="15566738">
      <w:pPr>
        <w:adjustRightInd w:val="0"/>
        <w:snapToGrid w:val="0"/>
        <w:spacing w:before="156" w:beforeLines="50" w:line="360" w:lineRule="auto"/>
        <w:ind w:firstLine="630" w:firstLineChars="300"/>
        <w:rPr>
          <w:rFonts w:ascii="宋体" w:hAnsi="宋体"/>
          <w:color w:val="auto"/>
          <w:szCs w:val="21"/>
          <w:highlight w:val="none"/>
        </w:rPr>
      </w:pPr>
      <w:r>
        <w:rPr>
          <w:rFonts w:hint="eastAsia" w:ascii="宋体" w:hAnsi="宋体"/>
          <w:color w:val="auto"/>
          <w:szCs w:val="21"/>
          <w:highlight w:val="none"/>
        </w:rPr>
        <w:sym w:font="Wingdings" w:char="00A8"/>
      </w:r>
      <w:r>
        <w:rPr>
          <w:rFonts w:hint="eastAsia" w:ascii="宋体" w:hAnsi="宋体"/>
          <w:color w:val="auto"/>
          <w:szCs w:val="21"/>
          <w:highlight w:val="none"/>
        </w:rPr>
        <w:t>绩效激励：</w:t>
      </w:r>
      <w:r>
        <w:rPr>
          <w:rFonts w:hint="eastAsia" w:ascii="宋体" w:hAnsi="宋体"/>
          <w:color w:val="auto"/>
          <w:szCs w:val="21"/>
          <w:highlight w:val="none"/>
          <w:u w:val="single"/>
        </w:rPr>
        <w:t xml:space="preserve">      （应明确按照绩效激励方式的支付方式和支付条件）   </w:t>
      </w:r>
    </w:p>
    <w:p w14:paraId="58A0905C">
      <w:pPr>
        <w:adjustRightInd w:val="0"/>
        <w:snapToGrid w:val="0"/>
        <w:spacing w:before="156" w:beforeLines="50" w:line="360" w:lineRule="auto"/>
        <w:ind w:firstLine="422" w:firstLineChars="200"/>
        <w:rPr>
          <w:rFonts w:ascii="宋体" w:hAnsi="宋体"/>
          <w:color w:val="auto"/>
          <w:szCs w:val="21"/>
          <w:highlight w:val="none"/>
          <w:u w:val="single"/>
        </w:rPr>
      </w:pPr>
      <w:r>
        <w:rPr>
          <w:rFonts w:hint="eastAsia" w:ascii="宋体" w:hAnsi="宋体"/>
          <w:b/>
          <w:color w:val="auto"/>
          <w:szCs w:val="21"/>
          <w:highlight w:val="none"/>
        </w:rPr>
        <w:t>3.合同履行</w:t>
      </w:r>
    </w:p>
    <w:p w14:paraId="69313B36">
      <w:pPr>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（1）起始日期：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日，完成日期：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日。总日历天数：</w:t>
      </w:r>
      <w:r>
        <w:rPr>
          <w:rFonts w:hint="eastAsia" w:ascii="宋体" w:hAnsi="宋体"/>
          <w:color w:val="auto"/>
          <w:szCs w:val="21"/>
          <w:highlight w:val="none"/>
          <w:u w:val="single"/>
        </w:rPr>
        <w:t xml:space="preserve">     </w:t>
      </w:r>
      <w:r>
        <w:rPr>
          <w:rFonts w:hint="eastAsia" w:ascii="宋体" w:hAnsi="宋体"/>
          <w:color w:val="auto"/>
          <w:szCs w:val="21"/>
          <w:highlight w:val="none"/>
        </w:rPr>
        <w:t>天。</w:t>
      </w:r>
    </w:p>
    <w:p w14:paraId="111EA3AE">
      <w:pPr>
        <w:adjustRightInd w:val="0"/>
        <w:snapToGrid w:val="0"/>
        <w:spacing w:before="156" w:beforeLines="50"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rPr>
        <w:t>（2）地点</w:t>
      </w:r>
      <w:r>
        <w:rPr>
          <w:rFonts w:hint="eastAsia" w:ascii="宋体" w:hAnsi="宋体"/>
          <w:b/>
          <w:color w:val="auto"/>
          <w:szCs w:val="21"/>
          <w:highlight w:val="none"/>
        </w:rPr>
        <w:t>：</w:t>
      </w:r>
      <w:r>
        <w:rPr>
          <w:rFonts w:hint="eastAsia" w:ascii="宋体" w:hAnsi="宋体"/>
          <w:color w:val="auto"/>
          <w:szCs w:val="21"/>
          <w:highlight w:val="none"/>
          <w:u w:val="single"/>
        </w:rPr>
        <w:t xml:space="preserve">                             </w:t>
      </w:r>
    </w:p>
    <w:p w14:paraId="417B2A1B">
      <w:pPr>
        <w:adjustRightInd w:val="0"/>
        <w:snapToGrid w:val="0"/>
        <w:spacing w:before="156" w:beforeLines="50"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rPr>
        <w:t>（3）方式：</w:t>
      </w:r>
      <w:r>
        <w:rPr>
          <w:rFonts w:hint="eastAsia" w:ascii="宋体" w:hAnsi="宋体"/>
          <w:color w:val="auto"/>
          <w:szCs w:val="21"/>
          <w:highlight w:val="none"/>
          <w:u w:val="single"/>
        </w:rPr>
        <w:t xml:space="preserve">                             </w:t>
      </w:r>
    </w:p>
    <w:p w14:paraId="6A870513">
      <w:pPr>
        <w:adjustRightInd w:val="0"/>
        <w:snapToGrid w:val="0"/>
        <w:spacing w:before="156" w:beforeLines="50"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（4）履约担保：</w:t>
      </w:r>
      <w:r>
        <w:rPr>
          <w:rFonts w:hint="eastAsia" w:ascii="宋体" w:hAnsi="宋体"/>
          <w:bCs/>
          <w:color w:val="auto"/>
          <w:szCs w:val="21"/>
          <w:highlight w:val="none"/>
          <w:u w:val="single"/>
        </w:rPr>
        <w:t>履约担保的金额、形式和期限要求</w:t>
      </w:r>
      <w:r>
        <w:rPr>
          <w:rFonts w:hint="eastAsia" w:ascii="宋体" w:hAnsi="宋体"/>
          <w:bCs/>
          <w:color w:val="auto"/>
          <w:szCs w:val="21"/>
          <w:highlight w:val="none"/>
        </w:rPr>
        <w:t>。</w:t>
      </w:r>
    </w:p>
    <w:p w14:paraId="6A2F5609">
      <w:pPr>
        <w:adjustRightInd w:val="0"/>
        <w:snapToGrid w:val="0"/>
        <w:spacing w:before="156" w:beforeLines="50"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（5）质量保证金：</w:t>
      </w:r>
      <w:r>
        <w:rPr>
          <w:rFonts w:hint="eastAsia" w:ascii="宋体" w:hAnsi="宋体"/>
          <w:bCs/>
          <w:color w:val="auto"/>
          <w:szCs w:val="21"/>
          <w:highlight w:val="none"/>
          <w:u w:val="single"/>
        </w:rPr>
        <w:t>质量保证金的金额、形式和期限要求</w:t>
      </w:r>
      <w:r>
        <w:rPr>
          <w:rFonts w:hint="eastAsia" w:ascii="宋体" w:hAnsi="宋体"/>
          <w:bCs/>
          <w:color w:val="auto"/>
          <w:szCs w:val="21"/>
          <w:highlight w:val="none"/>
        </w:rPr>
        <w:t>。</w:t>
      </w:r>
    </w:p>
    <w:p w14:paraId="188D5123">
      <w:pPr>
        <w:adjustRightInd w:val="0"/>
        <w:snapToGrid w:val="0"/>
        <w:spacing w:before="156" w:beforeLines="50" w:line="360" w:lineRule="auto"/>
        <w:ind w:firstLine="422" w:firstLineChars="200"/>
        <w:rPr>
          <w:rFonts w:ascii="宋体" w:hAnsi="宋体"/>
          <w:b/>
          <w:color w:val="auto"/>
          <w:szCs w:val="21"/>
          <w:highlight w:val="none"/>
        </w:rPr>
      </w:pPr>
      <w:r>
        <w:rPr>
          <w:rFonts w:hint="eastAsia" w:ascii="宋体" w:hAnsi="宋体"/>
          <w:b/>
          <w:color w:val="auto"/>
          <w:szCs w:val="21"/>
          <w:highlight w:val="none"/>
        </w:rPr>
        <w:t>4.合同验收</w:t>
      </w:r>
    </w:p>
    <w:p w14:paraId="5A92FC4C">
      <w:pPr>
        <w:adjustRightInd w:val="0"/>
        <w:snapToGrid w:val="0"/>
        <w:spacing w:before="156" w:beforeLines="50"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（1）验收主体：</w:t>
      </w:r>
      <w:r>
        <w:rPr>
          <w:rFonts w:hint="eastAsia" w:ascii="宋体" w:hAnsi="宋体"/>
          <w:bCs/>
          <w:color w:val="auto"/>
          <w:szCs w:val="21"/>
          <w:highlight w:val="none"/>
          <w:u w:val="single"/>
        </w:rPr>
        <w:t xml:space="preserve">                             </w:t>
      </w:r>
      <w:r>
        <w:rPr>
          <w:rFonts w:hint="eastAsia" w:ascii="宋体" w:hAnsi="宋体"/>
          <w:bCs/>
          <w:color w:val="auto"/>
          <w:szCs w:val="21"/>
          <w:highlight w:val="none"/>
        </w:rPr>
        <w:t>。</w:t>
      </w:r>
    </w:p>
    <w:p w14:paraId="3CCEAB45">
      <w:pPr>
        <w:adjustRightInd w:val="0"/>
        <w:snapToGrid w:val="0"/>
        <w:spacing w:before="156" w:beforeLines="50"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（2）验收方式：</w:t>
      </w:r>
      <w:r>
        <w:rPr>
          <w:rFonts w:hint="eastAsia" w:ascii="宋体" w:hAnsi="宋体"/>
          <w:bCs/>
          <w:color w:val="auto"/>
          <w:szCs w:val="21"/>
          <w:highlight w:val="none"/>
          <w:u w:val="single"/>
        </w:rPr>
        <w:t xml:space="preserve">                             </w:t>
      </w:r>
      <w:r>
        <w:rPr>
          <w:rFonts w:hint="eastAsia" w:ascii="宋体" w:hAnsi="宋体"/>
          <w:bCs/>
          <w:color w:val="auto"/>
          <w:szCs w:val="21"/>
          <w:highlight w:val="none"/>
        </w:rPr>
        <w:t>。</w:t>
      </w:r>
    </w:p>
    <w:p w14:paraId="1736C823">
      <w:pPr>
        <w:adjustRightInd w:val="0"/>
        <w:snapToGrid w:val="0"/>
        <w:spacing w:before="156" w:beforeLines="50"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（3）验收标准：</w:t>
      </w:r>
      <w:r>
        <w:rPr>
          <w:rFonts w:hint="eastAsia" w:ascii="宋体" w:hAnsi="宋体"/>
          <w:bCs/>
          <w:color w:val="auto"/>
          <w:szCs w:val="21"/>
          <w:highlight w:val="none"/>
          <w:u w:val="single"/>
        </w:rPr>
        <w:t xml:space="preserve">                             </w:t>
      </w:r>
      <w:r>
        <w:rPr>
          <w:rFonts w:hint="eastAsia" w:ascii="宋体" w:hAnsi="宋体"/>
          <w:bCs/>
          <w:color w:val="auto"/>
          <w:szCs w:val="21"/>
          <w:highlight w:val="none"/>
        </w:rPr>
        <w:t>。</w:t>
      </w:r>
    </w:p>
    <w:p w14:paraId="42EABABB">
      <w:pPr>
        <w:adjustRightInd w:val="0"/>
        <w:snapToGrid w:val="0"/>
        <w:spacing w:before="156" w:beforeLines="50" w:line="360" w:lineRule="auto"/>
        <w:ind w:firstLine="422" w:firstLineChars="200"/>
        <w:rPr>
          <w:rFonts w:ascii="宋体" w:hAnsi="宋体"/>
          <w:b/>
          <w:color w:val="auto"/>
          <w:szCs w:val="21"/>
          <w:highlight w:val="none"/>
        </w:rPr>
      </w:pPr>
      <w:r>
        <w:rPr>
          <w:rFonts w:hint="eastAsia" w:ascii="宋体" w:hAnsi="宋体"/>
          <w:b/>
          <w:color w:val="auto"/>
          <w:szCs w:val="21"/>
          <w:highlight w:val="none"/>
        </w:rPr>
        <w:t>5.组成合同的文件</w:t>
      </w:r>
    </w:p>
    <w:p w14:paraId="2F49282E">
      <w:pPr>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本协议书与下列文件一起构成合同文件，如下述文件之间有任何抵触、矛盾或歧义，应按以下顺序解释：</w:t>
      </w:r>
    </w:p>
    <w:p w14:paraId="1C0565C1">
      <w:pPr>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（1）在采购或合同履行过程中乙方作出的承诺以及双方协商达成的变更或补充协议</w:t>
      </w:r>
    </w:p>
    <w:p w14:paraId="5990D213">
      <w:pPr>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（2）本合同协议书</w:t>
      </w:r>
    </w:p>
    <w:p w14:paraId="01964493">
      <w:pPr>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（3）中标通知书</w:t>
      </w:r>
    </w:p>
    <w:p w14:paraId="0F073D44">
      <w:pPr>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（4）投标文件</w:t>
      </w:r>
    </w:p>
    <w:p w14:paraId="0DC84C6C">
      <w:pPr>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（5）政府采购合同专用条款</w:t>
      </w:r>
    </w:p>
    <w:p w14:paraId="7F066BBF">
      <w:pPr>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（6）政府采购合同通用条款</w:t>
      </w:r>
    </w:p>
    <w:p w14:paraId="3F4E1871">
      <w:pPr>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（7）标准、规范及有关技术文件，图纸。</w:t>
      </w:r>
    </w:p>
    <w:p w14:paraId="33B1A865">
      <w:pPr>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（8）其他合同文件。</w:t>
      </w:r>
    </w:p>
    <w:p w14:paraId="64DDFE56">
      <w:pPr>
        <w:adjustRightInd w:val="0"/>
        <w:snapToGrid w:val="0"/>
        <w:spacing w:before="156" w:beforeLines="50" w:line="360" w:lineRule="auto"/>
        <w:ind w:firstLine="310" w:firstLineChars="147"/>
        <w:rPr>
          <w:rFonts w:ascii="宋体" w:hAnsi="宋体"/>
          <w:b/>
          <w:color w:val="auto"/>
          <w:szCs w:val="21"/>
          <w:highlight w:val="none"/>
        </w:rPr>
      </w:pPr>
      <w:r>
        <w:rPr>
          <w:rFonts w:hint="eastAsia" w:ascii="宋体" w:hAnsi="宋体"/>
          <w:b/>
          <w:color w:val="auto"/>
          <w:szCs w:val="21"/>
          <w:highlight w:val="none"/>
        </w:rPr>
        <w:t>6.合同生效</w:t>
      </w:r>
    </w:p>
    <w:p w14:paraId="16B5918B">
      <w:pPr>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本合同自</w:t>
      </w:r>
      <w:r>
        <w:rPr>
          <w:rFonts w:hint="eastAsia" w:ascii="宋体" w:hAnsi="宋体"/>
          <w:color w:val="auto"/>
          <w:szCs w:val="21"/>
          <w:highlight w:val="none"/>
          <w:u w:val="single"/>
        </w:rPr>
        <w:t xml:space="preserve">                             </w:t>
      </w:r>
      <w:r>
        <w:rPr>
          <w:rFonts w:hint="eastAsia" w:ascii="宋体" w:hAnsi="宋体"/>
          <w:color w:val="auto"/>
          <w:szCs w:val="21"/>
          <w:highlight w:val="none"/>
        </w:rPr>
        <w:t>生效。</w:t>
      </w:r>
    </w:p>
    <w:p w14:paraId="75547D58">
      <w:pPr>
        <w:adjustRightInd w:val="0"/>
        <w:snapToGrid w:val="0"/>
        <w:spacing w:before="156" w:beforeLines="50" w:line="360" w:lineRule="auto"/>
        <w:ind w:firstLine="310" w:firstLineChars="147"/>
        <w:rPr>
          <w:rFonts w:ascii="宋体" w:hAnsi="宋体"/>
          <w:b/>
          <w:color w:val="auto"/>
          <w:szCs w:val="21"/>
          <w:highlight w:val="none"/>
        </w:rPr>
      </w:pPr>
      <w:r>
        <w:rPr>
          <w:rFonts w:hint="eastAsia" w:ascii="宋体" w:hAnsi="宋体"/>
          <w:b/>
          <w:color w:val="auto"/>
          <w:szCs w:val="21"/>
          <w:highlight w:val="none"/>
        </w:rPr>
        <w:t>7.合同份数</w:t>
      </w:r>
    </w:p>
    <w:p w14:paraId="49389C4E">
      <w:pPr>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本合同一式</w:t>
      </w:r>
      <w:r>
        <w:rPr>
          <w:rFonts w:hint="eastAsia" w:ascii="宋体" w:hAnsi="宋体"/>
          <w:color w:val="auto"/>
          <w:szCs w:val="21"/>
          <w:highlight w:val="none"/>
          <w:u w:val="single"/>
        </w:rPr>
        <w:t xml:space="preserve">    </w:t>
      </w:r>
      <w:r>
        <w:rPr>
          <w:rFonts w:hint="eastAsia" w:ascii="宋体" w:hAnsi="宋体"/>
          <w:color w:val="auto"/>
          <w:szCs w:val="21"/>
          <w:highlight w:val="none"/>
        </w:rPr>
        <w:t>份，采购人执</w:t>
      </w:r>
      <w:r>
        <w:rPr>
          <w:rFonts w:hint="eastAsia" w:ascii="宋体" w:hAnsi="宋体"/>
          <w:color w:val="auto"/>
          <w:szCs w:val="21"/>
          <w:highlight w:val="none"/>
          <w:u w:val="single"/>
        </w:rPr>
        <w:t xml:space="preserve">   </w:t>
      </w:r>
      <w:r>
        <w:rPr>
          <w:rFonts w:hint="eastAsia" w:ascii="宋体" w:hAnsi="宋体"/>
          <w:color w:val="auto"/>
          <w:szCs w:val="21"/>
          <w:highlight w:val="none"/>
        </w:rPr>
        <w:t>份，供应商执</w:t>
      </w:r>
      <w:r>
        <w:rPr>
          <w:rFonts w:hint="eastAsia" w:ascii="宋体" w:hAnsi="宋体"/>
          <w:color w:val="auto"/>
          <w:szCs w:val="21"/>
          <w:highlight w:val="none"/>
          <w:u w:val="single"/>
        </w:rPr>
        <w:t xml:space="preserve">   </w:t>
      </w:r>
      <w:r>
        <w:rPr>
          <w:rFonts w:hint="eastAsia" w:ascii="宋体" w:hAnsi="宋体"/>
          <w:color w:val="auto"/>
          <w:szCs w:val="21"/>
          <w:highlight w:val="none"/>
        </w:rPr>
        <w:t>份，均具有同等法律效力。</w:t>
      </w:r>
    </w:p>
    <w:p w14:paraId="1BF5F549">
      <w:pPr>
        <w:adjustRightInd w:val="0"/>
        <w:snapToGrid w:val="0"/>
        <w:spacing w:before="156" w:beforeLines="50" w:line="360" w:lineRule="auto"/>
        <w:rPr>
          <w:rFonts w:ascii="宋体" w:hAnsi="宋体"/>
          <w:color w:val="auto"/>
          <w:szCs w:val="21"/>
          <w:highlight w:val="none"/>
        </w:rPr>
      </w:pPr>
    </w:p>
    <w:p w14:paraId="3DC2FB64">
      <w:pPr>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合同订立时间：</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7053DDAA">
      <w:pPr>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合同订立地点：</w:t>
      </w:r>
      <w:r>
        <w:rPr>
          <w:rFonts w:hint="eastAsia" w:ascii="宋体" w:hAnsi="宋体"/>
          <w:color w:val="auto"/>
          <w:szCs w:val="21"/>
          <w:highlight w:val="none"/>
          <w:u w:val="single"/>
        </w:rPr>
        <w:t xml:space="preserve">                           </w:t>
      </w:r>
    </w:p>
    <w:p w14:paraId="366CEB29">
      <w:pPr>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 xml:space="preserve">附件：具体标的明细、分包合同等。    </w:t>
      </w:r>
    </w:p>
    <w:p w14:paraId="41969C63">
      <w:pPr>
        <w:pStyle w:val="2"/>
        <w:rPr>
          <w:rFonts w:ascii="宋体" w:hAnsi="宋体"/>
          <w:color w:val="auto"/>
          <w:highlight w:val="none"/>
        </w:rPr>
      </w:pPr>
    </w:p>
    <w:p w14:paraId="0E043323">
      <w:pPr>
        <w:pStyle w:val="2"/>
        <w:rPr>
          <w:rFonts w:ascii="宋体" w:hAnsi="宋体"/>
          <w:color w:val="auto"/>
          <w:highlight w:val="none"/>
        </w:rPr>
      </w:pPr>
    </w:p>
    <w:p w14:paraId="64B1721F">
      <w:pPr>
        <w:adjustRightInd w:val="0"/>
        <w:snapToGrid w:val="0"/>
        <w:spacing w:before="156" w:beforeLines="50" w:line="360" w:lineRule="auto"/>
        <w:rPr>
          <w:rFonts w:ascii="宋体" w:hAnsi="宋体"/>
          <w:color w:val="auto"/>
          <w:szCs w:val="21"/>
          <w:highlight w:val="none"/>
        </w:rPr>
      </w:pPr>
      <w:r>
        <w:rPr>
          <w:rFonts w:hint="eastAsia" w:ascii="宋体" w:hAnsi="宋体"/>
          <w:color w:val="auto"/>
          <w:szCs w:val="21"/>
          <w:highlight w:val="none"/>
        </w:rPr>
        <w:t>甲      方：（公章）                     乙      方：（公章）</w:t>
      </w:r>
    </w:p>
    <w:p w14:paraId="432DDF55">
      <w:pPr>
        <w:adjustRightInd w:val="0"/>
        <w:snapToGrid w:val="0"/>
        <w:spacing w:before="156" w:beforeLines="50" w:line="360" w:lineRule="auto"/>
        <w:rPr>
          <w:rFonts w:ascii="宋体" w:hAnsi="宋体"/>
          <w:color w:val="auto"/>
          <w:szCs w:val="21"/>
          <w:highlight w:val="none"/>
        </w:rPr>
      </w:pPr>
      <w:r>
        <w:rPr>
          <w:rFonts w:hint="eastAsia" w:ascii="宋体" w:hAnsi="宋体"/>
          <w:color w:val="auto"/>
          <w:szCs w:val="21"/>
          <w:highlight w:val="none"/>
        </w:rPr>
        <w:t>法定代表人：</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法定代表人：</w:t>
      </w:r>
      <w:r>
        <w:rPr>
          <w:rFonts w:hint="eastAsia" w:ascii="宋体" w:hAnsi="宋体"/>
          <w:color w:val="auto"/>
          <w:szCs w:val="21"/>
          <w:highlight w:val="none"/>
          <w:u w:val="single"/>
        </w:rPr>
        <w:t xml:space="preserve">                   </w:t>
      </w:r>
    </w:p>
    <w:p w14:paraId="49A68A1C">
      <w:pPr>
        <w:adjustRightInd w:val="0"/>
        <w:snapToGrid w:val="0"/>
        <w:spacing w:before="156" w:beforeLines="50" w:line="360" w:lineRule="auto"/>
        <w:rPr>
          <w:rFonts w:ascii="宋体" w:hAnsi="宋体"/>
          <w:color w:val="auto"/>
          <w:szCs w:val="21"/>
          <w:highlight w:val="none"/>
        </w:rPr>
      </w:pPr>
      <w:r>
        <w:rPr>
          <w:rFonts w:hint="eastAsia" w:ascii="宋体" w:hAnsi="宋体"/>
          <w:color w:val="auto"/>
          <w:szCs w:val="21"/>
          <w:highlight w:val="none"/>
        </w:rPr>
        <w:t>委托代理人：</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委托代理人：</w:t>
      </w:r>
      <w:r>
        <w:rPr>
          <w:rFonts w:hint="eastAsia" w:ascii="宋体" w:hAnsi="宋体"/>
          <w:color w:val="auto"/>
          <w:szCs w:val="21"/>
          <w:highlight w:val="none"/>
          <w:u w:val="single"/>
        </w:rPr>
        <w:t xml:space="preserve">                   </w:t>
      </w:r>
    </w:p>
    <w:p w14:paraId="5F92AC99">
      <w:pPr>
        <w:adjustRightInd w:val="0"/>
        <w:snapToGrid w:val="0"/>
        <w:spacing w:before="156" w:beforeLines="50" w:line="360" w:lineRule="auto"/>
        <w:rPr>
          <w:rFonts w:ascii="宋体" w:hAnsi="宋体"/>
          <w:color w:val="auto"/>
          <w:szCs w:val="21"/>
          <w:highlight w:val="none"/>
        </w:rPr>
      </w:pPr>
      <w:r>
        <w:rPr>
          <w:rFonts w:hint="eastAsia" w:ascii="宋体" w:hAnsi="宋体"/>
          <w:color w:val="auto"/>
          <w:szCs w:val="21"/>
          <w:highlight w:val="none"/>
        </w:rPr>
        <w:t>电      话：</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电      话：</w:t>
      </w:r>
      <w:r>
        <w:rPr>
          <w:rFonts w:hint="eastAsia" w:ascii="宋体" w:hAnsi="宋体"/>
          <w:color w:val="auto"/>
          <w:szCs w:val="21"/>
          <w:highlight w:val="none"/>
          <w:u w:val="single"/>
        </w:rPr>
        <w:t xml:space="preserve">                   </w:t>
      </w:r>
    </w:p>
    <w:p w14:paraId="737579B6">
      <w:pPr>
        <w:adjustRightInd w:val="0"/>
        <w:snapToGrid w:val="0"/>
        <w:spacing w:before="156" w:beforeLines="50" w:line="360" w:lineRule="auto"/>
        <w:rPr>
          <w:rFonts w:ascii="宋体" w:hAnsi="宋体"/>
          <w:color w:val="auto"/>
          <w:szCs w:val="21"/>
          <w:highlight w:val="none"/>
        </w:rPr>
      </w:pPr>
      <w:r>
        <w:rPr>
          <w:rFonts w:hint="eastAsia" w:ascii="宋体" w:hAnsi="宋体"/>
          <w:color w:val="auto"/>
          <w:szCs w:val="21"/>
          <w:highlight w:val="none"/>
        </w:rPr>
        <w:t>传      真：</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传      真：</w:t>
      </w:r>
      <w:r>
        <w:rPr>
          <w:rFonts w:hint="eastAsia" w:ascii="宋体" w:hAnsi="宋体"/>
          <w:color w:val="auto"/>
          <w:szCs w:val="21"/>
          <w:highlight w:val="none"/>
          <w:u w:val="single"/>
        </w:rPr>
        <w:t xml:space="preserve">                   </w:t>
      </w:r>
    </w:p>
    <w:p w14:paraId="0C65E4EB">
      <w:pPr>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 xml:space="preserve">                                    开 户 银 行：</w:t>
      </w:r>
      <w:r>
        <w:rPr>
          <w:rFonts w:hint="eastAsia" w:ascii="宋体" w:hAnsi="宋体"/>
          <w:color w:val="auto"/>
          <w:szCs w:val="21"/>
          <w:highlight w:val="none"/>
          <w:u w:val="single"/>
        </w:rPr>
        <w:t xml:space="preserve">                   </w:t>
      </w:r>
    </w:p>
    <w:p w14:paraId="0F4131E7">
      <w:pPr>
        <w:adjustRightInd w:val="0"/>
        <w:snapToGrid w:val="0"/>
        <w:spacing w:before="156" w:beforeLines="50" w:line="360" w:lineRule="auto"/>
        <w:jc w:val="center"/>
        <w:rPr>
          <w:rFonts w:ascii="宋体" w:hAnsi="宋体"/>
          <w:b/>
          <w:color w:val="auto"/>
          <w:szCs w:val="21"/>
          <w:highlight w:val="none"/>
        </w:rPr>
      </w:pPr>
      <w:r>
        <w:rPr>
          <w:rFonts w:hint="eastAsia" w:ascii="宋体" w:hAnsi="宋体"/>
          <w:color w:val="auto"/>
          <w:szCs w:val="21"/>
          <w:highlight w:val="none"/>
        </w:rPr>
        <w:t xml:space="preserve">         账       号：</w:t>
      </w:r>
      <w:r>
        <w:rPr>
          <w:rFonts w:hint="eastAsia" w:ascii="宋体" w:hAnsi="宋体"/>
          <w:color w:val="auto"/>
          <w:szCs w:val="21"/>
          <w:highlight w:val="none"/>
          <w:u w:val="single"/>
        </w:rPr>
        <w:t xml:space="preserve">                   </w:t>
      </w:r>
    </w:p>
    <w:p w14:paraId="3BF8FA81">
      <w:pPr>
        <w:pStyle w:val="10"/>
        <w:adjustRightInd w:val="0"/>
        <w:snapToGrid w:val="0"/>
        <w:spacing w:before="156" w:beforeLines="50"/>
        <w:jc w:val="center"/>
        <w:rPr>
          <w:rFonts w:ascii="黑体" w:hAnsi="黑体" w:eastAsia="黑体"/>
          <w:color w:val="auto"/>
          <w:sz w:val="28"/>
          <w:szCs w:val="28"/>
          <w:highlight w:val="none"/>
        </w:rPr>
      </w:pPr>
      <w:r>
        <w:rPr>
          <w:rFonts w:ascii="宋体" w:hAnsi="宋体"/>
          <w:color w:val="auto"/>
          <w:sz w:val="21"/>
          <w:szCs w:val="21"/>
          <w:highlight w:val="none"/>
          <w:u w:val="single"/>
        </w:rPr>
        <w:br w:type="page"/>
      </w:r>
      <w:bookmarkStart w:id="76" w:name="_Toc765"/>
      <w:r>
        <w:rPr>
          <w:rFonts w:hint="eastAsia" w:ascii="黑体" w:hAnsi="黑体" w:eastAsia="黑体"/>
          <w:color w:val="auto"/>
          <w:sz w:val="28"/>
          <w:szCs w:val="28"/>
          <w:highlight w:val="none"/>
        </w:rPr>
        <w:t>第二节 政府采购合同通用条款</w:t>
      </w:r>
      <w:bookmarkEnd w:id="76"/>
    </w:p>
    <w:p w14:paraId="585466F5">
      <w:pPr>
        <w:tabs>
          <w:tab w:val="left" w:pos="8820"/>
          <w:tab w:val="left" w:pos="9345"/>
          <w:tab w:val="left" w:pos="9765"/>
        </w:tabs>
        <w:adjustRightInd w:val="0"/>
        <w:snapToGrid w:val="0"/>
        <w:spacing w:before="50" w:line="360" w:lineRule="auto"/>
        <w:jc w:val="left"/>
        <w:rPr>
          <w:rFonts w:ascii="宋体" w:hAnsi="宋体"/>
          <w:b/>
          <w:bCs/>
          <w:color w:val="auto"/>
          <w:sz w:val="24"/>
          <w:highlight w:val="none"/>
        </w:rPr>
      </w:pPr>
      <w:r>
        <w:rPr>
          <w:rFonts w:hint="eastAsia" w:ascii="宋体" w:hAnsi="宋体"/>
          <w:b/>
          <w:color w:val="auto"/>
          <w:sz w:val="24"/>
          <w:highlight w:val="none"/>
        </w:rPr>
        <w:t>1.</w:t>
      </w:r>
      <w:r>
        <w:rPr>
          <w:rFonts w:hint="eastAsia" w:ascii="宋体" w:hAnsi="宋体"/>
          <w:b/>
          <w:bCs/>
          <w:color w:val="auto"/>
          <w:sz w:val="24"/>
          <w:highlight w:val="none"/>
        </w:rPr>
        <w:t>定义</w:t>
      </w:r>
    </w:p>
    <w:p w14:paraId="52E815E6">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1.1合同当事人</w:t>
      </w:r>
    </w:p>
    <w:p w14:paraId="18BD9B35">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（1）采购人（以下称甲方）是指使用财政性资金，通过政府采购方式向供应商购买货物、服务的国家机关、事业单位、团体组织。本次采购的甲方名称、地址见</w:t>
      </w:r>
      <w:r>
        <w:rPr>
          <w:rFonts w:hint="eastAsia" w:ascii="宋体" w:hAnsi="宋体"/>
          <w:b/>
          <w:color w:val="auto"/>
          <w:szCs w:val="21"/>
          <w:highlight w:val="none"/>
        </w:rPr>
        <w:t>【政府采购合同专用条款】。</w:t>
      </w:r>
    </w:p>
    <w:p w14:paraId="17A00EC4">
      <w:pPr>
        <w:autoSpaceDE w:val="0"/>
        <w:autoSpaceDN w:val="0"/>
        <w:adjustRightInd w:val="0"/>
        <w:snapToGrid w:val="0"/>
        <w:spacing w:before="50" w:line="360" w:lineRule="auto"/>
        <w:ind w:firstLine="420" w:firstLineChars="200"/>
        <w:jc w:val="left"/>
        <w:rPr>
          <w:rFonts w:ascii="宋体" w:hAnsi="宋体"/>
          <w:b/>
          <w:color w:val="auto"/>
          <w:szCs w:val="21"/>
          <w:highlight w:val="none"/>
        </w:rPr>
      </w:pPr>
      <w:r>
        <w:rPr>
          <w:rFonts w:hint="eastAsia" w:ascii="宋体" w:hAnsi="宋体"/>
          <w:color w:val="auto"/>
          <w:szCs w:val="21"/>
          <w:highlight w:val="none"/>
        </w:rPr>
        <w:t>（2）供应商（以下称乙方）是指参加政府采购活动而取得中标结果，并向采购人提供货物、服务的法人、其他组织或者自然人。</w:t>
      </w:r>
    </w:p>
    <w:p w14:paraId="3FA538C5">
      <w:pPr>
        <w:tabs>
          <w:tab w:val="left" w:pos="570"/>
          <w:tab w:val="left" w:pos="9240"/>
          <w:tab w:val="left" w:pos="9555"/>
        </w:tabs>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1.2本合同下列术语应解释为：</w:t>
      </w:r>
    </w:p>
    <w:p w14:paraId="6E45D7AC">
      <w:pPr>
        <w:tabs>
          <w:tab w:val="left" w:pos="570"/>
          <w:tab w:val="left" w:pos="9240"/>
          <w:tab w:val="left" w:pos="9555"/>
        </w:tabs>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（1）“合同”系指甲乙双方签署的、政府采购合同协议书中载明的甲乙双方所达成的协议，包括所有的附件、附录和上述文件所提到的构成合同的所有文件。</w:t>
      </w:r>
    </w:p>
    <w:p w14:paraId="10DE0915">
      <w:pPr>
        <w:tabs>
          <w:tab w:val="left" w:pos="570"/>
          <w:tab w:val="left" w:pos="9240"/>
          <w:tab w:val="left" w:pos="9555"/>
        </w:tabs>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（2）“合同价”系指根据本合同规定乙方在正确地完全履行合同义务后甲方应支付给乙方的价款。</w:t>
      </w:r>
    </w:p>
    <w:p w14:paraId="333A2930">
      <w:pPr>
        <w:tabs>
          <w:tab w:val="left" w:pos="570"/>
          <w:tab w:val="left" w:pos="9240"/>
          <w:tab w:val="left" w:pos="9555"/>
        </w:tabs>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（3）“货物”系指乙方根据本合同规定须向甲方提供的各种形态和种类的物品，包括原材料、设备、产品（包括软件）及相关的其备品备件、工具、手册及其它技术资料和材料。</w:t>
      </w:r>
    </w:p>
    <w:p w14:paraId="6F473A82">
      <w:pPr>
        <w:tabs>
          <w:tab w:val="left" w:pos="570"/>
          <w:tab w:val="left" w:pos="8880"/>
          <w:tab w:val="left" w:pos="9555"/>
        </w:tabs>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服务”系指根据合同规定，乙方应提供的技术、管理和其它服务，包括但不限于：管理和质量保证、运输、保险、检验、现场准备、安装、集成、调试、培训、维修、技术支持等以及合同中规定乙方应承担的其它义务。</w:t>
      </w:r>
    </w:p>
    <w:p w14:paraId="40E36F0C">
      <w:pPr>
        <w:tabs>
          <w:tab w:val="left" w:pos="570"/>
          <w:tab w:val="left" w:pos="9240"/>
          <w:tab w:val="left" w:pos="9555"/>
        </w:tabs>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（5）“合同条款”系指本合同及其附件、补充文件约定的全部条款。</w:t>
      </w:r>
    </w:p>
    <w:p w14:paraId="6D5A7BB1">
      <w:pPr>
        <w:tabs>
          <w:tab w:val="left" w:pos="570"/>
          <w:tab w:val="left" w:pos="9240"/>
          <w:tab w:val="left" w:pos="9555"/>
        </w:tabs>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（6）“项目现场”系指本合同项下货物安装、运行的现场，其名称见</w:t>
      </w:r>
      <w:r>
        <w:rPr>
          <w:rFonts w:hint="eastAsia" w:ascii="宋体" w:hAnsi="宋体"/>
          <w:b/>
          <w:color w:val="auto"/>
          <w:szCs w:val="21"/>
          <w:highlight w:val="none"/>
        </w:rPr>
        <w:t>【政府采购合同专用条款】</w:t>
      </w:r>
      <w:r>
        <w:rPr>
          <w:rFonts w:hint="eastAsia" w:ascii="宋体" w:hAnsi="宋体"/>
          <w:color w:val="auto"/>
          <w:szCs w:val="21"/>
          <w:highlight w:val="none"/>
        </w:rPr>
        <w:t>。</w:t>
      </w:r>
    </w:p>
    <w:p w14:paraId="2E190261">
      <w:pPr>
        <w:autoSpaceDE w:val="0"/>
        <w:autoSpaceDN w:val="0"/>
        <w:adjustRightInd w:val="0"/>
        <w:snapToGrid w:val="0"/>
        <w:spacing w:before="50" w:line="360" w:lineRule="auto"/>
        <w:jc w:val="left"/>
        <w:rPr>
          <w:rFonts w:ascii="宋体" w:hAnsi="宋体"/>
          <w:b/>
          <w:color w:val="auto"/>
          <w:sz w:val="24"/>
          <w:highlight w:val="none"/>
        </w:rPr>
      </w:pPr>
      <w:r>
        <w:rPr>
          <w:rFonts w:hint="eastAsia" w:ascii="宋体" w:hAnsi="宋体"/>
          <w:b/>
          <w:color w:val="auto"/>
          <w:sz w:val="24"/>
          <w:highlight w:val="none"/>
        </w:rPr>
        <w:t>2.合同的适用范围</w:t>
      </w:r>
    </w:p>
    <w:p w14:paraId="21107298">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2.1 本合同条款适用于没有被本合同其他部分的条款所取代的范围。</w:t>
      </w:r>
    </w:p>
    <w:p w14:paraId="0F82F42B">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2.2 合同内容根据招标文件、投标文件而确定。</w:t>
      </w:r>
    </w:p>
    <w:p w14:paraId="3F24BBAA">
      <w:pPr>
        <w:autoSpaceDE w:val="0"/>
        <w:autoSpaceDN w:val="0"/>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3.</w:t>
      </w:r>
      <w:r>
        <w:rPr>
          <w:rFonts w:hint="eastAsia" w:ascii="宋体" w:hAnsi="宋体"/>
          <w:b/>
          <w:color w:val="auto"/>
          <w:sz w:val="24"/>
          <w:highlight w:val="none"/>
        </w:rPr>
        <w:t>合同标的及金额</w:t>
      </w:r>
    </w:p>
    <w:p w14:paraId="427B4E49">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3.1 合同标的及金额应与中标结果一致。</w:t>
      </w:r>
    </w:p>
    <w:p w14:paraId="66468CE0">
      <w:pPr>
        <w:autoSpaceDE w:val="0"/>
        <w:autoSpaceDN w:val="0"/>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4.</w:t>
      </w:r>
      <w:r>
        <w:rPr>
          <w:rFonts w:hint="eastAsia" w:ascii="宋体" w:hAnsi="宋体"/>
          <w:b/>
          <w:color w:val="auto"/>
          <w:sz w:val="24"/>
          <w:highlight w:val="none"/>
        </w:rPr>
        <w:t>合同价款</w:t>
      </w:r>
    </w:p>
    <w:p w14:paraId="2A502EE8">
      <w:pPr>
        <w:adjustRightInd w:val="0"/>
        <w:snapToGrid w:val="0"/>
        <w:spacing w:before="50" w:line="360" w:lineRule="auto"/>
        <w:ind w:firstLine="420" w:firstLineChars="200"/>
        <w:jc w:val="left"/>
        <w:rPr>
          <w:rFonts w:ascii="宋体" w:hAnsi="宋体"/>
          <w:b/>
          <w:bCs/>
          <w:i/>
          <w:iCs/>
          <w:color w:val="auto"/>
          <w:szCs w:val="21"/>
          <w:highlight w:val="none"/>
        </w:rPr>
      </w:pPr>
      <w:r>
        <w:rPr>
          <w:rFonts w:hint="eastAsia" w:ascii="宋体" w:hAnsi="宋体"/>
          <w:color w:val="auto"/>
          <w:szCs w:val="21"/>
          <w:highlight w:val="none"/>
        </w:rPr>
        <w:t>4.1具体合同价款见本合同第3.1条。乙方为履行本合同而发生的所有费用均应包含在合同价款中，甲方不再另行支付其它任何费用。</w:t>
      </w:r>
    </w:p>
    <w:p w14:paraId="46B212D6">
      <w:pPr>
        <w:adjustRightInd w:val="0"/>
        <w:snapToGrid w:val="0"/>
        <w:spacing w:before="50" w:line="360" w:lineRule="auto"/>
        <w:jc w:val="left"/>
        <w:rPr>
          <w:rFonts w:ascii="宋体" w:hAnsi="宋体"/>
          <w:b/>
          <w:color w:val="auto"/>
          <w:sz w:val="24"/>
          <w:highlight w:val="none"/>
        </w:rPr>
      </w:pPr>
      <w:r>
        <w:rPr>
          <w:rFonts w:hint="eastAsia" w:ascii="宋体" w:hAnsi="宋体"/>
          <w:b/>
          <w:color w:val="auto"/>
          <w:sz w:val="24"/>
          <w:highlight w:val="none"/>
        </w:rPr>
        <w:t>5.履行合同的时间、地点和方式</w:t>
      </w:r>
    </w:p>
    <w:p w14:paraId="6710638A">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5.1 乙方应当在甲方确定的时间、指定的地点履行合同，具体的交货时间、地点和方式见</w:t>
      </w:r>
      <w:r>
        <w:rPr>
          <w:rFonts w:hint="eastAsia" w:ascii="宋体" w:hAnsi="宋体"/>
          <w:b/>
          <w:color w:val="auto"/>
          <w:szCs w:val="21"/>
          <w:highlight w:val="none"/>
        </w:rPr>
        <w:t>【政府采购合同专用条款】</w:t>
      </w:r>
      <w:r>
        <w:rPr>
          <w:rFonts w:hint="eastAsia" w:ascii="宋体" w:hAnsi="宋体"/>
          <w:color w:val="auto"/>
          <w:szCs w:val="21"/>
          <w:highlight w:val="none"/>
        </w:rPr>
        <w:t>。</w:t>
      </w:r>
    </w:p>
    <w:p w14:paraId="1CD8FDB7">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5.2 乙方提供服务的应当在甲方指定的时间和地点完成服务项目。</w:t>
      </w:r>
    </w:p>
    <w:p w14:paraId="180E0E74">
      <w:pPr>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6.</w:t>
      </w:r>
      <w:r>
        <w:rPr>
          <w:rFonts w:hint="eastAsia" w:ascii="宋体" w:hAnsi="宋体"/>
          <w:b/>
          <w:color w:val="auto"/>
          <w:sz w:val="24"/>
          <w:highlight w:val="none"/>
        </w:rPr>
        <w:t>货物的验收</w:t>
      </w:r>
    </w:p>
    <w:p w14:paraId="6444CB42">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6.1 甲方在收到乙方交付的货物后应当及时组织验收。</w:t>
      </w:r>
    </w:p>
    <w:p w14:paraId="703612C4">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6.2 货物的表面瑕疵，甲方应在验收时当面提出；对质量问题有异议的应在安装调试后十个工作日内提出。</w:t>
      </w:r>
    </w:p>
    <w:p w14:paraId="35F6B9EF">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6.3 在验收过程中发现数量不足或有质量、技术等问题，乙方应负责按照甲方的要求采取补足、更换或退货等处理措施，并承担由此发生的一切费用和损失。</w:t>
      </w:r>
    </w:p>
    <w:p w14:paraId="0931157D">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6.4 甲方在乙方按合同规定交货或安装、调试后，无正当理由而拖延接收、验收或拒绝接收、验收的，应承担因此给乙方造成的直接损失。</w:t>
      </w:r>
    </w:p>
    <w:p w14:paraId="4A554A21">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6.5 甲方对货物进行检查验收合格后，应当收取发票并在《交货验收单》上签署验收意见及加盖单位印章。</w:t>
      </w:r>
    </w:p>
    <w:p w14:paraId="59619E11">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6.6 大型或者复杂的货物采购项目，甲方可以邀请国家认可的质量检测机构参加验收工作，并由其出具验收报告单。</w:t>
      </w:r>
    </w:p>
    <w:p w14:paraId="040AF569">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6.7 乙方提供的进口产品，乙方应出示中华人民共和国进出口商品检验部门出具的检验证书（招标文件第五章采购需求另有约定的除外）。</w:t>
      </w:r>
    </w:p>
    <w:p w14:paraId="0664BD3E">
      <w:pPr>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7.货物包装要求</w:t>
      </w:r>
    </w:p>
    <w:p w14:paraId="72807D60">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7.1 乙方所出售的全部货物均应按标准保护措施进行包装，包装应适应于远距离运输、防潮、防震、防锈和防野蛮装卸等要求，以确保货物安全无损地运抵指定现场。由于包装防护措施不妥而引起的损坏、丢失由乙方负责。</w:t>
      </w:r>
    </w:p>
    <w:p w14:paraId="00474301">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7.2 每一个包装箱内应附一份详细装箱单、质量证书和保修保养证书。</w:t>
      </w:r>
    </w:p>
    <w:p w14:paraId="7729065D">
      <w:pPr>
        <w:adjustRightInd w:val="0"/>
        <w:snapToGrid w:val="0"/>
        <w:spacing w:before="50" w:line="360" w:lineRule="auto"/>
        <w:jc w:val="left"/>
        <w:rPr>
          <w:rFonts w:ascii="宋体" w:hAnsi="宋体"/>
          <w:b/>
          <w:color w:val="auto"/>
          <w:sz w:val="24"/>
          <w:highlight w:val="none"/>
        </w:rPr>
      </w:pPr>
      <w:r>
        <w:rPr>
          <w:rFonts w:hint="eastAsia" w:ascii="宋体" w:hAnsi="宋体"/>
          <w:b/>
          <w:color w:val="auto"/>
          <w:sz w:val="24"/>
          <w:highlight w:val="none"/>
        </w:rPr>
        <w:t>8.运输和保险</w:t>
      </w:r>
    </w:p>
    <w:p w14:paraId="3C2BB93A">
      <w:pPr>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8.1乙方负责办理将货物运抵本合同第5.1条规定的交货地点的一切运输事项，相关费用应包括在合同总价中。</w:t>
      </w:r>
    </w:p>
    <w:p w14:paraId="1A98630F">
      <w:pPr>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8.2乙方应向保险公司投保以甲方为受益人的发运合同货物发票金额的110％运输一切险。</w:t>
      </w:r>
    </w:p>
    <w:p w14:paraId="7D766DF0">
      <w:pPr>
        <w:adjustRightInd w:val="0"/>
        <w:snapToGrid w:val="0"/>
        <w:spacing w:before="50" w:line="360" w:lineRule="auto"/>
        <w:jc w:val="left"/>
        <w:rPr>
          <w:rFonts w:ascii="宋体" w:hAnsi="宋体"/>
          <w:b/>
          <w:color w:val="auto"/>
          <w:sz w:val="24"/>
          <w:highlight w:val="none"/>
        </w:rPr>
      </w:pPr>
      <w:r>
        <w:rPr>
          <w:rFonts w:hint="eastAsia" w:ascii="宋体" w:hAnsi="宋体"/>
          <w:b/>
          <w:color w:val="auto"/>
          <w:sz w:val="24"/>
          <w:highlight w:val="none"/>
        </w:rPr>
        <w:t>9.质量标准和保证</w:t>
      </w:r>
    </w:p>
    <w:p w14:paraId="49F5FBF8">
      <w:pPr>
        <w:pStyle w:val="19"/>
        <w:adjustRightInd w:val="0"/>
        <w:snapToGrid w:val="0"/>
        <w:spacing w:before="50" w:line="360" w:lineRule="auto"/>
        <w:ind w:firstLine="420" w:firstLineChars="200"/>
        <w:jc w:val="left"/>
        <w:rPr>
          <w:rFonts w:hAnsi="宋体"/>
          <w:b/>
          <w:color w:val="auto"/>
          <w:highlight w:val="none"/>
        </w:rPr>
      </w:pPr>
      <w:r>
        <w:rPr>
          <w:rFonts w:hint="eastAsia" w:hAnsi="宋体"/>
          <w:color w:val="auto"/>
          <w:highlight w:val="none"/>
        </w:rPr>
        <w:t>9.1 质量标准</w:t>
      </w:r>
    </w:p>
    <w:p w14:paraId="7E7F2D3B">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（1）本合同下交付的货物应符合招标文件第四章“技术规格、参数与要求”所述的标准。如果没有提及适用标准，则应符合中华人民共和国有关机构发布的最新版本的标准。</w:t>
      </w:r>
    </w:p>
    <w:p w14:paraId="285251B9">
      <w:pPr>
        <w:pStyle w:val="19"/>
        <w:adjustRightInd w:val="0"/>
        <w:snapToGrid w:val="0"/>
        <w:spacing w:before="50" w:line="360" w:lineRule="auto"/>
        <w:ind w:firstLine="420" w:firstLineChars="200"/>
        <w:jc w:val="left"/>
        <w:rPr>
          <w:rFonts w:hAnsi="宋体"/>
          <w:color w:val="auto"/>
          <w:highlight w:val="none"/>
        </w:rPr>
      </w:pPr>
      <w:r>
        <w:rPr>
          <w:rFonts w:hint="eastAsia" w:hAnsi="宋体"/>
          <w:color w:val="auto"/>
          <w:highlight w:val="none"/>
        </w:rPr>
        <w:t>（2）采用中华人民共和国法定计量单位。</w:t>
      </w:r>
    </w:p>
    <w:p w14:paraId="105F49E7">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（3）乙方所出售的货物还应符合国家有关安全、环保、卫生之规定。</w:t>
      </w:r>
    </w:p>
    <w:p w14:paraId="65A28BDC">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9.2 保证</w:t>
      </w:r>
    </w:p>
    <w:p w14:paraId="501CE3E1">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宋体" w:hAnsi="宋体"/>
          <w:b/>
          <w:color w:val="auto"/>
          <w:szCs w:val="21"/>
          <w:highlight w:val="none"/>
        </w:rPr>
        <w:t>【政府采购合同专用条款】</w:t>
      </w:r>
      <w:r>
        <w:rPr>
          <w:rFonts w:hint="eastAsia" w:ascii="宋体" w:hAnsi="宋体"/>
          <w:color w:val="auto"/>
          <w:szCs w:val="21"/>
          <w:highlight w:val="none"/>
        </w:rPr>
        <w:t>规定或乙方承诺（两者以较长的为准）的质量保证期内，本保证保持有效。</w:t>
      </w:r>
    </w:p>
    <w:p w14:paraId="31ED7AB1">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（2）在质量保证期内所发现的缺陷，甲方应尽快以书面形式通知乙方。</w:t>
      </w:r>
    </w:p>
    <w:p w14:paraId="2A4BEDB1">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（3）乙方收到通知后应在</w:t>
      </w:r>
      <w:r>
        <w:rPr>
          <w:rFonts w:hint="eastAsia" w:ascii="宋体" w:hAnsi="宋体"/>
          <w:b/>
          <w:color w:val="auto"/>
          <w:szCs w:val="21"/>
          <w:highlight w:val="none"/>
        </w:rPr>
        <w:t>【政府采购合同专用条款】</w:t>
      </w:r>
      <w:r>
        <w:rPr>
          <w:rFonts w:hint="eastAsia" w:ascii="宋体" w:hAnsi="宋体"/>
          <w:color w:val="auto"/>
          <w:szCs w:val="21"/>
          <w:highlight w:val="none"/>
        </w:rPr>
        <w:t>规定的响应时间内以合理的速度免费维修或更换有缺陷的货物或部件。</w:t>
      </w:r>
    </w:p>
    <w:p w14:paraId="5A501BFB">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（4）在质量保证期内，如果货物的质量或规格与合同不符，或证实货物是有缺陷的，包括潜在的缺陷或使用不符合要求的材料等，甲方可以根据本合同第15.1条规定以书面形式向乙方提出补救措施或索赔。</w:t>
      </w:r>
    </w:p>
    <w:p w14:paraId="5A84C0AD">
      <w:pPr>
        <w:adjustRightInd w:val="0"/>
        <w:snapToGrid w:val="0"/>
        <w:spacing w:before="50" w:line="360" w:lineRule="auto"/>
        <w:ind w:firstLine="420" w:firstLineChars="200"/>
        <w:jc w:val="left"/>
        <w:rPr>
          <w:rFonts w:ascii="宋体" w:hAnsi="宋体"/>
          <w:b/>
          <w:color w:val="auto"/>
          <w:szCs w:val="21"/>
          <w:highlight w:val="none"/>
        </w:rPr>
      </w:pPr>
      <w:r>
        <w:rPr>
          <w:rFonts w:hint="eastAsia" w:ascii="宋体" w:hAnsi="宋体"/>
          <w:color w:val="auto"/>
          <w:szCs w:val="21"/>
          <w:highlight w:val="none"/>
        </w:rPr>
        <w:t>（5）乙方在约定的时间内未能弥补缺陷，甲方可采取必要的补救措施，但其风险和费用将由乙方承担，甲方根据合同规定对乙方行使的其他权利不受影响。</w:t>
      </w:r>
    </w:p>
    <w:p w14:paraId="17F1E342">
      <w:pPr>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10.权利瑕疵担保</w:t>
      </w:r>
    </w:p>
    <w:p w14:paraId="697D01DA">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10.1 乙方保证对其出售的货物享有合法的权利。</w:t>
      </w:r>
    </w:p>
    <w:p w14:paraId="40EF44C8">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10.2 乙方保证在其出售的货物上不存在任何未曾向甲方透露的担保物权，如抵押权、质押权、留置权等。</w:t>
      </w:r>
    </w:p>
    <w:p w14:paraId="096C0029">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10.3 如甲方使用该货物构成上述侵权的，则由乙方承担全部责任。</w:t>
      </w:r>
    </w:p>
    <w:p w14:paraId="1B0B76C2">
      <w:pPr>
        <w:autoSpaceDE w:val="0"/>
        <w:autoSpaceDN w:val="0"/>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11.知识产权保护</w:t>
      </w:r>
    </w:p>
    <w:p w14:paraId="5C8E57DD">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11.1 乙方对其所销售的货物应当享有知识产权或经权利人合法授权，保证没有侵犯任何第三人的知识产权和商业秘密等权利。</w:t>
      </w:r>
    </w:p>
    <w:p w14:paraId="6EAC4B04">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11.2 甲方使用乙方提供的货物对第三人构成侵权的，应当由乙方承担全部法律责任，给甲方造成损害的，乙方应当承担赔偿责任。</w:t>
      </w:r>
    </w:p>
    <w:p w14:paraId="2DD9CF0F">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11.3 甲方委托乙方开发的产品，甲方享有知识产权，未经甲方许可不得转让任何第三人。</w:t>
      </w:r>
    </w:p>
    <w:p w14:paraId="0F5641A8">
      <w:pPr>
        <w:autoSpaceDE w:val="0"/>
        <w:autoSpaceDN w:val="0"/>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12.保密义务</w:t>
      </w:r>
    </w:p>
    <w:p w14:paraId="592C7FA6">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12.1 甲、乙双方在采购和履行合同过程中所获悉的对方属于保密的内容，双方均有保密义务。</w:t>
      </w:r>
    </w:p>
    <w:p w14:paraId="596EF7A0">
      <w:pPr>
        <w:autoSpaceDE w:val="0"/>
        <w:autoSpaceDN w:val="0"/>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13.合同价款支付</w:t>
      </w:r>
    </w:p>
    <w:p w14:paraId="285F64E0">
      <w:pPr>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13.1验收合格后，乙方出具正规发票给甲方，凭甲方开具的《政府采购合同验收报告单》办理合同价</w:t>
      </w:r>
      <w:r>
        <w:rPr>
          <w:rFonts w:hint="eastAsia" w:ascii="宋体" w:hAnsi="宋体"/>
          <w:bCs/>
          <w:color w:val="auto"/>
          <w:szCs w:val="21"/>
          <w:highlight w:val="none"/>
        </w:rPr>
        <w:t>款</w:t>
      </w:r>
      <w:r>
        <w:rPr>
          <w:rFonts w:hint="eastAsia" w:ascii="宋体" w:hAnsi="宋体"/>
          <w:color w:val="auto"/>
          <w:szCs w:val="21"/>
          <w:highlight w:val="none"/>
        </w:rPr>
        <w:t>结算手续。</w:t>
      </w:r>
    </w:p>
    <w:p w14:paraId="47F213C3">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13.2 合同价款构成中应当由财政支付的部分，甲方应当在货物验收合格后的十五个工作日内向国库管理部门申请支付，经国库管理部门审核后直接支付给乙方。</w:t>
      </w:r>
    </w:p>
    <w:p w14:paraId="21A787E9">
      <w:pPr>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13.3 合同价款构成中应当由甲方自行支付的部分，甲方应当在货物验收合格后十五个工作日内支付。</w:t>
      </w:r>
    </w:p>
    <w:p w14:paraId="52255AAD">
      <w:pPr>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13.4支付合同价</w:t>
      </w:r>
      <w:r>
        <w:rPr>
          <w:rFonts w:hint="eastAsia" w:ascii="宋体" w:hAnsi="宋体"/>
          <w:bCs/>
          <w:color w:val="auto"/>
          <w:szCs w:val="21"/>
          <w:highlight w:val="none"/>
        </w:rPr>
        <w:t>款</w:t>
      </w:r>
      <w:r>
        <w:rPr>
          <w:rFonts w:hint="eastAsia" w:ascii="宋体" w:hAnsi="宋体"/>
          <w:color w:val="auto"/>
          <w:szCs w:val="21"/>
          <w:highlight w:val="none"/>
        </w:rPr>
        <w:t>时，一律不向乙方以外的任何第三方办理付款手续。开户行和账号以签订的政府采购合同为准，如果乙方要求变更，则乙方必须提供加盖了财务专用章、法定代表人签字的证明文件，报经甲方审查同意。</w:t>
      </w:r>
    </w:p>
    <w:p w14:paraId="5DBBDD1F">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13.5 合同价款支付方式</w:t>
      </w:r>
      <w:r>
        <w:rPr>
          <w:rFonts w:hint="eastAsia" w:ascii="宋体" w:hAnsi="宋体"/>
          <w:bCs/>
          <w:color w:val="auto"/>
          <w:szCs w:val="21"/>
          <w:highlight w:val="none"/>
        </w:rPr>
        <w:t>和条件在</w:t>
      </w:r>
      <w:r>
        <w:rPr>
          <w:rFonts w:hint="eastAsia" w:ascii="宋体" w:hAnsi="宋体"/>
          <w:b/>
          <w:color w:val="auto"/>
          <w:szCs w:val="21"/>
          <w:highlight w:val="none"/>
        </w:rPr>
        <w:t>【政府采购合同专用条款】</w:t>
      </w:r>
      <w:r>
        <w:rPr>
          <w:rFonts w:hint="eastAsia" w:ascii="宋体" w:hAnsi="宋体"/>
          <w:color w:val="auto"/>
          <w:szCs w:val="21"/>
          <w:highlight w:val="none"/>
        </w:rPr>
        <w:t>中另有规定。</w:t>
      </w:r>
    </w:p>
    <w:p w14:paraId="421499F9">
      <w:pPr>
        <w:autoSpaceDE w:val="0"/>
        <w:autoSpaceDN w:val="0"/>
        <w:adjustRightInd w:val="0"/>
        <w:snapToGrid w:val="0"/>
        <w:spacing w:before="50" w:line="360" w:lineRule="auto"/>
        <w:jc w:val="left"/>
        <w:rPr>
          <w:rFonts w:ascii="宋体" w:hAnsi="宋体"/>
          <w:b/>
          <w:color w:val="auto"/>
          <w:sz w:val="24"/>
          <w:highlight w:val="none"/>
        </w:rPr>
      </w:pPr>
      <w:r>
        <w:rPr>
          <w:rFonts w:hint="eastAsia" w:ascii="宋体" w:hAnsi="宋体"/>
          <w:b/>
          <w:bCs/>
          <w:color w:val="auto"/>
          <w:sz w:val="24"/>
          <w:highlight w:val="none"/>
        </w:rPr>
        <w:t>14.</w:t>
      </w:r>
      <w:r>
        <w:rPr>
          <w:rFonts w:hint="eastAsia"/>
          <w:b/>
          <w:color w:val="auto"/>
          <w:sz w:val="24"/>
          <w:highlight w:val="none"/>
        </w:rPr>
        <w:t>乙方应提供的</w:t>
      </w:r>
      <w:r>
        <w:rPr>
          <w:rFonts w:hint="eastAsia" w:ascii="宋体" w:hAnsi="宋体"/>
          <w:b/>
          <w:color w:val="auto"/>
          <w:sz w:val="24"/>
          <w:highlight w:val="none"/>
        </w:rPr>
        <w:t>服务</w:t>
      </w:r>
    </w:p>
    <w:p w14:paraId="6E006170">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14.1 乙方应向甲方提交所提供货物的技术文件，包括相应的中文技术文件，如：产品目录、图纸、操作手册、使用说明、维护手册或服务指南。这些文件应包装好随同货物一起发运。</w:t>
      </w:r>
    </w:p>
    <w:p w14:paraId="4D4FCD95">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14.2 乙方还应提供下列服务：</w:t>
      </w:r>
    </w:p>
    <w:p w14:paraId="75C0837D">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（1）货物的现场移动、安装、调试、启动监督及技术支持；</w:t>
      </w:r>
    </w:p>
    <w:p w14:paraId="3E101C16">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（2）提供货物组装和维修所需的专用工具和辅助材料；</w:t>
      </w:r>
    </w:p>
    <w:p w14:paraId="0E0BAD7D">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（3）在合同各方商定的一定期限内对所有的货物实施运行监督、维修，但前提条件是该服务并不能免除乙方在质量保证期内所承担的义务；</w:t>
      </w:r>
    </w:p>
    <w:p w14:paraId="7226E523">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（4）在制造商或项目现场就货物的安装、启动、运营、维护对甲方操作人员进行培训；</w:t>
      </w:r>
    </w:p>
    <w:p w14:paraId="0C491EFF">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w:t>
      </w:r>
      <w:r>
        <w:rPr>
          <w:rFonts w:hint="eastAsia" w:ascii="宋体" w:hAnsi="宋体"/>
          <w:b/>
          <w:color w:val="auto"/>
          <w:szCs w:val="21"/>
          <w:highlight w:val="none"/>
        </w:rPr>
        <w:t>【政府采购合同专用条款】</w:t>
      </w:r>
      <w:r>
        <w:rPr>
          <w:rFonts w:hint="eastAsia" w:ascii="宋体" w:hAnsi="宋体"/>
          <w:color w:val="auto"/>
          <w:szCs w:val="21"/>
          <w:highlight w:val="none"/>
        </w:rPr>
        <w:t>规定由乙方提供的其他服务。</w:t>
      </w:r>
    </w:p>
    <w:p w14:paraId="5B570B39">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14.3 乙方提供的服务的费用应包含在合同价款中，甲方不再另行支付。</w:t>
      </w:r>
    </w:p>
    <w:p w14:paraId="7E13664B">
      <w:pPr>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15.违约责任</w:t>
      </w:r>
    </w:p>
    <w:p w14:paraId="0F58F6DD">
      <w:pPr>
        <w:adjustRightInd w:val="0"/>
        <w:snapToGrid w:val="0"/>
        <w:spacing w:before="50"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15.1质量瑕疵的补救措施和索赔</w:t>
      </w:r>
    </w:p>
    <w:p w14:paraId="6093D53C">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如果乙方提供的产品不符合质量标准或存在产品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14:paraId="53F2743C">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①乙方同意退货并将货款退还给甲方，由此发生的一切费用和损失由乙方承担。</w:t>
      </w:r>
    </w:p>
    <w:p w14:paraId="75BD21DD">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②根据货物的质量状况以及甲方所遭受的损失，经过甲乙双方商定降低货物的价格。</w:t>
      </w:r>
    </w:p>
    <w:p w14:paraId="1CA91991">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2C60DEB7">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保证金，如不足以弥补甲方损失的，甲方有权进一步要求乙方赔偿。</w:t>
      </w:r>
    </w:p>
    <w:p w14:paraId="64F45524">
      <w:pPr>
        <w:autoSpaceDE w:val="0"/>
        <w:autoSpaceDN w:val="0"/>
        <w:adjustRightInd w:val="0"/>
        <w:snapToGrid w:val="0"/>
        <w:spacing w:before="50"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15.2 迟延交货的违约责任</w:t>
      </w:r>
    </w:p>
    <w:p w14:paraId="557835B5">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62DDEDB5">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（2）除本合同</w:t>
      </w:r>
      <w:r>
        <w:rPr>
          <w:rFonts w:hint="eastAsia" w:ascii="宋体" w:hAnsi="宋体"/>
          <w:bCs/>
          <w:color w:val="auto"/>
          <w:szCs w:val="21"/>
          <w:highlight w:val="none"/>
        </w:rPr>
        <w:t>第20条</w:t>
      </w:r>
      <w:r>
        <w:rPr>
          <w:rFonts w:hint="eastAsia" w:ascii="宋体" w:hAnsi="宋体"/>
          <w:color w:val="auto"/>
          <w:szCs w:val="21"/>
          <w:highlight w:val="none"/>
        </w:rPr>
        <w:t>规定情况外，如果乙方没有按照合同规定的时间交货和提供服务，甲方有权从货款中扣除误期赔偿费而不影响合同项下的其他补救方法，赔偿费按每周（一周按七天计算，不足七日按一周计算）赔偿迟交货物的交货价或延期服务的服务费用的百分之零点五（0.5%）计收，直至交货或提供服务为止。但误期赔偿费的最高限额不超过合同价的百分之五（5%）。一旦达到误期赔偿的最高限额，甲方可以终止合同。</w:t>
      </w:r>
    </w:p>
    <w:p w14:paraId="405D1D08">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如果乙方迟延交货，甲方有权终止全部或部分合同，并依其认为适当的条件和方法购买与未交货物类似的货物，乙方应对购买类似货物所超出的那部分费用负责。但是，乙方应继续执行合同中未终止的部分。</w:t>
      </w:r>
    </w:p>
    <w:p w14:paraId="1D51B6C5">
      <w:pPr>
        <w:autoSpaceDE w:val="0"/>
        <w:autoSpaceDN w:val="0"/>
        <w:adjustRightInd w:val="0"/>
        <w:snapToGrid w:val="0"/>
        <w:spacing w:before="50" w:line="360" w:lineRule="auto"/>
        <w:jc w:val="left"/>
        <w:rPr>
          <w:rFonts w:ascii="宋体" w:hAnsi="宋体"/>
          <w:b/>
          <w:color w:val="auto"/>
          <w:sz w:val="24"/>
          <w:highlight w:val="none"/>
        </w:rPr>
      </w:pPr>
      <w:r>
        <w:rPr>
          <w:rFonts w:hint="eastAsia" w:ascii="宋体" w:hAnsi="宋体"/>
          <w:b/>
          <w:color w:val="auto"/>
          <w:sz w:val="24"/>
          <w:highlight w:val="none"/>
        </w:rPr>
        <w:t>16.合同的变更</w:t>
      </w:r>
    </w:p>
    <w:p w14:paraId="1C58E6CD">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16.1 在合同履行过程中，甲、乙双方可就合同履行的时间、地点和方式等协商进行变更。协商一致后，双方应签订书面的补充协议。</w:t>
      </w:r>
    </w:p>
    <w:p w14:paraId="2663AA63">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16.2 在不改变合同其他条款的前提下，甲方有权在合同价款百分之十的范围内追加与合同标的相同的货物或服务，并就此与乙方签订补充合同，乙方不得拒绝。</w:t>
      </w:r>
    </w:p>
    <w:p w14:paraId="54DD8AB6">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16.3 除双方签署书面协议，并成为合同不可分割的一部分外，本合同条件不得有任何变更。</w:t>
      </w:r>
    </w:p>
    <w:p w14:paraId="1CB3D3C3">
      <w:pPr>
        <w:autoSpaceDE w:val="0"/>
        <w:autoSpaceDN w:val="0"/>
        <w:adjustRightInd w:val="0"/>
        <w:snapToGrid w:val="0"/>
        <w:spacing w:before="50" w:line="360" w:lineRule="auto"/>
        <w:jc w:val="left"/>
        <w:rPr>
          <w:rFonts w:ascii="宋体" w:hAnsi="宋体"/>
          <w:b/>
          <w:color w:val="auto"/>
          <w:sz w:val="24"/>
          <w:highlight w:val="none"/>
        </w:rPr>
      </w:pPr>
      <w:r>
        <w:rPr>
          <w:rFonts w:hint="eastAsia" w:ascii="宋体" w:hAnsi="宋体"/>
          <w:b/>
          <w:color w:val="auto"/>
          <w:sz w:val="24"/>
          <w:highlight w:val="none"/>
        </w:rPr>
        <w:t>17.合同中止与终止</w:t>
      </w:r>
    </w:p>
    <w:p w14:paraId="41296D18">
      <w:pPr>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17.1合同的中止</w:t>
      </w:r>
    </w:p>
    <w:p w14:paraId="61BBCE23">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（1）合同在履行过程中，因采购计划调整，甲方可以要求中止履行，待计划确定后继续履行；</w:t>
      </w:r>
    </w:p>
    <w:p w14:paraId="7DEB99A3">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（2）合同履行过程中因供应商就采购过程或结果提起投诉的，甲方认为有必要或财政部门责令中止的，应当中止合同的履行。</w:t>
      </w:r>
    </w:p>
    <w:p w14:paraId="477A3712">
      <w:pPr>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17.2合同的终止</w:t>
      </w:r>
    </w:p>
    <w:p w14:paraId="4C09E4EC">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（1）合同因有效期限届满而终止；</w:t>
      </w:r>
    </w:p>
    <w:p w14:paraId="359C5AE3">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（2）乙方未能依照本合同约定条件履行合同，已构成根本性违约的，甲方有权终止本合同，并追究乙方的违约责任。</w:t>
      </w:r>
    </w:p>
    <w:p w14:paraId="7C05EEB3">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（3）如果乙方丧失履约能力或被宣告破产，甲方可在任何时候以书面形式通知乙方终止合同而不给乙方补偿。</w:t>
      </w:r>
    </w:p>
    <w:p w14:paraId="0E4DE166">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（4）如果乙方在履行合同过程中有不正当竞争行为，甲方有权解除合同，并按《中华人民共和国反不正当竞争法》规定由有关部门追究其法律责任。</w:t>
      </w:r>
    </w:p>
    <w:p w14:paraId="1DDC91D3">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（5）如果合同的履行将损害国家利益或社会公共利益，甲方有权终止合同的履行，给乙方造成损失的予以相应补偿。</w:t>
      </w:r>
    </w:p>
    <w:p w14:paraId="5E471B99">
      <w:pPr>
        <w:autoSpaceDE w:val="0"/>
        <w:autoSpaceDN w:val="0"/>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18.合同转让和分包</w:t>
      </w:r>
    </w:p>
    <w:p w14:paraId="37F2F4B6">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18.1 乙方不得以任何形式将合同转包。</w:t>
      </w:r>
    </w:p>
    <w:p w14:paraId="57BEABF8">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18.2 乙方未在投标文件中说明，不得将</w:t>
      </w:r>
      <w:r>
        <w:rPr>
          <w:rFonts w:hint="eastAsia" w:ascii="宋体" w:hAnsi="宋体"/>
          <w:bCs/>
          <w:color w:val="auto"/>
          <w:szCs w:val="21"/>
          <w:highlight w:val="none"/>
        </w:rPr>
        <w:t>合同</w:t>
      </w:r>
      <w:r>
        <w:rPr>
          <w:rFonts w:hint="eastAsia" w:ascii="宋体" w:hAnsi="宋体"/>
          <w:color w:val="auto"/>
          <w:szCs w:val="21"/>
          <w:highlight w:val="none"/>
        </w:rPr>
        <w:t>的非主体、非关键性工作分包给他人。</w:t>
      </w:r>
    </w:p>
    <w:p w14:paraId="6D7BB5A2">
      <w:pPr>
        <w:autoSpaceDE w:val="0"/>
        <w:autoSpaceDN w:val="0"/>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19.不可抗力</w:t>
      </w:r>
    </w:p>
    <w:p w14:paraId="23A97E50">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19.1 不可抗力是指合同双方不可预见、不可避免、不可克服的自然灾害和社会事件。</w:t>
      </w:r>
    </w:p>
    <w:p w14:paraId="1F12994F">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19.2 任何一方对由于不可抗力造成的部分或全部不能履行合同不承担违约责任。但迟延履行后发生不可抗力的，不能免除责任。</w:t>
      </w:r>
    </w:p>
    <w:p w14:paraId="77ED6CC0">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19.3 遇有不可抗力的一方，应在三日内将事件的情况以书面形式通知另一方，并在事件发生后十日内，向另一方提交合同不能履行或部分不能履行或需要延期履行理由的报告。</w:t>
      </w:r>
    </w:p>
    <w:p w14:paraId="35854F1C">
      <w:pPr>
        <w:autoSpaceDE w:val="0"/>
        <w:autoSpaceDN w:val="0"/>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20.解决争议的方法</w:t>
      </w:r>
    </w:p>
    <w:p w14:paraId="3CE4A621">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20.1 合同各方应通过友好协商，解决在执行合同过程中所发生的或与合同有关的一切争端。如从协商开始后十日内仍不能解决，可以向财政部门提请调解。</w:t>
      </w:r>
    </w:p>
    <w:p w14:paraId="116E4423">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20.2 调解不成可以向甲方所在地人民法院提起诉讼。</w:t>
      </w:r>
    </w:p>
    <w:p w14:paraId="54185AA7">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20.3 如仲裁或诉讼事项不影响合同其它部分的履行，则在仲裁或诉讼期间，除正在进行仲裁或诉讼的部分外，合同的其它部分应继续执行。</w:t>
      </w:r>
    </w:p>
    <w:p w14:paraId="7546E0B4">
      <w:pPr>
        <w:autoSpaceDE w:val="0"/>
        <w:autoSpaceDN w:val="0"/>
        <w:adjustRightInd w:val="0"/>
        <w:snapToGrid w:val="0"/>
        <w:spacing w:before="50" w:line="360" w:lineRule="auto"/>
        <w:jc w:val="left"/>
        <w:rPr>
          <w:rFonts w:ascii="宋体" w:hAnsi="宋体"/>
          <w:b/>
          <w:color w:val="auto"/>
          <w:sz w:val="24"/>
          <w:highlight w:val="none"/>
        </w:rPr>
      </w:pPr>
      <w:r>
        <w:rPr>
          <w:rFonts w:hint="eastAsia" w:ascii="宋体" w:hAnsi="宋体"/>
          <w:b/>
          <w:color w:val="auto"/>
          <w:sz w:val="24"/>
          <w:highlight w:val="none"/>
        </w:rPr>
        <w:t>21.法律适用</w:t>
      </w:r>
    </w:p>
    <w:p w14:paraId="3EF541D8">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21.1 本合同适用中华人民共和国现行法律、行政法规和规章，如合同条款与法律、行政法规和规章不一致的，按照法律、行政法规和规章修改本合同。</w:t>
      </w:r>
    </w:p>
    <w:p w14:paraId="76286C11">
      <w:pPr>
        <w:autoSpaceDE w:val="0"/>
        <w:autoSpaceDN w:val="0"/>
        <w:adjustRightInd w:val="0"/>
        <w:snapToGrid w:val="0"/>
        <w:spacing w:before="50" w:line="360" w:lineRule="auto"/>
        <w:jc w:val="left"/>
        <w:rPr>
          <w:rFonts w:ascii="宋体" w:hAnsi="宋体"/>
          <w:b/>
          <w:color w:val="auto"/>
          <w:sz w:val="24"/>
          <w:highlight w:val="none"/>
        </w:rPr>
      </w:pPr>
      <w:r>
        <w:rPr>
          <w:rFonts w:hint="eastAsia" w:ascii="宋体" w:hAnsi="宋体"/>
          <w:b/>
          <w:bCs/>
          <w:color w:val="auto"/>
          <w:sz w:val="24"/>
          <w:highlight w:val="none"/>
        </w:rPr>
        <w:t>22.</w:t>
      </w:r>
      <w:r>
        <w:rPr>
          <w:rFonts w:hint="eastAsia" w:ascii="宋体" w:hAnsi="宋体"/>
          <w:b/>
          <w:color w:val="auto"/>
          <w:sz w:val="24"/>
          <w:highlight w:val="none"/>
        </w:rPr>
        <w:t>通知</w:t>
      </w:r>
    </w:p>
    <w:p w14:paraId="7379608E">
      <w:pPr>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22.1本合同一方给另一方的通知均应采用书面形式，传真或快递送到本合同中规定的对方的地址和办理签收手续，</w:t>
      </w:r>
    </w:p>
    <w:p w14:paraId="61F20677">
      <w:pPr>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22.2通知以送到之日或通知书中规定的生效之日起生效，两者中以较迟之日为准。</w:t>
      </w:r>
    </w:p>
    <w:p w14:paraId="0583F450">
      <w:pPr>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23. 合同未尽事项</w:t>
      </w:r>
    </w:p>
    <w:p w14:paraId="463ECF15">
      <w:pPr>
        <w:adjustRightInd w:val="0"/>
        <w:snapToGrid w:val="0"/>
        <w:spacing w:before="50"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23.1合同未尽事项见</w:t>
      </w:r>
      <w:r>
        <w:rPr>
          <w:rFonts w:hint="eastAsia" w:ascii="宋体" w:hAnsi="宋体"/>
          <w:b/>
          <w:color w:val="auto"/>
          <w:szCs w:val="21"/>
          <w:highlight w:val="none"/>
        </w:rPr>
        <w:t>【政府采购合同专用条款】。</w:t>
      </w:r>
    </w:p>
    <w:p w14:paraId="1CB76BF7">
      <w:pPr>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24.合同生效</w:t>
      </w:r>
    </w:p>
    <w:p w14:paraId="73132968">
      <w:pPr>
        <w:autoSpaceDE w:val="0"/>
        <w:autoSpaceDN w:val="0"/>
        <w:adjustRightInd w:val="0"/>
        <w:snapToGrid w:val="0"/>
        <w:spacing w:before="50" w:line="360" w:lineRule="auto"/>
        <w:ind w:firstLine="420" w:firstLineChars="200"/>
        <w:jc w:val="left"/>
        <w:rPr>
          <w:rFonts w:ascii="黑体" w:hAnsi="黑体" w:eastAsia="黑体"/>
          <w:b/>
          <w:bCs/>
          <w:color w:val="auto"/>
          <w:sz w:val="10"/>
          <w:szCs w:val="10"/>
          <w:highlight w:val="none"/>
        </w:rPr>
      </w:pPr>
      <w:r>
        <w:rPr>
          <w:rFonts w:hint="eastAsia" w:ascii="宋体" w:hAnsi="宋体"/>
          <w:color w:val="auto"/>
          <w:szCs w:val="21"/>
          <w:highlight w:val="none"/>
        </w:rPr>
        <w:t>24.1 本合同在合同双方签字盖章后生效。</w:t>
      </w:r>
      <w:r>
        <w:rPr>
          <w:rFonts w:ascii="黑体" w:hAnsi="黑体" w:eastAsia="黑体"/>
          <w:b/>
          <w:bCs/>
          <w:color w:val="auto"/>
          <w:sz w:val="32"/>
          <w:highlight w:val="none"/>
        </w:rPr>
        <w:br w:type="page"/>
      </w:r>
    </w:p>
    <w:p w14:paraId="2AFF15F8">
      <w:pPr>
        <w:pStyle w:val="10"/>
        <w:adjustRightInd w:val="0"/>
        <w:snapToGrid w:val="0"/>
        <w:jc w:val="center"/>
        <w:rPr>
          <w:rFonts w:ascii="黑体" w:hAnsi="华文中宋" w:eastAsia="黑体"/>
          <w:color w:val="auto"/>
          <w:sz w:val="28"/>
          <w:szCs w:val="28"/>
          <w:highlight w:val="none"/>
        </w:rPr>
      </w:pPr>
      <w:bookmarkStart w:id="77" w:name="_Toc14411"/>
      <w:r>
        <w:rPr>
          <w:rFonts w:hint="eastAsia" w:ascii="黑体" w:hAnsi="华文中宋" w:eastAsia="黑体"/>
          <w:color w:val="auto"/>
          <w:sz w:val="28"/>
          <w:szCs w:val="28"/>
          <w:highlight w:val="none"/>
        </w:rPr>
        <w:t>第三节 政府采购合同专用条款</w:t>
      </w:r>
      <w:bookmarkEnd w:id="77"/>
    </w:p>
    <w:p w14:paraId="13EA1C78">
      <w:pPr>
        <w:adjustRightInd w:val="0"/>
        <w:snapToGrid w:val="0"/>
        <w:spacing w:line="360" w:lineRule="auto"/>
        <w:jc w:val="center"/>
        <w:rPr>
          <w:rFonts w:ascii="宋体" w:hAnsi="宋体"/>
          <w:color w:val="auto"/>
          <w:sz w:val="24"/>
          <w:highlight w:val="none"/>
        </w:rPr>
      </w:pPr>
    </w:p>
    <w:tbl>
      <w:tblPr>
        <w:tblStyle w:val="29"/>
        <w:tblW w:w="9008"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1843"/>
        <w:gridCol w:w="5464"/>
      </w:tblGrid>
      <w:tr w14:paraId="4F0F07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c>
          <w:tcPr>
            <w:tcW w:w="1701" w:type="dxa"/>
            <w:vAlign w:val="center"/>
          </w:tcPr>
          <w:p w14:paraId="237B12B9">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本章第二节</w:t>
            </w:r>
          </w:p>
          <w:p w14:paraId="1AB33E79">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第1.1款</w:t>
            </w:r>
          </w:p>
        </w:tc>
        <w:tc>
          <w:tcPr>
            <w:tcW w:w="1843" w:type="dxa"/>
            <w:vAlign w:val="center"/>
          </w:tcPr>
          <w:p w14:paraId="10CBC453">
            <w:pP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 xml:space="preserve">甲方名称、地址 </w:t>
            </w:r>
          </w:p>
        </w:tc>
        <w:tc>
          <w:tcPr>
            <w:tcW w:w="5464" w:type="dxa"/>
            <w:vAlign w:val="center"/>
          </w:tcPr>
          <w:p w14:paraId="29130988">
            <w:pPr>
              <w:textAlignment w:val="baseline"/>
              <w:rPr>
                <w:rStyle w:val="49"/>
                <w:color w:val="auto"/>
                <w:highlight w:val="none"/>
              </w:rPr>
            </w:pPr>
            <w:r>
              <w:rPr>
                <w:rStyle w:val="49"/>
                <w:color w:val="auto"/>
                <w:highlight w:val="none"/>
              </w:rPr>
              <w:t>甲方名称：</w:t>
            </w:r>
            <w:r>
              <w:rPr>
                <w:rStyle w:val="49"/>
                <w:rFonts w:hint="default"/>
                <w:color w:val="auto"/>
                <w:highlight w:val="none"/>
              </w:rPr>
              <w:t>株洲市疾病预防控制中心（株洲市卫生综合监督执法局）</w:t>
            </w:r>
            <w:r>
              <w:rPr>
                <w:rStyle w:val="49"/>
                <w:color w:val="auto"/>
                <w:highlight w:val="none"/>
              </w:rPr>
              <w:t>；</w:t>
            </w:r>
          </w:p>
          <w:p w14:paraId="697911AC">
            <w:pPr>
              <w:textAlignment w:val="baseline"/>
              <w:rPr>
                <w:rFonts w:ascii="宋体" w:hAnsi="宋体"/>
                <w:color w:val="auto"/>
                <w:szCs w:val="21"/>
                <w:highlight w:val="none"/>
              </w:rPr>
            </w:pPr>
            <w:r>
              <w:rPr>
                <w:rStyle w:val="49"/>
                <w:color w:val="auto"/>
                <w:highlight w:val="none"/>
              </w:rPr>
              <w:t>地    址：</w:t>
            </w:r>
            <w:r>
              <w:rPr>
                <w:rFonts w:hint="eastAsia" w:ascii="宋体" w:hAnsi="宋体"/>
                <w:color w:val="auto"/>
                <w:szCs w:val="21"/>
                <w:highlight w:val="none"/>
                <w:lang w:eastAsia="zh-CN"/>
              </w:rPr>
              <w:t>株洲市人民中路537号</w:t>
            </w:r>
            <w:r>
              <w:rPr>
                <w:rStyle w:val="49"/>
                <w:color w:val="auto"/>
                <w:highlight w:val="none"/>
              </w:rPr>
              <w:t>。</w:t>
            </w:r>
          </w:p>
        </w:tc>
      </w:tr>
      <w:tr w14:paraId="3D511A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17669581">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本章第二节</w:t>
            </w:r>
          </w:p>
          <w:p w14:paraId="04AC4ABF">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第1.2（6）项</w:t>
            </w:r>
          </w:p>
        </w:tc>
        <w:tc>
          <w:tcPr>
            <w:tcW w:w="1843" w:type="dxa"/>
            <w:vAlign w:val="center"/>
          </w:tcPr>
          <w:p w14:paraId="7AE5C1D9">
            <w:pP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项目现场</w:t>
            </w:r>
          </w:p>
        </w:tc>
        <w:tc>
          <w:tcPr>
            <w:tcW w:w="5464" w:type="dxa"/>
            <w:vAlign w:val="center"/>
          </w:tcPr>
          <w:p w14:paraId="14087E0D">
            <w:pPr>
              <w:snapToGrid w:val="0"/>
              <w:jc w:val="left"/>
              <w:textAlignment w:val="baseline"/>
              <w:rPr>
                <w:rFonts w:ascii="宋体" w:hAnsi="宋体"/>
                <w:color w:val="auto"/>
                <w:szCs w:val="21"/>
                <w:highlight w:val="none"/>
              </w:rPr>
            </w:pPr>
            <w:r>
              <w:rPr>
                <w:rStyle w:val="49"/>
                <w:rFonts w:ascii="宋体" w:hAnsi="宋体"/>
                <w:color w:val="auto"/>
                <w:szCs w:val="21"/>
                <w:highlight w:val="none"/>
              </w:rPr>
              <w:t>甲方指定交付地点。</w:t>
            </w:r>
          </w:p>
        </w:tc>
      </w:tr>
      <w:tr w14:paraId="5EC65F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39AAC492">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本章第二节</w:t>
            </w:r>
          </w:p>
          <w:p w14:paraId="6F00BE25">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第5.1款</w:t>
            </w:r>
          </w:p>
        </w:tc>
        <w:tc>
          <w:tcPr>
            <w:tcW w:w="1843" w:type="dxa"/>
            <w:vAlign w:val="center"/>
          </w:tcPr>
          <w:p w14:paraId="4799095A">
            <w:pP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履行合同的时间、地点及方式</w:t>
            </w:r>
          </w:p>
        </w:tc>
        <w:tc>
          <w:tcPr>
            <w:tcW w:w="5464" w:type="dxa"/>
            <w:vAlign w:val="center"/>
          </w:tcPr>
          <w:p w14:paraId="44C0237D">
            <w:pPr>
              <w:snapToGrid w:val="0"/>
              <w:jc w:val="left"/>
              <w:textAlignment w:val="baseline"/>
              <w:rPr>
                <w:rStyle w:val="49"/>
                <w:rFonts w:hint="default" w:ascii="宋体" w:hAnsi="宋体"/>
                <w:color w:val="auto"/>
                <w:szCs w:val="21"/>
                <w:highlight w:val="none"/>
                <w:lang w:val="en-US"/>
              </w:rPr>
            </w:pPr>
            <w:r>
              <w:rPr>
                <w:rStyle w:val="49"/>
                <w:rFonts w:ascii="宋体" w:hAnsi="宋体"/>
                <w:color w:val="auto"/>
                <w:szCs w:val="21"/>
                <w:highlight w:val="none"/>
              </w:rPr>
              <w:t>交货时间：</w:t>
            </w:r>
            <w:r>
              <w:rPr>
                <w:rStyle w:val="49"/>
                <w:rFonts w:hint="eastAsia" w:ascii="宋体" w:hAnsi="宋体"/>
                <w:color w:val="auto"/>
                <w:szCs w:val="21"/>
                <w:highlight w:val="none"/>
                <w:lang w:val="en-US"/>
              </w:rPr>
              <w:t>包1：</w:t>
            </w:r>
            <w:r>
              <w:rPr>
                <w:rStyle w:val="49"/>
                <w:rFonts w:ascii="宋体" w:hAnsi="宋体"/>
                <w:color w:val="auto"/>
                <w:szCs w:val="21"/>
                <w:highlight w:val="none"/>
              </w:rPr>
              <w:t>正式合同签订之日起</w:t>
            </w:r>
            <w:r>
              <w:rPr>
                <w:rStyle w:val="49"/>
                <w:rFonts w:hint="eastAsia" w:ascii="宋体" w:hAnsi="宋体"/>
                <w:color w:val="auto"/>
                <w:szCs w:val="21"/>
                <w:highlight w:val="none"/>
                <w:lang w:val="en-US"/>
              </w:rPr>
              <w:t>30天内</w:t>
            </w:r>
            <w:r>
              <w:rPr>
                <w:rStyle w:val="49"/>
                <w:rFonts w:ascii="宋体" w:hAnsi="宋体"/>
                <w:color w:val="auto"/>
                <w:szCs w:val="21"/>
                <w:highlight w:val="none"/>
              </w:rPr>
              <w:t>；</w:t>
            </w:r>
            <w:r>
              <w:rPr>
                <w:rStyle w:val="49"/>
                <w:rFonts w:hint="eastAsia" w:ascii="宋体" w:hAnsi="宋体"/>
                <w:color w:val="auto"/>
                <w:szCs w:val="21"/>
                <w:highlight w:val="none"/>
                <w:lang w:val="en-US"/>
              </w:rPr>
              <w:t>包2:</w:t>
            </w:r>
            <w:r>
              <w:rPr>
                <w:rStyle w:val="49"/>
                <w:rFonts w:ascii="宋体" w:hAnsi="宋体"/>
                <w:color w:val="auto"/>
                <w:szCs w:val="21"/>
                <w:highlight w:val="none"/>
              </w:rPr>
              <w:t>正式合同签订之日起</w:t>
            </w:r>
            <w:r>
              <w:rPr>
                <w:rStyle w:val="49"/>
                <w:rFonts w:hint="eastAsia" w:ascii="宋体" w:hAnsi="宋体"/>
                <w:color w:val="auto"/>
                <w:szCs w:val="21"/>
                <w:highlight w:val="none"/>
                <w:lang w:val="en-US"/>
              </w:rPr>
              <w:t>30天内</w:t>
            </w:r>
            <w:r>
              <w:rPr>
                <w:rStyle w:val="49"/>
                <w:rFonts w:hint="eastAsia" w:ascii="宋体" w:hAnsi="宋体"/>
                <w:color w:val="auto"/>
                <w:szCs w:val="21"/>
                <w:highlight w:val="none"/>
              </w:rPr>
              <w:t>。</w:t>
            </w:r>
          </w:p>
          <w:p w14:paraId="1197C77E">
            <w:pPr>
              <w:snapToGrid w:val="0"/>
              <w:jc w:val="left"/>
              <w:textAlignment w:val="baseline"/>
              <w:rPr>
                <w:rStyle w:val="49"/>
                <w:rFonts w:ascii="宋体" w:hAnsi="宋体"/>
                <w:color w:val="auto"/>
                <w:szCs w:val="21"/>
                <w:highlight w:val="none"/>
              </w:rPr>
            </w:pPr>
            <w:r>
              <w:rPr>
                <w:rStyle w:val="49"/>
                <w:rFonts w:ascii="宋体" w:hAnsi="宋体"/>
                <w:color w:val="auto"/>
                <w:szCs w:val="21"/>
                <w:highlight w:val="none"/>
              </w:rPr>
              <w:t>交货地点：</w:t>
            </w:r>
            <w:r>
              <w:rPr>
                <w:rStyle w:val="49"/>
                <w:rFonts w:ascii="宋体" w:hAnsi="宋体"/>
                <w:color w:val="auto"/>
                <w:szCs w:val="21"/>
                <w:highlight w:val="none"/>
                <w:u w:val="single" w:color="000000"/>
              </w:rPr>
              <w:t>采购人指定的交付地点；</w:t>
            </w:r>
          </w:p>
          <w:p w14:paraId="44F956B3">
            <w:pPr>
              <w:snapToGrid w:val="0"/>
              <w:jc w:val="left"/>
              <w:textAlignment w:val="baseline"/>
              <w:rPr>
                <w:rFonts w:ascii="宋体" w:hAnsi="宋体"/>
                <w:color w:val="auto"/>
                <w:szCs w:val="21"/>
                <w:highlight w:val="none"/>
              </w:rPr>
            </w:pPr>
            <w:r>
              <w:rPr>
                <w:rStyle w:val="49"/>
                <w:rFonts w:ascii="宋体" w:hAnsi="宋体"/>
                <w:color w:val="auto"/>
                <w:szCs w:val="21"/>
                <w:highlight w:val="none"/>
              </w:rPr>
              <w:t>交货方式：</w:t>
            </w:r>
            <w:r>
              <w:rPr>
                <w:rStyle w:val="49"/>
                <w:rFonts w:ascii="宋体" w:hAnsi="宋体"/>
                <w:color w:val="auto"/>
                <w:szCs w:val="21"/>
                <w:highlight w:val="none"/>
                <w:u w:val="single" w:color="000000"/>
              </w:rPr>
              <w:t>现场交付。</w:t>
            </w:r>
            <w:r>
              <w:rPr>
                <w:rStyle w:val="49"/>
                <w:rFonts w:ascii="宋体" w:hAnsi="宋体"/>
                <w:color w:val="auto"/>
                <w:szCs w:val="21"/>
                <w:highlight w:val="none"/>
              </w:rPr>
              <w:t xml:space="preserve"> </w:t>
            </w:r>
          </w:p>
        </w:tc>
      </w:tr>
      <w:tr w14:paraId="777788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63AF7B44">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本章第二节</w:t>
            </w:r>
          </w:p>
          <w:p w14:paraId="16F10D08">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第9.2（1）项</w:t>
            </w:r>
          </w:p>
        </w:tc>
        <w:tc>
          <w:tcPr>
            <w:tcW w:w="1843" w:type="dxa"/>
            <w:vAlign w:val="center"/>
          </w:tcPr>
          <w:p w14:paraId="3F59DEDC">
            <w:pPr>
              <w:keepNext w:val="0"/>
              <w:keepLines w:val="0"/>
              <w:pageBreakBefore w:val="0"/>
              <w:widowControl w:val="0"/>
              <w:kinsoku/>
              <w:wordWrap/>
              <w:overflowPunct/>
              <w:topLinePunct w:val="0"/>
              <w:autoSpaceDE/>
              <w:autoSpaceDN/>
              <w:bidi w:val="0"/>
              <w:adjustRightInd w:val="0"/>
              <w:snapToGrid w:val="0"/>
              <w:spacing w:line="240" w:lineRule="auto"/>
              <w:jc w:val="left"/>
              <w:rPr>
                <w:rFonts w:ascii="宋体" w:hAnsi="宋体"/>
                <w:color w:val="auto"/>
                <w:szCs w:val="21"/>
                <w:highlight w:val="none"/>
              </w:rPr>
            </w:pPr>
            <w:r>
              <w:rPr>
                <w:rFonts w:hint="eastAsia" w:ascii="宋体" w:hAnsi="宋体"/>
                <w:color w:val="auto"/>
                <w:szCs w:val="21"/>
                <w:highlight w:val="none"/>
              </w:rPr>
              <w:t>质量保证期</w:t>
            </w:r>
          </w:p>
        </w:tc>
        <w:tc>
          <w:tcPr>
            <w:tcW w:w="5464" w:type="dxa"/>
            <w:vAlign w:val="center"/>
          </w:tcPr>
          <w:p w14:paraId="2480638F">
            <w:pPr>
              <w:keepNext w:val="0"/>
              <w:keepLines w:val="0"/>
              <w:pageBreakBefore w:val="0"/>
              <w:widowControl w:val="0"/>
              <w:kinsoku/>
              <w:wordWrap/>
              <w:overflowPunct/>
              <w:topLinePunct w:val="0"/>
              <w:autoSpaceDE/>
              <w:autoSpaceDN/>
              <w:bidi w:val="0"/>
              <w:spacing w:line="240" w:lineRule="auto"/>
              <w:textAlignment w:val="baseline"/>
              <w:rPr>
                <w:rFonts w:ascii="宋体" w:hAnsi="宋体"/>
                <w:color w:val="auto"/>
                <w:szCs w:val="21"/>
                <w:highlight w:val="none"/>
              </w:rPr>
            </w:pPr>
            <w:r>
              <w:rPr>
                <w:rStyle w:val="49"/>
                <w:color w:val="auto"/>
                <w:highlight w:val="none"/>
              </w:rPr>
              <w:t>详见第五章采购需求。</w:t>
            </w:r>
          </w:p>
        </w:tc>
      </w:tr>
      <w:tr w14:paraId="4360C97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701" w:type="dxa"/>
            <w:vAlign w:val="center"/>
          </w:tcPr>
          <w:p w14:paraId="7C31005E">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本章第二节</w:t>
            </w:r>
          </w:p>
          <w:p w14:paraId="69D42A1C">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第9.2（3）项</w:t>
            </w:r>
          </w:p>
        </w:tc>
        <w:tc>
          <w:tcPr>
            <w:tcW w:w="1843" w:type="dxa"/>
            <w:vAlign w:val="center"/>
          </w:tcPr>
          <w:p w14:paraId="5DDCC51B">
            <w:pP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响应时间</w:t>
            </w:r>
          </w:p>
        </w:tc>
        <w:tc>
          <w:tcPr>
            <w:tcW w:w="5464" w:type="dxa"/>
            <w:vAlign w:val="center"/>
          </w:tcPr>
          <w:p w14:paraId="7AD7851F">
            <w:pPr>
              <w:textAlignment w:val="baseline"/>
              <w:rPr>
                <w:rFonts w:ascii="宋体" w:hAnsi="宋体"/>
                <w:color w:val="auto"/>
                <w:szCs w:val="21"/>
                <w:highlight w:val="none"/>
              </w:rPr>
            </w:pPr>
            <w:r>
              <w:rPr>
                <w:rStyle w:val="49"/>
                <w:color w:val="auto"/>
                <w:highlight w:val="none"/>
              </w:rPr>
              <w:t>详见第五章采购需求。</w:t>
            </w:r>
          </w:p>
        </w:tc>
      </w:tr>
      <w:tr w14:paraId="131285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708EC5BB">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本章第二节</w:t>
            </w:r>
          </w:p>
          <w:p w14:paraId="7EF835E0">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第13.5款</w:t>
            </w:r>
          </w:p>
        </w:tc>
        <w:tc>
          <w:tcPr>
            <w:tcW w:w="1843" w:type="dxa"/>
            <w:vAlign w:val="center"/>
          </w:tcPr>
          <w:p w14:paraId="7F074505">
            <w:pP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合同价款支付方式</w:t>
            </w:r>
            <w:r>
              <w:rPr>
                <w:rFonts w:hint="eastAsia" w:ascii="宋体" w:hAnsi="宋体"/>
                <w:bCs/>
                <w:color w:val="auto"/>
                <w:szCs w:val="21"/>
                <w:highlight w:val="none"/>
              </w:rPr>
              <w:t>和条件</w:t>
            </w:r>
          </w:p>
        </w:tc>
        <w:tc>
          <w:tcPr>
            <w:tcW w:w="5464" w:type="dxa"/>
            <w:vAlign w:val="center"/>
          </w:tcPr>
          <w:p w14:paraId="00F0AB13">
            <w:pPr>
              <w:textAlignment w:val="baseline"/>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1</w:t>
            </w:r>
            <w:r>
              <w:rPr>
                <w:rFonts w:hint="eastAsia" w:ascii="宋体" w:hAnsi="宋体" w:cs="Times New Roman"/>
                <w:color w:val="auto"/>
                <w:szCs w:val="21"/>
                <w:highlight w:val="none"/>
                <w:lang w:val="en-US" w:eastAsia="zh-CN"/>
              </w:rPr>
              <w:t>、</w:t>
            </w:r>
            <w:r>
              <w:rPr>
                <w:rFonts w:hint="eastAsia" w:ascii="宋体" w:hAnsi="宋体" w:eastAsia="宋体" w:cs="Times New Roman"/>
                <w:color w:val="auto"/>
                <w:szCs w:val="21"/>
                <w:highlight w:val="none"/>
                <w:lang w:val="en-US" w:eastAsia="zh-CN"/>
              </w:rPr>
              <w:t>货物送达采购人指定地点并经验收合格后支付合同价款97%；合同总价3%作为质量保证金，</w:t>
            </w:r>
            <w:r>
              <w:rPr>
                <w:rFonts w:hint="eastAsia" w:ascii="宋体" w:hAnsi="宋体" w:cs="Times New Roman"/>
                <w:color w:val="auto"/>
                <w:szCs w:val="21"/>
                <w:highlight w:val="none"/>
                <w:lang w:val="en-US" w:eastAsia="zh-CN"/>
              </w:rPr>
              <w:t>自质保起算日届满 12 个月且无质量问题的，采购人将无息全额支付质量保证金；质量保证金支付后，中标人仍需完整履行剩余 1 年质保服务义务（具体以合同签订为准）。</w:t>
            </w:r>
            <w:r>
              <w:rPr>
                <w:rFonts w:hint="eastAsia" w:ascii="宋体" w:hAnsi="宋体" w:eastAsia="宋体" w:cs="Times New Roman"/>
                <w:color w:val="auto"/>
                <w:szCs w:val="21"/>
                <w:highlight w:val="none"/>
                <w:lang w:val="en-US" w:eastAsia="zh-CN"/>
              </w:rPr>
              <w:t>（具体以合同签订为准）。</w:t>
            </w:r>
          </w:p>
          <w:p w14:paraId="34A8793D">
            <w:pPr>
              <w:textAlignment w:val="baseline"/>
              <w:rPr>
                <w:rFonts w:ascii="宋体" w:hAnsi="宋体"/>
                <w:color w:val="auto"/>
                <w:szCs w:val="21"/>
                <w:highlight w:val="none"/>
              </w:rPr>
            </w:pPr>
            <w:r>
              <w:rPr>
                <w:rFonts w:hint="eastAsia" w:ascii="宋体" w:hAnsi="宋体" w:eastAsia="宋体" w:cs="Times New Roman"/>
                <w:color w:val="auto"/>
                <w:szCs w:val="21"/>
                <w:highlight w:val="none"/>
                <w:lang w:val="en-US" w:eastAsia="zh-CN"/>
              </w:rPr>
              <w:t>2</w:t>
            </w:r>
            <w:r>
              <w:rPr>
                <w:rFonts w:hint="eastAsia" w:ascii="宋体" w:hAnsi="宋体" w:cs="Times New Roman"/>
                <w:color w:val="auto"/>
                <w:szCs w:val="21"/>
                <w:highlight w:val="none"/>
                <w:lang w:val="en-US" w:eastAsia="zh-CN"/>
              </w:rPr>
              <w:t>、</w:t>
            </w:r>
            <w:r>
              <w:rPr>
                <w:rFonts w:hint="eastAsia" w:ascii="宋体" w:hAnsi="宋体" w:eastAsia="宋体" w:cs="Times New Roman"/>
                <w:color w:val="auto"/>
                <w:szCs w:val="21"/>
                <w:highlight w:val="none"/>
                <w:lang w:val="en-US" w:eastAsia="zh-CN"/>
              </w:rPr>
              <w:t>付款凭正式的税务发票办理，发票由中标单位开具。</w:t>
            </w:r>
          </w:p>
        </w:tc>
      </w:tr>
      <w:tr w14:paraId="0E05915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70F2D235">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本章第二节</w:t>
            </w:r>
          </w:p>
          <w:p w14:paraId="3451C5E9">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第14.2（6）项</w:t>
            </w:r>
          </w:p>
        </w:tc>
        <w:tc>
          <w:tcPr>
            <w:tcW w:w="1843" w:type="dxa"/>
            <w:vAlign w:val="center"/>
          </w:tcPr>
          <w:p w14:paraId="4E32232B">
            <w:pP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乙方提供的其他服务</w:t>
            </w:r>
          </w:p>
        </w:tc>
        <w:tc>
          <w:tcPr>
            <w:tcW w:w="5464" w:type="dxa"/>
            <w:vAlign w:val="center"/>
          </w:tcPr>
          <w:p w14:paraId="4307DCCA">
            <w:pP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rPr>
              <w:t>，或第五章采购需求。</w:t>
            </w:r>
          </w:p>
        </w:tc>
      </w:tr>
      <w:tr w14:paraId="4C91DAD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6F671E88">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本章第二节</w:t>
            </w:r>
          </w:p>
          <w:p w14:paraId="13B7A7B7">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第23.1款</w:t>
            </w:r>
          </w:p>
        </w:tc>
        <w:tc>
          <w:tcPr>
            <w:tcW w:w="1843" w:type="dxa"/>
            <w:vAlign w:val="center"/>
          </w:tcPr>
          <w:p w14:paraId="7014BEE7">
            <w:pPr>
              <w:adjustRightInd w:val="0"/>
              <w:snapToGrid w:val="0"/>
              <w:spacing w:line="360" w:lineRule="auto"/>
              <w:jc w:val="left"/>
              <w:rPr>
                <w:rFonts w:ascii="宋体" w:hAnsi="宋体"/>
                <w:color w:val="auto"/>
                <w:szCs w:val="21"/>
                <w:highlight w:val="none"/>
              </w:rPr>
            </w:pPr>
            <w:r>
              <w:rPr>
                <w:rFonts w:hint="eastAsia" w:ascii="宋体" w:hAnsi="宋体"/>
                <w:bCs/>
                <w:color w:val="auto"/>
                <w:szCs w:val="21"/>
                <w:highlight w:val="none"/>
              </w:rPr>
              <w:t>合同未尽事项</w:t>
            </w:r>
          </w:p>
        </w:tc>
        <w:tc>
          <w:tcPr>
            <w:tcW w:w="5464" w:type="dxa"/>
            <w:vAlign w:val="center"/>
          </w:tcPr>
          <w:p w14:paraId="482CF1F2">
            <w:pPr>
              <w:adjustRightInd w:val="0"/>
              <w:snapToGrid w:val="0"/>
              <w:spacing w:line="360" w:lineRule="auto"/>
              <w:jc w:val="left"/>
              <w:rPr>
                <w:rFonts w:ascii="宋体" w:hAnsi="宋体"/>
                <w:color w:val="auto"/>
                <w:szCs w:val="21"/>
                <w:highlight w:val="none"/>
              </w:rPr>
            </w:pPr>
            <w:r>
              <w:rPr>
                <w:rStyle w:val="49"/>
                <w:rFonts w:ascii="宋体" w:hAnsi="宋体"/>
                <w:color w:val="auto"/>
                <w:szCs w:val="21"/>
                <w:highlight w:val="none"/>
              </w:rPr>
              <w:t>双方协商解决</w:t>
            </w:r>
            <w:r>
              <w:rPr>
                <w:rStyle w:val="49"/>
                <w:rFonts w:hint="eastAsia" w:ascii="宋体" w:hAnsi="宋体"/>
                <w:color w:val="auto"/>
                <w:szCs w:val="21"/>
                <w:highlight w:val="none"/>
              </w:rPr>
              <w:t>。</w:t>
            </w:r>
          </w:p>
        </w:tc>
      </w:tr>
    </w:tbl>
    <w:p w14:paraId="2016D8B4">
      <w:pPr>
        <w:pStyle w:val="19"/>
        <w:adjustRightInd w:val="0"/>
        <w:snapToGrid w:val="0"/>
        <w:spacing w:line="360" w:lineRule="auto"/>
        <w:jc w:val="center"/>
        <w:outlineLvl w:val="0"/>
        <w:rPr>
          <w:rFonts w:ascii="黑体" w:hAnsi="华文中宋" w:eastAsia="黑体"/>
          <w:b/>
          <w:color w:val="auto"/>
          <w:sz w:val="32"/>
          <w:szCs w:val="32"/>
          <w:highlight w:val="none"/>
        </w:rPr>
      </w:pPr>
      <w:r>
        <w:rPr>
          <w:rFonts w:hAnsi="宋体"/>
          <w:b/>
          <w:bCs/>
          <w:color w:val="auto"/>
          <w:sz w:val="52"/>
          <w:szCs w:val="30"/>
          <w:highlight w:val="none"/>
        </w:rPr>
        <w:br w:type="page"/>
      </w:r>
      <w:bookmarkStart w:id="78" w:name="_Toc16836"/>
      <w:r>
        <w:rPr>
          <w:rFonts w:hint="eastAsia" w:ascii="黑体" w:hAnsi="华文中宋" w:eastAsia="黑体"/>
          <w:b/>
          <w:color w:val="auto"/>
          <w:sz w:val="32"/>
          <w:szCs w:val="32"/>
          <w:highlight w:val="none"/>
        </w:rPr>
        <w:t>第七章 投标文件的组成</w:t>
      </w:r>
      <w:bookmarkEnd w:id="78"/>
    </w:p>
    <w:p w14:paraId="5661BA26">
      <w:pPr>
        <w:adjustRightInd w:val="0"/>
        <w:snapToGrid w:val="0"/>
        <w:spacing w:line="360" w:lineRule="auto"/>
        <w:ind w:left="-88" w:leftChars="-42"/>
        <w:jc w:val="center"/>
        <w:rPr>
          <w:b/>
          <w:bCs/>
          <w:color w:val="auto"/>
          <w:sz w:val="32"/>
          <w:highlight w:val="none"/>
        </w:rPr>
      </w:pPr>
    </w:p>
    <w:p w14:paraId="7DA99C61">
      <w:pPr>
        <w:adjustRightInd w:val="0"/>
        <w:snapToGrid w:val="0"/>
        <w:spacing w:before="156" w:beforeLines="50" w:line="360" w:lineRule="auto"/>
        <w:jc w:val="left"/>
        <w:rPr>
          <w:rFonts w:ascii="宋体" w:hAnsi="宋体"/>
          <w:b/>
          <w:color w:val="auto"/>
          <w:szCs w:val="21"/>
          <w:highlight w:val="none"/>
        </w:rPr>
      </w:pPr>
      <w:r>
        <w:rPr>
          <w:rFonts w:hint="eastAsia" w:ascii="宋体" w:hAnsi="宋体"/>
          <w:b/>
          <w:color w:val="auto"/>
          <w:szCs w:val="21"/>
          <w:highlight w:val="none"/>
        </w:rPr>
        <w:t>第一部分 资格证明文件</w:t>
      </w:r>
    </w:p>
    <w:p w14:paraId="37671F92">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一、开标一览表</w:t>
      </w:r>
    </w:p>
    <w:p w14:paraId="2BFED215">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二、投标保</w:t>
      </w:r>
      <w:r>
        <w:rPr>
          <w:rFonts w:hint="eastAsia" w:ascii="宋体" w:hAnsi="宋体"/>
          <w:bCs/>
          <w:color w:val="auto"/>
          <w:szCs w:val="21"/>
          <w:highlight w:val="none"/>
        </w:rPr>
        <w:t>证金</w:t>
      </w:r>
    </w:p>
    <w:p w14:paraId="031DCF37">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三、授权委托书</w:t>
      </w:r>
    </w:p>
    <w:p w14:paraId="66B332B2">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四、投标人提供的资格证明文件</w:t>
      </w:r>
    </w:p>
    <w:p w14:paraId="5098EB35">
      <w:pPr>
        <w:adjustRightInd w:val="0"/>
        <w:snapToGrid w:val="0"/>
        <w:spacing w:before="156" w:beforeLines="50" w:line="360" w:lineRule="auto"/>
        <w:jc w:val="left"/>
        <w:rPr>
          <w:rFonts w:ascii="宋体" w:hAnsi="宋体"/>
          <w:b/>
          <w:color w:val="auto"/>
          <w:szCs w:val="21"/>
          <w:highlight w:val="none"/>
        </w:rPr>
      </w:pPr>
      <w:r>
        <w:rPr>
          <w:rFonts w:hint="eastAsia" w:ascii="宋体" w:hAnsi="宋体"/>
          <w:b/>
          <w:color w:val="auto"/>
          <w:szCs w:val="21"/>
          <w:highlight w:val="none"/>
        </w:rPr>
        <w:t>第二部分 商务技术文件</w:t>
      </w:r>
    </w:p>
    <w:p w14:paraId="6CCC5614">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五、投标函</w:t>
      </w:r>
    </w:p>
    <w:p w14:paraId="1CBFE121">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六、分项报价</w:t>
      </w:r>
    </w:p>
    <w:p w14:paraId="4C48FF66">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七、采购需求响应</w:t>
      </w:r>
    </w:p>
    <w:p w14:paraId="5B3B47E7">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八、合同条款偏离表</w:t>
      </w:r>
    </w:p>
    <w:p w14:paraId="31603FCC">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九、采购需求偏离表</w:t>
      </w:r>
    </w:p>
    <w:p w14:paraId="02CAE9A3">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十、享受政府采购政策优惠的证明资料</w:t>
      </w:r>
    </w:p>
    <w:p w14:paraId="09F8E278">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十一、投标货物符合招标文件规定的证明文件</w:t>
      </w:r>
    </w:p>
    <w:p w14:paraId="156D7668">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十二、投标人认为需提供的其他资料</w:t>
      </w:r>
    </w:p>
    <w:p w14:paraId="4F242178">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注：投标人可编制资格审查索引表、符合性审查索引表、评审索引表，以便采购人及采购代理机构资格审查和评标委员会评审。</w:t>
      </w:r>
    </w:p>
    <w:p w14:paraId="6B323E1C">
      <w:pPr>
        <w:adjustRightInd w:val="0"/>
        <w:snapToGrid w:val="0"/>
        <w:spacing w:before="156" w:beforeLines="50" w:line="360" w:lineRule="auto"/>
        <w:ind w:firstLine="420" w:firstLineChars="200"/>
        <w:jc w:val="left"/>
        <w:rPr>
          <w:rFonts w:ascii="宋体" w:hAnsi="宋体"/>
          <w:color w:val="auto"/>
          <w:szCs w:val="21"/>
          <w:highlight w:val="none"/>
        </w:rPr>
      </w:pPr>
    </w:p>
    <w:p w14:paraId="125F7B63">
      <w:pPr>
        <w:adjustRightInd w:val="0"/>
        <w:snapToGrid w:val="0"/>
        <w:spacing w:line="360" w:lineRule="auto"/>
        <w:jc w:val="center"/>
        <w:rPr>
          <w:rFonts w:ascii="仿宋_GB2312" w:hAnsi="宋体" w:eastAsia="仿宋_GB2312"/>
          <w:color w:val="auto"/>
          <w:szCs w:val="21"/>
          <w:highlight w:val="none"/>
        </w:rPr>
      </w:pPr>
    </w:p>
    <w:p w14:paraId="43731E2D">
      <w:pPr>
        <w:adjustRightInd w:val="0"/>
        <w:snapToGrid w:val="0"/>
        <w:spacing w:line="360" w:lineRule="auto"/>
        <w:jc w:val="center"/>
        <w:rPr>
          <w:rFonts w:ascii="黑体" w:eastAsia="黑体"/>
          <w:color w:val="auto"/>
          <w:sz w:val="32"/>
          <w:szCs w:val="32"/>
          <w:highlight w:val="none"/>
        </w:rPr>
      </w:pPr>
      <w:r>
        <w:rPr>
          <w:rFonts w:ascii="仿宋_GB2312" w:hAnsi="宋体" w:eastAsia="仿宋_GB2312"/>
          <w:color w:val="auto"/>
          <w:szCs w:val="21"/>
          <w:highlight w:val="none"/>
        </w:rPr>
        <w:br w:type="page"/>
      </w:r>
    </w:p>
    <w:p w14:paraId="67BA3644">
      <w:pPr>
        <w:adjustRightInd w:val="0"/>
        <w:snapToGrid w:val="0"/>
        <w:spacing w:line="360" w:lineRule="auto"/>
        <w:jc w:val="center"/>
        <w:rPr>
          <w:rFonts w:ascii="黑体" w:eastAsia="黑体"/>
          <w:color w:val="auto"/>
          <w:sz w:val="32"/>
          <w:szCs w:val="32"/>
          <w:highlight w:val="none"/>
        </w:rPr>
      </w:pPr>
    </w:p>
    <w:p w14:paraId="6D7C1D92">
      <w:pPr>
        <w:pStyle w:val="19"/>
        <w:adjustRightInd w:val="0"/>
        <w:snapToGrid w:val="0"/>
        <w:spacing w:line="360" w:lineRule="auto"/>
        <w:jc w:val="center"/>
        <w:rPr>
          <w:rFonts w:hAnsi="宋体"/>
          <w:b/>
          <w:bCs/>
          <w:color w:val="auto"/>
          <w:sz w:val="72"/>
          <w:szCs w:val="72"/>
          <w:highlight w:val="none"/>
        </w:rPr>
      </w:pPr>
      <w:r>
        <w:rPr>
          <w:rFonts w:hint="eastAsia" w:hAnsi="宋体"/>
          <w:b/>
          <w:bCs/>
          <w:color w:val="auto"/>
          <w:sz w:val="72"/>
          <w:szCs w:val="72"/>
          <w:highlight w:val="none"/>
        </w:rPr>
        <w:t>政府采购</w:t>
      </w:r>
    </w:p>
    <w:p w14:paraId="40B72501">
      <w:pPr>
        <w:adjustRightInd w:val="0"/>
        <w:snapToGrid w:val="0"/>
        <w:spacing w:line="360" w:lineRule="auto"/>
        <w:jc w:val="center"/>
        <w:rPr>
          <w:rFonts w:ascii="宋体" w:hAnsi="宋体"/>
          <w:b/>
          <w:bCs/>
          <w:color w:val="auto"/>
          <w:sz w:val="84"/>
          <w:szCs w:val="84"/>
          <w:highlight w:val="none"/>
        </w:rPr>
      </w:pPr>
      <w:r>
        <w:rPr>
          <w:rFonts w:hint="eastAsia" w:ascii="宋体" w:hAnsi="宋体"/>
          <w:b/>
          <w:bCs/>
          <w:color w:val="auto"/>
          <w:sz w:val="84"/>
          <w:szCs w:val="84"/>
          <w:highlight w:val="none"/>
        </w:rPr>
        <w:t>投 标 文 件</w:t>
      </w:r>
    </w:p>
    <w:p w14:paraId="4339555C">
      <w:pPr>
        <w:pStyle w:val="10"/>
        <w:adjustRightInd w:val="0"/>
        <w:snapToGrid w:val="0"/>
        <w:jc w:val="center"/>
        <w:rPr>
          <w:rFonts w:ascii="黑体" w:hAnsi="黑体" w:eastAsia="黑体"/>
          <w:color w:val="auto"/>
          <w:sz w:val="44"/>
          <w:szCs w:val="44"/>
          <w:highlight w:val="none"/>
        </w:rPr>
      </w:pPr>
      <w:bookmarkStart w:id="79" w:name="_Toc21984"/>
      <w:r>
        <w:rPr>
          <w:rFonts w:hint="eastAsia" w:ascii="黑体" w:hAnsi="黑体" w:eastAsia="黑体"/>
          <w:color w:val="auto"/>
          <w:sz w:val="44"/>
          <w:szCs w:val="44"/>
          <w:highlight w:val="none"/>
        </w:rPr>
        <w:t>第一部分 资格证明文件</w:t>
      </w:r>
      <w:bookmarkEnd w:id="79"/>
    </w:p>
    <w:p w14:paraId="34CD5DA5">
      <w:pPr>
        <w:adjustRightInd w:val="0"/>
        <w:snapToGrid w:val="0"/>
        <w:spacing w:line="360" w:lineRule="auto"/>
        <w:rPr>
          <w:rFonts w:ascii="黑体" w:hAnsi="黑体" w:eastAsia="黑体"/>
          <w:b/>
          <w:color w:val="auto"/>
          <w:sz w:val="32"/>
          <w:szCs w:val="32"/>
          <w:highlight w:val="none"/>
        </w:rPr>
      </w:pPr>
    </w:p>
    <w:p w14:paraId="7F84C06B">
      <w:pPr>
        <w:adjustRightInd w:val="0"/>
        <w:snapToGrid w:val="0"/>
        <w:spacing w:line="360" w:lineRule="auto"/>
        <w:rPr>
          <w:rFonts w:ascii="宋体" w:hAnsi="宋体"/>
          <w:b/>
          <w:color w:val="auto"/>
          <w:sz w:val="30"/>
          <w:szCs w:val="30"/>
          <w:highlight w:val="none"/>
        </w:rPr>
      </w:pPr>
      <w:r>
        <w:rPr>
          <w:rFonts w:hint="eastAsia" w:ascii="宋体" w:hAnsi="宋体"/>
          <w:b/>
          <w:color w:val="auto"/>
          <w:sz w:val="32"/>
          <w:szCs w:val="32"/>
          <w:highlight w:val="none"/>
        </w:rPr>
        <w:t xml:space="preserve">                     </w:t>
      </w:r>
    </w:p>
    <w:p w14:paraId="1DA8B80C">
      <w:pPr>
        <w:pStyle w:val="19"/>
        <w:adjustRightInd w:val="0"/>
        <w:snapToGrid w:val="0"/>
        <w:spacing w:line="360" w:lineRule="auto"/>
        <w:ind w:firstLine="1988" w:firstLineChars="660"/>
        <w:rPr>
          <w:rFonts w:hAnsi="宋体"/>
          <w:b/>
          <w:bCs/>
          <w:color w:val="auto"/>
          <w:sz w:val="30"/>
          <w:szCs w:val="30"/>
          <w:highlight w:val="none"/>
          <w:u w:val="single"/>
        </w:rPr>
      </w:pPr>
      <w:r>
        <w:rPr>
          <w:rFonts w:hint="eastAsia" w:hAnsi="宋体"/>
          <w:b/>
          <w:bCs/>
          <w:color w:val="auto"/>
          <w:sz w:val="30"/>
          <w:szCs w:val="30"/>
          <w:highlight w:val="none"/>
        </w:rPr>
        <w:t>采购项目名称:</w:t>
      </w:r>
      <w:r>
        <w:rPr>
          <w:rFonts w:hint="eastAsia" w:hAnsi="宋体"/>
          <w:b/>
          <w:bCs/>
          <w:color w:val="auto"/>
          <w:sz w:val="30"/>
          <w:szCs w:val="30"/>
          <w:highlight w:val="none"/>
          <w:u w:val="single"/>
        </w:rPr>
        <w:t xml:space="preserve">                       </w:t>
      </w:r>
    </w:p>
    <w:p w14:paraId="699CAEDF">
      <w:pPr>
        <w:pStyle w:val="19"/>
        <w:adjustRightInd w:val="0"/>
        <w:snapToGrid w:val="0"/>
        <w:spacing w:line="360" w:lineRule="auto"/>
        <w:ind w:firstLine="1988" w:firstLineChars="660"/>
        <w:rPr>
          <w:rFonts w:hAnsi="宋体"/>
          <w:b/>
          <w:bCs/>
          <w:color w:val="auto"/>
          <w:sz w:val="30"/>
          <w:szCs w:val="30"/>
          <w:highlight w:val="none"/>
        </w:rPr>
      </w:pPr>
      <w:r>
        <w:rPr>
          <w:rFonts w:hint="eastAsia" w:hAnsi="宋体"/>
          <w:b/>
          <w:bCs/>
          <w:color w:val="auto"/>
          <w:sz w:val="30"/>
          <w:szCs w:val="30"/>
          <w:highlight w:val="none"/>
        </w:rPr>
        <w:t>采   购   人：</w:t>
      </w:r>
      <w:r>
        <w:rPr>
          <w:rFonts w:hint="eastAsia" w:hAnsi="宋体"/>
          <w:b/>
          <w:bCs/>
          <w:color w:val="auto"/>
          <w:sz w:val="30"/>
          <w:szCs w:val="30"/>
          <w:highlight w:val="none"/>
          <w:u w:val="single"/>
        </w:rPr>
        <w:t xml:space="preserve">                      </w:t>
      </w:r>
    </w:p>
    <w:p w14:paraId="7DB70B0D">
      <w:pPr>
        <w:pStyle w:val="19"/>
        <w:adjustRightInd w:val="0"/>
        <w:snapToGrid w:val="0"/>
        <w:spacing w:line="360" w:lineRule="auto"/>
        <w:ind w:firstLine="1988" w:firstLineChars="660"/>
        <w:rPr>
          <w:rFonts w:hAnsi="宋体"/>
          <w:b/>
          <w:bCs/>
          <w:color w:val="auto"/>
          <w:sz w:val="30"/>
          <w:szCs w:val="30"/>
          <w:highlight w:val="none"/>
          <w:u w:val="single"/>
        </w:rPr>
      </w:pPr>
      <w:r>
        <w:rPr>
          <w:rFonts w:hint="eastAsia" w:hAnsi="宋体"/>
          <w:b/>
          <w:bCs/>
          <w:color w:val="auto"/>
          <w:sz w:val="30"/>
          <w:szCs w:val="30"/>
          <w:highlight w:val="none"/>
        </w:rPr>
        <w:t>政府采购计划编号:</w:t>
      </w:r>
      <w:r>
        <w:rPr>
          <w:rFonts w:hint="eastAsia" w:hAnsi="宋体"/>
          <w:b/>
          <w:bCs/>
          <w:color w:val="auto"/>
          <w:sz w:val="30"/>
          <w:szCs w:val="30"/>
          <w:highlight w:val="none"/>
          <w:u w:val="single"/>
        </w:rPr>
        <w:t xml:space="preserve">                   </w:t>
      </w:r>
    </w:p>
    <w:p w14:paraId="1DD9898D">
      <w:pPr>
        <w:pStyle w:val="19"/>
        <w:adjustRightInd w:val="0"/>
        <w:snapToGrid w:val="0"/>
        <w:spacing w:line="360" w:lineRule="auto"/>
        <w:ind w:firstLine="1988" w:firstLineChars="660"/>
        <w:rPr>
          <w:rFonts w:hAnsi="宋体"/>
          <w:b/>
          <w:bCs/>
          <w:color w:val="auto"/>
          <w:sz w:val="30"/>
          <w:szCs w:val="30"/>
          <w:highlight w:val="none"/>
          <w:u w:val="single"/>
        </w:rPr>
      </w:pPr>
      <w:r>
        <w:rPr>
          <w:rFonts w:hint="eastAsia" w:hAnsi="宋体"/>
          <w:b/>
          <w:bCs/>
          <w:color w:val="auto"/>
          <w:sz w:val="30"/>
          <w:szCs w:val="30"/>
          <w:highlight w:val="none"/>
          <w:lang w:eastAsia="zh-CN"/>
        </w:rPr>
        <w:t>采购代理编号</w:t>
      </w:r>
      <w:r>
        <w:rPr>
          <w:rFonts w:hint="eastAsia" w:hAnsi="宋体"/>
          <w:b/>
          <w:bCs/>
          <w:color w:val="auto"/>
          <w:sz w:val="30"/>
          <w:szCs w:val="30"/>
          <w:highlight w:val="none"/>
        </w:rPr>
        <w:t>:</w:t>
      </w:r>
      <w:r>
        <w:rPr>
          <w:rFonts w:hint="eastAsia" w:hAnsi="宋体"/>
          <w:b/>
          <w:bCs/>
          <w:color w:val="auto"/>
          <w:sz w:val="30"/>
          <w:szCs w:val="30"/>
          <w:highlight w:val="none"/>
          <w:u w:val="single"/>
        </w:rPr>
        <w:t xml:space="preserve">                       </w:t>
      </w:r>
    </w:p>
    <w:p w14:paraId="57062C9A">
      <w:pPr>
        <w:pStyle w:val="19"/>
        <w:adjustRightInd w:val="0"/>
        <w:snapToGrid w:val="0"/>
        <w:spacing w:line="360" w:lineRule="auto"/>
        <w:ind w:firstLine="1988" w:firstLineChars="660"/>
        <w:rPr>
          <w:rFonts w:hAnsi="宋体"/>
          <w:b/>
          <w:bCs/>
          <w:color w:val="auto"/>
          <w:sz w:val="30"/>
          <w:szCs w:val="30"/>
          <w:highlight w:val="none"/>
          <w:u w:val="single"/>
        </w:rPr>
      </w:pPr>
      <w:r>
        <w:rPr>
          <w:rFonts w:hint="eastAsia" w:hAnsi="宋体"/>
          <w:b/>
          <w:bCs/>
          <w:color w:val="auto"/>
          <w:sz w:val="30"/>
          <w:szCs w:val="30"/>
          <w:highlight w:val="none"/>
        </w:rPr>
        <w:t>采购代理机构：</w:t>
      </w:r>
      <w:r>
        <w:rPr>
          <w:rFonts w:hint="eastAsia" w:hAnsi="宋体"/>
          <w:b/>
          <w:bCs/>
          <w:color w:val="auto"/>
          <w:sz w:val="30"/>
          <w:szCs w:val="30"/>
          <w:highlight w:val="none"/>
          <w:u w:val="single"/>
        </w:rPr>
        <w:t xml:space="preserve">                      </w:t>
      </w:r>
    </w:p>
    <w:p w14:paraId="64D7ED52">
      <w:pPr>
        <w:adjustRightInd w:val="0"/>
        <w:snapToGrid w:val="0"/>
        <w:spacing w:line="360" w:lineRule="auto"/>
        <w:ind w:firstLine="2108" w:firstLineChars="700"/>
        <w:rPr>
          <w:rFonts w:hint="eastAsia" w:ascii="黑体" w:hAnsi="黑体" w:eastAsia="黑体"/>
          <w:color w:val="auto"/>
          <w:sz w:val="30"/>
          <w:szCs w:val="30"/>
          <w:highlight w:val="none"/>
          <w:lang w:eastAsia="zh-CN"/>
        </w:rPr>
      </w:pPr>
      <w:r>
        <w:rPr>
          <w:rFonts w:hint="eastAsia" w:ascii="宋体" w:hAnsi="宋体" w:eastAsia="宋体" w:cs="Courier New"/>
          <w:b/>
          <w:bCs/>
          <w:color w:val="auto"/>
          <w:kern w:val="2"/>
          <w:sz w:val="30"/>
          <w:szCs w:val="30"/>
          <w:highlight w:val="none"/>
          <w:lang w:val="en-US" w:eastAsia="zh-CN" w:bidi="ar-SA"/>
        </w:rPr>
        <w:t>包号及包名称</w:t>
      </w:r>
      <w:r>
        <w:rPr>
          <w:rFonts w:hint="eastAsia" w:ascii="黑体" w:hAnsi="黑体" w:eastAsia="黑体"/>
          <w:color w:val="auto"/>
          <w:sz w:val="30"/>
          <w:szCs w:val="30"/>
          <w:highlight w:val="none"/>
          <w:lang w:eastAsia="zh-CN"/>
        </w:rPr>
        <w:t>：</w:t>
      </w:r>
      <w:r>
        <w:rPr>
          <w:rFonts w:hint="eastAsia" w:hAnsi="宋体"/>
          <w:b/>
          <w:bCs/>
          <w:color w:val="auto"/>
          <w:sz w:val="30"/>
          <w:szCs w:val="30"/>
          <w:highlight w:val="none"/>
          <w:u w:val="single"/>
        </w:rPr>
        <w:t xml:space="preserve">                      </w:t>
      </w:r>
    </w:p>
    <w:p w14:paraId="6C7F1E59">
      <w:pPr>
        <w:adjustRightInd w:val="0"/>
        <w:snapToGrid w:val="0"/>
        <w:rPr>
          <w:rFonts w:ascii="黑体" w:hAnsi="宋体" w:eastAsia="黑体"/>
          <w:color w:val="auto"/>
          <w:sz w:val="30"/>
          <w:szCs w:val="30"/>
          <w:highlight w:val="none"/>
        </w:rPr>
      </w:pPr>
    </w:p>
    <w:p w14:paraId="5CC0E2EA">
      <w:pPr>
        <w:adjustRightInd w:val="0"/>
        <w:snapToGrid w:val="0"/>
        <w:spacing w:line="360" w:lineRule="auto"/>
        <w:rPr>
          <w:rFonts w:ascii="黑体" w:hAnsi="宋体" w:eastAsia="黑体"/>
          <w:color w:val="auto"/>
          <w:sz w:val="30"/>
          <w:szCs w:val="30"/>
          <w:highlight w:val="none"/>
        </w:rPr>
      </w:pPr>
    </w:p>
    <w:p w14:paraId="0F984181">
      <w:pPr>
        <w:adjustRightInd w:val="0"/>
        <w:snapToGrid w:val="0"/>
        <w:spacing w:line="360" w:lineRule="auto"/>
        <w:rPr>
          <w:rFonts w:ascii="黑体" w:hAnsi="宋体" w:eastAsia="黑体"/>
          <w:color w:val="auto"/>
          <w:sz w:val="30"/>
          <w:szCs w:val="30"/>
          <w:highlight w:val="none"/>
        </w:rPr>
      </w:pPr>
    </w:p>
    <w:p w14:paraId="5FE9F3E4">
      <w:pPr>
        <w:adjustRightInd w:val="0"/>
        <w:snapToGrid w:val="0"/>
        <w:spacing w:line="360" w:lineRule="auto"/>
        <w:rPr>
          <w:rFonts w:ascii="黑体" w:hAnsi="宋体" w:eastAsia="黑体"/>
          <w:color w:val="auto"/>
          <w:sz w:val="30"/>
          <w:szCs w:val="30"/>
          <w:highlight w:val="none"/>
        </w:rPr>
      </w:pPr>
    </w:p>
    <w:p w14:paraId="2FDD3CB1">
      <w:pPr>
        <w:adjustRightInd w:val="0"/>
        <w:snapToGrid w:val="0"/>
        <w:spacing w:line="360" w:lineRule="auto"/>
        <w:ind w:firstLine="1984" w:firstLineChars="620"/>
        <w:rPr>
          <w:rFonts w:ascii="黑体" w:hAnsi="宋体" w:eastAsia="黑体"/>
          <w:color w:val="auto"/>
          <w:sz w:val="32"/>
          <w:szCs w:val="32"/>
          <w:highlight w:val="none"/>
          <w:u w:val="single"/>
        </w:rPr>
      </w:pPr>
      <w:r>
        <w:rPr>
          <w:rFonts w:hint="eastAsia" w:ascii="黑体" w:hAnsi="宋体" w:eastAsia="黑体"/>
          <w:color w:val="auto"/>
          <w:sz w:val="32"/>
          <w:szCs w:val="32"/>
          <w:highlight w:val="none"/>
        </w:rPr>
        <w:t>投标人</w:t>
      </w:r>
      <w:r>
        <w:rPr>
          <w:rFonts w:hint="eastAsia" w:ascii="黑体" w:hAnsi="宋体" w:eastAsia="黑体"/>
          <w:color w:val="auto"/>
          <w:sz w:val="32"/>
          <w:szCs w:val="32"/>
          <w:highlight w:val="none"/>
          <w:u w:val="single"/>
        </w:rPr>
        <w:t xml:space="preserve">                         </w:t>
      </w:r>
    </w:p>
    <w:p w14:paraId="618BFD52">
      <w:pPr>
        <w:adjustRightInd w:val="0"/>
        <w:snapToGrid w:val="0"/>
        <w:spacing w:line="360" w:lineRule="auto"/>
        <w:jc w:val="center"/>
        <w:rPr>
          <w:rFonts w:ascii="黑体" w:eastAsia="黑体"/>
          <w:color w:val="auto"/>
          <w:sz w:val="10"/>
          <w:szCs w:val="10"/>
          <w:highlight w:val="none"/>
        </w:rPr>
      </w:pPr>
      <w:r>
        <w:rPr>
          <w:rFonts w:hint="eastAsia" w:ascii="黑体" w:hAnsi="宋体" w:eastAsia="黑体"/>
          <w:color w:val="auto"/>
          <w:sz w:val="32"/>
          <w:szCs w:val="32"/>
          <w:highlight w:val="none"/>
        </w:rPr>
        <w:t>年  月  日</w:t>
      </w:r>
      <w:r>
        <w:rPr>
          <w:rFonts w:ascii="黑体" w:eastAsia="黑体"/>
          <w:color w:val="auto"/>
          <w:sz w:val="28"/>
          <w:szCs w:val="28"/>
          <w:highlight w:val="none"/>
        </w:rPr>
        <w:br w:type="page"/>
      </w:r>
    </w:p>
    <w:p w14:paraId="41A89C05">
      <w:pPr>
        <w:pStyle w:val="11"/>
        <w:adjustRightInd w:val="0"/>
        <w:snapToGrid w:val="0"/>
        <w:spacing w:before="0" w:after="0" w:line="360" w:lineRule="auto"/>
        <w:jc w:val="center"/>
        <w:rPr>
          <w:rFonts w:ascii="黑体" w:hAnsi="宋体" w:eastAsia="黑体"/>
          <w:color w:val="auto"/>
          <w:sz w:val="28"/>
          <w:szCs w:val="28"/>
          <w:highlight w:val="none"/>
        </w:rPr>
      </w:pPr>
      <w:bookmarkStart w:id="80" w:name="_Toc16874"/>
      <w:r>
        <w:rPr>
          <w:rFonts w:hint="eastAsia" w:ascii="黑体" w:hAnsi="宋体" w:eastAsia="黑体"/>
          <w:color w:val="auto"/>
          <w:sz w:val="28"/>
          <w:szCs w:val="28"/>
          <w:highlight w:val="none"/>
        </w:rPr>
        <w:t>一、开标一览表</w:t>
      </w:r>
      <w:bookmarkEnd w:id="80"/>
    </w:p>
    <w:p w14:paraId="3FDA18F3">
      <w:pPr>
        <w:adjustRightInd w:val="0"/>
        <w:snapToGrid w:val="0"/>
        <w:spacing w:line="360" w:lineRule="auto"/>
        <w:ind w:left="-88" w:leftChars="-42"/>
        <w:jc w:val="center"/>
        <w:rPr>
          <w:rFonts w:ascii="仿宋_GB2312" w:hAnsi="宋体" w:eastAsia="仿宋_GB2312"/>
          <w:color w:val="auto"/>
          <w:sz w:val="24"/>
          <w:highlight w:val="none"/>
        </w:rPr>
      </w:pPr>
    </w:p>
    <w:p w14:paraId="76635EC3">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政府采购计划编号：</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项目名称：</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718E8934">
      <w:pPr>
        <w:adjustRightInd w:val="0"/>
        <w:snapToGrid w:val="0"/>
        <w:spacing w:line="360" w:lineRule="auto"/>
        <w:rPr>
          <w:rFonts w:ascii="宋体" w:hAnsi="宋体"/>
          <w:b/>
          <w:color w:val="auto"/>
          <w:szCs w:val="21"/>
          <w:highlight w:val="none"/>
        </w:rPr>
      </w:pPr>
      <w:r>
        <w:rPr>
          <w:rFonts w:hint="eastAsia" w:ascii="宋体" w:hAnsi="宋体"/>
          <w:color w:val="auto"/>
          <w:szCs w:val="21"/>
          <w:highlight w:val="none"/>
        </w:rPr>
        <w:t>包号：</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包名称：</w:t>
      </w:r>
      <w:r>
        <w:rPr>
          <w:rFonts w:hint="eastAsia" w:ascii="宋体" w:hAnsi="宋体"/>
          <w:color w:val="auto"/>
          <w:szCs w:val="21"/>
          <w:highlight w:val="none"/>
          <w:u w:val="single"/>
        </w:rPr>
        <w:t xml:space="preserve">                  </w:t>
      </w:r>
    </w:p>
    <w:tbl>
      <w:tblPr>
        <w:tblStyle w:val="29"/>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63308D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shd w:val="clear" w:color="auto" w:fill="auto"/>
            <w:vAlign w:val="center"/>
          </w:tcPr>
          <w:p w14:paraId="171A31BF">
            <w:pPr>
              <w:adjustRightInd w:val="0"/>
              <w:snapToGrid w:val="0"/>
              <w:spacing w:line="360" w:lineRule="auto"/>
              <w:jc w:val="center"/>
              <w:rPr>
                <w:rFonts w:ascii="宋体" w:hAnsi="宋体"/>
                <w:b/>
                <w:color w:val="auto"/>
                <w:kern w:val="0"/>
                <w:sz w:val="20"/>
                <w:szCs w:val="21"/>
                <w:highlight w:val="none"/>
              </w:rPr>
            </w:pPr>
            <w:r>
              <w:rPr>
                <w:rFonts w:hint="eastAsia" w:ascii="宋体" w:hAnsi="宋体"/>
                <w:b/>
                <w:color w:val="auto"/>
                <w:kern w:val="0"/>
                <w:szCs w:val="21"/>
                <w:highlight w:val="none"/>
              </w:rPr>
              <w:t>投标报价</w:t>
            </w:r>
          </w:p>
        </w:tc>
        <w:tc>
          <w:tcPr>
            <w:tcW w:w="3119" w:type="dxa"/>
            <w:shd w:val="clear" w:color="auto" w:fill="auto"/>
            <w:vAlign w:val="center"/>
          </w:tcPr>
          <w:p w14:paraId="18FF73E4">
            <w:pPr>
              <w:adjustRightInd w:val="0"/>
              <w:snapToGrid w:val="0"/>
              <w:spacing w:line="360" w:lineRule="auto"/>
              <w:jc w:val="center"/>
              <w:rPr>
                <w:rFonts w:ascii="宋体" w:hAnsi="宋体"/>
                <w:b/>
                <w:color w:val="auto"/>
                <w:kern w:val="0"/>
                <w:szCs w:val="21"/>
                <w:highlight w:val="none"/>
              </w:rPr>
            </w:pPr>
            <w:r>
              <w:rPr>
                <w:rFonts w:hint="eastAsia" w:ascii="宋体" w:hAnsi="宋体"/>
                <w:b/>
                <w:color w:val="auto"/>
                <w:kern w:val="0"/>
                <w:szCs w:val="21"/>
                <w:highlight w:val="none"/>
              </w:rPr>
              <w:t>其他内容</w:t>
            </w:r>
          </w:p>
        </w:tc>
      </w:tr>
      <w:tr w14:paraId="52AD50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shd w:val="clear" w:color="auto" w:fill="auto"/>
            <w:vAlign w:val="center"/>
          </w:tcPr>
          <w:p w14:paraId="5717AE52">
            <w:pPr>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小写金额：</w:t>
            </w:r>
            <w:r>
              <w:rPr>
                <w:rFonts w:hint="eastAsia" w:ascii="宋体" w:hAnsi="宋体"/>
                <w:color w:val="auto"/>
                <w:kern w:val="0"/>
                <w:szCs w:val="21"/>
                <w:highlight w:val="none"/>
                <w:u w:val="single"/>
              </w:rPr>
              <w:t xml:space="preserve">               </w:t>
            </w:r>
            <w:r>
              <w:rPr>
                <w:rFonts w:hint="eastAsia" w:ascii="宋体" w:hAnsi="宋体"/>
                <w:color w:val="auto"/>
                <w:kern w:val="0"/>
                <w:szCs w:val="21"/>
                <w:highlight w:val="none"/>
              </w:rPr>
              <w:t>（</w:t>
            </w:r>
            <w:r>
              <w:rPr>
                <w:rFonts w:hint="eastAsia" w:ascii="宋体" w:hAnsi="宋体"/>
                <w:color w:val="auto"/>
                <w:kern w:val="0"/>
                <w:sz w:val="20"/>
                <w:szCs w:val="21"/>
                <w:highlight w:val="none"/>
              </w:rPr>
              <w:t>人民币元</w:t>
            </w:r>
            <w:r>
              <w:rPr>
                <w:rFonts w:hint="eastAsia" w:ascii="宋体" w:hAnsi="宋体"/>
                <w:color w:val="auto"/>
                <w:kern w:val="0"/>
                <w:szCs w:val="21"/>
                <w:highlight w:val="none"/>
              </w:rPr>
              <w:t>）</w:t>
            </w:r>
          </w:p>
          <w:p w14:paraId="59DEC9FC">
            <w:pPr>
              <w:adjustRightInd w:val="0"/>
              <w:snapToGrid w:val="0"/>
              <w:spacing w:line="360" w:lineRule="auto"/>
              <w:jc w:val="center"/>
              <w:rPr>
                <w:rFonts w:ascii="宋体" w:hAnsi="宋体"/>
                <w:color w:val="auto"/>
                <w:kern w:val="0"/>
                <w:szCs w:val="21"/>
                <w:highlight w:val="none"/>
                <w:u w:val="single"/>
              </w:rPr>
            </w:pPr>
            <w:r>
              <w:rPr>
                <w:rFonts w:hint="eastAsia" w:ascii="宋体" w:hAnsi="宋体"/>
                <w:color w:val="auto"/>
                <w:kern w:val="0"/>
                <w:szCs w:val="21"/>
                <w:highlight w:val="none"/>
              </w:rPr>
              <w:t>大写金额：</w:t>
            </w:r>
            <w:r>
              <w:rPr>
                <w:rFonts w:hint="eastAsia" w:ascii="宋体" w:hAnsi="宋体"/>
                <w:color w:val="auto"/>
                <w:kern w:val="0"/>
                <w:szCs w:val="21"/>
                <w:highlight w:val="none"/>
                <w:u w:val="single"/>
              </w:rPr>
              <w:t xml:space="preserve">                </w:t>
            </w:r>
            <w:r>
              <w:rPr>
                <w:rFonts w:hint="eastAsia" w:ascii="宋体" w:hAnsi="宋体"/>
                <w:color w:val="auto"/>
                <w:kern w:val="0"/>
                <w:szCs w:val="21"/>
                <w:highlight w:val="none"/>
              </w:rPr>
              <w:t>（</w:t>
            </w:r>
            <w:r>
              <w:rPr>
                <w:rFonts w:hint="eastAsia" w:ascii="宋体" w:hAnsi="宋体"/>
                <w:color w:val="auto"/>
                <w:kern w:val="0"/>
                <w:sz w:val="20"/>
                <w:szCs w:val="21"/>
                <w:highlight w:val="none"/>
              </w:rPr>
              <w:t>人民币元</w:t>
            </w:r>
            <w:r>
              <w:rPr>
                <w:rFonts w:hint="eastAsia" w:ascii="宋体" w:hAnsi="宋体"/>
                <w:color w:val="auto"/>
                <w:kern w:val="0"/>
                <w:szCs w:val="21"/>
                <w:highlight w:val="none"/>
              </w:rPr>
              <w:t>）</w:t>
            </w:r>
          </w:p>
          <w:p w14:paraId="09DED73B">
            <w:pPr>
              <w:adjustRightInd w:val="0"/>
              <w:snapToGrid w:val="0"/>
              <w:spacing w:line="360" w:lineRule="auto"/>
              <w:jc w:val="center"/>
              <w:rPr>
                <w:rFonts w:ascii="宋体" w:hAnsi="宋体"/>
                <w:color w:val="auto"/>
                <w:kern w:val="0"/>
                <w:sz w:val="20"/>
                <w:szCs w:val="21"/>
                <w:highlight w:val="none"/>
              </w:rPr>
            </w:pPr>
            <w:r>
              <w:rPr>
                <w:rFonts w:hint="eastAsia" w:ascii="宋体" w:hAnsi="宋体"/>
                <w:color w:val="auto"/>
                <w:kern w:val="0"/>
                <w:szCs w:val="21"/>
                <w:highlight w:val="none"/>
              </w:rPr>
              <w:t>（</w:t>
            </w:r>
            <w:r>
              <w:rPr>
                <w:rFonts w:hint="eastAsia" w:ascii="黑体" w:hAnsi="黑体" w:eastAsia="黑体"/>
                <w:color w:val="auto"/>
                <w:kern w:val="0"/>
                <w:sz w:val="24"/>
                <w:highlight w:val="none"/>
              </w:rPr>
              <w:t>大写金额与小写金额不一致时，以大写金额为准</w:t>
            </w:r>
            <w:r>
              <w:rPr>
                <w:rFonts w:hint="eastAsia" w:ascii="宋体" w:hAnsi="宋体"/>
                <w:color w:val="auto"/>
                <w:kern w:val="0"/>
                <w:szCs w:val="21"/>
                <w:highlight w:val="none"/>
              </w:rPr>
              <w:t>）</w:t>
            </w:r>
          </w:p>
        </w:tc>
        <w:tc>
          <w:tcPr>
            <w:tcW w:w="3119" w:type="dxa"/>
            <w:shd w:val="clear" w:color="auto" w:fill="auto"/>
            <w:vAlign w:val="center"/>
          </w:tcPr>
          <w:p w14:paraId="59B8AC4C">
            <w:pPr>
              <w:adjustRightInd w:val="0"/>
              <w:snapToGrid w:val="0"/>
              <w:spacing w:line="360" w:lineRule="auto"/>
              <w:jc w:val="center"/>
              <w:rPr>
                <w:rFonts w:ascii="宋体" w:hAnsi="宋体"/>
                <w:color w:val="auto"/>
                <w:kern w:val="0"/>
                <w:szCs w:val="21"/>
                <w:highlight w:val="none"/>
              </w:rPr>
            </w:pPr>
          </w:p>
        </w:tc>
      </w:tr>
    </w:tbl>
    <w:p w14:paraId="3D875EFF">
      <w:pPr>
        <w:adjustRightInd w:val="0"/>
        <w:snapToGrid w:val="0"/>
        <w:spacing w:line="360" w:lineRule="auto"/>
        <w:rPr>
          <w:rFonts w:ascii="宋体" w:hAnsi="宋体"/>
          <w:b/>
          <w:color w:val="auto"/>
          <w:szCs w:val="21"/>
          <w:highlight w:val="none"/>
        </w:rPr>
      </w:pPr>
      <w:r>
        <w:rPr>
          <w:rFonts w:hint="eastAsia" w:ascii="宋体" w:hAnsi="宋体"/>
          <w:b/>
          <w:color w:val="auto"/>
          <w:szCs w:val="21"/>
          <w:highlight w:val="none"/>
        </w:rPr>
        <w:t>备注：1、本“开标一览表”所填报价应与交易平台上所填电子“开标一览表”报价一致，否则，以交易平台上所填电子“开标一览表”报价为准。</w:t>
      </w:r>
    </w:p>
    <w:p w14:paraId="61AB442C">
      <w:pPr>
        <w:adjustRightInd w:val="0"/>
        <w:snapToGrid w:val="0"/>
        <w:spacing w:line="360" w:lineRule="auto"/>
        <w:ind w:firstLine="630" w:firstLineChars="300"/>
        <w:rPr>
          <w:rFonts w:ascii="宋体" w:hAnsi="宋体"/>
          <w:color w:val="auto"/>
          <w:szCs w:val="21"/>
          <w:highlight w:val="none"/>
        </w:rPr>
      </w:pPr>
      <w:r>
        <w:rPr>
          <w:rFonts w:hint="eastAsia" w:ascii="宋体" w:hAnsi="宋体"/>
          <w:color w:val="auto"/>
          <w:szCs w:val="21"/>
          <w:highlight w:val="none"/>
        </w:rPr>
        <w:t>2、本表须按包填写，一个“包号”一份。</w:t>
      </w:r>
    </w:p>
    <w:p w14:paraId="5A1EEDF2">
      <w:pPr>
        <w:adjustRightInd w:val="0"/>
        <w:snapToGrid w:val="0"/>
        <w:spacing w:line="360" w:lineRule="auto"/>
        <w:ind w:firstLine="630" w:firstLineChars="300"/>
        <w:rPr>
          <w:rFonts w:ascii="宋体" w:hAnsi="宋体"/>
          <w:color w:val="auto"/>
          <w:szCs w:val="21"/>
          <w:highlight w:val="none"/>
        </w:rPr>
      </w:pPr>
      <w:r>
        <w:rPr>
          <w:rFonts w:hint="eastAsia" w:ascii="宋体" w:hAnsi="宋体"/>
          <w:color w:val="auto"/>
          <w:szCs w:val="21"/>
          <w:highlight w:val="none"/>
        </w:rPr>
        <w:t>3、投标人提交两份及以上投标报价不同的“开标一览表”，且未书面说明哪个有效或以哪个为准的，其</w:t>
      </w:r>
      <w:r>
        <w:rPr>
          <w:rFonts w:hint="eastAsia" w:ascii="宋体" w:hAnsi="宋体"/>
          <w:b/>
          <w:color w:val="auto"/>
          <w:szCs w:val="21"/>
          <w:highlight w:val="none"/>
        </w:rPr>
        <w:t>投标无效</w:t>
      </w:r>
      <w:r>
        <w:rPr>
          <w:rFonts w:hint="eastAsia" w:ascii="宋体" w:hAnsi="宋体"/>
          <w:color w:val="auto"/>
          <w:szCs w:val="21"/>
          <w:highlight w:val="none"/>
        </w:rPr>
        <w:t>。</w:t>
      </w:r>
    </w:p>
    <w:p w14:paraId="3DC4A548">
      <w:pPr>
        <w:adjustRightInd w:val="0"/>
        <w:snapToGrid w:val="0"/>
        <w:spacing w:line="360" w:lineRule="auto"/>
        <w:ind w:firstLine="630" w:firstLineChars="300"/>
        <w:jc w:val="left"/>
        <w:rPr>
          <w:rFonts w:ascii="宋体" w:hAnsi="宋体"/>
          <w:color w:val="auto"/>
          <w:highlight w:val="none"/>
        </w:rPr>
      </w:pPr>
      <w:r>
        <w:rPr>
          <w:rFonts w:hint="eastAsia" w:ascii="宋体" w:hAnsi="宋体"/>
          <w:color w:val="auto"/>
          <w:szCs w:val="21"/>
          <w:highlight w:val="none"/>
        </w:rPr>
        <w:t>4、</w:t>
      </w:r>
      <w:r>
        <w:rPr>
          <w:rFonts w:hint="eastAsia" w:ascii="宋体" w:hAnsi="宋体"/>
          <w:color w:val="auto"/>
          <w:highlight w:val="none"/>
        </w:rPr>
        <w:t>投标人在投标截止时间前修改“开标一览表”中的投标报价的，应同时修改投标文件“分项报价明细表”“享受政府采购政策优惠的证明资料”以及“联合体协议书”（如果影响）等相关内容。</w:t>
      </w:r>
    </w:p>
    <w:p w14:paraId="250302CC">
      <w:pPr>
        <w:adjustRightInd w:val="0"/>
        <w:snapToGrid w:val="0"/>
        <w:spacing w:line="360" w:lineRule="auto"/>
        <w:ind w:firstLine="420" w:firstLineChars="200"/>
        <w:rPr>
          <w:rFonts w:ascii="宋体" w:hAnsi="宋体"/>
          <w:color w:val="auto"/>
          <w:szCs w:val="21"/>
          <w:highlight w:val="none"/>
        </w:rPr>
      </w:pPr>
    </w:p>
    <w:p w14:paraId="48993536">
      <w:pPr>
        <w:adjustRightInd w:val="0"/>
        <w:snapToGrid w:val="0"/>
        <w:spacing w:line="360" w:lineRule="auto"/>
        <w:ind w:firstLine="420" w:firstLineChars="200"/>
        <w:rPr>
          <w:rFonts w:ascii="宋体" w:hAnsi="宋体"/>
          <w:color w:val="auto"/>
          <w:szCs w:val="21"/>
          <w:highlight w:val="none"/>
        </w:rPr>
      </w:pPr>
    </w:p>
    <w:p w14:paraId="41AB8851">
      <w:pPr>
        <w:adjustRightInd w:val="0"/>
        <w:snapToGrid w:val="0"/>
        <w:spacing w:line="360" w:lineRule="auto"/>
        <w:rPr>
          <w:rFonts w:ascii="宋体" w:hAnsi="宋体"/>
          <w:color w:val="auto"/>
          <w:szCs w:val="21"/>
          <w:highlight w:val="none"/>
        </w:rPr>
      </w:pPr>
    </w:p>
    <w:p w14:paraId="4F28A456">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投标人名称（盖单位电子章）：</w:t>
      </w:r>
    </w:p>
    <w:p w14:paraId="4AA35C26">
      <w:pPr>
        <w:adjustRightInd w:val="0"/>
        <w:snapToGrid w:val="0"/>
        <w:spacing w:line="360" w:lineRule="auto"/>
        <w:rPr>
          <w:rFonts w:ascii="宋体" w:hAnsi="宋体"/>
          <w:color w:val="auto"/>
          <w:szCs w:val="21"/>
          <w:highlight w:val="non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或其授权的代理人（电子签字或电子印章）：</w:t>
      </w:r>
      <w:r>
        <w:rPr>
          <w:rFonts w:hint="eastAsia" w:ascii="宋体" w:hAnsi="宋体"/>
          <w:color w:val="auto"/>
          <w:szCs w:val="21"/>
          <w:highlight w:val="none"/>
          <w:u w:val="single"/>
        </w:rPr>
        <w:t xml:space="preserve">                </w:t>
      </w:r>
    </w:p>
    <w:p w14:paraId="093094C3">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6FA3F047">
      <w:pPr>
        <w:widowControl/>
        <w:jc w:val="left"/>
        <w:rPr>
          <w:rFonts w:ascii="宋体" w:hAnsi="宋体"/>
          <w:color w:val="auto"/>
          <w:sz w:val="10"/>
          <w:szCs w:val="10"/>
          <w:highlight w:val="none"/>
        </w:rPr>
      </w:pPr>
      <w:r>
        <w:rPr>
          <w:rFonts w:ascii="宋体" w:hAnsi="宋体"/>
          <w:color w:val="auto"/>
          <w:szCs w:val="21"/>
          <w:highlight w:val="none"/>
        </w:rPr>
        <w:br w:type="page"/>
      </w:r>
    </w:p>
    <w:p w14:paraId="718BD5D9">
      <w:pPr>
        <w:pStyle w:val="11"/>
        <w:adjustRightInd w:val="0"/>
        <w:snapToGrid w:val="0"/>
        <w:spacing w:before="0" w:after="0" w:line="360" w:lineRule="auto"/>
        <w:jc w:val="center"/>
        <w:rPr>
          <w:rFonts w:hint="eastAsia" w:ascii="宋体" w:hAnsi="宋体" w:eastAsia="黑体"/>
          <w:color w:val="auto"/>
          <w:szCs w:val="21"/>
          <w:highlight w:val="none"/>
          <w:lang w:eastAsia="zh-CN"/>
        </w:rPr>
      </w:pPr>
      <w:bookmarkStart w:id="81" w:name="_Toc5854"/>
      <w:r>
        <w:rPr>
          <w:rFonts w:hint="eastAsia" w:ascii="黑体" w:hAnsi="宋体" w:eastAsia="黑体"/>
          <w:color w:val="auto"/>
          <w:sz w:val="28"/>
          <w:szCs w:val="28"/>
          <w:highlight w:val="none"/>
        </w:rPr>
        <w:t>二、投标保证金</w:t>
      </w:r>
      <w:bookmarkEnd w:id="81"/>
      <w:r>
        <w:rPr>
          <w:rFonts w:hint="eastAsia" w:ascii="黑体" w:hAnsi="宋体" w:eastAsia="黑体"/>
          <w:color w:val="auto"/>
          <w:sz w:val="28"/>
          <w:szCs w:val="28"/>
          <w:highlight w:val="none"/>
          <w:lang w:eastAsia="zh-CN"/>
        </w:rPr>
        <w:t>（本项目不适用）</w:t>
      </w:r>
    </w:p>
    <w:p w14:paraId="280D34E0">
      <w:pPr>
        <w:pStyle w:val="11"/>
        <w:adjustRightInd w:val="0"/>
        <w:snapToGrid w:val="0"/>
        <w:spacing w:before="0" w:after="0" w:line="360" w:lineRule="auto"/>
        <w:jc w:val="center"/>
        <w:rPr>
          <w:rFonts w:hint="eastAsia" w:ascii="黑体" w:hAnsi="宋体" w:eastAsia="黑体"/>
          <w:color w:val="auto"/>
          <w:sz w:val="28"/>
          <w:szCs w:val="28"/>
          <w:highlight w:val="none"/>
        </w:rPr>
      </w:pPr>
      <w:bookmarkStart w:id="82" w:name="_Toc22072"/>
    </w:p>
    <w:p w14:paraId="081C472A">
      <w:pPr>
        <w:rPr>
          <w:rFonts w:hint="eastAsia" w:ascii="黑体" w:hAnsi="宋体" w:eastAsia="黑体"/>
          <w:color w:val="auto"/>
          <w:sz w:val="28"/>
          <w:szCs w:val="28"/>
          <w:highlight w:val="none"/>
        </w:rPr>
      </w:pPr>
    </w:p>
    <w:p w14:paraId="036C7CDF">
      <w:pPr>
        <w:pStyle w:val="4"/>
        <w:rPr>
          <w:rFonts w:hint="eastAsia" w:ascii="黑体" w:hAnsi="宋体" w:eastAsia="黑体"/>
          <w:color w:val="auto"/>
          <w:sz w:val="28"/>
          <w:szCs w:val="28"/>
          <w:highlight w:val="none"/>
        </w:rPr>
      </w:pPr>
    </w:p>
    <w:p w14:paraId="2CA6E748">
      <w:pPr>
        <w:rPr>
          <w:rFonts w:hint="eastAsia" w:ascii="黑体" w:hAnsi="宋体" w:eastAsia="黑体"/>
          <w:color w:val="auto"/>
          <w:sz w:val="28"/>
          <w:szCs w:val="28"/>
          <w:highlight w:val="none"/>
        </w:rPr>
      </w:pPr>
    </w:p>
    <w:p w14:paraId="2BA82159">
      <w:pPr>
        <w:pStyle w:val="4"/>
        <w:rPr>
          <w:rFonts w:hint="eastAsia" w:ascii="黑体" w:hAnsi="宋体" w:eastAsia="黑体"/>
          <w:color w:val="auto"/>
          <w:sz w:val="28"/>
          <w:szCs w:val="28"/>
          <w:highlight w:val="none"/>
        </w:rPr>
      </w:pPr>
    </w:p>
    <w:p w14:paraId="61D36C0F">
      <w:pPr>
        <w:rPr>
          <w:rFonts w:hint="eastAsia" w:ascii="黑体" w:hAnsi="宋体" w:eastAsia="黑体"/>
          <w:color w:val="auto"/>
          <w:sz w:val="28"/>
          <w:szCs w:val="28"/>
          <w:highlight w:val="none"/>
        </w:rPr>
      </w:pPr>
    </w:p>
    <w:p w14:paraId="67E031FF">
      <w:pPr>
        <w:pStyle w:val="4"/>
        <w:rPr>
          <w:rFonts w:hint="eastAsia"/>
          <w:color w:val="auto"/>
          <w:highlight w:val="none"/>
        </w:rPr>
      </w:pPr>
    </w:p>
    <w:p w14:paraId="7D35EC10">
      <w:pPr>
        <w:pStyle w:val="11"/>
        <w:adjustRightInd w:val="0"/>
        <w:snapToGrid w:val="0"/>
        <w:spacing w:before="0" w:after="0" w:line="360" w:lineRule="auto"/>
        <w:jc w:val="center"/>
        <w:rPr>
          <w:rFonts w:hint="eastAsia" w:ascii="黑体" w:hAnsi="宋体" w:eastAsia="黑体"/>
          <w:color w:val="auto"/>
          <w:sz w:val="28"/>
          <w:szCs w:val="28"/>
          <w:highlight w:val="none"/>
        </w:rPr>
      </w:pPr>
    </w:p>
    <w:p w14:paraId="568619AF">
      <w:pPr>
        <w:pStyle w:val="11"/>
        <w:adjustRightInd w:val="0"/>
        <w:snapToGrid w:val="0"/>
        <w:spacing w:before="0" w:after="0" w:line="360" w:lineRule="auto"/>
        <w:jc w:val="center"/>
        <w:rPr>
          <w:rFonts w:hint="eastAsia" w:ascii="黑体" w:hAnsi="宋体" w:eastAsia="黑体"/>
          <w:color w:val="auto"/>
          <w:sz w:val="28"/>
          <w:szCs w:val="28"/>
          <w:highlight w:val="none"/>
        </w:rPr>
      </w:pPr>
    </w:p>
    <w:p w14:paraId="43A6AD5B">
      <w:pPr>
        <w:pStyle w:val="11"/>
        <w:adjustRightInd w:val="0"/>
        <w:snapToGrid w:val="0"/>
        <w:spacing w:before="0" w:after="0" w:line="360" w:lineRule="auto"/>
        <w:jc w:val="center"/>
        <w:rPr>
          <w:rFonts w:hint="eastAsia" w:ascii="黑体" w:hAnsi="宋体" w:eastAsia="黑体"/>
          <w:color w:val="auto"/>
          <w:sz w:val="28"/>
          <w:szCs w:val="28"/>
          <w:highlight w:val="none"/>
        </w:rPr>
      </w:pPr>
    </w:p>
    <w:p w14:paraId="11D59387">
      <w:pPr>
        <w:pStyle w:val="11"/>
        <w:adjustRightInd w:val="0"/>
        <w:snapToGrid w:val="0"/>
        <w:spacing w:before="0" w:after="0" w:line="360" w:lineRule="auto"/>
        <w:jc w:val="center"/>
        <w:rPr>
          <w:rFonts w:hint="eastAsia" w:ascii="黑体" w:hAnsi="宋体" w:eastAsia="黑体"/>
          <w:color w:val="auto"/>
          <w:sz w:val="28"/>
          <w:szCs w:val="28"/>
          <w:highlight w:val="none"/>
        </w:rPr>
      </w:pPr>
    </w:p>
    <w:p w14:paraId="789C0948">
      <w:pPr>
        <w:pStyle w:val="11"/>
        <w:adjustRightInd w:val="0"/>
        <w:snapToGrid w:val="0"/>
        <w:spacing w:before="0" w:after="0" w:line="360" w:lineRule="auto"/>
        <w:jc w:val="center"/>
        <w:rPr>
          <w:rFonts w:hint="eastAsia" w:ascii="黑体" w:hAnsi="宋体" w:eastAsia="黑体"/>
          <w:color w:val="auto"/>
          <w:sz w:val="28"/>
          <w:szCs w:val="28"/>
          <w:highlight w:val="none"/>
        </w:rPr>
      </w:pPr>
    </w:p>
    <w:p w14:paraId="25C1C96B">
      <w:pPr>
        <w:pStyle w:val="11"/>
        <w:adjustRightInd w:val="0"/>
        <w:snapToGrid w:val="0"/>
        <w:spacing w:before="0" w:after="0" w:line="360" w:lineRule="auto"/>
        <w:jc w:val="center"/>
        <w:rPr>
          <w:rFonts w:hint="eastAsia" w:ascii="黑体" w:hAnsi="宋体" w:eastAsia="黑体"/>
          <w:color w:val="auto"/>
          <w:sz w:val="28"/>
          <w:szCs w:val="28"/>
          <w:highlight w:val="none"/>
        </w:rPr>
      </w:pPr>
    </w:p>
    <w:p w14:paraId="6D03764B">
      <w:pPr>
        <w:rPr>
          <w:rFonts w:hint="eastAsia" w:ascii="黑体" w:hAnsi="宋体" w:eastAsia="黑体"/>
          <w:color w:val="auto"/>
          <w:sz w:val="28"/>
          <w:szCs w:val="28"/>
          <w:highlight w:val="none"/>
        </w:rPr>
      </w:pPr>
    </w:p>
    <w:p w14:paraId="36A7C136">
      <w:pPr>
        <w:pStyle w:val="4"/>
        <w:rPr>
          <w:rFonts w:hint="eastAsia" w:ascii="黑体" w:hAnsi="宋体" w:eastAsia="黑体"/>
          <w:color w:val="auto"/>
          <w:sz w:val="28"/>
          <w:szCs w:val="28"/>
          <w:highlight w:val="none"/>
        </w:rPr>
      </w:pPr>
    </w:p>
    <w:p w14:paraId="49A976FF">
      <w:pPr>
        <w:rPr>
          <w:rFonts w:hint="eastAsia" w:ascii="黑体" w:hAnsi="宋体" w:eastAsia="黑体"/>
          <w:color w:val="auto"/>
          <w:sz w:val="28"/>
          <w:szCs w:val="28"/>
          <w:highlight w:val="none"/>
        </w:rPr>
      </w:pPr>
    </w:p>
    <w:p w14:paraId="553BFCF5">
      <w:pPr>
        <w:pStyle w:val="4"/>
        <w:rPr>
          <w:rFonts w:hint="eastAsia" w:ascii="黑体" w:hAnsi="宋体" w:eastAsia="黑体"/>
          <w:color w:val="auto"/>
          <w:sz w:val="28"/>
          <w:szCs w:val="28"/>
          <w:highlight w:val="none"/>
        </w:rPr>
      </w:pPr>
    </w:p>
    <w:p w14:paraId="2C9AB01A">
      <w:pPr>
        <w:pStyle w:val="46"/>
        <w:rPr>
          <w:rFonts w:hint="eastAsia"/>
          <w:color w:val="auto"/>
          <w:highlight w:val="none"/>
        </w:rPr>
      </w:pPr>
    </w:p>
    <w:p w14:paraId="4795AFAE">
      <w:pPr>
        <w:rPr>
          <w:rFonts w:hint="eastAsia" w:ascii="黑体" w:hAnsi="宋体" w:eastAsia="黑体"/>
          <w:color w:val="auto"/>
          <w:sz w:val="28"/>
          <w:szCs w:val="28"/>
          <w:highlight w:val="none"/>
        </w:rPr>
      </w:pPr>
    </w:p>
    <w:p w14:paraId="2E51DB1F">
      <w:pPr>
        <w:pStyle w:val="4"/>
        <w:rPr>
          <w:rFonts w:hint="eastAsia"/>
          <w:color w:val="auto"/>
          <w:highlight w:val="none"/>
        </w:rPr>
      </w:pPr>
    </w:p>
    <w:p w14:paraId="2060A2D5">
      <w:pPr>
        <w:pStyle w:val="11"/>
        <w:adjustRightInd w:val="0"/>
        <w:snapToGrid w:val="0"/>
        <w:spacing w:before="0" w:after="0" w:line="360" w:lineRule="auto"/>
        <w:jc w:val="both"/>
        <w:rPr>
          <w:rFonts w:hint="eastAsia" w:ascii="黑体" w:hAnsi="宋体" w:eastAsia="黑体"/>
          <w:color w:val="auto"/>
          <w:sz w:val="28"/>
          <w:szCs w:val="28"/>
          <w:highlight w:val="none"/>
        </w:rPr>
      </w:pPr>
    </w:p>
    <w:p w14:paraId="58B64E0D">
      <w:pPr>
        <w:rPr>
          <w:rFonts w:hint="eastAsia"/>
          <w:color w:val="auto"/>
          <w:highlight w:val="none"/>
        </w:rPr>
      </w:pPr>
    </w:p>
    <w:p w14:paraId="07C8A776">
      <w:pPr>
        <w:pStyle w:val="11"/>
        <w:adjustRightInd w:val="0"/>
        <w:snapToGrid w:val="0"/>
        <w:spacing w:before="0" w:after="0" w:line="360" w:lineRule="auto"/>
        <w:jc w:val="center"/>
        <w:rPr>
          <w:rFonts w:hint="eastAsia" w:ascii="黑体" w:hAnsi="宋体" w:eastAsia="黑体"/>
          <w:color w:val="auto"/>
          <w:sz w:val="28"/>
          <w:szCs w:val="28"/>
          <w:highlight w:val="none"/>
        </w:rPr>
      </w:pPr>
    </w:p>
    <w:bookmarkEnd w:id="82"/>
    <w:p w14:paraId="03521536">
      <w:pPr>
        <w:widowControl/>
        <w:jc w:val="center"/>
        <w:outlineLvl w:val="2"/>
        <w:rPr>
          <w:rFonts w:ascii="黑体" w:hAnsi="黑体" w:eastAsia="黑体"/>
          <w:color w:val="auto"/>
          <w:sz w:val="28"/>
          <w:szCs w:val="28"/>
          <w:highlight w:val="none"/>
        </w:rPr>
      </w:pPr>
      <w:bookmarkStart w:id="83" w:name="_Toc27632"/>
      <w:r>
        <w:rPr>
          <w:rFonts w:hint="eastAsia" w:ascii="黑体" w:hAnsi="黑体" w:eastAsia="黑体"/>
          <w:color w:val="auto"/>
          <w:sz w:val="28"/>
          <w:szCs w:val="28"/>
          <w:highlight w:val="none"/>
        </w:rPr>
        <w:t>三、法定代表人（单位负责人）身份证明</w:t>
      </w:r>
      <w:bookmarkEnd w:id="83"/>
    </w:p>
    <w:p w14:paraId="13571F87">
      <w:pPr>
        <w:tabs>
          <w:tab w:val="left" w:pos="3880"/>
        </w:tabs>
        <w:autoSpaceDE w:val="0"/>
        <w:autoSpaceDN w:val="0"/>
        <w:adjustRightInd w:val="0"/>
        <w:snapToGrid w:val="0"/>
        <w:spacing w:line="360" w:lineRule="auto"/>
        <w:ind w:left="100" w:right="-20"/>
        <w:jc w:val="left"/>
        <w:rPr>
          <w:rFonts w:ascii="宋体" w:hAnsi="宋体" w:cs="微软雅黑"/>
          <w:color w:val="auto"/>
          <w:kern w:val="0"/>
          <w:position w:val="-4"/>
          <w:szCs w:val="21"/>
          <w:highlight w:val="none"/>
        </w:rPr>
      </w:pPr>
    </w:p>
    <w:p w14:paraId="7DCA43E0">
      <w:pPr>
        <w:tabs>
          <w:tab w:val="left" w:pos="3880"/>
        </w:tabs>
        <w:autoSpaceDE w:val="0"/>
        <w:autoSpaceDN w:val="0"/>
        <w:adjustRightInd w:val="0"/>
        <w:snapToGrid w:val="0"/>
        <w:spacing w:line="360" w:lineRule="auto"/>
        <w:ind w:left="100" w:right="-20"/>
        <w:jc w:val="left"/>
        <w:rPr>
          <w:rFonts w:ascii="宋体" w:hAnsi="宋体" w:cs="微软雅黑"/>
          <w:color w:val="auto"/>
          <w:kern w:val="0"/>
          <w:szCs w:val="21"/>
          <w:highlight w:val="none"/>
        </w:rPr>
      </w:pPr>
      <w:r>
        <w:rPr>
          <w:rFonts w:hint="eastAsia" w:ascii="宋体" w:hAnsi="宋体" w:cs="微软雅黑"/>
          <w:color w:val="auto"/>
          <w:kern w:val="0"/>
          <w:position w:val="-4"/>
          <w:szCs w:val="21"/>
          <w:highlight w:val="none"/>
        </w:rPr>
        <w:t>投标</w:t>
      </w:r>
      <w:r>
        <w:rPr>
          <w:rFonts w:hint="eastAsia" w:ascii="宋体" w:hAnsi="宋体" w:cs="微软雅黑"/>
          <w:color w:val="auto"/>
          <w:spacing w:val="-2"/>
          <w:kern w:val="0"/>
          <w:position w:val="-4"/>
          <w:szCs w:val="21"/>
          <w:highlight w:val="none"/>
        </w:rPr>
        <w:t>人</w:t>
      </w:r>
      <w:r>
        <w:rPr>
          <w:rFonts w:hint="eastAsia" w:ascii="宋体" w:hAnsi="宋体" w:cs="微软雅黑"/>
          <w:color w:val="auto"/>
          <w:kern w:val="0"/>
          <w:position w:val="-4"/>
          <w:szCs w:val="21"/>
          <w:highlight w:val="none"/>
        </w:rPr>
        <w:t>名</w:t>
      </w:r>
      <w:r>
        <w:rPr>
          <w:rFonts w:hint="eastAsia" w:ascii="宋体" w:hAnsi="宋体" w:cs="微软雅黑"/>
          <w:color w:val="auto"/>
          <w:spacing w:val="-2"/>
          <w:kern w:val="0"/>
          <w:position w:val="-4"/>
          <w:szCs w:val="21"/>
          <w:highlight w:val="none"/>
        </w:rPr>
        <w:t>称</w:t>
      </w:r>
      <w:r>
        <w:rPr>
          <w:rFonts w:hint="eastAsia" w:ascii="宋体" w:hAnsi="宋体" w:cs="微软雅黑"/>
          <w:color w:val="auto"/>
          <w:kern w:val="0"/>
          <w:position w:val="-4"/>
          <w:szCs w:val="21"/>
          <w:highlight w:val="none"/>
        </w:rPr>
        <w:t>：</w:t>
      </w:r>
      <w:r>
        <w:rPr>
          <w:rFonts w:hint="eastAsia" w:ascii="宋体" w:hAnsi="宋体"/>
          <w:color w:val="auto"/>
          <w:szCs w:val="21"/>
          <w:highlight w:val="none"/>
          <w:u w:val="single"/>
        </w:rPr>
        <w:t xml:space="preserve">                 </w:t>
      </w:r>
    </w:p>
    <w:p w14:paraId="305A4724">
      <w:pPr>
        <w:tabs>
          <w:tab w:val="left" w:pos="2400"/>
          <w:tab w:val="left" w:pos="3880"/>
          <w:tab w:val="left" w:pos="5340"/>
          <w:tab w:val="left" w:pos="6820"/>
        </w:tabs>
        <w:autoSpaceDE w:val="0"/>
        <w:autoSpaceDN w:val="0"/>
        <w:adjustRightInd w:val="0"/>
        <w:snapToGrid w:val="0"/>
        <w:spacing w:line="360" w:lineRule="auto"/>
        <w:ind w:left="100" w:right="-20"/>
        <w:jc w:val="left"/>
        <w:rPr>
          <w:rFonts w:ascii="宋体" w:hAnsi="宋体" w:cs="微软雅黑"/>
          <w:color w:val="auto"/>
          <w:kern w:val="0"/>
          <w:position w:val="-2"/>
          <w:szCs w:val="21"/>
          <w:highlight w:val="none"/>
        </w:rPr>
      </w:pPr>
      <w:r>
        <w:rPr>
          <w:rFonts w:hint="eastAsia" w:ascii="宋体" w:hAnsi="宋体" w:cs="微软雅黑"/>
          <w:color w:val="auto"/>
          <w:kern w:val="0"/>
          <w:position w:val="-2"/>
          <w:szCs w:val="21"/>
          <w:highlight w:val="none"/>
        </w:rPr>
        <w:t>统一社会信用代码：</w:t>
      </w:r>
      <w:r>
        <w:rPr>
          <w:rFonts w:hint="eastAsia" w:ascii="宋体" w:hAnsi="宋体"/>
          <w:color w:val="auto"/>
          <w:szCs w:val="21"/>
          <w:highlight w:val="none"/>
          <w:u w:val="single"/>
        </w:rPr>
        <w:t xml:space="preserve">                 </w:t>
      </w:r>
    </w:p>
    <w:p w14:paraId="5333B344">
      <w:pPr>
        <w:tabs>
          <w:tab w:val="left" w:pos="2400"/>
          <w:tab w:val="left" w:pos="3880"/>
          <w:tab w:val="left" w:pos="5340"/>
          <w:tab w:val="left" w:pos="6820"/>
        </w:tabs>
        <w:autoSpaceDE w:val="0"/>
        <w:autoSpaceDN w:val="0"/>
        <w:adjustRightInd w:val="0"/>
        <w:snapToGrid w:val="0"/>
        <w:spacing w:line="360" w:lineRule="auto"/>
        <w:ind w:left="100" w:right="-20"/>
        <w:jc w:val="left"/>
        <w:rPr>
          <w:rFonts w:ascii="宋体" w:hAnsi="宋体" w:cs="微软雅黑"/>
          <w:color w:val="auto"/>
          <w:kern w:val="0"/>
          <w:position w:val="-2"/>
          <w:szCs w:val="21"/>
          <w:highlight w:val="none"/>
        </w:rPr>
      </w:pPr>
      <w:r>
        <w:rPr>
          <w:rFonts w:hint="eastAsia" w:ascii="宋体" w:hAnsi="宋体" w:cs="微软雅黑"/>
          <w:color w:val="auto"/>
          <w:kern w:val="0"/>
          <w:position w:val="-2"/>
          <w:szCs w:val="21"/>
          <w:highlight w:val="none"/>
        </w:rPr>
        <w:t>注册地址：</w:t>
      </w:r>
      <w:r>
        <w:rPr>
          <w:rFonts w:hint="eastAsia" w:ascii="宋体" w:hAnsi="宋体"/>
          <w:color w:val="auto"/>
          <w:szCs w:val="21"/>
          <w:highlight w:val="none"/>
          <w:u w:val="single"/>
        </w:rPr>
        <w:t xml:space="preserve">                 </w:t>
      </w:r>
    </w:p>
    <w:p w14:paraId="4BBBDDB3">
      <w:pPr>
        <w:tabs>
          <w:tab w:val="left" w:pos="2400"/>
          <w:tab w:val="left" w:pos="3880"/>
          <w:tab w:val="left" w:pos="5340"/>
          <w:tab w:val="left" w:pos="6820"/>
        </w:tabs>
        <w:autoSpaceDE w:val="0"/>
        <w:autoSpaceDN w:val="0"/>
        <w:adjustRightInd w:val="0"/>
        <w:snapToGrid w:val="0"/>
        <w:spacing w:line="360" w:lineRule="auto"/>
        <w:ind w:left="102" w:right="-23" w:firstLine="420" w:firstLineChars="200"/>
        <w:jc w:val="left"/>
        <w:rPr>
          <w:rFonts w:ascii="宋体" w:hAnsi="宋体" w:cs="微软雅黑"/>
          <w:color w:val="auto"/>
          <w:kern w:val="0"/>
          <w:szCs w:val="21"/>
          <w:highlight w:val="none"/>
        </w:rPr>
      </w:pPr>
      <w:r>
        <w:rPr>
          <w:rFonts w:hint="eastAsia" w:ascii="宋体" w:hAnsi="宋体" w:cs="微软雅黑"/>
          <w:color w:val="auto"/>
          <w:kern w:val="0"/>
          <w:position w:val="-2"/>
          <w:szCs w:val="21"/>
          <w:highlight w:val="none"/>
        </w:rPr>
        <w:t>姓名</w:t>
      </w:r>
      <w:r>
        <w:rPr>
          <w:rFonts w:hint="eastAsia" w:ascii="宋体" w:hAnsi="宋体" w:cs="微软雅黑"/>
          <w:color w:val="auto"/>
          <w:spacing w:val="-2"/>
          <w:kern w:val="0"/>
          <w:position w:val="-2"/>
          <w:szCs w:val="21"/>
          <w:highlight w:val="none"/>
        </w:rPr>
        <w:t>：</w:t>
      </w:r>
      <w:r>
        <w:rPr>
          <w:rFonts w:hint="eastAsia" w:ascii="宋体" w:hAnsi="宋体"/>
          <w:color w:val="auto"/>
          <w:szCs w:val="21"/>
          <w:highlight w:val="none"/>
          <w:u w:val="single"/>
        </w:rPr>
        <w:t xml:space="preserve">         </w:t>
      </w:r>
      <w:r>
        <w:rPr>
          <w:rFonts w:hint="eastAsia" w:ascii="宋体" w:hAnsi="宋体" w:cs="微软雅黑"/>
          <w:color w:val="auto"/>
          <w:kern w:val="0"/>
          <w:position w:val="-2"/>
          <w:szCs w:val="21"/>
          <w:highlight w:val="none"/>
        </w:rPr>
        <w:t>性别</w:t>
      </w:r>
      <w:r>
        <w:rPr>
          <w:rFonts w:hint="eastAsia" w:ascii="宋体" w:hAnsi="宋体" w:cs="微软雅黑"/>
          <w:color w:val="auto"/>
          <w:spacing w:val="-2"/>
          <w:kern w:val="0"/>
          <w:position w:val="-2"/>
          <w:szCs w:val="21"/>
          <w:highlight w:val="none"/>
        </w:rPr>
        <w:t>：</w:t>
      </w:r>
      <w:r>
        <w:rPr>
          <w:rFonts w:hint="eastAsia" w:ascii="宋体" w:hAnsi="宋体"/>
          <w:color w:val="auto"/>
          <w:szCs w:val="21"/>
          <w:highlight w:val="none"/>
          <w:u w:val="single"/>
        </w:rPr>
        <w:t xml:space="preserve">         </w:t>
      </w:r>
      <w:r>
        <w:rPr>
          <w:rFonts w:hint="eastAsia" w:ascii="宋体" w:hAnsi="宋体" w:cs="微软雅黑"/>
          <w:color w:val="auto"/>
          <w:kern w:val="0"/>
          <w:position w:val="-2"/>
          <w:szCs w:val="21"/>
          <w:highlight w:val="none"/>
        </w:rPr>
        <w:t>年</w:t>
      </w:r>
      <w:r>
        <w:rPr>
          <w:rFonts w:hint="eastAsia" w:ascii="宋体" w:hAnsi="宋体" w:cs="微软雅黑"/>
          <w:color w:val="auto"/>
          <w:spacing w:val="-2"/>
          <w:kern w:val="0"/>
          <w:position w:val="-2"/>
          <w:szCs w:val="21"/>
          <w:highlight w:val="none"/>
        </w:rPr>
        <w:t>龄</w:t>
      </w:r>
      <w:r>
        <w:rPr>
          <w:rFonts w:hint="eastAsia" w:ascii="宋体" w:hAnsi="宋体" w:cs="微软雅黑"/>
          <w:color w:val="auto"/>
          <w:kern w:val="0"/>
          <w:position w:val="-2"/>
          <w:szCs w:val="21"/>
          <w:highlight w:val="none"/>
        </w:rPr>
        <w:t>：</w:t>
      </w:r>
      <w:r>
        <w:rPr>
          <w:rFonts w:hint="eastAsia" w:ascii="宋体" w:hAnsi="宋体"/>
          <w:color w:val="auto"/>
          <w:szCs w:val="21"/>
          <w:highlight w:val="none"/>
          <w:u w:val="single"/>
        </w:rPr>
        <w:t xml:space="preserve">         </w:t>
      </w:r>
      <w:r>
        <w:rPr>
          <w:rFonts w:hint="eastAsia" w:ascii="宋体" w:hAnsi="宋体" w:cs="微软雅黑"/>
          <w:color w:val="auto"/>
          <w:kern w:val="0"/>
          <w:position w:val="-2"/>
          <w:szCs w:val="21"/>
          <w:highlight w:val="none"/>
        </w:rPr>
        <w:t>职</w:t>
      </w:r>
      <w:r>
        <w:rPr>
          <w:rFonts w:hint="eastAsia" w:ascii="宋体" w:hAnsi="宋体" w:cs="微软雅黑"/>
          <w:color w:val="auto"/>
          <w:spacing w:val="-2"/>
          <w:kern w:val="0"/>
          <w:position w:val="-2"/>
          <w:szCs w:val="21"/>
          <w:highlight w:val="none"/>
        </w:rPr>
        <w:t>务</w:t>
      </w:r>
      <w:r>
        <w:rPr>
          <w:rFonts w:hint="eastAsia" w:ascii="宋体" w:hAnsi="宋体" w:cs="微软雅黑"/>
          <w:color w:val="auto"/>
          <w:kern w:val="0"/>
          <w:position w:val="-2"/>
          <w:szCs w:val="21"/>
          <w:highlight w:val="none"/>
        </w:rPr>
        <w:t>：</w:t>
      </w:r>
      <w:r>
        <w:rPr>
          <w:rFonts w:hint="eastAsia" w:ascii="宋体" w:hAnsi="宋体"/>
          <w:color w:val="auto"/>
          <w:szCs w:val="21"/>
          <w:highlight w:val="none"/>
          <w:u w:val="single"/>
        </w:rPr>
        <w:t xml:space="preserve">         </w:t>
      </w:r>
      <w:r>
        <w:rPr>
          <w:rFonts w:hint="eastAsia" w:ascii="宋体" w:hAnsi="宋体" w:cs="微软雅黑"/>
          <w:color w:val="auto"/>
          <w:kern w:val="0"/>
          <w:position w:val="-2"/>
          <w:szCs w:val="21"/>
          <w:highlight w:val="none"/>
        </w:rPr>
        <w:t>系</w:t>
      </w:r>
      <w:r>
        <w:rPr>
          <w:rFonts w:hint="eastAsia" w:ascii="宋体" w:hAnsi="宋体"/>
          <w:color w:val="auto"/>
          <w:szCs w:val="21"/>
          <w:highlight w:val="none"/>
          <w:u w:val="single"/>
        </w:rPr>
        <w:t xml:space="preserve">         </w:t>
      </w:r>
      <w:r>
        <w:rPr>
          <w:rFonts w:hint="eastAsia" w:ascii="宋体" w:hAnsi="宋体" w:cs="微软雅黑"/>
          <w:color w:val="auto"/>
          <w:spacing w:val="-2"/>
          <w:kern w:val="0"/>
          <w:position w:val="-2"/>
          <w:szCs w:val="21"/>
          <w:highlight w:val="none"/>
        </w:rPr>
        <w:t>（</w:t>
      </w:r>
      <w:r>
        <w:rPr>
          <w:rFonts w:hint="eastAsia" w:ascii="宋体" w:hAnsi="宋体" w:cs="微软雅黑"/>
          <w:color w:val="auto"/>
          <w:kern w:val="0"/>
          <w:position w:val="-2"/>
          <w:szCs w:val="21"/>
          <w:highlight w:val="none"/>
        </w:rPr>
        <w:t>投</w:t>
      </w:r>
      <w:r>
        <w:rPr>
          <w:rFonts w:hint="eastAsia" w:ascii="宋体" w:hAnsi="宋体" w:cs="微软雅黑"/>
          <w:color w:val="auto"/>
          <w:spacing w:val="-2"/>
          <w:kern w:val="0"/>
          <w:position w:val="-2"/>
          <w:szCs w:val="21"/>
          <w:highlight w:val="none"/>
        </w:rPr>
        <w:t>标</w:t>
      </w:r>
      <w:r>
        <w:rPr>
          <w:rFonts w:hint="eastAsia" w:ascii="宋体" w:hAnsi="宋体" w:cs="微软雅黑"/>
          <w:color w:val="auto"/>
          <w:kern w:val="0"/>
          <w:position w:val="-2"/>
          <w:szCs w:val="21"/>
          <w:highlight w:val="none"/>
        </w:rPr>
        <w:t>人</w:t>
      </w:r>
      <w:r>
        <w:rPr>
          <w:rFonts w:hint="eastAsia" w:ascii="宋体" w:hAnsi="宋体" w:cs="微软雅黑"/>
          <w:color w:val="auto"/>
          <w:spacing w:val="-2"/>
          <w:kern w:val="0"/>
          <w:position w:val="-2"/>
          <w:szCs w:val="21"/>
          <w:highlight w:val="none"/>
        </w:rPr>
        <w:t>名</w:t>
      </w:r>
      <w:r>
        <w:rPr>
          <w:rFonts w:hint="eastAsia" w:ascii="宋体" w:hAnsi="宋体" w:cs="微软雅黑"/>
          <w:color w:val="auto"/>
          <w:kern w:val="0"/>
          <w:position w:val="-2"/>
          <w:szCs w:val="21"/>
          <w:highlight w:val="none"/>
        </w:rPr>
        <w:t>称</w:t>
      </w:r>
      <w:r>
        <w:rPr>
          <w:rFonts w:hint="eastAsia" w:ascii="宋体" w:hAnsi="宋体" w:cs="微软雅黑"/>
          <w:color w:val="auto"/>
          <w:spacing w:val="-2"/>
          <w:kern w:val="0"/>
          <w:position w:val="-2"/>
          <w:szCs w:val="21"/>
          <w:highlight w:val="none"/>
        </w:rPr>
        <w:t>）</w:t>
      </w:r>
      <w:r>
        <w:rPr>
          <w:rFonts w:hint="eastAsia" w:ascii="宋体" w:hAnsi="宋体" w:cs="微软雅黑"/>
          <w:color w:val="auto"/>
          <w:kern w:val="0"/>
          <w:position w:val="-2"/>
          <w:szCs w:val="21"/>
          <w:highlight w:val="none"/>
        </w:rPr>
        <w:t>的</w:t>
      </w:r>
      <w:r>
        <w:rPr>
          <w:rFonts w:hint="eastAsia" w:ascii="宋体" w:hAnsi="宋体" w:cs="微软雅黑"/>
          <w:color w:val="auto"/>
          <w:spacing w:val="-2"/>
          <w:kern w:val="0"/>
          <w:position w:val="-2"/>
          <w:szCs w:val="21"/>
          <w:highlight w:val="none"/>
        </w:rPr>
        <w:t>法定</w:t>
      </w:r>
      <w:r>
        <w:rPr>
          <w:rFonts w:hint="eastAsia" w:ascii="宋体" w:hAnsi="宋体" w:cs="微软雅黑"/>
          <w:color w:val="auto"/>
          <w:kern w:val="0"/>
          <w:position w:val="-2"/>
          <w:szCs w:val="21"/>
          <w:highlight w:val="none"/>
        </w:rPr>
        <w:t>代表</w:t>
      </w:r>
      <w:r>
        <w:rPr>
          <w:rFonts w:hint="eastAsia" w:ascii="宋体" w:hAnsi="宋体" w:cs="微软雅黑"/>
          <w:color w:val="auto"/>
          <w:spacing w:val="-2"/>
          <w:kern w:val="0"/>
          <w:position w:val="-2"/>
          <w:szCs w:val="21"/>
          <w:highlight w:val="none"/>
        </w:rPr>
        <w:t>人</w:t>
      </w:r>
      <w:r>
        <w:rPr>
          <w:rFonts w:hint="eastAsia" w:ascii="宋体" w:hAnsi="宋体" w:cs="微软雅黑"/>
          <w:color w:val="auto"/>
          <w:kern w:val="0"/>
          <w:position w:val="-2"/>
          <w:szCs w:val="21"/>
          <w:highlight w:val="none"/>
        </w:rPr>
        <w:t>（</w:t>
      </w:r>
      <w:r>
        <w:rPr>
          <w:rFonts w:hint="eastAsia" w:ascii="宋体" w:hAnsi="宋体" w:cs="微软雅黑"/>
          <w:color w:val="auto"/>
          <w:spacing w:val="-2"/>
          <w:kern w:val="0"/>
          <w:position w:val="-2"/>
          <w:szCs w:val="21"/>
          <w:highlight w:val="none"/>
        </w:rPr>
        <w:t>单</w:t>
      </w:r>
      <w:r>
        <w:rPr>
          <w:rFonts w:hint="eastAsia" w:ascii="宋体" w:hAnsi="宋体" w:cs="微软雅黑"/>
          <w:color w:val="auto"/>
          <w:kern w:val="0"/>
          <w:position w:val="-2"/>
          <w:szCs w:val="21"/>
          <w:highlight w:val="none"/>
        </w:rPr>
        <w:t>位</w:t>
      </w:r>
      <w:r>
        <w:rPr>
          <w:rFonts w:hint="eastAsia" w:ascii="宋体" w:hAnsi="宋体" w:cs="微软雅黑"/>
          <w:color w:val="auto"/>
          <w:spacing w:val="-2"/>
          <w:kern w:val="0"/>
          <w:position w:val="-2"/>
          <w:szCs w:val="21"/>
          <w:highlight w:val="none"/>
        </w:rPr>
        <w:t>负</w:t>
      </w:r>
      <w:r>
        <w:rPr>
          <w:rFonts w:hint="eastAsia" w:ascii="宋体" w:hAnsi="宋体" w:cs="微软雅黑"/>
          <w:color w:val="auto"/>
          <w:kern w:val="0"/>
          <w:position w:val="-2"/>
          <w:szCs w:val="21"/>
          <w:highlight w:val="none"/>
        </w:rPr>
        <w:t>责</w:t>
      </w:r>
      <w:r>
        <w:rPr>
          <w:rFonts w:hint="eastAsia" w:ascii="宋体" w:hAnsi="宋体" w:cs="微软雅黑"/>
          <w:color w:val="auto"/>
          <w:spacing w:val="-2"/>
          <w:kern w:val="0"/>
          <w:position w:val="-2"/>
          <w:szCs w:val="21"/>
          <w:highlight w:val="none"/>
        </w:rPr>
        <w:t>人</w:t>
      </w:r>
      <w:r>
        <w:rPr>
          <w:rFonts w:hint="eastAsia" w:ascii="宋体" w:hAnsi="宋体" w:cs="微软雅黑"/>
          <w:color w:val="auto"/>
          <w:spacing w:val="-106"/>
          <w:kern w:val="0"/>
          <w:position w:val="-2"/>
          <w:szCs w:val="21"/>
          <w:highlight w:val="none"/>
        </w:rPr>
        <w:t>）</w:t>
      </w:r>
      <w:r>
        <w:rPr>
          <w:rFonts w:hint="eastAsia" w:ascii="宋体" w:hAnsi="宋体" w:cs="微软雅黑"/>
          <w:color w:val="auto"/>
          <w:kern w:val="0"/>
          <w:position w:val="-2"/>
          <w:szCs w:val="21"/>
          <w:highlight w:val="none"/>
        </w:rPr>
        <w:t>。</w:t>
      </w:r>
    </w:p>
    <w:p w14:paraId="7164833C">
      <w:pPr>
        <w:autoSpaceDE w:val="0"/>
        <w:autoSpaceDN w:val="0"/>
        <w:adjustRightInd w:val="0"/>
        <w:snapToGrid w:val="0"/>
        <w:spacing w:line="360" w:lineRule="auto"/>
        <w:ind w:left="520" w:right="-20"/>
        <w:jc w:val="left"/>
        <w:rPr>
          <w:rFonts w:ascii="宋体" w:hAnsi="宋体" w:cs="微软雅黑"/>
          <w:color w:val="auto"/>
          <w:kern w:val="0"/>
          <w:szCs w:val="21"/>
          <w:highlight w:val="none"/>
        </w:rPr>
      </w:pPr>
      <w:r>
        <w:rPr>
          <w:rFonts w:hint="eastAsia" w:ascii="宋体" w:hAnsi="宋体" w:cs="微软雅黑"/>
          <w:color w:val="auto"/>
          <w:kern w:val="0"/>
          <w:szCs w:val="21"/>
          <w:highlight w:val="none"/>
        </w:rPr>
        <w:t>特此</w:t>
      </w:r>
      <w:r>
        <w:rPr>
          <w:rFonts w:hint="eastAsia" w:ascii="宋体" w:hAnsi="宋体" w:cs="微软雅黑"/>
          <w:color w:val="auto"/>
          <w:spacing w:val="-2"/>
          <w:kern w:val="0"/>
          <w:szCs w:val="21"/>
          <w:highlight w:val="none"/>
        </w:rPr>
        <w:t>证</w:t>
      </w:r>
      <w:r>
        <w:rPr>
          <w:rFonts w:hint="eastAsia" w:ascii="宋体" w:hAnsi="宋体" w:cs="微软雅黑"/>
          <w:color w:val="auto"/>
          <w:kern w:val="0"/>
          <w:szCs w:val="21"/>
          <w:highlight w:val="none"/>
        </w:rPr>
        <w:t>明。</w:t>
      </w:r>
    </w:p>
    <w:p w14:paraId="06D4F9C6">
      <w:pPr>
        <w:autoSpaceDE w:val="0"/>
        <w:autoSpaceDN w:val="0"/>
        <w:adjustRightInd w:val="0"/>
        <w:snapToGrid w:val="0"/>
        <w:spacing w:line="360" w:lineRule="auto"/>
        <w:ind w:left="100" w:right="4231"/>
        <w:jc w:val="left"/>
        <w:rPr>
          <w:rFonts w:ascii="宋体" w:hAnsi="宋体" w:cs="微软雅黑"/>
          <w:color w:val="auto"/>
          <w:kern w:val="0"/>
          <w:szCs w:val="21"/>
          <w:highlight w:val="none"/>
        </w:rPr>
      </w:pPr>
      <w:r>
        <w:rPr>
          <w:rFonts w:hint="eastAsia" w:ascii="宋体" w:hAnsi="宋体" w:cs="微软雅黑"/>
          <w:color w:val="auto"/>
          <w:kern w:val="0"/>
          <w:szCs w:val="21"/>
          <w:highlight w:val="none"/>
        </w:rPr>
        <w:t>附：</w:t>
      </w: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s="微软雅黑"/>
          <w:color w:val="auto"/>
          <w:kern w:val="0"/>
          <w:szCs w:val="21"/>
          <w:highlight w:val="none"/>
        </w:rPr>
        <w:t>身</w:t>
      </w:r>
      <w:r>
        <w:rPr>
          <w:rFonts w:hint="eastAsia" w:ascii="宋体" w:hAnsi="宋体" w:cs="微软雅黑"/>
          <w:color w:val="auto"/>
          <w:spacing w:val="-2"/>
          <w:kern w:val="0"/>
          <w:szCs w:val="21"/>
          <w:highlight w:val="none"/>
        </w:rPr>
        <w:t>份</w:t>
      </w:r>
      <w:r>
        <w:rPr>
          <w:rFonts w:hint="eastAsia" w:ascii="宋体" w:hAnsi="宋体" w:cs="微软雅黑"/>
          <w:color w:val="auto"/>
          <w:kern w:val="0"/>
          <w:szCs w:val="21"/>
          <w:highlight w:val="none"/>
        </w:rPr>
        <w:t>证</w:t>
      </w:r>
      <w:r>
        <w:rPr>
          <w:rFonts w:hint="eastAsia" w:ascii="宋体" w:hAnsi="宋体" w:cs="微软雅黑"/>
          <w:color w:val="auto"/>
          <w:spacing w:val="-2"/>
          <w:kern w:val="0"/>
          <w:szCs w:val="21"/>
          <w:highlight w:val="none"/>
        </w:rPr>
        <w:t>扫描件</w:t>
      </w:r>
      <w:r>
        <w:rPr>
          <w:rFonts w:hint="eastAsia" w:ascii="宋体" w:hAnsi="宋体" w:cs="微软雅黑"/>
          <w:color w:val="auto"/>
          <w:kern w:val="0"/>
          <w:szCs w:val="21"/>
          <w:highlight w:val="none"/>
        </w:rPr>
        <w:t>。</w:t>
      </w:r>
    </w:p>
    <w:tbl>
      <w:tblPr>
        <w:tblStyle w:val="29"/>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7CC1E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0" w:hRule="atLeast"/>
        </w:trPr>
        <w:tc>
          <w:tcPr>
            <w:tcW w:w="3898" w:type="dxa"/>
            <w:noWrap w:val="0"/>
            <w:vAlign w:val="center"/>
          </w:tcPr>
          <w:p w14:paraId="71BCB23D">
            <w:pPr>
              <w:adjustRightInd w:val="0"/>
              <w:snapToGrid w:val="0"/>
              <w:spacing w:line="360" w:lineRule="auto"/>
              <w:jc w:val="center"/>
              <w:rPr>
                <w:rFonts w:hint="eastAsia" w:ascii="宋体" w:hAnsi="宋体"/>
                <w:color w:val="auto"/>
                <w:szCs w:val="21"/>
                <w:highlight w:val="none"/>
              </w:rPr>
            </w:pPr>
            <w:r>
              <w:rPr>
                <w:rFonts w:hint="eastAsia" w:ascii="宋体" w:hAnsi="宋体"/>
                <w:color w:val="auto"/>
                <w:szCs w:val="21"/>
                <w:highlight w:val="none"/>
              </w:rPr>
              <w:t>身份证（正面）</w:t>
            </w:r>
            <w:r>
              <w:rPr>
                <w:rFonts w:hint="eastAsia" w:ascii="宋体" w:hAnsi="宋体" w:cs="微软雅黑"/>
                <w:color w:val="auto"/>
                <w:spacing w:val="-2"/>
                <w:kern w:val="0"/>
                <w:szCs w:val="21"/>
                <w:highlight w:val="none"/>
              </w:rPr>
              <w:t>扫描件</w:t>
            </w:r>
          </w:p>
        </w:tc>
        <w:tc>
          <w:tcPr>
            <w:tcW w:w="3899" w:type="dxa"/>
            <w:noWrap w:val="0"/>
            <w:vAlign w:val="center"/>
          </w:tcPr>
          <w:p w14:paraId="531E9A15">
            <w:pPr>
              <w:adjustRightInd w:val="0"/>
              <w:snapToGrid w:val="0"/>
              <w:spacing w:line="360" w:lineRule="auto"/>
              <w:jc w:val="center"/>
              <w:rPr>
                <w:rFonts w:hint="eastAsia" w:ascii="宋体" w:hAnsi="宋体"/>
                <w:color w:val="auto"/>
                <w:szCs w:val="21"/>
                <w:highlight w:val="none"/>
              </w:rPr>
            </w:pPr>
            <w:r>
              <w:rPr>
                <w:rFonts w:hint="eastAsia" w:ascii="宋体" w:hAnsi="宋体"/>
                <w:color w:val="auto"/>
                <w:szCs w:val="21"/>
                <w:highlight w:val="none"/>
              </w:rPr>
              <w:t>身份证（反面）</w:t>
            </w:r>
            <w:r>
              <w:rPr>
                <w:rFonts w:hint="eastAsia" w:ascii="宋体" w:hAnsi="宋体" w:cs="微软雅黑"/>
                <w:color w:val="auto"/>
                <w:spacing w:val="-2"/>
                <w:kern w:val="0"/>
                <w:szCs w:val="21"/>
                <w:highlight w:val="none"/>
              </w:rPr>
              <w:t>扫描件</w:t>
            </w:r>
          </w:p>
        </w:tc>
      </w:tr>
    </w:tbl>
    <w:p w14:paraId="4C14B3B1">
      <w:pPr>
        <w:adjustRightInd w:val="0"/>
        <w:snapToGrid w:val="0"/>
        <w:spacing w:line="360" w:lineRule="auto"/>
        <w:rPr>
          <w:rFonts w:ascii="宋体" w:hAnsi="宋体"/>
          <w:color w:val="auto"/>
          <w:szCs w:val="21"/>
          <w:highlight w:val="none"/>
        </w:rPr>
      </w:pPr>
    </w:p>
    <w:p w14:paraId="1F117337">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注：投标人代表为法定代表人（单位负责人）的提供。自然人投标的无需提供。</w:t>
      </w:r>
    </w:p>
    <w:p w14:paraId="579685B7">
      <w:pPr>
        <w:adjustRightInd w:val="0"/>
        <w:snapToGrid w:val="0"/>
        <w:spacing w:line="360" w:lineRule="auto"/>
        <w:rPr>
          <w:rFonts w:ascii="宋体" w:hAnsi="宋体"/>
          <w:color w:val="auto"/>
          <w:szCs w:val="21"/>
          <w:highlight w:val="none"/>
        </w:rPr>
      </w:pPr>
    </w:p>
    <w:p w14:paraId="66C52EF0">
      <w:pPr>
        <w:adjustRightInd w:val="0"/>
        <w:snapToGrid w:val="0"/>
        <w:spacing w:line="360" w:lineRule="auto"/>
        <w:rPr>
          <w:rFonts w:hint="eastAsia" w:ascii="宋体" w:hAnsi="宋体"/>
          <w:color w:val="auto"/>
          <w:szCs w:val="21"/>
          <w:highlight w:val="none"/>
        </w:rPr>
      </w:pPr>
    </w:p>
    <w:p w14:paraId="248DA523">
      <w:pPr>
        <w:adjustRightInd w:val="0"/>
        <w:snapToGrid w:val="0"/>
        <w:spacing w:line="360" w:lineRule="auto"/>
        <w:rPr>
          <w:rFonts w:hint="eastAsia" w:ascii="宋体" w:hAnsi="宋体"/>
          <w:color w:val="auto"/>
          <w:szCs w:val="21"/>
          <w:highlight w:val="none"/>
        </w:rPr>
      </w:pPr>
    </w:p>
    <w:p w14:paraId="1DB3F0EC">
      <w:pPr>
        <w:adjustRightInd w:val="0"/>
        <w:snapToGrid w:val="0"/>
        <w:spacing w:line="360" w:lineRule="auto"/>
        <w:rPr>
          <w:rFonts w:hint="eastAsia" w:ascii="宋体" w:hAnsi="宋体"/>
          <w:color w:val="auto"/>
          <w:szCs w:val="21"/>
          <w:highlight w:val="none"/>
        </w:rPr>
      </w:pPr>
    </w:p>
    <w:p w14:paraId="7D5EEAFD">
      <w:pPr>
        <w:adjustRightInd w:val="0"/>
        <w:snapToGrid w:val="0"/>
        <w:spacing w:line="360" w:lineRule="auto"/>
        <w:rPr>
          <w:rFonts w:hint="eastAsia" w:ascii="宋体" w:hAnsi="宋体"/>
          <w:color w:val="auto"/>
          <w:szCs w:val="21"/>
          <w:highlight w:val="none"/>
        </w:rPr>
      </w:pPr>
    </w:p>
    <w:p w14:paraId="1A4ECD23">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投标人名称（盖单位电子章）：</w:t>
      </w:r>
      <w:r>
        <w:rPr>
          <w:rFonts w:hint="eastAsia" w:ascii="宋体" w:hAnsi="宋体"/>
          <w:color w:val="auto"/>
          <w:szCs w:val="21"/>
          <w:highlight w:val="none"/>
          <w:u w:val="single"/>
        </w:rPr>
        <w:t xml:space="preserve">         </w:t>
      </w:r>
    </w:p>
    <w:p w14:paraId="5AD83384">
      <w:pPr>
        <w:adjustRightInd w:val="0"/>
        <w:snapToGrid w:val="0"/>
        <w:spacing w:line="360" w:lineRule="auto"/>
        <w:ind w:right="420"/>
        <w:rPr>
          <w:rFonts w:ascii="宋体" w:hAnsi="宋体"/>
          <w:color w:val="auto"/>
          <w:szCs w:val="21"/>
          <w:highlight w:val="none"/>
        </w:rPr>
      </w:pPr>
      <w:r>
        <w:rPr>
          <w:rFonts w:hint="eastAsia" w:ascii="宋体" w:hAnsi="宋体" w:cs="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70C35EFF">
      <w:pPr>
        <w:adjustRightInd w:val="0"/>
        <w:snapToGrid w:val="0"/>
        <w:spacing w:line="360" w:lineRule="auto"/>
        <w:rPr>
          <w:color w:val="auto"/>
          <w:highlight w:val="none"/>
        </w:rPr>
      </w:pPr>
    </w:p>
    <w:p w14:paraId="3F4D339F">
      <w:pPr>
        <w:widowControl/>
        <w:jc w:val="left"/>
        <w:rPr>
          <w:color w:val="auto"/>
          <w:highlight w:val="none"/>
        </w:rPr>
      </w:pPr>
      <w:r>
        <w:rPr>
          <w:color w:val="auto"/>
          <w:highlight w:val="none"/>
        </w:rPr>
        <w:br w:type="page"/>
      </w:r>
    </w:p>
    <w:p w14:paraId="2093E3C1">
      <w:pPr>
        <w:pStyle w:val="11"/>
        <w:adjustRightInd w:val="0"/>
        <w:snapToGrid w:val="0"/>
        <w:spacing w:before="0" w:after="0" w:line="360" w:lineRule="auto"/>
        <w:jc w:val="center"/>
        <w:rPr>
          <w:rFonts w:ascii="黑体" w:hAnsi="宋体" w:eastAsia="黑体"/>
          <w:color w:val="auto"/>
          <w:sz w:val="28"/>
          <w:szCs w:val="28"/>
          <w:highlight w:val="none"/>
        </w:rPr>
      </w:pPr>
      <w:bookmarkStart w:id="84" w:name="_Toc6235"/>
      <w:bookmarkStart w:id="85" w:name="_Toc25001"/>
      <w:r>
        <w:rPr>
          <w:rFonts w:hint="eastAsia" w:ascii="黑体" w:hAnsi="宋体" w:eastAsia="黑体"/>
          <w:color w:val="auto"/>
          <w:sz w:val="28"/>
          <w:szCs w:val="28"/>
          <w:highlight w:val="none"/>
        </w:rPr>
        <w:t>授权委托书</w:t>
      </w:r>
      <w:bookmarkEnd w:id="84"/>
      <w:bookmarkEnd w:id="85"/>
    </w:p>
    <w:p w14:paraId="060A057F">
      <w:pPr>
        <w:autoSpaceDE w:val="0"/>
        <w:autoSpaceDN w:val="0"/>
        <w:adjustRightInd w:val="0"/>
        <w:snapToGrid w:val="0"/>
        <w:spacing w:line="360" w:lineRule="auto"/>
        <w:ind w:firstLine="446" w:firstLineChars="200"/>
        <w:jc w:val="left"/>
        <w:rPr>
          <w:rFonts w:ascii="宋体" w:hAnsi="宋体"/>
          <w:b/>
          <w:color w:val="auto"/>
          <w:spacing w:val="6"/>
          <w:szCs w:val="21"/>
          <w:highlight w:val="none"/>
        </w:rPr>
      </w:pPr>
    </w:p>
    <w:p w14:paraId="389A01EE">
      <w:pPr>
        <w:autoSpaceDE w:val="0"/>
        <w:autoSpaceDN w:val="0"/>
        <w:adjustRightInd w:val="0"/>
        <w:snapToGrid w:val="0"/>
        <w:spacing w:line="360" w:lineRule="auto"/>
        <w:ind w:firstLine="420" w:firstLineChars="200"/>
        <w:jc w:val="left"/>
        <w:rPr>
          <w:rFonts w:ascii="宋体" w:hAnsi="宋体" w:cs="宋体"/>
          <w:color w:val="auto"/>
          <w:kern w:val="0"/>
          <w:szCs w:val="21"/>
          <w:highlight w:val="none"/>
        </w:rPr>
      </w:pPr>
    </w:p>
    <w:p w14:paraId="0A9DC2AE">
      <w:pPr>
        <w:autoSpaceDE w:val="0"/>
        <w:autoSpaceDN w:val="0"/>
        <w:adjustRightInd w:val="0"/>
        <w:snapToGri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本人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（姓名、职务）系</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w:t>
      </w:r>
      <w:r>
        <w:rPr>
          <w:rFonts w:hint="eastAsia" w:ascii="宋体" w:hAnsi="宋体"/>
          <w:color w:val="auto"/>
          <w:szCs w:val="21"/>
          <w:highlight w:val="none"/>
        </w:rPr>
        <w:t>投标人</w:t>
      </w:r>
      <w:r>
        <w:rPr>
          <w:rFonts w:hint="eastAsia" w:ascii="宋体" w:hAnsi="宋体" w:cs="宋体"/>
          <w:color w:val="auto"/>
          <w:kern w:val="0"/>
          <w:szCs w:val="21"/>
          <w:highlight w:val="none"/>
        </w:rPr>
        <w:t>名称）的法定代表人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s="宋体"/>
          <w:color w:val="auto"/>
          <w:kern w:val="0"/>
          <w:szCs w:val="21"/>
          <w:highlight w:val="none"/>
        </w:rPr>
        <w:t>，现授权</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（姓名、职务）为我方代理人。代理人根据授权，以我方名义签署、澄清、说明、补正、递交、撤回、修改</w:t>
      </w:r>
      <w:r>
        <w:rPr>
          <w:rFonts w:hint="eastAsia" w:ascii="宋体" w:hAnsi="宋体" w:cs="宋体"/>
          <w:color w:val="auto"/>
          <w:kern w:val="0"/>
          <w:szCs w:val="21"/>
          <w:highlight w:val="none"/>
          <w:u w:val="single"/>
        </w:rPr>
        <w:t xml:space="preserve">              （项目名称</w:t>
      </w:r>
      <w:r>
        <w:rPr>
          <w:rFonts w:ascii="宋体" w:hAnsi="宋体" w:cs="宋体"/>
          <w:color w:val="auto"/>
          <w:kern w:val="0"/>
          <w:szCs w:val="21"/>
          <w:highlight w:val="none"/>
          <w:u w:val="single"/>
        </w:rPr>
        <w:t>）</w:t>
      </w:r>
      <w:r>
        <w:rPr>
          <w:rFonts w:hint="eastAsia" w:ascii="宋体" w:hAnsi="宋体" w:cs="宋体"/>
          <w:color w:val="auto"/>
          <w:kern w:val="0"/>
          <w:szCs w:val="21"/>
          <w:highlight w:val="none"/>
        </w:rPr>
        <w:t>（</w:t>
      </w:r>
      <w:r>
        <w:rPr>
          <w:rFonts w:hint="eastAsia" w:ascii="宋体" w:hAnsi="宋体"/>
          <w:color w:val="auto"/>
          <w:highlight w:val="none"/>
        </w:rPr>
        <w:t>政府</w:t>
      </w:r>
      <w:r>
        <w:rPr>
          <w:rFonts w:hint="eastAsia" w:ascii="宋体" w:hAnsi="宋体"/>
          <w:iCs/>
          <w:color w:val="auto"/>
          <w:highlight w:val="none"/>
        </w:rPr>
        <w:t>采购编号：</w:t>
      </w:r>
      <w:r>
        <w:rPr>
          <w:rFonts w:hint="eastAsia" w:ascii="宋体" w:hAnsi="宋体"/>
          <w:iCs/>
          <w:color w:val="auto"/>
          <w:highlight w:val="none"/>
          <w:u w:val="single"/>
        </w:rPr>
        <w:t xml:space="preserve">      </w:t>
      </w:r>
      <w:r>
        <w:rPr>
          <w:rFonts w:hint="eastAsia" w:ascii="宋体" w:hAnsi="宋体"/>
          <w:iCs/>
          <w:color w:val="auto"/>
          <w:highlight w:val="none"/>
        </w:rPr>
        <w:t xml:space="preserve"> ，</w:t>
      </w:r>
      <w:r>
        <w:rPr>
          <w:rFonts w:hint="eastAsia" w:ascii="宋体" w:hAnsi="宋体" w:cs="宋体"/>
          <w:color w:val="auto"/>
          <w:kern w:val="0"/>
          <w:szCs w:val="21"/>
          <w:highlight w:val="none"/>
          <w:lang w:eastAsia="zh-CN"/>
        </w:rPr>
        <w:t>采购代理编号</w:t>
      </w:r>
      <w:r>
        <w:rPr>
          <w:rFonts w:hint="eastAsia" w:ascii="宋体" w:hAnsi="宋体" w:cs="宋体"/>
          <w:color w:val="auto"/>
          <w:kern w:val="0"/>
          <w:szCs w:val="21"/>
          <w:highlight w:val="none"/>
        </w:rPr>
        <w:t>：</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u w:val="none"/>
          <w:lang w:eastAsia="zh-CN"/>
        </w:rPr>
        <w:t>，</w:t>
      </w:r>
      <w:r>
        <w:rPr>
          <w:rFonts w:hint="eastAsia" w:ascii="宋体" w:hAnsi="宋体" w:cs="宋体"/>
          <w:color w:val="auto"/>
          <w:kern w:val="0"/>
          <w:szCs w:val="21"/>
          <w:highlight w:val="none"/>
          <w:u w:val="none"/>
          <w:lang w:val="en-US" w:eastAsia="zh-CN"/>
        </w:rPr>
        <w:t>包号：</w:t>
      </w:r>
      <w:r>
        <w:rPr>
          <w:rFonts w:hint="eastAsia" w:ascii="宋体" w:hAnsi="宋体" w:cs="宋体"/>
          <w:color w:val="auto"/>
          <w:kern w:val="0"/>
          <w:szCs w:val="21"/>
          <w:highlight w:val="none"/>
          <w:u w:val="single"/>
          <w:lang w:val="en-US" w:eastAsia="zh-CN"/>
        </w:rPr>
        <w:t xml:space="preserve">      </w:t>
      </w:r>
      <w:r>
        <w:rPr>
          <w:rFonts w:hint="eastAsia" w:ascii="宋体" w:hAnsi="宋体" w:cs="宋体"/>
          <w:color w:val="auto"/>
          <w:kern w:val="0"/>
          <w:szCs w:val="21"/>
          <w:highlight w:val="none"/>
          <w:u w:val="none"/>
          <w:lang w:val="en-US" w:eastAsia="zh-CN"/>
        </w:rPr>
        <w:t xml:space="preserve">， </w:t>
      </w:r>
      <w:r>
        <w:rPr>
          <w:rFonts w:hint="eastAsia" w:ascii="宋体" w:hAnsi="宋体" w:cs="宋体"/>
          <w:color w:val="auto"/>
          <w:kern w:val="0"/>
          <w:szCs w:val="21"/>
          <w:highlight w:val="none"/>
        </w:rPr>
        <w:t>）投标文件、签订合同和处理有关事宜，其法律后果由我方承担。</w:t>
      </w:r>
    </w:p>
    <w:p w14:paraId="339C53D1">
      <w:pPr>
        <w:autoSpaceDE w:val="0"/>
        <w:autoSpaceDN w:val="0"/>
        <w:adjustRightInd w:val="0"/>
        <w:snapToGri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委托期限：</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w:t>
      </w:r>
    </w:p>
    <w:p w14:paraId="71FA669A">
      <w:pPr>
        <w:adjustRightInd w:val="0"/>
        <w:snapToGrid w:val="0"/>
        <w:spacing w:line="360" w:lineRule="auto"/>
        <w:ind w:firstLine="435"/>
        <w:rPr>
          <w:rFonts w:ascii="宋体" w:hAnsi="宋体" w:cs="宋体"/>
          <w:color w:val="auto"/>
          <w:kern w:val="0"/>
          <w:szCs w:val="21"/>
          <w:highlight w:val="none"/>
        </w:rPr>
      </w:pPr>
      <w:r>
        <w:rPr>
          <w:rFonts w:hint="eastAsia" w:ascii="宋体" w:hAnsi="宋体" w:cs="宋体"/>
          <w:color w:val="auto"/>
          <w:kern w:val="0"/>
          <w:szCs w:val="21"/>
          <w:highlight w:val="none"/>
        </w:rPr>
        <w:t>代理人无转委托权。</w:t>
      </w:r>
    </w:p>
    <w:p w14:paraId="0AC71899">
      <w:pPr>
        <w:adjustRightInd w:val="0"/>
        <w:snapToGrid w:val="0"/>
        <w:spacing w:line="360" w:lineRule="auto"/>
        <w:ind w:firstLine="435"/>
        <w:rPr>
          <w:rFonts w:ascii="宋体" w:hAnsi="宋体" w:cs="微软雅黑"/>
          <w:color w:val="auto"/>
          <w:kern w:val="0"/>
          <w:szCs w:val="21"/>
          <w:highlight w:val="none"/>
        </w:rPr>
      </w:pPr>
      <w:r>
        <w:rPr>
          <w:rFonts w:hint="eastAsia" w:ascii="宋体" w:hAnsi="宋体"/>
          <w:color w:val="auto"/>
          <w:szCs w:val="21"/>
          <w:highlight w:val="none"/>
        </w:rPr>
        <w:t>本授权书于</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日签字生效，特此声明。</w:t>
      </w:r>
    </w:p>
    <w:tbl>
      <w:tblPr>
        <w:tblStyle w:val="29"/>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9"/>
        <w:gridCol w:w="3900"/>
      </w:tblGrid>
      <w:tr w14:paraId="14D57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3" w:hRule="atLeast"/>
        </w:trPr>
        <w:tc>
          <w:tcPr>
            <w:tcW w:w="3899" w:type="dxa"/>
            <w:noWrap w:val="0"/>
            <w:vAlign w:val="center"/>
          </w:tcPr>
          <w:p w14:paraId="7F3E153B">
            <w:pPr>
              <w:adjustRightInd w:val="0"/>
              <w:snapToGrid w:val="0"/>
              <w:spacing w:line="360" w:lineRule="auto"/>
              <w:jc w:val="center"/>
              <w:rPr>
                <w:rFonts w:hint="eastAsia" w:ascii="宋体" w:hAnsi="宋体"/>
                <w:color w:val="auto"/>
                <w:szCs w:val="21"/>
                <w:highlight w:val="none"/>
              </w:rPr>
            </w:pPr>
            <w:r>
              <w:rPr>
                <w:rFonts w:hint="eastAsia" w:ascii="宋体" w:hAnsi="宋体"/>
                <w:color w:val="auto"/>
                <w:szCs w:val="21"/>
                <w:highlight w:val="none"/>
              </w:rPr>
              <w:t>身份证（正面）</w:t>
            </w:r>
            <w:r>
              <w:rPr>
                <w:rFonts w:hint="eastAsia" w:ascii="宋体" w:hAnsi="宋体" w:cs="微软雅黑"/>
                <w:color w:val="auto"/>
                <w:spacing w:val="-2"/>
                <w:kern w:val="0"/>
                <w:szCs w:val="21"/>
                <w:highlight w:val="none"/>
              </w:rPr>
              <w:t>扫描件</w:t>
            </w:r>
          </w:p>
        </w:tc>
        <w:tc>
          <w:tcPr>
            <w:tcW w:w="3900" w:type="dxa"/>
            <w:noWrap w:val="0"/>
            <w:vAlign w:val="center"/>
          </w:tcPr>
          <w:p w14:paraId="1E45221A">
            <w:pPr>
              <w:adjustRightInd w:val="0"/>
              <w:snapToGrid w:val="0"/>
              <w:spacing w:line="360" w:lineRule="auto"/>
              <w:jc w:val="center"/>
              <w:rPr>
                <w:rFonts w:hint="eastAsia" w:ascii="宋体" w:hAnsi="宋体"/>
                <w:color w:val="auto"/>
                <w:szCs w:val="21"/>
                <w:highlight w:val="none"/>
              </w:rPr>
            </w:pPr>
            <w:r>
              <w:rPr>
                <w:rFonts w:hint="eastAsia" w:ascii="宋体" w:hAnsi="宋体"/>
                <w:color w:val="auto"/>
                <w:szCs w:val="21"/>
                <w:highlight w:val="none"/>
              </w:rPr>
              <w:t>身份证（反面）</w:t>
            </w:r>
            <w:r>
              <w:rPr>
                <w:rFonts w:hint="eastAsia" w:ascii="宋体" w:hAnsi="宋体" w:cs="微软雅黑"/>
                <w:color w:val="auto"/>
                <w:spacing w:val="-2"/>
                <w:kern w:val="0"/>
                <w:szCs w:val="21"/>
                <w:highlight w:val="none"/>
              </w:rPr>
              <w:t>扫描件</w:t>
            </w:r>
          </w:p>
        </w:tc>
      </w:tr>
    </w:tbl>
    <w:p w14:paraId="4A45B51B">
      <w:pPr>
        <w:adjustRightInd w:val="0"/>
        <w:snapToGrid w:val="0"/>
        <w:spacing w:line="360" w:lineRule="auto"/>
        <w:ind w:firstLine="420" w:firstLineChars="200"/>
        <w:rPr>
          <w:rFonts w:ascii="宋体" w:hAnsi="宋体"/>
          <w:color w:val="auto"/>
          <w:szCs w:val="21"/>
          <w:highlight w:val="none"/>
        </w:rPr>
      </w:pPr>
    </w:p>
    <w:p w14:paraId="7486EBAB">
      <w:pPr>
        <w:adjustRightInd w:val="0"/>
        <w:snapToGrid w:val="0"/>
        <w:spacing w:line="360" w:lineRule="auto"/>
        <w:ind w:firstLine="420" w:firstLineChars="200"/>
        <w:rPr>
          <w:rFonts w:ascii="宋体" w:hAnsi="宋体"/>
          <w:color w:val="auto"/>
          <w:szCs w:val="21"/>
          <w:highlight w:val="none"/>
        </w:rPr>
      </w:pPr>
    </w:p>
    <w:p w14:paraId="5062D9BE">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注：投标人代表不是投标人的法定代表人（单位负责人）的提供。自然人投标的无需提供。</w:t>
      </w:r>
    </w:p>
    <w:p w14:paraId="29859CD8">
      <w:pPr>
        <w:adjustRightInd w:val="0"/>
        <w:snapToGrid w:val="0"/>
        <w:spacing w:line="360" w:lineRule="auto"/>
        <w:ind w:firstLine="420" w:firstLineChars="200"/>
        <w:rPr>
          <w:rFonts w:ascii="宋体" w:hAnsi="宋体"/>
          <w:color w:val="auto"/>
          <w:szCs w:val="21"/>
          <w:highlight w:val="none"/>
        </w:rPr>
      </w:pPr>
    </w:p>
    <w:p w14:paraId="0B617EFF">
      <w:pPr>
        <w:adjustRightInd w:val="0"/>
        <w:snapToGrid w:val="0"/>
        <w:spacing w:line="360" w:lineRule="auto"/>
        <w:ind w:firstLine="420" w:firstLineChars="200"/>
        <w:rPr>
          <w:rFonts w:ascii="宋体" w:hAnsi="宋体"/>
          <w:color w:val="auto"/>
          <w:szCs w:val="21"/>
          <w:highlight w:val="none"/>
        </w:rPr>
      </w:pPr>
    </w:p>
    <w:p w14:paraId="423ECEFB">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投标人名称（盖单位电子章）：</w:t>
      </w:r>
    </w:p>
    <w:p w14:paraId="58AB905B">
      <w:pPr>
        <w:adjustRightInd w:val="0"/>
        <w:snapToGrid w:val="0"/>
        <w:spacing w:line="360" w:lineRule="auto"/>
        <w:ind w:right="420"/>
        <w:rPr>
          <w:rFonts w:ascii="宋体" w:hAnsi="宋体"/>
          <w:color w:val="auto"/>
          <w:szCs w:val="21"/>
          <w:highlight w:val="non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（电子签字或电子印章）：</w:t>
      </w:r>
      <w:r>
        <w:rPr>
          <w:rFonts w:hint="eastAsia" w:ascii="宋体" w:hAnsi="宋体"/>
          <w:color w:val="auto"/>
          <w:szCs w:val="21"/>
          <w:highlight w:val="none"/>
          <w:u w:val="single"/>
        </w:rPr>
        <w:t xml:space="preserve">                     </w:t>
      </w:r>
    </w:p>
    <w:p w14:paraId="34EC95C3">
      <w:pPr>
        <w:adjustRightInd w:val="0"/>
        <w:snapToGrid w:val="0"/>
        <w:spacing w:line="360" w:lineRule="auto"/>
        <w:ind w:right="420"/>
        <w:rPr>
          <w:rFonts w:ascii="宋体" w:hAnsi="宋体"/>
          <w:color w:val="auto"/>
          <w:szCs w:val="21"/>
          <w:highlight w:val="none"/>
        </w:rPr>
      </w:pPr>
      <w:r>
        <w:rPr>
          <w:rFonts w:hint="eastAsia" w:ascii="宋体" w:hAnsi="宋体"/>
          <w:color w:val="auto"/>
          <w:szCs w:val="21"/>
          <w:highlight w:val="none"/>
        </w:rPr>
        <w:t>委托代理人（电子签字或电子印章）：</w:t>
      </w:r>
      <w:r>
        <w:rPr>
          <w:rFonts w:hint="eastAsia" w:ascii="宋体" w:hAnsi="宋体"/>
          <w:color w:val="auto"/>
          <w:szCs w:val="21"/>
          <w:highlight w:val="none"/>
          <w:u w:val="single"/>
        </w:rPr>
        <w:t xml:space="preserve">                     </w:t>
      </w:r>
    </w:p>
    <w:p w14:paraId="114E62B5">
      <w:pPr>
        <w:adjustRightInd w:val="0"/>
        <w:snapToGrid w:val="0"/>
        <w:spacing w:line="360" w:lineRule="auto"/>
        <w:ind w:right="420"/>
        <w:rPr>
          <w:rFonts w:ascii="宋体" w:hAnsi="宋体"/>
          <w:color w:val="auto"/>
          <w:szCs w:val="21"/>
          <w:highlight w:val="none"/>
        </w:rPr>
      </w:pPr>
      <w:r>
        <w:rPr>
          <w:rFonts w:hint="eastAsia" w:ascii="宋体" w:hAnsi="宋体" w:cs="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122DB632">
      <w:pPr>
        <w:adjustRightInd w:val="0"/>
        <w:snapToGrid w:val="0"/>
        <w:spacing w:line="360" w:lineRule="auto"/>
        <w:jc w:val="left"/>
        <w:rPr>
          <w:rFonts w:ascii="黑体" w:hAnsi="黑体" w:eastAsia="黑体"/>
          <w:bCs/>
          <w:color w:val="auto"/>
          <w:sz w:val="28"/>
          <w:szCs w:val="28"/>
          <w:highlight w:val="none"/>
        </w:rPr>
      </w:pPr>
      <w:r>
        <w:rPr>
          <w:rFonts w:ascii="黑体" w:hAnsi="黑体" w:eastAsia="黑体"/>
          <w:bCs/>
          <w:color w:val="auto"/>
          <w:sz w:val="28"/>
          <w:szCs w:val="28"/>
          <w:highlight w:val="none"/>
        </w:rPr>
        <w:br w:type="page"/>
      </w:r>
    </w:p>
    <w:p w14:paraId="7BE7865F">
      <w:pPr>
        <w:pStyle w:val="11"/>
        <w:adjustRightInd w:val="0"/>
        <w:snapToGrid w:val="0"/>
        <w:spacing w:before="0" w:after="0" w:line="360" w:lineRule="auto"/>
        <w:jc w:val="center"/>
        <w:rPr>
          <w:rFonts w:ascii="黑体" w:hAnsi="宋体" w:eastAsia="黑体"/>
          <w:color w:val="auto"/>
          <w:sz w:val="28"/>
          <w:szCs w:val="28"/>
          <w:highlight w:val="none"/>
        </w:rPr>
      </w:pPr>
      <w:bookmarkStart w:id="86" w:name="_Toc315"/>
      <w:r>
        <w:rPr>
          <w:rFonts w:hint="eastAsia" w:ascii="黑体" w:hAnsi="宋体" w:eastAsia="黑体"/>
          <w:color w:val="auto"/>
          <w:sz w:val="28"/>
          <w:szCs w:val="28"/>
          <w:highlight w:val="none"/>
        </w:rPr>
        <w:t>四、投标人提供的资格证明文件</w:t>
      </w:r>
      <w:bookmarkEnd w:id="86"/>
      <w:bookmarkStart w:id="87" w:name="_Toc294206743"/>
      <w:bookmarkStart w:id="88" w:name="_Toc294186060"/>
    </w:p>
    <w:p w14:paraId="2643C72F">
      <w:pPr>
        <w:pStyle w:val="19"/>
        <w:adjustRightInd w:val="0"/>
        <w:snapToGrid w:val="0"/>
        <w:spacing w:line="360" w:lineRule="auto"/>
        <w:jc w:val="center"/>
        <w:rPr>
          <w:rFonts w:hAnsi="宋体" w:cs="Times New Roman"/>
          <w:b/>
          <w:bCs/>
          <w:color w:val="auto"/>
          <w:sz w:val="24"/>
          <w:szCs w:val="24"/>
          <w:highlight w:val="none"/>
        </w:rPr>
      </w:pPr>
    </w:p>
    <w:p w14:paraId="19F2F362">
      <w:pPr>
        <w:pStyle w:val="19"/>
        <w:adjustRightInd w:val="0"/>
        <w:snapToGrid w:val="0"/>
        <w:spacing w:line="360" w:lineRule="auto"/>
        <w:jc w:val="center"/>
        <w:rPr>
          <w:rFonts w:ascii="黑体" w:hAnsi="黑体" w:eastAsia="黑体" w:cs="Times New Roman"/>
          <w:b/>
          <w:bCs/>
          <w:color w:val="auto"/>
          <w:sz w:val="28"/>
          <w:szCs w:val="28"/>
          <w:highlight w:val="none"/>
        </w:rPr>
      </w:pPr>
      <w:r>
        <w:rPr>
          <w:rFonts w:hint="eastAsia" w:ascii="黑体" w:hAnsi="黑体" w:eastAsia="黑体" w:cs="Times New Roman"/>
          <w:b/>
          <w:bCs/>
          <w:color w:val="auto"/>
          <w:sz w:val="28"/>
          <w:szCs w:val="28"/>
          <w:highlight w:val="none"/>
        </w:rPr>
        <w:t>须  知</w:t>
      </w:r>
    </w:p>
    <w:p w14:paraId="21A52B84">
      <w:pPr>
        <w:tabs>
          <w:tab w:val="left" w:pos="4725"/>
        </w:tabs>
        <w:adjustRightInd w:val="0"/>
        <w:snapToGrid w:val="0"/>
        <w:spacing w:before="156" w:beforeLines="50" w:line="360" w:lineRule="auto"/>
        <w:ind w:firstLine="422" w:firstLineChars="200"/>
        <w:rPr>
          <w:rFonts w:ascii="宋体" w:hAnsi="宋体"/>
          <w:b/>
          <w:bCs/>
          <w:color w:val="auto"/>
          <w:szCs w:val="21"/>
          <w:highlight w:val="none"/>
        </w:rPr>
      </w:pPr>
      <w:r>
        <w:rPr>
          <w:rFonts w:hint="eastAsia" w:ascii="宋体" w:hAnsi="宋体"/>
          <w:b/>
          <w:color w:val="auto"/>
          <w:szCs w:val="21"/>
          <w:highlight w:val="none"/>
        </w:rPr>
        <w:t>1、投标人</w:t>
      </w:r>
      <w:r>
        <w:rPr>
          <w:rFonts w:hint="eastAsia" w:ascii="宋体" w:hAnsi="宋体"/>
          <w:b/>
          <w:bCs/>
          <w:color w:val="auto"/>
          <w:szCs w:val="21"/>
          <w:highlight w:val="none"/>
        </w:rPr>
        <w:t>应按第二章第15.1款要求提供下列的证明材料</w:t>
      </w:r>
    </w:p>
    <w:p w14:paraId="57614B98">
      <w:pPr>
        <w:tabs>
          <w:tab w:val="left" w:pos="4725"/>
        </w:tabs>
        <w:adjustRightInd w:val="0"/>
        <w:snapToGrid w:val="0"/>
        <w:spacing w:before="156" w:beforeLines="50" w:line="360" w:lineRule="auto"/>
        <w:ind w:firstLine="735" w:firstLineChars="350"/>
        <w:rPr>
          <w:rFonts w:ascii="宋体" w:hAnsi="宋体" w:eastAsia="宋体"/>
          <w:color w:val="auto"/>
          <w:szCs w:val="21"/>
          <w:highlight w:val="none"/>
        </w:rPr>
      </w:pPr>
      <w:r>
        <w:rPr>
          <w:rFonts w:hint="eastAsia" w:ascii="宋体" w:hAnsi="宋体" w:eastAsia="宋体"/>
          <w:color w:val="auto"/>
          <w:szCs w:val="21"/>
          <w:highlight w:val="none"/>
        </w:rPr>
        <w:t>附件4-1 法人或者其他组织的营业执照等主体资格证明文件，自然人的身份证明</w:t>
      </w:r>
    </w:p>
    <w:p w14:paraId="6F9A8611">
      <w:pPr>
        <w:tabs>
          <w:tab w:val="left" w:pos="4725"/>
        </w:tabs>
        <w:adjustRightInd w:val="0"/>
        <w:snapToGrid w:val="0"/>
        <w:spacing w:before="156" w:beforeLines="50" w:line="360" w:lineRule="auto"/>
        <w:ind w:firstLine="735" w:firstLineChars="350"/>
        <w:rPr>
          <w:rFonts w:ascii="宋体" w:hAnsi="宋体" w:eastAsia="宋体"/>
          <w:color w:val="auto"/>
          <w:szCs w:val="21"/>
          <w:highlight w:val="none"/>
        </w:rPr>
      </w:pPr>
      <w:r>
        <w:rPr>
          <w:rFonts w:hint="eastAsia" w:ascii="宋体" w:hAnsi="宋体" w:eastAsia="宋体"/>
          <w:color w:val="auto"/>
          <w:szCs w:val="21"/>
          <w:highlight w:val="none"/>
        </w:rPr>
        <w:t>附件4-2 投标人资格声明(格式)</w:t>
      </w:r>
    </w:p>
    <w:p w14:paraId="78AA0CDD">
      <w:pPr>
        <w:tabs>
          <w:tab w:val="left" w:pos="4725"/>
        </w:tabs>
        <w:adjustRightInd w:val="0"/>
        <w:snapToGrid w:val="0"/>
        <w:spacing w:before="156" w:beforeLines="50" w:line="360" w:lineRule="auto"/>
        <w:ind w:firstLine="735" w:firstLineChars="350"/>
        <w:rPr>
          <w:rFonts w:hint="eastAsia" w:ascii="宋体" w:hAnsi="宋体" w:eastAsia="宋体"/>
          <w:color w:val="auto"/>
          <w:szCs w:val="21"/>
          <w:highlight w:val="none"/>
        </w:rPr>
      </w:pPr>
      <w:r>
        <w:rPr>
          <w:rFonts w:hint="eastAsia" w:ascii="宋体" w:hAnsi="宋体" w:eastAsia="宋体"/>
          <w:color w:val="auto"/>
          <w:szCs w:val="21"/>
          <w:highlight w:val="none"/>
        </w:rPr>
        <w:t xml:space="preserve">附件4-3 </w:t>
      </w:r>
      <w:r>
        <w:rPr>
          <w:rFonts w:hint="eastAsia" w:ascii="宋体" w:hAnsi="宋体" w:eastAsia="宋体"/>
          <w:color w:val="auto"/>
          <w:szCs w:val="21"/>
          <w:highlight w:val="none"/>
          <w:lang w:eastAsia="zh-CN"/>
        </w:rPr>
        <w:t>湖南省政府采购供应商资格承诺函</w:t>
      </w:r>
      <w:r>
        <w:rPr>
          <w:rFonts w:hint="eastAsia" w:ascii="宋体" w:hAnsi="宋体" w:eastAsia="宋体"/>
          <w:color w:val="auto"/>
          <w:szCs w:val="21"/>
          <w:highlight w:val="none"/>
        </w:rPr>
        <w:t>(格式)</w:t>
      </w:r>
    </w:p>
    <w:p w14:paraId="1EB0F20B">
      <w:pPr>
        <w:tabs>
          <w:tab w:val="left" w:pos="4725"/>
        </w:tabs>
        <w:adjustRightInd w:val="0"/>
        <w:snapToGrid w:val="0"/>
        <w:spacing w:before="156" w:beforeLines="50" w:line="360" w:lineRule="auto"/>
        <w:ind w:firstLine="735" w:firstLineChars="350"/>
        <w:rPr>
          <w:rFonts w:ascii="宋体" w:hAnsi="宋体" w:eastAsia="宋体"/>
          <w:color w:val="auto"/>
          <w:szCs w:val="21"/>
          <w:highlight w:val="none"/>
        </w:rPr>
      </w:pPr>
      <w:r>
        <w:rPr>
          <w:rFonts w:hint="eastAsia" w:ascii="宋体" w:hAnsi="宋体" w:eastAsia="宋体"/>
          <w:color w:val="auto"/>
          <w:szCs w:val="21"/>
          <w:highlight w:val="none"/>
        </w:rPr>
        <w:t>附件4-4符合特定资格条件证明材料复印件或者情况说明</w:t>
      </w:r>
    </w:p>
    <w:p w14:paraId="1CC9FC3A">
      <w:pPr>
        <w:tabs>
          <w:tab w:val="left" w:pos="4725"/>
        </w:tabs>
        <w:adjustRightInd w:val="0"/>
        <w:snapToGrid w:val="0"/>
        <w:spacing w:before="156" w:beforeLines="50" w:line="360" w:lineRule="auto"/>
        <w:ind w:firstLine="735" w:firstLineChars="350"/>
        <w:rPr>
          <w:rFonts w:ascii="宋体" w:hAnsi="宋体"/>
          <w:color w:val="auto"/>
          <w:szCs w:val="21"/>
          <w:highlight w:val="none"/>
        </w:rPr>
      </w:pPr>
      <w:r>
        <w:rPr>
          <w:rFonts w:hint="eastAsia" w:ascii="宋体" w:hAnsi="宋体" w:eastAsia="宋体"/>
          <w:color w:val="auto"/>
          <w:szCs w:val="21"/>
          <w:highlight w:val="none"/>
        </w:rPr>
        <w:t>附件4-</w:t>
      </w:r>
      <w:r>
        <w:rPr>
          <w:rFonts w:hint="eastAsia" w:ascii="宋体" w:hAnsi="宋体" w:eastAsia="宋体"/>
          <w:color w:val="auto"/>
          <w:szCs w:val="21"/>
          <w:highlight w:val="none"/>
          <w:lang w:val="en-US" w:eastAsia="zh-CN"/>
        </w:rPr>
        <w:t xml:space="preserve">5 </w:t>
      </w:r>
      <w:r>
        <w:rPr>
          <w:rFonts w:hint="eastAsia" w:ascii="宋体" w:hAnsi="宋体" w:eastAsia="宋体"/>
          <w:color w:val="auto"/>
          <w:szCs w:val="21"/>
          <w:highlight w:val="none"/>
        </w:rPr>
        <w:t>联合体协议书（格式）（联合体形式投标的提供）</w:t>
      </w:r>
    </w:p>
    <w:p w14:paraId="70BE610D">
      <w:pPr>
        <w:tabs>
          <w:tab w:val="left" w:pos="4725"/>
        </w:tabs>
        <w:adjustRightInd w:val="0"/>
        <w:snapToGrid w:val="0"/>
        <w:spacing w:before="156" w:beforeLines="50" w:line="360" w:lineRule="auto"/>
        <w:ind w:firstLine="420" w:firstLineChars="200"/>
        <w:rPr>
          <w:rFonts w:ascii="宋体" w:hAnsi="宋体" w:cs="宋体"/>
          <w:color w:val="auto"/>
          <w:szCs w:val="21"/>
          <w:highlight w:val="none"/>
        </w:rPr>
      </w:pPr>
      <w:r>
        <w:rPr>
          <w:rFonts w:hint="eastAsia" w:ascii="宋体" w:hAnsi="宋体"/>
          <w:color w:val="auto"/>
          <w:szCs w:val="21"/>
          <w:highlight w:val="none"/>
        </w:rPr>
        <w:t>2、</w:t>
      </w:r>
      <w:r>
        <w:rPr>
          <w:rFonts w:hint="eastAsia" w:ascii="宋体" w:hAnsi="宋体" w:cs="宋体"/>
          <w:color w:val="auto"/>
          <w:szCs w:val="21"/>
          <w:highlight w:val="none"/>
        </w:rPr>
        <w:t>投标人以联合体形式投标的，除应提交联合协议书(本节附4-4)外，参加联合体的各方均应提交上款资格证明材料。</w:t>
      </w:r>
    </w:p>
    <w:p w14:paraId="58D17D12">
      <w:pPr>
        <w:tabs>
          <w:tab w:val="left" w:pos="4725"/>
        </w:tabs>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3、附件4-</w:t>
      </w:r>
      <w:r>
        <w:rPr>
          <w:rFonts w:hint="eastAsia" w:ascii="宋体" w:hAnsi="宋体"/>
          <w:color w:val="auto"/>
          <w:szCs w:val="21"/>
          <w:highlight w:val="none"/>
          <w:lang w:val="en-US" w:eastAsia="zh-CN"/>
        </w:rPr>
        <w:t>6</w:t>
      </w:r>
      <w:r>
        <w:rPr>
          <w:rFonts w:hint="eastAsia" w:ascii="宋体" w:hAnsi="宋体"/>
          <w:color w:val="auto"/>
          <w:szCs w:val="21"/>
          <w:highlight w:val="none"/>
        </w:rPr>
        <w:t xml:space="preserve"> 分包承诺（执行强制分包的提供）</w:t>
      </w:r>
    </w:p>
    <w:p w14:paraId="605A1B6D">
      <w:pPr>
        <w:pStyle w:val="2"/>
        <w:rPr>
          <w:color w:val="auto"/>
          <w:highlight w:val="none"/>
        </w:rPr>
      </w:pPr>
    </w:p>
    <w:p w14:paraId="1C1533B4">
      <w:pPr>
        <w:tabs>
          <w:tab w:val="left" w:pos="4725"/>
        </w:tabs>
        <w:adjustRightInd w:val="0"/>
        <w:snapToGrid w:val="0"/>
        <w:spacing w:line="360" w:lineRule="auto"/>
        <w:rPr>
          <w:rFonts w:ascii="宋体" w:hAnsi="宋体" w:cs="宋体"/>
          <w:color w:val="auto"/>
          <w:szCs w:val="21"/>
          <w:highlight w:val="none"/>
        </w:rPr>
      </w:pPr>
    </w:p>
    <w:p w14:paraId="4F207D70">
      <w:pPr>
        <w:widowControl/>
        <w:adjustRightInd w:val="0"/>
        <w:snapToGrid w:val="0"/>
        <w:spacing w:line="360" w:lineRule="auto"/>
        <w:jc w:val="left"/>
        <w:rPr>
          <w:rFonts w:ascii="黑体" w:hAnsi="仿宋" w:eastAsia="黑体" w:cs="宋体"/>
          <w:color w:val="auto"/>
          <w:sz w:val="10"/>
          <w:szCs w:val="10"/>
          <w:highlight w:val="none"/>
        </w:rPr>
      </w:pPr>
      <w:r>
        <w:rPr>
          <w:rFonts w:ascii="黑体" w:hAnsi="仿宋" w:eastAsia="黑体" w:cs="宋体"/>
          <w:color w:val="auto"/>
          <w:szCs w:val="21"/>
          <w:highlight w:val="none"/>
        </w:rPr>
        <w:br w:type="page"/>
      </w:r>
    </w:p>
    <w:p w14:paraId="221DD92A">
      <w:pPr>
        <w:pStyle w:val="12"/>
        <w:rPr>
          <w:rFonts w:ascii="黑体" w:hAnsi="仿宋" w:cs="宋体"/>
          <w:b w:val="0"/>
          <w:color w:val="auto"/>
          <w:sz w:val="21"/>
          <w:szCs w:val="21"/>
          <w:highlight w:val="none"/>
        </w:rPr>
      </w:pPr>
      <w:bookmarkStart w:id="89" w:name="_Toc6639"/>
      <w:r>
        <w:rPr>
          <w:rFonts w:hint="eastAsia" w:ascii="黑体" w:hAnsi="仿宋" w:cs="宋体"/>
          <w:b w:val="0"/>
          <w:color w:val="auto"/>
          <w:sz w:val="21"/>
          <w:szCs w:val="21"/>
          <w:highlight w:val="none"/>
        </w:rPr>
        <w:t>附件4-1 法人或者其他组织的营业执照等主体资格证明文件，自然人的身份证明</w:t>
      </w:r>
      <w:bookmarkEnd w:id="89"/>
    </w:p>
    <w:p w14:paraId="2C17C0F8">
      <w:pPr>
        <w:widowControl/>
        <w:adjustRightInd w:val="0"/>
        <w:snapToGrid w:val="0"/>
        <w:spacing w:line="360" w:lineRule="auto"/>
        <w:jc w:val="center"/>
        <w:rPr>
          <w:rFonts w:ascii="黑体" w:hAnsi="仿宋" w:eastAsia="黑体" w:cs="宋体"/>
          <w:b/>
          <w:color w:val="auto"/>
          <w:sz w:val="28"/>
          <w:szCs w:val="28"/>
          <w:highlight w:val="none"/>
        </w:rPr>
      </w:pPr>
      <w:r>
        <w:rPr>
          <w:rFonts w:hint="eastAsia" w:ascii="黑体" w:hAnsi="仿宋" w:eastAsia="黑体" w:cs="宋体"/>
          <w:b/>
          <w:color w:val="auto"/>
          <w:sz w:val="28"/>
          <w:szCs w:val="28"/>
          <w:highlight w:val="none"/>
        </w:rPr>
        <w:t>法人或者其他组织的营业执照等主体资格证明文件，自然人的身份证明</w:t>
      </w:r>
    </w:p>
    <w:p w14:paraId="6497C4A9">
      <w:pPr>
        <w:widowControl/>
        <w:adjustRightInd w:val="0"/>
        <w:snapToGrid w:val="0"/>
        <w:spacing w:before="156" w:beforeLines="50" w:line="360" w:lineRule="auto"/>
        <w:ind w:firstLine="420" w:firstLineChars="200"/>
        <w:jc w:val="left"/>
        <w:rPr>
          <w:rFonts w:ascii="宋体" w:hAnsi="宋体" w:cs="宋体"/>
          <w:color w:val="auto"/>
          <w:szCs w:val="21"/>
          <w:highlight w:val="none"/>
        </w:rPr>
      </w:pPr>
    </w:p>
    <w:p w14:paraId="7D8B833D">
      <w:pPr>
        <w:adjustRightInd w:val="0"/>
        <w:snapToGrid w:val="0"/>
        <w:spacing w:before="156"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注：按第二章第</w:t>
      </w:r>
      <w:r>
        <w:rPr>
          <w:rFonts w:ascii="宋体" w:hAnsi="宋体" w:cs="宋体"/>
          <w:color w:val="auto"/>
          <w:szCs w:val="21"/>
          <w:highlight w:val="none"/>
        </w:rPr>
        <w:t>1</w:t>
      </w: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color w:val="auto"/>
          <w:szCs w:val="21"/>
          <w:highlight w:val="none"/>
        </w:rPr>
        <w:t>（1）项要求提供。</w:t>
      </w:r>
    </w:p>
    <w:p w14:paraId="3F75A3B6">
      <w:pPr>
        <w:adjustRightInd w:val="0"/>
        <w:snapToGrid w:val="0"/>
        <w:spacing w:before="156" w:beforeLines="50" w:line="360" w:lineRule="auto"/>
        <w:ind w:firstLine="420" w:firstLineChars="200"/>
        <w:rPr>
          <w:rFonts w:ascii="宋体" w:hAnsi="宋体"/>
          <w:color w:val="auto"/>
          <w:highlight w:val="none"/>
        </w:rPr>
      </w:pPr>
      <w:r>
        <w:rPr>
          <w:rFonts w:hint="eastAsia" w:ascii="宋体" w:hAnsi="宋体" w:cs="宋体"/>
          <w:color w:val="auto"/>
          <w:szCs w:val="21"/>
          <w:highlight w:val="none"/>
        </w:rPr>
        <w:t>（1）</w:t>
      </w:r>
      <w:r>
        <w:rPr>
          <w:rFonts w:hint="eastAsia" w:ascii="宋体" w:hAnsi="宋体"/>
          <w:color w:val="auto"/>
          <w:highlight w:val="none"/>
        </w:rPr>
        <w:t>投标人为法人的，应提交营业执照或法人登记证书的复印件；</w:t>
      </w:r>
    </w:p>
    <w:p w14:paraId="1CF870E1">
      <w:pPr>
        <w:adjustRightInd w:val="0"/>
        <w:snapToGrid w:val="0"/>
        <w:spacing w:before="156" w:beforeLines="50" w:line="360" w:lineRule="auto"/>
        <w:ind w:firstLine="420" w:firstLineChars="200"/>
        <w:rPr>
          <w:rFonts w:ascii="宋体" w:hAnsi="宋体"/>
          <w:color w:val="auto"/>
          <w:highlight w:val="none"/>
        </w:rPr>
      </w:pPr>
      <w:r>
        <w:rPr>
          <w:rFonts w:hint="eastAsia" w:ascii="宋体" w:hAnsi="宋体" w:cs="宋体"/>
          <w:color w:val="auto"/>
          <w:szCs w:val="21"/>
          <w:highlight w:val="none"/>
        </w:rPr>
        <w:t>（2）</w:t>
      </w:r>
      <w:r>
        <w:rPr>
          <w:rFonts w:hint="eastAsia" w:ascii="宋体" w:hAnsi="宋体"/>
          <w:color w:val="auto"/>
          <w:highlight w:val="none"/>
        </w:rPr>
        <w:t>投标人为非法人组织的，应提交依法登记证书复印件；</w:t>
      </w:r>
    </w:p>
    <w:p w14:paraId="16AF214F">
      <w:pPr>
        <w:adjustRightInd w:val="0"/>
        <w:snapToGrid w:val="0"/>
        <w:spacing w:before="156" w:beforeLines="50" w:line="360" w:lineRule="auto"/>
        <w:ind w:firstLine="420" w:firstLineChars="200"/>
        <w:rPr>
          <w:rFonts w:ascii="宋体" w:hAnsi="宋体"/>
          <w:color w:val="auto"/>
          <w:highlight w:val="none"/>
        </w:rPr>
      </w:pPr>
      <w:r>
        <w:rPr>
          <w:rFonts w:hint="eastAsia" w:ascii="宋体" w:hAnsi="宋体" w:cs="宋体"/>
          <w:color w:val="auto"/>
          <w:szCs w:val="21"/>
          <w:highlight w:val="none"/>
        </w:rPr>
        <w:t>（3）</w:t>
      </w:r>
      <w:r>
        <w:rPr>
          <w:rFonts w:hint="eastAsia" w:ascii="宋体" w:hAnsi="宋体"/>
          <w:color w:val="auto"/>
          <w:highlight w:val="none"/>
        </w:rPr>
        <w:t>投标人为个体工商户的，应提交个体工商户营业执照复印件；</w:t>
      </w:r>
    </w:p>
    <w:p w14:paraId="4A31D52C">
      <w:pPr>
        <w:adjustRightInd w:val="0"/>
        <w:snapToGrid w:val="0"/>
        <w:spacing w:before="156" w:beforeLines="50" w:line="360" w:lineRule="auto"/>
        <w:ind w:firstLine="420" w:firstLineChars="200"/>
        <w:rPr>
          <w:rFonts w:ascii="宋体" w:hAnsi="宋体"/>
          <w:color w:val="auto"/>
          <w:highlight w:val="none"/>
        </w:rPr>
      </w:pPr>
      <w:r>
        <w:rPr>
          <w:rFonts w:hint="eastAsia" w:ascii="宋体" w:hAnsi="宋体" w:cs="宋体"/>
          <w:color w:val="auto"/>
          <w:szCs w:val="21"/>
          <w:highlight w:val="none"/>
        </w:rPr>
        <w:t>（4）</w:t>
      </w:r>
      <w:r>
        <w:rPr>
          <w:rFonts w:hint="eastAsia" w:ascii="宋体" w:hAnsi="宋体"/>
          <w:color w:val="auto"/>
          <w:highlight w:val="none"/>
        </w:rPr>
        <w:t>投标人为自然人的，应提交自然人的身份证明复印件。</w:t>
      </w:r>
    </w:p>
    <w:p w14:paraId="34B47BE1">
      <w:pPr>
        <w:adjustRightInd w:val="0"/>
        <w:snapToGrid w:val="0"/>
        <w:spacing w:before="156" w:beforeLines="50" w:line="360" w:lineRule="auto"/>
        <w:ind w:firstLine="420" w:firstLineChars="200"/>
        <w:rPr>
          <w:rFonts w:ascii="宋体" w:hAnsi="宋体"/>
          <w:color w:val="auto"/>
          <w:highlight w:val="none"/>
        </w:rPr>
      </w:pPr>
    </w:p>
    <w:p w14:paraId="7BE7886A">
      <w:pPr>
        <w:widowControl/>
        <w:jc w:val="left"/>
        <w:rPr>
          <w:rFonts w:ascii="黑体" w:hAnsi="仿宋" w:eastAsia="黑体" w:cs="宋体"/>
          <w:bCs/>
          <w:color w:val="auto"/>
          <w:sz w:val="10"/>
          <w:szCs w:val="10"/>
          <w:highlight w:val="none"/>
        </w:rPr>
      </w:pPr>
      <w:r>
        <w:rPr>
          <w:rFonts w:ascii="黑体" w:hAnsi="仿宋" w:cs="宋体"/>
          <w:b/>
          <w:color w:val="auto"/>
          <w:szCs w:val="21"/>
          <w:highlight w:val="none"/>
        </w:rPr>
        <w:br w:type="page"/>
      </w:r>
    </w:p>
    <w:bookmarkEnd w:id="87"/>
    <w:bookmarkEnd w:id="88"/>
    <w:p w14:paraId="1B03788F">
      <w:pPr>
        <w:adjustRightInd w:val="0"/>
        <w:snapToGrid w:val="0"/>
        <w:spacing w:before="156" w:beforeLines="50" w:after="0" w:line="360" w:lineRule="auto"/>
        <w:outlineLvl w:val="9"/>
        <w:rPr>
          <w:rFonts w:ascii="黑体" w:hAnsi="仿宋" w:cs="宋体"/>
          <w:b w:val="0"/>
          <w:color w:val="auto"/>
          <w:sz w:val="21"/>
          <w:szCs w:val="21"/>
          <w:highlight w:val="none"/>
        </w:rPr>
      </w:pPr>
      <w:bookmarkStart w:id="90" w:name="_Toc8983766"/>
      <w:bookmarkStart w:id="91" w:name="_Toc234"/>
      <w:bookmarkStart w:id="92" w:name="_Toc9532"/>
      <w:bookmarkStart w:id="93" w:name="_Toc8015"/>
      <w:r>
        <w:rPr>
          <w:rFonts w:hint="eastAsia" w:ascii="黑体" w:hAnsi="仿宋" w:cs="宋体"/>
          <w:b w:val="0"/>
          <w:color w:val="auto"/>
          <w:sz w:val="21"/>
          <w:szCs w:val="21"/>
          <w:highlight w:val="none"/>
        </w:rPr>
        <w:t>附件4-</w:t>
      </w:r>
      <w:r>
        <w:rPr>
          <w:rFonts w:hint="eastAsia" w:ascii="黑体" w:hAnsi="仿宋" w:cs="宋体"/>
          <w:b w:val="0"/>
          <w:color w:val="auto"/>
          <w:sz w:val="21"/>
          <w:szCs w:val="21"/>
          <w:highlight w:val="none"/>
          <w:lang w:val="en-US" w:eastAsia="zh-CN"/>
        </w:rPr>
        <w:t>2</w:t>
      </w:r>
      <w:r>
        <w:rPr>
          <w:rFonts w:hint="eastAsia" w:ascii="黑体" w:hAnsi="仿宋" w:cs="宋体"/>
          <w:b w:val="0"/>
          <w:color w:val="auto"/>
          <w:sz w:val="21"/>
          <w:szCs w:val="21"/>
          <w:highlight w:val="none"/>
        </w:rPr>
        <w:t>投标人资格声明(格式)</w:t>
      </w:r>
      <w:bookmarkEnd w:id="90"/>
      <w:bookmarkEnd w:id="91"/>
      <w:bookmarkEnd w:id="92"/>
      <w:bookmarkEnd w:id="93"/>
    </w:p>
    <w:p w14:paraId="13DE54B4">
      <w:pPr>
        <w:widowControl/>
        <w:adjustRightInd w:val="0"/>
        <w:snapToGrid w:val="0"/>
        <w:spacing w:before="156" w:beforeLines="50" w:line="360" w:lineRule="auto"/>
        <w:jc w:val="center"/>
        <w:rPr>
          <w:rFonts w:ascii="宋体" w:hAnsi="宋体" w:cs="宋体"/>
          <w:color w:val="auto"/>
          <w:szCs w:val="21"/>
          <w:highlight w:val="none"/>
        </w:rPr>
      </w:pPr>
      <w:r>
        <w:rPr>
          <w:rFonts w:hint="eastAsia" w:ascii="黑体" w:hAnsi="仿宋" w:eastAsia="黑体" w:cs="宋体"/>
          <w:b/>
          <w:color w:val="auto"/>
          <w:sz w:val="28"/>
          <w:szCs w:val="28"/>
          <w:highlight w:val="none"/>
        </w:rPr>
        <w:t>投标人资格声明(格式)</w:t>
      </w:r>
    </w:p>
    <w:p w14:paraId="6A912B62">
      <w:pPr>
        <w:widowControl/>
        <w:adjustRightInd w:val="0"/>
        <w:snapToGrid w:val="0"/>
        <w:spacing w:before="156" w:beforeLines="50" w:line="360" w:lineRule="auto"/>
        <w:jc w:val="left"/>
        <w:rPr>
          <w:rFonts w:ascii="宋体" w:hAnsi="宋体" w:cs="宋体"/>
          <w:color w:val="auto"/>
          <w:kern w:val="0"/>
          <w:szCs w:val="21"/>
          <w:highlight w:val="none"/>
        </w:rPr>
      </w:pPr>
      <w:r>
        <w:rPr>
          <w:rFonts w:hint="eastAsia" w:ascii="宋体" w:hAnsi="宋体" w:cs="宋体"/>
          <w:color w:val="auto"/>
          <w:szCs w:val="21"/>
          <w:highlight w:val="none"/>
        </w:rPr>
        <w:t>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(采购人、采购代理机构)：</w:t>
      </w:r>
    </w:p>
    <w:p w14:paraId="10F3B563">
      <w:pPr>
        <w:widowControl/>
        <w:adjustRightInd w:val="0"/>
        <w:snapToGrid w:val="0"/>
        <w:spacing w:before="156" w:beforeLines="50" w:line="360" w:lineRule="auto"/>
        <w:ind w:firstLine="420" w:firstLineChars="200"/>
        <w:jc w:val="left"/>
        <w:rPr>
          <w:rFonts w:ascii="宋体" w:hAnsi="宋体" w:cs="宋体"/>
          <w:color w:val="auto"/>
          <w:kern w:val="0"/>
          <w:szCs w:val="21"/>
          <w:highlight w:val="none"/>
        </w:rPr>
      </w:pPr>
      <w:r>
        <w:rPr>
          <w:rFonts w:hint="eastAsia" w:ascii="宋体" w:hAnsi="宋体" w:cs="宋体"/>
          <w:color w:val="auto"/>
          <w:szCs w:val="21"/>
          <w:highlight w:val="none"/>
        </w:rPr>
        <w:t>按照《中华人民共和国政府采购法》第二十二条和招标文件的规定，我单位郑重声明如下：</w:t>
      </w:r>
    </w:p>
    <w:p w14:paraId="6BABD20F">
      <w:pPr>
        <w:widowControl/>
        <w:adjustRightInd w:val="0"/>
        <w:snapToGrid w:val="0"/>
        <w:spacing w:before="156" w:beforeLines="50" w:line="360" w:lineRule="auto"/>
        <w:ind w:firstLine="420" w:firstLineChars="200"/>
        <w:jc w:val="left"/>
        <w:rPr>
          <w:rFonts w:ascii="宋体" w:hAnsi="宋体" w:cs="宋体"/>
          <w:color w:val="auto"/>
          <w:kern w:val="0"/>
          <w:szCs w:val="21"/>
          <w:highlight w:val="none"/>
        </w:rPr>
      </w:pPr>
      <w:r>
        <w:rPr>
          <w:rFonts w:hint="eastAsia" w:ascii="宋体" w:hAnsi="宋体" w:cs="宋体"/>
          <w:color w:val="auto"/>
          <w:szCs w:val="21"/>
          <w:highlight w:val="none"/>
        </w:rPr>
        <w:t>一、我单位是按照中华人民共和国法律规定登记注册的，注册地点为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，全称为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，统一社会信用代码为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，法定代表人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s="宋体"/>
          <w:color w:val="auto"/>
          <w:szCs w:val="21"/>
          <w:highlight w:val="none"/>
        </w:rPr>
        <w:t>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，具有独立承担民事责任的能力。</w:t>
      </w:r>
    </w:p>
    <w:p w14:paraId="0F2FB319">
      <w:pPr>
        <w:widowControl/>
        <w:adjustRightInd w:val="0"/>
        <w:snapToGrid w:val="0"/>
        <w:spacing w:before="156"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二、我单位未被</w:t>
      </w:r>
      <w:r>
        <w:rPr>
          <w:rFonts w:hint="eastAsia" w:ascii="华文中宋" w:hAnsi="华文中宋" w:eastAsia="华文中宋" w:cs="宋体"/>
          <w:color w:val="auto"/>
          <w:szCs w:val="21"/>
          <w:highlight w:val="none"/>
        </w:rPr>
        <w:t>“</w:t>
      </w:r>
      <w:r>
        <w:rPr>
          <w:rFonts w:hint="eastAsia" w:ascii="宋体" w:hAnsi="宋体" w:cs="宋体"/>
          <w:color w:val="auto"/>
          <w:szCs w:val="21"/>
          <w:highlight w:val="none"/>
        </w:rPr>
        <w:t>国家企业信用信息系统</w:t>
      </w:r>
      <w:r>
        <w:rPr>
          <w:rFonts w:hint="eastAsia" w:ascii="华文中宋" w:hAnsi="华文中宋" w:eastAsia="华文中宋" w:cs="宋体"/>
          <w:color w:val="auto"/>
          <w:szCs w:val="21"/>
          <w:highlight w:val="none"/>
        </w:rPr>
        <w:t>”</w:t>
      </w:r>
      <w:r>
        <w:rPr>
          <w:rFonts w:hint="eastAsia" w:ascii="宋体" w:hAnsi="宋体" w:cs="宋体"/>
          <w:color w:val="auto"/>
          <w:szCs w:val="21"/>
          <w:highlight w:val="none"/>
        </w:rPr>
        <w:t>列入经营异常名录或者严重违法企业名单。</w:t>
      </w:r>
    </w:p>
    <w:p w14:paraId="093144EE">
      <w:pPr>
        <w:widowControl/>
        <w:adjustRightInd w:val="0"/>
        <w:snapToGrid w:val="0"/>
        <w:spacing w:before="156"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rPr>
        <w:t>三、</w:t>
      </w:r>
      <w:r>
        <w:rPr>
          <w:rFonts w:hint="eastAsia" w:ascii="宋体" w:hAnsi="宋体" w:cs="宋体"/>
          <w:color w:val="auto"/>
          <w:szCs w:val="21"/>
          <w:highlight w:val="none"/>
        </w:rPr>
        <w:t>我单位具有良好的商业信誉和健全的财务会计制度。</w:t>
      </w:r>
    </w:p>
    <w:p w14:paraId="28F39BC2">
      <w:pPr>
        <w:widowControl/>
        <w:adjustRightInd w:val="0"/>
        <w:snapToGrid w:val="0"/>
        <w:spacing w:before="156" w:beforeLines="50"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四、我</w:t>
      </w:r>
      <w:r>
        <w:rPr>
          <w:rFonts w:hint="eastAsia" w:ascii="宋体" w:hAnsi="宋体" w:cs="宋体"/>
          <w:color w:val="auto"/>
          <w:szCs w:val="21"/>
          <w:highlight w:val="none"/>
        </w:rPr>
        <w:t>单位</w:t>
      </w:r>
      <w:r>
        <w:rPr>
          <w:rFonts w:hint="eastAsia" w:ascii="宋体" w:hAnsi="宋体" w:cs="宋体"/>
          <w:color w:val="auto"/>
          <w:kern w:val="0"/>
          <w:szCs w:val="21"/>
          <w:highlight w:val="none"/>
        </w:rPr>
        <w:t>依法进行纳税和社会保险申报并实际履行了义务。</w:t>
      </w:r>
    </w:p>
    <w:p w14:paraId="6C4E2FA6">
      <w:pPr>
        <w:widowControl/>
        <w:adjustRightInd w:val="0"/>
        <w:snapToGrid w:val="0"/>
        <w:spacing w:before="156" w:beforeLines="50" w:line="360" w:lineRule="auto"/>
        <w:ind w:firstLine="420" w:firstLineChars="200"/>
        <w:jc w:val="left"/>
        <w:rPr>
          <w:rFonts w:ascii="宋体" w:hAnsi="宋体" w:cs="宋体"/>
          <w:color w:val="auto"/>
          <w:kern w:val="0"/>
          <w:szCs w:val="21"/>
          <w:highlight w:val="none"/>
        </w:rPr>
      </w:pPr>
      <w:r>
        <w:rPr>
          <w:rFonts w:hint="eastAsia" w:ascii="宋体" w:hAnsi="宋体" w:cs="宋体"/>
          <w:color w:val="auto"/>
          <w:szCs w:val="21"/>
          <w:highlight w:val="none"/>
        </w:rPr>
        <w:t>五、我单位具有履行本项目采购合同所必需的设备和专业技术能力，并具有履行合同的良好</w:t>
      </w:r>
      <w:r>
        <w:rPr>
          <w:rFonts w:ascii="宋体" w:hAnsi="宋体"/>
          <w:color w:val="auto"/>
          <w:szCs w:val="21"/>
          <w:highlight w:val="none"/>
        </w:rPr>
        <w:t>记录</w:t>
      </w:r>
      <w:r>
        <w:rPr>
          <w:rFonts w:hint="eastAsia" w:ascii="宋体" w:hAnsi="宋体" w:cs="宋体"/>
          <w:color w:val="auto"/>
          <w:szCs w:val="21"/>
          <w:highlight w:val="none"/>
        </w:rPr>
        <w:t>。</w:t>
      </w:r>
    </w:p>
    <w:p w14:paraId="443E6E2B">
      <w:pPr>
        <w:widowControl/>
        <w:adjustRightInd w:val="0"/>
        <w:snapToGrid w:val="0"/>
        <w:spacing w:before="156"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六、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w:t>
      </w:r>
    </w:p>
    <w:p w14:paraId="525EDB8A">
      <w:pPr>
        <w:widowControl/>
        <w:adjustRightInd w:val="0"/>
        <w:snapToGrid w:val="0"/>
        <w:spacing w:before="156"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供应商在参加政府采购活动前3年内因违法经营被禁止在一定期限内参加政府采购活动，期限届满的，可以参加政府采购活动。</w:t>
      </w:r>
    </w:p>
    <w:p w14:paraId="47CCAF8E">
      <w:pPr>
        <w:widowControl/>
        <w:adjustRightInd w:val="0"/>
        <w:snapToGrid w:val="0"/>
        <w:spacing w:before="156"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七、我单位具备法律、行政法规规定的其他条件。</w:t>
      </w:r>
    </w:p>
    <w:p w14:paraId="67BEA951">
      <w:pPr>
        <w:widowControl/>
        <w:adjustRightInd w:val="0"/>
        <w:snapToGrid w:val="0"/>
        <w:spacing w:before="156" w:beforeLines="50" w:line="360" w:lineRule="auto"/>
        <w:ind w:firstLine="420" w:firstLineChars="200"/>
        <w:jc w:val="left"/>
        <w:rPr>
          <w:color w:val="auto"/>
          <w:szCs w:val="21"/>
          <w:highlight w:val="none"/>
        </w:rPr>
      </w:pPr>
      <w:r>
        <w:rPr>
          <w:rFonts w:hint="eastAsia" w:ascii="宋体" w:hAnsi="宋体" w:cs="宋体"/>
          <w:color w:val="auto"/>
          <w:kern w:val="0"/>
          <w:szCs w:val="21"/>
          <w:highlight w:val="none"/>
        </w:rPr>
        <w:t>八、</w:t>
      </w:r>
      <w:r>
        <w:rPr>
          <w:rFonts w:hint="eastAsia"/>
          <w:color w:val="auto"/>
          <w:szCs w:val="21"/>
          <w:highlight w:val="none"/>
        </w:rPr>
        <w:t>与我单位存在“单位负责人为同一人或者存在直接控股、管理关系”的其他单位信息如下（如无，填写“无”）：</w:t>
      </w:r>
    </w:p>
    <w:p w14:paraId="25717C5C">
      <w:pPr>
        <w:adjustRightInd w:val="0"/>
        <w:snapToGrid w:val="0"/>
        <w:spacing w:before="156" w:beforeLines="50" w:line="360" w:lineRule="auto"/>
        <w:ind w:firstLine="420" w:firstLineChars="200"/>
        <w:rPr>
          <w:color w:val="auto"/>
          <w:szCs w:val="21"/>
          <w:highlight w:val="none"/>
        </w:rPr>
      </w:pPr>
      <w:r>
        <w:rPr>
          <w:rFonts w:hint="eastAsia" w:ascii="宋体" w:hAnsi="宋体"/>
          <w:color w:val="auto"/>
          <w:szCs w:val="21"/>
          <w:highlight w:val="none"/>
        </w:rPr>
        <w:t>1、</w:t>
      </w:r>
      <w:r>
        <w:rPr>
          <w:rFonts w:hint="eastAsia"/>
          <w:color w:val="auto"/>
          <w:szCs w:val="21"/>
          <w:highlight w:val="none"/>
        </w:rPr>
        <w:t>与我单位的法定代表人（单位负责人）为同一人的其他单位如下：</w:t>
      </w:r>
      <w:r>
        <w:rPr>
          <w:rFonts w:hint="eastAsia" w:ascii="宋体" w:hAnsi="宋体"/>
          <w:color w:val="auto"/>
          <w:szCs w:val="21"/>
          <w:highlight w:val="none"/>
          <w:u w:val="single"/>
        </w:rPr>
        <w:t xml:space="preserve">               </w:t>
      </w:r>
    </w:p>
    <w:p w14:paraId="0AAE0874">
      <w:pPr>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2、我</w:t>
      </w:r>
      <w:r>
        <w:rPr>
          <w:rFonts w:hint="eastAsia"/>
          <w:color w:val="auto"/>
          <w:szCs w:val="21"/>
          <w:highlight w:val="none"/>
        </w:rPr>
        <w:t>单位</w:t>
      </w:r>
      <w:r>
        <w:rPr>
          <w:rFonts w:hint="eastAsia" w:ascii="宋体" w:hAnsi="宋体"/>
          <w:color w:val="auto"/>
          <w:szCs w:val="21"/>
          <w:highlight w:val="none"/>
        </w:rPr>
        <w:t>直接控股的其他单位如下：</w:t>
      </w:r>
      <w:r>
        <w:rPr>
          <w:rFonts w:hint="eastAsia" w:ascii="宋体" w:hAnsi="宋体"/>
          <w:color w:val="auto"/>
          <w:szCs w:val="21"/>
          <w:highlight w:val="none"/>
          <w:u w:val="single"/>
        </w:rPr>
        <w:t xml:space="preserve">               </w:t>
      </w:r>
    </w:p>
    <w:p w14:paraId="6A9972E5">
      <w:pPr>
        <w:adjustRightInd w:val="0"/>
        <w:snapToGrid w:val="0"/>
        <w:spacing w:before="156" w:beforeLines="50" w:line="360" w:lineRule="auto"/>
        <w:ind w:firstLine="420" w:firstLineChars="200"/>
        <w:rPr>
          <w:color w:val="auto"/>
          <w:szCs w:val="21"/>
          <w:highlight w:val="none"/>
        </w:rPr>
      </w:pPr>
      <w:r>
        <w:rPr>
          <w:rFonts w:hint="eastAsia" w:ascii="宋体" w:hAnsi="宋体"/>
          <w:color w:val="auto"/>
          <w:szCs w:val="21"/>
          <w:highlight w:val="none"/>
        </w:rPr>
        <w:t>3、与我</w:t>
      </w:r>
      <w:r>
        <w:rPr>
          <w:rFonts w:hint="eastAsia"/>
          <w:color w:val="auto"/>
          <w:szCs w:val="21"/>
          <w:highlight w:val="none"/>
        </w:rPr>
        <w:t>单位存在</w:t>
      </w:r>
      <w:r>
        <w:rPr>
          <w:rFonts w:hint="eastAsia" w:ascii="宋体" w:hAnsi="宋体"/>
          <w:color w:val="auto"/>
          <w:szCs w:val="21"/>
          <w:highlight w:val="none"/>
        </w:rPr>
        <w:t>管理关系的其他单位如下：</w:t>
      </w:r>
      <w:r>
        <w:rPr>
          <w:rFonts w:hint="eastAsia" w:ascii="宋体" w:hAnsi="宋体"/>
          <w:color w:val="auto"/>
          <w:szCs w:val="21"/>
          <w:highlight w:val="none"/>
          <w:u w:val="single"/>
        </w:rPr>
        <w:t xml:space="preserve">               </w:t>
      </w:r>
    </w:p>
    <w:p w14:paraId="7849C755">
      <w:pPr>
        <w:widowControl/>
        <w:adjustRightInd w:val="0"/>
        <w:snapToGrid w:val="0"/>
        <w:spacing w:before="156" w:beforeLines="50" w:line="360" w:lineRule="auto"/>
        <w:ind w:firstLine="420" w:firstLineChars="200"/>
        <w:jc w:val="left"/>
        <w:rPr>
          <w:color w:val="auto"/>
          <w:szCs w:val="21"/>
          <w:highlight w:val="none"/>
        </w:rPr>
      </w:pPr>
      <w:r>
        <w:rPr>
          <w:rFonts w:hint="eastAsia" w:ascii="宋体" w:hAnsi="宋体"/>
          <w:color w:val="auto"/>
          <w:szCs w:val="21"/>
          <w:highlight w:val="none"/>
        </w:rPr>
        <w:t>九、</w:t>
      </w:r>
      <w:r>
        <w:rPr>
          <w:rFonts w:ascii="宋体" w:hAnsi="宋体"/>
          <w:color w:val="auto"/>
          <w:szCs w:val="21"/>
          <w:highlight w:val="none"/>
        </w:rPr>
        <w:t>我</w:t>
      </w:r>
      <w:r>
        <w:rPr>
          <w:rFonts w:hint="eastAsia" w:ascii="宋体" w:hAnsi="宋体"/>
          <w:color w:val="auto"/>
          <w:szCs w:val="21"/>
          <w:highlight w:val="none"/>
        </w:rPr>
        <w:t>单位</w:t>
      </w:r>
      <w:r>
        <w:rPr>
          <w:rFonts w:ascii="宋体" w:hAnsi="宋体"/>
          <w:color w:val="auto"/>
          <w:szCs w:val="21"/>
          <w:highlight w:val="none"/>
        </w:rPr>
        <w:t>不属于为本项目提供整体设计、规范编制或者项目管理、监理、检测等服务的投标人。</w:t>
      </w:r>
    </w:p>
    <w:p w14:paraId="1C9DB8DB">
      <w:pPr>
        <w:widowControl/>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十、</w:t>
      </w:r>
      <w:r>
        <w:rPr>
          <w:rFonts w:ascii="宋体" w:hAnsi="宋体"/>
          <w:color w:val="auto"/>
          <w:szCs w:val="21"/>
          <w:highlight w:val="none"/>
        </w:rPr>
        <w:t>我单位无以下不良信用记录情形：</w:t>
      </w:r>
    </w:p>
    <w:p w14:paraId="4BD03D21">
      <w:pPr>
        <w:widowControl/>
        <w:adjustRightInd w:val="0"/>
        <w:snapToGrid w:val="0"/>
        <w:spacing w:before="156" w:beforeLines="50" w:line="360" w:lineRule="auto"/>
        <w:ind w:firstLine="420" w:firstLineChars="200"/>
        <w:jc w:val="left"/>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、在</w:t>
      </w:r>
      <w:r>
        <w:rPr>
          <w:rFonts w:hint="eastAsia" w:ascii="宋体" w:hAnsi="宋体" w:cs="宋体"/>
          <w:color w:val="auto"/>
          <w:szCs w:val="21"/>
          <w:highlight w:val="none"/>
        </w:rPr>
        <w:t>“信用中国”网站被列入失信被执行人和</w:t>
      </w:r>
      <w:r>
        <w:rPr>
          <w:rFonts w:hint="eastAsia" w:ascii="宋体" w:hAnsi="宋体" w:cs="宋体"/>
          <w:color w:val="auto"/>
          <w:szCs w:val="21"/>
          <w:highlight w:val="none"/>
          <w:lang w:eastAsia="zh-CN"/>
        </w:rPr>
        <w:t>税收违法黑名单</w:t>
      </w:r>
      <w:r>
        <w:rPr>
          <w:rFonts w:hint="eastAsia" w:ascii="宋体" w:hAnsi="宋体" w:cs="宋体"/>
          <w:color w:val="auto"/>
          <w:szCs w:val="21"/>
          <w:highlight w:val="none"/>
        </w:rPr>
        <w:t>；</w:t>
      </w:r>
    </w:p>
    <w:p w14:paraId="29F2E74F">
      <w:pPr>
        <w:widowControl/>
        <w:adjustRightInd w:val="0"/>
        <w:snapToGrid w:val="0"/>
        <w:spacing w:before="156" w:beforeLines="50" w:line="360" w:lineRule="auto"/>
        <w:ind w:firstLine="420" w:firstLineChars="200"/>
        <w:jc w:val="left"/>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、在</w:t>
      </w:r>
      <w:r>
        <w:rPr>
          <w:rFonts w:hint="eastAsia" w:ascii="宋体" w:hAnsi="宋体" w:cs="宋体"/>
          <w:color w:val="auto"/>
          <w:szCs w:val="21"/>
          <w:highlight w:val="none"/>
        </w:rPr>
        <w:t>“中国政府采购网”网站被列入政府采购严重违法失信行为记录名单；</w:t>
      </w:r>
    </w:p>
    <w:p w14:paraId="6B403358">
      <w:pPr>
        <w:widowControl/>
        <w:adjustRightInd w:val="0"/>
        <w:snapToGrid w:val="0"/>
        <w:spacing w:before="156" w:beforeLines="50" w:line="360" w:lineRule="auto"/>
        <w:ind w:firstLine="420" w:firstLineChars="200"/>
        <w:jc w:val="left"/>
        <w:rPr>
          <w:rFonts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rPr>
        <w:t>、</w:t>
      </w:r>
      <w:r>
        <w:rPr>
          <w:rFonts w:ascii="宋体" w:hAnsi="宋体"/>
          <w:color w:val="auto"/>
          <w:szCs w:val="21"/>
          <w:highlight w:val="none"/>
        </w:rPr>
        <w:t>不符合《政府采购法》第二十二条规定的条件。</w:t>
      </w:r>
    </w:p>
    <w:p w14:paraId="3DF50D08">
      <w:pPr>
        <w:widowControl/>
        <w:adjustRightInd w:val="0"/>
        <w:snapToGrid w:val="0"/>
        <w:spacing w:before="156" w:beforeLines="50" w:line="360" w:lineRule="auto"/>
        <w:ind w:firstLine="420" w:firstLineChars="200"/>
        <w:jc w:val="left"/>
        <w:rPr>
          <w:rFonts w:ascii="宋体" w:hAnsi="宋体" w:cs="宋体"/>
          <w:color w:val="auto"/>
          <w:kern w:val="0"/>
          <w:szCs w:val="21"/>
          <w:highlight w:val="none"/>
        </w:rPr>
      </w:pPr>
      <w:r>
        <w:rPr>
          <w:rFonts w:hint="eastAsia" w:ascii="宋体" w:hAnsi="宋体" w:cs="宋体"/>
          <w:color w:val="auto"/>
          <w:szCs w:val="21"/>
          <w:highlight w:val="none"/>
        </w:rPr>
        <w:t>我单位保证上述声明的事项都是真实的，如有虚假，我单位愿意承担相应的法律责任，并承担因此所造成的一切损失。</w:t>
      </w:r>
    </w:p>
    <w:p w14:paraId="3738FE52">
      <w:pPr>
        <w:widowControl/>
        <w:adjustRightInd w:val="0"/>
        <w:snapToGrid w:val="0"/>
        <w:spacing w:before="156" w:beforeLines="50" w:line="360" w:lineRule="auto"/>
        <w:jc w:val="left"/>
        <w:rPr>
          <w:rFonts w:ascii="宋体" w:hAnsi="宋体" w:cs="宋体"/>
          <w:color w:val="auto"/>
          <w:szCs w:val="21"/>
          <w:highlight w:val="none"/>
        </w:rPr>
      </w:pPr>
    </w:p>
    <w:p w14:paraId="2F767AB2">
      <w:pPr>
        <w:widowControl/>
        <w:adjustRightInd w:val="0"/>
        <w:snapToGrid w:val="0"/>
        <w:spacing w:before="156" w:beforeLines="50" w:line="360" w:lineRule="auto"/>
        <w:jc w:val="left"/>
        <w:rPr>
          <w:rFonts w:ascii="宋体" w:hAnsi="宋体" w:cs="宋体"/>
          <w:color w:val="auto"/>
          <w:szCs w:val="21"/>
          <w:highlight w:val="none"/>
        </w:rPr>
      </w:pPr>
      <w:r>
        <w:rPr>
          <w:rFonts w:hint="eastAsia" w:ascii="宋体" w:hAnsi="宋体" w:cs="宋体"/>
          <w:color w:val="auto"/>
          <w:szCs w:val="21"/>
          <w:highlight w:val="none"/>
        </w:rPr>
        <w:t>注：第三条“良好的商业信誉”是指投标人经营状况良好，无本资格声明第十条情形。</w:t>
      </w:r>
    </w:p>
    <w:p w14:paraId="0AC75A4F">
      <w:pPr>
        <w:widowControl/>
        <w:adjustRightInd w:val="0"/>
        <w:snapToGrid w:val="0"/>
        <w:spacing w:before="156" w:beforeLines="50" w:line="360" w:lineRule="auto"/>
        <w:jc w:val="left"/>
        <w:rPr>
          <w:rFonts w:ascii="宋体" w:hAnsi="宋体" w:cs="宋体"/>
          <w:color w:val="auto"/>
          <w:szCs w:val="21"/>
          <w:highlight w:val="none"/>
        </w:rPr>
      </w:pPr>
    </w:p>
    <w:p w14:paraId="1AA1B454">
      <w:pPr>
        <w:widowControl/>
        <w:adjustRightInd w:val="0"/>
        <w:snapToGrid w:val="0"/>
        <w:spacing w:line="360" w:lineRule="auto"/>
        <w:jc w:val="left"/>
        <w:rPr>
          <w:rFonts w:ascii="宋体" w:hAnsi="宋体" w:cs="宋体"/>
          <w:color w:val="auto"/>
          <w:kern w:val="0"/>
          <w:szCs w:val="21"/>
          <w:highlight w:val="none"/>
        </w:rPr>
      </w:pPr>
      <w:r>
        <w:rPr>
          <w:rFonts w:hint="eastAsia" w:ascii="宋体" w:hAnsi="宋体" w:cs="宋体"/>
          <w:color w:val="auto"/>
          <w:szCs w:val="21"/>
          <w:highlight w:val="none"/>
        </w:rPr>
        <w:t>投标人名称（盖单位电子公章）：</w:t>
      </w:r>
    </w:p>
    <w:p w14:paraId="1C3C92D1">
      <w:pPr>
        <w:widowControl/>
        <w:adjustRightInd w:val="0"/>
        <w:snapToGrid w:val="0"/>
        <w:spacing w:line="360" w:lineRule="auto"/>
        <w:jc w:val="left"/>
        <w:rPr>
          <w:rFonts w:ascii="宋体" w:hAnsi="宋体" w:cs="宋体"/>
          <w:b/>
          <w:bCs/>
          <w:color w:val="auto"/>
          <w:kern w:val="0"/>
          <w:sz w:val="44"/>
          <w:szCs w:val="44"/>
          <w:highlight w:val="non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highlight w:val="none"/>
        </w:rPr>
        <w:t>或委托代理人：</w:t>
      </w:r>
      <w:r>
        <w:rPr>
          <w:rFonts w:hint="eastAsia" w:ascii="宋体" w:hAnsi="宋体"/>
          <w:color w:val="auto"/>
          <w:highlight w:val="none"/>
          <w:u w:val="single"/>
        </w:rPr>
        <w:t xml:space="preserve">       </w:t>
      </w:r>
      <w:r>
        <w:rPr>
          <w:rFonts w:hint="eastAsia" w:ascii="宋体" w:hAnsi="宋体"/>
          <w:color w:val="auto"/>
          <w:highlight w:val="none"/>
        </w:rPr>
        <w:t>（电子签字或电子印章）</w:t>
      </w:r>
    </w:p>
    <w:p w14:paraId="02801E34">
      <w:pPr>
        <w:widowControl/>
        <w:adjustRightInd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714CFBA6">
      <w:pPr>
        <w:adjustRightInd w:val="0"/>
        <w:snapToGrid w:val="0"/>
        <w:spacing w:before="156" w:beforeLines="50" w:line="360" w:lineRule="auto"/>
        <w:ind w:firstLine="420" w:firstLineChars="200"/>
        <w:rPr>
          <w:rFonts w:ascii="宋体" w:hAnsi="宋体"/>
          <w:color w:val="auto"/>
          <w:highlight w:val="none"/>
        </w:rPr>
      </w:pPr>
    </w:p>
    <w:p w14:paraId="4E924BC2">
      <w:pPr>
        <w:widowControl/>
        <w:jc w:val="left"/>
        <w:rPr>
          <w:rFonts w:ascii="黑体" w:hAnsi="仿宋" w:cs="宋体"/>
          <w:b w:val="0"/>
          <w:color w:val="auto"/>
          <w:sz w:val="21"/>
          <w:szCs w:val="21"/>
          <w:highlight w:val="none"/>
        </w:rPr>
      </w:pPr>
      <w:r>
        <w:rPr>
          <w:rFonts w:ascii="黑体" w:hAnsi="仿宋" w:cs="宋体"/>
          <w:b/>
          <w:color w:val="auto"/>
          <w:szCs w:val="21"/>
          <w:highlight w:val="none"/>
        </w:rPr>
        <w:br w:type="page"/>
      </w:r>
      <w:r>
        <w:rPr>
          <w:rFonts w:hint="eastAsia" w:ascii="黑体" w:hAnsi="仿宋" w:cs="宋体"/>
          <w:b w:val="0"/>
          <w:color w:val="auto"/>
          <w:sz w:val="21"/>
          <w:szCs w:val="21"/>
          <w:highlight w:val="none"/>
        </w:rPr>
        <w:t xml:space="preserve">附件4-3 </w:t>
      </w:r>
      <w:r>
        <w:rPr>
          <w:rFonts w:hint="eastAsia" w:ascii="黑体" w:hAnsi="仿宋" w:cs="宋体"/>
          <w:b w:val="0"/>
          <w:color w:val="auto"/>
          <w:sz w:val="21"/>
          <w:szCs w:val="21"/>
          <w:highlight w:val="none"/>
          <w:lang w:eastAsia="zh-CN"/>
        </w:rPr>
        <w:t>湖南省政府采购供应商资格承诺函</w:t>
      </w:r>
      <w:r>
        <w:rPr>
          <w:rFonts w:hint="eastAsia" w:ascii="黑体" w:hAnsi="仿宋" w:cs="宋体"/>
          <w:b w:val="0"/>
          <w:color w:val="auto"/>
          <w:sz w:val="21"/>
          <w:szCs w:val="21"/>
          <w:highlight w:val="none"/>
        </w:rPr>
        <w:t>(格式)</w:t>
      </w:r>
    </w:p>
    <w:p w14:paraId="505D6EBD">
      <w:pPr>
        <w:widowControl/>
        <w:adjustRightInd w:val="0"/>
        <w:snapToGrid w:val="0"/>
        <w:spacing w:before="156" w:beforeLines="50" w:line="360" w:lineRule="auto"/>
        <w:jc w:val="center"/>
        <w:outlineLvl w:val="1"/>
        <w:rPr>
          <w:rFonts w:ascii="宋体" w:hAnsi="宋体" w:cs="宋体"/>
          <w:color w:val="auto"/>
          <w:szCs w:val="21"/>
          <w:highlight w:val="none"/>
        </w:rPr>
      </w:pPr>
      <w:bookmarkStart w:id="94" w:name="_Toc29167"/>
      <w:r>
        <w:rPr>
          <w:rFonts w:hint="eastAsia" w:ascii="黑体" w:hAnsi="仿宋" w:eastAsia="黑体" w:cs="宋体"/>
          <w:b/>
          <w:color w:val="auto"/>
          <w:sz w:val="28"/>
          <w:szCs w:val="28"/>
          <w:highlight w:val="none"/>
          <w:lang w:eastAsia="zh-CN"/>
        </w:rPr>
        <w:t>湖南省政府采购供应商资格承诺函</w:t>
      </w:r>
      <w:r>
        <w:rPr>
          <w:rFonts w:hint="eastAsia" w:ascii="黑体" w:hAnsi="仿宋" w:eastAsia="黑体" w:cs="宋体"/>
          <w:b/>
          <w:color w:val="auto"/>
          <w:sz w:val="28"/>
          <w:szCs w:val="28"/>
          <w:highlight w:val="none"/>
        </w:rPr>
        <w:t>(格式)</w:t>
      </w:r>
      <w:bookmarkEnd w:id="94"/>
    </w:p>
    <w:p w14:paraId="171E16F5">
      <w:pPr>
        <w:spacing w:line="360" w:lineRule="auto"/>
        <w:ind w:firstLine="420" w:firstLineChars="200"/>
        <w:outlineLvl w:val="9"/>
        <w:rPr>
          <w:rFonts w:hint="eastAsia" w:ascii="宋体" w:hAnsi="宋体" w:eastAsia="宋体" w:cs="宋体"/>
          <w:b w:val="0"/>
          <w:bCs w:val="0"/>
          <w:color w:val="auto"/>
          <w:kern w:val="2"/>
          <w:sz w:val="21"/>
          <w:szCs w:val="21"/>
          <w:highlight w:val="none"/>
          <w:lang w:val="en-US" w:eastAsia="zh-CN" w:bidi="ar-SA"/>
        </w:rPr>
      </w:pPr>
      <w:bookmarkStart w:id="95" w:name="_Toc17881"/>
      <w:r>
        <w:rPr>
          <w:rFonts w:hint="eastAsia" w:ascii="宋体" w:hAnsi="宋体" w:eastAsia="宋体" w:cs="宋体"/>
          <w:b w:val="0"/>
          <w:bCs w:val="0"/>
          <w:color w:val="auto"/>
          <w:kern w:val="2"/>
          <w:sz w:val="21"/>
          <w:szCs w:val="21"/>
          <w:highlight w:val="none"/>
          <w:lang w:val="en-US" w:eastAsia="zh-CN" w:bidi="ar-SA"/>
        </w:rPr>
        <w:t>本公司独立承担民事责任、具有良好的商业信誉和健全的财务会计制度、依法缴纳税收和社会保障资金，在前三年的经营活动中无重大违法记录，未列入严重失信行为名单，符合政府采购供应商的基本资格要求。</w:t>
      </w:r>
      <w:bookmarkEnd w:id="95"/>
    </w:p>
    <w:p w14:paraId="4BE22DDC">
      <w:pPr>
        <w:spacing w:line="360" w:lineRule="auto"/>
        <w:ind w:firstLine="420" w:firstLineChars="200"/>
        <w:outlineLvl w:val="9"/>
        <w:rPr>
          <w:rFonts w:hint="eastAsia" w:ascii="宋体" w:hAnsi="宋体" w:eastAsia="宋体" w:cs="宋体"/>
          <w:b w:val="0"/>
          <w:bCs w:val="0"/>
          <w:color w:val="auto"/>
          <w:kern w:val="2"/>
          <w:sz w:val="21"/>
          <w:szCs w:val="21"/>
          <w:highlight w:val="none"/>
          <w:lang w:val="en-US" w:eastAsia="zh-CN" w:bidi="ar-SA"/>
        </w:rPr>
      </w:pPr>
      <w:bookmarkStart w:id="96" w:name="_Toc29045"/>
      <w:r>
        <w:rPr>
          <w:rFonts w:hint="eastAsia" w:ascii="宋体" w:hAnsi="宋体" w:eastAsia="宋体" w:cs="宋体"/>
          <w:b w:val="0"/>
          <w:bCs w:val="0"/>
          <w:color w:val="auto"/>
          <w:kern w:val="2"/>
          <w:sz w:val="21"/>
          <w:szCs w:val="21"/>
          <w:highlight w:val="none"/>
          <w:lang w:val="en-US" w:eastAsia="zh-CN" w:bidi="ar-SA"/>
        </w:rPr>
        <w:t>按照《政府采购促进中小企业发展管理办法》（财库［2020)46号），本公司企业规模为：大型口 中型口 小型口 微型口</w:t>
      </w:r>
      <w:bookmarkEnd w:id="96"/>
    </w:p>
    <w:p w14:paraId="632E465C">
      <w:pPr>
        <w:spacing w:line="360" w:lineRule="auto"/>
        <w:ind w:firstLine="420" w:firstLineChars="200"/>
        <w:outlineLvl w:val="9"/>
        <w:rPr>
          <w:rFonts w:hint="eastAsia" w:ascii="宋体" w:hAnsi="宋体" w:eastAsia="宋体" w:cs="宋体"/>
          <w:b w:val="0"/>
          <w:bCs w:val="0"/>
          <w:color w:val="auto"/>
          <w:kern w:val="2"/>
          <w:sz w:val="21"/>
          <w:szCs w:val="21"/>
          <w:highlight w:val="none"/>
          <w:lang w:val="en-US" w:eastAsia="zh-CN" w:bidi="ar-SA"/>
        </w:rPr>
      </w:pPr>
      <w:bookmarkStart w:id="97" w:name="_Toc7673"/>
      <w:r>
        <w:rPr>
          <w:rFonts w:hint="eastAsia" w:ascii="宋体" w:hAnsi="宋体" w:eastAsia="宋体" w:cs="宋体"/>
          <w:b w:val="0"/>
          <w:bCs w:val="0"/>
          <w:color w:val="auto"/>
          <w:kern w:val="2"/>
          <w:sz w:val="21"/>
          <w:szCs w:val="21"/>
          <w:highlight w:val="none"/>
          <w:lang w:val="en-US" w:eastAsia="zh-CN" w:bidi="ar-SA"/>
        </w:rPr>
        <w:t>口本公司自愿入驻湖南省政府采购电子卖场，遵守《湖南省政府采购电子卖场管理办法》（湘财购［2019]27号），如违反承诺，同意金融机构将增信保证划缴国库（非电子卖场采购活动项目不需勾选）。</w:t>
      </w:r>
      <w:bookmarkEnd w:id="97"/>
    </w:p>
    <w:p w14:paraId="74B98F8E">
      <w:pPr>
        <w:spacing w:line="360" w:lineRule="auto"/>
        <w:ind w:firstLine="4830" w:firstLineChars="2300"/>
        <w:outlineLvl w:val="9"/>
        <w:rPr>
          <w:rFonts w:hint="eastAsia" w:ascii="宋体" w:hAnsi="宋体" w:eastAsia="宋体" w:cs="宋体"/>
          <w:b w:val="0"/>
          <w:bCs w:val="0"/>
          <w:color w:val="auto"/>
          <w:kern w:val="2"/>
          <w:sz w:val="21"/>
          <w:szCs w:val="21"/>
          <w:highlight w:val="none"/>
          <w:lang w:val="en-US" w:eastAsia="zh-CN" w:bidi="ar-SA"/>
        </w:rPr>
      </w:pPr>
      <w:bookmarkStart w:id="98" w:name="_Toc17234"/>
      <w:r>
        <w:rPr>
          <w:rFonts w:hint="eastAsia" w:ascii="宋体" w:hAnsi="宋体" w:eastAsia="宋体" w:cs="宋体"/>
          <w:b w:val="0"/>
          <w:bCs w:val="0"/>
          <w:color w:val="auto"/>
          <w:kern w:val="2"/>
          <w:sz w:val="21"/>
          <w:szCs w:val="21"/>
          <w:highlight w:val="none"/>
          <w:lang w:val="en-US" w:eastAsia="zh-CN" w:bidi="ar-SA"/>
        </w:rPr>
        <w:t>公司（单位）名称（盖章）</w:t>
      </w:r>
      <w:bookmarkEnd w:id="98"/>
    </w:p>
    <w:p w14:paraId="4DD03C7A">
      <w:pPr>
        <w:spacing w:line="360" w:lineRule="auto"/>
        <w:jc w:val="right"/>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 xml:space="preserve">      </w:t>
      </w:r>
      <w:r>
        <w:rPr>
          <w:rFonts w:hint="eastAsia" w:ascii="宋体" w:hAnsi="宋体"/>
          <w:color w:val="auto"/>
          <w:szCs w:val="21"/>
          <w:highlight w:val="none"/>
          <w:u w:val="single"/>
        </w:rPr>
        <w:t xml:space="preserve">      </w:t>
      </w:r>
      <w:bookmarkStart w:id="99" w:name="_Toc26572"/>
      <w:r>
        <w:rPr>
          <w:rFonts w:hint="eastAsia" w:ascii="宋体" w:hAnsi="宋体" w:eastAsia="宋体" w:cs="宋体"/>
          <w:b w:val="0"/>
          <w:bCs w:val="0"/>
          <w:color w:val="auto"/>
          <w:kern w:val="2"/>
          <w:sz w:val="21"/>
          <w:szCs w:val="21"/>
          <w:highlight w:val="none"/>
          <w:lang w:val="en-US" w:eastAsia="zh-CN" w:bidi="ar-SA"/>
        </w:rPr>
        <w:t xml:space="preserve">年 </w:t>
      </w:r>
      <w:r>
        <w:rPr>
          <w:rFonts w:hint="eastAsia" w:ascii="宋体" w:hAnsi="宋体"/>
          <w:color w:val="auto"/>
          <w:szCs w:val="21"/>
          <w:highlight w:val="none"/>
          <w:u w:val="single"/>
        </w:rPr>
        <w:t xml:space="preserve">   </w:t>
      </w:r>
      <w:r>
        <w:rPr>
          <w:rFonts w:hint="eastAsia" w:ascii="宋体" w:hAnsi="宋体" w:eastAsia="宋体" w:cs="宋体"/>
          <w:b w:val="0"/>
          <w:bCs w:val="0"/>
          <w:color w:val="auto"/>
          <w:kern w:val="2"/>
          <w:sz w:val="21"/>
          <w:szCs w:val="21"/>
          <w:highlight w:val="none"/>
          <w:lang w:val="en-US" w:eastAsia="zh-CN" w:bidi="ar-SA"/>
        </w:rPr>
        <w:t>月</w:t>
      </w:r>
      <w:r>
        <w:rPr>
          <w:rFonts w:hint="eastAsia" w:ascii="宋体" w:hAnsi="宋体"/>
          <w:color w:val="auto"/>
          <w:szCs w:val="21"/>
          <w:highlight w:val="none"/>
          <w:u w:val="single"/>
        </w:rPr>
        <w:t xml:space="preserve">   </w:t>
      </w:r>
      <w:r>
        <w:rPr>
          <w:rFonts w:hint="eastAsia" w:ascii="宋体" w:hAnsi="宋体" w:eastAsia="宋体" w:cs="宋体"/>
          <w:b w:val="0"/>
          <w:bCs w:val="0"/>
          <w:color w:val="auto"/>
          <w:kern w:val="2"/>
          <w:sz w:val="21"/>
          <w:szCs w:val="21"/>
          <w:highlight w:val="none"/>
          <w:lang w:val="en-US" w:eastAsia="zh-CN" w:bidi="ar-SA"/>
        </w:rPr>
        <w:t xml:space="preserve"> 日</w:t>
      </w:r>
      <w:bookmarkEnd w:id="99"/>
    </w:p>
    <w:p w14:paraId="043A1170">
      <w:pPr>
        <w:adjustRightInd w:val="0"/>
        <w:snapToGrid w:val="0"/>
        <w:spacing w:line="360" w:lineRule="auto"/>
        <w:ind w:left="420" w:leftChars="200" w:firstLine="0" w:firstLineChars="0"/>
        <w:rPr>
          <w:rFonts w:hint="eastAsia" w:ascii="宋体" w:hAnsi="宋体" w:eastAsia="宋体" w:cs="宋体"/>
          <w:color w:val="auto"/>
          <w:sz w:val="21"/>
          <w:szCs w:val="21"/>
          <w:highlight w:val="none"/>
        </w:rPr>
      </w:pPr>
    </w:p>
    <w:p w14:paraId="4F836AEF">
      <w:pPr>
        <w:adjustRightInd w:val="0"/>
        <w:snapToGrid w:val="0"/>
        <w:spacing w:line="360" w:lineRule="auto"/>
        <w:ind w:left="420" w:leftChars="200" w:firstLine="0" w:firstLineChars="0"/>
        <w:rPr>
          <w:rFonts w:hint="eastAsia" w:ascii="宋体" w:hAnsi="宋体" w:eastAsia="宋体" w:cs="宋体"/>
          <w:color w:val="auto"/>
          <w:sz w:val="21"/>
          <w:szCs w:val="21"/>
          <w:highlight w:val="none"/>
        </w:rPr>
      </w:pPr>
    </w:p>
    <w:p w14:paraId="41B5CBAC">
      <w:pPr>
        <w:adjustRightInd w:val="0"/>
        <w:snapToGrid w:val="0"/>
        <w:spacing w:line="360" w:lineRule="auto"/>
        <w:ind w:left="420" w:leftChars="20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机构代码</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注册登记机构</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日期</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有效期</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 xml:space="preserve"> </w:t>
      </w:r>
    </w:p>
    <w:p w14:paraId="2A6234A3">
      <w:pPr>
        <w:adjustRightInd w:val="0"/>
        <w:snapToGrid w:val="0"/>
        <w:spacing w:line="360" w:lineRule="auto"/>
        <w:ind w:left="420" w:leftChars="20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注册资本</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地 址</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经济行业</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经济性质</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u w:val="single"/>
          <w:lang w:val="en-US" w:eastAsia="zh-CN"/>
        </w:rPr>
        <w:t xml:space="preserve">        </w:t>
      </w:r>
    </w:p>
    <w:p w14:paraId="1946FA28">
      <w:pPr>
        <w:adjustRightInd w:val="0"/>
        <w:snapToGrid w:val="0"/>
        <w:spacing w:line="360" w:lineRule="auto"/>
        <w:ind w:firstLine="420" w:firstLineChars="200"/>
        <w:rPr>
          <w:rFonts w:hint="eastAsia" w:ascii="宋体" w:hAnsi="宋体" w:eastAsia="宋体" w:cs="宋体"/>
          <w:color w:val="auto"/>
          <w:sz w:val="21"/>
          <w:szCs w:val="21"/>
          <w:highlight w:val="none"/>
        </w:rPr>
      </w:pPr>
    </w:p>
    <w:p w14:paraId="6DE9F8B9">
      <w:pPr>
        <w:adjustRightInd w:val="0"/>
        <w:snapToGrid w:val="0"/>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法定代表人(负责人)姓名(签字)</w:t>
      </w:r>
      <w:r>
        <w:rPr>
          <w:rFonts w:hint="eastAsia" w:ascii="宋体" w:hAnsi="宋体" w:eastAsia="宋体" w:cs="宋体"/>
          <w:color w:val="auto"/>
          <w:sz w:val="21"/>
          <w:szCs w:val="21"/>
          <w:highlight w:val="none"/>
          <w:lang w:eastAsia="zh-CN"/>
        </w:rPr>
        <w:t>：</w:t>
      </w:r>
    </w:p>
    <w:p w14:paraId="6FA84DF7">
      <w:pPr>
        <w:adjustRightInd w:val="0"/>
        <w:snapToGrid w:val="0"/>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身份证号</w:t>
      </w:r>
      <w:r>
        <w:rPr>
          <w:rFonts w:hint="eastAsia" w:ascii="宋体" w:hAnsi="宋体" w:eastAsia="宋体" w:cs="宋体"/>
          <w:color w:val="auto"/>
          <w:sz w:val="21"/>
          <w:szCs w:val="21"/>
          <w:highlight w:val="none"/>
          <w:lang w:eastAsia="zh-CN"/>
        </w:rPr>
        <w:t>：</w:t>
      </w:r>
    </w:p>
    <w:p w14:paraId="775525A7">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手机号:</w:t>
      </w:r>
    </w:p>
    <w:p w14:paraId="76237FFC">
      <w:pPr>
        <w:adjustRightInd w:val="0"/>
        <w:snapToGrid w:val="0"/>
        <w:spacing w:line="360" w:lineRule="auto"/>
        <w:ind w:firstLine="420" w:firstLineChars="200"/>
        <w:rPr>
          <w:rFonts w:hint="eastAsia" w:ascii="宋体" w:hAnsi="宋体" w:eastAsia="宋体" w:cs="宋体"/>
          <w:color w:val="auto"/>
          <w:sz w:val="21"/>
          <w:szCs w:val="21"/>
          <w:highlight w:val="none"/>
        </w:rPr>
      </w:pPr>
    </w:p>
    <w:p w14:paraId="64550514">
      <w:pPr>
        <w:adjustRightInd w:val="0"/>
        <w:snapToGrid w:val="0"/>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授权代表人姓名(签字)</w:t>
      </w:r>
      <w:r>
        <w:rPr>
          <w:rFonts w:hint="eastAsia" w:ascii="宋体" w:hAnsi="宋体" w:eastAsia="宋体" w:cs="宋体"/>
          <w:color w:val="auto"/>
          <w:sz w:val="21"/>
          <w:szCs w:val="21"/>
          <w:highlight w:val="none"/>
          <w:lang w:eastAsia="zh-CN"/>
        </w:rPr>
        <w:t>：</w:t>
      </w:r>
    </w:p>
    <w:p w14:paraId="4F94F039">
      <w:pPr>
        <w:adjustRightInd w:val="0"/>
        <w:snapToGrid w:val="0"/>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身份证号</w:t>
      </w:r>
      <w:r>
        <w:rPr>
          <w:rFonts w:hint="eastAsia" w:ascii="宋体" w:hAnsi="宋体" w:eastAsia="宋体" w:cs="宋体"/>
          <w:color w:val="auto"/>
          <w:sz w:val="21"/>
          <w:szCs w:val="21"/>
          <w:highlight w:val="none"/>
          <w:lang w:eastAsia="zh-CN"/>
        </w:rPr>
        <w:t>：</w:t>
      </w:r>
    </w:p>
    <w:p w14:paraId="26E7A4FD">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手机号:</w:t>
      </w:r>
    </w:p>
    <w:p w14:paraId="4E7C4FA7">
      <w:pPr>
        <w:spacing w:line="360" w:lineRule="auto"/>
        <w:outlineLvl w:val="9"/>
        <w:rPr>
          <w:rFonts w:ascii="黑体" w:hAnsi="仿宋" w:cs="宋体"/>
          <w:b w:val="0"/>
          <w:color w:val="auto"/>
          <w:sz w:val="21"/>
          <w:szCs w:val="21"/>
          <w:highlight w:val="none"/>
        </w:rPr>
      </w:pPr>
      <w:bookmarkStart w:id="100" w:name="_Toc15679"/>
      <w:r>
        <w:rPr>
          <w:rFonts w:hint="eastAsia" w:ascii="宋体" w:hAnsi="宋体" w:eastAsia="宋体" w:cs="宋体"/>
          <w:b w:val="0"/>
          <w:bCs w:val="0"/>
          <w:color w:val="auto"/>
          <w:kern w:val="2"/>
          <w:sz w:val="21"/>
          <w:szCs w:val="21"/>
          <w:highlight w:val="none"/>
          <w:lang w:val="en-US" w:eastAsia="zh-CN" w:bidi="ar-SA"/>
        </w:rPr>
        <w:br w:type="column"/>
      </w:r>
      <w:r>
        <w:rPr>
          <w:rFonts w:hint="eastAsia" w:ascii="黑体" w:hAnsi="仿宋" w:cs="宋体"/>
          <w:b w:val="0"/>
          <w:color w:val="auto"/>
          <w:sz w:val="21"/>
          <w:szCs w:val="21"/>
          <w:highlight w:val="none"/>
        </w:rPr>
        <w:t>附件4-</w:t>
      </w:r>
      <w:r>
        <w:rPr>
          <w:rFonts w:hint="eastAsia" w:ascii="黑体" w:hAnsi="仿宋" w:cs="宋体"/>
          <w:b w:val="0"/>
          <w:color w:val="auto"/>
          <w:sz w:val="21"/>
          <w:szCs w:val="21"/>
          <w:highlight w:val="none"/>
          <w:lang w:val="en-US" w:eastAsia="zh-CN"/>
        </w:rPr>
        <w:t>4</w:t>
      </w:r>
      <w:r>
        <w:rPr>
          <w:rFonts w:hint="eastAsia" w:ascii="黑体" w:hAnsi="仿宋" w:cs="宋体"/>
          <w:b w:val="0"/>
          <w:color w:val="auto"/>
          <w:sz w:val="21"/>
          <w:szCs w:val="21"/>
          <w:highlight w:val="none"/>
        </w:rPr>
        <w:t>符合特定资格条件证明材料复印件或者情况说明</w:t>
      </w:r>
      <w:bookmarkEnd w:id="100"/>
    </w:p>
    <w:p w14:paraId="33DF316D">
      <w:pPr>
        <w:widowControl/>
        <w:adjustRightInd w:val="0"/>
        <w:snapToGrid w:val="0"/>
        <w:spacing w:line="360" w:lineRule="auto"/>
        <w:jc w:val="center"/>
        <w:rPr>
          <w:rFonts w:ascii="黑体" w:hAnsi="仿宋" w:eastAsia="黑体" w:cs="宋体"/>
          <w:b/>
          <w:color w:val="auto"/>
          <w:sz w:val="28"/>
          <w:szCs w:val="28"/>
          <w:highlight w:val="none"/>
        </w:rPr>
      </w:pPr>
      <w:r>
        <w:rPr>
          <w:rFonts w:hint="eastAsia" w:ascii="黑体" w:hAnsi="仿宋" w:eastAsia="黑体" w:cs="宋体"/>
          <w:b/>
          <w:color w:val="auto"/>
          <w:sz w:val="28"/>
          <w:szCs w:val="28"/>
          <w:highlight w:val="none"/>
        </w:rPr>
        <w:t>符合特定资格条件证明材料复印件或者情况说明</w:t>
      </w:r>
    </w:p>
    <w:p w14:paraId="0D10E5E5">
      <w:pPr>
        <w:widowControl/>
        <w:adjustRightInd w:val="0"/>
        <w:snapToGrid w:val="0"/>
        <w:spacing w:line="360" w:lineRule="auto"/>
        <w:ind w:firstLine="560" w:firstLineChars="200"/>
        <w:jc w:val="left"/>
        <w:rPr>
          <w:rFonts w:ascii="黑体" w:hAnsi="仿宋" w:eastAsia="黑体" w:cs="宋体"/>
          <w:color w:val="auto"/>
          <w:sz w:val="28"/>
          <w:szCs w:val="28"/>
          <w:highlight w:val="none"/>
        </w:rPr>
      </w:pPr>
    </w:p>
    <w:p w14:paraId="786DAA1C">
      <w:pPr>
        <w:widowControl/>
        <w:adjustRightInd w:val="0"/>
        <w:snapToGrid w:val="0"/>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注：按第二章第</w:t>
      </w:r>
      <w:r>
        <w:rPr>
          <w:rFonts w:ascii="宋体" w:hAnsi="宋体" w:eastAsia="宋体" w:cs="宋体"/>
          <w:color w:val="auto"/>
          <w:szCs w:val="21"/>
          <w:highlight w:val="none"/>
        </w:rPr>
        <w:t>1</w:t>
      </w:r>
      <w:r>
        <w:rPr>
          <w:rFonts w:hint="eastAsia" w:ascii="宋体" w:hAnsi="宋体" w:eastAsia="宋体" w:cs="宋体"/>
          <w:color w:val="auto"/>
          <w:szCs w:val="21"/>
          <w:highlight w:val="none"/>
        </w:rPr>
        <w:t>4</w:t>
      </w:r>
      <w:r>
        <w:rPr>
          <w:rFonts w:ascii="宋体" w:hAnsi="宋体" w:eastAsia="宋体" w:cs="宋体"/>
          <w:color w:val="auto"/>
          <w:szCs w:val="21"/>
          <w:highlight w:val="none"/>
        </w:rPr>
        <w:t>.1</w:t>
      </w:r>
      <w:r>
        <w:rPr>
          <w:rFonts w:hint="eastAsia" w:ascii="宋体" w:hAnsi="宋体" w:eastAsia="宋体" w:cs="宋体"/>
          <w:color w:val="auto"/>
          <w:szCs w:val="21"/>
          <w:highlight w:val="none"/>
        </w:rPr>
        <w:t>（3）项要求提供。</w:t>
      </w:r>
    </w:p>
    <w:p w14:paraId="71B307C5">
      <w:pPr>
        <w:outlineLvl w:val="9"/>
        <w:rPr>
          <w:rFonts w:ascii="黑体" w:hAnsi="宋体" w:cs="宋体"/>
          <w:b w:val="0"/>
          <w:color w:val="auto"/>
          <w:kern w:val="0"/>
          <w:sz w:val="21"/>
          <w:szCs w:val="21"/>
          <w:highlight w:val="none"/>
        </w:rPr>
      </w:pPr>
      <w:r>
        <w:rPr>
          <w:rFonts w:ascii="黑体" w:hAnsi="仿宋" w:eastAsia="黑体" w:cs="宋体"/>
          <w:color w:val="auto"/>
          <w:szCs w:val="21"/>
          <w:highlight w:val="none"/>
        </w:rPr>
        <w:br w:type="page"/>
      </w:r>
      <w:bookmarkStart w:id="101" w:name="_Toc13045"/>
      <w:bookmarkStart w:id="102" w:name="_Toc20651252"/>
      <w:r>
        <w:rPr>
          <w:rFonts w:hint="eastAsia" w:ascii="黑体" w:hAnsi="仿宋" w:cs="宋体"/>
          <w:b w:val="0"/>
          <w:color w:val="auto"/>
          <w:sz w:val="21"/>
          <w:szCs w:val="21"/>
          <w:highlight w:val="none"/>
        </w:rPr>
        <w:t>附件4-</w:t>
      </w:r>
      <w:r>
        <w:rPr>
          <w:rFonts w:hint="eastAsia" w:ascii="黑体" w:hAnsi="仿宋" w:cs="宋体"/>
          <w:b w:val="0"/>
          <w:color w:val="auto"/>
          <w:sz w:val="21"/>
          <w:szCs w:val="21"/>
          <w:highlight w:val="none"/>
          <w:lang w:val="en-US" w:eastAsia="zh-CN"/>
        </w:rPr>
        <w:t>5</w:t>
      </w:r>
      <w:r>
        <w:rPr>
          <w:rFonts w:hint="eastAsia" w:ascii="黑体" w:hAnsi="仿宋" w:cs="宋体"/>
          <w:b w:val="0"/>
          <w:color w:val="auto"/>
          <w:sz w:val="21"/>
          <w:szCs w:val="21"/>
          <w:highlight w:val="none"/>
        </w:rPr>
        <w:t xml:space="preserve"> 联合体协议书（格式）</w:t>
      </w:r>
      <w:bookmarkEnd w:id="101"/>
      <w:bookmarkEnd w:id="102"/>
    </w:p>
    <w:p w14:paraId="477F83EF">
      <w:pPr>
        <w:adjustRightInd w:val="0"/>
        <w:snapToGrid w:val="0"/>
        <w:spacing w:line="360" w:lineRule="auto"/>
        <w:jc w:val="center"/>
        <w:rPr>
          <w:rFonts w:ascii="宋体" w:hAnsi="宋体" w:eastAsia="宋体"/>
          <w:b/>
          <w:color w:val="auto"/>
          <w:szCs w:val="21"/>
          <w:highlight w:val="none"/>
        </w:rPr>
      </w:pPr>
      <w:r>
        <w:rPr>
          <w:rFonts w:hint="eastAsia" w:ascii="黑体" w:hAnsi="仿宋" w:eastAsia="黑体" w:cs="宋体"/>
          <w:b/>
          <w:color w:val="auto"/>
          <w:sz w:val="28"/>
          <w:szCs w:val="28"/>
          <w:highlight w:val="none"/>
        </w:rPr>
        <w:t>联合体协议书（格式）</w:t>
      </w:r>
    </w:p>
    <w:p w14:paraId="40926D43">
      <w:pPr>
        <w:adjustRightInd w:val="0"/>
        <w:snapToGrid w:val="0"/>
        <w:spacing w:line="360" w:lineRule="auto"/>
        <w:rPr>
          <w:rFonts w:ascii="宋体" w:hAnsi="宋体" w:eastAsia="宋体"/>
          <w:color w:val="auto"/>
          <w:szCs w:val="21"/>
          <w:highlight w:val="none"/>
        </w:rPr>
      </w:pPr>
    </w:p>
    <w:p w14:paraId="1F267125">
      <w:pPr>
        <w:adjustRightInd w:val="0"/>
        <w:snapToGri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致</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（采购人、采购代理机构）：</w:t>
      </w:r>
    </w:p>
    <w:p w14:paraId="44724777">
      <w:pPr>
        <w:adjustRightInd w:val="0"/>
        <w:snapToGrid w:val="0"/>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经研究，我们决定自愿组成联合体共同参加</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（项目名称</w:t>
      </w:r>
      <w:r>
        <w:rPr>
          <w:rFonts w:ascii="宋体" w:hAnsi="宋体" w:eastAsia="宋体"/>
          <w:color w:val="auto"/>
          <w:szCs w:val="21"/>
          <w:highlight w:val="none"/>
        </w:rPr>
        <w:t>）</w:t>
      </w:r>
      <w:r>
        <w:rPr>
          <w:rFonts w:hint="eastAsia" w:ascii="宋体" w:hAnsi="宋体" w:eastAsia="宋体"/>
          <w:color w:val="auto"/>
          <w:szCs w:val="21"/>
          <w:highlight w:val="none"/>
        </w:rPr>
        <w:t>（</w:t>
      </w:r>
      <w:r>
        <w:rPr>
          <w:rFonts w:hint="eastAsia" w:ascii="宋体" w:hAnsi="宋体"/>
          <w:color w:val="auto"/>
          <w:szCs w:val="21"/>
          <w:highlight w:val="none"/>
          <w:lang w:eastAsia="zh-CN"/>
        </w:rPr>
        <w:t>采购代理编号</w:t>
      </w:r>
      <w:r>
        <w:rPr>
          <w:rFonts w:hint="eastAsia" w:ascii="宋体" w:hAnsi="宋体" w:eastAsia="宋体"/>
          <w:color w:val="auto"/>
          <w:szCs w:val="21"/>
          <w:highlight w:val="none"/>
        </w:rPr>
        <w:t>：</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）项目的投标。现就联合体投标事宜订立如下协议：</w:t>
      </w:r>
    </w:p>
    <w:p w14:paraId="3A3A8803">
      <w:pPr>
        <w:adjustRightInd w:val="0"/>
        <w:snapToGrid w:val="0"/>
        <w:spacing w:line="360" w:lineRule="auto"/>
        <w:ind w:firstLine="420" w:firstLineChars="200"/>
        <w:rPr>
          <w:rFonts w:ascii="宋体" w:hAnsi="宋体" w:eastAsia="宋体"/>
          <w:color w:val="auto"/>
          <w:szCs w:val="21"/>
          <w:highlight w:val="none"/>
          <w:u w:val="single"/>
        </w:rPr>
      </w:pPr>
      <w:r>
        <w:rPr>
          <w:rFonts w:hint="eastAsia" w:ascii="宋体" w:hAnsi="宋体" w:eastAsia="宋体"/>
          <w:color w:val="auto"/>
          <w:szCs w:val="21"/>
          <w:highlight w:val="none"/>
        </w:rPr>
        <w:t>一、联合体基本信息：</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（各方公司名称、地址、注册资金、营业执照、</w:t>
      </w:r>
      <w:r>
        <w:rPr>
          <w:rFonts w:hint="eastAsia" w:ascii="宋体" w:hAnsi="宋体" w:eastAsia="宋体" w:cs="微软雅黑"/>
          <w:color w:val="auto"/>
          <w:spacing w:val="-2"/>
          <w:kern w:val="0"/>
          <w:szCs w:val="21"/>
          <w:highlight w:val="none"/>
        </w:rPr>
        <w:t>法</w:t>
      </w:r>
      <w:r>
        <w:rPr>
          <w:rFonts w:hint="eastAsia" w:ascii="宋体" w:hAnsi="宋体" w:eastAsia="宋体" w:cs="微软雅黑"/>
          <w:color w:val="auto"/>
          <w:kern w:val="0"/>
          <w:szCs w:val="21"/>
          <w:highlight w:val="none"/>
        </w:rPr>
        <w:t>定</w:t>
      </w:r>
      <w:r>
        <w:rPr>
          <w:rFonts w:hint="eastAsia" w:ascii="宋体" w:hAnsi="宋体" w:eastAsia="宋体" w:cs="微软雅黑"/>
          <w:color w:val="auto"/>
          <w:spacing w:val="-2"/>
          <w:kern w:val="0"/>
          <w:szCs w:val="21"/>
          <w:highlight w:val="none"/>
        </w:rPr>
        <w:t>代</w:t>
      </w:r>
      <w:r>
        <w:rPr>
          <w:rFonts w:hint="eastAsia" w:ascii="宋体" w:hAnsi="宋体" w:eastAsia="宋体" w:cs="微软雅黑"/>
          <w:color w:val="auto"/>
          <w:kern w:val="0"/>
          <w:szCs w:val="21"/>
          <w:highlight w:val="none"/>
        </w:rPr>
        <w:t>表</w:t>
      </w:r>
      <w:r>
        <w:rPr>
          <w:rFonts w:hint="eastAsia" w:ascii="宋体" w:hAnsi="宋体" w:eastAsia="宋体" w:cs="微软雅黑"/>
          <w:color w:val="auto"/>
          <w:spacing w:val="-2"/>
          <w:kern w:val="0"/>
          <w:szCs w:val="21"/>
          <w:highlight w:val="none"/>
        </w:rPr>
        <w:t>人</w:t>
      </w:r>
      <w:r>
        <w:rPr>
          <w:rFonts w:hint="eastAsia" w:ascii="宋体" w:hAnsi="宋体" w:eastAsia="宋体" w:cs="微软雅黑"/>
          <w:color w:val="auto"/>
          <w:kern w:val="0"/>
          <w:szCs w:val="21"/>
          <w:highlight w:val="none"/>
        </w:rPr>
        <w:t>（</w:t>
      </w:r>
      <w:r>
        <w:rPr>
          <w:rFonts w:hint="eastAsia" w:ascii="宋体" w:hAnsi="宋体" w:eastAsia="宋体" w:cs="微软雅黑"/>
          <w:color w:val="auto"/>
          <w:spacing w:val="-2"/>
          <w:kern w:val="0"/>
          <w:szCs w:val="21"/>
          <w:highlight w:val="none"/>
        </w:rPr>
        <w:t>单</w:t>
      </w:r>
      <w:r>
        <w:rPr>
          <w:rFonts w:hint="eastAsia" w:ascii="宋体" w:hAnsi="宋体" w:eastAsia="宋体" w:cs="微软雅黑"/>
          <w:color w:val="auto"/>
          <w:kern w:val="0"/>
          <w:szCs w:val="21"/>
          <w:highlight w:val="none"/>
        </w:rPr>
        <w:t>位</w:t>
      </w:r>
      <w:r>
        <w:rPr>
          <w:rFonts w:hint="eastAsia" w:ascii="宋体" w:hAnsi="宋体" w:eastAsia="宋体" w:cs="微软雅黑"/>
          <w:color w:val="auto"/>
          <w:spacing w:val="-2"/>
          <w:kern w:val="0"/>
          <w:szCs w:val="21"/>
          <w:highlight w:val="none"/>
        </w:rPr>
        <w:t>负</w:t>
      </w:r>
      <w:r>
        <w:rPr>
          <w:rFonts w:hint="eastAsia" w:ascii="宋体" w:hAnsi="宋体" w:eastAsia="宋体" w:cs="微软雅黑"/>
          <w:color w:val="auto"/>
          <w:kern w:val="0"/>
          <w:szCs w:val="21"/>
          <w:highlight w:val="none"/>
        </w:rPr>
        <w:t>责人</w:t>
      </w:r>
      <w:r>
        <w:rPr>
          <w:rFonts w:hint="eastAsia" w:ascii="宋体" w:hAnsi="宋体" w:eastAsia="宋体" w:cs="微软雅黑"/>
          <w:color w:val="auto"/>
          <w:spacing w:val="-2"/>
          <w:kern w:val="0"/>
          <w:szCs w:val="21"/>
          <w:highlight w:val="none"/>
        </w:rPr>
        <w:t>）</w:t>
      </w:r>
      <w:r>
        <w:rPr>
          <w:rFonts w:hint="eastAsia" w:ascii="宋体" w:hAnsi="宋体" w:eastAsia="宋体"/>
          <w:color w:val="auto"/>
          <w:szCs w:val="21"/>
          <w:highlight w:val="none"/>
        </w:rPr>
        <w:t>姓名）</w:t>
      </w:r>
    </w:p>
    <w:p w14:paraId="2711B7C7">
      <w:pPr>
        <w:adjustRightInd w:val="0"/>
        <w:snapToGrid w:val="0"/>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二、</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（某成员单位名称）为</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（联合体名称）牵头人。</w:t>
      </w:r>
    </w:p>
    <w:p w14:paraId="2D5AD7FC">
      <w:pPr>
        <w:adjustRightInd w:val="0"/>
        <w:snapToGrid w:val="0"/>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三、联合体牵头人合法代表联合体各成员负责本项目投标文件编制活动，代表联合体提交和接收相关的资料、信息及指示，并处理与投标有关的一切事务；联合体中标后，联合体牵头人负责合同订立和合同实施阶段的主办、组织和协调工作。</w:t>
      </w:r>
    </w:p>
    <w:p w14:paraId="4D5A8D2F">
      <w:pPr>
        <w:adjustRightInd w:val="0"/>
        <w:snapToGrid w:val="0"/>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四．联合体将严格按照招标文件的各项要求，递交投标文件，参加投标，履行中标义务和中标后的合同，并向采购人承担连带责任。</w:t>
      </w:r>
    </w:p>
    <w:p w14:paraId="47114A8B">
      <w:pPr>
        <w:adjustRightInd w:val="0"/>
        <w:snapToGrid w:val="0"/>
        <w:spacing w:line="360" w:lineRule="auto"/>
        <w:ind w:firstLine="420" w:firstLineChars="200"/>
        <w:rPr>
          <w:rFonts w:ascii="宋体" w:hAnsi="宋体" w:eastAsia="宋体"/>
          <w:color w:val="auto"/>
          <w:szCs w:val="21"/>
          <w:highlight w:val="none"/>
          <w:u w:val="single"/>
        </w:rPr>
      </w:pPr>
      <w:r>
        <w:rPr>
          <w:rFonts w:hint="eastAsia" w:ascii="宋体" w:hAnsi="宋体" w:eastAsia="宋体"/>
          <w:color w:val="auto"/>
          <w:szCs w:val="21"/>
          <w:highlight w:val="none"/>
        </w:rPr>
        <w:t>五、联合体各成员单位内部的职责分工如下：</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。按照本条上述分工，联合体各成员的协议合同金额占联合体协议合同总金额比例如下：</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w:t>
      </w:r>
    </w:p>
    <w:p w14:paraId="7E5351BC">
      <w:pPr>
        <w:adjustRightInd w:val="0"/>
        <w:snapToGrid w:val="0"/>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六、本协议书自签署之日起生效，合同履行完毕后自动失效。</w:t>
      </w:r>
    </w:p>
    <w:p w14:paraId="54B1B727">
      <w:pPr>
        <w:adjustRightInd w:val="0"/>
        <w:snapToGrid w:val="0"/>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七、本协议书一式</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份，联合体成员和采购人各执一份。</w:t>
      </w:r>
    </w:p>
    <w:p w14:paraId="6ED69C56">
      <w:pPr>
        <w:adjustRightInd w:val="0"/>
        <w:snapToGrid w:val="0"/>
        <w:spacing w:line="360" w:lineRule="auto"/>
        <w:rPr>
          <w:rFonts w:ascii="宋体" w:hAnsi="宋体" w:eastAsia="宋体"/>
          <w:color w:val="auto"/>
          <w:szCs w:val="21"/>
          <w:highlight w:val="none"/>
        </w:rPr>
      </w:pPr>
    </w:p>
    <w:p w14:paraId="06C756FD">
      <w:pPr>
        <w:adjustRightInd w:val="0"/>
        <w:snapToGri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牵头人名称（盖单位章）：</w:t>
      </w:r>
    </w:p>
    <w:p w14:paraId="3E060083">
      <w:pPr>
        <w:adjustRightInd w:val="0"/>
        <w:snapToGrid w:val="0"/>
        <w:spacing w:line="360" w:lineRule="auto"/>
        <w:rPr>
          <w:rFonts w:ascii="宋体" w:hAnsi="宋体" w:eastAsia="宋体"/>
          <w:color w:val="auto"/>
          <w:szCs w:val="21"/>
          <w:highlight w:val="none"/>
        </w:rPr>
      </w:pPr>
      <w:r>
        <w:rPr>
          <w:rFonts w:hint="eastAsia" w:ascii="宋体" w:hAnsi="宋体" w:eastAsia="宋体" w:cs="微软雅黑"/>
          <w:color w:val="auto"/>
          <w:spacing w:val="-2"/>
          <w:kern w:val="0"/>
          <w:szCs w:val="21"/>
          <w:highlight w:val="none"/>
        </w:rPr>
        <w:t>法</w:t>
      </w:r>
      <w:r>
        <w:rPr>
          <w:rFonts w:hint="eastAsia" w:ascii="宋体" w:hAnsi="宋体" w:eastAsia="宋体" w:cs="微软雅黑"/>
          <w:color w:val="auto"/>
          <w:kern w:val="0"/>
          <w:szCs w:val="21"/>
          <w:highlight w:val="none"/>
        </w:rPr>
        <w:t>定</w:t>
      </w:r>
      <w:r>
        <w:rPr>
          <w:rFonts w:hint="eastAsia" w:ascii="宋体" w:hAnsi="宋体" w:eastAsia="宋体" w:cs="微软雅黑"/>
          <w:color w:val="auto"/>
          <w:spacing w:val="-2"/>
          <w:kern w:val="0"/>
          <w:szCs w:val="21"/>
          <w:highlight w:val="none"/>
        </w:rPr>
        <w:t>代</w:t>
      </w:r>
      <w:r>
        <w:rPr>
          <w:rFonts w:hint="eastAsia" w:ascii="宋体" w:hAnsi="宋体" w:eastAsia="宋体" w:cs="微软雅黑"/>
          <w:color w:val="auto"/>
          <w:kern w:val="0"/>
          <w:szCs w:val="21"/>
          <w:highlight w:val="none"/>
        </w:rPr>
        <w:t>表</w:t>
      </w:r>
      <w:r>
        <w:rPr>
          <w:rFonts w:hint="eastAsia" w:ascii="宋体" w:hAnsi="宋体" w:eastAsia="宋体" w:cs="微软雅黑"/>
          <w:color w:val="auto"/>
          <w:spacing w:val="-2"/>
          <w:kern w:val="0"/>
          <w:szCs w:val="21"/>
          <w:highlight w:val="none"/>
        </w:rPr>
        <w:t>人</w:t>
      </w:r>
      <w:r>
        <w:rPr>
          <w:rFonts w:hint="eastAsia" w:ascii="宋体" w:hAnsi="宋体" w:eastAsia="宋体" w:cs="微软雅黑"/>
          <w:color w:val="auto"/>
          <w:kern w:val="0"/>
          <w:szCs w:val="21"/>
          <w:highlight w:val="none"/>
        </w:rPr>
        <w:t>（</w:t>
      </w:r>
      <w:r>
        <w:rPr>
          <w:rFonts w:hint="eastAsia" w:ascii="宋体" w:hAnsi="宋体" w:eastAsia="宋体" w:cs="微软雅黑"/>
          <w:color w:val="auto"/>
          <w:spacing w:val="-2"/>
          <w:kern w:val="0"/>
          <w:szCs w:val="21"/>
          <w:highlight w:val="none"/>
        </w:rPr>
        <w:t>单</w:t>
      </w:r>
      <w:r>
        <w:rPr>
          <w:rFonts w:hint="eastAsia" w:ascii="宋体" w:hAnsi="宋体" w:eastAsia="宋体" w:cs="微软雅黑"/>
          <w:color w:val="auto"/>
          <w:kern w:val="0"/>
          <w:szCs w:val="21"/>
          <w:highlight w:val="none"/>
        </w:rPr>
        <w:t>位</w:t>
      </w:r>
      <w:r>
        <w:rPr>
          <w:rFonts w:hint="eastAsia" w:ascii="宋体" w:hAnsi="宋体" w:eastAsia="宋体" w:cs="微软雅黑"/>
          <w:color w:val="auto"/>
          <w:spacing w:val="-2"/>
          <w:kern w:val="0"/>
          <w:szCs w:val="21"/>
          <w:highlight w:val="none"/>
        </w:rPr>
        <w:t>负</w:t>
      </w:r>
      <w:r>
        <w:rPr>
          <w:rFonts w:hint="eastAsia" w:ascii="宋体" w:hAnsi="宋体" w:eastAsia="宋体" w:cs="微软雅黑"/>
          <w:color w:val="auto"/>
          <w:kern w:val="0"/>
          <w:szCs w:val="21"/>
          <w:highlight w:val="none"/>
        </w:rPr>
        <w:t>责人</w:t>
      </w:r>
      <w:r>
        <w:rPr>
          <w:rFonts w:hint="eastAsia" w:ascii="宋体" w:hAnsi="宋体" w:eastAsia="宋体" w:cs="微软雅黑"/>
          <w:color w:val="auto"/>
          <w:spacing w:val="-2"/>
          <w:kern w:val="0"/>
          <w:szCs w:val="21"/>
          <w:highlight w:val="none"/>
        </w:rPr>
        <w:t>）</w:t>
      </w:r>
      <w:r>
        <w:rPr>
          <w:rFonts w:hint="eastAsia" w:ascii="宋体" w:hAnsi="宋体" w:eastAsia="宋体"/>
          <w:color w:val="auto"/>
          <w:szCs w:val="21"/>
          <w:highlight w:val="none"/>
        </w:rPr>
        <w:t>或其委托代理人（签字或印章）：</w:t>
      </w:r>
      <w:r>
        <w:rPr>
          <w:rFonts w:hint="eastAsia" w:ascii="宋体" w:hAnsi="宋体" w:eastAsia="宋体"/>
          <w:color w:val="auto"/>
          <w:szCs w:val="21"/>
          <w:highlight w:val="none"/>
          <w:u w:val="single"/>
        </w:rPr>
        <w:t xml:space="preserve">                          </w:t>
      </w:r>
    </w:p>
    <w:p w14:paraId="607302BB">
      <w:pPr>
        <w:adjustRightInd w:val="0"/>
        <w:snapToGrid w:val="0"/>
        <w:spacing w:line="360" w:lineRule="auto"/>
        <w:rPr>
          <w:rFonts w:ascii="宋体" w:hAnsi="宋体" w:eastAsia="宋体"/>
          <w:color w:val="auto"/>
          <w:szCs w:val="21"/>
          <w:highlight w:val="none"/>
        </w:rPr>
      </w:pPr>
    </w:p>
    <w:p w14:paraId="1D18E9B9">
      <w:pPr>
        <w:adjustRightInd w:val="0"/>
        <w:snapToGri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成员1名称（盖单位章）：</w:t>
      </w:r>
    </w:p>
    <w:p w14:paraId="6D846C28">
      <w:pPr>
        <w:adjustRightInd w:val="0"/>
        <w:snapToGrid w:val="0"/>
        <w:spacing w:line="360" w:lineRule="auto"/>
        <w:rPr>
          <w:rFonts w:ascii="宋体" w:hAnsi="宋体" w:eastAsia="宋体"/>
          <w:color w:val="auto"/>
          <w:szCs w:val="21"/>
          <w:highlight w:val="none"/>
        </w:rPr>
      </w:pPr>
      <w:r>
        <w:rPr>
          <w:rFonts w:hint="eastAsia" w:ascii="宋体" w:hAnsi="宋体" w:eastAsia="宋体" w:cs="微软雅黑"/>
          <w:color w:val="auto"/>
          <w:spacing w:val="-2"/>
          <w:kern w:val="0"/>
          <w:szCs w:val="21"/>
          <w:highlight w:val="none"/>
        </w:rPr>
        <w:t>法</w:t>
      </w:r>
      <w:r>
        <w:rPr>
          <w:rFonts w:hint="eastAsia" w:ascii="宋体" w:hAnsi="宋体" w:eastAsia="宋体" w:cs="微软雅黑"/>
          <w:color w:val="auto"/>
          <w:kern w:val="0"/>
          <w:szCs w:val="21"/>
          <w:highlight w:val="none"/>
        </w:rPr>
        <w:t>定</w:t>
      </w:r>
      <w:r>
        <w:rPr>
          <w:rFonts w:hint="eastAsia" w:ascii="宋体" w:hAnsi="宋体" w:eastAsia="宋体" w:cs="微软雅黑"/>
          <w:color w:val="auto"/>
          <w:spacing w:val="-2"/>
          <w:kern w:val="0"/>
          <w:szCs w:val="21"/>
          <w:highlight w:val="none"/>
        </w:rPr>
        <w:t>代</w:t>
      </w:r>
      <w:r>
        <w:rPr>
          <w:rFonts w:hint="eastAsia" w:ascii="宋体" w:hAnsi="宋体" w:eastAsia="宋体" w:cs="微软雅黑"/>
          <w:color w:val="auto"/>
          <w:kern w:val="0"/>
          <w:szCs w:val="21"/>
          <w:highlight w:val="none"/>
        </w:rPr>
        <w:t>表</w:t>
      </w:r>
      <w:r>
        <w:rPr>
          <w:rFonts w:hint="eastAsia" w:ascii="宋体" w:hAnsi="宋体" w:eastAsia="宋体" w:cs="微软雅黑"/>
          <w:color w:val="auto"/>
          <w:spacing w:val="-2"/>
          <w:kern w:val="0"/>
          <w:szCs w:val="21"/>
          <w:highlight w:val="none"/>
        </w:rPr>
        <w:t>人</w:t>
      </w:r>
      <w:r>
        <w:rPr>
          <w:rFonts w:hint="eastAsia" w:ascii="宋体" w:hAnsi="宋体" w:eastAsia="宋体" w:cs="微软雅黑"/>
          <w:color w:val="auto"/>
          <w:kern w:val="0"/>
          <w:szCs w:val="21"/>
          <w:highlight w:val="none"/>
        </w:rPr>
        <w:t>（</w:t>
      </w:r>
      <w:r>
        <w:rPr>
          <w:rFonts w:hint="eastAsia" w:ascii="宋体" w:hAnsi="宋体" w:eastAsia="宋体" w:cs="微软雅黑"/>
          <w:color w:val="auto"/>
          <w:spacing w:val="-2"/>
          <w:kern w:val="0"/>
          <w:szCs w:val="21"/>
          <w:highlight w:val="none"/>
        </w:rPr>
        <w:t>单</w:t>
      </w:r>
      <w:r>
        <w:rPr>
          <w:rFonts w:hint="eastAsia" w:ascii="宋体" w:hAnsi="宋体" w:eastAsia="宋体" w:cs="微软雅黑"/>
          <w:color w:val="auto"/>
          <w:kern w:val="0"/>
          <w:szCs w:val="21"/>
          <w:highlight w:val="none"/>
        </w:rPr>
        <w:t>位</w:t>
      </w:r>
      <w:r>
        <w:rPr>
          <w:rFonts w:hint="eastAsia" w:ascii="宋体" w:hAnsi="宋体" w:eastAsia="宋体" w:cs="微软雅黑"/>
          <w:color w:val="auto"/>
          <w:spacing w:val="-2"/>
          <w:kern w:val="0"/>
          <w:szCs w:val="21"/>
          <w:highlight w:val="none"/>
        </w:rPr>
        <w:t>负</w:t>
      </w:r>
      <w:r>
        <w:rPr>
          <w:rFonts w:hint="eastAsia" w:ascii="宋体" w:hAnsi="宋体" w:eastAsia="宋体" w:cs="微软雅黑"/>
          <w:color w:val="auto"/>
          <w:kern w:val="0"/>
          <w:szCs w:val="21"/>
          <w:highlight w:val="none"/>
        </w:rPr>
        <w:t>责人</w:t>
      </w:r>
      <w:r>
        <w:rPr>
          <w:rFonts w:hint="eastAsia" w:ascii="宋体" w:hAnsi="宋体" w:eastAsia="宋体" w:cs="微软雅黑"/>
          <w:color w:val="auto"/>
          <w:spacing w:val="-2"/>
          <w:kern w:val="0"/>
          <w:szCs w:val="21"/>
          <w:highlight w:val="none"/>
        </w:rPr>
        <w:t>）</w:t>
      </w:r>
      <w:r>
        <w:rPr>
          <w:rFonts w:hint="eastAsia" w:ascii="宋体" w:hAnsi="宋体" w:eastAsia="宋体"/>
          <w:color w:val="auto"/>
          <w:szCs w:val="21"/>
          <w:highlight w:val="none"/>
        </w:rPr>
        <w:t>或其委托代理人（签字或印章）：</w:t>
      </w:r>
      <w:r>
        <w:rPr>
          <w:rFonts w:hint="eastAsia" w:ascii="宋体" w:hAnsi="宋体" w:eastAsia="宋体"/>
          <w:color w:val="auto"/>
          <w:szCs w:val="21"/>
          <w:highlight w:val="none"/>
          <w:u w:val="single"/>
        </w:rPr>
        <w:t xml:space="preserve">                          </w:t>
      </w:r>
    </w:p>
    <w:p w14:paraId="1D76E5F1">
      <w:pPr>
        <w:adjustRightInd w:val="0"/>
        <w:snapToGri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成员2名称（盖单位章）：</w:t>
      </w:r>
    </w:p>
    <w:p w14:paraId="4E09F07A">
      <w:pPr>
        <w:adjustRightInd w:val="0"/>
        <w:snapToGrid w:val="0"/>
        <w:spacing w:line="360" w:lineRule="auto"/>
        <w:rPr>
          <w:rFonts w:ascii="宋体" w:hAnsi="宋体" w:eastAsia="宋体"/>
          <w:color w:val="auto"/>
          <w:szCs w:val="21"/>
          <w:highlight w:val="none"/>
        </w:rPr>
      </w:pPr>
      <w:r>
        <w:rPr>
          <w:rFonts w:hint="eastAsia" w:ascii="宋体" w:hAnsi="宋体" w:eastAsia="宋体" w:cs="微软雅黑"/>
          <w:color w:val="auto"/>
          <w:spacing w:val="-2"/>
          <w:kern w:val="0"/>
          <w:szCs w:val="21"/>
          <w:highlight w:val="none"/>
        </w:rPr>
        <w:t>法</w:t>
      </w:r>
      <w:r>
        <w:rPr>
          <w:rFonts w:hint="eastAsia" w:ascii="宋体" w:hAnsi="宋体" w:eastAsia="宋体" w:cs="微软雅黑"/>
          <w:color w:val="auto"/>
          <w:kern w:val="0"/>
          <w:szCs w:val="21"/>
          <w:highlight w:val="none"/>
        </w:rPr>
        <w:t>定</w:t>
      </w:r>
      <w:r>
        <w:rPr>
          <w:rFonts w:hint="eastAsia" w:ascii="宋体" w:hAnsi="宋体" w:eastAsia="宋体" w:cs="微软雅黑"/>
          <w:color w:val="auto"/>
          <w:spacing w:val="-2"/>
          <w:kern w:val="0"/>
          <w:szCs w:val="21"/>
          <w:highlight w:val="none"/>
        </w:rPr>
        <w:t>代</w:t>
      </w:r>
      <w:r>
        <w:rPr>
          <w:rFonts w:hint="eastAsia" w:ascii="宋体" w:hAnsi="宋体" w:eastAsia="宋体" w:cs="微软雅黑"/>
          <w:color w:val="auto"/>
          <w:kern w:val="0"/>
          <w:szCs w:val="21"/>
          <w:highlight w:val="none"/>
        </w:rPr>
        <w:t>表</w:t>
      </w:r>
      <w:r>
        <w:rPr>
          <w:rFonts w:hint="eastAsia" w:ascii="宋体" w:hAnsi="宋体" w:eastAsia="宋体" w:cs="微软雅黑"/>
          <w:color w:val="auto"/>
          <w:spacing w:val="-2"/>
          <w:kern w:val="0"/>
          <w:szCs w:val="21"/>
          <w:highlight w:val="none"/>
        </w:rPr>
        <w:t>人</w:t>
      </w:r>
      <w:r>
        <w:rPr>
          <w:rFonts w:hint="eastAsia" w:ascii="宋体" w:hAnsi="宋体" w:eastAsia="宋体" w:cs="微软雅黑"/>
          <w:color w:val="auto"/>
          <w:kern w:val="0"/>
          <w:szCs w:val="21"/>
          <w:highlight w:val="none"/>
        </w:rPr>
        <w:t>（</w:t>
      </w:r>
      <w:r>
        <w:rPr>
          <w:rFonts w:hint="eastAsia" w:ascii="宋体" w:hAnsi="宋体" w:eastAsia="宋体" w:cs="微软雅黑"/>
          <w:color w:val="auto"/>
          <w:spacing w:val="-2"/>
          <w:kern w:val="0"/>
          <w:szCs w:val="21"/>
          <w:highlight w:val="none"/>
        </w:rPr>
        <w:t>单</w:t>
      </w:r>
      <w:r>
        <w:rPr>
          <w:rFonts w:hint="eastAsia" w:ascii="宋体" w:hAnsi="宋体" w:eastAsia="宋体" w:cs="微软雅黑"/>
          <w:color w:val="auto"/>
          <w:kern w:val="0"/>
          <w:szCs w:val="21"/>
          <w:highlight w:val="none"/>
        </w:rPr>
        <w:t>位</w:t>
      </w:r>
      <w:r>
        <w:rPr>
          <w:rFonts w:hint="eastAsia" w:ascii="宋体" w:hAnsi="宋体" w:eastAsia="宋体" w:cs="微软雅黑"/>
          <w:color w:val="auto"/>
          <w:spacing w:val="-2"/>
          <w:kern w:val="0"/>
          <w:szCs w:val="21"/>
          <w:highlight w:val="none"/>
        </w:rPr>
        <w:t>负</w:t>
      </w:r>
      <w:r>
        <w:rPr>
          <w:rFonts w:hint="eastAsia" w:ascii="宋体" w:hAnsi="宋体" w:eastAsia="宋体" w:cs="微软雅黑"/>
          <w:color w:val="auto"/>
          <w:kern w:val="0"/>
          <w:szCs w:val="21"/>
          <w:highlight w:val="none"/>
        </w:rPr>
        <w:t>责人</w:t>
      </w:r>
      <w:r>
        <w:rPr>
          <w:rFonts w:hint="eastAsia" w:ascii="宋体" w:hAnsi="宋体" w:eastAsia="宋体" w:cs="微软雅黑"/>
          <w:color w:val="auto"/>
          <w:spacing w:val="-2"/>
          <w:kern w:val="0"/>
          <w:szCs w:val="21"/>
          <w:highlight w:val="none"/>
        </w:rPr>
        <w:t>）</w:t>
      </w:r>
      <w:r>
        <w:rPr>
          <w:rFonts w:hint="eastAsia" w:ascii="宋体" w:hAnsi="宋体" w:eastAsia="宋体"/>
          <w:color w:val="auto"/>
          <w:szCs w:val="21"/>
          <w:highlight w:val="none"/>
        </w:rPr>
        <w:t>或其委托代理人（签字或印章）：</w:t>
      </w:r>
      <w:r>
        <w:rPr>
          <w:rFonts w:hint="eastAsia" w:ascii="宋体" w:hAnsi="宋体" w:eastAsia="宋体"/>
          <w:color w:val="auto"/>
          <w:szCs w:val="21"/>
          <w:highlight w:val="none"/>
          <w:u w:val="single"/>
        </w:rPr>
        <w:t xml:space="preserve">                          </w:t>
      </w:r>
    </w:p>
    <w:p w14:paraId="3C657513">
      <w:pPr>
        <w:adjustRightInd w:val="0"/>
        <w:snapToGrid w:val="0"/>
        <w:spacing w:line="360" w:lineRule="auto"/>
        <w:rPr>
          <w:rFonts w:ascii="宋体" w:hAnsi="宋体" w:eastAsia="宋体"/>
          <w:color w:val="auto"/>
          <w:szCs w:val="21"/>
          <w:highlight w:val="none"/>
        </w:rPr>
      </w:pPr>
      <w:r>
        <w:rPr>
          <w:rFonts w:ascii="宋体" w:hAnsi="宋体" w:eastAsia="宋体"/>
          <w:color w:val="auto"/>
          <w:szCs w:val="21"/>
          <w:highlight w:val="none"/>
        </w:rPr>
        <w:t>…</w:t>
      </w:r>
    </w:p>
    <w:p w14:paraId="21F44DC5">
      <w:pPr>
        <w:adjustRightInd w:val="0"/>
        <w:snapToGri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日期：</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年</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月</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日  </w:t>
      </w:r>
    </w:p>
    <w:p w14:paraId="0FF55D71">
      <w:pPr>
        <w:widowControl/>
        <w:adjustRightInd w:val="0"/>
        <w:snapToGrid w:val="0"/>
        <w:spacing w:line="360" w:lineRule="auto"/>
        <w:ind w:firstLine="422" w:firstLineChars="200"/>
        <w:jc w:val="left"/>
        <w:rPr>
          <w:rFonts w:ascii="宋体" w:hAnsi="宋体" w:eastAsia="宋体"/>
          <w:color w:val="auto"/>
          <w:szCs w:val="21"/>
          <w:highlight w:val="none"/>
        </w:rPr>
      </w:pPr>
      <w:r>
        <w:rPr>
          <w:rFonts w:hint="eastAsia" w:ascii="宋体" w:hAnsi="宋体" w:eastAsia="宋体"/>
          <w:b/>
          <w:color w:val="auto"/>
          <w:szCs w:val="21"/>
          <w:highlight w:val="none"/>
        </w:rPr>
        <w:t>注</w:t>
      </w:r>
      <w:r>
        <w:rPr>
          <w:rFonts w:hint="eastAsia" w:ascii="宋体" w:hAnsi="宋体" w:eastAsia="宋体"/>
          <w:color w:val="auto"/>
          <w:szCs w:val="21"/>
          <w:highlight w:val="none"/>
        </w:rPr>
        <w:t>：1、本协议书由委托代理人签字的，应附法定代表人（单位负责人）授权委托书。</w:t>
      </w:r>
    </w:p>
    <w:p w14:paraId="6D23EA3D">
      <w:pPr>
        <w:widowControl/>
        <w:jc w:val="left"/>
        <w:rPr>
          <w:rFonts w:hint="eastAsia" w:ascii="宋体" w:hAnsi="宋体" w:eastAsia="宋体"/>
          <w:color w:val="auto"/>
          <w:szCs w:val="21"/>
          <w:highlight w:val="none"/>
        </w:rPr>
        <w:sectPr>
          <w:pgSz w:w="11906" w:h="16838"/>
          <w:pgMar w:top="1474" w:right="1474" w:bottom="1474" w:left="1588"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宋体" w:hAnsi="宋体" w:eastAsia="宋体"/>
          <w:color w:val="auto"/>
          <w:szCs w:val="21"/>
          <w:highlight w:val="none"/>
        </w:rPr>
        <w:t>2、投标人在提交投标文件的截止时间前修改“开标一览表”中的投标报价，影响本协议书第五条的，应同时修改本协议书第五条。否则，评审时价格评审优惠不予以考虑。</w:t>
      </w:r>
    </w:p>
    <w:p w14:paraId="298808BD">
      <w:pPr>
        <w:pStyle w:val="12"/>
        <w:spacing w:before="156"/>
        <w:rPr>
          <w:rFonts w:ascii="黑体" w:hAnsi="宋体" w:cs="宋体"/>
          <w:b w:val="0"/>
          <w:color w:val="auto"/>
          <w:kern w:val="0"/>
          <w:sz w:val="21"/>
          <w:szCs w:val="21"/>
          <w:highlight w:val="none"/>
        </w:rPr>
      </w:pPr>
      <w:bookmarkStart w:id="103" w:name="_Toc3133"/>
      <w:r>
        <w:rPr>
          <w:rFonts w:hint="eastAsia" w:ascii="黑体" w:hAnsi="仿宋" w:cs="宋体"/>
          <w:b w:val="0"/>
          <w:color w:val="auto"/>
          <w:sz w:val="21"/>
          <w:szCs w:val="21"/>
          <w:highlight w:val="none"/>
        </w:rPr>
        <w:t>附件4-</w:t>
      </w:r>
      <w:r>
        <w:rPr>
          <w:rFonts w:hint="eastAsia" w:ascii="黑体" w:hAnsi="仿宋" w:cs="宋体"/>
          <w:b w:val="0"/>
          <w:color w:val="auto"/>
          <w:sz w:val="21"/>
          <w:szCs w:val="21"/>
          <w:highlight w:val="none"/>
          <w:lang w:val="en-US" w:eastAsia="zh-CN"/>
        </w:rPr>
        <w:t>6</w:t>
      </w:r>
      <w:r>
        <w:rPr>
          <w:rFonts w:hint="eastAsia" w:ascii="黑体" w:hAnsi="仿宋" w:cs="宋体"/>
          <w:b w:val="0"/>
          <w:color w:val="auto"/>
          <w:sz w:val="21"/>
          <w:szCs w:val="21"/>
          <w:highlight w:val="none"/>
        </w:rPr>
        <w:t xml:space="preserve"> 分包承诺</w:t>
      </w:r>
      <w:bookmarkEnd w:id="103"/>
    </w:p>
    <w:p w14:paraId="38D7B584">
      <w:pPr>
        <w:spacing w:line="360" w:lineRule="auto"/>
        <w:ind w:firstLine="420" w:firstLineChars="200"/>
        <w:rPr>
          <w:color w:val="auto"/>
          <w:highlight w:val="none"/>
        </w:rPr>
      </w:pPr>
      <w:r>
        <w:rPr>
          <w:rFonts w:hint="eastAsia"/>
          <w:color w:val="auto"/>
          <w:highlight w:val="none"/>
        </w:rPr>
        <w:t>注：采购项目或者采购包属于“预留采购份额”，且要求合同分包的，投标人应当按照招标文件第一章第三条第2款规定提供《分包承诺》，格式自拟。</w:t>
      </w:r>
    </w:p>
    <w:p w14:paraId="27BAA481">
      <w:pPr>
        <w:spacing w:line="360" w:lineRule="auto"/>
        <w:ind w:firstLine="420" w:firstLineChars="200"/>
        <w:rPr>
          <w:color w:val="auto"/>
          <w:highlight w:val="none"/>
        </w:rPr>
      </w:pPr>
    </w:p>
    <w:p w14:paraId="430597C2">
      <w:pPr>
        <w:rPr>
          <w:color w:val="auto"/>
          <w:highlight w:val="none"/>
        </w:rPr>
      </w:pPr>
    </w:p>
    <w:p w14:paraId="3CBE9B58">
      <w:pPr>
        <w:pStyle w:val="2"/>
        <w:rPr>
          <w:color w:val="auto"/>
          <w:highlight w:val="none"/>
        </w:rPr>
      </w:pPr>
    </w:p>
    <w:p w14:paraId="4AC93AB5">
      <w:pPr>
        <w:pStyle w:val="2"/>
        <w:rPr>
          <w:color w:val="auto"/>
          <w:highlight w:val="none"/>
        </w:rPr>
      </w:pPr>
    </w:p>
    <w:p w14:paraId="05A64254">
      <w:pPr>
        <w:pStyle w:val="2"/>
        <w:rPr>
          <w:color w:val="auto"/>
          <w:highlight w:val="none"/>
        </w:rPr>
      </w:pPr>
    </w:p>
    <w:p w14:paraId="4D7CCE6E">
      <w:pPr>
        <w:pStyle w:val="2"/>
        <w:rPr>
          <w:color w:val="auto"/>
          <w:highlight w:val="none"/>
        </w:rPr>
      </w:pPr>
    </w:p>
    <w:p w14:paraId="789A32D3">
      <w:pPr>
        <w:pStyle w:val="2"/>
        <w:rPr>
          <w:color w:val="auto"/>
          <w:highlight w:val="none"/>
        </w:rPr>
      </w:pPr>
    </w:p>
    <w:p w14:paraId="12377EBC">
      <w:pPr>
        <w:pStyle w:val="2"/>
        <w:rPr>
          <w:color w:val="auto"/>
          <w:highlight w:val="none"/>
        </w:rPr>
      </w:pPr>
    </w:p>
    <w:p w14:paraId="70EC8489">
      <w:pPr>
        <w:pStyle w:val="2"/>
        <w:rPr>
          <w:color w:val="auto"/>
          <w:highlight w:val="none"/>
        </w:rPr>
      </w:pPr>
    </w:p>
    <w:p w14:paraId="63882D99">
      <w:pPr>
        <w:pStyle w:val="2"/>
        <w:rPr>
          <w:color w:val="auto"/>
          <w:highlight w:val="none"/>
        </w:rPr>
      </w:pPr>
    </w:p>
    <w:p w14:paraId="2E62AD8E">
      <w:pPr>
        <w:pStyle w:val="2"/>
        <w:rPr>
          <w:color w:val="auto"/>
          <w:highlight w:val="none"/>
        </w:rPr>
      </w:pPr>
    </w:p>
    <w:p w14:paraId="66B8D03B">
      <w:pPr>
        <w:pStyle w:val="2"/>
        <w:rPr>
          <w:color w:val="auto"/>
          <w:highlight w:val="none"/>
        </w:rPr>
      </w:pPr>
    </w:p>
    <w:p w14:paraId="779B081F">
      <w:pPr>
        <w:pStyle w:val="2"/>
        <w:rPr>
          <w:color w:val="auto"/>
          <w:highlight w:val="none"/>
        </w:rPr>
      </w:pPr>
    </w:p>
    <w:p w14:paraId="531F5A1E">
      <w:pPr>
        <w:pStyle w:val="2"/>
        <w:rPr>
          <w:color w:val="auto"/>
          <w:highlight w:val="none"/>
        </w:rPr>
      </w:pPr>
    </w:p>
    <w:p w14:paraId="7547E86A">
      <w:pPr>
        <w:pStyle w:val="2"/>
        <w:rPr>
          <w:color w:val="auto"/>
          <w:highlight w:val="none"/>
        </w:rPr>
      </w:pPr>
    </w:p>
    <w:p w14:paraId="04E1F914">
      <w:pPr>
        <w:pStyle w:val="2"/>
        <w:rPr>
          <w:color w:val="auto"/>
          <w:highlight w:val="none"/>
        </w:rPr>
      </w:pPr>
    </w:p>
    <w:p w14:paraId="3B5951B5">
      <w:pPr>
        <w:pStyle w:val="2"/>
        <w:rPr>
          <w:color w:val="auto"/>
          <w:highlight w:val="none"/>
        </w:rPr>
      </w:pPr>
    </w:p>
    <w:p w14:paraId="3BAB2974">
      <w:pPr>
        <w:pStyle w:val="2"/>
        <w:rPr>
          <w:color w:val="auto"/>
          <w:highlight w:val="none"/>
        </w:rPr>
      </w:pPr>
    </w:p>
    <w:p w14:paraId="3408BC84">
      <w:pPr>
        <w:pStyle w:val="2"/>
        <w:rPr>
          <w:color w:val="auto"/>
          <w:highlight w:val="none"/>
        </w:rPr>
      </w:pPr>
    </w:p>
    <w:p w14:paraId="5C6437C5">
      <w:pPr>
        <w:pStyle w:val="2"/>
        <w:rPr>
          <w:color w:val="auto"/>
          <w:highlight w:val="none"/>
        </w:rPr>
      </w:pPr>
    </w:p>
    <w:p w14:paraId="23023F69">
      <w:pPr>
        <w:pStyle w:val="2"/>
        <w:rPr>
          <w:color w:val="auto"/>
          <w:highlight w:val="none"/>
        </w:rPr>
      </w:pPr>
    </w:p>
    <w:p w14:paraId="44097A09">
      <w:pPr>
        <w:pStyle w:val="2"/>
        <w:rPr>
          <w:color w:val="auto"/>
          <w:highlight w:val="none"/>
        </w:rPr>
      </w:pPr>
    </w:p>
    <w:p w14:paraId="00F85E05">
      <w:pPr>
        <w:pStyle w:val="2"/>
        <w:rPr>
          <w:color w:val="auto"/>
          <w:highlight w:val="none"/>
        </w:rPr>
      </w:pPr>
    </w:p>
    <w:p w14:paraId="574C39E4">
      <w:pPr>
        <w:pStyle w:val="2"/>
        <w:rPr>
          <w:color w:val="auto"/>
          <w:highlight w:val="none"/>
        </w:rPr>
      </w:pPr>
    </w:p>
    <w:p w14:paraId="5B9567CD">
      <w:pPr>
        <w:pStyle w:val="2"/>
        <w:rPr>
          <w:color w:val="auto"/>
          <w:highlight w:val="none"/>
        </w:rPr>
      </w:pPr>
    </w:p>
    <w:p w14:paraId="284970AD">
      <w:pPr>
        <w:pStyle w:val="2"/>
        <w:rPr>
          <w:color w:val="auto"/>
          <w:highlight w:val="none"/>
        </w:rPr>
      </w:pPr>
    </w:p>
    <w:p w14:paraId="25D31355">
      <w:pPr>
        <w:pStyle w:val="2"/>
        <w:rPr>
          <w:color w:val="auto"/>
          <w:highlight w:val="none"/>
        </w:rPr>
      </w:pPr>
    </w:p>
    <w:p w14:paraId="50E6C044">
      <w:pPr>
        <w:pStyle w:val="2"/>
        <w:rPr>
          <w:color w:val="auto"/>
          <w:highlight w:val="none"/>
        </w:rPr>
      </w:pPr>
    </w:p>
    <w:p w14:paraId="62E71D83">
      <w:pPr>
        <w:pStyle w:val="2"/>
        <w:rPr>
          <w:color w:val="auto"/>
          <w:highlight w:val="none"/>
        </w:rPr>
      </w:pPr>
    </w:p>
    <w:p w14:paraId="79217C0B">
      <w:pPr>
        <w:pStyle w:val="2"/>
        <w:rPr>
          <w:color w:val="auto"/>
          <w:highlight w:val="none"/>
        </w:rPr>
      </w:pPr>
    </w:p>
    <w:p w14:paraId="2ED44093">
      <w:pPr>
        <w:pStyle w:val="2"/>
        <w:rPr>
          <w:color w:val="auto"/>
          <w:highlight w:val="none"/>
        </w:rPr>
      </w:pPr>
    </w:p>
    <w:p w14:paraId="77A42B2C">
      <w:pPr>
        <w:pStyle w:val="2"/>
        <w:rPr>
          <w:color w:val="auto"/>
          <w:highlight w:val="none"/>
        </w:rPr>
      </w:pPr>
    </w:p>
    <w:p w14:paraId="131D8EBD">
      <w:pPr>
        <w:pStyle w:val="2"/>
        <w:rPr>
          <w:color w:val="auto"/>
          <w:highlight w:val="none"/>
        </w:rPr>
      </w:pPr>
    </w:p>
    <w:p w14:paraId="2CA07D02">
      <w:pPr>
        <w:pStyle w:val="2"/>
        <w:rPr>
          <w:color w:val="auto"/>
          <w:highlight w:val="none"/>
        </w:rPr>
      </w:pPr>
    </w:p>
    <w:p w14:paraId="5875BADC">
      <w:pPr>
        <w:pStyle w:val="2"/>
        <w:rPr>
          <w:color w:val="auto"/>
          <w:highlight w:val="none"/>
        </w:rPr>
      </w:pPr>
    </w:p>
    <w:p w14:paraId="5AEAE0D9">
      <w:pPr>
        <w:pStyle w:val="2"/>
        <w:rPr>
          <w:color w:val="auto"/>
          <w:highlight w:val="none"/>
        </w:rPr>
      </w:pPr>
    </w:p>
    <w:p w14:paraId="697794D2">
      <w:pPr>
        <w:rPr>
          <w:color w:val="auto"/>
          <w:highlight w:val="none"/>
        </w:rPr>
      </w:pPr>
    </w:p>
    <w:p w14:paraId="6E5AB4AC">
      <w:pPr>
        <w:pStyle w:val="2"/>
        <w:rPr>
          <w:color w:val="auto"/>
          <w:highlight w:val="none"/>
        </w:rPr>
      </w:pPr>
    </w:p>
    <w:p w14:paraId="39ABF852">
      <w:pPr>
        <w:widowControl/>
        <w:adjustRightInd w:val="0"/>
        <w:snapToGrid w:val="0"/>
        <w:spacing w:line="360" w:lineRule="auto"/>
        <w:jc w:val="left"/>
        <w:rPr>
          <w:rFonts w:ascii="黑体" w:eastAsia="黑体"/>
          <w:color w:val="auto"/>
          <w:sz w:val="84"/>
          <w:szCs w:val="84"/>
          <w:highlight w:val="none"/>
        </w:rPr>
      </w:pPr>
      <w:r>
        <w:rPr>
          <w:rFonts w:ascii="宋体" w:hAnsi="宋体"/>
          <w:color w:val="auto"/>
          <w:szCs w:val="21"/>
          <w:highlight w:val="none"/>
        </w:rPr>
        <w:br w:type="page"/>
      </w:r>
    </w:p>
    <w:p w14:paraId="34D5E7E0">
      <w:pPr>
        <w:pStyle w:val="19"/>
        <w:adjustRightInd w:val="0"/>
        <w:snapToGrid w:val="0"/>
        <w:spacing w:line="360" w:lineRule="auto"/>
        <w:jc w:val="center"/>
        <w:rPr>
          <w:rFonts w:hint="eastAsia" w:ascii="华文中宋" w:hAnsi="华文中宋" w:eastAsia="华文中宋"/>
          <w:bCs/>
          <w:color w:val="auto"/>
          <w:sz w:val="84"/>
          <w:szCs w:val="84"/>
          <w:highlight w:val="none"/>
        </w:rPr>
      </w:pPr>
    </w:p>
    <w:p w14:paraId="11B364B5">
      <w:pPr>
        <w:pStyle w:val="19"/>
        <w:adjustRightInd w:val="0"/>
        <w:snapToGrid w:val="0"/>
        <w:spacing w:line="360" w:lineRule="auto"/>
        <w:jc w:val="center"/>
        <w:rPr>
          <w:rFonts w:ascii="华文中宋" w:hAnsi="华文中宋" w:eastAsia="华文中宋"/>
          <w:bCs/>
          <w:color w:val="auto"/>
          <w:sz w:val="84"/>
          <w:szCs w:val="84"/>
          <w:highlight w:val="none"/>
        </w:rPr>
      </w:pPr>
      <w:r>
        <w:rPr>
          <w:rFonts w:hint="eastAsia" w:ascii="华文中宋" w:hAnsi="华文中宋" w:eastAsia="华文中宋"/>
          <w:bCs/>
          <w:color w:val="auto"/>
          <w:sz w:val="84"/>
          <w:szCs w:val="84"/>
          <w:highlight w:val="none"/>
        </w:rPr>
        <w:t>政府采购</w:t>
      </w:r>
    </w:p>
    <w:p w14:paraId="55965D98">
      <w:pPr>
        <w:adjustRightInd w:val="0"/>
        <w:snapToGrid w:val="0"/>
        <w:spacing w:line="360" w:lineRule="auto"/>
        <w:jc w:val="center"/>
        <w:rPr>
          <w:rFonts w:ascii="宋体" w:hAnsi="宋体"/>
          <w:b/>
          <w:bCs/>
          <w:color w:val="auto"/>
          <w:sz w:val="84"/>
          <w:szCs w:val="84"/>
          <w:highlight w:val="none"/>
        </w:rPr>
      </w:pPr>
      <w:r>
        <w:rPr>
          <w:rFonts w:hint="eastAsia" w:ascii="宋体" w:hAnsi="宋体"/>
          <w:b/>
          <w:bCs/>
          <w:color w:val="auto"/>
          <w:sz w:val="84"/>
          <w:szCs w:val="84"/>
          <w:highlight w:val="none"/>
        </w:rPr>
        <w:t>投 标 文 件</w:t>
      </w:r>
    </w:p>
    <w:p w14:paraId="0497F52D">
      <w:pPr>
        <w:pStyle w:val="10"/>
        <w:adjustRightInd w:val="0"/>
        <w:snapToGrid w:val="0"/>
        <w:jc w:val="center"/>
        <w:rPr>
          <w:rFonts w:ascii="黑体" w:hAnsi="黑体" w:eastAsia="黑体"/>
          <w:color w:val="auto"/>
          <w:sz w:val="44"/>
          <w:szCs w:val="44"/>
          <w:highlight w:val="none"/>
        </w:rPr>
      </w:pPr>
      <w:bookmarkStart w:id="104" w:name="_Toc19586"/>
      <w:r>
        <w:rPr>
          <w:rFonts w:hint="eastAsia" w:ascii="黑体" w:hAnsi="黑体" w:eastAsia="黑体"/>
          <w:color w:val="auto"/>
          <w:sz w:val="44"/>
          <w:szCs w:val="44"/>
          <w:highlight w:val="none"/>
        </w:rPr>
        <w:t>第二部分 商务技术文件</w:t>
      </w:r>
      <w:bookmarkEnd w:id="104"/>
    </w:p>
    <w:p w14:paraId="015EB4D0">
      <w:pPr>
        <w:adjustRightInd w:val="0"/>
        <w:snapToGrid w:val="0"/>
        <w:spacing w:line="360" w:lineRule="auto"/>
        <w:rPr>
          <w:rFonts w:ascii="宋体" w:hAnsi="宋体"/>
          <w:color w:val="auto"/>
          <w:sz w:val="32"/>
          <w:szCs w:val="32"/>
          <w:highlight w:val="none"/>
        </w:rPr>
      </w:pPr>
    </w:p>
    <w:p w14:paraId="5BCB71D5">
      <w:pPr>
        <w:pStyle w:val="19"/>
        <w:adjustRightInd w:val="0"/>
        <w:snapToGrid w:val="0"/>
        <w:spacing w:line="360" w:lineRule="auto"/>
        <w:ind w:firstLine="1988" w:firstLineChars="660"/>
        <w:rPr>
          <w:rFonts w:hAnsi="宋体"/>
          <w:b/>
          <w:bCs/>
          <w:color w:val="auto"/>
          <w:sz w:val="30"/>
          <w:szCs w:val="30"/>
          <w:highlight w:val="none"/>
        </w:rPr>
      </w:pPr>
    </w:p>
    <w:p w14:paraId="0A2B5443">
      <w:pPr>
        <w:pStyle w:val="19"/>
        <w:adjustRightInd w:val="0"/>
        <w:snapToGrid w:val="0"/>
        <w:spacing w:line="360" w:lineRule="auto"/>
        <w:ind w:firstLine="1988" w:firstLineChars="660"/>
        <w:rPr>
          <w:rFonts w:hAnsi="宋体"/>
          <w:b/>
          <w:bCs/>
          <w:color w:val="auto"/>
          <w:sz w:val="30"/>
          <w:szCs w:val="30"/>
          <w:highlight w:val="none"/>
          <w:u w:val="single"/>
        </w:rPr>
      </w:pPr>
      <w:r>
        <w:rPr>
          <w:rFonts w:hint="eastAsia" w:hAnsi="宋体"/>
          <w:b/>
          <w:bCs/>
          <w:color w:val="auto"/>
          <w:sz w:val="30"/>
          <w:szCs w:val="30"/>
          <w:highlight w:val="none"/>
        </w:rPr>
        <w:t>采购项目名称:</w:t>
      </w:r>
      <w:r>
        <w:rPr>
          <w:rFonts w:hint="eastAsia" w:hAnsi="宋体"/>
          <w:b/>
          <w:bCs/>
          <w:color w:val="auto"/>
          <w:sz w:val="30"/>
          <w:szCs w:val="30"/>
          <w:highlight w:val="none"/>
          <w:u w:val="single"/>
        </w:rPr>
        <w:t xml:space="preserve">                       </w:t>
      </w:r>
    </w:p>
    <w:p w14:paraId="27322357">
      <w:pPr>
        <w:pStyle w:val="19"/>
        <w:adjustRightInd w:val="0"/>
        <w:snapToGrid w:val="0"/>
        <w:spacing w:line="360" w:lineRule="auto"/>
        <w:ind w:firstLine="1988" w:firstLineChars="660"/>
        <w:rPr>
          <w:rFonts w:hAnsi="宋体"/>
          <w:b/>
          <w:bCs/>
          <w:color w:val="auto"/>
          <w:sz w:val="30"/>
          <w:szCs w:val="30"/>
          <w:highlight w:val="none"/>
        </w:rPr>
      </w:pPr>
      <w:r>
        <w:rPr>
          <w:rFonts w:hint="eastAsia" w:hAnsi="宋体"/>
          <w:b/>
          <w:bCs/>
          <w:color w:val="auto"/>
          <w:sz w:val="30"/>
          <w:szCs w:val="30"/>
          <w:highlight w:val="none"/>
        </w:rPr>
        <w:t>采   购   人：</w:t>
      </w:r>
      <w:r>
        <w:rPr>
          <w:rFonts w:hint="eastAsia" w:hAnsi="宋体"/>
          <w:b/>
          <w:bCs/>
          <w:color w:val="auto"/>
          <w:sz w:val="30"/>
          <w:szCs w:val="30"/>
          <w:highlight w:val="none"/>
          <w:u w:val="single"/>
        </w:rPr>
        <w:t xml:space="preserve">                      </w:t>
      </w:r>
    </w:p>
    <w:p w14:paraId="250FCB7A">
      <w:pPr>
        <w:pStyle w:val="19"/>
        <w:adjustRightInd w:val="0"/>
        <w:snapToGrid w:val="0"/>
        <w:spacing w:line="360" w:lineRule="auto"/>
        <w:ind w:firstLine="1988" w:firstLineChars="660"/>
        <w:rPr>
          <w:rFonts w:hAnsi="宋体"/>
          <w:b/>
          <w:bCs/>
          <w:color w:val="auto"/>
          <w:sz w:val="30"/>
          <w:szCs w:val="30"/>
          <w:highlight w:val="none"/>
          <w:u w:val="single"/>
        </w:rPr>
      </w:pPr>
      <w:r>
        <w:rPr>
          <w:rFonts w:hint="eastAsia" w:hAnsi="宋体"/>
          <w:b/>
          <w:bCs/>
          <w:color w:val="auto"/>
          <w:sz w:val="30"/>
          <w:szCs w:val="30"/>
          <w:highlight w:val="none"/>
        </w:rPr>
        <w:t>政府采购计划编号:</w:t>
      </w:r>
      <w:r>
        <w:rPr>
          <w:rFonts w:hint="eastAsia" w:hAnsi="宋体"/>
          <w:b/>
          <w:bCs/>
          <w:color w:val="auto"/>
          <w:sz w:val="30"/>
          <w:szCs w:val="30"/>
          <w:highlight w:val="none"/>
          <w:u w:val="single"/>
        </w:rPr>
        <w:t xml:space="preserve">                   </w:t>
      </w:r>
    </w:p>
    <w:p w14:paraId="0E9899D2">
      <w:pPr>
        <w:pStyle w:val="19"/>
        <w:adjustRightInd w:val="0"/>
        <w:snapToGrid w:val="0"/>
        <w:spacing w:line="360" w:lineRule="auto"/>
        <w:ind w:firstLine="1988" w:firstLineChars="660"/>
        <w:rPr>
          <w:rFonts w:hAnsi="宋体"/>
          <w:b/>
          <w:bCs/>
          <w:color w:val="auto"/>
          <w:sz w:val="30"/>
          <w:szCs w:val="30"/>
          <w:highlight w:val="none"/>
          <w:u w:val="single"/>
        </w:rPr>
      </w:pPr>
      <w:r>
        <w:rPr>
          <w:rFonts w:hint="eastAsia" w:hAnsi="宋体"/>
          <w:b/>
          <w:bCs/>
          <w:color w:val="auto"/>
          <w:sz w:val="30"/>
          <w:szCs w:val="30"/>
          <w:highlight w:val="none"/>
          <w:lang w:eastAsia="zh-CN"/>
        </w:rPr>
        <w:t>采购代理编号</w:t>
      </w:r>
      <w:r>
        <w:rPr>
          <w:rFonts w:hint="eastAsia" w:hAnsi="宋体"/>
          <w:b/>
          <w:bCs/>
          <w:color w:val="auto"/>
          <w:sz w:val="30"/>
          <w:szCs w:val="30"/>
          <w:highlight w:val="none"/>
        </w:rPr>
        <w:t>:</w:t>
      </w:r>
      <w:r>
        <w:rPr>
          <w:rFonts w:hint="eastAsia" w:hAnsi="宋体"/>
          <w:b/>
          <w:bCs/>
          <w:color w:val="auto"/>
          <w:sz w:val="30"/>
          <w:szCs w:val="30"/>
          <w:highlight w:val="none"/>
          <w:u w:val="single"/>
        </w:rPr>
        <w:t xml:space="preserve">                       </w:t>
      </w:r>
    </w:p>
    <w:p w14:paraId="63C122F6">
      <w:pPr>
        <w:pStyle w:val="19"/>
        <w:adjustRightInd w:val="0"/>
        <w:snapToGrid w:val="0"/>
        <w:spacing w:line="360" w:lineRule="auto"/>
        <w:ind w:firstLine="1988" w:firstLineChars="660"/>
        <w:rPr>
          <w:rFonts w:hAnsi="宋体"/>
          <w:b/>
          <w:bCs/>
          <w:color w:val="auto"/>
          <w:sz w:val="30"/>
          <w:szCs w:val="30"/>
          <w:highlight w:val="none"/>
          <w:u w:val="single"/>
        </w:rPr>
      </w:pPr>
      <w:r>
        <w:rPr>
          <w:rFonts w:hint="eastAsia" w:hAnsi="宋体"/>
          <w:b/>
          <w:bCs/>
          <w:color w:val="auto"/>
          <w:sz w:val="30"/>
          <w:szCs w:val="30"/>
          <w:highlight w:val="none"/>
        </w:rPr>
        <w:t>采购代理机构：</w:t>
      </w:r>
      <w:r>
        <w:rPr>
          <w:rFonts w:hint="eastAsia" w:hAnsi="宋体"/>
          <w:b/>
          <w:bCs/>
          <w:color w:val="auto"/>
          <w:sz w:val="30"/>
          <w:szCs w:val="30"/>
          <w:highlight w:val="none"/>
          <w:u w:val="single"/>
        </w:rPr>
        <w:t xml:space="preserve">                      </w:t>
      </w:r>
    </w:p>
    <w:p w14:paraId="3E095BF2">
      <w:pPr>
        <w:pStyle w:val="19"/>
        <w:adjustRightInd w:val="0"/>
        <w:snapToGrid w:val="0"/>
        <w:spacing w:line="360" w:lineRule="auto"/>
        <w:ind w:firstLine="1988" w:firstLineChars="660"/>
        <w:rPr>
          <w:rFonts w:ascii="宋体" w:hAnsi="宋体"/>
          <w:color w:val="auto"/>
          <w:sz w:val="30"/>
          <w:szCs w:val="30"/>
          <w:highlight w:val="none"/>
        </w:rPr>
      </w:pPr>
      <w:r>
        <w:rPr>
          <w:rFonts w:hint="eastAsia" w:ascii="宋体" w:hAnsi="宋体" w:eastAsia="宋体" w:cs="Courier New"/>
          <w:b/>
          <w:bCs/>
          <w:color w:val="auto"/>
          <w:kern w:val="2"/>
          <w:sz w:val="30"/>
          <w:szCs w:val="30"/>
          <w:highlight w:val="none"/>
          <w:lang w:val="en-US" w:eastAsia="zh-CN" w:bidi="ar-SA"/>
        </w:rPr>
        <w:t>包号及包名称</w:t>
      </w:r>
      <w:r>
        <w:rPr>
          <w:rFonts w:hint="eastAsia" w:ascii="黑体" w:hAnsi="黑体" w:eastAsia="黑体"/>
          <w:color w:val="auto"/>
          <w:sz w:val="30"/>
          <w:szCs w:val="30"/>
          <w:highlight w:val="none"/>
          <w:lang w:eastAsia="zh-CN"/>
        </w:rPr>
        <w:t>：</w:t>
      </w:r>
      <w:r>
        <w:rPr>
          <w:rFonts w:hint="eastAsia" w:hAnsi="宋体"/>
          <w:b/>
          <w:bCs/>
          <w:color w:val="auto"/>
          <w:sz w:val="30"/>
          <w:szCs w:val="30"/>
          <w:highlight w:val="none"/>
          <w:u w:val="single"/>
        </w:rPr>
        <w:t xml:space="preserve">                  </w:t>
      </w:r>
      <w:r>
        <w:rPr>
          <w:rFonts w:hint="eastAsia" w:hAnsi="宋体"/>
          <w:b/>
          <w:bCs/>
          <w:color w:val="auto"/>
          <w:sz w:val="30"/>
          <w:szCs w:val="30"/>
          <w:highlight w:val="none"/>
          <w:u w:val="single"/>
          <w:lang w:val="en-US" w:eastAsia="zh-CN"/>
        </w:rPr>
        <w:t xml:space="preserve"> </w:t>
      </w:r>
      <w:r>
        <w:rPr>
          <w:rFonts w:hint="eastAsia" w:hAnsi="宋体"/>
          <w:b/>
          <w:bCs/>
          <w:color w:val="auto"/>
          <w:sz w:val="30"/>
          <w:szCs w:val="30"/>
          <w:highlight w:val="none"/>
          <w:u w:val="single"/>
        </w:rPr>
        <w:t xml:space="preserve">   </w:t>
      </w:r>
    </w:p>
    <w:p w14:paraId="3A3976E3">
      <w:pPr>
        <w:adjustRightInd w:val="0"/>
        <w:snapToGrid w:val="0"/>
        <w:spacing w:line="360" w:lineRule="auto"/>
        <w:rPr>
          <w:rFonts w:ascii="宋体" w:hAnsi="宋体"/>
          <w:color w:val="auto"/>
          <w:sz w:val="30"/>
          <w:szCs w:val="30"/>
          <w:highlight w:val="none"/>
        </w:rPr>
      </w:pPr>
    </w:p>
    <w:p w14:paraId="147CCE0E">
      <w:pPr>
        <w:adjustRightInd w:val="0"/>
        <w:snapToGrid w:val="0"/>
        <w:spacing w:line="360" w:lineRule="auto"/>
        <w:rPr>
          <w:rFonts w:ascii="黑体" w:hAnsi="黑体" w:eastAsia="黑体" w:cs="黑体"/>
          <w:color w:val="auto"/>
          <w:sz w:val="30"/>
          <w:szCs w:val="30"/>
          <w:highlight w:val="none"/>
        </w:rPr>
      </w:pPr>
    </w:p>
    <w:p w14:paraId="664488E7">
      <w:pPr>
        <w:adjustRightInd w:val="0"/>
        <w:snapToGrid w:val="0"/>
        <w:spacing w:line="360" w:lineRule="auto"/>
        <w:ind w:left="1273" w:leftChars="606" w:firstLine="640" w:firstLineChars="200"/>
        <w:rPr>
          <w:rFonts w:ascii="黑体" w:hAnsi="黑体" w:eastAsia="黑体" w:cs="黑体"/>
          <w:color w:val="auto"/>
          <w:sz w:val="32"/>
          <w:szCs w:val="32"/>
          <w:highlight w:val="none"/>
          <w:u w:val="single"/>
        </w:rPr>
      </w:pPr>
      <w:r>
        <w:rPr>
          <w:rFonts w:hint="eastAsia" w:ascii="黑体" w:hAnsi="黑体" w:eastAsia="黑体" w:cs="黑体"/>
          <w:color w:val="auto"/>
          <w:sz w:val="32"/>
          <w:szCs w:val="32"/>
          <w:highlight w:val="none"/>
        </w:rPr>
        <w:t>投标人</w:t>
      </w:r>
      <w:r>
        <w:rPr>
          <w:rFonts w:hint="eastAsia" w:ascii="黑体" w:hAnsi="黑体" w:eastAsia="黑体" w:cs="黑体"/>
          <w:color w:val="auto"/>
          <w:sz w:val="32"/>
          <w:szCs w:val="32"/>
          <w:highlight w:val="none"/>
          <w:u w:val="single"/>
        </w:rPr>
        <w:t xml:space="preserve">                         </w:t>
      </w:r>
    </w:p>
    <w:p w14:paraId="03176749">
      <w:pPr>
        <w:adjustRightInd w:val="0"/>
        <w:snapToGrid w:val="0"/>
        <w:spacing w:line="360" w:lineRule="auto"/>
        <w:jc w:val="center"/>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年  月  日</w:t>
      </w:r>
    </w:p>
    <w:p w14:paraId="42EB5498">
      <w:pPr>
        <w:widowControl/>
        <w:jc w:val="left"/>
        <w:rPr>
          <w:rFonts w:ascii="黑体" w:hAnsi="宋体" w:eastAsia="黑体"/>
          <w:b/>
          <w:bCs/>
          <w:color w:val="auto"/>
          <w:sz w:val="28"/>
          <w:szCs w:val="28"/>
          <w:highlight w:val="none"/>
        </w:rPr>
      </w:pPr>
      <w:r>
        <w:rPr>
          <w:rFonts w:ascii="宋体" w:hAnsi="宋体"/>
          <w:color w:val="auto"/>
          <w:highlight w:val="none"/>
          <w:u w:val="single"/>
        </w:rPr>
        <w:br w:type="page"/>
      </w:r>
    </w:p>
    <w:p w14:paraId="47A8EB96">
      <w:pPr>
        <w:pStyle w:val="11"/>
        <w:adjustRightInd w:val="0"/>
        <w:snapToGrid w:val="0"/>
        <w:spacing w:before="0" w:after="0" w:line="360" w:lineRule="auto"/>
        <w:jc w:val="center"/>
        <w:rPr>
          <w:rFonts w:ascii="黑体" w:hAnsi="宋体" w:eastAsia="黑体"/>
          <w:color w:val="auto"/>
          <w:sz w:val="28"/>
          <w:szCs w:val="28"/>
          <w:highlight w:val="none"/>
        </w:rPr>
      </w:pPr>
      <w:bookmarkStart w:id="105" w:name="_Toc22513"/>
      <w:r>
        <w:rPr>
          <w:rFonts w:hint="eastAsia" w:ascii="黑体" w:hAnsi="宋体" w:eastAsia="黑体"/>
          <w:color w:val="auto"/>
          <w:sz w:val="28"/>
          <w:szCs w:val="28"/>
          <w:highlight w:val="none"/>
        </w:rPr>
        <w:t>五</w:t>
      </w:r>
      <w:r>
        <w:rPr>
          <w:rFonts w:ascii="黑体" w:hAnsi="宋体" w:eastAsia="黑体"/>
          <w:color w:val="auto"/>
          <w:sz w:val="28"/>
          <w:szCs w:val="28"/>
          <w:highlight w:val="none"/>
        </w:rPr>
        <w:t>、</w:t>
      </w:r>
      <w:r>
        <w:rPr>
          <w:rFonts w:hint="eastAsia" w:ascii="黑体" w:hAnsi="宋体" w:eastAsia="黑体"/>
          <w:color w:val="auto"/>
          <w:sz w:val="28"/>
          <w:szCs w:val="28"/>
          <w:highlight w:val="none"/>
        </w:rPr>
        <w:t>投标函</w:t>
      </w:r>
      <w:bookmarkEnd w:id="105"/>
    </w:p>
    <w:p w14:paraId="611188E3">
      <w:pPr>
        <w:adjustRightInd w:val="0"/>
        <w:snapToGrid w:val="0"/>
        <w:spacing w:before="156" w:beforeLines="50" w:line="360" w:lineRule="auto"/>
        <w:rPr>
          <w:rFonts w:ascii="宋体" w:hAnsi="宋体"/>
          <w:color w:val="auto"/>
          <w:szCs w:val="21"/>
          <w:highlight w:val="none"/>
        </w:rPr>
      </w:pPr>
      <w:r>
        <w:rPr>
          <w:rFonts w:hint="eastAsia" w:ascii="宋体" w:hAnsi="宋体"/>
          <w:color w:val="auto"/>
          <w:szCs w:val="21"/>
          <w:highlight w:val="none"/>
        </w:rPr>
        <w:t>致：</w:t>
      </w:r>
      <w:r>
        <w:rPr>
          <w:rFonts w:hint="eastAsia" w:ascii="宋体" w:hAnsi="宋体"/>
          <w:color w:val="auto"/>
          <w:szCs w:val="21"/>
          <w:highlight w:val="none"/>
          <w:u w:val="single"/>
        </w:rPr>
        <w:t xml:space="preserve">           </w:t>
      </w:r>
      <w:r>
        <w:rPr>
          <w:rFonts w:hint="eastAsia" w:ascii="宋体" w:hAnsi="宋体"/>
          <w:color w:val="auto"/>
          <w:szCs w:val="21"/>
          <w:highlight w:val="none"/>
        </w:rPr>
        <w:t>（采购人、采购代理机构）：</w:t>
      </w:r>
    </w:p>
    <w:p w14:paraId="1CB3C2C1">
      <w:pPr>
        <w:adjustRightInd w:val="0"/>
        <w:snapToGrid w:val="0"/>
        <w:spacing w:before="156" w:beforeLines="50" w:line="360" w:lineRule="auto"/>
        <w:ind w:firstLine="435"/>
        <w:rPr>
          <w:rFonts w:ascii="宋体" w:hAnsi="宋体"/>
          <w:color w:val="auto"/>
          <w:szCs w:val="21"/>
          <w:highlight w:val="none"/>
        </w:rPr>
      </w:pPr>
      <w:r>
        <w:rPr>
          <w:rFonts w:hint="eastAsia" w:ascii="宋体" w:hAnsi="宋体"/>
          <w:color w:val="auto"/>
          <w:szCs w:val="21"/>
          <w:highlight w:val="none"/>
        </w:rPr>
        <w:t>根据贵方为</w:t>
      </w:r>
      <w:r>
        <w:rPr>
          <w:rFonts w:hint="eastAsia" w:ascii="宋体" w:hAnsi="宋体"/>
          <w:color w:val="auto"/>
          <w:szCs w:val="21"/>
          <w:highlight w:val="none"/>
          <w:u w:val="single"/>
        </w:rPr>
        <w:t xml:space="preserve">           </w:t>
      </w:r>
      <w:r>
        <w:rPr>
          <w:rFonts w:hint="eastAsia" w:ascii="宋体" w:hAnsi="宋体"/>
          <w:color w:val="auto"/>
          <w:szCs w:val="21"/>
          <w:highlight w:val="none"/>
        </w:rPr>
        <w:t>（项目名称）的投标邀请（</w:t>
      </w:r>
      <w:r>
        <w:rPr>
          <w:rFonts w:hint="eastAsia" w:ascii="宋体" w:hAnsi="宋体"/>
          <w:color w:val="auto"/>
          <w:highlight w:val="none"/>
        </w:rPr>
        <w:t>政府采购计划编号</w:t>
      </w:r>
      <w:r>
        <w:rPr>
          <w:rFonts w:hint="eastAsia" w:ascii="宋体" w:hAnsi="宋体"/>
          <w:iCs/>
          <w:color w:val="auto"/>
          <w:highlight w:val="none"/>
        </w:rPr>
        <w:t>：</w:t>
      </w:r>
      <w:r>
        <w:rPr>
          <w:rFonts w:hint="eastAsia" w:ascii="宋体" w:hAnsi="宋体"/>
          <w:iCs/>
          <w:color w:val="auto"/>
          <w:highlight w:val="none"/>
          <w:u w:val="single"/>
        </w:rPr>
        <w:t xml:space="preserve">      </w:t>
      </w:r>
      <w:r>
        <w:rPr>
          <w:rFonts w:hint="eastAsia" w:ascii="宋体" w:hAnsi="宋体"/>
          <w:iCs/>
          <w:color w:val="auto"/>
          <w:highlight w:val="none"/>
        </w:rPr>
        <w:t xml:space="preserve"> ，</w:t>
      </w:r>
      <w:r>
        <w:rPr>
          <w:rFonts w:hint="eastAsia" w:ascii="宋体" w:hAnsi="宋体"/>
          <w:color w:val="auto"/>
          <w:szCs w:val="21"/>
          <w:highlight w:val="none"/>
          <w:lang w:eastAsia="zh-CN"/>
        </w:rPr>
        <w:t>采购代理编号</w:t>
      </w:r>
      <w:r>
        <w:rPr>
          <w:rFonts w:hint="eastAsia" w:ascii="宋体" w:hAnsi="宋体"/>
          <w:color w:val="auto"/>
          <w:szCs w:val="21"/>
          <w:highlight w:val="non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），签字代表 </w:t>
      </w:r>
      <w:r>
        <w:rPr>
          <w:rFonts w:hint="eastAsia" w:ascii="宋体" w:hAnsi="宋体"/>
          <w:color w:val="auto"/>
          <w:szCs w:val="21"/>
          <w:highlight w:val="none"/>
          <w:u w:val="single"/>
        </w:rPr>
        <w:t xml:space="preserve">      </w:t>
      </w:r>
      <w:r>
        <w:rPr>
          <w:rFonts w:hint="eastAsia" w:ascii="宋体" w:hAnsi="宋体"/>
          <w:color w:val="auto"/>
          <w:szCs w:val="21"/>
          <w:highlight w:val="none"/>
        </w:rPr>
        <w:t>（姓名、职务）经正式授权并代表投标人</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（投标人名称）提交下述投标文件：投标文件正本一份，副本一式</w:t>
      </w:r>
      <w:r>
        <w:rPr>
          <w:rFonts w:hint="eastAsia" w:ascii="宋体" w:hAnsi="宋体"/>
          <w:color w:val="auto"/>
          <w:szCs w:val="21"/>
          <w:highlight w:val="none"/>
          <w:u w:val="single"/>
        </w:rPr>
        <w:t xml:space="preserve">     </w:t>
      </w:r>
      <w:r>
        <w:rPr>
          <w:rFonts w:hint="eastAsia" w:ascii="宋体" w:hAnsi="宋体"/>
          <w:color w:val="auto"/>
          <w:szCs w:val="21"/>
          <w:highlight w:val="none"/>
        </w:rPr>
        <w:t>份，电子文档一份，参加采购项目第</w:t>
      </w:r>
      <w:r>
        <w:rPr>
          <w:rFonts w:hint="eastAsia" w:ascii="宋体" w:hAnsi="宋体"/>
          <w:color w:val="auto"/>
          <w:szCs w:val="21"/>
          <w:highlight w:val="none"/>
          <w:u w:val="single"/>
        </w:rPr>
        <w:t xml:space="preserve">   </w:t>
      </w:r>
      <w:r>
        <w:rPr>
          <w:rFonts w:hint="eastAsia" w:ascii="宋体" w:hAnsi="宋体"/>
          <w:color w:val="auto"/>
          <w:szCs w:val="21"/>
          <w:highlight w:val="none"/>
        </w:rPr>
        <w:t>包投标，并在此声明，所递交的投标文件内容完整、真实。</w:t>
      </w:r>
    </w:p>
    <w:p w14:paraId="56311D87">
      <w:pPr>
        <w:adjustRightInd w:val="0"/>
        <w:snapToGrid w:val="0"/>
        <w:spacing w:before="156" w:beforeLines="50" w:line="360" w:lineRule="auto"/>
        <w:ind w:firstLine="422" w:firstLineChars="200"/>
        <w:rPr>
          <w:rFonts w:ascii="宋体" w:hAnsi="宋体"/>
          <w:b/>
          <w:color w:val="auto"/>
          <w:szCs w:val="21"/>
          <w:highlight w:val="none"/>
        </w:rPr>
      </w:pPr>
      <w:r>
        <w:rPr>
          <w:rFonts w:hint="eastAsia" w:ascii="宋体" w:hAnsi="宋体"/>
          <w:b/>
          <w:color w:val="auto"/>
          <w:szCs w:val="21"/>
          <w:highlight w:val="none"/>
        </w:rPr>
        <w:t>第一部分 资格证明文件</w:t>
      </w:r>
    </w:p>
    <w:p w14:paraId="6E591282">
      <w:pPr>
        <w:adjustRightInd w:val="0"/>
        <w:snapToGrid w:val="0"/>
        <w:spacing w:before="156" w:beforeLines="50" w:line="360" w:lineRule="auto"/>
        <w:ind w:firstLine="630" w:firstLineChars="300"/>
        <w:rPr>
          <w:rFonts w:ascii="宋体" w:hAnsi="宋体"/>
          <w:color w:val="auto"/>
          <w:szCs w:val="21"/>
          <w:highlight w:val="none"/>
        </w:rPr>
      </w:pPr>
      <w:r>
        <w:rPr>
          <w:rFonts w:hint="eastAsia" w:ascii="宋体" w:hAnsi="宋体"/>
          <w:color w:val="auto"/>
          <w:szCs w:val="21"/>
          <w:highlight w:val="none"/>
        </w:rPr>
        <w:t>一、开标一览表</w:t>
      </w:r>
    </w:p>
    <w:p w14:paraId="5CEF39AB">
      <w:pPr>
        <w:adjustRightInd w:val="0"/>
        <w:snapToGrid w:val="0"/>
        <w:spacing w:before="156" w:beforeLines="50" w:line="360" w:lineRule="auto"/>
        <w:ind w:firstLine="630" w:firstLineChars="300"/>
        <w:rPr>
          <w:rFonts w:ascii="宋体" w:hAnsi="宋体"/>
          <w:color w:val="auto"/>
          <w:szCs w:val="21"/>
          <w:highlight w:val="none"/>
        </w:rPr>
      </w:pPr>
      <w:r>
        <w:rPr>
          <w:rFonts w:hint="eastAsia" w:ascii="宋体" w:hAnsi="宋体"/>
          <w:color w:val="auto"/>
          <w:szCs w:val="21"/>
          <w:highlight w:val="none"/>
        </w:rPr>
        <w:t>二、投标保证金</w:t>
      </w:r>
    </w:p>
    <w:p w14:paraId="6D8C1FF2">
      <w:pPr>
        <w:adjustRightInd w:val="0"/>
        <w:snapToGrid w:val="0"/>
        <w:spacing w:before="156" w:beforeLines="50" w:line="360" w:lineRule="auto"/>
        <w:ind w:firstLine="630" w:firstLineChars="300"/>
        <w:rPr>
          <w:rFonts w:ascii="宋体" w:hAnsi="宋体"/>
          <w:color w:val="auto"/>
          <w:szCs w:val="21"/>
          <w:highlight w:val="none"/>
        </w:rPr>
      </w:pPr>
      <w:r>
        <w:rPr>
          <w:rFonts w:hint="eastAsia" w:ascii="宋体" w:hAnsi="宋体"/>
          <w:color w:val="auto"/>
          <w:szCs w:val="21"/>
          <w:highlight w:val="none"/>
        </w:rPr>
        <w:t>三、授权委托书</w:t>
      </w:r>
    </w:p>
    <w:p w14:paraId="3349E3F0">
      <w:pPr>
        <w:adjustRightInd w:val="0"/>
        <w:snapToGrid w:val="0"/>
        <w:spacing w:before="156" w:beforeLines="50" w:line="360" w:lineRule="auto"/>
        <w:ind w:firstLine="630" w:firstLineChars="300"/>
        <w:rPr>
          <w:rFonts w:ascii="宋体" w:hAnsi="宋体"/>
          <w:color w:val="auto"/>
          <w:szCs w:val="21"/>
          <w:highlight w:val="none"/>
        </w:rPr>
      </w:pPr>
      <w:r>
        <w:rPr>
          <w:rFonts w:hint="eastAsia" w:ascii="宋体" w:hAnsi="宋体"/>
          <w:color w:val="auto"/>
          <w:szCs w:val="21"/>
          <w:highlight w:val="none"/>
        </w:rPr>
        <w:t>四、投标人提供的资格证明文件</w:t>
      </w:r>
    </w:p>
    <w:p w14:paraId="097BB0BC">
      <w:pPr>
        <w:adjustRightInd w:val="0"/>
        <w:snapToGrid w:val="0"/>
        <w:spacing w:before="156" w:beforeLines="50" w:line="360" w:lineRule="auto"/>
        <w:ind w:firstLine="422" w:firstLineChars="200"/>
        <w:rPr>
          <w:rFonts w:ascii="宋体" w:hAnsi="宋体"/>
          <w:b/>
          <w:color w:val="auto"/>
          <w:szCs w:val="21"/>
          <w:highlight w:val="none"/>
        </w:rPr>
      </w:pPr>
      <w:r>
        <w:rPr>
          <w:rFonts w:hint="eastAsia" w:ascii="宋体" w:hAnsi="宋体"/>
          <w:b/>
          <w:color w:val="auto"/>
          <w:szCs w:val="21"/>
          <w:highlight w:val="none"/>
        </w:rPr>
        <w:t>第二部分 商务技术文件</w:t>
      </w:r>
    </w:p>
    <w:p w14:paraId="6A2504AC">
      <w:pPr>
        <w:adjustRightInd w:val="0"/>
        <w:snapToGrid w:val="0"/>
        <w:spacing w:before="156" w:beforeLines="50" w:line="360" w:lineRule="auto"/>
        <w:ind w:firstLine="630" w:firstLineChars="300"/>
        <w:rPr>
          <w:rFonts w:ascii="宋体" w:hAnsi="宋体"/>
          <w:color w:val="auto"/>
          <w:szCs w:val="21"/>
          <w:highlight w:val="none"/>
        </w:rPr>
      </w:pPr>
      <w:r>
        <w:rPr>
          <w:rFonts w:hint="eastAsia" w:ascii="宋体" w:hAnsi="宋体"/>
          <w:color w:val="auto"/>
          <w:szCs w:val="21"/>
          <w:highlight w:val="none"/>
        </w:rPr>
        <w:t>五、投标函</w:t>
      </w:r>
    </w:p>
    <w:p w14:paraId="082157A9">
      <w:pPr>
        <w:adjustRightInd w:val="0"/>
        <w:snapToGrid w:val="0"/>
        <w:spacing w:before="156" w:beforeLines="50" w:line="360" w:lineRule="auto"/>
        <w:ind w:firstLine="630" w:firstLineChars="300"/>
        <w:rPr>
          <w:rFonts w:ascii="宋体" w:hAnsi="宋体"/>
          <w:color w:val="auto"/>
          <w:szCs w:val="21"/>
          <w:highlight w:val="none"/>
        </w:rPr>
      </w:pPr>
      <w:r>
        <w:rPr>
          <w:rFonts w:hint="eastAsia" w:ascii="宋体" w:hAnsi="宋体"/>
          <w:color w:val="auto"/>
          <w:szCs w:val="21"/>
          <w:highlight w:val="none"/>
        </w:rPr>
        <w:t>六、分项报价</w:t>
      </w:r>
    </w:p>
    <w:p w14:paraId="195AE3CD">
      <w:pPr>
        <w:adjustRightInd w:val="0"/>
        <w:snapToGrid w:val="0"/>
        <w:spacing w:before="156" w:beforeLines="50" w:line="360" w:lineRule="auto"/>
        <w:ind w:firstLine="630" w:firstLineChars="300"/>
        <w:rPr>
          <w:rFonts w:ascii="宋体" w:hAnsi="宋体"/>
          <w:color w:val="auto"/>
          <w:szCs w:val="21"/>
          <w:highlight w:val="none"/>
        </w:rPr>
      </w:pPr>
      <w:r>
        <w:rPr>
          <w:rFonts w:hint="eastAsia" w:ascii="宋体" w:hAnsi="宋体"/>
          <w:color w:val="auto"/>
          <w:szCs w:val="21"/>
          <w:highlight w:val="none"/>
        </w:rPr>
        <w:t>七、采购需求响应</w:t>
      </w:r>
    </w:p>
    <w:p w14:paraId="779EE319">
      <w:pPr>
        <w:adjustRightInd w:val="0"/>
        <w:snapToGrid w:val="0"/>
        <w:spacing w:before="156" w:beforeLines="50" w:line="360" w:lineRule="auto"/>
        <w:ind w:firstLine="630" w:firstLineChars="300"/>
        <w:rPr>
          <w:rFonts w:ascii="宋体" w:hAnsi="宋体"/>
          <w:color w:val="auto"/>
          <w:szCs w:val="21"/>
          <w:highlight w:val="none"/>
        </w:rPr>
      </w:pPr>
      <w:r>
        <w:rPr>
          <w:rFonts w:hint="eastAsia" w:ascii="宋体" w:hAnsi="宋体"/>
          <w:color w:val="auto"/>
          <w:szCs w:val="21"/>
          <w:highlight w:val="none"/>
        </w:rPr>
        <w:t>八、合同条款偏离表</w:t>
      </w:r>
    </w:p>
    <w:p w14:paraId="54C4B3A9">
      <w:pPr>
        <w:adjustRightInd w:val="0"/>
        <w:snapToGrid w:val="0"/>
        <w:spacing w:before="156" w:beforeLines="50" w:line="360" w:lineRule="auto"/>
        <w:ind w:firstLine="630" w:firstLineChars="300"/>
        <w:rPr>
          <w:rFonts w:ascii="宋体" w:hAnsi="宋体"/>
          <w:color w:val="auto"/>
          <w:szCs w:val="21"/>
          <w:highlight w:val="none"/>
        </w:rPr>
      </w:pPr>
      <w:r>
        <w:rPr>
          <w:rFonts w:hint="eastAsia" w:ascii="宋体" w:hAnsi="宋体"/>
          <w:color w:val="auto"/>
          <w:szCs w:val="21"/>
          <w:highlight w:val="none"/>
        </w:rPr>
        <w:t>九、采购需求偏离表</w:t>
      </w:r>
    </w:p>
    <w:p w14:paraId="28F19B89">
      <w:pPr>
        <w:adjustRightInd w:val="0"/>
        <w:snapToGrid w:val="0"/>
        <w:spacing w:before="156" w:beforeLines="50" w:line="360" w:lineRule="auto"/>
        <w:ind w:firstLine="630" w:firstLineChars="300"/>
        <w:rPr>
          <w:rFonts w:ascii="宋体" w:hAnsi="宋体"/>
          <w:color w:val="auto"/>
          <w:szCs w:val="21"/>
          <w:highlight w:val="none"/>
        </w:rPr>
      </w:pPr>
      <w:r>
        <w:rPr>
          <w:rFonts w:hint="eastAsia" w:ascii="宋体" w:hAnsi="宋体"/>
          <w:color w:val="auto"/>
          <w:szCs w:val="21"/>
          <w:highlight w:val="none"/>
        </w:rPr>
        <w:t>十、享受政府采购政策优惠的证明资料</w:t>
      </w:r>
    </w:p>
    <w:p w14:paraId="69C60C8D">
      <w:pPr>
        <w:adjustRightInd w:val="0"/>
        <w:snapToGrid w:val="0"/>
        <w:spacing w:before="156" w:beforeLines="50" w:line="360" w:lineRule="auto"/>
        <w:ind w:firstLine="630" w:firstLineChars="300"/>
        <w:rPr>
          <w:rFonts w:ascii="宋体" w:hAnsi="宋体"/>
          <w:color w:val="auto"/>
          <w:szCs w:val="21"/>
          <w:highlight w:val="none"/>
        </w:rPr>
      </w:pPr>
      <w:r>
        <w:rPr>
          <w:rFonts w:hint="eastAsia" w:ascii="宋体" w:hAnsi="宋体"/>
          <w:color w:val="auto"/>
          <w:szCs w:val="21"/>
          <w:highlight w:val="none"/>
        </w:rPr>
        <w:t>十一、投标货物符合招标文件规定的证明文件</w:t>
      </w:r>
    </w:p>
    <w:p w14:paraId="68A4DF73">
      <w:pPr>
        <w:adjustRightInd w:val="0"/>
        <w:snapToGrid w:val="0"/>
        <w:spacing w:before="156" w:beforeLines="50" w:line="360" w:lineRule="auto"/>
        <w:ind w:firstLine="630" w:firstLineChars="300"/>
        <w:rPr>
          <w:rFonts w:ascii="宋体" w:hAnsi="宋体"/>
          <w:color w:val="auto"/>
          <w:szCs w:val="21"/>
          <w:highlight w:val="none"/>
        </w:rPr>
      </w:pPr>
      <w:r>
        <w:rPr>
          <w:rFonts w:hint="eastAsia" w:ascii="宋体" w:hAnsi="宋体"/>
          <w:color w:val="auto"/>
          <w:szCs w:val="21"/>
          <w:highlight w:val="none"/>
        </w:rPr>
        <w:t>十二、投标人认为需提供的其他资料</w:t>
      </w:r>
    </w:p>
    <w:p w14:paraId="4DEF9247">
      <w:pPr>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在此，签字代表宣布同意如下：</w:t>
      </w:r>
    </w:p>
    <w:p w14:paraId="7C57C42C">
      <w:pPr>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1、投标人严格按照招标文件的规定报价，见《开标一览表》。</w:t>
      </w:r>
    </w:p>
    <w:p w14:paraId="35AD8981">
      <w:pPr>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2、投标人将按招标文件的规定履行合同责任和义务。</w:t>
      </w:r>
    </w:p>
    <w:p w14:paraId="1B9AA202">
      <w:pPr>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3、投标人已详细审查招标文件。我们完全理解并同意放弃对这方面有不明及误解的权力。</w:t>
      </w:r>
    </w:p>
    <w:p w14:paraId="3BADDBC6">
      <w:pPr>
        <w:adjustRightInd w:val="0"/>
        <w:snapToGrid w:val="0"/>
        <w:spacing w:before="156" w:beforeLines="50" w:line="360" w:lineRule="auto"/>
        <w:ind w:firstLine="420" w:firstLineChars="200"/>
        <w:rPr>
          <w:rFonts w:ascii="宋体" w:hAnsi="宋体"/>
          <w:color w:val="auto"/>
          <w:highlight w:val="none"/>
        </w:rPr>
      </w:pPr>
      <w:r>
        <w:rPr>
          <w:rFonts w:hint="eastAsia" w:ascii="宋体" w:hAnsi="宋体"/>
          <w:color w:val="auto"/>
          <w:szCs w:val="21"/>
          <w:highlight w:val="none"/>
        </w:rPr>
        <w:t>4、本投标有效期为自招标文件规定的提交投标文件截止之日起</w:t>
      </w:r>
      <w:r>
        <w:rPr>
          <w:rFonts w:hint="eastAsia" w:ascii="宋体" w:hAnsi="宋体"/>
          <w:color w:val="auto"/>
          <w:szCs w:val="21"/>
          <w:highlight w:val="none"/>
          <w:u w:val="single"/>
        </w:rPr>
        <w:t xml:space="preserve">    </w:t>
      </w:r>
      <w:r>
        <w:rPr>
          <w:rFonts w:hint="eastAsia" w:ascii="宋体" w:hAnsi="宋体"/>
          <w:color w:val="auto"/>
          <w:szCs w:val="21"/>
          <w:highlight w:val="none"/>
        </w:rPr>
        <w:t>个日历日。在投标有效期内，</w:t>
      </w:r>
      <w:r>
        <w:rPr>
          <w:rFonts w:hint="eastAsia" w:ascii="宋体" w:hAnsi="宋体"/>
          <w:color w:val="auto"/>
          <w:highlight w:val="none"/>
        </w:rPr>
        <w:t>投标人同意遵守本</w:t>
      </w:r>
      <w:r>
        <w:rPr>
          <w:rFonts w:hint="eastAsia" w:ascii="宋体" w:hAnsi="宋体"/>
          <w:color w:val="auto"/>
          <w:szCs w:val="21"/>
          <w:highlight w:val="none"/>
        </w:rPr>
        <w:t>投标</w:t>
      </w:r>
      <w:r>
        <w:rPr>
          <w:rFonts w:hint="eastAsia" w:ascii="宋体" w:hAnsi="宋体"/>
          <w:color w:val="auto"/>
          <w:highlight w:val="none"/>
        </w:rPr>
        <w:t>文件中的承诺且在此期限期满之前</w:t>
      </w:r>
      <w:r>
        <w:rPr>
          <w:rFonts w:hint="eastAsia" w:ascii="宋体" w:hAnsi="宋体"/>
          <w:color w:val="auto"/>
          <w:szCs w:val="21"/>
          <w:highlight w:val="none"/>
        </w:rPr>
        <w:t>投标</w:t>
      </w:r>
      <w:r>
        <w:rPr>
          <w:rFonts w:hint="eastAsia" w:ascii="宋体" w:hAnsi="宋体"/>
          <w:color w:val="auto"/>
          <w:highlight w:val="none"/>
        </w:rPr>
        <w:t>文件</w:t>
      </w:r>
      <w:r>
        <w:rPr>
          <w:rFonts w:hint="eastAsia" w:ascii="宋体" w:hAnsi="宋体"/>
          <w:color w:val="auto"/>
          <w:szCs w:val="21"/>
          <w:highlight w:val="none"/>
        </w:rPr>
        <w:t>对我方具有法律约束力</w:t>
      </w:r>
      <w:r>
        <w:rPr>
          <w:rFonts w:hint="eastAsia" w:ascii="宋体" w:hAnsi="宋体"/>
          <w:color w:val="auto"/>
          <w:highlight w:val="none"/>
        </w:rPr>
        <w:t>。</w:t>
      </w:r>
    </w:p>
    <w:p w14:paraId="539006C1">
      <w:pPr>
        <w:adjustRightInd w:val="0"/>
        <w:snapToGrid w:val="0"/>
        <w:spacing w:before="156" w:beforeLines="50" w:line="360" w:lineRule="auto"/>
        <w:ind w:firstLine="420" w:firstLineChars="200"/>
        <w:rPr>
          <w:rFonts w:ascii="宋体" w:hAnsi="宋体"/>
          <w:color w:val="auto"/>
          <w:highlight w:val="none"/>
        </w:rPr>
      </w:pPr>
      <w:r>
        <w:rPr>
          <w:rFonts w:hint="eastAsia" w:ascii="宋体" w:hAnsi="宋体"/>
          <w:color w:val="auto"/>
          <w:highlight w:val="none"/>
        </w:rPr>
        <w:t>5、</w:t>
      </w:r>
      <w:r>
        <w:rPr>
          <w:rFonts w:hint="eastAsia" w:ascii="宋体" w:hAnsi="宋体"/>
          <w:color w:val="auto"/>
          <w:szCs w:val="21"/>
          <w:highlight w:val="none"/>
        </w:rPr>
        <w:t>同意提供贵方可能要求的与其投标有关的一切数据或资料。</w:t>
      </w:r>
    </w:p>
    <w:p w14:paraId="3D05660F">
      <w:pPr>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6、与本投标有关的一切正式往来信函请寄：</w:t>
      </w:r>
    </w:p>
    <w:p w14:paraId="2B6A7B42">
      <w:pPr>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地址：</w:t>
      </w:r>
      <w:r>
        <w:rPr>
          <w:rFonts w:hint="eastAsia" w:ascii="宋体" w:hAnsi="宋体"/>
          <w:color w:val="auto"/>
          <w:szCs w:val="21"/>
          <w:highlight w:val="none"/>
          <w:u w:val="single"/>
        </w:rPr>
        <w:t xml:space="preserve">    </w:t>
      </w:r>
      <w:r>
        <w:rPr>
          <w:rFonts w:hint="eastAsia" w:ascii="宋体" w:hAnsi="宋体"/>
          <w:color w:val="auto"/>
          <w:szCs w:val="21"/>
          <w:highlight w:val="none"/>
        </w:rPr>
        <w:t>；邮编：</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；电话：</w:t>
      </w:r>
      <w:r>
        <w:rPr>
          <w:rFonts w:hint="eastAsia" w:ascii="宋体" w:hAnsi="宋体"/>
          <w:color w:val="auto"/>
          <w:szCs w:val="21"/>
          <w:highlight w:val="none"/>
          <w:u w:val="single"/>
        </w:rPr>
        <w:t xml:space="preserve">      </w:t>
      </w:r>
      <w:r>
        <w:rPr>
          <w:rFonts w:hint="eastAsia" w:ascii="宋体" w:hAnsi="宋体"/>
          <w:color w:val="auto"/>
          <w:szCs w:val="21"/>
          <w:highlight w:val="none"/>
        </w:rPr>
        <w:t>；电子邮箱：</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770A71C0">
      <w:pPr>
        <w:adjustRightInd w:val="0"/>
        <w:snapToGrid w:val="0"/>
        <w:spacing w:before="156" w:beforeLines="50" w:line="360" w:lineRule="auto"/>
        <w:ind w:firstLine="420" w:firstLineChars="200"/>
        <w:rPr>
          <w:rFonts w:ascii="宋体" w:hAnsi="宋体"/>
          <w:color w:val="auto"/>
          <w:szCs w:val="21"/>
          <w:highlight w:val="none"/>
        </w:rPr>
      </w:pPr>
    </w:p>
    <w:p w14:paraId="650E02CA">
      <w:pPr>
        <w:pStyle w:val="19"/>
        <w:adjustRightInd w:val="0"/>
        <w:snapToGrid w:val="0"/>
        <w:spacing w:before="156" w:beforeLines="50" w:line="360" w:lineRule="auto"/>
        <w:rPr>
          <w:rFonts w:hAnsi="宋体"/>
          <w:color w:val="auto"/>
          <w:highlight w:val="none"/>
        </w:rPr>
      </w:pPr>
    </w:p>
    <w:p w14:paraId="7895FDD1">
      <w:pPr>
        <w:pStyle w:val="19"/>
        <w:adjustRightInd w:val="0"/>
        <w:snapToGrid w:val="0"/>
        <w:spacing w:before="156" w:beforeLines="50" w:line="360" w:lineRule="auto"/>
        <w:rPr>
          <w:rFonts w:hAnsi="宋体"/>
          <w:color w:val="auto"/>
          <w:highlight w:val="none"/>
        </w:rPr>
      </w:pPr>
      <w:r>
        <w:rPr>
          <w:rFonts w:hint="eastAsia" w:hAnsi="宋体"/>
          <w:color w:val="auto"/>
          <w:highlight w:val="none"/>
        </w:rPr>
        <w:t xml:space="preserve">投标人名称（盖单位章）：                       </w:t>
      </w:r>
    </w:p>
    <w:p w14:paraId="110D1897">
      <w:pPr>
        <w:adjustRightInd w:val="0"/>
        <w:snapToGrid w:val="0"/>
        <w:spacing w:before="156" w:beforeLines="50" w:line="360" w:lineRule="auto"/>
        <w:rPr>
          <w:rFonts w:ascii="宋体" w:hAnsi="宋体"/>
          <w:color w:val="auto"/>
          <w:szCs w:val="21"/>
          <w:highlight w:val="none"/>
          <w:u w:val="singl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或其授权的代理人（签字或印章）：</w:t>
      </w:r>
      <w:r>
        <w:rPr>
          <w:rFonts w:hint="eastAsia" w:ascii="宋体" w:hAnsi="宋体"/>
          <w:color w:val="auto"/>
          <w:szCs w:val="21"/>
          <w:highlight w:val="none"/>
          <w:u w:val="single"/>
        </w:rPr>
        <w:t xml:space="preserve">               </w:t>
      </w:r>
    </w:p>
    <w:p w14:paraId="71713740">
      <w:pPr>
        <w:adjustRightInd w:val="0"/>
        <w:snapToGrid w:val="0"/>
        <w:spacing w:before="156" w:beforeLines="50" w:line="120" w:lineRule="auto"/>
        <w:rPr>
          <w:rFonts w:ascii="黑体" w:hAnsi="宋体" w:eastAsia="黑体"/>
          <w:b/>
          <w:bCs/>
          <w:color w:val="auto"/>
          <w:sz w:val="28"/>
          <w:szCs w:val="28"/>
          <w:highlight w:val="none"/>
        </w:rPr>
      </w:pP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r>
        <w:rPr>
          <w:rFonts w:ascii="黑体" w:hAnsi="宋体" w:eastAsia="黑体"/>
          <w:b/>
          <w:bCs/>
          <w:color w:val="auto"/>
          <w:sz w:val="28"/>
          <w:szCs w:val="28"/>
          <w:highlight w:val="none"/>
        </w:rPr>
        <w:br w:type="page"/>
      </w:r>
    </w:p>
    <w:p w14:paraId="75624A6E">
      <w:pPr>
        <w:pStyle w:val="11"/>
        <w:adjustRightInd w:val="0"/>
        <w:snapToGrid w:val="0"/>
        <w:spacing w:before="0" w:after="0" w:line="360" w:lineRule="auto"/>
        <w:jc w:val="center"/>
        <w:rPr>
          <w:rFonts w:ascii="黑体" w:hAnsi="宋体" w:eastAsia="黑体"/>
          <w:color w:val="auto"/>
          <w:sz w:val="28"/>
          <w:szCs w:val="28"/>
          <w:highlight w:val="none"/>
        </w:rPr>
      </w:pPr>
      <w:bookmarkStart w:id="106" w:name="_Toc29343"/>
      <w:r>
        <w:rPr>
          <w:rFonts w:hint="eastAsia" w:ascii="黑体" w:hAnsi="宋体" w:eastAsia="黑体"/>
          <w:color w:val="auto"/>
          <w:sz w:val="28"/>
          <w:szCs w:val="28"/>
          <w:highlight w:val="none"/>
        </w:rPr>
        <w:t>六、分项报价</w:t>
      </w:r>
      <w:bookmarkEnd w:id="106"/>
    </w:p>
    <w:p w14:paraId="1FCF05CE">
      <w:pPr>
        <w:pStyle w:val="12"/>
        <w:jc w:val="left"/>
        <w:rPr>
          <w:rFonts w:ascii="黑体" w:hAnsi="宋体" w:cs="微软雅黑"/>
          <w:b w:val="0"/>
          <w:color w:val="auto"/>
          <w:kern w:val="0"/>
          <w:sz w:val="21"/>
          <w:szCs w:val="21"/>
          <w:highlight w:val="none"/>
        </w:rPr>
      </w:pPr>
      <w:bookmarkStart w:id="107" w:name="_Toc18071"/>
      <w:r>
        <w:rPr>
          <w:rFonts w:hint="eastAsia" w:ascii="黑体" w:hAnsi="华文中宋" w:cs="宋体"/>
          <w:b w:val="0"/>
          <w:bCs w:val="0"/>
          <w:color w:val="auto"/>
          <w:spacing w:val="6"/>
          <w:kern w:val="0"/>
          <w:sz w:val="21"/>
          <w:szCs w:val="21"/>
          <w:highlight w:val="none"/>
        </w:rPr>
        <w:t xml:space="preserve">附件6-1 </w:t>
      </w:r>
      <w:r>
        <w:rPr>
          <w:rFonts w:hint="eastAsia" w:ascii="黑体" w:hAnsi="宋体" w:cs="微软雅黑"/>
          <w:b w:val="0"/>
          <w:color w:val="auto"/>
          <w:spacing w:val="-2"/>
          <w:kern w:val="0"/>
          <w:sz w:val="21"/>
          <w:szCs w:val="21"/>
          <w:highlight w:val="none"/>
        </w:rPr>
        <w:t>分</w:t>
      </w:r>
      <w:r>
        <w:rPr>
          <w:rFonts w:hint="eastAsia" w:ascii="黑体" w:hAnsi="宋体" w:cs="微软雅黑"/>
          <w:b w:val="0"/>
          <w:color w:val="auto"/>
          <w:kern w:val="0"/>
          <w:sz w:val="21"/>
          <w:szCs w:val="21"/>
          <w:highlight w:val="none"/>
        </w:rPr>
        <w:t>项</w:t>
      </w:r>
      <w:r>
        <w:rPr>
          <w:rFonts w:hint="eastAsia" w:ascii="黑体" w:hAnsi="宋体" w:cs="微软雅黑"/>
          <w:b w:val="0"/>
          <w:color w:val="auto"/>
          <w:spacing w:val="-2"/>
          <w:kern w:val="0"/>
          <w:sz w:val="21"/>
          <w:szCs w:val="21"/>
          <w:highlight w:val="none"/>
        </w:rPr>
        <w:t>报</w:t>
      </w:r>
      <w:r>
        <w:rPr>
          <w:rFonts w:hint="eastAsia" w:ascii="黑体" w:hAnsi="宋体" w:cs="微软雅黑"/>
          <w:b w:val="0"/>
          <w:color w:val="auto"/>
          <w:kern w:val="0"/>
          <w:sz w:val="21"/>
          <w:szCs w:val="21"/>
          <w:highlight w:val="none"/>
        </w:rPr>
        <w:t>价说明</w:t>
      </w:r>
      <w:bookmarkEnd w:id="107"/>
      <w:r>
        <w:rPr>
          <w:rFonts w:hint="eastAsia" w:ascii="黑体" w:hAnsi="宋体" w:cs="微软雅黑"/>
          <w:b w:val="0"/>
          <w:color w:val="auto"/>
          <w:kern w:val="0"/>
          <w:sz w:val="21"/>
          <w:szCs w:val="21"/>
          <w:highlight w:val="none"/>
        </w:rPr>
        <w:t xml:space="preserve">  </w:t>
      </w:r>
    </w:p>
    <w:p w14:paraId="2765F7E5">
      <w:pPr>
        <w:autoSpaceDE w:val="0"/>
        <w:autoSpaceDN w:val="0"/>
        <w:adjustRightInd w:val="0"/>
        <w:snapToGrid w:val="0"/>
        <w:spacing w:line="360" w:lineRule="auto"/>
        <w:jc w:val="center"/>
        <w:rPr>
          <w:rFonts w:ascii="黑体" w:hAnsi="宋体" w:eastAsia="黑体" w:cs="微软雅黑"/>
          <w:b/>
          <w:color w:val="auto"/>
          <w:kern w:val="0"/>
          <w:sz w:val="28"/>
          <w:szCs w:val="28"/>
          <w:highlight w:val="none"/>
        </w:rPr>
      </w:pPr>
      <w:r>
        <w:rPr>
          <w:rFonts w:hint="eastAsia" w:ascii="黑体" w:hAnsi="宋体" w:eastAsia="黑体" w:cs="微软雅黑"/>
          <w:b/>
          <w:color w:val="auto"/>
          <w:spacing w:val="-2"/>
          <w:kern w:val="0"/>
          <w:sz w:val="28"/>
          <w:szCs w:val="28"/>
          <w:highlight w:val="none"/>
        </w:rPr>
        <w:t>分</w:t>
      </w:r>
      <w:r>
        <w:rPr>
          <w:rFonts w:hint="eastAsia" w:ascii="黑体" w:hAnsi="宋体" w:eastAsia="黑体" w:cs="微软雅黑"/>
          <w:b/>
          <w:color w:val="auto"/>
          <w:kern w:val="0"/>
          <w:sz w:val="28"/>
          <w:szCs w:val="28"/>
          <w:highlight w:val="none"/>
        </w:rPr>
        <w:t>项</w:t>
      </w:r>
      <w:r>
        <w:rPr>
          <w:rFonts w:hint="eastAsia" w:ascii="黑体" w:hAnsi="宋体" w:eastAsia="黑体" w:cs="微软雅黑"/>
          <w:b/>
          <w:color w:val="auto"/>
          <w:spacing w:val="-2"/>
          <w:kern w:val="0"/>
          <w:sz w:val="28"/>
          <w:szCs w:val="28"/>
          <w:highlight w:val="none"/>
        </w:rPr>
        <w:t>报</w:t>
      </w:r>
      <w:r>
        <w:rPr>
          <w:rFonts w:hint="eastAsia" w:ascii="黑体" w:hAnsi="宋体" w:eastAsia="黑体" w:cs="微软雅黑"/>
          <w:b/>
          <w:color w:val="auto"/>
          <w:kern w:val="0"/>
          <w:sz w:val="28"/>
          <w:szCs w:val="28"/>
          <w:highlight w:val="none"/>
        </w:rPr>
        <w:t>价说明</w:t>
      </w:r>
    </w:p>
    <w:p w14:paraId="5C111EC8">
      <w:pPr>
        <w:autoSpaceDE w:val="0"/>
        <w:autoSpaceDN w:val="0"/>
        <w:adjustRightInd w:val="0"/>
        <w:snapToGrid w:val="0"/>
        <w:spacing w:line="360" w:lineRule="auto"/>
        <w:jc w:val="left"/>
        <w:rPr>
          <w:rFonts w:ascii="宋体" w:hAnsi="宋体" w:cs="微软雅黑"/>
          <w:color w:val="auto"/>
          <w:kern w:val="0"/>
          <w:szCs w:val="21"/>
          <w:highlight w:val="none"/>
        </w:rPr>
      </w:pPr>
      <w:r>
        <w:rPr>
          <w:rFonts w:hint="eastAsia" w:ascii="宋体" w:hAnsi="宋体" w:cs="微软雅黑"/>
          <w:color w:val="auto"/>
          <w:kern w:val="0"/>
          <w:szCs w:val="21"/>
          <w:highlight w:val="none"/>
        </w:rPr>
        <w:t>备注：投标人应按招标文件第二章相关要求，对本节</w:t>
      </w:r>
      <w:r>
        <w:rPr>
          <w:rFonts w:hint="eastAsia" w:ascii="宋体" w:hAnsi="宋体"/>
          <w:bCs/>
          <w:color w:val="auto"/>
          <w:szCs w:val="21"/>
          <w:highlight w:val="none"/>
        </w:rPr>
        <w:t>“</w:t>
      </w:r>
      <w:r>
        <w:rPr>
          <w:rFonts w:hint="eastAsia" w:ascii="宋体" w:hAnsi="宋体" w:cs="微软雅黑"/>
          <w:color w:val="auto"/>
          <w:kern w:val="0"/>
          <w:szCs w:val="21"/>
          <w:highlight w:val="none"/>
        </w:rPr>
        <w:t>分项报价明细表</w:t>
      </w:r>
      <w:r>
        <w:rPr>
          <w:rFonts w:hint="eastAsia" w:ascii="宋体" w:hAnsi="宋体"/>
          <w:bCs/>
          <w:color w:val="auto"/>
          <w:szCs w:val="21"/>
          <w:highlight w:val="none"/>
        </w:rPr>
        <w:t>”进行</w:t>
      </w:r>
      <w:r>
        <w:rPr>
          <w:rFonts w:hint="eastAsia" w:ascii="宋体" w:hAnsi="宋体" w:cs="微软雅黑"/>
          <w:color w:val="auto"/>
          <w:kern w:val="0"/>
          <w:szCs w:val="21"/>
          <w:highlight w:val="none"/>
        </w:rPr>
        <w:t>编制，并说明。</w:t>
      </w:r>
    </w:p>
    <w:p w14:paraId="7E029B14">
      <w:pPr>
        <w:rPr>
          <w:color w:val="auto"/>
          <w:highlight w:val="none"/>
        </w:rPr>
      </w:pPr>
    </w:p>
    <w:p w14:paraId="2A24DF98">
      <w:pPr>
        <w:pStyle w:val="12"/>
        <w:jc w:val="left"/>
        <w:rPr>
          <w:rFonts w:ascii="黑体" w:hAnsi="宋体" w:cs="微软雅黑"/>
          <w:b w:val="0"/>
          <w:color w:val="auto"/>
          <w:kern w:val="0"/>
          <w:sz w:val="21"/>
          <w:szCs w:val="21"/>
          <w:highlight w:val="none"/>
        </w:rPr>
      </w:pPr>
      <w:bookmarkStart w:id="108" w:name="_Toc3545"/>
      <w:r>
        <w:rPr>
          <w:rFonts w:hint="eastAsia" w:ascii="黑体" w:hAnsi="华文中宋" w:cs="宋体"/>
          <w:b w:val="0"/>
          <w:bCs w:val="0"/>
          <w:color w:val="auto"/>
          <w:spacing w:val="6"/>
          <w:kern w:val="0"/>
          <w:sz w:val="21"/>
          <w:szCs w:val="21"/>
          <w:highlight w:val="none"/>
        </w:rPr>
        <w:t xml:space="preserve">附件6-2 </w:t>
      </w:r>
      <w:r>
        <w:rPr>
          <w:rFonts w:hint="eastAsia" w:ascii="黑体" w:hAnsi="宋体" w:cs="微软雅黑"/>
          <w:b w:val="0"/>
          <w:color w:val="auto"/>
          <w:spacing w:val="-2"/>
          <w:kern w:val="0"/>
          <w:position w:val="-3"/>
          <w:sz w:val="21"/>
          <w:szCs w:val="21"/>
          <w:highlight w:val="none"/>
        </w:rPr>
        <w:t>分</w:t>
      </w:r>
      <w:r>
        <w:rPr>
          <w:rFonts w:hint="eastAsia" w:ascii="黑体" w:hAnsi="宋体" w:cs="微软雅黑"/>
          <w:b w:val="0"/>
          <w:color w:val="auto"/>
          <w:kern w:val="0"/>
          <w:position w:val="-3"/>
          <w:sz w:val="21"/>
          <w:szCs w:val="21"/>
          <w:highlight w:val="none"/>
        </w:rPr>
        <w:t>项</w:t>
      </w:r>
      <w:r>
        <w:rPr>
          <w:rFonts w:hint="eastAsia" w:ascii="黑体" w:hAnsi="宋体" w:cs="微软雅黑"/>
          <w:b w:val="0"/>
          <w:color w:val="auto"/>
          <w:spacing w:val="-2"/>
          <w:kern w:val="0"/>
          <w:position w:val="-3"/>
          <w:sz w:val="21"/>
          <w:szCs w:val="21"/>
          <w:highlight w:val="none"/>
        </w:rPr>
        <w:t>报</w:t>
      </w:r>
      <w:r>
        <w:rPr>
          <w:rFonts w:hint="eastAsia" w:ascii="黑体" w:hAnsi="宋体" w:cs="微软雅黑"/>
          <w:b w:val="0"/>
          <w:color w:val="auto"/>
          <w:kern w:val="0"/>
          <w:position w:val="-3"/>
          <w:sz w:val="21"/>
          <w:szCs w:val="21"/>
          <w:highlight w:val="none"/>
        </w:rPr>
        <w:t>价明细表</w:t>
      </w:r>
      <w:bookmarkEnd w:id="108"/>
    </w:p>
    <w:p w14:paraId="0753C068">
      <w:pPr>
        <w:adjustRightInd w:val="0"/>
        <w:snapToGrid w:val="0"/>
        <w:spacing w:line="360" w:lineRule="auto"/>
        <w:jc w:val="center"/>
        <w:rPr>
          <w:rFonts w:ascii="黑体" w:hAnsi="宋体" w:eastAsia="黑体" w:cs="微软雅黑"/>
          <w:b/>
          <w:color w:val="auto"/>
          <w:kern w:val="0"/>
          <w:position w:val="-3"/>
          <w:sz w:val="28"/>
          <w:szCs w:val="28"/>
          <w:highlight w:val="none"/>
        </w:rPr>
      </w:pPr>
      <w:r>
        <w:rPr>
          <w:rFonts w:hint="eastAsia" w:ascii="黑体" w:hAnsi="宋体" w:eastAsia="黑体" w:cs="微软雅黑"/>
          <w:b/>
          <w:color w:val="auto"/>
          <w:spacing w:val="-2"/>
          <w:kern w:val="0"/>
          <w:position w:val="-3"/>
          <w:sz w:val="28"/>
          <w:szCs w:val="28"/>
          <w:highlight w:val="none"/>
        </w:rPr>
        <w:t>分</w:t>
      </w:r>
      <w:r>
        <w:rPr>
          <w:rFonts w:hint="eastAsia" w:ascii="黑体" w:hAnsi="宋体" w:eastAsia="黑体" w:cs="微软雅黑"/>
          <w:b/>
          <w:color w:val="auto"/>
          <w:kern w:val="0"/>
          <w:position w:val="-3"/>
          <w:sz w:val="28"/>
          <w:szCs w:val="28"/>
          <w:highlight w:val="none"/>
        </w:rPr>
        <w:t>项</w:t>
      </w:r>
      <w:r>
        <w:rPr>
          <w:rFonts w:hint="eastAsia" w:ascii="黑体" w:hAnsi="宋体" w:eastAsia="黑体" w:cs="微软雅黑"/>
          <w:b/>
          <w:color w:val="auto"/>
          <w:spacing w:val="-2"/>
          <w:kern w:val="0"/>
          <w:position w:val="-3"/>
          <w:sz w:val="28"/>
          <w:szCs w:val="28"/>
          <w:highlight w:val="none"/>
        </w:rPr>
        <w:t>报</w:t>
      </w:r>
      <w:r>
        <w:rPr>
          <w:rFonts w:hint="eastAsia" w:ascii="黑体" w:hAnsi="宋体" w:eastAsia="黑体" w:cs="微软雅黑"/>
          <w:b/>
          <w:color w:val="auto"/>
          <w:kern w:val="0"/>
          <w:position w:val="-3"/>
          <w:sz w:val="28"/>
          <w:szCs w:val="28"/>
          <w:highlight w:val="none"/>
        </w:rPr>
        <w:t>价明细表</w:t>
      </w:r>
    </w:p>
    <w:p w14:paraId="4551F4C3">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政府采购计划编号：</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项目名称：</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2ED2D30B">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包号：</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包名称：</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tbl>
      <w:tblPr>
        <w:tblStyle w:val="29"/>
        <w:tblW w:w="8874" w:type="dxa"/>
        <w:tblInd w:w="15" w:type="dxa"/>
        <w:tblLayout w:type="fixed"/>
        <w:tblCellMar>
          <w:top w:w="0" w:type="dxa"/>
          <w:left w:w="0" w:type="dxa"/>
          <w:bottom w:w="0" w:type="dxa"/>
          <w:right w:w="0" w:type="dxa"/>
        </w:tblCellMar>
      </w:tblPr>
      <w:tblGrid>
        <w:gridCol w:w="333"/>
        <w:gridCol w:w="1383"/>
        <w:gridCol w:w="2126"/>
        <w:gridCol w:w="1200"/>
        <w:gridCol w:w="1092"/>
        <w:gridCol w:w="910"/>
        <w:gridCol w:w="916"/>
        <w:gridCol w:w="914"/>
      </w:tblGrid>
      <w:tr w14:paraId="0A307424">
        <w:tblPrEx>
          <w:tblCellMar>
            <w:top w:w="0" w:type="dxa"/>
            <w:left w:w="0" w:type="dxa"/>
            <w:bottom w:w="0" w:type="dxa"/>
            <w:right w:w="0" w:type="dxa"/>
          </w:tblCellMar>
        </w:tblPrEx>
        <w:trPr>
          <w:trHeight w:val="415" w:hRule="exact"/>
        </w:trPr>
        <w:tc>
          <w:tcPr>
            <w:tcW w:w="1716" w:type="dxa"/>
            <w:gridSpan w:val="2"/>
            <w:vMerge w:val="restart"/>
            <w:tcBorders>
              <w:top w:val="double" w:color="auto" w:sz="4" w:space="0"/>
              <w:left w:val="double" w:color="auto" w:sz="4" w:space="0"/>
              <w:right w:val="single" w:color="auto" w:sz="6" w:space="0"/>
            </w:tcBorders>
            <w:vAlign w:val="center"/>
          </w:tcPr>
          <w:p w14:paraId="142F1375">
            <w:pPr>
              <w:autoSpaceDE w:val="0"/>
              <w:autoSpaceDN w:val="0"/>
              <w:adjustRightInd w:val="0"/>
              <w:snapToGrid w:val="0"/>
              <w:spacing w:line="360" w:lineRule="auto"/>
              <w:ind w:right="-20"/>
              <w:jc w:val="center"/>
              <w:rPr>
                <w:rFonts w:ascii="宋体" w:hAnsi="宋体" w:cs="微软雅黑"/>
                <w:color w:val="auto"/>
                <w:kern w:val="0"/>
                <w:position w:val="-1"/>
                <w:szCs w:val="21"/>
                <w:highlight w:val="none"/>
              </w:rPr>
            </w:pPr>
            <w:r>
              <w:rPr>
                <w:rFonts w:hint="eastAsia" w:ascii="宋体" w:hAnsi="宋体" w:cs="微软雅黑"/>
                <w:color w:val="auto"/>
                <w:kern w:val="0"/>
                <w:position w:val="-1"/>
                <w:szCs w:val="21"/>
                <w:highlight w:val="none"/>
              </w:rPr>
              <w:t>标的名称</w:t>
            </w:r>
          </w:p>
        </w:tc>
        <w:tc>
          <w:tcPr>
            <w:tcW w:w="2126" w:type="dxa"/>
            <w:vMerge w:val="restart"/>
            <w:tcBorders>
              <w:top w:val="double" w:color="auto" w:sz="4" w:space="0"/>
              <w:left w:val="single" w:color="auto" w:sz="6" w:space="0"/>
              <w:bottom w:val="single" w:color="auto" w:sz="6" w:space="0"/>
              <w:right w:val="single" w:color="auto" w:sz="4" w:space="0"/>
            </w:tcBorders>
            <w:vAlign w:val="center"/>
          </w:tcPr>
          <w:p w14:paraId="26D70D77">
            <w:pPr>
              <w:autoSpaceDE w:val="0"/>
              <w:autoSpaceDN w:val="0"/>
              <w:adjustRightInd w:val="0"/>
              <w:snapToGrid w:val="0"/>
              <w:spacing w:line="360" w:lineRule="auto"/>
              <w:ind w:right="-20"/>
              <w:jc w:val="center"/>
              <w:rPr>
                <w:rFonts w:ascii="宋体" w:hAnsi="宋体"/>
                <w:color w:val="auto"/>
                <w:szCs w:val="21"/>
                <w:highlight w:val="none"/>
              </w:rPr>
            </w:pPr>
            <w:r>
              <w:rPr>
                <w:rFonts w:hint="eastAsia" w:ascii="宋体" w:hAnsi="宋体"/>
                <w:color w:val="auto"/>
                <w:szCs w:val="21"/>
                <w:highlight w:val="none"/>
              </w:rPr>
              <w:t>规格型号</w:t>
            </w:r>
          </w:p>
          <w:p w14:paraId="0AA92C80">
            <w:pPr>
              <w:autoSpaceDE w:val="0"/>
              <w:autoSpaceDN w:val="0"/>
              <w:adjustRightInd w:val="0"/>
              <w:snapToGrid w:val="0"/>
              <w:spacing w:line="360" w:lineRule="auto"/>
              <w:ind w:right="-20"/>
              <w:jc w:val="center"/>
              <w:rPr>
                <w:rFonts w:ascii="宋体" w:hAnsi="宋体"/>
                <w:color w:val="auto"/>
                <w:szCs w:val="21"/>
                <w:highlight w:val="none"/>
              </w:rPr>
            </w:pPr>
            <w:r>
              <w:rPr>
                <w:rFonts w:hint="eastAsia" w:ascii="宋体" w:hAnsi="宋体"/>
                <w:color w:val="auto"/>
                <w:szCs w:val="21"/>
                <w:highlight w:val="none"/>
              </w:rPr>
              <w:t>（或项目特征描述</w:t>
            </w:r>
            <w:r>
              <w:rPr>
                <w:rFonts w:ascii="宋体" w:hAnsi="宋体"/>
                <w:color w:val="auto"/>
                <w:szCs w:val="21"/>
                <w:highlight w:val="none"/>
              </w:rPr>
              <w:t>）</w:t>
            </w:r>
          </w:p>
        </w:tc>
        <w:tc>
          <w:tcPr>
            <w:tcW w:w="1200" w:type="dxa"/>
            <w:vMerge w:val="restart"/>
            <w:tcBorders>
              <w:top w:val="double" w:color="auto" w:sz="4" w:space="0"/>
              <w:left w:val="single" w:color="auto" w:sz="4" w:space="0"/>
              <w:bottom w:val="single" w:color="auto" w:sz="6" w:space="0"/>
              <w:right w:val="single" w:color="auto" w:sz="6" w:space="0"/>
            </w:tcBorders>
            <w:vAlign w:val="center"/>
          </w:tcPr>
          <w:p w14:paraId="0454C413">
            <w:pPr>
              <w:autoSpaceDE w:val="0"/>
              <w:autoSpaceDN w:val="0"/>
              <w:adjustRightInd w:val="0"/>
              <w:snapToGrid w:val="0"/>
              <w:spacing w:line="360" w:lineRule="auto"/>
              <w:ind w:right="-20"/>
              <w:jc w:val="center"/>
              <w:rPr>
                <w:rFonts w:ascii="宋体" w:hAnsi="宋体"/>
                <w:color w:val="auto"/>
                <w:szCs w:val="21"/>
                <w:highlight w:val="none"/>
              </w:rPr>
            </w:pPr>
            <w:r>
              <w:rPr>
                <w:rFonts w:hint="eastAsia" w:ascii="宋体" w:hAnsi="宋体"/>
                <w:color w:val="auto"/>
                <w:szCs w:val="21"/>
                <w:highlight w:val="none"/>
              </w:rPr>
              <w:t>品牌/产地</w:t>
            </w:r>
          </w:p>
        </w:tc>
        <w:tc>
          <w:tcPr>
            <w:tcW w:w="1092" w:type="dxa"/>
            <w:vMerge w:val="restart"/>
            <w:tcBorders>
              <w:top w:val="double" w:color="auto" w:sz="4" w:space="0"/>
              <w:left w:val="single" w:color="auto" w:sz="6" w:space="0"/>
              <w:right w:val="single" w:color="auto" w:sz="4" w:space="0"/>
            </w:tcBorders>
            <w:vAlign w:val="center"/>
          </w:tcPr>
          <w:p w14:paraId="43E0D4D9">
            <w:pPr>
              <w:autoSpaceDE w:val="0"/>
              <w:autoSpaceDN w:val="0"/>
              <w:adjustRightInd w:val="0"/>
              <w:snapToGrid w:val="0"/>
              <w:spacing w:line="360" w:lineRule="auto"/>
              <w:ind w:right="-20"/>
              <w:jc w:val="center"/>
              <w:rPr>
                <w:rFonts w:ascii="宋体" w:hAnsi="宋体" w:cs="微软雅黑"/>
                <w:color w:val="auto"/>
                <w:kern w:val="0"/>
                <w:position w:val="-1"/>
                <w:szCs w:val="21"/>
                <w:highlight w:val="none"/>
              </w:rPr>
            </w:pPr>
            <w:r>
              <w:rPr>
                <w:rFonts w:hint="eastAsia" w:ascii="宋体" w:hAnsi="宋体"/>
                <w:color w:val="auto"/>
                <w:kern w:val="0"/>
                <w:szCs w:val="21"/>
                <w:highlight w:val="none"/>
              </w:rPr>
              <w:t>数量/单位</w:t>
            </w:r>
          </w:p>
        </w:tc>
        <w:tc>
          <w:tcPr>
            <w:tcW w:w="1826" w:type="dxa"/>
            <w:gridSpan w:val="2"/>
            <w:tcBorders>
              <w:top w:val="double" w:color="auto" w:sz="4" w:space="0"/>
              <w:left w:val="single" w:color="auto" w:sz="4" w:space="0"/>
              <w:bottom w:val="single" w:color="auto" w:sz="6" w:space="0"/>
              <w:right w:val="single" w:color="auto" w:sz="6" w:space="0"/>
            </w:tcBorders>
            <w:vAlign w:val="center"/>
          </w:tcPr>
          <w:p w14:paraId="3E224B69">
            <w:pPr>
              <w:autoSpaceDE w:val="0"/>
              <w:autoSpaceDN w:val="0"/>
              <w:adjustRightInd w:val="0"/>
              <w:snapToGrid w:val="0"/>
              <w:spacing w:line="360" w:lineRule="auto"/>
              <w:ind w:right="-20"/>
              <w:jc w:val="center"/>
              <w:rPr>
                <w:rFonts w:ascii="宋体" w:hAnsi="宋体" w:cs="微软雅黑"/>
                <w:color w:val="auto"/>
                <w:kern w:val="0"/>
                <w:position w:val="-1"/>
                <w:szCs w:val="21"/>
                <w:highlight w:val="none"/>
              </w:rPr>
            </w:pPr>
            <w:r>
              <w:rPr>
                <w:rFonts w:hint="eastAsia" w:ascii="宋体" w:hAnsi="宋体" w:cs="微软雅黑"/>
                <w:color w:val="auto"/>
                <w:kern w:val="0"/>
                <w:position w:val="-1"/>
                <w:szCs w:val="21"/>
                <w:highlight w:val="none"/>
              </w:rPr>
              <w:t>金额（元）</w:t>
            </w:r>
          </w:p>
        </w:tc>
        <w:tc>
          <w:tcPr>
            <w:tcW w:w="914" w:type="dxa"/>
            <w:vMerge w:val="restart"/>
            <w:tcBorders>
              <w:top w:val="double" w:color="auto" w:sz="4" w:space="0"/>
              <w:left w:val="single" w:color="auto" w:sz="6" w:space="0"/>
              <w:bottom w:val="single" w:color="auto" w:sz="6" w:space="0"/>
              <w:right w:val="double" w:color="auto" w:sz="4" w:space="0"/>
            </w:tcBorders>
            <w:vAlign w:val="center"/>
          </w:tcPr>
          <w:p w14:paraId="1A5543E5">
            <w:pPr>
              <w:autoSpaceDE w:val="0"/>
              <w:autoSpaceDN w:val="0"/>
              <w:adjustRightInd w:val="0"/>
              <w:snapToGrid w:val="0"/>
              <w:spacing w:line="360" w:lineRule="auto"/>
              <w:ind w:right="-20"/>
              <w:jc w:val="center"/>
              <w:rPr>
                <w:rFonts w:ascii="宋体" w:hAnsi="宋体" w:cs="微软雅黑"/>
                <w:color w:val="auto"/>
                <w:kern w:val="0"/>
                <w:position w:val="-1"/>
                <w:szCs w:val="21"/>
                <w:highlight w:val="none"/>
              </w:rPr>
            </w:pPr>
            <w:r>
              <w:rPr>
                <w:rFonts w:hint="eastAsia" w:ascii="宋体" w:hAnsi="宋体" w:cs="微软雅黑"/>
                <w:color w:val="auto"/>
                <w:kern w:val="0"/>
                <w:position w:val="-1"/>
                <w:szCs w:val="21"/>
                <w:highlight w:val="none"/>
              </w:rPr>
              <w:t>备注</w:t>
            </w:r>
          </w:p>
        </w:tc>
      </w:tr>
      <w:tr w14:paraId="4C0F98C1">
        <w:tblPrEx>
          <w:tblCellMar>
            <w:top w:w="0" w:type="dxa"/>
            <w:left w:w="0" w:type="dxa"/>
            <w:bottom w:w="0" w:type="dxa"/>
            <w:right w:w="0" w:type="dxa"/>
          </w:tblCellMar>
        </w:tblPrEx>
        <w:trPr>
          <w:trHeight w:val="415" w:hRule="exact"/>
        </w:trPr>
        <w:tc>
          <w:tcPr>
            <w:tcW w:w="1716" w:type="dxa"/>
            <w:gridSpan w:val="2"/>
            <w:vMerge w:val="continue"/>
            <w:tcBorders>
              <w:left w:val="double" w:color="auto" w:sz="4" w:space="0"/>
              <w:bottom w:val="single" w:color="auto" w:sz="6" w:space="0"/>
              <w:right w:val="single" w:color="auto" w:sz="6" w:space="0"/>
            </w:tcBorders>
          </w:tcPr>
          <w:p w14:paraId="03BFF0D1">
            <w:pPr>
              <w:autoSpaceDE w:val="0"/>
              <w:autoSpaceDN w:val="0"/>
              <w:adjustRightInd w:val="0"/>
              <w:snapToGrid w:val="0"/>
              <w:spacing w:line="360" w:lineRule="auto"/>
              <w:ind w:left="352" w:right="-20"/>
              <w:jc w:val="left"/>
              <w:rPr>
                <w:rFonts w:ascii="宋体" w:hAnsi="宋体"/>
                <w:color w:val="auto"/>
                <w:kern w:val="0"/>
                <w:szCs w:val="21"/>
                <w:highlight w:val="none"/>
              </w:rPr>
            </w:pPr>
          </w:p>
        </w:tc>
        <w:tc>
          <w:tcPr>
            <w:tcW w:w="2126" w:type="dxa"/>
            <w:vMerge w:val="continue"/>
            <w:tcBorders>
              <w:top w:val="single" w:color="auto" w:sz="6" w:space="0"/>
              <w:left w:val="single" w:color="auto" w:sz="6" w:space="0"/>
              <w:bottom w:val="single" w:color="auto" w:sz="6" w:space="0"/>
              <w:right w:val="single" w:color="auto" w:sz="4" w:space="0"/>
            </w:tcBorders>
            <w:vAlign w:val="center"/>
          </w:tcPr>
          <w:p w14:paraId="14CBC8D0">
            <w:pPr>
              <w:autoSpaceDE w:val="0"/>
              <w:autoSpaceDN w:val="0"/>
              <w:adjustRightInd w:val="0"/>
              <w:snapToGrid w:val="0"/>
              <w:spacing w:line="360" w:lineRule="auto"/>
              <w:ind w:right="-20"/>
              <w:jc w:val="center"/>
              <w:rPr>
                <w:rFonts w:ascii="宋体" w:hAnsi="宋体"/>
                <w:color w:val="auto"/>
                <w:kern w:val="0"/>
                <w:szCs w:val="21"/>
                <w:highlight w:val="none"/>
              </w:rPr>
            </w:pPr>
          </w:p>
        </w:tc>
        <w:tc>
          <w:tcPr>
            <w:tcW w:w="1200" w:type="dxa"/>
            <w:vMerge w:val="continue"/>
            <w:tcBorders>
              <w:top w:val="single" w:color="auto" w:sz="6" w:space="0"/>
              <w:left w:val="single" w:color="auto" w:sz="4" w:space="0"/>
              <w:bottom w:val="single" w:color="auto" w:sz="6" w:space="0"/>
              <w:right w:val="single" w:color="auto" w:sz="6" w:space="0"/>
            </w:tcBorders>
            <w:vAlign w:val="center"/>
          </w:tcPr>
          <w:p w14:paraId="598972F4">
            <w:pPr>
              <w:autoSpaceDE w:val="0"/>
              <w:autoSpaceDN w:val="0"/>
              <w:adjustRightInd w:val="0"/>
              <w:snapToGrid w:val="0"/>
              <w:spacing w:line="360" w:lineRule="auto"/>
              <w:ind w:right="-20"/>
              <w:jc w:val="center"/>
              <w:rPr>
                <w:rFonts w:ascii="宋体" w:hAnsi="宋体"/>
                <w:color w:val="auto"/>
                <w:kern w:val="0"/>
                <w:szCs w:val="21"/>
                <w:highlight w:val="none"/>
              </w:rPr>
            </w:pPr>
          </w:p>
        </w:tc>
        <w:tc>
          <w:tcPr>
            <w:tcW w:w="1092" w:type="dxa"/>
            <w:vMerge w:val="continue"/>
            <w:tcBorders>
              <w:left w:val="single" w:color="auto" w:sz="6" w:space="0"/>
              <w:bottom w:val="single" w:color="auto" w:sz="6" w:space="0"/>
              <w:right w:val="single" w:color="auto" w:sz="4" w:space="0"/>
            </w:tcBorders>
            <w:vAlign w:val="center"/>
          </w:tcPr>
          <w:p w14:paraId="666BAC79">
            <w:pPr>
              <w:autoSpaceDE w:val="0"/>
              <w:autoSpaceDN w:val="0"/>
              <w:adjustRightInd w:val="0"/>
              <w:snapToGrid w:val="0"/>
              <w:spacing w:line="360" w:lineRule="auto"/>
              <w:ind w:right="-20"/>
              <w:jc w:val="center"/>
              <w:rPr>
                <w:rFonts w:ascii="宋体" w:hAnsi="宋体"/>
                <w:color w:val="auto"/>
                <w:kern w:val="0"/>
                <w:szCs w:val="21"/>
                <w:highlight w:val="none"/>
              </w:rPr>
            </w:pPr>
          </w:p>
        </w:tc>
        <w:tc>
          <w:tcPr>
            <w:tcW w:w="910" w:type="dxa"/>
            <w:tcBorders>
              <w:top w:val="single" w:color="auto" w:sz="6" w:space="0"/>
              <w:left w:val="single" w:color="auto" w:sz="4" w:space="0"/>
              <w:bottom w:val="single" w:color="auto" w:sz="6" w:space="0"/>
              <w:right w:val="single" w:color="auto" w:sz="4" w:space="0"/>
            </w:tcBorders>
            <w:vAlign w:val="center"/>
          </w:tcPr>
          <w:p w14:paraId="22988794">
            <w:pPr>
              <w:autoSpaceDE w:val="0"/>
              <w:autoSpaceDN w:val="0"/>
              <w:adjustRightInd w:val="0"/>
              <w:snapToGrid w:val="0"/>
              <w:spacing w:line="360" w:lineRule="auto"/>
              <w:ind w:right="-20"/>
              <w:jc w:val="center"/>
              <w:rPr>
                <w:rFonts w:ascii="宋体" w:hAnsi="宋体"/>
                <w:color w:val="auto"/>
                <w:kern w:val="0"/>
                <w:szCs w:val="21"/>
                <w:highlight w:val="none"/>
              </w:rPr>
            </w:pPr>
            <w:r>
              <w:rPr>
                <w:rFonts w:hint="eastAsia" w:ascii="宋体" w:hAnsi="宋体" w:cs="微软雅黑"/>
                <w:color w:val="auto"/>
                <w:kern w:val="0"/>
                <w:position w:val="-1"/>
                <w:szCs w:val="21"/>
                <w:highlight w:val="none"/>
              </w:rPr>
              <w:t>单价</w:t>
            </w:r>
          </w:p>
        </w:tc>
        <w:tc>
          <w:tcPr>
            <w:tcW w:w="916" w:type="dxa"/>
            <w:tcBorders>
              <w:top w:val="single" w:color="auto" w:sz="6" w:space="0"/>
              <w:left w:val="single" w:color="auto" w:sz="4" w:space="0"/>
              <w:bottom w:val="single" w:color="auto" w:sz="6" w:space="0"/>
              <w:right w:val="single" w:color="auto" w:sz="6" w:space="0"/>
            </w:tcBorders>
            <w:vAlign w:val="center"/>
          </w:tcPr>
          <w:p w14:paraId="1C1DD56A">
            <w:pPr>
              <w:autoSpaceDE w:val="0"/>
              <w:autoSpaceDN w:val="0"/>
              <w:adjustRightInd w:val="0"/>
              <w:snapToGrid w:val="0"/>
              <w:spacing w:line="360" w:lineRule="auto"/>
              <w:ind w:left="70" w:right="-20"/>
              <w:jc w:val="center"/>
              <w:rPr>
                <w:rFonts w:ascii="宋体" w:hAnsi="宋体"/>
                <w:color w:val="auto"/>
                <w:kern w:val="0"/>
                <w:szCs w:val="21"/>
                <w:highlight w:val="none"/>
              </w:rPr>
            </w:pPr>
            <w:r>
              <w:rPr>
                <w:rFonts w:hint="eastAsia" w:ascii="宋体" w:hAnsi="宋体"/>
                <w:color w:val="auto"/>
                <w:kern w:val="0"/>
                <w:szCs w:val="21"/>
                <w:highlight w:val="none"/>
              </w:rPr>
              <w:t>小计</w:t>
            </w:r>
          </w:p>
        </w:tc>
        <w:tc>
          <w:tcPr>
            <w:tcW w:w="914" w:type="dxa"/>
            <w:vMerge w:val="continue"/>
            <w:tcBorders>
              <w:top w:val="single" w:color="auto" w:sz="6" w:space="0"/>
              <w:left w:val="single" w:color="auto" w:sz="6" w:space="0"/>
              <w:bottom w:val="single" w:color="auto" w:sz="6" w:space="0"/>
              <w:right w:val="double" w:color="auto" w:sz="4" w:space="0"/>
            </w:tcBorders>
          </w:tcPr>
          <w:p w14:paraId="737B6DD5">
            <w:pPr>
              <w:autoSpaceDE w:val="0"/>
              <w:autoSpaceDN w:val="0"/>
              <w:adjustRightInd w:val="0"/>
              <w:snapToGrid w:val="0"/>
              <w:spacing w:line="360" w:lineRule="auto"/>
              <w:ind w:left="422" w:right="-20"/>
              <w:jc w:val="left"/>
              <w:rPr>
                <w:rFonts w:ascii="宋体" w:hAnsi="宋体"/>
                <w:color w:val="auto"/>
                <w:kern w:val="0"/>
                <w:szCs w:val="21"/>
                <w:highlight w:val="none"/>
              </w:rPr>
            </w:pPr>
          </w:p>
        </w:tc>
      </w:tr>
      <w:tr w14:paraId="1FB294C1">
        <w:tblPrEx>
          <w:tblCellMar>
            <w:top w:w="0" w:type="dxa"/>
            <w:left w:w="0" w:type="dxa"/>
            <w:bottom w:w="0" w:type="dxa"/>
            <w:right w:w="0" w:type="dxa"/>
          </w:tblCellMar>
        </w:tblPrEx>
        <w:trPr>
          <w:trHeight w:val="378" w:hRule="exact"/>
        </w:trPr>
        <w:tc>
          <w:tcPr>
            <w:tcW w:w="333" w:type="dxa"/>
            <w:tcBorders>
              <w:top w:val="single" w:color="auto" w:sz="6" w:space="0"/>
              <w:left w:val="double" w:color="auto" w:sz="4" w:space="0"/>
              <w:bottom w:val="single" w:color="auto" w:sz="6" w:space="0"/>
              <w:right w:val="single" w:color="auto" w:sz="6" w:space="0"/>
            </w:tcBorders>
            <w:vAlign w:val="center"/>
          </w:tcPr>
          <w:p w14:paraId="61FB19CA">
            <w:pPr>
              <w:jc w:val="center"/>
              <w:rPr>
                <w:rFonts w:ascii="宋体" w:hAnsi="宋体" w:cs="宋体"/>
                <w:color w:val="auto"/>
                <w:highlight w:val="none"/>
              </w:rPr>
            </w:pPr>
            <w:r>
              <w:rPr>
                <w:rFonts w:hint="eastAsia" w:ascii="宋体" w:hAnsi="宋体" w:cs="宋体"/>
                <w:color w:val="auto"/>
                <w:highlight w:val="none"/>
              </w:rPr>
              <w:t>1</w:t>
            </w:r>
          </w:p>
        </w:tc>
        <w:tc>
          <w:tcPr>
            <w:tcW w:w="1383" w:type="dxa"/>
            <w:tcBorders>
              <w:top w:val="single" w:color="auto" w:sz="6" w:space="0"/>
              <w:left w:val="single" w:color="auto" w:sz="6" w:space="0"/>
              <w:bottom w:val="single" w:color="auto" w:sz="6" w:space="0"/>
              <w:right w:val="single" w:color="auto" w:sz="6" w:space="0"/>
            </w:tcBorders>
            <w:vAlign w:val="center"/>
          </w:tcPr>
          <w:p w14:paraId="4129A7E3">
            <w:pPr>
              <w:autoSpaceDE w:val="0"/>
              <w:autoSpaceDN w:val="0"/>
              <w:adjustRightInd w:val="0"/>
              <w:snapToGrid w:val="0"/>
              <w:spacing w:line="360" w:lineRule="auto"/>
              <w:jc w:val="center"/>
              <w:rPr>
                <w:rFonts w:ascii="宋体" w:hAnsi="宋体"/>
                <w:color w:val="auto"/>
                <w:kern w:val="0"/>
                <w:szCs w:val="21"/>
                <w:highlight w:val="none"/>
              </w:rPr>
            </w:pPr>
          </w:p>
        </w:tc>
        <w:tc>
          <w:tcPr>
            <w:tcW w:w="2126" w:type="dxa"/>
            <w:tcBorders>
              <w:top w:val="single" w:color="auto" w:sz="6" w:space="0"/>
              <w:left w:val="single" w:color="auto" w:sz="6" w:space="0"/>
              <w:bottom w:val="single" w:color="auto" w:sz="6" w:space="0"/>
              <w:right w:val="single" w:color="auto" w:sz="4" w:space="0"/>
            </w:tcBorders>
          </w:tcPr>
          <w:p w14:paraId="6517B5C3">
            <w:pPr>
              <w:autoSpaceDE w:val="0"/>
              <w:autoSpaceDN w:val="0"/>
              <w:adjustRightInd w:val="0"/>
              <w:snapToGrid w:val="0"/>
              <w:spacing w:line="360" w:lineRule="auto"/>
              <w:jc w:val="left"/>
              <w:rPr>
                <w:rFonts w:ascii="宋体" w:hAnsi="宋体"/>
                <w:color w:val="auto"/>
                <w:kern w:val="0"/>
                <w:szCs w:val="21"/>
                <w:highlight w:val="none"/>
              </w:rPr>
            </w:pPr>
          </w:p>
        </w:tc>
        <w:tc>
          <w:tcPr>
            <w:tcW w:w="1200" w:type="dxa"/>
            <w:tcBorders>
              <w:top w:val="single" w:color="auto" w:sz="6" w:space="0"/>
              <w:left w:val="single" w:color="auto" w:sz="4" w:space="0"/>
              <w:bottom w:val="single" w:color="auto" w:sz="6" w:space="0"/>
              <w:right w:val="single" w:color="auto" w:sz="6" w:space="0"/>
            </w:tcBorders>
          </w:tcPr>
          <w:p w14:paraId="785B1777">
            <w:pPr>
              <w:autoSpaceDE w:val="0"/>
              <w:autoSpaceDN w:val="0"/>
              <w:adjustRightInd w:val="0"/>
              <w:snapToGrid w:val="0"/>
              <w:spacing w:line="360" w:lineRule="auto"/>
              <w:jc w:val="left"/>
              <w:rPr>
                <w:rFonts w:ascii="宋体" w:hAnsi="宋体"/>
                <w:color w:val="auto"/>
                <w:kern w:val="0"/>
                <w:szCs w:val="21"/>
                <w:highlight w:val="none"/>
              </w:rPr>
            </w:pPr>
          </w:p>
        </w:tc>
        <w:tc>
          <w:tcPr>
            <w:tcW w:w="1092" w:type="dxa"/>
            <w:tcBorders>
              <w:top w:val="single" w:color="auto" w:sz="6" w:space="0"/>
              <w:left w:val="single" w:color="auto" w:sz="6" w:space="0"/>
              <w:bottom w:val="single" w:color="auto" w:sz="6" w:space="0"/>
              <w:right w:val="single" w:color="auto" w:sz="4" w:space="0"/>
            </w:tcBorders>
          </w:tcPr>
          <w:p w14:paraId="55D6983B">
            <w:pPr>
              <w:autoSpaceDE w:val="0"/>
              <w:autoSpaceDN w:val="0"/>
              <w:adjustRightInd w:val="0"/>
              <w:snapToGrid w:val="0"/>
              <w:spacing w:line="360" w:lineRule="auto"/>
              <w:jc w:val="left"/>
              <w:rPr>
                <w:rFonts w:ascii="宋体" w:hAnsi="宋体"/>
                <w:color w:val="auto"/>
                <w:kern w:val="0"/>
                <w:szCs w:val="21"/>
                <w:highlight w:val="none"/>
              </w:rPr>
            </w:pPr>
          </w:p>
        </w:tc>
        <w:tc>
          <w:tcPr>
            <w:tcW w:w="910" w:type="dxa"/>
            <w:tcBorders>
              <w:top w:val="single" w:color="auto" w:sz="6" w:space="0"/>
              <w:left w:val="single" w:color="auto" w:sz="6" w:space="0"/>
              <w:bottom w:val="single" w:color="auto" w:sz="6" w:space="0"/>
              <w:right w:val="single" w:color="auto" w:sz="6" w:space="0"/>
            </w:tcBorders>
          </w:tcPr>
          <w:p w14:paraId="648E5707">
            <w:pPr>
              <w:autoSpaceDE w:val="0"/>
              <w:autoSpaceDN w:val="0"/>
              <w:adjustRightInd w:val="0"/>
              <w:snapToGrid w:val="0"/>
              <w:spacing w:line="360" w:lineRule="auto"/>
              <w:jc w:val="left"/>
              <w:rPr>
                <w:rFonts w:ascii="宋体" w:hAnsi="宋体"/>
                <w:color w:val="auto"/>
                <w:kern w:val="0"/>
                <w:szCs w:val="21"/>
                <w:highlight w:val="none"/>
              </w:rPr>
            </w:pPr>
          </w:p>
        </w:tc>
        <w:tc>
          <w:tcPr>
            <w:tcW w:w="916" w:type="dxa"/>
            <w:tcBorders>
              <w:top w:val="single" w:color="auto" w:sz="6" w:space="0"/>
              <w:left w:val="single" w:color="auto" w:sz="6" w:space="0"/>
              <w:bottom w:val="single" w:color="auto" w:sz="6" w:space="0"/>
              <w:right w:val="single" w:color="auto" w:sz="6" w:space="0"/>
            </w:tcBorders>
          </w:tcPr>
          <w:p w14:paraId="2C0E3207">
            <w:pPr>
              <w:autoSpaceDE w:val="0"/>
              <w:autoSpaceDN w:val="0"/>
              <w:adjustRightInd w:val="0"/>
              <w:snapToGrid w:val="0"/>
              <w:spacing w:line="360" w:lineRule="auto"/>
              <w:jc w:val="left"/>
              <w:rPr>
                <w:rFonts w:ascii="宋体" w:hAnsi="宋体"/>
                <w:color w:val="auto"/>
                <w:kern w:val="0"/>
                <w:szCs w:val="21"/>
                <w:highlight w:val="none"/>
              </w:rPr>
            </w:pPr>
          </w:p>
        </w:tc>
        <w:tc>
          <w:tcPr>
            <w:tcW w:w="914" w:type="dxa"/>
            <w:tcBorders>
              <w:top w:val="single" w:color="auto" w:sz="6" w:space="0"/>
              <w:left w:val="single" w:color="auto" w:sz="6" w:space="0"/>
              <w:bottom w:val="single" w:color="auto" w:sz="6" w:space="0"/>
              <w:right w:val="double" w:color="auto" w:sz="4" w:space="0"/>
            </w:tcBorders>
          </w:tcPr>
          <w:p w14:paraId="45D5B2CD">
            <w:pPr>
              <w:autoSpaceDE w:val="0"/>
              <w:autoSpaceDN w:val="0"/>
              <w:adjustRightInd w:val="0"/>
              <w:snapToGrid w:val="0"/>
              <w:spacing w:line="360" w:lineRule="auto"/>
              <w:jc w:val="left"/>
              <w:rPr>
                <w:rFonts w:ascii="宋体" w:hAnsi="宋体"/>
                <w:color w:val="auto"/>
                <w:kern w:val="0"/>
                <w:szCs w:val="21"/>
                <w:highlight w:val="none"/>
              </w:rPr>
            </w:pPr>
          </w:p>
        </w:tc>
      </w:tr>
      <w:tr w14:paraId="36A8DFB2">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30ACEF09">
            <w:pPr>
              <w:jc w:val="center"/>
              <w:rPr>
                <w:rFonts w:ascii="宋体" w:hAnsi="宋体" w:cs="宋体"/>
                <w:color w:val="auto"/>
                <w:highlight w:val="none"/>
              </w:rPr>
            </w:pPr>
            <w:r>
              <w:rPr>
                <w:rFonts w:hint="eastAsia" w:ascii="宋体" w:hAnsi="宋体" w:cs="宋体"/>
                <w:color w:val="auto"/>
                <w:highlight w:val="none"/>
              </w:rPr>
              <w:t>2</w:t>
            </w:r>
          </w:p>
        </w:tc>
        <w:tc>
          <w:tcPr>
            <w:tcW w:w="1383" w:type="dxa"/>
            <w:tcBorders>
              <w:top w:val="single" w:color="auto" w:sz="6" w:space="0"/>
              <w:left w:val="single" w:color="auto" w:sz="6" w:space="0"/>
              <w:bottom w:val="single" w:color="auto" w:sz="6" w:space="0"/>
              <w:right w:val="single" w:color="auto" w:sz="6" w:space="0"/>
            </w:tcBorders>
            <w:vAlign w:val="center"/>
          </w:tcPr>
          <w:p w14:paraId="0A98DF82">
            <w:pPr>
              <w:autoSpaceDE w:val="0"/>
              <w:autoSpaceDN w:val="0"/>
              <w:adjustRightInd w:val="0"/>
              <w:snapToGrid w:val="0"/>
              <w:spacing w:line="360" w:lineRule="auto"/>
              <w:jc w:val="center"/>
              <w:rPr>
                <w:rFonts w:ascii="宋体" w:hAnsi="宋体"/>
                <w:color w:val="auto"/>
                <w:kern w:val="0"/>
                <w:szCs w:val="21"/>
                <w:highlight w:val="none"/>
              </w:rPr>
            </w:pPr>
          </w:p>
        </w:tc>
        <w:tc>
          <w:tcPr>
            <w:tcW w:w="2126" w:type="dxa"/>
            <w:tcBorders>
              <w:top w:val="single" w:color="auto" w:sz="6" w:space="0"/>
              <w:left w:val="single" w:color="auto" w:sz="6" w:space="0"/>
              <w:bottom w:val="single" w:color="auto" w:sz="6" w:space="0"/>
              <w:right w:val="single" w:color="auto" w:sz="4" w:space="0"/>
            </w:tcBorders>
          </w:tcPr>
          <w:p w14:paraId="0AFF974C">
            <w:pPr>
              <w:autoSpaceDE w:val="0"/>
              <w:autoSpaceDN w:val="0"/>
              <w:adjustRightInd w:val="0"/>
              <w:snapToGrid w:val="0"/>
              <w:spacing w:line="360" w:lineRule="auto"/>
              <w:jc w:val="left"/>
              <w:rPr>
                <w:rFonts w:ascii="宋体" w:hAnsi="宋体"/>
                <w:color w:val="auto"/>
                <w:kern w:val="0"/>
                <w:szCs w:val="21"/>
                <w:highlight w:val="none"/>
              </w:rPr>
            </w:pPr>
          </w:p>
        </w:tc>
        <w:tc>
          <w:tcPr>
            <w:tcW w:w="1200" w:type="dxa"/>
            <w:tcBorders>
              <w:top w:val="single" w:color="auto" w:sz="6" w:space="0"/>
              <w:left w:val="single" w:color="auto" w:sz="4" w:space="0"/>
              <w:bottom w:val="single" w:color="auto" w:sz="6" w:space="0"/>
              <w:right w:val="single" w:color="auto" w:sz="6" w:space="0"/>
            </w:tcBorders>
          </w:tcPr>
          <w:p w14:paraId="7B9F7A67">
            <w:pPr>
              <w:autoSpaceDE w:val="0"/>
              <w:autoSpaceDN w:val="0"/>
              <w:adjustRightInd w:val="0"/>
              <w:snapToGrid w:val="0"/>
              <w:spacing w:line="360" w:lineRule="auto"/>
              <w:jc w:val="left"/>
              <w:rPr>
                <w:rFonts w:ascii="宋体" w:hAnsi="宋体"/>
                <w:color w:val="auto"/>
                <w:kern w:val="0"/>
                <w:szCs w:val="21"/>
                <w:highlight w:val="none"/>
              </w:rPr>
            </w:pPr>
          </w:p>
        </w:tc>
        <w:tc>
          <w:tcPr>
            <w:tcW w:w="1092" w:type="dxa"/>
            <w:tcBorders>
              <w:top w:val="single" w:color="auto" w:sz="6" w:space="0"/>
              <w:left w:val="single" w:color="auto" w:sz="6" w:space="0"/>
              <w:bottom w:val="single" w:color="auto" w:sz="6" w:space="0"/>
              <w:right w:val="single" w:color="auto" w:sz="4" w:space="0"/>
            </w:tcBorders>
          </w:tcPr>
          <w:p w14:paraId="516DF520">
            <w:pPr>
              <w:autoSpaceDE w:val="0"/>
              <w:autoSpaceDN w:val="0"/>
              <w:adjustRightInd w:val="0"/>
              <w:snapToGrid w:val="0"/>
              <w:spacing w:line="360" w:lineRule="auto"/>
              <w:jc w:val="left"/>
              <w:rPr>
                <w:rFonts w:ascii="宋体" w:hAnsi="宋体"/>
                <w:color w:val="auto"/>
                <w:kern w:val="0"/>
                <w:szCs w:val="21"/>
                <w:highlight w:val="none"/>
              </w:rPr>
            </w:pPr>
          </w:p>
        </w:tc>
        <w:tc>
          <w:tcPr>
            <w:tcW w:w="910" w:type="dxa"/>
            <w:tcBorders>
              <w:top w:val="single" w:color="auto" w:sz="6" w:space="0"/>
              <w:left w:val="single" w:color="auto" w:sz="6" w:space="0"/>
              <w:bottom w:val="single" w:color="auto" w:sz="6" w:space="0"/>
              <w:right w:val="single" w:color="auto" w:sz="6" w:space="0"/>
            </w:tcBorders>
          </w:tcPr>
          <w:p w14:paraId="2F181DA2">
            <w:pPr>
              <w:autoSpaceDE w:val="0"/>
              <w:autoSpaceDN w:val="0"/>
              <w:adjustRightInd w:val="0"/>
              <w:snapToGrid w:val="0"/>
              <w:spacing w:line="360" w:lineRule="auto"/>
              <w:jc w:val="left"/>
              <w:rPr>
                <w:rFonts w:ascii="宋体" w:hAnsi="宋体"/>
                <w:color w:val="auto"/>
                <w:kern w:val="0"/>
                <w:szCs w:val="21"/>
                <w:highlight w:val="none"/>
              </w:rPr>
            </w:pPr>
          </w:p>
        </w:tc>
        <w:tc>
          <w:tcPr>
            <w:tcW w:w="916" w:type="dxa"/>
            <w:tcBorders>
              <w:top w:val="single" w:color="auto" w:sz="6" w:space="0"/>
              <w:left w:val="single" w:color="auto" w:sz="6" w:space="0"/>
              <w:bottom w:val="single" w:color="auto" w:sz="6" w:space="0"/>
              <w:right w:val="single" w:color="auto" w:sz="6" w:space="0"/>
            </w:tcBorders>
          </w:tcPr>
          <w:p w14:paraId="4F801B25">
            <w:pPr>
              <w:autoSpaceDE w:val="0"/>
              <w:autoSpaceDN w:val="0"/>
              <w:adjustRightInd w:val="0"/>
              <w:snapToGrid w:val="0"/>
              <w:spacing w:line="360" w:lineRule="auto"/>
              <w:jc w:val="left"/>
              <w:rPr>
                <w:rFonts w:ascii="宋体" w:hAnsi="宋体"/>
                <w:color w:val="auto"/>
                <w:kern w:val="0"/>
                <w:szCs w:val="21"/>
                <w:highlight w:val="none"/>
              </w:rPr>
            </w:pPr>
          </w:p>
        </w:tc>
        <w:tc>
          <w:tcPr>
            <w:tcW w:w="914" w:type="dxa"/>
            <w:tcBorders>
              <w:top w:val="single" w:color="auto" w:sz="6" w:space="0"/>
              <w:left w:val="single" w:color="auto" w:sz="6" w:space="0"/>
              <w:bottom w:val="single" w:color="auto" w:sz="6" w:space="0"/>
              <w:right w:val="double" w:color="auto" w:sz="4" w:space="0"/>
            </w:tcBorders>
          </w:tcPr>
          <w:p w14:paraId="1CE68F75">
            <w:pPr>
              <w:autoSpaceDE w:val="0"/>
              <w:autoSpaceDN w:val="0"/>
              <w:adjustRightInd w:val="0"/>
              <w:snapToGrid w:val="0"/>
              <w:spacing w:line="360" w:lineRule="auto"/>
              <w:jc w:val="left"/>
              <w:rPr>
                <w:rFonts w:ascii="宋体" w:hAnsi="宋体"/>
                <w:color w:val="auto"/>
                <w:kern w:val="0"/>
                <w:szCs w:val="21"/>
                <w:highlight w:val="none"/>
              </w:rPr>
            </w:pPr>
          </w:p>
        </w:tc>
      </w:tr>
      <w:tr w14:paraId="0FFCB9D9">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18186EAB">
            <w:pPr>
              <w:jc w:val="center"/>
              <w:rPr>
                <w:rFonts w:ascii="宋体" w:hAnsi="宋体" w:cs="宋体"/>
                <w:color w:val="auto"/>
                <w:highlight w:val="none"/>
              </w:rPr>
            </w:pPr>
            <w:r>
              <w:rPr>
                <w:rFonts w:hint="eastAsia" w:ascii="宋体" w:hAnsi="宋体" w:cs="宋体"/>
                <w:color w:val="auto"/>
                <w:highlight w:val="none"/>
              </w:rPr>
              <w:t>3</w:t>
            </w:r>
          </w:p>
        </w:tc>
        <w:tc>
          <w:tcPr>
            <w:tcW w:w="1383" w:type="dxa"/>
            <w:tcBorders>
              <w:top w:val="single" w:color="auto" w:sz="6" w:space="0"/>
              <w:left w:val="single" w:color="auto" w:sz="6" w:space="0"/>
              <w:bottom w:val="single" w:color="auto" w:sz="6" w:space="0"/>
              <w:right w:val="single" w:color="auto" w:sz="6" w:space="0"/>
            </w:tcBorders>
            <w:vAlign w:val="center"/>
          </w:tcPr>
          <w:p w14:paraId="6F950339">
            <w:pPr>
              <w:autoSpaceDE w:val="0"/>
              <w:autoSpaceDN w:val="0"/>
              <w:adjustRightInd w:val="0"/>
              <w:snapToGrid w:val="0"/>
              <w:spacing w:line="360" w:lineRule="auto"/>
              <w:jc w:val="center"/>
              <w:rPr>
                <w:rFonts w:ascii="宋体" w:hAnsi="宋体"/>
                <w:color w:val="auto"/>
                <w:kern w:val="0"/>
                <w:szCs w:val="21"/>
                <w:highlight w:val="none"/>
              </w:rPr>
            </w:pPr>
          </w:p>
        </w:tc>
        <w:tc>
          <w:tcPr>
            <w:tcW w:w="2126" w:type="dxa"/>
            <w:tcBorders>
              <w:top w:val="single" w:color="auto" w:sz="6" w:space="0"/>
              <w:left w:val="single" w:color="auto" w:sz="6" w:space="0"/>
              <w:bottom w:val="single" w:color="auto" w:sz="6" w:space="0"/>
              <w:right w:val="single" w:color="auto" w:sz="4" w:space="0"/>
            </w:tcBorders>
          </w:tcPr>
          <w:p w14:paraId="5972EEE5">
            <w:pPr>
              <w:autoSpaceDE w:val="0"/>
              <w:autoSpaceDN w:val="0"/>
              <w:adjustRightInd w:val="0"/>
              <w:snapToGrid w:val="0"/>
              <w:spacing w:line="360" w:lineRule="auto"/>
              <w:jc w:val="left"/>
              <w:rPr>
                <w:rFonts w:ascii="宋体" w:hAnsi="宋体"/>
                <w:color w:val="auto"/>
                <w:kern w:val="0"/>
                <w:szCs w:val="21"/>
                <w:highlight w:val="none"/>
              </w:rPr>
            </w:pPr>
          </w:p>
        </w:tc>
        <w:tc>
          <w:tcPr>
            <w:tcW w:w="1200" w:type="dxa"/>
            <w:tcBorders>
              <w:top w:val="single" w:color="auto" w:sz="6" w:space="0"/>
              <w:left w:val="single" w:color="auto" w:sz="4" w:space="0"/>
              <w:bottom w:val="single" w:color="auto" w:sz="6" w:space="0"/>
              <w:right w:val="single" w:color="auto" w:sz="6" w:space="0"/>
            </w:tcBorders>
          </w:tcPr>
          <w:p w14:paraId="4626DA33">
            <w:pPr>
              <w:autoSpaceDE w:val="0"/>
              <w:autoSpaceDN w:val="0"/>
              <w:adjustRightInd w:val="0"/>
              <w:snapToGrid w:val="0"/>
              <w:spacing w:line="360" w:lineRule="auto"/>
              <w:jc w:val="left"/>
              <w:rPr>
                <w:rFonts w:ascii="宋体" w:hAnsi="宋体"/>
                <w:color w:val="auto"/>
                <w:kern w:val="0"/>
                <w:szCs w:val="21"/>
                <w:highlight w:val="none"/>
              </w:rPr>
            </w:pPr>
          </w:p>
        </w:tc>
        <w:tc>
          <w:tcPr>
            <w:tcW w:w="1092" w:type="dxa"/>
            <w:tcBorders>
              <w:top w:val="single" w:color="auto" w:sz="6" w:space="0"/>
              <w:left w:val="single" w:color="auto" w:sz="6" w:space="0"/>
              <w:bottom w:val="single" w:color="auto" w:sz="6" w:space="0"/>
              <w:right w:val="single" w:color="auto" w:sz="4" w:space="0"/>
            </w:tcBorders>
          </w:tcPr>
          <w:p w14:paraId="36CDAC66">
            <w:pPr>
              <w:autoSpaceDE w:val="0"/>
              <w:autoSpaceDN w:val="0"/>
              <w:adjustRightInd w:val="0"/>
              <w:snapToGrid w:val="0"/>
              <w:spacing w:line="360" w:lineRule="auto"/>
              <w:jc w:val="left"/>
              <w:rPr>
                <w:rFonts w:ascii="宋体" w:hAnsi="宋体"/>
                <w:color w:val="auto"/>
                <w:kern w:val="0"/>
                <w:szCs w:val="21"/>
                <w:highlight w:val="none"/>
              </w:rPr>
            </w:pPr>
          </w:p>
        </w:tc>
        <w:tc>
          <w:tcPr>
            <w:tcW w:w="910" w:type="dxa"/>
            <w:tcBorders>
              <w:top w:val="single" w:color="auto" w:sz="6" w:space="0"/>
              <w:left w:val="single" w:color="auto" w:sz="6" w:space="0"/>
              <w:bottom w:val="single" w:color="auto" w:sz="6" w:space="0"/>
              <w:right w:val="single" w:color="auto" w:sz="6" w:space="0"/>
            </w:tcBorders>
          </w:tcPr>
          <w:p w14:paraId="78E59365">
            <w:pPr>
              <w:autoSpaceDE w:val="0"/>
              <w:autoSpaceDN w:val="0"/>
              <w:adjustRightInd w:val="0"/>
              <w:snapToGrid w:val="0"/>
              <w:spacing w:line="360" w:lineRule="auto"/>
              <w:jc w:val="left"/>
              <w:rPr>
                <w:rFonts w:ascii="宋体" w:hAnsi="宋体"/>
                <w:color w:val="auto"/>
                <w:kern w:val="0"/>
                <w:szCs w:val="21"/>
                <w:highlight w:val="none"/>
              </w:rPr>
            </w:pPr>
          </w:p>
        </w:tc>
        <w:tc>
          <w:tcPr>
            <w:tcW w:w="916" w:type="dxa"/>
            <w:tcBorders>
              <w:top w:val="single" w:color="auto" w:sz="6" w:space="0"/>
              <w:left w:val="single" w:color="auto" w:sz="6" w:space="0"/>
              <w:bottom w:val="single" w:color="auto" w:sz="6" w:space="0"/>
              <w:right w:val="single" w:color="auto" w:sz="6" w:space="0"/>
            </w:tcBorders>
          </w:tcPr>
          <w:p w14:paraId="67087B81">
            <w:pPr>
              <w:autoSpaceDE w:val="0"/>
              <w:autoSpaceDN w:val="0"/>
              <w:adjustRightInd w:val="0"/>
              <w:snapToGrid w:val="0"/>
              <w:spacing w:line="360" w:lineRule="auto"/>
              <w:jc w:val="left"/>
              <w:rPr>
                <w:rFonts w:ascii="宋体" w:hAnsi="宋体"/>
                <w:color w:val="auto"/>
                <w:kern w:val="0"/>
                <w:szCs w:val="21"/>
                <w:highlight w:val="none"/>
              </w:rPr>
            </w:pPr>
          </w:p>
        </w:tc>
        <w:tc>
          <w:tcPr>
            <w:tcW w:w="914" w:type="dxa"/>
            <w:tcBorders>
              <w:top w:val="single" w:color="auto" w:sz="6" w:space="0"/>
              <w:left w:val="single" w:color="auto" w:sz="6" w:space="0"/>
              <w:bottom w:val="single" w:color="auto" w:sz="6" w:space="0"/>
              <w:right w:val="double" w:color="auto" w:sz="4" w:space="0"/>
            </w:tcBorders>
          </w:tcPr>
          <w:p w14:paraId="4AA52852">
            <w:pPr>
              <w:autoSpaceDE w:val="0"/>
              <w:autoSpaceDN w:val="0"/>
              <w:adjustRightInd w:val="0"/>
              <w:snapToGrid w:val="0"/>
              <w:spacing w:line="360" w:lineRule="auto"/>
              <w:jc w:val="left"/>
              <w:rPr>
                <w:rFonts w:ascii="宋体" w:hAnsi="宋体"/>
                <w:color w:val="auto"/>
                <w:kern w:val="0"/>
                <w:szCs w:val="21"/>
                <w:highlight w:val="none"/>
              </w:rPr>
            </w:pPr>
          </w:p>
        </w:tc>
      </w:tr>
      <w:tr w14:paraId="5C51B56F">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459999B0">
            <w:pPr>
              <w:jc w:val="center"/>
              <w:rPr>
                <w:rFonts w:ascii="宋体" w:hAnsi="宋体" w:cs="宋体"/>
                <w:color w:val="auto"/>
                <w:highlight w:val="none"/>
              </w:rPr>
            </w:pPr>
            <w:r>
              <w:rPr>
                <w:rFonts w:hint="eastAsia" w:ascii="宋体" w:hAnsi="宋体" w:cs="宋体"/>
                <w:color w:val="auto"/>
                <w:highlight w:val="none"/>
              </w:rPr>
              <w:t>4</w:t>
            </w:r>
          </w:p>
        </w:tc>
        <w:tc>
          <w:tcPr>
            <w:tcW w:w="1383" w:type="dxa"/>
            <w:tcBorders>
              <w:top w:val="single" w:color="auto" w:sz="6" w:space="0"/>
              <w:left w:val="single" w:color="auto" w:sz="6" w:space="0"/>
              <w:bottom w:val="single" w:color="auto" w:sz="6" w:space="0"/>
              <w:right w:val="single" w:color="auto" w:sz="6" w:space="0"/>
            </w:tcBorders>
            <w:vAlign w:val="center"/>
          </w:tcPr>
          <w:p w14:paraId="5975E264">
            <w:pPr>
              <w:autoSpaceDE w:val="0"/>
              <w:autoSpaceDN w:val="0"/>
              <w:adjustRightInd w:val="0"/>
              <w:snapToGrid w:val="0"/>
              <w:spacing w:line="360" w:lineRule="auto"/>
              <w:jc w:val="center"/>
              <w:rPr>
                <w:rFonts w:ascii="宋体" w:hAnsi="宋体"/>
                <w:color w:val="auto"/>
                <w:kern w:val="0"/>
                <w:szCs w:val="21"/>
                <w:highlight w:val="none"/>
              </w:rPr>
            </w:pPr>
          </w:p>
        </w:tc>
        <w:tc>
          <w:tcPr>
            <w:tcW w:w="2126" w:type="dxa"/>
            <w:tcBorders>
              <w:top w:val="single" w:color="auto" w:sz="6" w:space="0"/>
              <w:left w:val="single" w:color="auto" w:sz="6" w:space="0"/>
              <w:bottom w:val="single" w:color="auto" w:sz="6" w:space="0"/>
              <w:right w:val="single" w:color="auto" w:sz="4" w:space="0"/>
            </w:tcBorders>
          </w:tcPr>
          <w:p w14:paraId="154DD72C">
            <w:pPr>
              <w:autoSpaceDE w:val="0"/>
              <w:autoSpaceDN w:val="0"/>
              <w:adjustRightInd w:val="0"/>
              <w:snapToGrid w:val="0"/>
              <w:spacing w:line="360" w:lineRule="auto"/>
              <w:jc w:val="left"/>
              <w:rPr>
                <w:rFonts w:ascii="宋体" w:hAnsi="宋体"/>
                <w:color w:val="auto"/>
                <w:kern w:val="0"/>
                <w:szCs w:val="21"/>
                <w:highlight w:val="none"/>
              </w:rPr>
            </w:pPr>
          </w:p>
        </w:tc>
        <w:tc>
          <w:tcPr>
            <w:tcW w:w="1200" w:type="dxa"/>
            <w:tcBorders>
              <w:top w:val="single" w:color="auto" w:sz="6" w:space="0"/>
              <w:left w:val="single" w:color="auto" w:sz="4" w:space="0"/>
              <w:bottom w:val="single" w:color="auto" w:sz="6" w:space="0"/>
              <w:right w:val="single" w:color="auto" w:sz="6" w:space="0"/>
            </w:tcBorders>
          </w:tcPr>
          <w:p w14:paraId="29B543E2">
            <w:pPr>
              <w:autoSpaceDE w:val="0"/>
              <w:autoSpaceDN w:val="0"/>
              <w:adjustRightInd w:val="0"/>
              <w:snapToGrid w:val="0"/>
              <w:spacing w:line="360" w:lineRule="auto"/>
              <w:jc w:val="left"/>
              <w:rPr>
                <w:rFonts w:ascii="宋体" w:hAnsi="宋体"/>
                <w:color w:val="auto"/>
                <w:kern w:val="0"/>
                <w:szCs w:val="21"/>
                <w:highlight w:val="none"/>
              </w:rPr>
            </w:pPr>
          </w:p>
        </w:tc>
        <w:tc>
          <w:tcPr>
            <w:tcW w:w="1092" w:type="dxa"/>
            <w:tcBorders>
              <w:top w:val="single" w:color="auto" w:sz="6" w:space="0"/>
              <w:left w:val="single" w:color="auto" w:sz="6" w:space="0"/>
              <w:bottom w:val="single" w:color="auto" w:sz="6" w:space="0"/>
              <w:right w:val="single" w:color="auto" w:sz="4" w:space="0"/>
            </w:tcBorders>
          </w:tcPr>
          <w:p w14:paraId="3C1AA392">
            <w:pPr>
              <w:autoSpaceDE w:val="0"/>
              <w:autoSpaceDN w:val="0"/>
              <w:adjustRightInd w:val="0"/>
              <w:snapToGrid w:val="0"/>
              <w:spacing w:line="360" w:lineRule="auto"/>
              <w:jc w:val="left"/>
              <w:rPr>
                <w:rFonts w:ascii="宋体" w:hAnsi="宋体"/>
                <w:color w:val="auto"/>
                <w:kern w:val="0"/>
                <w:szCs w:val="21"/>
                <w:highlight w:val="none"/>
              </w:rPr>
            </w:pPr>
          </w:p>
        </w:tc>
        <w:tc>
          <w:tcPr>
            <w:tcW w:w="910" w:type="dxa"/>
            <w:tcBorders>
              <w:top w:val="single" w:color="auto" w:sz="6" w:space="0"/>
              <w:left w:val="single" w:color="auto" w:sz="4" w:space="0"/>
              <w:bottom w:val="single" w:color="auto" w:sz="6" w:space="0"/>
              <w:right w:val="single" w:color="auto" w:sz="6" w:space="0"/>
            </w:tcBorders>
          </w:tcPr>
          <w:p w14:paraId="5551022F">
            <w:pPr>
              <w:autoSpaceDE w:val="0"/>
              <w:autoSpaceDN w:val="0"/>
              <w:adjustRightInd w:val="0"/>
              <w:snapToGrid w:val="0"/>
              <w:spacing w:line="360" w:lineRule="auto"/>
              <w:jc w:val="left"/>
              <w:rPr>
                <w:rFonts w:ascii="宋体" w:hAnsi="宋体"/>
                <w:color w:val="auto"/>
                <w:kern w:val="0"/>
                <w:szCs w:val="21"/>
                <w:highlight w:val="none"/>
              </w:rPr>
            </w:pPr>
          </w:p>
        </w:tc>
        <w:tc>
          <w:tcPr>
            <w:tcW w:w="916" w:type="dxa"/>
            <w:tcBorders>
              <w:top w:val="single" w:color="auto" w:sz="6" w:space="0"/>
              <w:left w:val="single" w:color="auto" w:sz="6" w:space="0"/>
              <w:bottom w:val="single" w:color="auto" w:sz="6" w:space="0"/>
              <w:right w:val="single" w:color="auto" w:sz="6" w:space="0"/>
            </w:tcBorders>
          </w:tcPr>
          <w:p w14:paraId="5DAA7B64">
            <w:pPr>
              <w:autoSpaceDE w:val="0"/>
              <w:autoSpaceDN w:val="0"/>
              <w:adjustRightInd w:val="0"/>
              <w:snapToGrid w:val="0"/>
              <w:spacing w:line="360" w:lineRule="auto"/>
              <w:jc w:val="left"/>
              <w:rPr>
                <w:rFonts w:ascii="宋体" w:hAnsi="宋体"/>
                <w:color w:val="auto"/>
                <w:kern w:val="0"/>
                <w:szCs w:val="21"/>
                <w:highlight w:val="none"/>
              </w:rPr>
            </w:pPr>
          </w:p>
        </w:tc>
        <w:tc>
          <w:tcPr>
            <w:tcW w:w="914" w:type="dxa"/>
            <w:tcBorders>
              <w:top w:val="single" w:color="auto" w:sz="6" w:space="0"/>
              <w:left w:val="single" w:color="auto" w:sz="6" w:space="0"/>
              <w:bottom w:val="single" w:color="auto" w:sz="6" w:space="0"/>
              <w:right w:val="double" w:color="auto" w:sz="4" w:space="0"/>
            </w:tcBorders>
          </w:tcPr>
          <w:p w14:paraId="1B6A1A00">
            <w:pPr>
              <w:autoSpaceDE w:val="0"/>
              <w:autoSpaceDN w:val="0"/>
              <w:adjustRightInd w:val="0"/>
              <w:snapToGrid w:val="0"/>
              <w:spacing w:line="360" w:lineRule="auto"/>
              <w:jc w:val="left"/>
              <w:rPr>
                <w:rFonts w:ascii="宋体" w:hAnsi="宋体"/>
                <w:color w:val="auto"/>
                <w:kern w:val="0"/>
                <w:szCs w:val="21"/>
                <w:highlight w:val="none"/>
              </w:rPr>
            </w:pPr>
          </w:p>
        </w:tc>
      </w:tr>
      <w:tr w14:paraId="1D084E64">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66CDC089">
            <w:pPr>
              <w:jc w:val="center"/>
              <w:rPr>
                <w:rFonts w:ascii="宋体" w:hAnsi="宋体" w:cs="宋体"/>
                <w:color w:val="auto"/>
                <w:highlight w:val="none"/>
              </w:rPr>
            </w:pPr>
            <w:r>
              <w:rPr>
                <w:rFonts w:hint="eastAsia" w:ascii="宋体" w:hAnsi="宋体" w:cs="宋体"/>
                <w:color w:val="auto"/>
                <w:highlight w:val="none"/>
              </w:rPr>
              <w:t>5</w:t>
            </w:r>
          </w:p>
        </w:tc>
        <w:tc>
          <w:tcPr>
            <w:tcW w:w="1383" w:type="dxa"/>
            <w:tcBorders>
              <w:top w:val="single" w:color="auto" w:sz="6" w:space="0"/>
              <w:left w:val="single" w:color="auto" w:sz="6" w:space="0"/>
              <w:bottom w:val="single" w:color="auto" w:sz="6" w:space="0"/>
              <w:right w:val="single" w:color="auto" w:sz="6" w:space="0"/>
            </w:tcBorders>
            <w:vAlign w:val="center"/>
          </w:tcPr>
          <w:p w14:paraId="0928DB5B">
            <w:pPr>
              <w:autoSpaceDE w:val="0"/>
              <w:autoSpaceDN w:val="0"/>
              <w:adjustRightInd w:val="0"/>
              <w:snapToGrid w:val="0"/>
              <w:spacing w:line="360" w:lineRule="auto"/>
              <w:jc w:val="center"/>
              <w:rPr>
                <w:rFonts w:ascii="宋体" w:hAnsi="宋体"/>
                <w:color w:val="auto"/>
                <w:kern w:val="0"/>
                <w:szCs w:val="21"/>
                <w:highlight w:val="none"/>
              </w:rPr>
            </w:pPr>
          </w:p>
        </w:tc>
        <w:tc>
          <w:tcPr>
            <w:tcW w:w="2126" w:type="dxa"/>
            <w:tcBorders>
              <w:top w:val="single" w:color="auto" w:sz="6" w:space="0"/>
              <w:left w:val="single" w:color="auto" w:sz="6" w:space="0"/>
              <w:bottom w:val="single" w:color="auto" w:sz="6" w:space="0"/>
              <w:right w:val="single" w:color="auto" w:sz="4" w:space="0"/>
            </w:tcBorders>
          </w:tcPr>
          <w:p w14:paraId="36331135">
            <w:pPr>
              <w:autoSpaceDE w:val="0"/>
              <w:autoSpaceDN w:val="0"/>
              <w:adjustRightInd w:val="0"/>
              <w:snapToGrid w:val="0"/>
              <w:spacing w:line="360" w:lineRule="auto"/>
              <w:jc w:val="left"/>
              <w:rPr>
                <w:rFonts w:ascii="宋体" w:hAnsi="宋体"/>
                <w:color w:val="auto"/>
                <w:kern w:val="0"/>
                <w:szCs w:val="21"/>
                <w:highlight w:val="none"/>
              </w:rPr>
            </w:pPr>
          </w:p>
        </w:tc>
        <w:tc>
          <w:tcPr>
            <w:tcW w:w="1200" w:type="dxa"/>
            <w:tcBorders>
              <w:top w:val="single" w:color="auto" w:sz="6" w:space="0"/>
              <w:left w:val="single" w:color="auto" w:sz="4" w:space="0"/>
              <w:bottom w:val="single" w:color="auto" w:sz="6" w:space="0"/>
              <w:right w:val="single" w:color="auto" w:sz="6" w:space="0"/>
            </w:tcBorders>
          </w:tcPr>
          <w:p w14:paraId="70EF4495">
            <w:pPr>
              <w:autoSpaceDE w:val="0"/>
              <w:autoSpaceDN w:val="0"/>
              <w:adjustRightInd w:val="0"/>
              <w:snapToGrid w:val="0"/>
              <w:spacing w:line="360" w:lineRule="auto"/>
              <w:jc w:val="left"/>
              <w:rPr>
                <w:rFonts w:ascii="宋体" w:hAnsi="宋体"/>
                <w:color w:val="auto"/>
                <w:kern w:val="0"/>
                <w:szCs w:val="21"/>
                <w:highlight w:val="none"/>
              </w:rPr>
            </w:pPr>
          </w:p>
        </w:tc>
        <w:tc>
          <w:tcPr>
            <w:tcW w:w="1092" w:type="dxa"/>
            <w:tcBorders>
              <w:top w:val="single" w:color="auto" w:sz="6" w:space="0"/>
              <w:left w:val="single" w:color="auto" w:sz="6" w:space="0"/>
              <w:bottom w:val="single" w:color="auto" w:sz="6" w:space="0"/>
              <w:right w:val="single" w:color="auto" w:sz="4" w:space="0"/>
            </w:tcBorders>
          </w:tcPr>
          <w:p w14:paraId="41BE3FA7">
            <w:pPr>
              <w:autoSpaceDE w:val="0"/>
              <w:autoSpaceDN w:val="0"/>
              <w:adjustRightInd w:val="0"/>
              <w:snapToGrid w:val="0"/>
              <w:spacing w:line="360" w:lineRule="auto"/>
              <w:jc w:val="left"/>
              <w:rPr>
                <w:rFonts w:ascii="宋体" w:hAnsi="宋体"/>
                <w:color w:val="auto"/>
                <w:kern w:val="0"/>
                <w:szCs w:val="21"/>
                <w:highlight w:val="none"/>
              </w:rPr>
            </w:pPr>
          </w:p>
        </w:tc>
        <w:tc>
          <w:tcPr>
            <w:tcW w:w="910" w:type="dxa"/>
            <w:tcBorders>
              <w:top w:val="single" w:color="auto" w:sz="6" w:space="0"/>
              <w:left w:val="single" w:color="auto" w:sz="4" w:space="0"/>
              <w:bottom w:val="single" w:color="auto" w:sz="6" w:space="0"/>
              <w:right w:val="single" w:color="auto" w:sz="6" w:space="0"/>
            </w:tcBorders>
          </w:tcPr>
          <w:p w14:paraId="1C128E2E">
            <w:pPr>
              <w:autoSpaceDE w:val="0"/>
              <w:autoSpaceDN w:val="0"/>
              <w:adjustRightInd w:val="0"/>
              <w:snapToGrid w:val="0"/>
              <w:spacing w:line="360" w:lineRule="auto"/>
              <w:jc w:val="left"/>
              <w:rPr>
                <w:rFonts w:ascii="宋体" w:hAnsi="宋体"/>
                <w:color w:val="auto"/>
                <w:kern w:val="0"/>
                <w:szCs w:val="21"/>
                <w:highlight w:val="none"/>
              </w:rPr>
            </w:pPr>
          </w:p>
        </w:tc>
        <w:tc>
          <w:tcPr>
            <w:tcW w:w="916" w:type="dxa"/>
            <w:tcBorders>
              <w:top w:val="single" w:color="auto" w:sz="6" w:space="0"/>
              <w:left w:val="single" w:color="auto" w:sz="6" w:space="0"/>
              <w:bottom w:val="single" w:color="auto" w:sz="6" w:space="0"/>
              <w:right w:val="single" w:color="auto" w:sz="6" w:space="0"/>
            </w:tcBorders>
          </w:tcPr>
          <w:p w14:paraId="64ACDFEF">
            <w:pPr>
              <w:autoSpaceDE w:val="0"/>
              <w:autoSpaceDN w:val="0"/>
              <w:adjustRightInd w:val="0"/>
              <w:snapToGrid w:val="0"/>
              <w:spacing w:line="360" w:lineRule="auto"/>
              <w:jc w:val="left"/>
              <w:rPr>
                <w:rFonts w:ascii="宋体" w:hAnsi="宋体"/>
                <w:color w:val="auto"/>
                <w:kern w:val="0"/>
                <w:szCs w:val="21"/>
                <w:highlight w:val="none"/>
              </w:rPr>
            </w:pPr>
          </w:p>
        </w:tc>
        <w:tc>
          <w:tcPr>
            <w:tcW w:w="914" w:type="dxa"/>
            <w:tcBorders>
              <w:top w:val="single" w:color="auto" w:sz="6" w:space="0"/>
              <w:left w:val="single" w:color="auto" w:sz="6" w:space="0"/>
              <w:bottom w:val="single" w:color="auto" w:sz="6" w:space="0"/>
              <w:right w:val="double" w:color="auto" w:sz="4" w:space="0"/>
            </w:tcBorders>
          </w:tcPr>
          <w:p w14:paraId="683D8FAC">
            <w:pPr>
              <w:autoSpaceDE w:val="0"/>
              <w:autoSpaceDN w:val="0"/>
              <w:adjustRightInd w:val="0"/>
              <w:snapToGrid w:val="0"/>
              <w:spacing w:line="360" w:lineRule="auto"/>
              <w:jc w:val="left"/>
              <w:rPr>
                <w:rFonts w:ascii="宋体" w:hAnsi="宋体"/>
                <w:color w:val="auto"/>
                <w:kern w:val="0"/>
                <w:szCs w:val="21"/>
                <w:highlight w:val="none"/>
              </w:rPr>
            </w:pPr>
          </w:p>
        </w:tc>
      </w:tr>
      <w:tr w14:paraId="4FFE55E8">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11063093">
            <w:pPr>
              <w:jc w:val="center"/>
              <w:rPr>
                <w:color w:val="auto"/>
                <w:highlight w:val="none"/>
              </w:rPr>
            </w:pPr>
            <w:r>
              <w:rPr>
                <w:color w:val="auto"/>
                <w:highlight w:val="none"/>
              </w:rPr>
              <w:t>…</w:t>
            </w:r>
          </w:p>
        </w:tc>
        <w:tc>
          <w:tcPr>
            <w:tcW w:w="1383" w:type="dxa"/>
            <w:tcBorders>
              <w:top w:val="single" w:color="auto" w:sz="6" w:space="0"/>
              <w:left w:val="single" w:color="auto" w:sz="6" w:space="0"/>
              <w:bottom w:val="single" w:color="auto" w:sz="6" w:space="0"/>
              <w:right w:val="single" w:color="auto" w:sz="6" w:space="0"/>
            </w:tcBorders>
          </w:tcPr>
          <w:p w14:paraId="6FDA4BB3">
            <w:pPr>
              <w:autoSpaceDE w:val="0"/>
              <w:autoSpaceDN w:val="0"/>
              <w:adjustRightInd w:val="0"/>
              <w:snapToGrid w:val="0"/>
              <w:spacing w:line="360" w:lineRule="auto"/>
              <w:ind w:left="527" w:right="507"/>
              <w:jc w:val="center"/>
              <w:rPr>
                <w:rFonts w:ascii="宋体" w:hAnsi="宋体"/>
                <w:color w:val="auto"/>
                <w:kern w:val="0"/>
                <w:szCs w:val="21"/>
                <w:highlight w:val="none"/>
              </w:rPr>
            </w:pPr>
          </w:p>
        </w:tc>
        <w:tc>
          <w:tcPr>
            <w:tcW w:w="2126" w:type="dxa"/>
            <w:tcBorders>
              <w:top w:val="single" w:color="auto" w:sz="6" w:space="0"/>
              <w:left w:val="single" w:color="auto" w:sz="6" w:space="0"/>
              <w:bottom w:val="single" w:color="auto" w:sz="6" w:space="0"/>
              <w:right w:val="single" w:color="auto" w:sz="4" w:space="0"/>
            </w:tcBorders>
          </w:tcPr>
          <w:p w14:paraId="16388CF6">
            <w:pPr>
              <w:autoSpaceDE w:val="0"/>
              <w:autoSpaceDN w:val="0"/>
              <w:adjustRightInd w:val="0"/>
              <w:snapToGrid w:val="0"/>
              <w:spacing w:line="360" w:lineRule="auto"/>
              <w:jc w:val="left"/>
              <w:rPr>
                <w:rFonts w:ascii="宋体" w:hAnsi="宋体"/>
                <w:color w:val="auto"/>
                <w:kern w:val="0"/>
                <w:szCs w:val="21"/>
                <w:highlight w:val="none"/>
              </w:rPr>
            </w:pPr>
          </w:p>
        </w:tc>
        <w:tc>
          <w:tcPr>
            <w:tcW w:w="1200" w:type="dxa"/>
            <w:tcBorders>
              <w:top w:val="single" w:color="auto" w:sz="6" w:space="0"/>
              <w:left w:val="single" w:color="auto" w:sz="4" w:space="0"/>
              <w:bottom w:val="single" w:color="auto" w:sz="6" w:space="0"/>
              <w:right w:val="single" w:color="auto" w:sz="6" w:space="0"/>
            </w:tcBorders>
          </w:tcPr>
          <w:p w14:paraId="1982A945">
            <w:pPr>
              <w:autoSpaceDE w:val="0"/>
              <w:autoSpaceDN w:val="0"/>
              <w:adjustRightInd w:val="0"/>
              <w:snapToGrid w:val="0"/>
              <w:spacing w:line="360" w:lineRule="auto"/>
              <w:jc w:val="left"/>
              <w:rPr>
                <w:rFonts w:ascii="宋体" w:hAnsi="宋体"/>
                <w:color w:val="auto"/>
                <w:kern w:val="0"/>
                <w:szCs w:val="21"/>
                <w:highlight w:val="none"/>
              </w:rPr>
            </w:pPr>
          </w:p>
        </w:tc>
        <w:tc>
          <w:tcPr>
            <w:tcW w:w="1092" w:type="dxa"/>
            <w:tcBorders>
              <w:top w:val="single" w:color="auto" w:sz="6" w:space="0"/>
              <w:left w:val="single" w:color="auto" w:sz="6" w:space="0"/>
              <w:bottom w:val="single" w:color="auto" w:sz="6" w:space="0"/>
              <w:right w:val="single" w:color="auto" w:sz="4" w:space="0"/>
            </w:tcBorders>
          </w:tcPr>
          <w:p w14:paraId="06606B0A">
            <w:pPr>
              <w:autoSpaceDE w:val="0"/>
              <w:autoSpaceDN w:val="0"/>
              <w:adjustRightInd w:val="0"/>
              <w:snapToGrid w:val="0"/>
              <w:spacing w:line="360" w:lineRule="auto"/>
              <w:jc w:val="left"/>
              <w:rPr>
                <w:rFonts w:ascii="宋体" w:hAnsi="宋体"/>
                <w:color w:val="auto"/>
                <w:kern w:val="0"/>
                <w:szCs w:val="21"/>
                <w:highlight w:val="none"/>
              </w:rPr>
            </w:pPr>
          </w:p>
        </w:tc>
        <w:tc>
          <w:tcPr>
            <w:tcW w:w="910" w:type="dxa"/>
            <w:tcBorders>
              <w:top w:val="single" w:color="auto" w:sz="6" w:space="0"/>
              <w:left w:val="single" w:color="auto" w:sz="4" w:space="0"/>
              <w:bottom w:val="single" w:color="auto" w:sz="6" w:space="0"/>
              <w:right w:val="single" w:color="auto" w:sz="6" w:space="0"/>
            </w:tcBorders>
          </w:tcPr>
          <w:p w14:paraId="2F738923">
            <w:pPr>
              <w:autoSpaceDE w:val="0"/>
              <w:autoSpaceDN w:val="0"/>
              <w:adjustRightInd w:val="0"/>
              <w:snapToGrid w:val="0"/>
              <w:spacing w:line="360" w:lineRule="auto"/>
              <w:jc w:val="left"/>
              <w:rPr>
                <w:rFonts w:ascii="宋体" w:hAnsi="宋体"/>
                <w:color w:val="auto"/>
                <w:kern w:val="0"/>
                <w:szCs w:val="21"/>
                <w:highlight w:val="none"/>
              </w:rPr>
            </w:pPr>
          </w:p>
        </w:tc>
        <w:tc>
          <w:tcPr>
            <w:tcW w:w="916" w:type="dxa"/>
            <w:tcBorders>
              <w:top w:val="single" w:color="auto" w:sz="6" w:space="0"/>
              <w:left w:val="single" w:color="auto" w:sz="6" w:space="0"/>
              <w:bottom w:val="single" w:color="auto" w:sz="6" w:space="0"/>
              <w:right w:val="single" w:color="auto" w:sz="6" w:space="0"/>
            </w:tcBorders>
          </w:tcPr>
          <w:p w14:paraId="48B4C7AF">
            <w:pPr>
              <w:autoSpaceDE w:val="0"/>
              <w:autoSpaceDN w:val="0"/>
              <w:adjustRightInd w:val="0"/>
              <w:snapToGrid w:val="0"/>
              <w:spacing w:line="360" w:lineRule="auto"/>
              <w:jc w:val="left"/>
              <w:rPr>
                <w:rFonts w:ascii="宋体" w:hAnsi="宋体"/>
                <w:color w:val="auto"/>
                <w:kern w:val="0"/>
                <w:szCs w:val="21"/>
                <w:highlight w:val="none"/>
              </w:rPr>
            </w:pPr>
          </w:p>
        </w:tc>
        <w:tc>
          <w:tcPr>
            <w:tcW w:w="914" w:type="dxa"/>
            <w:tcBorders>
              <w:top w:val="single" w:color="auto" w:sz="6" w:space="0"/>
              <w:left w:val="single" w:color="auto" w:sz="6" w:space="0"/>
              <w:bottom w:val="single" w:color="auto" w:sz="6" w:space="0"/>
              <w:right w:val="double" w:color="auto" w:sz="4" w:space="0"/>
            </w:tcBorders>
          </w:tcPr>
          <w:p w14:paraId="54B3E70C">
            <w:pPr>
              <w:autoSpaceDE w:val="0"/>
              <w:autoSpaceDN w:val="0"/>
              <w:adjustRightInd w:val="0"/>
              <w:snapToGrid w:val="0"/>
              <w:spacing w:line="360" w:lineRule="auto"/>
              <w:jc w:val="left"/>
              <w:rPr>
                <w:rFonts w:ascii="宋体" w:hAnsi="宋体"/>
                <w:color w:val="auto"/>
                <w:kern w:val="0"/>
                <w:szCs w:val="21"/>
                <w:highlight w:val="none"/>
              </w:rPr>
            </w:pPr>
          </w:p>
        </w:tc>
      </w:tr>
      <w:tr w14:paraId="19EC440E">
        <w:tblPrEx>
          <w:tblCellMar>
            <w:top w:w="0" w:type="dxa"/>
            <w:left w:w="0" w:type="dxa"/>
            <w:bottom w:w="0" w:type="dxa"/>
            <w:right w:w="0" w:type="dxa"/>
          </w:tblCellMar>
        </w:tblPrEx>
        <w:trPr>
          <w:trHeight w:val="415" w:hRule="exact"/>
        </w:trPr>
        <w:tc>
          <w:tcPr>
            <w:tcW w:w="7044" w:type="dxa"/>
            <w:gridSpan w:val="6"/>
            <w:tcBorders>
              <w:top w:val="single" w:color="auto" w:sz="6" w:space="0"/>
              <w:left w:val="double" w:color="auto" w:sz="4" w:space="0"/>
              <w:bottom w:val="double" w:color="auto" w:sz="4" w:space="0"/>
              <w:right w:val="single" w:color="auto" w:sz="6" w:space="0"/>
            </w:tcBorders>
            <w:vAlign w:val="center"/>
          </w:tcPr>
          <w:p w14:paraId="2B933408">
            <w:pPr>
              <w:autoSpaceDE w:val="0"/>
              <w:autoSpaceDN w:val="0"/>
              <w:adjustRightInd w:val="0"/>
              <w:snapToGrid w:val="0"/>
              <w:spacing w:line="360" w:lineRule="auto"/>
              <w:jc w:val="center"/>
              <w:rPr>
                <w:rFonts w:ascii="宋体" w:hAnsi="宋体"/>
                <w:color w:val="auto"/>
                <w:kern w:val="0"/>
                <w:szCs w:val="21"/>
                <w:highlight w:val="none"/>
              </w:rPr>
            </w:pPr>
            <w:r>
              <w:rPr>
                <w:rFonts w:hint="eastAsia" w:ascii="宋体" w:hAnsi="宋体" w:cs="微软雅黑"/>
                <w:color w:val="auto"/>
                <w:kern w:val="0"/>
                <w:position w:val="-1"/>
                <w:szCs w:val="21"/>
                <w:highlight w:val="none"/>
              </w:rPr>
              <w:t>投标报价（元）：</w:t>
            </w:r>
          </w:p>
        </w:tc>
        <w:tc>
          <w:tcPr>
            <w:tcW w:w="916" w:type="dxa"/>
            <w:tcBorders>
              <w:top w:val="single" w:color="auto" w:sz="6" w:space="0"/>
              <w:left w:val="single" w:color="auto" w:sz="6" w:space="0"/>
              <w:bottom w:val="double" w:color="auto" w:sz="4" w:space="0"/>
              <w:right w:val="single" w:color="auto" w:sz="6" w:space="0"/>
            </w:tcBorders>
          </w:tcPr>
          <w:p w14:paraId="716B80B1">
            <w:pPr>
              <w:autoSpaceDE w:val="0"/>
              <w:autoSpaceDN w:val="0"/>
              <w:adjustRightInd w:val="0"/>
              <w:snapToGrid w:val="0"/>
              <w:spacing w:line="360" w:lineRule="auto"/>
              <w:jc w:val="left"/>
              <w:rPr>
                <w:rFonts w:ascii="宋体" w:hAnsi="宋体"/>
                <w:color w:val="auto"/>
                <w:kern w:val="0"/>
                <w:szCs w:val="21"/>
                <w:highlight w:val="none"/>
              </w:rPr>
            </w:pPr>
          </w:p>
        </w:tc>
        <w:tc>
          <w:tcPr>
            <w:tcW w:w="914" w:type="dxa"/>
            <w:tcBorders>
              <w:top w:val="single" w:color="auto" w:sz="6" w:space="0"/>
              <w:left w:val="single" w:color="auto" w:sz="6" w:space="0"/>
              <w:bottom w:val="double" w:color="auto" w:sz="4" w:space="0"/>
              <w:right w:val="double" w:color="auto" w:sz="4" w:space="0"/>
            </w:tcBorders>
          </w:tcPr>
          <w:p w14:paraId="4824BDCC">
            <w:pPr>
              <w:autoSpaceDE w:val="0"/>
              <w:autoSpaceDN w:val="0"/>
              <w:adjustRightInd w:val="0"/>
              <w:snapToGrid w:val="0"/>
              <w:spacing w:line="360" w:lineRule="auto"/>
              <w:jc w:val="left"/>
              <w:rPr>
                <w:rFonts w:ascii="宋体" w:hAnsi="宋体"/>
                <w:color w:val="auto"/>
                <w:kern w:val="0"/>
                <w:szCs w:val="21"/>
                <w:highlight w:val="none"/>
              </w:rPr>
            </w:pPr>
          </w:p>
        </w:tc>
      </w:tr>
    </w:tbl>
    <w:p w14:paraId="168BC731">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注：1.</w:t>
      </w:r>
      <w:r>
        <w:rPr>
          <w:rFonts w:hint="eastAsia" w:ascii="宋体" w:hAnsi="宋体"/>
          <w:b/>
          <w:color w:val="auto"/>
          <w:szCs w:val="21"/>
          <w:highlight w:val="none"/>
        </w:rPr>
        <w:t>本表应对应</w:t>
      </w:r>
      <w:r>
        <w:rPr>
          <w:rFonts w:hint="eastAsia" w:ascii="宋体" w:hAnsi="宋体"/>
          <w:color w:val="auto"/>
          <w:szCs w:val="21"/>
          <w:highlight w:val="none"/>
        </w:rPr>
        <w:t>“</w:t>
      </w:r>
      <w:r>
        <w:rPr>
          <w:rFonts w:hint="eastAsia" w:ascii="宋体" w:hAnsi="宋体"/>
          <w:b/>
          <w:color w:val="auto"/>
          <w:szCs w:val="21"/>
          <w:highlight w:val="none"/>
        </w:rPr>
        <w:t>开标一览表</w:t>
      </w:r>
      <w:r>
        <w:rPr>
          <w:rFonts w:hint="eastAsia" w:ascii="宋体" w:hAnsi="宋体"/>
          <w:color w:val="auto"/>
          <w:szCs w:val="21"/>
          <w:highlight w:val="none"/>
        </w:rPr>
        <w:t>”</w:t>
      </w:r>
      <w:r>
        <w:rPr>
          <w:rFonts w:hint="eastAsia" w:ascii="宋体" w:hAnsi="宋体"/>
          <w:b/>
          <w:color w:val="auto"/>
          <w:szCs w:val="21"/>
          <w:highlight w:val="none"/>
        </w:rPr>
        <w:t>，按包填写</w:t>
      </w:r>
      <w:r>
        <w:rPr>
          <w:rFonts w:hint="eastAsia" w:ascii="宋体" w:hAnsi="宋体"/>
          <w:color w:val="auto"/>
          <w:szCs w:val="21"/>
          <w:highlight w:val="none"/>
        </w:rPr>
        <w:t>。投标人如果不提供分项报价明细表，其</w:t>
      </w:r>
      <w:r>
        <w:rPr>
          <w:rFonts w:hint="eastAsia" w:ascii="宋体" w:hAnsi="宋体"/>
          <w:b/>
          <w:color w:val="auto"/>
          <w:szCs w:val="21"/>
          <w:highlight w:val="none"/>
        </w:rPr>
        <w:t>投标无效</w:t>
      </w:r>
      <w:r>
        <w:rPr>
          <w:rFonts w:hint="eastAsia" w:ascii="宋体" w:hAnsi="宋体"/>
          <w:color w:val="auto"/>
          <w:szCs w:val="21"/>
          <w:highlight w:val="none"/>
        </w:rPr>
        <w:t>。</w:t>
      </w:r>
    </w:p>
    <w:p w14:paraId="0170675B">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2.不得填写“免费”或“赠与”，也不得进行“零”报价，否则</w:t>
      </w:r>
      <w:r>
        <w:rPr>
          <w:rFonts w:hint="eastAsia" w:ascii="宋体" w:hAnsi="宋体"/>
          <w:b/>
          <w:color w:val="auto"/>
          <w:szCs w:val="21"/>
          <w:highlight w:val="none"/>
        </w:rPr>
        <w:t>投标无效</w:t>
      </w:r>
      <w:r>
        <w:rPr>
          <w:rFonts w:hint="eastAsia" w:ascii="宋体" w:hAnsi="宋体"/>
          <w:color w:val="auto"/>
          <w:szCs w:val="21"/>
          <w:highlight w:val="none"/>
        </w:rPr>
        <w:t>。</w:t>
      </w:r>
    </w:p>
    <w:p w14:paraId="349489DD">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3.如果开标一览表内容与本表内容不一致的，以开标一览表内容为准。</w:t>
      </w:r>
    </w:p>
    <w:p w14:paraId="123B08A9">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w:t>
      </w:r>
      <w:r>
        <w:rPr>
          <w:rFonts w:hint="eastAsia" w:ascii="宋体" w:hAnsi="宋体"/>
          <w:bCs/>
          <w:color w:val="auto"/>
          <w:szCs w:val="21"/>
          <w:highlight w:val="none"/>
        </w:rPr>
        <w:t>投标人在投标截止时间前修改“开标一览表”中的投标报价的，应按第二章第13.7款规定修改本表相应内容。否则，</w:t>
      </w:r>
      <w:r>
        <w:rPr>
          <w:rFonts w:hint="eastAsia" w:ascii="宋体" w:hAnsi="宋体"/>
          <w:color w:val="auto"/>
          <w:szCs w:val="21"/>
          <w:highlight w:val="none"/>
        </w:rPr>
        <w:t>本表相应内容按投标报价修改的相同比例进行调整。</w:t>
      </w:r>
    </w:p>
    <w:p w14:paraId="6C0D072C">
      <w:pPr>
        <w:adjustRightInd w:val="0"/>
        <w:snapToGrid w:val="0"/>
        <w:spacing w:line="360" w:lineRule="auto"/>
        <w:rPr>
          <w:rFonts w:ascii="宋体" w:hAnsi="宋体"/>
          <w:color w:val="auto"/>
          <w:szCs w:val="21"/>
          <w:highlight w:val="none"/>
        </w:rPr>
      </w:pPr>
    </w:p>
    <w:p w14:paraId="4967F8AE">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投标人名称（盖单位章）：</w:t>
      </w:r>
    </w:p>
    <w:p w14:paraId="6A8A7B14">
      <w:pPr>
        <w:adjustRightInd w:val="0"/>
        <w:snapToGrid w:val="0"/>
        <w:spacing w:line="360" w:lineRule="auto"/>
        <w:rPr>
          <w:rFonts w:ascii="宋体" w:hAnsi="宋体"/>
          <w:color w:val="auto"/>
          <w:szCs w:val="21"/>
          <w:highlight w:val="non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或其授权的代理人（签字或印章）：</w:t>
      </w:r>
      <w:r>
        <w:rPr>
          <w:rFonts w:hint="eastAsia" w:ascii="宋体" w:hAnsi="宋体"/>
          <w:color w:val="auto"/>
          <w:szCs w:val="21"/>
          <w:highlight w:val="none"/>
          <w:u w:val="single"/>
        </w:rPr>
        <w:t xml:space="preserve">       </w:t>
      </w:r>
    </w:p>
    <w:p w14:paraId="6A0EF6AE">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74426FAA">
      <w:pPr>
        <w:adjustRightInd w:val="0"/>
        <w:snapToGrid w:val="0"/>
        <w:spacing w:line="360" w:lineRule="auto"/>
        <w:rPr>
          <w:rFonts w:ascii="宋体" w:hAnsi="宋体"/>
          <w:color w:val="auto"/>
          <w:szCs w:val="21"/>
          <w:highlight w:val="none"/>
        </w:rPr>
        <w:sectPr>
          <w:headerReference r:id="rId8" w:type="first"/>
          <w:footerReference r:id="rId11" w:type="first"/>
          <w:headerReference r:id="rId6" w:type="default"/>
          <w:footerReference r:id="rId9" w:type="default"/>
          <w:headerReference r:id="rId7" w:type="even"/>
          <w:footerReference r:id="rId10" w:type="even"/>
          <w:pgSz w:w="11906" w:h="16838"/>
          <w:pgMar w:top="1474" w:right="1474" w:bottom="1474" w:left="1588" w:header="851" w:footer="992" w:gutter="0"/>
          <w:pgBorders>
            <w:top w:val="none" w:sz="0" w:space="0"/>
            <w:left w:val="none" w:sz="0" w:space="0"/>
            <w:bottom w:val="none" w:sz="0" w:space="0"/>
            <w:right w:val="none" w:sz="0" w:space="0"/>
          </w:pgBorders>
          <w:cols w:space="720" w:num="1"/>
          <w:docGrid w:type="lines" w:linePitch="312" w:charSpace="0"/>
        </w:sectPr>
      </w:pPr>
    </w:p>
    <w:p w14:paraId="4E6F6783">
      <w:pPr>
        <w:pStyle w:val="11"/>
        <w:adjustRightInd w:val="0"/>
        <w:snapToGrid w:val="0"/>
        <w:spacing w:before="0" w:after="0" w:line="360" w:lineRule="auto"/>
        <w:jc w:val="center"/>
        <w:rPr>
          <w:rFonts w:ascii="黑体" w:hAnsi="宋体" w:eastAsia="黑体"/>
          <w:color w:val="auto"/>
          <w:sz w:val="28"/>
          <w:szCs w:val="28"/>
          <w:highlight w:val="none"/>
        </w:rPr>
      </w:pPr>
      <w:bookmarkStart w:id="109" w:name="_Toc8451"/>
      <w:r>
        <w:rPr>
          <w:rFonts w:hint="eastAsia" w:ascii="黑体" w:hAnsi="宋体" w:eastAsia="黑体"/>
          <w:color w:val="auto"/>
          <w:sz w:val="28"/>
          <w:szCs w:val="28"/>
          <w:highlight w:val="none"/>
        </w:rPr>
        <w:t>七、采购需求响应</w:t>
      </w:r>
      <w:bookmarkEnd w:id="109"/>
    </w:p>
    <w:p w14:paraId="5A4F572D">
      <w:pPr>
        <w:adjustRightInd w:val="0"/>
        <w:snapToGrid w:val="0"/>
        <w:spacing w:line="360" w:lineRule="auto"/>
        <w:rPr>
          <w:rFonts w:ascii="宋体" w:hAnsi="宋体"/>
          <w:b/>
          <w:color w:val="auto"/>
          <w:szCs w:val="21"/>
          <w:highlight w:val="none"/>
        </w:rPr>
      </w:pPr>
    </w:p>
    <w:p w14:paraId="686AB644">
      <w:pPr>
        <w:adjustRightInd w:val="0"/>
        <w:snapToGrid w:val="0"/>
        <w:spacing w:line="360" w:lineRule="auto"/>
        <w:rPr>
          <w:b/>
          <w:color w:val="auto"/>
          <w:highlight w:val="none"/>
        </w:rPr>
      </w:pPr>
      <w:r>
        <w:rPr>
          <w:rFonts w:hint="eastAsia" w:ascii="宋体" w:hAnsi="宋体"/>
          <w:b/>
          <w:color w:val="auto"/>
          <w:szCs w:val="21"/>
          <w:highlight w:val="none"/>
        </w:rPr>
        <w:t>编制说明</w:t>
      </w:r>
      <w:r>
        <w:rPr>
          <w:rFonts w:hint="eastAsia" w:ascii="宋体" w:hAnsi="宋体"/>
          <w:bCs/>
          <w:color w:val="auto"/>
          <w:szCs w:val="21"/>
          <w:highlight w:val="none"/>
        </w:rPr>
        <w:t>：</w:t>
      </w:r>
      <w:r>
        <w:rPr>
          <w:rFonts w:hint="eastAsia"/>
          <w:b/>
          <w:color w:val="auto"/>
          <w:highlight w:val="none"/>
        </w:rPr>
        <w:t>投标人应按招标文件第五章采购需求自行编写采购需求响应文件（其内容可包括，且不限于详细的技术指标和性能、售后服务和技术服务的组织及保证措施等，格式自拟）。</w:t>
      </w:r>
    </w:p>
    <w:p w14:paraId="77036877">
      <w:pPr>
        <w:pStyle w:val="16"/>
        <w:adjustRightInd w:val="0"/>
        <w:snapToGrid w:val="0"/>
        <w:spacing w:line="360" w:lineRule="auto"/>
        <w:ind w:left="-88" w:leftChars="-42"/>
        <w:rPr>
          <w:rFonts w:ascii="宋体" w:hAnsi="宋体"/>
          <w:bCs/>
          <w:color w:val="auto"/>
          <w:sz w:val="21"/>
          <w:szCs w:val="21"/>
          <w:highlight w:val="none"/>
        </w:rPr>
      </w:pPr>
    </w:p>
    <w:p w14:paraId="2EA49606">
      <w:pPr>
        <w:rPr>
          <w:color w:val="auto"/>
          <w:highlight w:val="none"/>
        </w:rPr>
      </w:pPr>
    </w:p>
    <w:p w14:paraId="67D40EC1">
      <w:pPr>
        <w:rPr>
          <w:color w:val="auto"/>
          <w:highlight w:val="none"/>
        </w:rPr>
      </w:pPr>
    </w:p>
    <w:p w14:paraId="19273E90">
      <w:pPr>
        <w:pStyle w:val="16"/>
        <w:tabs>
          <w:tab w:val="left" w:pos="6208"/>
        </w:tabs>
        <w:adjustRightInd w:val="0"/>
        <w:snapToGrid w:val="0"/>
        <w:spacing w:line="360" w:lineRule="auto"/>
        <w:ind w:left="-88" w:leftChars="-42"/>
        <w:rPr>
          <w:rFonts w:ascii="宋体" w:hAnsi="宋体"/>
          <w:bCs/>
          <w:color w:val="auto"/>
          <w:sz w:val="21"/>
          <w:szCs w:val="21"/>
          <w:highlight w:val="none"/>
        </w:rPr>
      </w:pPr>
    </w:p>
    <w:p w14:paraId="379F867D">
      <w:pPr>
        <w:adjustRightInd w:val="0"/>
        <w:snapToGrid w:val="0"/>
        <w:spacing w:line="360" w:lineRule="auto"/>
        <w:rPr>
          <w:rFonts w:ascii="宋体" w:hAnsi="宋体"/>
          <w:color w:val="auto"/>
          <w:szCs w:val="21"/>
          <w:highlight w:val="none"/>
        </w:rPr>
      </w:pPr>
    </w:p>
    <w:p w14:paraId="483A4796">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投标人名称（盖单位章）：</w:t>
      </w:r>
    </w:p>
    <w:p w14:paraId="370B4F7F">
      <w:pPr>
        <w:adjustRightInd w:val="0"/>
        <w:snapToGrid w:val="0"/>
        <w:spacing w:line="360" w:lineRule="auto"/>
        <w:rPr>
          <w:rFonts w:ascii="宋体" w:hAnsi="宋体"/>
          <w:color w:val="auto"/>
          <w:szCs w:val="21"/>
          <w:highlight w:val="none"/>
          <w:u w:val="singl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或其授权的代理人（签字或印章）：</w:t>
      </w:r>
      <w:r>
        <w:rPr>
          <w:rFonts w:hint="eastAsia" w:ascii="宋体" w:hAnsi="宋体"/>
          <w:color w:val="auto"/>
          <w:szCs w:val="21"/>
          <w:highlight w:val="none"/>
          <w:u w:val="single"/>
        </w:rPr>
        <w:t xml:space="preserve">             </w:t>
      </w:r>
    </w:p>
    <w:p w14:paraId="21A5A94B">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3D1681CE">
      <w:pPr>
        <w:rPr>
          <w:color w:val="auto"/>
          <w:highlight w:val="none"/>
        </w:rPr>
      </w:pPr>
    </w:p>
    <w:p w14:paraId="2D26B638">
      <w:pPr>
        <w:rPr>
          <w:color w:val="auto"/>
          <w:highlight w:val="none"/>
        </w:rPr>
      </w:pPr>
    </w:p>
    <w:p w14:paraId="6AD0920F">
      <w:pPr>
        <w:pStyle w:val="12"/>
        <w:adjustRightInd w:val="0"/>
        <w:snapToGrid w:val="0"/>
        <w:spacing w:before="156" w:beforeLines="50" w:after="0" w:line="360" w:lineRule="auto"/>
        <w:rPr>
          <w:rFonts w:ascii="黑体" w:hAnsi="黑体"/>
          <w:b w:val="0"/>
          <w:color w:val="auto"/>
          <w:sz w:val="21"/>
          <w:szCs w:val="21"/>
          <w:highlight w:val="none"/>
        </w:rPr>
      </w:pPr>
      <w:bookmarkStart w:id="110" w:name="_Toc21855"/>
      <w:r>
        <w:rPr>
          <w:rFonts w:hint="eastAsia" w:ascii="黑体" w:hAnsi="黑体" w:cs="宋体"/>
          <w:b w:val="0"/>
          <w:color w:val="auto"/>
          <w:spacing w:val="6"/>
          <w:kern w:val="0"/>
          <w:sz w:val="21"/>
          <w:szCs w:val="21"/>
          <w:highlight w:val="none"/>
        </w:rPr>
        <w:t>附件7-1 响应</w:t>
      </w:r>
      <w:r>
        <w:rPr>
          <w:rFonts w:hint="eastAsia" w:ascii="黑体" w:hAnsi="黑体"/>
          <w:b w:val="0"/>
          <w:color w:val="auto"/>
          <w:sz w:val="21"/>
          <w:szCs w:val="21"/>
          <w:highlight w:val="none"/>
        </w:rPr>
        <w:t>一览表</w:t>
      </w:r>
      <w:bookmarkEnd w:id="110"/>
    </w:p>
    <w:p w14:paraId="3AF4D036">
      <w:pPr>
        <w:adjustRightInd w:val="0"/>
        <w:snapToGrid w:val="0"/>
        <w:spacing w:before="156" w:beforeLines="50" w:line="360" w:lineRule="auto"/>
        <w:jc w:val="center"/>
        <w:rPr>
          <w:rFonts w:ascii="黑体" w:hAnsi="黑体" w:eastAsia="黑体"/>
          <w:b/>
          <w:bCs/>
          <w:color w:val="auto"/>
          <w:sz w:val="28"/>
          <w:szCs w:val="28"/>
          <w:highlight w:val="none"/>
        </w:rPr>
      </w:pPr>
      <w:r>
        <w:rPr>
          <w:rFonts w:hint="eastAsia" w:ascii="黑体" w:hAnsi="黑体" w:eastAsia="黑体"/>
          <w:b/>
          <w:bCs/>
          <w:color w:val="auto"/>
          <w:sz w:val="28"/>
          <w:szCs w:val="28"/>
          <w:highlight w:val="none"/>
        </w:rPr>
        <w:t>响应一览表</w:t>
      </w:r>
    </w:p>
    <w:p w14:paraId="158B7F91">
      <w:pPr>
        <w:jc w:val="center"/>
        <w:rPr>
          <w:rFonts w:ascii="宋体" w:hAnsi="宋体"/>
          <w:color w:val="auto"/>
          <w:szCs w:val="21"/>
          <w:highlight w:val="none"/>
        </w:rPr>
      </w:pPr>
    </w:p>
    <w:tbl>
      <w:tblPr>
        <w:tblStyle w:val="29"/>
        <w:tblW w:w="8965"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29"/>
        <w:gridCol w:w="957"/>
        <w:gridCol w:w="2124"/>
        <w:gridCol w:w="2127"/>
        <w:gridCol w:w="992"/>
        <w:gridCol w:w="1136"/>
        <w:gridCol w:w="1200"/>
      </w:tblGrid>
      <w:tr w14:paraId="37FAFF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80" w:hRule="atLeast"/>
        </w:trPr>
        <w:tc>
          <w:tcPr>
            <w:tcW w:w="429" w:type="dxa"/>
            <w:vAlign w:val="center"/>
          </w:tcPr>
          <w:p w14:paraId="44398FFF">
            <w:pPr>
              <w:jc w:val="center"/>
              <w:rPr>
                <w:color w:val="auto"/>
                <w:szCs w:val="21"/>
                <w:highlight w:val="none"/>
              </w:rPr>
            </w:pPr>
            <w:r>
              <w:rPr>
                <w:rFonts w:hint="eastAsia"/>
                <w:color w:val="auto"/>
                <w:szCs w:val="21"/>
                <w:highlight w:val="none"/>
              </w:rPr>
              <w:t xml:space="preserve">包号 </w:t>
            </w:r>
          </w:p>
        </w:tc>
        <w:tc>
          <w:tcPr>
            <w:tcW w:w="957" w:type="dxa"/>
            <w:tcBorders>
              <w:right w:val="single" w:color="auto" w:sz="4" w:space="0"/>
            </w:tcBorders>
            <w:vAlign w:val="center"/>
          </w:tcPr>
          <w:p w14:paraId="61CE20B3">
            <w:pPr>
              <w:jc w:val="center"/>
              <w:rPr>
                <w:color w:val="auto"/>
                <w:szCs w:val="21"/>
                <w:highlight w:val="none"/>
              </w:rPr>
            </w:pPr>
            <w:r>
              <w:rPr>
                <w:rFonts w:hint="eastAsia"/>
                <w:color w:val="auto"/>
                <w:szCs w:val="21"/>
                <w:highlight w:val="none"/>
              </w:rPr>
              <w:t>包名称</w:t>
            </w:r>
          </w:p>
        </w:tc>
        <w:tc>
          <w:tcPr>
            <w:tcW w:w="2124" w:type="dxa"/>
            <w:tcBorders>
              <w:left w:val="single" w:color="auto" w:sz="4" w:space="0"/>
            </w:tcBorders>
            <w:vAlign w:val="center"/>
          </w:tcPr>
          <w:p w14:paraId="1856A83B">
            <w:pPr>
              <w:jc w:val="center"/>
              <w:rPr>
                <w:color w:val="auto"/>
                <w:szCs w:val="21"/>
                <w:highlight w:val="none"/>
              </w:rPr>
            </w:pPr>
            <w:r>
              <w:rPr>
                <w:rFonts w:hint="eastAsia"/>
                <w:color w:val="auto"/>
                <w:szCs w:val="21"/>
                <w:highlight w:val="none"/>
              </w:rPr>
              <w:t>标的名称</w:t>
            </w:r>
          </w:p>
        </w:tc>
        <w:tc>
          <w:tcPr>
            <w:tcW w:w="2127" w:type="dxa"/>
            <w:vAlign w:val="center"/>
          </w:tcPr>
          <w:p w14:paraId="6DA7757D">
            <w:pPr>
              <w:jc w:val="center"/>
              <w:rPr>
                <w:color w:val="auto"/>
                <w:szCs w:val="21"/>
                <w:highlight w:val="none"/>
              </w:rPr>
            </w:pPr>
            <w:r>
              <w:rPr>
                <w:rFonts w:hint="eastAsia"/>
                <w:color w:val="auto"/>
                <w:szCs w:val="21"/>
                <w:highlight w:val="none"/>
              </w:rPr>
              <w:t>主要技术参数或规格</w:t>
            </w:r>
          </w:p>
        </w:tc>
        <w:tc>
          <w:tcPr>
            <w:tcW w:w="992" w:type="dxa"/>
            <w:vAlign w:val="center"/>
          </w:tcPr>
          <w:p w14:paraId="2E8568FA">
            <w:pPr>
              <w:jc w:val="center"/>
              <w:rPr>
                <w:color w:val="auto"/>
                <w:szCs w:val="21"/>
                <w:highlight w:val="none"/>
              </w:rPr>
            </w:pPr>
            <w:r>
              <w:rPr>
                <w:rFonts w:hint="eastAsia"/>
                <w:color w:val="auto"/>
                <w:szCs w:val="21"/>
                <w:highlight w:val="none"/>
              </w:rPr>
              <w:t>数量</w:t>
            </w:r>
          </w:p>
        </w:tc>
        <w:tc>
          <w:tcPr>
            <w:tcW w:w="1136" w:type="dxa"/>
            <w:vAlign w:val="center"/>
          </w:tcPr>
          <w:p w14:paraId="56C0B517">
            <w:pPr>
              <w:adjustRightInd w:val="0"/>
              <w:snapToGrid w:val="0"/>
              <w:jc w:val="center"/>
              <w:rPr>
                <w:color w:val="auto"/>
                <w:szCs w:val="21"/>
                <w:highlight w:val="none"/>
              </w:rPr>
            </w:pPr>
            <w:r>
              <w:rPr>
                <w:rFonts w:hint="eastAsia"/>
                <w:color w:val="auto"/>
                <w:szCs w:val="21"/>
                <w:highlight w:val="none"/>
              </w:rPr>
              <w:t>节能产品</w:t>
            </w:r>
          </w:p>
        </w:tc>
        <w:tc>
          <w:tcPr>
            <w:tcW w:w="1200" w:type="dxa"/>
            <w:vAlign w:val="center"/>
          </w:tcPr>
          <w:p w14:paraId="32493B2F">
            <w:pPr>
              <w:adjustRightInd w:val="0"/>
              <w:snapToGrid w:val="0"/>
              <w:jc w:val="center"/>
              <w:rPr>
                <w:color w:val="auto"/>
                <w:szCs w:val="21"/>
                <w:highlight w:val="none"/>
              </w:rPr>
            </w:pPr>
            <w:r>
              <w:rPr>
                <w:rFonts w:hint="eastAsia"/>
                <w:color w:val="auto"/>
                <w:szCs w:val="21"/>
                <w:highlight w:val="none"/>
              </w:rPr>
              <w:t>进口产品</w:t>
            </w:r>
          </w:p>
        </w:tc>
      </w:tr>
      <w:tr w14:paraId="65C6E9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vMerge w:val="restart"/>
          </w:tcPr>
          <w:p w14:paraId="4CCD4E92">
            <w:pPr>
              <w:rPr>
                <w:color w:val="auto"/>
                <w:szCs w:val="21"/>
                <w:highlight w:val="none"/>
              </w:rPr>
            </w:pPr>
          </w:p>
        </w:tc>
        <w:tc>
          <w:tcPr>
            <w:tcW w:w="957" w:type="dxa"/>
            <w:vMerge w:val="restart"/>
            <w:tcBorders>
              <w:right w:val="single" w:color="auto" w:sz="4" w:space="0"/>
            </w:tcBorders>
          </w:tcPr>
          <w:p w14:paraId="45397BE4">
            <w:pPr>
              <w:rPr>
                <w:color w:val="auto"/>
                <w:szCs w:val="21"/>
                <w:highlight w:val="none"/>
              </w:rPr>
            </w:pPr>
          </w:p>
        </w:tc>
        <w:tc>
          <w:tcPr>
            <w:tcW w:w="2124" w:type="dxa"/>
            <w:tcBorders>
              <w:left w:val="single" w:color="auto" w:sz="4" w:space="0"/>
            </w:tcBorders>
          </w:tcPr>
          <w:p w14:paraId="337E4712">
            <w:pPr>
              <w:rPr>
                <w:color w:val="auto"/>
                <w:szCs w:val="21"/>
                <w:highlight w:val="none"/>
              </w:rPr>
            </w:pPr>
          </w:p>
        </w:tc>
        <w:tc>
          <w:tcPr>
            <w:tcW w:w="2127" w:type="dxa"/>
          </w:tcPr>
          <w:p w14:paraId="55531365">
            <w:pPr>
              <w:rPr>
                <w:color w:val="auto"/>
                <w:szCs w:val="21"/>
                <w:highlight w:val="none"/>
              </w:rPr>
            </w:pPr>
          </w:p>
        </w:tc>
        <w:tc>
          <w:tcPr>
            <w:tcW w:w="992" w:type="dxa"/>
          </w:tcPr>
          <w:p w14:paraId="5DB03FCD">
            <w:pPr>
              <w:rPr>
                <w:color w:val="auto"/>
                <w:szCs w:val="21"/>
                <w:highlight w:val="none"/>
              </w:rPr>
            </w:pPr>
          </w:p>
        </w:tc>
        <w:tc>
          <w:tcPr>
            <w:tcW w:w="1136" w:type="dxa"/>
          </w:tcPr>
          <w:p w14:paraId="5EE0595E">
            <w:pPr>
              <w:adjustRightInd w:val="0"/>
              <w:snapToGrid w:val="0"/>
              <w:spacing w:before="156" w:beforeLines="50" w:line="360" w:lineRule="auto"/>
              <w:rPr>
                <w:color w:val="auto"/>
                <w:szCs w:val="21"/>
                <w:highlight w:val="none"/>
              </w:rPr>
            </w:pPr>
          </w:p>
        </w:tc>
        <w:tc>
          <w:tcPr>
            <w:tcW w:w="1200" w:type="dxa"/>
          </w:tcPr>
          <w:p w14:paraId="64DA47D9">
            <w:pPr>
              <w:adjustRightInd w:val="0"/>
              <w:snapToGrid w:val="0"/>
              <w:spacing w:before="156" w:beforeLines="50" w:line="360" w:lineRule="auto"/>
              <w:rPr>
                <w:color w:val="auto"/>
                <w:szCs w:val="21"/>
                <w:highlight w:val="none"/>
              </w:rPr>
            </w:pPr>
          </w:p>
        </w:tc>
      </w:tr>
      <w:tr w14:paraId="12C0363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vMerge w:val="continue"/>
          </w:tcPr>
          <w:p w14:paraId="01EBE4C9">
            <w:pPr>
              <w:rPr>
                <w:color w:val="auto"/>
                <w:szCs w:val="21"/>
                <w:highlight w:val="none"/>
              </w:rPr>
            </w:pPr>
          </w:p>
        </w:tc>
        <w:tc>
          <w:tcPr>
            <w:tcW w:w="957" w:type="dxa"/>
            <w:vMerge w:val="continue"/>
            <w:tcBorders>
              <w:right w:val="single" w:color="auto" w:sz="4" w:space="0"/>
            </w:tcBorders>
          </w:tcPr>
          <w:p w14:paraId="6F33A147">
            <w:pPr>
              <w:rPr>
                <w:color w:val="auto"/>
                <w:szCs w:val="21"/>
                <w:highlight w:val="none"/>
              </w:rPr>
            </w:pPr>
          </w:p>
        </w:tc>
        <w:tc>
          <w:tcPr>
            <w:tcW w:w="2124" w:type="dxa"/>
            <w:tcBorders>
              <w:left w:val="single" w:color="auto" w:sz="4" w:space="0"/>
            </w:tcBorders>
          </w:tcPr>
          <w:p w14:paraId="1A3F2C7F">
            <w:pPr>
              <w:rPr>
                <w:color w:val="auto"/>
                <w:szCs w:val="21"/>
                <w:highlight w:val="none"/>
              </w:rPr>
            </w:pPr>
          </w:p>
        </w:tc>
        <w:tc>
          <w:tcPr>
            <w:tcW w:w="2127" w:type="dxa"/>
          </w:tcPr>
          <w:p w14:paraId="0572AB1C">
            <w:pPr>
              <w:rPr>
                <w:color w:val="auto"/>
                <w:szCs w:val="21"/>
                <w:highlight w:val="none"/>
              </w:rPr>
            </w:pPr>
          </w:p>
        </w:tc>
        <w:tc>
          <w:tcPr>
            <w:tcW w:w="992" w:type="dxa"/>
          </w:tcPr>
          <w:p w14:paraId="6042469C">
            <w:pPr>
              <w:rPr>
                <w:color w:val="auto"/>
                <w:szCs w:val="21"/>
                <w:highlight w:val="none"/>
              </w:rPr>
            </w:pPr>
          </w:p>
        </w:tc>
        <w:tc>
          <w:tcPr>
            <w:tcW w:w="1136" w:type="dxa"/>
          </w:tcPr>
          <w:p w14:paraId="137A7F55">
            <w:pPr>
              <w:adjustRightInd w:val="0"/>
              <w:snapToGrid w:val="0"/>
              <w:spacing w:before="156" w:beforeLines="50" w:line="360" w:lineRule="auto"/>
              <w:rPr>
                <w:color w:val="auto"/>
                <w:szCs w:val="21"/>
                <w:highlight w:val="none"/>
              </w:rPr>
            </w:pPr>
          </w:p>
        </w:tc>
        <w:tc>
          <w:tcPr>
            <w:tcW w:w="1200" w:type="dxa"/>
          </w:tcPr>
          <w:p w14:paraId="1DBB9F81">
            <w:pPr>
              <w:adjustRightInd w:val="0"/>
              <w:snapToGrid w:val="0"/>
              <w:spacing w:before="156" w:beforeLines="50" w:line="360" w:lineRule="auto"/>
              <w:rPr>
                <w:color w:val="auto"/>
                <w:szCs w:val="21"/>
                <w:highlight w:val="none"/>
              </w:rPr>
            </w:pPr>
          </w:p>
        </w:tc>
      </w:tr>
      <w:tr w14:paraId="2944D6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vMerge w:val="restart"/>
          </w:tcPr>
          <w:p w14:paraId="1FB9C075">
            <w:pPr>
              <w:rPr>
                <w:color w:val="auto"/>
                <w:szCs w:val="21"/>
                <w:highlight w:val="none"/>
              </w:rPr>
            </w:pPr>
          </w:p>
        </w:tc>
        <w:tc>
          <w:tcPr>
            <w:tcW w:w="957" w:type="dxa"/>
            <w:vMerge w:val="restart"/>
            <w:tcBorders>
              <w:right w:val="single" w:color="auto" w:sz="4" w:space="0"/>
            </w:tcBorders>
          </w:tcPr>
          <w:p w14:paraId="66AD60D9">
            <w:pPr>
              <w:rPr>
                <w:color w:val="auto"/>
                <w:szCs w:val="21"/>
                <w:highlight w:val="none"/>
              </w:rPr>
            </w:pPr>
          </w:p>
        </w:tc>
        <w:tc>
          <w:tcPr>
            <w:tcW w:w="2124" w:type="dxa"/>
            <w:tcBorders>
              <w:left w:val="single" w:color="auto" w:sz="4" w:space="0"/>
            </w:tcBorders>
          </w:tcPr>
          <w:p w14:paraId="1ABFF057">
            <w:pPr>
              <w:rPr>
                <w:color w:val="auto"/>
                <w:szCs w:val="21"/>
                <w:highlight w:val="none"/>
              </w:rPr>
            </w:pPr>
          </w:p>
        </w:tc>
        <w:tc>
          <w:tcPr>
            <w:tcW w:w="2127" w:type="dxa"/>
          </w:tcPr>
          <w:p w14:paraId="5B115DC6">
            <w:pPr>
              <w:rPr>
                <w:color w:val="auto"/>
                <w:szCs w:val="21"/>
                <w:highlight w:val="none"/>
              </w:rPr>
            </w:pPr>
          </w:p>
        </w:tc>
        <w:tc>
          <w:tcPr>
            <w:tcW w:w="992" w:type="dxa"/>
          </w:tcPr>
          <w:p w14:paraId="6F1F2BFD">
            <w:pPr>
              <w:rPr>
                <w:color w:val="auto"/>
                <w:szCs w:val="21"/>
                <w:highlight w:val="none"/>
              </w:rPr>
            </w:pPr>
          </w:p>
        </w:tc>
        <w:tc>
          <w:tcPr>
            <w:tcW w:w="1136" w:type="dxa"/>
          </w:tcPr>
          <w:p w14:paraId="24E31EDC">
            <w:pPr>
              <w:rPr>
                <w:color w:val="auto"/>
                <w:szCs w:val="21"/>
                <w:highlight w:val="none"/>
              </w:rPr>
            </w:pPr>
          </w:p>
        </w:tc>
        <w:tc>
          <w:tcPr>
            <w:tcW w:w="1200" w:type="dxa"/>
          </w:tcPr>
          <w:p w14:paraId="4C0B0056">
            <w:pPr>
              <w:rPr>
                <w:color w:val="auto"/>
                <w:szCs w:val="21"/>
                <w:highlight w:val="none"/>
              </w:rPr>
            </w:pPr>
          </w:p>
        </w:tc>
      </w:tr>
      <w:tr w14:paraId="3DDF19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vMerge w:val="continue"/>
          </w:tcPr>
          <w:p w14:paraId="1B8B3D43">
            <w:pPr>
              <w:rPr>
                <w:color w:val="auto"/>
                <w:szCs w:val="21"/>
                <w:highlight w:val="none"/>
              </w:rPr>
            </w:pPr>
          </w:p>
        </w:tc>
        <w:tc>
          <w:tcPr>
            <w:tcW w:w="957" w:type="dxa"/>
            <w:vMerge w:val="continue"/>
            <w:tcBorders>
              <w:right w:val="single" w:color="auto" w:sz="4" w:space="0"/>
            </w:tcBorders>
          </w:tcPr>
          <w:p w14:paraId="0E44327E">
            <w:pPr>
              <w:rPr>
                <w:color w:val="auto"/>
                <w:szCs w:val="21"/>
                <w:highlight w:val="none"/>
              </w:rPr>
            </w:pPr>
          </w:p>
        </w:tc>
        <w:tc>
          <w:tcPr>
            <w:tcW w:w="2124" w:type="dxa"/>
            <w:tcBorders>
              <w:left w:val="single" w:color="auto" w:sz="4" w:space="0"/>
            </w:tcBorders>
          </w:tcPr>
          <w:p w14:paraId="710AAE0D">
            <w:pPr>
              <w:rPr>
                <w:color w:val="auto"/>
                <w:szCs w:val="21"/>
                <w:highlight w:val="none"/>
              </w:rPr>
            </w:pPr>
          </w:p>
        </w:tc>
        <w:tc>
          <w:tcPr>
            <w:tcW w:w="2127" w:type="dxa"/>
          </w:tcPr>
          <w:p w14:paraId="1882ACC3">
            <w:pPr>
              <w:rPr>
                <w:color w:val="auto"/>
                <w:szCs w:val="21"/>
                <w:highlight w:val="none"/>
              </w:rPr>
            </w:pPr>
          </w:p>
        </w:tc>
        <w:tc>
          <w:tcPr>
            <w:tcW w:w="992" w:type="dxa"/>
          </w:tcPr>
          <w:p w14:paraId="14D7DF86">
            <w:pPr>
              <w:rPr>
                <w:color w:val="auto"/>
                <w:szCs w:val="21"/>
                <w:highlight w:val="none"/>
              </w:rPr>
            </w:pPr>
          </w:p>
        </w:tc>
        <w:tc>
          <w:tcPr>
            <w:tcW w:w="1136" w:type="dxa"/>
          </w:tcPr>
          <w:p w14:paraId="52DDFD49">
            <w:pPr>
              <w:rPr>
                <w:color w:val="auto"/>
                <w:szCs w:val="21"/>
                <w:highlight w:val="none"/>
              </w:rPr>
            </w:pPr>
          </w:p>
        </w:tc>
        <w:tc>
          <w:tcPr>
            <w:tcW w:w="1200" w:type="dxa"/>
          </w:tcPr>
          <w:p w14:paraId="6F7B3EBD">
            <w:pPr>
              <w:rPr>
                <w:color w:val="auto"/>
                <w:szCs w:val="21"/>
                <w:highlight w:val="none"/>
              </w:rPr>
            </w:pPr>
          </w:p>
        </w:tc>
      </w:tr>
      <w:tr w14:paraId="2DF0A26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vMerge w:val="continue"/>
          </w:tcPr>
          <w:p w14:paraId="19E9DD17">
            <w:pPr>
              <w:rPr>
                <w:color w:val="auto"/>
                <w:szCs w:val="21"/>
                <w:highlight w:val="none"/>
              </w:rPr>
            </w:pPr>
          </w:p>
        </w:tc>
        <w:tc>
          <w:tcPr>
            <w:tcW w:w="957" w:type="dxa"/>
            <w:vMerge w:val="continue"/>
            <w:tcBorders>
              <w:right w:val="single" w:color="auto" w:sz="4" w:space="0"/>
            </w:tcBorders>
          </w:tcPr>
          <w:p w14:paraId="083A55EF">
            <w:pPr>
              <w:rPr>
                <w:color w:val="auto"/>
                <w:szCs w:val="21"/>
                <w:highlight w:val="none"/>
              </w:rPr>
            </w:pPr>
          </w:p>
        </w:tc>
        <w:tc>
          <w:tcPr>
            <w:tcW w:w="2124" w:type="dxa"/>
            <w:tcBorders>
              <w:left w:val="single" w:color="auto" w:sz="4" w:space="0"/>
            </w:tcBorders>
          </w:tcPr>
          <w:p w14:paraId="2C73D1D2">
            <w:pPr>
              <w:rPr>
                <w:color w:val="auto"/>
                <w:szCs w:val="21"/>
                <w:highlight w:val="none"/>
              </w:rPr>
            </w:pPr>
          </w:p>
        </w:tc>
        <w:tc>
          <w:tcPr>
            <w:tcW w:w="2127" w:type="dxa"/>
          </w:tcPr>
          <w:p w14:paraId="655C1581">
            <w:pPr>
              <w:rPr>
                <w:color w:val="auto"/>
                <w:szCs w:val="21"/>
                <w:highlight w:val="none"/>
              </w:rPr>
            </w:pPr>
          </w:p>
        </w:tc>
        <w:tc>
          <w:tcPr>
            <w:tcW w:w="992" w:type="dxa"/>
          </w:tcPr>
          <w:p w14:paraId="5DAA671E">
            <w:pPr>
              <w:rPr>
                <w:color w:val="auto"/>
                <w:szCs w:val="21"/>
                <w:highlight w:val="none"/>
              </w:rPr>
            </w:pPr>
          </w:p>
        </w:tc>
        <w:tc>
          <w:tcPr>
            <w:tcW w:w="1136" w:type="dxa"/>
          </w:tcPr>
          <w:p w14:paraId="4BF69C40">
            <w:pPr>
              <w:rPr>
                <w:color w:val="auto"/>
                <w:szCs w:val="21"/>
                <w:highlight w:val="none"/>
              </w:rPr>
            </w:pPr>
          </w:p>
        </w:tc>
        <w:tc>
          <w:tcPr>
            <w:tcW w:w="1200" w:type="dxa"/>
          </w:tcPr>
          <w:p w14:paraId="6F18329D">
            <w:pPr>
              <w:rPr>
                <w:color w:val="auto"/>
                <w:szCs w:val="21"/>
                <w:highlight w:val="none"/>
              </w:rPr>
            </w:pPr>
          </w:p>
        </w:tc>
      </w:tr>
    </w:tbl>
    <w:p w14:paraId="1CEBCA10">
      <w:pPr>
        <w:adjustRightInd w:val="0"/>
        <w:snapToGrid w:val="0"/>
        <w:spacing w:line="360" w:lineRule="auto"/>
        <w:rPr>
          <w:color w:val="auto"/>
          <w:highlight w:val="none"/>
        </w:rPr>
      </w:pPr>
    </w:p>
    <w:p w14:paraId="75FA6E59">
      <w:pPr>
        <w:adjustRightInd w:val="0"/>
        <w:snapToGrid w:val="0"/>
        <w:spacing w:line="360" w:lineRule="auto"/>
        <w:rPr>
          <w:rFonts w:ascii="宋体" w:hAnsi="宋体"/>
          <w:color w:val="auto"/>
          <w:szCs w:val="21"/>
          <w:highlight w:val="none"/>
        </w:rPr>
      </w:pPr>
    </w:p>
    <w:p w14:paraId="1884BAD7">
      <w:pPr>
        <w:adjustRightInd w:val="0"/>
        <w:snapToGrid w:val="0"/>
        <w:spacing w:line="360" w:lineRule="auto"/>
        <w:rPr>
          <w:rFonts w:ascii="宋体" w:hAnsi="宋体"/>
          <w:color w:val="auto"/>
          <w:szCs w:val="21"/>
          <w:highlight w:val="none"/>
        </w:rPr>
      </w:pPr>
    </w:p>
    <w:p w14:paraId="7CE0ABAC">
      <w:pPr>
        <w:adjustRightInd w:val="0"/>
        <w:snapToGrid w:val="0"/>
        <w:spacing w:line="360" w:lineRule="auto"/>
        <w:rPr>
          <w:rFonts w:ascii="黑体" w:hAnsi="宋体" w:eastAsia="黑体"/>
          <w:color w:val="auto"/>
          <w:sz w:val="28"/>
          <w:szCs w:val="28"/>
          <w:highlight w:val="none"/>
        </w:rPr>
        <w:sectPr>
          <w:headerReference r:id="rId14" w:type="first"/>
          <w:headerReference r:id="rId12" w:type="default"/>
          <w:footerReference r:id="rId15" w:type="default"/>
          <w:headerReference r:id="rId13" w:type="even"/>
          <w:pgSz w:w="11906" w:h="16838"/>
          <w:pgMar w:top="1474" w:right="1474" w:bottom="1474" w:left="1588" w:header="851" w:footer="992" w:gutter="0"/>
          <w:pgBorders>
            <w:top w:val="none" w:sz="0" w:space="0"/>
            <w:left w:val="none" w:sz="0" w:space="0"/>
            <w:bottom w:val="none" w:sz="0" w:space="0"/>
            <w:right w:val="none" w:sz="0" w:space="0"/>
          </w:pgBorders>
          <w:cols w:space="720" w:num="1"/>
          <w:docGrid w:type="lines" w:linePitch="312" w:charSpace="0"/>
        </w:sectPr>
      </w:pPr>
    </w:p>
    <w:p w14:paraId="5833C32F">
      <w:pPr>
        <w:pStyle w:val="11"/>
        <w:adjustRightInd w:val="0"/>
        <w:snapToGrid w:val="0"/>
        <w:spacing w:before="156" w:beforeLines="50" w:after="0" w:line="360" w:lineRule="auto"/>
        <w:jc w:val="center"/>
        <w:rPr>
          <w:rFonts w:ascii="黑体" w:hAnsi="黑体" w:eastAsia="黑体"/>
          <w:color w:val="auto"/>
          <w:sz w:val="28"/>
          <w:szCs w:val="28"/>
          <w:highlight w:val="none"/>
        </w:rPr>
      </w:pPr>
      <w:bookmarkStart w:id="111" w:name="_Toc13490"/>
      <w:r>
        <w:rPr>
          <w:rFonts w:hint="eastAsia" w:ascii="黑体" w:hAnsi="黑体" w:eastAsia="黑体"/>
          <w:color w:val="auto"/>
          <w:sz w:val="28"/>
          <w:szCs w:val="28"/>
          <w:highlight w:val="none"/>
        </w:rPr>
        <w:t>八、合同条款偏离表</w:t>
      </w:r>
      <w:bookmarkEnd w:id="111"/>
    </w:p>
    <w:p w14:paraId="7762878A">
      <w:pPr>
        <w:adjustRightInd w:val="0"/>
        <w:snapToGrid w:val="0"/>
        <w:spacing w:before="156" w:beforeLines="50" w:line="360" w:lineRule="auto"/>
        <w:rPr>
          <w:rFonts w:ascii="宋体" w:hAnsi="宋体"/>
          <w:color w:val="auto"/>
          <w:szCs w:val="21"/>
          <w:highlight w:val="none"/>
          <w:u w:val="single"/>
        </w:rPr>
      </w:pPr>
      <w:r>
        <w:rPr>
          <w:rFonts w:hint="eastAsia" w:ascii="宋体" w:hAnsi="宋体"/>
          <w:color w:val="auto"/>
          <w:spacing w:val="28"/>
          <w:szCs w:val="21"/>
          <w:highlight w:val="none"/>
        </w:rPr>
        <w:t>政府采购计划编号</w:t>
      </w: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项目名称：</w:t>
      </w:r>
      <w:r>
        <w:rPr>
          <w:rFonts w:hint="eastAsia" w:ascii="宋体" w:hAnsi="宋体"/>
          <w:color w:val="auto"/>
          <w:szCs w:val="21"/>
          <w:highlight w:val="none"/>
          <w:u w:val="single"/>
        </w:rPr>
        <w:t xml:space="preserve">                    </w:t>
      </w:r>
    </w:p>
    <w:p w14:paraId="0A30E0BE">
      <w:pPr>
        <w:adjustRightInd w:val="0"/>
        <w:snapToGrid w:val="0"/>
        <w:spacing w:before="50" w:line="360" w:lineRule="auto"/>
        <w:rPr>
          <w:rFonts w:ascii="宋体" w:hAnsi="宋体"/>
          <w:color w:val="auto"/>
          <w:szCs w:val="21"/>
          <w:highlight w:val="none"/>
          <w:u w:val="single"/>
        </w:rPr>
      </w:pPr>
      <w:r>
        <w:rPr>
          <w:rFonts w:hint="eastAsia" w:ascii="宋体" w:hAnsi="宋体"/>
          <w:color w:val="auto"/>
          <w:szCs w:val="21"/>
          <w:highlight w:val="none"/>
        </w:rPr>
        <w:t>包           号：</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包名称：</w:t>
      </w:r>
      <w:r>
        <w:rPr>
          <w:rFonts w:hint="eastAsia" w:ascii="宋体" w:hAnsi="宋体"/>
          <w:color w:val="auto"/>
          <w:szCs w:val="21"/>
          <w:highlight w:val="none"/>
          <w:u w:val="single"/>
        </w:rPr>
        <w:t xml:space="preserve">                      </w:t>
      </w:r>
    </w:p>
    <w:tbl>
      <w:tblPr>
        <w:tblStyle w:val="29"/>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95"/>
        <w:gridCol w:w="2410"/>
        <w:gridCol w:w="1985"/>
        <w:gridCol w:w="2082"/>
        <w:gridCol w:w="1942"/>
      </w:tblGrid>
      <w:tr w14:paraId="6A7FE7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95" w:type="dxa"/>
            <w:vAlign w:val="center"/>
          </w:tcPr>
          <w:p w14:paraId="29225BD3">
            <w:pPr>
              <w:adjustRightInd w:val="0"/>
              <w:snapToGrid w:val="0"/>
              <w:spacing w:before="50" w:line="360" w:lineRule="auto"/>
              <w:ind w:left="-88" w:leftChars="-42"/>
              <w:jc w:val="center"/>
              <w:rPr>
                <w:rFonts w:ascii="宋体" w:hAnsi="宋体"/>
                <w:color w:val="auto"/>
                <w:szCs w:val="21"/>
                <w:highlight w:val="none"/>
              </w:rPr>
            </w:pPr>
            <w:r>
              <w:rPr>
                <w:rFonts w:hint="eastAsia" w:ascii="宋体" w:hAnsi="宋体"/>
                <w:bCs/>
                <w:color w:val="auto"/>
                <w:szCs w:val="21"/>
                <w:highlight w:val="none"/>
              </w:rPr>
              <w:t>序</w:t>
            </w:r>
            <w:r>
              <w:rPr>
                <w:rFonts w:hint="eastAsia" w:ascii="宋体" w:hAnsi="宋体"/>
                <w:color w:val="auto"/>
                <w:szCs w:val="21"/>
                <w:highlight w:val="none"/>
              </w:rPr>
              <w:t>号</w:t>
            </w:r>
          </w:p>
        </w:tc>
        <w:tc>
          <w:tcPr>
            <w:tcW w:w="2410" w:type="dxa"/>
            <w:vAlign w:val="center"/>
          </w:tcPr>
          <w:p w14:paraId="51A33D15">
            <w:pPr>
              <w:adjustRightInd w:val="0"/>
              <w:snapToGrid w:val="0"/>
              <w:spacing w:before="50" w:line="360" w:lineRule="auto"/>
              <w:ind w:left="-88" w:leftChars="-42"/>
              <w:jc w:val="center"/>
              <w:rPr>
                <w:rFonts w:ascii="宋体" w:hAnsi="宋体"/>
                <w:color w:val="auto"/>
                <w:szCs w:val="21"/>
                <w:highlight w:val="none"/>
              </w:rPr>
            </w:pPr>
            <w:r>
              <w:rPr>
                <w:rFonts w:hint="eastAsia" w:ascii="宋体" w:hAnsi="宋体"/>
                <w:color w:val="auto"/>
                <w:szCs w:val="21"/>
                <w:highlight w:val="none"/>
              </w:rPr>
              <w:t>招标文件章节</w:t>
            </w:r>
            <w:r>
              <w:rPr>
                <w:rFonts w:hint="eastAsia" w:ascii="宋体" w:hAnsi="宋体"/>
                <w:bCs/>
                <w:color w:val="auto"/>
                <w:szCs w:val="21"/>
                <w:highlight w:val="none"/>
              </w:rPr>
              <w:t>条</w:t>
            </w:r>
            <w:r>
              <w:rPr>
                <w:rFonts w:hint="eastAsia" w:ascii="宋体" w:hAnsi="宋体"/>
                <w:color w:val="auto"/>
                <w:szCs w:val="21"/>
                <w:highlight w:val="none"/>
              </w:rPr>
              <w:t>款号</w:t>
            </w:r>
          </w:p>
        </w:tc>
        <w:tc>
          <w:tcPr>
            <w:tcW w:w="1985" w:type="dxa"/>
            <w:vAlign w:val="center"/>
          </w:tcPr>
          <w:p w14:paraId="59DC1648">
            <w:pPr>
              <w:adjustRightInd w:val="0"/>
              <w:snapToGrid w:val="0"/>
              <w:spacing w:before="50" w:line="360" w:lineRule="auto"/>
              <w:ind w:left="-88" w:leftChars="-42"/>
              <w:jc w:val="center"/>
              <w:rPr>
                <w:rFonts w:ascii="宋体" w:hAnsi="宋体"/>
                <w:color w:val="auto"/>
                <w:szCs w:val="21"/>
                <w:highlight w:val="none"/>
              </w:rPr>
            </w:pPr>
            <w:r>
              <w:rPr>
                <w:rFonts w:hint="eastAsia"/>
                <w:color w:val="auto"/>
                <w:highlight w:val="none"/>
              </w:rPr>
              <w:t>招标文件要求</w:t>
            </w:r>
          </w:p>
        </w:tc>
        <w:tc>
          <w:tcPr>
            <w:tcW w:w="2082" w:type="dxa"/>
            <w:tcBorders>
              <w:right w:val="single" w:color="auto" w:sz="4" w:space="0"/>
            </w:tcBorders>
            <w:vAlign w:val="center"/>
          </w:tcPr>
          <w:p w14:paraId="3150B44A">
            <w:pPr>
              <w:adjustRightInd w:val="0"/>
              <w:snapToGrid w:val="0"/>
              <w:spacing w:before="50" w:line="360" w:lineRule="auto"/>
              <w:jc w:val="center"/>
              <w:rPr>
                <w:rFonts w:ascii="宋体" w:hAnsi="宋体"/>
                <w:color w:val="auto"/>
                <w:szCs w:val="21"/>
                <w:highlight w:val="none"/>
              </w:rPr>
            </w:pPr>
            <w:r>
              <w:rPr>
                <w:rFonts w:hint="eastAsia"/>
                <w:color w:val="auto"/>
                <w:highlight w:val="none"/>
              </w:rPr>
              <w:t>投标文件的应答</w:t>
            </w:r>
          </w:p>
        </w:tc>
        <w:tc>
          <w:tcPr>
            <w:tcW w:w="1942" w:type="dxa"/>
            <w:tcBorders>
              <w:left w:val="single" w:color="auto" w:sz="4" w:space="0"/>
            </w:tcBorders>
            <w:vAlign w:val="center"/>
          </w:tcPr>
          <w:p w14:paraId="0FD53719">
            <w:pPr>
              <w:adjustRightInd w:val="0"/>
              <w:snapToGrid w:val="0"/>
              <w:spacing w:before="50" w:line="360" w:lineRule="auto"/>
              <w:ind w:left="-88" w:leftChars="-42"/>
              <w:jc w:val="center"/>
              <w:rPr>
                <w:rFonts w:ascii="宋体" w:hAnsi="宋体"/>
                <w:color w:val="auto"/>
                <w:szCs w:val="21"/>
                <w:highlight w:val="none"/>
              </w:rPr>
            </w:pPr>
            <w:r>
              <w:rPr>
                <w:rFonts w:hint="eastAsia" w:ascii="宋体" w:hAnsi="宋体"/>
                <w:color w:val="auto"/>
                <w:szCs w:val="21"/>
                <w:highlight w:val="none"/>
              </w:rPr>
              <w:t>偏离说明</w:t>
            </w:r>
          </w:p>
        </w:tc>
      </w:tr>
      <w:tr w14:paraId="3A4830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6E2DB979">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081F1FF8">
            <w:pPr>
              <w:adjustRightInd w:val="0"/>
              <w:snapToGrid w:val="0"/>
              <w:spacing w:before="50" w:line="360" w:lineRule="auto"/>
              <w:ind w:left="-88" w:leftChars="-42"/>
              <w:jc w:val="center"/>
              <w:rPr>
                <w:rFonts w:ascii="宋体" w:hAnsi="宋体"/>
                <w:color w:val="auto"/>
                <w:szCs w:val="21"/>
                <w:highlight w:val="none"/>
              </w:rPr>
            </w:pPr>
          </w:p>
        </w:tc>
        <w:tc>
          <w:tcPr>
            <w:tcW w:w="1985" w:type="dxa"/>
          </w:tcPr>
          <w:p w14:paraId="32ADBA6C">
            <w:pPr>
              <w:adjustRightInd w:val="0"/>
              <w:snapToGrid w:val="0"/>
              <w:spacing w:before="50" w:line="360" w:lineRule="auto"/>
              <w:rPr>
                <w:color w:val="auto"/>
                <w:highlight w:val="none"/>
              </w:rPr>
            </w:pPr>
          </w:p>
        </w:tc>
        <w:tc>
          <w:tcPr>
            <w:tcW w:w="2082" w:type="dxa"/>
            <w:tcBorders>
              <w:right w:val="single" w:color="auto" w:sz="4" w:space="0"/>
            </w:tcBorders>
          </w:tcPr>
          <w:p w14:paraId="7E06E9F7">
            <w:pPr>
              <w:adjustRightInd w:val="0"/>
              <w:snapToGrid w:val="0"/>
              <w:spacing w:before="50" w:line="360" w:lineRule="auto"/>
              <w:rPr>
                <w:color w:val="auto"/>
                <w:highlight w:val="none"/>
              </w:rPr>
            </w:pPr>
          </w:p>
        </w:tc>
        <w:tc>
          <w:tcPr>
            <w:tcW w:w="1942" w:type="dxa"/>
            <w:tcBorders>
              <w:left w:val="single" w:color="auto" w:sz="4" w:space="0"/>
            </w:tcBorders>
          </w:tcPr>
          <w:p w14:paraId="09B933A1">
            <w:pPr>
              <w:adjustRightInd w:val="0"/>
              <w:snapToGrid w:val="0"/>
              <w:spacing w:before="50" w:line="360" w:lineRule="auto"/>
              <w:ind w:left="-88" w:leftChars="-42"/>
              <w:jc w:val="center"/>
              <w:rPr>
                <w:rFonts w:ascii="宋体" w:hAnsi="宋体"/>
                <w:color w:val="auto"/>
                <w:szCs w:val="21"/>
                <w:highlight w:val="none"/>
              </w:rPr>
            </w:pPr>
          </w:p>
        </w:tc>
      </w:tr>
      <w:tr w14:paraId="71D21B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70E13B07">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6ECE0BC5">
            <w:pPr>
              <w:adjustRightInd w:val="0"/>
              <w:snapToGrid w:val="0"/>
              <w:spacing w:before="50" w:line="360" w:lineRule="auto"/>
              <w:ind w:left="-88" w:leftChars="-42"/>
              <w:jc w:val="center"/>
              <w:rPr>
                <w:rFonts w:ascii="宋体" w:hAnsi="宋体"/>
                <w:color w:val="auto"/>
                <w:szCs w:val="21"/>
                <w:highlight w:val="none"/>
              </w:rPr>
            </w:pPr>
          </w:p>
        </w:tc>
        <w:tc>
          <w:tcPr>
            <w:tcW w:w="1985" w:type="dxa"/>
            <w:vAlign w:val="center"/>
          </w:tcPr>
          <w:p w14:paraId="1F76A0F8">
            <w:pPr>
              <w:adjustRightInd w:val="0"/>
              <w:snapToGrid w:val="0"/>
              <w:spacing w:before="50" w:line="360" w:lineRule="auto"/>
              <w:ind w:left="-88" w:leftChars="-42"/>
              <w:jc w:val="center"/>
              <w:rPr>
                <w:rFonts w:ascii="宋体" w:hAnsi="宋体"/>
                <w:color w:val="auto"/>
                <w:szCs w:val="21"/>
                <w:highlight w:val="none"/>
              </w:rPr>
            </w:pPr>
          </w:p>
        </w:tc>
        <w:tc>
          <w:tcPr>
            <w:tcW w:w="2082" w:type="dxa"/>
            <w:tcBorders>
              <w:right w:val="single" w:color="auto" w:sz="4" w:space="0"/>
            </w:tcBorders>
            <w:vAlign w:val="center"/>
          </w:tcPr>
          <w:p w14:paraId="4E76548F">
            <w:pPr>
              <w:adjustRightInd w:val="0"/>
              <w:snapToGrid w:val="0"/>
              <w:spacing w:before="50" w:line="360" w:lineRule="auto"/>
              <w:ind w:left="-88" w:leftChars="-42"/>
              <w:jc w:val="center"/>
              <w:rPr>
                <w:rFonts w:ascii="宋体" w:hAnsi="宋体"/>
                <w:color w:val="auto"/>
                <w:szCs w:val="21"/>
                <w:highlight w:val="none"/>
              </w:rPr>
            </w:pPr>
          </w:p>
        </w:tc>
        <w:tc>
          <w:tcPr>
            <w:tcW w:w="1942" w:type="dxa"/>
            <w:tcBorders>
              <w:left w:val="single" w:color="auto" w:sz="4" w:space="0"/>
            </w:tcBorders>
            <w:vAlign w:val="center"/>
          </w:tcPr>
          <w:p w14:paraId="4E54A9DE">
            <w:pPr>
              <w:adjustRightInd w:val="0"/>
              <w:snapToGrid w:val="0"/>
              <w:spacing w:before="50" w:line="360" w:lineRule="auto"/>
              <w:ind w:left="-88" w:leftChars="-42"/>
              <w:jc w:val="center"/>
              <w:rPr>
                <w:rFonts w:ascii="宋体" w:hAnsi="宋体"/>
                <w:color w:val="auto"/>
                <w:szCs w:val="21"/>
                <w:highlight w:val="none"/>
              </w:rPr>
            </w:pPr>
          </w:p>
        </w:tc>
      </w:tr>
      <w:tr w14:paraId="0C0D418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6F9F5B8E">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07EF7970">
            <w:pPr>
              <w:adjustRightInd w:val="0"/>
              <w:snapToGrid w:val="0"/>
              <w:spacing w:before="50" w:line="360" w:lineRule="auto"/>
              <w:ind w:left="-88" w:leftChars="-42"/>
              <w:jc w:val="center"/>
              <w:rPr>
                <w:rFonts w:ascii="宋体" w:hAnsi="宋体"/>
                <w:color w:val="auto"/>
                <w:szCs w:val="21"/>
                <w:highlight w:val="none"/>
              </w:rPr>
            </w:pPr>
          </w:p>
        </w:tc>
        <w:tc>
          <w:tcPr>
            <w:tcW w:w="1985" w:type="dxa"/>
            <w:vAlign w:val="center"/>
          </w:tcPr>
          <w:p w14:paraId="34A0A13F">
            <w:pPr>
              <w:adjustRightInd w:val="0"/>
              <w:snapToGrid w:val="0"/>
              <w:spacing w:before="50" w:line="360" w:lineRule="auto"/>
              <w:ind w:left="-88" w:leftChars="-42"/>
              <w:jc w:val="center"/>
              <w:rPr>
                <w:rFonts w:ascii="宋体" w:hAnsi="宋体"/>
                <w:color w:val="auto"/>
                <w:szCs w:val="21"/>
                <w:highlight w:val="none"/>
              </w:rPr>
            </w:pPr>
          </w:p>
        </w:tc>
        <w:tc>
          <w:tcPr>
            <w:tcW w:w="2082" w:type="dxa"/>
            <w:tcBorders>
              <w:right w:val="single" w:color="auto" w:sz="4" w:space="0"/>
            </w:tcBorders>
            <w:vAlign w:val="center"/>
          </w:tcPr>
          <w:p w14:paraId="321FE0F5">
            <w:pPr>
              <w:adjustRightInd w:val="0"/>
              <w:snapToGrid w:val="0"/>
              <w:spacing w:before="50" w:line="360" w:lineRule="auto"/>
              <w:ind w:left="-88" w:leftChars="-42"/>
              <w:jc w:val="center"/>
              <w:rPr>
                <w:rFonts w:ascii="宋体" w:hAnsi="宋体"/>
                <w:color w:val="auto"/>
                <w:szCs w:val="21"/>
                <w:highlight w:val="none"/>
              </w:rPr>
            </w:pPr>
          </w:p>
        </w:tc>
        <w:tc>
          <w:tcPr>
            <w:tcW w:w="1942" w:type="dxa"/>
            <w:tcBorders>
              <w:left w:val="single" w:color="auto" w:sz="4" w:space="0"/>
            </w:tcBorders>
            <w:vAlign w:val="center"/>
          </w:tcPr>
          <w:p w14:paraId="1331F71C">
            <w:pPr>
              <w:adjustRightInd w:val="0"/>
              <w:snapToGrid w:val="0"/>
              <w:spacing w:before="50" w:line="360" w:lineRule="auto"/>
              <w:ind w:left="-88" w:leftChars="-42"/>
              <w:jc w:val="center"/>
              <w:rPr>
                <w:rFonts w:ascii="宋体" w:hAnsi="宋体"/>
                <w:color w:val="auto"/>
                <w:szCs w:val="21"/>
                <w:highlight w:val="none"/>
              </w:rPr>
            </w:pPr>
          </w:p>
        </w:tc>
      </w:tr>
      <w:tr w14:paraId="40B17D6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0B0EB8ED">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0B00211D">
            <w:pPr>
              <w:adjustRightInd w:val="0"/>
              <w:snapToGrid w:val="0"/>
              <w:spacing w:before="50" w:line="360" w:lineRule="auto"/>
              <w:ind w:left="-88" w:leftChars="-42"/>
              <w:jc w:val="center"/>
              <w:rPr>
                <w:rFonts w:ascii="宋体" w:hAnsi="宋体"/>
                <w:color w:val="auto"/>
                <w:szCs w:val="21"/>
                <w:highlight w:val="none"/>
              </w:rPr>
            </w:pPr>
          </w:p>
        </w:tc>
        <w:tc>
          <w:tcPr>
            <w:tcW w:w="1985" w:type="dxa"/>
            <w:vAlign w:val="center"/>
          </w:tcPr>
          <w:p w14:paraId="53CA27C0">
            <w:pPr>
              <w:adjustRightInd w:val="0"/>
              <w:snapToGrid w:val="0"/>
              <w:spacing w:before="50" w:line="360" w:lineRule="auto"/>
              <w:ind w:left="-88" w:leftChars="-42"/>
              <w:jc w:val="center"/>
              <w:rPr>
                <w:rFonts w:ascii="宋体" w:hAnsi="宋体"/>
                <w:color w:val="auto"/>
                <w:szCs w:val="21"/>
                <w:highlight w:val="none"/>
              </w:rPr>
            </w:pPr>
          </w:p>
        </w:tc>
        <w:tc>
          <w:tcPr>
            <w:tcW w:w="2082" w:type="dxa"/>
            <w:tcBorders>
              <w:right w:val="single" w:color="auto" w:sz="4" w:space="0"/>
            </w:tcBorders>
            <w:vAlign w:val="center"/>
          </w:tcPr>
          <w:p w14:paraId="4E546D90">
            <w:pPr>
              <w:adjustRightInd w:val="0"/>
              <w:snapToGrid w:val="0"/>
              <w:spacing w:before="50" w:line="360" w:lineRule="auto"/>
              <w:ind w:left="-88" w:leftChars="-42"/>
              <w:jc w:val="center"/>
              <w:rPr>
                <w:rFonts w:ascii="宋体" w:hAnsi="宋体"/>
                <w:color w:val="auto"/>
                <w:szCs w:val="21"/>
                <w:highlight w:val="none"/>
              </w:rPr>
            </w:pPr>
          </w:p>
        </w:tc>
        <w:tc>
          <w:tcPr>
            <w:tcW w:w="1942" w:type="dxa"/>
            <w:tcBorders>
              <w:left w:val="single" w:color="auto" w:sz="4" w:space="0"/>
            </w:tcBorders>
            <w:vAlign w:val="center"/>
          </w:tcPr>
          <w:p w14:paraId="628A8DA2">
            <w:pPr>
              <w:adjustRightInd w:val="0"/>
              <w:snapToGrid w:val="0"/>
              <w:spacing w:before="50" w:line="360" w:lineRule="auto"/>
              <w:ind w:left="-88" w:leftChars="-42"/>
              <w:jc w:val="center"/>
              <w:rPr>
                <w:rFonts w:ascii="宋体" w:hAnsi="宋体"/>
                <w:color w:val="auto"/>
                <w:szCs w:val="21"/>
                <w:highlight w:val="none"/>
              </w:rPr>
            </w:pPr>
          </w:p>
        </w:tc>
      </w:tr>
      <w:tr w14:paraId="6FB37F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1BD89EBA">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0607CD55">
            <w:pPr>
              <w:adjustRightInd w:val="0"/>
              <w:snapToGrid w:val="0"/>
              <w:spacing w:before="50" w:line="360" w:lineRule="auto"/>
              <w:ind w:left="-88" w:leftChars="-42"/>
              <w:jc w:val="center"/>
              <w:rPr>
                <w:rFonts w:ascii="宋体" w:hAnsi="宋体"/>
                <w:color w:val="auto"/>
                <w:szCs w:val="21"/>
                <w:highlight w:val="none"/>
              </w:rPr>
            </w:pPr>
          </w:p>
        </w:tc>
        <w:tc>
          <w:tcPr>
            <w:tcW w:w="1985" w:type="dxa"/>
            <w:vAlign w:val="center"/>
          </w:tcPr>
          <w:p w14:paraId="2095FF8D">
            <w:pPr>
              <w:adjustRightInd w:val="0"/>
              <w:snapToGrid w:val="0"/>
              <w:spacing w:before="50" w:line="360" w:lineRule="auto"/>
              <w:ind w:left="-88" w:leftChars="-42"/>
              <w:jc w:val="center"/>
              <w:rPr>
                <w:rFonts w:ascii="宋体" w:hAnsi="宋体"/>
                <w:color w:val="auto"/>
                <w:szCs w:val="21"/>
                <w:highlight w:val="none"/>
              </w:rPr>
            </w:pPr>
          </w:p>
        </w:tc>
        <w:tc>
          <w:tcPr>
            <w:tcW w:w="2082" w:type="dxa"/>
            <w:tcBorders>
              <w:right w:val="single" w:color="auto" w:sz="4" w:space="0"/>
            </w:tcBorders>
            <w:vAlign w:val="center"/>
          </w:tcPr>
          <w:p w14:paraId="44A15748">
            <w:pPr>
              <w:adjustRightInd w:val="0"/>
              <w:snapToGrid w:val="0"/>
              <w:spacing w:before="50" w:line="360" w:lineRule="auto"/>
              <w:ind w:left="-88" w:leftChars="-42"/>
              <w:jc w:val="center"/>
              <w:rPr>
                <w:rFonts w:ascii="宋体" w:hAnsi="宋体"/>
                <w:color w:val="auto"/>
                <w:szCs w:val="21"/>
                <w:highlight w:val="none"/>
              </w:rPr>
            </w:pPr>
          </w:p>
        </w:tc>
        <w:tc>
          <w:tcPr>
            <w:tcW w:w="1942" w:type="dxa"/>
            <w:tcBorders>
              <w:left w:val="single" w:color="auto" w:sz="4" w:space="0"/>
            </w:tcBorders>
            <w:vAlign w:val="center"/>
          </w:tcPr>
          <w:p w14:paraId="5A8A9E99">
            <w:pPr>
              <w:adjustRightInd w:val="0"/>
              <w:snapToGrid w:val="0"/>
              <w:spacing w:before="50" w:line="360" w:lineRule="auto"/>
              <w:ind w:left="-88" w:leftChars="-42"/>
              <w:jc w:val="center"/>
              <w:rPr>
                <w:rFonts w:ascii="宋体" w:hAnsi="宋体"/>
                <w:color w:val="auto"/>
                <w:szCs w:val="21"/>
                <w:highlight w:val="none"/>
              </w:rPr>
            </w:pPr>
          </w:p>
        </w:tc>
      </w:tr>
      <w:tr w14:paraId="0787CF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18FDE029">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160FAA4B">
            <w:pPr>
              <w:adjustRightInd w:val="0"/>
              <w:snapToGrid w:val="0"/>
              <w:spacing w:before="50" w:line="360" w:lineRule="auto"/>
              <w:ind w:left="-88" w:leftChars="-42"/>
              <w:jc w:val="center"/>
              <w:rPr>
                <w:rFonts w:ascii="宋体" w:hAnsi="宋体"/>
                <w:color w:val="auto"/>
                <w:szCs w:val="21"/>
                <w:highlight w:val="none"/>
              </w:rPr>
            </w:pPr>
          </w:p>
        </w:tc>
        <w:tc>
          <w:tcPr>
            <w:tcW w:w="1985" w:type="dxa"/>
            <w:vAlign w:val="center"/>
          </w:tcPr>
          <w:p w14:paraId="423B6006">
            <w:pPr>
              <w:adjustRightInd w:val="0"/>
              <w:snapToGrid w:val="0"/>
              <w:spacing w:before="50" w:line="360" w:lineRule="auto"/>
              <w:ind w:left="-88" w:leftChars="-42"/>
              <w:jc w:val="center"/>
              <w:rPr>
                <w:rFonts w:ascii="宋体" w:hAnsi="宋体"/>
                <w:color w:val="auto"/>
                <w:szCs w:val="21"/>
                <w:highlight w:val="none"/>
              </w:rPr>
            </w:pPr>
          </w:p>
        </w:tc>
        <w:tc>
          <w:tcPr>
            <w:tcW w:w="2082" w:type="dxa"/>
            <w:tcBorders>
              <w:right w:val="single" w:color="auto" w:sz="4" w:space="0"/>
            </w:tcBorders>
            <w:vAlign w:val="center"/>
          </w:tcPr>
          <w:p w14:paraId="43336B95">
            <w:pPr>
              <w:adjustRightInd w:val="0"/>
              <w:snapToGrid w:val="0"/>
              <w:spacing w:before="50" w:line="360" w:lineRule="auto"/>
              <w:ind w:left="-88" w:leftChars="-42"/>
              <w:jc w:val="center"/>
              <w:rPr>
                <w:rFonts w:ascii="宋体" w:hAnsi="宋体"/>
                <w:color w:val="auto"/>
                <w:szCs w:val="21"/>
                <w:highlight w:val="none"/>
              </w:rPr>
            </w:pPr>
          </w:p>
        </w:tc>
        <w:tc>
          <w:tcPr>
            <w:tcW w:w="1942" w:type="dxa"/>
            <w:tcBorders>
              <w:left w:val="single" w:color="auto" w:sz="4" w:space="0"/>
            </w:tcBorders>
            <w:vAlign w:val="center"/>
          </w:tcPr>
          <w:p w14:paraId="327FF5F9">
            <w:pPr>
              <w:adjustRightInd w:val="0"/>
              <w:snapToGrid w:val="0"/>
              <w:spacing w:before="50" w:line="360" w:lineRule="auto"/>
              <w:ind w:left="-88" w:leftChars="-42"/>
              <w:jc w:val="center"/>
              <w:rPr>
                <w:rFonts w:ascii="宋体" w:hAnsi="宋体"/>
                <w:color w:val="auto"/>
                <w:szCs w:val="21"/>
                <w:highlight w:val="none"/>
              </w:rPr>
            </w:pPr>
          </w:p>
        </w:tc>
      </w:tr>
      <w:tr w14:paraId="0B5146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B6782E1">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1144C146">
            <w:pPr>
              <w:adjustRightInd w:val="0"/>
              <w:snapToGrid w:val="0"/>
              <w:spacing w:before="50" w:line="360" w:lineRule="auto"/>
              <w:ind w:left="-88" w:leftChars="-42"/>
              <w:jc w:val="center"/>
              <w:rPr>
                <w:rFonts w:ascii="宋体" w:hAnsi="宋体"/>
                <w:color w:val="auto"/>
                <w:szCs w:val="21"/>
                <w:highlight w:val="none"/>
              </w:rPr>
            </w:pPr>
          </w:p>
        </w:tc>
        <w:tc>
          <w:tcPr>
            <w:tcW w:w="1985" w:type="dxa"/>
            <w:vAlign w:val="center"/>
          </w:tcPr>
          <w:p w14:paraId="2223DDCE">
            <w:pPr>
              <w:adjustRightInd w:val="0"/>
              <w:snapToGrid w:val="0"/>
              <w:spacing w:before="50" w:line="360" w:lineRule="auto"/>
              <w:ind w:left="-88" w:leftChars="-42"/>
              <w:jc w:val="center"/>
              <w:rPr>
                <w:rFonts w:ascii="宋体" w:hAnsi="宋体"/>
                <w:color w:val="auto"/>
                <w:szCs w:val="21"/>
                <w:highlight w:val="none"/>
              </w:rPr>
            </w:pPr>
          </w:p>
        </w:tc>
        <w:tc>
          <w:tcPr>
            <w:tcW w:w="4024" w:type="dxa"/>
            <w:gridSpan w:val="2"/>
            <w:vAlign w:val="center"/>
          </w:tcPr>
          <w:p w14:paraId="0FBB7E29">
            <w:pPr>
              <w:adjustRightInd w:val="0"/>
              <w:snapToGrid w:val="0"/>
              <w:spacing w:before="50" w:line="360" w:lineRule="auto"/>
              <w:ind w:firstLine="422" w:firstLineChars="200"/>
              <w:jc w:val="left"/>
              <w:rPr>
                <w:rFonts w:ascii="宋体" w:hAnsi="宋体"/>
                <w:b/>
                <w:color w:val="auto"/>
                <w:szCs w:val="21"/>
                <w:highlight w:val="none"/>
              </w:rPr>
            </w:pPr>
            <w:r>
              <w:rPr>
                <w:rFonts w:hint="eastAsia" w:ascii="宋体" w:hAnsi="宋体"/>
                <w:b/>
                <w:color w:val="auto"/>
                <w:szCs w:val="21"/>
                <w:highlight w:val="none"/>
              </w:rPr>
              <w:t>投标人保证：除本合同条款偏离表列出的偏离外，我单位对招标文件的其他商务、合同条款完全响应，无偏离。</w:t>
            </w:r>
          </w:p>
        </w:tc>
      </w:tr>
    </w:tbl>
    <w:p w14:paraId="5F1F11A7">
      <w:pPr>
        <w:adjustRightInd w:val="0"/>
        <w:snapToGrid w:val="0"/>
        <w:spacing w:before="50" w:line="360" w:lineRule="auto"/>
        <w:ind w:left="-88" w:leftChars="-42"/>
        <w:rPr>
          <w:rFonts w:ascii="宋体" w:hAnsi="宋体"/>
          <w:color w:val="auto"/>
          <w:szCs w:val="21"/>
          <w:highlight w:val="none"/>
        </w:rPr>
      </w:pPr>
      <w:r>
        <w:rPr>
          <w:rFonts w:hint="eastAsia" w:ascii="宋体" w:hAnsi="宋体"/>
          <w:bCs/>
          <w:color w:val="auto"/>
          <w:szCs w:val="21"/>
          <w:highlight w:val="none"/>
        </w:rPr>
        <w:t>注：</w:t>
      </w:r>
      <w:r>
        <w:rPr>
          <w:rFonts w:hint="eastAsia" w:ascii="宋体" w:hAnsi="宋体"/>
          <w:color w:val="auto"/>
          <w:szCs w:val="21"/>
          <w:highlight w:val="none"/>
        </w:rPr>
        <w:t>1.投标人应根据招标文件第六章</w:t>
      </w:r>
      <w:r>
        <w:rPr>
          <w:rFonts w:hint="eastAsia" w:ascii="华文宋体" w:hAnsi="华文宋体" w:eastAsia="华文宋体"/>
          <w:color w:val="auto"/>
          <w:szCs w:val="21"/>
          <w:highlight w:val="none"/>
        </w:rPr>
        <w:t>“</w:t>
      </w:r>
      <w:r>
        <w:rPr>
          <w:rFonts w:hint="eastAsia" w:ascii="宋体" w:hAnsi="宋体"/>
          <w:color w:val="auto"/>
          <w:szCs w:val="21"/>
          <w:highlight w:val="none"/>
        </w:rPr>
        <w:t>政府采购合同</w:t>
      </w:r>
      <w:r>
        <w:rPr>
          <w:rFonts w:hint="eastAsia" w:ascii="华文宋体" w:hAnsi="华文宋体" w:eastAsia="华文宋体"/>
          <w:color w:val="auto"/>
          <w:szCs w:val="21"/>
          <w:highlight w:val="none"/>
        </w:rPr>
        <w:t>”</w:t>
      </w:r>
      <w:r>
        <w:rPr>
          <w:rFonts w:hint="eastAsia" w:ascii="宋体" w:hAnsi="宋体"/>
          <w:color w:val="auto"/>
          <w:szCs w:val="21"/>
          <w:highlight w:val="none"/>
        </w:rPr>
        <w:t>填写本表；</w:t>
      </w:r>
    </w:p>
    <w:p w14:paraId="687ED533">
      <w:pPr>
        <w:adjustRightInd w:val="0"/>
        <w:snapToGrid w:val="0"/>
        <w:spacing w:before="50" w:line="360" w:lineRule="auto"/>
        <w:ind w:left="-88" w:leftChars="-42" w:firstLine="420" w:firstLineChars="200"/>
        <w:rPr>
          <w:rFonts w:ascii="宋体" w:hAnsi="宋体"/>
          <w:b/>
          <w:color w:val="auto"/>
          <w:szCs w:val="21"/>
          <w:highlight w:val="none"/>
        </w:rPr>
      </w:pPr>
      <w:r>
        <w:rPr>
          <w:rFonts w:hint="eastAsia" w:ascii="宋体" w:hAnsi="宋体"/>
          <w:color w:val="auto"/>
          <w:szCs w:val="21"/>
          <w:highlight w:val="none"/>
        </w:rPr>
        <w:t>2.</w:t>
      </w:r>
      <w:r>
        <w:rPr>
          <w:rFonts w:hint="eastAsia" w:ascii="宋体" w:hAnsi="宋体"/>
          <w:b/>
          <w:color w:val="auto"/>
          <w:szCs w:val="21"/>
          <w:highlight w:val="none"/>
        </w:rPr>
        <w:t>投标人如果对招标文件第六章“政府采购合同”的响应有偏离，应将偏离条款逐条如实应答，并作出说明；</w:t>
      </w:r>
    </w:p>
    <w:p w14:paraId="5D9673E6">
      <w:pPr>
        <w:adjustRightInd w:val="0"/>
        <w:snapToGrid w:val="0"/>
        <w:spacing w:before="50" w:line="360" w:lineRule="auto"/>
        <w:ind w:left="-88" w:leftChars="-42" w:firstLine="420" w:firstLineChars="200"/>
        <w:rPr>
          <w:rFonts w:ascii="宋体" w:hAnsi="宋体"/>
          <w:color w:val="auto"/>
          <w:szCs w:val="21"/>
          <w:highlight w:val="none"/>
        </w:rPr>
      </w:pPr>
      <w:r>
        <w:rPr>
          <w:rFonts w:hint="eastAsia" w:ascii="宋体" w:hAnsi="宋体"/>
          <w:color w:val="auto"/>
          <w:szCs w:val="21"/>
          <w:highlight w:val="none"/>
        </w:rPr>
        <w:t>3.如不提供此表，则视为投标人不满足招标文件第六章的所有条款要求，其</w:t>
      </w:r>
      <w:r>
        <w:rPr>
          <w:rFonts w:hint="eastAsia" w:ascii="宋体" w:hAnsi="宋体"/>
          <w:b/>
          <w:color w:val="auto"/>
          <w:szCs w:val="21"/>
          <w:highlight w:val="none"/>
        </w:rPr>
        <w:t>投标无效</w:t>
      </w:r>
      <w:r>
        <w:rPr>
          <w:rFonts w:hint="eastAsia" w:ascii="宋体" w:hAnsi="宋体"/>
          <w:color w:val="auto"/>
          <w:szCs w:val="21"/>
          <w:highlight w:val="none"/>
        </w:rPr>
        <w:t>。</w:t>
      </w:r>
    </w:p>
    <w:p w14:paraId="5E23837C">
      <w:pPr>
        <w:adjustRightInd w:val="0"/>
        <w:snapToGrid w:val="0"/>
        <w:spacing w:before="50" w:line="360" w:lineRule="auto"/>
        <w:ind w:left="-88" w:leftChars="-42" w:firstLine="420" w:firstLineChars="200"/>
        <w:rPr>
          <w:rFonts w:ascii="宋体" w:hAnsi="宋体"/>
          <w:color w:val="auto"/>
          <w:szCs w:val="21"/>
          <w:highlight w:val="none"/>
        </w:rPr>
      </w:pPr>
      <w:r>
        <w:rPr>
          <w:rFonts w:hint="eastAsia" w:ascii="宋体" w:hAnsi="宋体"/>
          <w:color w:val="auto"/>
          <w:szCs w:val="21"/>
          <w:highlight w:val="none"/>
        </w:rPr>
        <w:t>4.在采购人与中标人签订合同时，如中标人未在投标文件“合同条款偏离表”中列出偏离说明，无论已发生或即将发生任何情形，均视为完全符合招标文件要求，并写入合同。若中标人在合同签订前，以上述事项为借口而不履行合同签订手续及执行合同，则视作拒绝与采购人签订合同。</w:t>
      </w:r>
    </w:p>
    <w:p w14:paraId="421703C9">
      <w:pPr>
        <w:adjustRightInd w:val="0"/>
        <w:snapToGrid w:val="0"/>
        <w:spacing w:before="50" w:line="360" w:lineRule="auto"/>
        <w:rPr>
          <w:rFonts w:ascii="宋体" w:hAnsi="宋体"/>
          <w:color w:val="auto"/>
          <w:szCs w:val="21"/>
          <w:highlight w:val="none"/>
        </w:rPr>
      </w:pPr>
    </w:p>
    <w:p w14:paraId="2F31C9F7">
      <w:pPr>
        <w:adjustRightInd w:val="0"/>
        <w:snapToGrid w:val="0"/>
        <w:spacing w:before="50" w:line="360" w:lineRule="auto"/>
        <w:rPr>
          <w:rFonts w:ascii="宋体" w:hAnsi="宋体"/>
          <w:color w:val="auto"/>
          <w:szCs w:val="21"/>
          <w:highlight w:val="none"/>
        </w:rPr>
      </w:pPr>
    </w:p>
    <w:p w14:paraId="31869E78">
      <w:pPr>
        <w:adjustRightInd w:val="0"/>
        <w:snapToGrid w:val="0"/>
        <w:spacing w:before="50" w:line="360" w:lineRule="auto"/>
        <w:rPr>
          <w:rFonts w:ascii="宋体" w:hAnsi="宋体"/>
          <w:color w:val="auto"/>
          <w:szCs w:val="21"/>
          <w:highlight w:val="none"/>
        </w:rPr>
      </w:pPr>
      <w:r>
        <w:rPr>
          <w:rFonts w:hint="eastAsia" w:ascii="宋体" w:hAnsi="宋体"/>
          <w:color w:val="auto"/>
          <w:szCs w:val="21"/>
          <w:highlight w:val="none"/>
        </w:rPr>
        <w:t>投标人名称（盖单位章）：</w:t>
      </w:r>
    </w:p>
    <w:p w14:paraId="66A1CD78">
      <w:pPr>
        <w:adjustRightInd w:val="0"/>
        <w:snapToGrid w:val="0"/>
        <w:spacing w:before="50" w:line="360" w:lineRule="auto"/>
        <w:rPr>
          <w:rFonts w:ascii="宋体" w:hAnsi="宋体"/>
          <w:color w:val="auto"/>
          <w:szCs w:val="21"/>
          <w:highlight w:val="non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或其授权的代理人（签字或印章）：</w:t>
      </w:r>
      <w:r>
        <w:rPr>
          <w:rFonts w:hint="eastAsia" w:ascii="宋体" w:hAnsi="宋体"/>
          <w:color w:val="auto"/>
          <w:szCs w:val="21"/>
          <w:highlight w:val="none"/>
          <w:u w:val="single"/>
        </w:rPr>
        <w:t xml:space="preserve">                     </w:t>
      </w:r>
    </w:p>
    <w:p w14:paraId="4A0908EB">
      <w:pPr>
        <w:adjustRightInd w:val="0"/>
        <w:snapToGrid w:val="0"/>
        <w:spacing w:before="50" w:line="168" w:lineRule="auto"/>
        <w:rPr>
          <w:rFonts w:ascii="黑体" w:hAnsi="宋体" w:eastAsia="黑体"/>
          <w:b/>
          <w:bCs/>
          <w:color w:val="auto"/>
          <w:sz w:val="28"/>
          <w:szCs w:val="28"/>
          <w:highlight w:val="none"/>
        </w:rPr>
      </w:pPr>
      <w:r>
        <w:rPr>
          <w:rFonts w:hint="eastAsia" w:ascii="宋体" w:hAnsi="宋体"/>
          <w:color w:val="auto"/>
          <w:szCs w:val="21"/>
          <w:highlight w:val="none"/>
        </w:rPr>
        <w:t>日       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_日</w:t>
      </w:r>
      <w:r>
        <w:rPr>
          <w:rFonts w:ascii="黑体" w:hAnsi="宋体" w:eastAsia="黑体"/>
          <w:color w:val="auto"/>
          <w:sz w:val="28"/>
          <w:szCs w:val="28"/>
          <w:highlight w:val="none"/>
        </w:rPr>
        <w:br w:type="page"/>
      </w:r>
    </w:p>
    <w:p w14:paraId="642CCA8A">
      <w:pPr>
        <w:pStyle w:val="11"/>
        <w:adjustRightInd w:val="0"/>
        <w:snapToGrid w:val="0"/>
        <w:spacing w:before="156" w:beforeLines="50" w:after="0" w:line="360" w:lineRule="auto"/>
        <w:jc w:val="center"/>
        <w:rPr>
          <w:rFonts w:ascii="黑体" w:hAnsi="宋体" w:eastAsia="黑体"/>
          <w:color w:val="auto"/>
          <w:sz w:val="28"/>
          <w:szCs w:val="28"/>
          <w:highlight w:val="none"/>
        </w:rPr>
      </w:pPr>
      <w:bookmarkStart w:id="112" w:name="_Toc4022"/>
      <w:r>
        <w:rPr>
          <w:rFonts w:hint="eastAsia" w:ascii="黑体" w:hAnsi="宋体" w:eastAsia="黑体"/>
          <w:color w:val="auto"/>
          <w:sz w:val="28"/>
          <w:szCs w:val="28"/>
          <w:highlight w:val="none"/>
        </w:rPr>
        <w:t>九、采购需求偏离表</w:t>
      </w:r>
      <w:bookmarkEnd w:id="112"/>
    </w:p>
    <w:p w14:paraId="4CD1B901">
      <w:pPr>
        <w:adjustRightInd w:val="0"/>
        <w:snapToGrid w:val="0"/>
        <w:spacing w:before="156" w:beforeLines="50" w:line="360" w:lineRule="auto"/>
        <w:rPr>
          <w:rFonts w:ascii="宋体" w:hAnsi="宋体"/>
          <w:color w:val="auto"/>
          <w:szCs w:val="21"/>
          <w:highlight w:val="none"/>
          <w:u w:val="single"/>
        </w:rPr>
      </w:pPr>
      <w:r>
        <w:rPr>
          <w:rFonts w:hint="eastAsia" w:ascii="宋体" w:hAnsi="宋体"/>
          <w:color w:val="auto"/>
          <w:spacing w:val="28"/>
          <w:szCs w:val="21"/>
          <w:highlight w:val="none"/>
        </w:rPr>
        <w:t>政府采购计划编号</w:t>
      </w:r>
      <w:r>
        <w:rPr>
          <w:rFonts w:hint="eastAsia" w:ascii="宋体" w:hAnsi="宋体"/>
          <w:color w:val="auto"/>
          <w:szCs w:val="21"/>
          <w:highlight w:val="non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项目名称：</w:t>
      </w:r>
      <w:r>
        <w:rPr>
          <w:rFonts w:hint="eastAsia" w:ascii="宋体" w:hAnsi="宋体"/>
          <w:color w:val="auto"/>
          <w:szCs w:val="21"/>
          <w:highlight w:val="none"/>
          <w:u w:val="single"/>
        </w:rPr>
        <w:t xml:space="preserve">                   </w:t>
      </w:r>
    </w:p>
    <w:p w14:paraId="2E5831EC">
      <w:pPr>
        <w:adjustRightInd w:val="0"/>
        <w:snapToGrid w:val="0"/>
        <w:spacing w:before="156" w:beforeLines="50" w:line="360" w:lineRule="auto"/>
        <w:rPr>
          <w:rFonts w:ascii="宋体" w:hAnsi="宋体"/>
          <w:color w:val="auto"/>
          <w:szCs w:val="21"/>
          <w:highlight w:val="none"/>
          <w:u w:val="single"/>
        </w:rPr>
      </w:pPr>
      <w:r>
        <w:rPr>
          <w:rFonts w:hint="eastAsia" w:ascii="宋体" w:hAnsi="宋体"/>
          <w:color w:val="auto"/>
          <w:szCs w:val="21"/>
          <w:highlight w:val="none"/>
        </w:rPr>
        <w:t>包           号：</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包名称：</w:t>
      </w:r>
      <w:r>
        <w:rPr>
          <w:rFonts w:hint="eastAsia" w:ascii="宋体" w:hAnsi="宋体"/>
          <w:color w:val="auto"/>
          <w:szCs w:val="21"/>
          <w:highlight w:val="none"/>
          <w:u w:val="single"/>
        </w:rPr>
        <w:t xml:space="preserve">                    </w:t>
      </w:r>
    </w:p>
    <w:tbl>
      <w:tblPr>
        <w:tblStyle w:val="29"/>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756"/>
      </w:tblGrid>
      <w:tr w14:paraId="091A0E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vAlign w:val="center"/>
          </w:tcPr>
          <w:p w14:paraId="47AE4C41">
            <w:pPr>
              <w:adjustRightInd w:val="0"/>
              <w:snapToGrid w:val="0"/>
              <w:spacing w:before="50" w:line="360" w:lineRule="auto"/>
              <w:ind w:left="-88" w:leftChars="-42"/>
              <w:jc w:val="center"/>
              <w:rPr>
                <w:rFonts w:ascii="宋体" w:hAnsi="宋体"/>
                <w:color w:val="auto"/>
                <w:szCs w:val="21"/>
                <w:highlight w:val="none"/>
              </w:rPr>
            </w:pPr>
            <w:r>
              <w:rPr>
                <w:rFonts w:hint="eastAsia" w:ascii="宋体" w:hAnsi="宋体"/>
                <w:bCs/>
                <w:color w:val="auto"/>
                <w:szCs w:val="21"/>
                <w:highlight w:val="none"/>
              </w:rPr>
              <w:t>序</w:t>
            </w:r>
            <w:r>
              <w:rPr>
                <w:rFonts w:hint="eastAsia" w:ascii="宋体" w:hAnsi="宋体"/>
                <w:color w:val="auto"/>
                <w:szCs w:val="21"/>
                <w:highlight w:val="none"/>
              </w:rPr>
              <w:t>号</w:t>
            </w:r>
          </w:p>
        </w:tc>
        <w:tc>
          <w:tcPr>
            <w:tcW w:w="2410" w:type="dxa"/>
            <w:vAlign w:val="center"/>
          </w:tcPr>
          <w:p w14:paraId="4263086B">
            <w:pPr>
              <w:adjustRightInd w:val="0"/>
              <w:snapToGrid w:val="0"/>
              <w:spacing w:before="50" w:line="360" w:lineRule="auto"/>
              <w:ind w:left="-88" w:leftChars="-42"/>
              <w:jc w:val="center"/>
              <w:rPr>
                <w:rFonts w:ascii="宋体" w:hAnsi="宋体"/>
                <w:color w:val="auto"/>
                <w:szCs w:val="21"/>
                <w:highlight w:val="none"/>
              </w:rPr>
            </w:pPr>
            <w:r>
              <w:rPr>
                <w:rFonts w:hint="eastAsia" w:ascii="宋体" w:hAnsi="宋体"/>
                <w:color w:val="auto"/>
                <w:szCs w:val="21"/>
                <w:highlight w:val="none"/>
              </w:rPr>
              <w:t>招标文件章节</w:t>
            </w:r>
            <w:r>
              <w:rPr>
                <w:rFonts w:hint="eastAsia" w:ascii="宋体" w:hAnsi="宋体"/>
                <w:bCs/>
                <w:color w:val="auto"/>
                <w:szCs w:val="21"/>
                <w:highlight w:val="none"/>
              </w:rPr>
              <w:t>条</w:t>
            </w:r>
            <w:r>
              <w:rPr>
                <w:rFonts w:hint="eastAsia" w:ascii="宋体" w:hAnsi="宋体"/>
                <w:color w:val="auto"/>
                <w:szCs w:val="21"/>
                <w:highlight w:val="none"/>
              </w:rPr>
              <w:t>款号</w:t>
            </w:r>
          </w:p>
        </w:tc>
        <w:tc>
          <w:tcPr>
            <w:tcW w:w="1985" w:type="dxa"/>
            <w:tcBorders>
              <w:right w:val="single" w:color="auto" w:sz="4" w:space="0"/>
            </w:tcBorders>
          </w:tcPr>
          <w:p w14:paraId="226908A3">
            <w:pPr>
              <w:adjustRightInd w:val="0"/>
              <w:snapToGrid w:val="0"/>
              <w:spacing w:before="50" w:line="360" w:lineRule="auto"/>
              <w:jc w:val="center"/>
              <w:rPr>
                <w:color w:val="auto"/>
                <w:highlight w:val="none"/>
              </w:rPr>
            </w:pPr>
            <w:r>
              <w:rPr>
                <w:rFonts w:hint="eastAsia"/>
                <w:color w:val="auto"/>
                <w:highlight w:val="none"/>
              </w:rPr>
              <w:t>招标文件要求</w:t>
            </w:r>
          </w:p>
        </w:tc>
        <w:tc>
          <w:tcPr>
            <w:tcW w:w="2126" w:type="dxa"/>
            <w:tcBorders>
              <w:left w:val="single" w:color="auto" w:sz="4" w:space="0"/>
            </w:tcBorders>
          </w:tcPr>
          <w:p w14:paraId="4D389A10">
            <w:pPr>
              <w:adjustRightInd w:val="0"/>
              <w:snapToGrid w:val="0"/>
              <w:spacing w:before="50" w:line="360" w:lineRule="auto"/>
              <w:jc w:val="center"/>
              <w:rPr>
                <w:color w:val="auto"/>
                <w:highlight w:val="none"/>
              </w:rPr>
            </w:pPr>
            <w:r>
              <w:rPr>
                <w:rFonts w:hint="eastAsia"/>
                <w:color w:val="auto"/>
                <w:highlight w:val="none"/>
              </w:rPr>
              <w:t>投标文件应答</w:t>
            </w:r>
          </w:p>
        </w:tc>
        <w:tc>
          <w:tcPr>
            <w:tcW w:w="1756" w:type="dxa"/>
            <w:vAlign w:val="center"/>
          </w:tcPr>
          <w:p w14:paraId="38475C05">
            <w:pPr>
              <w:adjustRightInd w:val="0"/>
              <w:snapToGrid w:val="0"/>
              <w:spacing w:before="50" w:line="360" w:lineRule="auto"/>
              <w:ind w:left="-88" w:leftChars="-42"/>
              <w:jc w:val="center"/>
              <w:rPr>
                <w:rFonts w:ascii="宋体" w:hAnsi="宋体"/>
                <w:color w:val="auto"/>
                <w:szCs w:val="21"/>
                <w:highlight w:val="none"/>
              </w:rPr>
            </w:pPr>
            <w:r>
              <w:rPr>
                <w:rFonts w:hint="eastAsia" w:ascii="宋体" w:hAnsi="宋体"/>
                <w:color w:val="auto"/>
                <w:szCs w:val="21"/>
                <w:highlight w:val="none"/>
              </w:rPr>
              <w:t>偏离说明</w:t>
            </w:r>
          </w:p>
        </w:tc>
      </w:tr>
      <w:tr w14:paraId="5238F5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24756479">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72601D64">
            <w:pPr>
              <w:adjustRightInd w:val="0"/>
              <w:snapToGrid w:val="0"/>
              <w:spacing w:before="50" w:line="360" w:lineRule="auto"/>
              <w:ind w:left="-88" w:leftChars="-42"/>
              <w:jc w:val="center"/>
              <w:rPr>
                <w:rFonts w:ascii="宋体" w:hAnsi="宋体"/>
                <w:color w:val="auto"/>
                <w:szCs w:val="21"/>
                <w:highlight w:val="none"/>
              </w:rPr>
            </w:pPr>
          </w:p>
        </w:tc>
        <w:tc>
          <w:tcPr>
            <w:tcW w:w="1985" w:type="dxa"/>
            <w:tcBorders>
              <w:right w:val="single" w:color="auto" w:sz="4" w:space="0"/>
            </w:tcBorders>
            <w:vAlign w:val="center"/>
          </w:tcPr>
          <w:p w14:paraId="7336CA74">
            <w:pPr>
              <w:adjustRightInd w:val="0"/>
              <w:snapToGrid w:val="0"/>
              <w:spacing w:before="50" w:line="360" w:lineRule="auto"/>
              <w:ind w:left="-88" w:leftChars="-42"/>
              <w:jc w:val="center"/>
              <w:rPr>
                <w:rFonts w:ascii="宋体" w:hAnsi="宋体"/>
                <w:color w:val="auto"/>
                <w:szCs w:val="21"/>
                <w:highlight w:val="none"/>
              </w:rPr>
            </w:pPr>
          </w:p>
        </w:tc>
        <w:tc>
          <w:tcPr>
            <w:tcW w:w="2126" w:type="dxa"/>
            <w:tcBorders>
              <w:left w:val="single" w:color="auto" w:sz="4" w:space="0"/>
            </w:tcBorders>
            <w:vAlign w:val="center"/>
          </w:tcPr>
          <w:p w14:paraId="395CB95E">
            <w:pPr>
              <w:adjustRightInd w:val="0"/>
              <w:snapToGrid w:val="0"/>
              <w:spacing w:before="50" w:line="360" w:lineRule="auto"/>
              <w:ind w:left="-88" w:leftChars="-42"/>
              <w:jc w:val="center"/>
              <w:rPr>
                <w:rFonts w:ascii="宋体" w:hAnsi="宋体"/>
                <w:color w:val="auto"/>
                <w:szCs w:val="21"/>
                <w:highlight w:val="none"/>
              </w:rPr>
            </w:pPr>
          </w:p>
        </w:tc>
        <w:tc>
          <w:tcPr>
            <w:tcW w:w="1756" w:type="dxa"/>
            <w:vAlign w:val="center"/>
          </w:tcPr>
          <w:p w14:paraId="4360C098">
            <w:pPr>
              <w:adjustRightInd w:val="0"/>
              <w:snapToGrid w:val="0"/>
              <w:spacing w:before="50" w:line="360" w:lineRule="auto"/>
              <w:ind w:left="-88" w:leftChars="-42"/>
              <w:jc w:val="center"/>
              <w:rPr>
                <w:rFonts w:ascii="宋体" w:hAnsi="宋体"/>
                <w:color w:val="auto"/>
                <w:szCs w:val="21"/>
                <w:highlight w:val="none"/>
              </w:rPr>
            </w:pPr>
          </w:p>
        </w:tc>
      </w:tr>
      <w:tr w14:paraId="2092AD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14BEDA92">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6154324B">
            <w:pPr>
              <w:adjustRightInd w:val="0"/>
              <w:snapToGrid w:val="0"/>
              <w:spacing w:before="50" w:line="360" w:lineRule="auto"/>
              <w:ind w:left="-88" w:leftChars="-42"/>
              <w:jc w:val="center"/>
              <w:rPr>
                <w:rFonts w:ascii="宋体" w:hAnsi="宋体"/>
                <w:color w:val="auto"/>
                <w:szCs w:val="21"/>
                <w:highlight w:val="none"/>
              </w:rPr>
            </w:pPr>
          </w:p>
        </w:tc>
        <w:tc>
          <w:tcPr>
            <w:tcW w:w="1985" w:type="dxa"/>
            <w:tcBorders>
              <w:right w:val="single" w:color="auto" w:sz="4" w:space="0"/>
            </w:tcBorders>
            <w:vAlign w:val="center"/>
          </w:tcPr>
          <w:p w14:paraId="26864A27">
            <w:pPr>
              <w:adjustRightInd w:val="0"/>
              <w:snapToGrid w:val="0"/>
              <w:spacing w:before="50" w:line="360" w:lineRule="auto"/>
              <w:ind w:left="-88" w:leftChars="-42"/>
              <w:jc w:val="center"/>
              <w:rPr>
                <w:rFonts w:ascii="宋体" w:hAnsi="宋体"/>
                <w:color w:val="auto"/>
                <w:szCs w:val="21"/>
                <w:highlight w:val="none"/>
              </w:rPr>
            </w:pPr>
          </w:p>
        </w:tc>
        <w:tc>
          <w:tcPr>
            <w:tcW w:w="2126" w:type="dxa"/>
            <w:tcBorders>
              <w:left w:val="single" w:color="auto" w:sz="4" w:space="0"/>
            </w:tcBorders>
            <w:vAlign w:val="center"/>
          </w:tcPr>
          <w:p w14:paraId="1788E034">
            <w:pPr>
              <w:adjustRightInd w:val="0"/>
              <w:snapToGrid w:val="0"/>
              <w:spacing w:before="50" w:line="360" w:lineRule="auto"/>
              <w:ind w:left="-88" w:leftChars="-42"/>
              <w:jc w:val="center"/>
              <w:rPr>
                <w:rFonts w:ascii="宋体" w:hAnsi="宋体"/>
                <w:color w:val="auto"/>
                <w:szCs w:val="21"/>
                <w:highlight w:val="none"/>
              </w:rPr>
            </w:pPr>
          </w:p>
        </w:tc>
        <w:tc>
          <w:tcPr>
            <w:tcW w:w="1756" w:type="dxa"/>
            <w:vAlign w:val="center"/>
          </w:tcPr>
          <w:p w14:paraId="54DB62CA">
            <w:pPr>
              <w:adjustRightInd w:val="0"/>
              <w:snapToGrid w:val="0"/>
              <w:spacing w:before="50" w:line="360" w:lineRule="auto"/>
              <w:ind w:left="-88" w:leftChars="-42"/>
              <w:jc w:val="center"/>
              <w:rPr>
                <w:rFonts w:ascii="宋体" w:hAnsi="宋体"/>
                <w:color w:val="auto"/>
                <w:szCs w:val="21"/>
                <w:highlight w:val="none"/>
              </w:rPr>
            </w:pPr>
          </w:p>
        </w:tc>
      </w:tr>
      <w:tr w14:paraId="78ABC7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199E3B65">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0EBB81AD">
            <w:pPr>
              <w:adjustRightInd w:val="0"/>
              <w:snapToGrid w:val="0"/>
              <w:spacing w:before="50" w:line="360" w:lineRule="auto"/>
              <w:ind w:left="-88" w:leftChars="-42"/>
              <w:jc w:val="center"/>
              <w:rPr>
                <w:rFonts w:ascii="宋体" w:hAnsi="宋体"/>
                <w:color w:val="auto"/>
                <w:szCs w:val="21"/>
                <w:highlight w:val="none"/>
              </w:rPr>
            </w:pPr>
          </w:p>
        </w:tc>
        <w:tc>
          <w:tcPr>
            <w:tcW w:w="1985" w:type="dxa"/>
            <w:tcBorders>
              <w:right w:val="single" w:color="auto" w:sz="4" w:space="0"/>
            </w:tcBorders>
            <w:vAlign w:val="center"/>
          </w:tcPr>
          <w:p w14:paraId="5FB37E89">
            <w:pPr>
              <w:adjustRightInd w:val="0"/>
              <w:snapToGrid w:val="0"/>
              <w:spacing w:before="50" w:line="360" w:lineRule="auto"/>
              <w:ind w:left="-88" w:leftChars="-42"/>
              <w:jc w:val="center"/>
              <w:rPr>
                <w:rFonts w:ascii="宋体" w:hAnsi="宋体"/>
                <w:color w:val="auto"/>
                <w:szCs w:val="21"/>
                <w:highlight w:val="none"/>
              </w:rPr>
            </w:pPr>
          </w:p>
        </w:tc>
        <w:tc>
          <w:tcPr>
            <w:tcW w:w="2126" w:type="dxa"/>
            <w:tcBorders>
              <w:left w:val="single" w:color="auto" w:sz="4" w:space="0"/>
            </w:tcBorders>
            <w:vAlign w:val="center"/>
          </w:tcPr>
          <w:p w14:paraId="325D2192">
            <w:pPr>
              <w:adjustRightInd w:val="0"/>
              <w:snapToGrid w:val="0"/>
              <w:spacing w:before="50" w:line="360" w:lineRule="auto"/>
              <w:ind w:left="-88" w:leftChars="-42"/>
              <w:jc w:val="center"/>
              <w:rPr>
                <w:rFonts w:ascii="宋体" w:hAnsi="宋体"/>
                <w:color w:val="auto"/>
                <w:szCs w:val="21"/>
                <w:highlight w:val="none"/>
              </w:rPr>
            </w:pPr>
          </w:p>
        </w:tc>
        <w:tc>
          <w:tcPr>
            <w:tcW w:w="1756" w:type="dxa"/>
            <w:vAlign w:val="center"/>
          </w:tcPr>
          <w:p w14:paraId="49CE99C6">
            <w:pPr>
              <w:adjustRightInd w:val="0"/>
              <w:snapToGrid w:val="0"/>
              <w:spacing w:before="50" w:line="360" w:lineRule="auto"/>
              <w:ind w:left="-88" w:leftChars="-42"/>
              <w:jc w:val="center"/>
              <w:rPr>
                <w:rFonts w:ascii="宋体" w:hAnsi="宋体"/>
                <w:color w:val="auto"/>
                <w:szCs w:val="21"/>
                <w:highlight w:val="none"/>
              </w:rPr>
            </w:pPr>
          </w:p>
        </w:tc>
      </w:tr>
      <w:tr w14:paraId="0FA366D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4A0A0222">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4C526D66">
            <w:pPr>
              <w:adjustRightInd w:val="0"/>
              <w:snapToGrid w:val="0"/>
              <w:spacing w:before="50" w:line="360" w:lineRule="auto"/>
              <w:ind w:left="-88" w:leftChars="-42"/>
              <w:jc w:val="center"/>
              <w:rPr>
                <w:rFonts w:ascii="宋体" w:hAnsi="宋体"/>
                <w:color w:val="auto"/>
                <w:szCs w:val="21"/>
                <w:highlight w:val="none"/>
              </w:rPr>
            </w:pPr>
          </w:p>
        </w:tc>
        <w:tc>
          <w:tcPr>
            <w:tcW w:w="1985" w:type="dxa"/>
            <w:tcBorders>
              <w:right w:val="single" w:color="auto" w:sz="4" w:space="0"/>
            </w:tcBorders>
            <w:vAlign w:val="center"/>
          </w:tcPr>
          <w:p w14:paraId="35252D73">
            <w:pPr>
              <w:adjustRightInd w:val="0"/>
              <w:snapToGrid w:val="0"/>
              <w:spacing w:before="50" w:line="360" w:lineRule="auto"/>
              <w:ind w:left="-88" w:leftChars="-42"/>
              <w:jc w:val="center"/>
              <w:rPr>
                <w:rFonts w:ascii="宋体" w:hAnsi="宋体"/>
                <w:color w:val="auto"/>
                <w:szCs w:val="21"/>
                <w:highlight w:val="none"/>
              </w:rPr>
            </w:pPr>
          </w:p>
        </w:tc>
        <w:tc>
          <w:tcPr>
            <w:tcW w:w="2126" w:type="dxa"/>
            <w:tcBorders>
              <w:left w:val="single" w:color="auto" w:sz="4" w:space="0"/>
            </w:tcBorders>
            <w:vAlign w:val="center"/>
          </w:tcPr>
          <w:p w14:paraId="3852AD0F">
            <w:pPr>
              <w:adjustRightInd w:val="0"/>
              <w:snapToGrid w:val="0"/>
              <w:spacing w:before="50" w:line="360" w:lineRule="auto"/>
              <w:ind w:left="-88" w:leftChars="-42"/>
              <w:jc w:val="center"/>
              <w:rPr>
                <w:rFonts w:ascii="宋体" w:hAnsi="宋体"/>
                <w:color w:val="auto"/>
                <w:szCs w:val="21"/>
                <w:highlight w:val="none"/>
              </w:rPr>
            </w:pPr>
          </w:p>
        </w:tc>
        <w:tc>
          <w:tcPr>
            <w:tcW w:w="1756" w:type="dxa"/>
            <w:vAlign w:val="center"/>
          </w:tcPr>
          <w:p w14:paraId="7917C87E">
            <w:pPr>
              <w:adjustRightInd w:val="0"/>
              <w:snapToGrid w:val="0"/>
              <w:spacing w:before="50" w:line="360" w:lineRule="auto"/>
              <w:ind w:left="-88" w:leftChars="-42"/>
              <w:jc w:val="center"/>
              <w:rPr>
                <w:rFonts w:ascii="宋体" w:hAnsi="宋体"/>
                <w:color w:val="auto"/>
                <w:szCs w:val="21"/>
                <w:highlight w:val="none"/>
              </w:rPr>
            </w:pPr>
          </w:p>
        </w:tc>
      </w:tr>
      <w:tr w14:paraId="5ABEEB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4CEA220E">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665ACC3B">
            <w:pPr>
              <w:adjustRightInd w:val="0"/>
              <w:snapToGrid w:val="0"/>
              <w:spacing w:before="50" w:line="360" w:lineRule="auto"/>
              <w:ind w:left="-88" w:leftChars="-42"/>
              <w:jc w:val="center"/>
              <w:rPr>
                <w:rFonts w:ascii="宋体" w:hAnsi="宋体"/>
                <w:color w:val="auto"/>
                <w:szCs w:val="21"/>
                <w:highlight w:val="none"/>
              </w:rPr>
            </w:pPr>
          </w:p>
        </w:tc>
        <w:tc>
          <w:tcPr>
            <w:tcW w:w="1985" w:type="dxa"/>
            <w:tcBorders>
              <w:right w:val="single" w:color="auto" w:sz="4" w:space="0"/>
            </w:tcBorders>
            <w:vAlign w:val="center"/>
          </w:tcPr>
          <w:p w14:paraId="4FDDBAC3">
            <w:pPr>
              <w:adjustRightInd w:val="0"/>
              <w:snapToGrid w:val="0"/>
              <w:spacing w:before="50" w:line="360" w:lineRule="auto"/>
              <w:ind w:left="-88" w:leftChars="-42"/>
              <w:jc w:val="center"/>
              <w:rPr>
                <w:rFonts w:ascii="宋体" w:hAnsi="宋体"/>
                <w:color w:val="auto"/>
                <w:szCs w:val="21"/>
                <w:highlight w:val="none"/>
              </w:rPr>
            </w:pPr>
          </w:p>
        </w:tc>
        <w:tc>
          <w:tcPr>
            <w:tcW w:w="2126" w:type="dxa"/>
            <w:tcBorders>
              <w:left w:val="single" w:color="auto" w:sz="4" w:space="0"/>
            </w:tcBorders>
            <w:vAlign w:val="center"/>
          </w:tcPr>
          <w:p w14:paraId="5FCC1C4C">
            <w:pPr>
              <w:adjustRightInd w:val="0"/>
              <w:snapToGrid w:val="0"/>
              <w:spacing w:before="50" w:line="360" w:lineRule="auto"/>
              <w:ind w:left="-88" w:leftChars="-42"/>
              <w:jc w:val="center"/>
              <w:rPr>
                <w:rFonts w:ascii="宋体" w:hAnsi="宋体"/>
                <w:color w:val="auto"/>
                <w:szCs w:val="21"/>
                <w:highlight w:val="none"/>
              </w:rPr>
            </w:pPr>
          </w:p>
        </w:tc>
        <w:tc>
          <w:tcPr>
            <w:tcW w:w="1756" w:type="dxa"/>
            <w:vAlign w:val="center"/>
          </w:tcPr>
          <w:p w14:paraId="1D5387BF">
            <w:pPr>
              <w:adjustRightInd w:val="0"/>
              <w:snapToGrid w:val="0"/>
              <w:spacing w:before="50" w:line="360" w:lineRule="auto"/>
              <w:ind w:left="-88" w:leftChars="-42"/>
              <w:jc w:val="center"/>
              <w:rPr>
                <w:rFonts w:ascii="宋体" w:hAnsi="宋体"/>
                <w:color w:val="auto"/>
                <w:szCs w:val="21"/>
                <w:highlight w:val="none"/>
              </w:rPr>
            </w:pPr>
          </w:p>
        </w:tc>
      </w:tr>
      <w:tr w14:paraId="41EDBF4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69ACF83B">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3909030E">
            <w:pPr>
              <w:adjustRightInd w:val="0"/>
              <w:snapToGrid w:val="0"/>
              <w:spacing w:before="50" w:line="360" w:lineRule="auto"/>
              <w:ind w:left="-88" w:leftChars="-42"/>
              <w:jc w:val="center"/>
              <w:rPr>
                <w:rFonts w:ascii="宋体" w:hAnsi="宋体"/>
                <w:color w:val="auto"/>
                <w:szCs w:val="21"/>
                <w:highlight w:val="none"/>
              </w:rPr>
            </w:pPr>
          </w:p>
        </w:tc>
        <w:tc>
          <w:tcPr>
            <w:tcW w:w="1985" w:type="dxa"/>
            <w:tcBorders>
              <w:right w:val="single" w:color="auto" w:sz="4" w:space="0"/>
            </w:tcBorders>
            <w:vAlign w:val="center"/>
          </w:tcPr>
          <w:p w14:paraId="1D469938">
            <w:pPr>
              <w:adjustRightInd w:val="0"/>
              <w:snapToGrid w:val="0"/>
              <w:spacing w:before="50" w:line="360" w:lineRule="auto"/>
              <w:ind w:left="-88" w:leftChars="-42"/>
              <w:jc w:val="center"/>
              <w:rPr>
                <w:rFonts w:ascii="宋体" w:hAnsi="宋体"/>
                <w:color w:val="auto"/>
                <w:szCs w:val="21"/>
                <w:highlight w:val="none"/>
              </w:rPr>
            </w:pPr>
          </w:p>
        </w:tc>
        <w:tc>
          <w:tcPr>
            <w:tcW w:w="3882" w:type="dxa"/>
            <w:gridSpan w:val="2"/>
            <w:tcBorders>
              <w:left w:val="single" w:color="auto" w:sz="4" w:space="0"/>
            </w:tcBorders>
            <w:vAlign w:val="center"/>
          </w:tcPr>
          <w:p w14:paraId="01C73D0D">
            <w:pPr>
              <w:adjustRightInd w:val="0"/>
              <w:snapToGrid w:val="0"/>
              <w:spacing w:before="50" w:line="360" w:lineRule="auto"/>
              <w:ind w:firstLine="422" w:firstLineChars="200"/>
              <w:rPr>
                <w:rFonts w:ascii="宋体" w:hAnsi="宋体"/>
                <w:color w:val="auto"/>
                <w:szCs w:val="21"/>
                <w:highlight w:val="none"/>
              </w:rPr>
            </w:pPr>
            <w:r>
              <w:rPr>
                <w:rFonts w:hint="eastAsia" w:ascii="宋体" w:hAnsi="宋体"/>
                <w:b/>
                <w:color w:val="auto"/>
                <w:szCs w:val="21"/>
                <w:highlight w:val="none"/>
              </w:rPr>
              <w:t>投标人保证：除本采购需求偏离表列出的偏离外，我单位对招标文件的其他采购需求条款完全响应，无偏离。</w:t>
            </w:r>
          </w:p>
        </w:tc>
      </w:tr>
    </w:tbl>
    <w:p w14:paraId="5774BAAD">
      <w:pPr>
        <w:adjustRightInd w:val="0"/>
        <w:snapToGrid w:val="0"/>
        <w:spacing w:before="50" w:line="360" w:lineRule="auto"/>
        <w:ind w:left="-88" w:leftChars="-42"/>
        <w:rPr>
          <w:rFonts w:ascii="宋体" w:hAnsi="宋体"/>
          <w:color w:val="auto"/>
          <w:szCs w:val="21"/>
          <w:highlight w:val="none"/>
        </w:rPr>
      </w:pPr>
      <w:r>
        <w:rPr>
          <w:rFonts w:hint="eastAsia" w:ascii="宋体" w:hAnsi="宋体"/>
          <w:bCs/>
          <w:color w:val="auto"/>
          <w:szCs w:val="21"/>
          <w:highlight w:val="none"/>
        </w:rPr>
        <w:t>注：</w:t>
      </w:r>
      <w:r>
        <w:rPr>
          <w:rFonts w:hint="eastAsia" w:ascii="宋体" w:hAnsi="宋体"/>
          <w:color w:val="auto"/>
          <w:szCs w:val="21"/>
          <w:highlight w:val="none"/>
        </w:rPr>
        <w:t>1.投标人应根据招标文件第五章“采购需求”填写本表；</w:t>
      </w:r>
    </w:p>
    <w:p w14:paraId="38886A9A">
      <w:pPr>
        <w:adjustRightInd w:val="0"/>
        <w:snapToGrid w:val="0"/>
        <w:spacing w:before="50" w:line="360" w:lineRule="auto"/>
        <w:ind w:left="-88" w:leftChars="-42" w:firstLine="420" w:firstLineChars="200"/>
        <w:rPr>
          <w:rFonts w:ascii="宋体" w:hAnsi="宋体"/>
          <w:b/>
          <w:color w:val="auto"/>
          <w:szCs w:val="21"/>
          <w:highlight w:val="none"/>
        </w:rPr>
      </w:pPr>
      <w:r>
        <w:rPr>
          <w:rFonts w:hint="eastAsia" w:ascii="宋体" w:hAnsi="宋体"/>
          <w:color w:val="auto"/>
          <w:szCs w:val="21"/>
          <w:highlight w:val="none"/>
        </w:rPr>
        <w:t>2.</w:t>
      </w:r>
      <w:r>
        <w:rPr>
          <w:rFonts w:hint="eastAsia" w:ascii="宋体" w:hAnsi="宋体"/>
          <w:b/>
          <w:color w:val="auto"/>
          <w:szCs w:val="21"/>
          <w:highlight w:val="none"/>
        </w:rPr>
        <w:t>投标人如果对招标文件第五章“采购需求”的响应有偏离，应将偏离条款逐条如实应答，并作出说明；</w:t>
      </w:r>
    </w:p>
    <w:p w14:paraId="10D7942E">
      <w:pPr>
        <w:adjustRightInd w:val="0"/>
        <w:snapToGrid w:val="0"/>
        <w:spacing w:before="50" w:line="360" w:lineRule="auto"/>
        <w:ind w:left="-88" w:leftChars="-42" w:firstLine="420" w:firstLineChars="200"/>
        <w:rPr>
          <w:rFonts w:ascii="宋体" w:hAnsi="宋体"/>
          <w:color w:val="auto"/>
          <w:szCs w:val="21"/>
          <w:highlight w:val="none"/>
        </w:rPr>
      </w:pPr>
      <w:r>
        <w:rPr>
          <w:rFonts w:hint="eastAsia" w:ascii="宋体" w:hAnsi="宋体"/>
          <w:color w:val="auto"/>
          <w:szCs w:val="21"/>
          <w:highlight w:val="none"/>
        </w:rPr>
        <w:t>3.如不提供此表，则视为投标人不满足招标文件第五章的所有条款要求，其</w:t>
      </w:r>
      <w:r>
        <w:rPr>
          <w:rFonts w:hint="eastAsia" w:ascii="宋体" w:hAnsi="宋体"/>
          <w:b/>
          <w:color w:val="auto"/>
          <w:szCs w:val="21"/>
          <w:highlight w:val="none"/>
        </w:rPr>
        <w:t>投标无效</w:t>
      </w:r>
      <w:r>
        <w:rPr>
          <w:rFonts w:hint="eastAsia" w:ascii="宋体" w:hAnsi="宋体"/>
          <w:color w:val="auto"/>
          <w:szCs w:val="21"/>
          <w:highlight w:val="none"/>
        </w:rPr>
        <w:t>。</w:t>
      </w:r>
    </w:p>
    <w:p w14:paraId="1E97AA6D">
      <w:pPr>
        <w:adjustRightInd w:val="0"/>
        <w:snapToGrid w:val="0"/>
        <w:spacing w:before="50" w:line="360" w:lineRule="auto"/>
        <w:ind w:left="-88" w:leftChars="-42" w:firstLine="420" w:firstLineChars="200"/>
        <w:rPr>
          <w:rFonts w:ascii="宋体" w:hAnsi="宋体"/>
          <w:color w:val="auto"/>
          <w:szCs w:val="21"/>
          <w:highlight w:val="none"/>
        </w:rPr>
      </w:pPr>
      <w:r>
        <w:rPr>
          <w:rFonts w:hint="eastAsia" w:ascii="宋体" w:hAnsi="宋体"/>
          <w:color w:val="auto"/>
          <w:szCs w:val="21"/>
          <w:highlight w:val="none"/>
        </w:rPr>
        <w:t>4.在采购人与中标人签订合同时，如中标人未在投标文件“采购需求偏离表”中列出偏离说明，无论已发生或即将发生任何情形，均视为完全符合招标文件要求，并写入合同。若中标人在合同签订前，以上述事项为借口而不履行合同签订手续及执行合同，则视作拒绝与采购人签订合同。</w:t>
      </w:r>
    </w:p>
    <w:p w14:paraId="62488282">
      <w:pPr>
        <w:adjustRightInd w:val="0"/>
        <w:snapToGrid w:val="0"/>
        <w:spacing w:before="50" w:line="360" w:lineRule="auto"/>
        <w:ind w:left="-88" w:leftChars="-42" w:firstLine="420" w:firstLineChars="200"/>
        <w:rPr>
          <w:rFonts w:ascii="宋体" w:hAnsi="宋体"/>
          <w:color w:val="auto"/>
          <w:szCs w:val="21"/>
          <w:highlight w:val="none"/>
        </w:rPr>
      </w:pPr>
      <w:r>
        <w:rPr>
          <w:rFonts w:hint="eastAsia" w:ascii="宋体" w:hAnsi="宋体"/>
          <w:color w:val="auto"/>
          <w:szCs w:val="21"/>
          <w:highlight w:val="none"/>
        </w:rPr>
        <w:t>5.本表偏离表与本章第七节“采购需求响应”不一致时，以“采购需求响应”为准。</w:t>
      </w:r>
    </w:p>
    <w:p w14:paraId="7ED09F0C">
      <w:pPr>
        <w:adjustRightInd w:val="0"/>
        <w:snapToGrid w:val="0"/>
        <w:spacing w:before="50" w:line="360" w:lineRule="auto"/>
        <w:rPr>
          <w:rFonts w:ascii="宋体" w:hAnsi="宋体"/>
          <w:color w:val="auto"/>
          <w:szCs w:val="21"/>
          <w:highlight w:val="none"/>
        </w:rPr>
      </w:pPr>
    </w:p>
    <w:p w14:paraId="40E22C62">
      <w:pPr>
        <w:adjustRightInd w:val="0"/>
        <w:snapToGrid w:val="0"/>
        <w:spacing w:before="50" w:line="360" w:lineRule="auto"/>
        <w:rPr>
          <w:rFonts w:ascii="宋体" w:hAnsi="宋体"/>
          <w:color w:val="auto"/>
          <w:szCs w:val="21"/>
          <w:highlight w:val="none"/>
        </w:rPr>
      </w:pPr>
    </w:p>
    <w:p w14:paraId="7A6FA544">
      <w:pPr>
        <w:adjustRightInd w:val="0"/>
        <w:snapToGrid w:val="0"/>
        <w:spacing w:before="50" w:line="360" w:lineRule="auto"/>
        <w:rPr>
          <w:rFonts w:ascii="宋体" w:hAnsi="宋体"/>
          <w:color w:val="auto"/>
          <w:szCs w:val="21"/>
          <w:highlight w:val="none"/>
        </w:rPr>
      </w:pPr>
      <w:r>
        <w:rPr>
          <w:rFonts w:hint="eastAsia" w:ascii="宋体" w:hAnsi="宋体"/>
          <w:color w:val="auto"/>
          <w:szCs w:val="21"/>
          <w:highlight w:val="none"/>
        </w:rPr>
        <w:t>投标人名称（盖单位章）：</w:t>
      </w:r>
    </w:p>
    <w:p w14:paraId="7D1454C9">
      <w:pPr>
        <w:adjustRightInd w:val="0"/>
        <w:snapToGrid w:val="0"/>
        <w:spacing w:before="50" w:line="360" w:lineRule="auto"/>
        <w:rPr>
          <w:rFonts w:ascii="宋体" w:hAnsi="宋体"/>
          <w:color w:val="auto"/>
          <w:szCs w:val="21"/>
          <w:highlight w:val="non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或其授权的代理人（签字或印章）：</w:t>
      </w:r>
      <w:r>
        <w:rPr>
          <w:rFonts w:hint="eastAsia" w:ascii="宋体" w:hAnsi="宋体"/>
          <w:color w:val="auto"/>
          <w:szCs w:val="21"/>
          <w:highlight w:val="none"/>
          <w:u w:val="single"/>
        </w:rPr>
        <w:t xml:space="preserve">                     </w:t>
      </w:r>
    </w:p>
    <w:p w14:paraId="61363523">
      <w:pPr>
        <w:adjustRightInd w:val="0"/>
        <w:snapToGrid w:val="0"/>
        <w:spacing w:before="50" w:line="360" w:lineRule="auto"/>
        <w:rPr>
          <w:rFonts w:ascii="宋体" w:hAnsi="宋体"/>
          <w:color w:val="auto"/>
          <w:szCs w:val="21"/>
          <w:highlight w:val="none"/>
        </w:rPr>
      </w:pPr>
      <w:r>
        <w:rPr>
          <w:rFonts w:hint="eastAsia" w:ascii="宋体" w:hAnsi="宋体"/>
          <w:color w:val="auto"/>
          <w:szCs w:val="21"/>
          <w:highlight w:val="none"/>
        </w:rPr>
        <w:t>日      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00E8BA90">
      <w:pPr>
        <w:pStyle w:val="11"/>
        <w:adjustRightInd w:val="0"/>
        <w:snapToGrid w:val="0"/>
        <w:spacing w:before="0" w:after="0" w:line="360" w:lineRule="auto"/>
        <w:rPr>
          <w:rFonts w:ascii="宋体" w:hAnsi="宋体"/>
          <w:color w:val="auto"/>
          <w:szCs w:val="21"/>
          <w:highlight w:val="none"/>
        </w:rPr>
        <w:sectPr>
          <w:pgSz w:w="11906" w:h="16838"/>
          <w:pgMar w:top="1474" w:right="1474" w:bottom="1474" w:left="1474" w:header="851" w:footer="992" w:gutter="0"/>
          <w:pgBorders>
            <w:top w:val="none" w:sz="0" w:space="0"/>
            <w:left w:val="none" w:sz="0" w:space="0"/>
            <w:bottom w:val="none" w:sz="0" w:space="0"/>
            <w:right w:val="none" w:sz="0" w:space="0"/>
          </w:pgBorders>
          <w:cols w:space="720" w:num="1"/>
          <w:docGrid w:type="lines" w:linePitch="312" w:charSpace="0"/>
        </w:sectPr>
      </w:pPr>
    </w:p>
    <w:p w14:paraId="23F5CB43">
      <w:pPr>
        <w:pStyle w:val="11"/>
        <w:adjustRightInd w:val="0"/>
        <w:snapToGrid w:val="0"/>
        <w:spacing w:before="0" w:after="0" w:line="360" w:lineRule="auto"/>
        <w:jc w:val="center"/>
        <w:rPr>
          <w:rFonts w:ascii="黑体" w:hAnsi="宋体" w:eastAsia="黑体"/>
          <w:color w:val="auto"/>
          <w:sz w:val="28"/>
          <w:szCs w:val="28"/>
          <w:highlight w:val="none"/>
        </w:rPr>
      </w:pPr>
      <w:bookmarkStart w:id="113" w:name="_Toc2335"/>
      <w:r>
        <w:rPr>
          <w:rFonts w:hint="eastAsia" w:ascii="宋体" w:hAnsi="宋体"/>
          <w:color w:val="auto"/>
          <w:szCs w:val="21"/>
          <w:highlight w:val="none"/>
        </w:rPr>
        <w:t>十</w:t>
      </w:r>
      <w:r>
        <w:rPr>
          <w:rFonts w:hint="eastAsia" w:ascii="黑体" w:hAnsi="宋体" w:eastAsia="黑体"/>
          <w:color w:val="auto"/>
          <w:sz w:val="28"/>
          <w:szCs w:val="28"/>
          <w:highlight w:val="none"/>
        </w:rPr>
        <w:t>、享受政府采购政策优惠的证明资料</w:t>
      </w:r>
      <w:bookmarkEnd w:id="113"/>
    </w:p>
    <w:p w14:paraId="3A7385A6">
      <w:pPr>
        <w:adjustRightInd w:val="0"/>
        <w:snapToGrid w:val="0"/>
        <w:spacing w:line="360" w:lineRule="auto"/>
        <w:rPr>
          <w:rFonts w:ascii="黑体" w:hAnsi="华文中宋" w:eastAsia="黑体" w:cs="宋体"/>
          <w:bCs/>
          <w:color w:val="auto"/>
          <w:spacing w:val="6"/>
          <w:kern w:val="0"/>
          <w:szCs w:val="21"/>
          <w:highlight w:val="none"/>
        </w:rPr>
      </w:pPr>
    </w:p>
    <w:p w14:paraId="518AFD2B">
      <w:pPr>
        <w:adjustRightInd w:val="0"/>
        <w:snapToGrid w:val="0"/>
        <w:spacing w:line="360" w:lineRule="auto"/>
        <w:ind w:firstLine="444" w:firstLineChars="200"/>
        <w:rPr>
          <w:rFonts w:ascii="宋体" w:hAnsi="宋体" w:cs="宋体"/>
          <w:bCs/>
          <w:color w:val="auto"/>
          <w:spacing w:val="6"/>
          <w:kern w:val="0"/>
          <w:szCs w:val="21"/>
          <w:highlight w:val="none"/>
        </w:rPr>
      </w:pPr>
      <w:r>
        <w:rPr>
          <w:rFonts w:hint="eastAsia" w:ascii="宋体" w:hAnsi="宋体" w:cs="宋体"/>
          <w:bCs/>
          <w:color w:val="auto"/>
          <w:spacing w:val="6"/>
          <w:kern w:val="0"/>
          <w:szCs w:val="21"/>
          <w:highlight w:val="none"/>
        </w:rPr>
        <w:t>投标人符合第二章第33.6款要求的，应提供下列证明资料，并填写相关数据。否则，评审时不予以考虑。</w:t>
      </w:r>
    </w:p>
    <w:p w14:paraId="6099D0E1">
      <w:pPr>
        <w:adjustRightInd w:val="0"/>
        <w:snapToGrid w:val="0"/>
        <w:spacing w:line="360" w:lineRule="auto"/>
        <w:rPr>
          <w:rFonts w:ascii="黑体" w:hAnsi="华文中宋" w:eastAsia="黑体" w:cs="宋体"/>
          <w:bCs/>
          <w:color w:val="auto"/>
          <w:spacing w:val="6"/>
          <w:kern w:val="0"/>
          <w:szCs w:val="21"/>
          <w:highlight w:val="none"/>
        </w:rPr>
      </w:pPr>
    </w:p>
    <w:p w14:paraId="31E275EA">
      <w:pPr>
        <w:pStyle w:val="12"/>
        <w:rPr>
          <w:rFonts w:ascii="黑体" w:hAnsi="宋体"/>
          <w:b w:val="0"/>
          <w:bCs w:val="0"/>
          <w:color w:val="auto"/>
          <w:sz w:val="21"/>
          <w:szCs w:val="21"/>
          <w:highlight w:val="none"/>
        </w:rPr>
      </w:pPr>
      <w:bookmarkStart w:id="114" w:name="_Toc23864"/>
      <w:r>
        <w:rPr>
          <w:rFonts w:hint="eastAsia" w:ascii="黑体" w:hAnsi="华文中宋" w:cs="宋体"/>
          <w:b w:val="0"/>
          <w:bCs w:val="0"/>
          <w:color w:val="auto"/>
          <w:spacing w:val="6"/>
          <w:kern w:val="0"/>
          <w:sz w:val="21"/>
          <w:szCs w:val="21"/>
          <w:highlight w:val="none"/>
        </w:rPr>
        <w:t xml:space="preserve">附件10-1 </w:t>
      </w:r>
      <w:r>
        <w:rPr>
          <w:rFonts w:hint="eastAsia" w:ascii="黑体" w:hAnsi="宋体"/>
          <w:b w:val="0"/>
          <w:bCs w:val="0"/>
          <w:color w:val="auto"/>
          <w:sz w:val="21"/>
          <w:szCs w:val="21"/>
          <w:highlight w:val="none"/>
        </w:rPr>
        <w:t>中小企业声明函</w:t>
      </w:r>
      <w:bookmarkEnd w:id="114"/>
    </w:p>
    <w:p w14:paraId="6E7C9528">
      <w:pPr>
        <w:widowControl/>
        <w:adjustRightInd w:val="0"/>
        <w:snapToGrid w:val="0"/>
        <w:spacing w:line="360" w:lineRule="auto"/>
        <w:jc w:val="center"/>
        <w:rPr>
          <w:rFonts w:ascii="黑体" w:hAnsi="黑体" w:eastAsia="黑体" w:cs="宋体"/>
          <w:b/>
          <w:bCs/>
          <w:color w:val="auto"/>
          <w:spacing w:val="6"/>
          <w:kern w:val="0"/>
          <w:sz w:val="28"/>
          <w:szCs w:val="28"/>
          <w:highlight w:val="none"/>
        </w:rPr>
      </w:pPr>
      <w:r>
        <w:rPr>
          <w:rFonts w:hint="eastAsia" w:ascii="黑体" w:hAnsi="黑体" w:eastAsia="黑体" w:cs="黑体"/>
          <w:b/>
          <w:bCs/>
          <w:color w:val="auto"/>
          <w:spacing w:val="6"/>
          <w:kern w:val="0"/>
          <w:sz w:val="28"/>
          <w:szCs w:val="28"/>
          <w:highlight w:val="none"/>
        </w:rPr>
        <w:t>中小企业声明函（货物类）</w:t>
      </w:r>
    </w:p>
    <w:p w14:paraId="6DD8CA13">
      <w:pPr>
        <w:widowControl/>
        <w:adjustRightInd w:val="0"/>
        <w:snapToGrid w:val="0"/>
        <w:spacing w:line="360" w:lineRule="auto"/>
        <w:jc w:val="center"/>
        <w:rPr>
          <w:rFonts w:ascii="宋体" w:hAnsi="宋体" w:cs="宋体"/>
          <w:color w:val="auto"/>
          <w:kern w:val="0"/>
          <w:szCs w:val="21"/>
          <w:highlight w:val="none"/>
          <w:lang w:bidi="ar"/>
        </w:rPr>
      </w:pPr>
      <w:r>
        <w:rPr>
          <w:rFonts w:hint="eastAsia" w:ascii="宋体" w:hAnsi="宋体" w:cs="宋体"/>
          <w:b/>
          <w:color w:val="auto"/>
          <w:spacing w:val="6"/>
          <w:kern w:val="0"/>
          <w:szCs w:val="21"/>
          <w:highlight w:val="none"/>
        </w:rPr>
        <w:t>(不满足以下条件的无需填写)</w:t>
      </w:r>
    </w:p>
    <w:p w14:paraId="6463E7AE">
      <w:pPr>
        <w:widowControl/>
        <w:spacing w:line="360" w:lineRule="auto"/>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lang w:bidi="ar"/>
        </w:rPr>
        <w:t>本公司（联合体）郑重声明，根据《政府采购促进中小企业发展管理办法》（财库﹝2020﹞46 号）的规定，本公司（联合体）参加</w:t>
      </w:r>
      <w:r>
        <w:rPr>
          <w:rFonts w:hint="eastAsia" w:ascii="宋体" w:hAnsi="宋体" w:cs="宋体"/>
          <w:color w:val="auto"/>
          <w:kern w:val="0"/>
          <w:szCs w:val="21"/>
          <w:highlight w:val="none"/>
          <w:u w:val="single"/>
          <w:lang w:bidi="ar"/>
        </w:rPr>
        <w:t>（单位名称）</w:t>
      </w:r>
      <w:r>
        <w:rPr>
          <w:rFonts w:hint="eastAsia" w:ascii="宋体" w:hAnsi="宋体" w:cs="宋体"/>
          <w:color w:val="auto"/>
          <w:kern w:val="0"/>
          <w:szCs w:val="21"/>
          <w:highlight w:val="none"/>
          <w:lang w:bidi="ar"/>
        </w:rPr>
        <w:t>的</w:t>
      </w:r>
      <w:r>
        <w:rPr>
          <w:rFonts w:hint="eastAsia" w:ascii="宋体" w:hAnsi="宋体" w:cs="宋体"/>
          <w:color w:val="auto"/>
          <w:kern w:val="0"/>
          <w:szCs w:val="21"/>
          <w:highlight w:val="none"/>
          <w:u w:val="single"/>
          <w:lang w:bidi="ar"/>
        </w:rPr>
        <w:t>（项目名称）</w:t>
      </w:r>
      <w:r>
        <w:rPr>
          <w:rFonts w:hint="eastAsia" w:ascii="宋体" w:hAnsi="宋体" w:cs="宋体"/>
          <w:color w:val="auto"/>
          <w:kern w:val="0"/>
          <w:szCs w:val="21"/>
          <w:highlight w:val="none"/>
          <w:lang w:bidi="ar"/>
        </w:rPr>
        <w:t xml:space="preserve">采购活动，提供的货物全部由符合政策要求的中小企业制造。相关企业（含联合体中的中小企业、签订分包意向协议的中小企业）的具体情况如下： </w:t>
      </w:r>
    </w:p>
    <w:p w14:paraId="5FBA3150">
      <w:pPr>
        <w:widowControl/>
        <w:spacing w:line="360" w:lineRule="auto"/>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lang w:bidi="ar"/>
        </w:rPr>
        <w:t xml:space="preserve">1. </w:t>
      </w:r>
      <w:r>
        <w:rPr>
          <w:rFonts w:hint="eastAsia" w:ascii="宋体" w:hAnsi="宋体" w:cs="宋体"/>
          <w:color w:val="auto"/>
          <w:kern w:val="0"/>
          <w:szCs w:val="21"/>
          <w:highlight w:val="none"/>
          <w:u w:val="single"/>
          <w:lang w:bidi="ar"/>
        </w:rPr>
        <w:t xml:space="preserve">（标的名称） </w:t>
      </w:r>
      <w:r>
        <w:rPr>
          <w:rFonts w:hint="eastAsia" w:ascii="宋体" w:hAnsi="宋体" w:cs="宋体"/>
          <w:color w:val="auto"/>
          <w:kern w:val="0"/>
          <w:szCs w:val="21"/>
          <w:highlight w:val="none"/>
          <w:lang w:bidi="ar"/>
        </w:rPr>
        <w:t>，属于</w:t>
      </w:r>
      <w:r>
        <w:rPr>
          <w:rFonts w:hint="eastAsia" w:ascii="宋体" w:hAnsi="宋体" w:cs="宋体"/>
          <w:color w:val="auto"/>
          <w:kern w:val="0"/>
          <w:szCs w:val="21"/>
          <w:highlight w:val="none"/>
          <w:u w:val="single"/>
          <w:lang w:bidi="ar"/>
        </w:rPr>
        <w:t>（采购文件中明确的所属行业）</w:t>
      </w:r>
      <w:r>
        <w:rPr>
          <w:rFonts w:hint="eastAsia" w:ascii="宋体" w:hAnsi="宋体" w:cs="宋体"/>
          <w:color w:val="auto"/>
          <w:kern w:val="0"/>
          <w:szCs w:val="21"/>
          <w:highlight w:val="none"/>
          <w:lang w:bidi="ar"/>
        </w:rPr>
        <w:t>行业；制造商为</w:t>
      </w:r>
      <w:r>
        <w:rPr>
          <w:rFonts w:hint="eastAsia" w:ascii="宋体" w:hAnsi="宋体" w:cs="宋体"/>
          <w:color w:val="auto"/>
          <w:kern w:val="0"/>
          <w:szCs w:val="21"/>
          <w:highlight w:val="none"/>
          <w:u w:val="single"/>
          <w:lang w:bidi="ar"/>
        </w:rPr>
        <w:t>（企业名称）</w:t>
      </w:r>
      <w:r>
        <w:rPr>
          <w:rFonts w:hint="eastAsia" w:ascii="宋体" w:hAnsi="宋体" w:cs="宋体"/>
          <w:color w:val="auto"/>
          <w:kern w:val="0"/>
          <w:szCs w:val="21"/>
          <w:highlight w:val="none"/>
          <w:lang w:bidi="ar"/>
        </w:rPr>
        <w:t>，从业人员</w:t>
      </w:r>
      <w:r>
        <w:rPr>
          <w:rFonts w:hint="eastAsia" w:ascii="宋体" w:hAnsi="宋体" w:cs="宋体"/>
          <w:color w:val="auto"/>
          <w:kern w:val="0"/>
          <w:szCs w:val="21"/>
          <w:highlight w:val="none"/>
          <w:u w:val="single"/>
          <w:lang w:bidi="ar"/>
        </w:rPr>
        <w:t xml:space="preserve">      </w:t>
      </w:r>
      <w:r>
        <w:rPr>
          <w:rFonts w:hint="eastAsia" w:ascii="宋体" w:hAnsi="宋体" w:cs="宋体"/>
          <w:color w:val="auto"/>
          <w:kern w:val="0"/>
          <w:szCs w:val="21"/>
          <w:highlight w:val="none"/>
          <w:lang w:bidi="ar"/>
        </w:rPr>
        <w:t>人，营业收入为</w:t>
      </w:r>
      <w:r>
        <w:rPr>
          <w:rFonts w:hint="eastAsia" w:ascii="宋体" w:hAnsi="宋体" w:cs="宋体"/>
          <w:color w:val="auto"/>
          <w:kern w:val="0"/>
          <w:szCs w:val="21"/>
          <w:highlight w:val="none"/>
          <w:u w:val="single"/>
          <w:lang w:bidi="ar"/>
        </w:rPr>
        <w:t xml:space="preserve">       </w:t>
      </w:r>
      <w:r>
        <w:rPr>
          <w:rFonts w:hint="eastAsia" w:ascii="宋体" w:hAnsi="宋体" w:cs="宋体"/>
          <w:color w:val="auto"/>
          <w:kern w:val="0"/>
          <w:szCs w:val="21"/>
          <w:highlight w:val="none"/>
          <w:lang w:bidi="ar"/>
        </w:rPr>
        <w:t>万元，资产总额为</w:t>
      </w:r>
      <w:r>
        <w:rPr>
          <w:rFonts w:hint="eastAsia" w:ascii="宋体" w:hAnsi="宋体" w:cs="宋体"/>
          <w:color w:val="auto"/>
          <w:kern w:val="0"/>
          <w:szCs w:val="21"/>
          <w:highlight w:val="none"/>
          <w:u w:val="single"/>
          <w:lang w:bidi="ar"/>
        </w:rPr>
        <w:t xml:space="preserve">       </w:t>
      </w:r>
      <w:r>
        <w:rPr>
          <w:rFonts w:hint="eastAsia" w:ascii="宋体" w:hAnsi="宋体" w:cs="宋体"/>
          <w:color w:val="auto"/>
          <w:kern w:val="0"/>
          <w:szCs w:val="21"/>
          <w:highlight w:val="none"/>
          <w:lang w:bidi="ar"/>
        </w:rPr>
        <w:t>万元，属于</w:t>
      </w:r>
      <w:r>
        <w:rPr>
          <w:rFonts w:hint="eastAsia" w:ascii="宋体" w:hAnsi="宋体" w:cs="宋体"/>
          <w:color w:val="auto"/>
          <w:kern w:val="0"/>
          <w:szCs w:val="21"/>
          <w:highlight w:val="none"/>
          <w:u w:val="single"/>
          <w:lang w:bidi="ar"/>
        </w:rPr>
        <w:t>（中型企业、小型企业、微型企业）</w:t>
      </w:r>
      <w:r>
        <w:rPr>
          <w:rFonts w:hint="eastAsia" w:ascii="宋体" w:hAnsi="宋体" w:cs="宋体"/>
          <w:color w:val="auto"/>
          <w:kern w:val="0"/>
          <w:szCs w:val="21"/>
          <w:highlight w:val="none"/>
          <w:lang w:bidi="ar"/>
        </w:rPr>
        <w:t xml:space="preserve">； </w:t>
      </w:r>
    </w:p>
    <w:p w14:paraId="450120F2">
      <w:pPr>
        <w:widowControl/>
        <w:spacing w:line="360" w:lineRule="auto"/>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lang w:bidi="ar"/>
        </w:rPr>
        <w:t xml:space="preserve">2. </w:t>
      </w:r>
      <w:r>
        <w:rPr>
          <w:rFonts w:hint="eastAsia" w:ascii="宋体" w:hAnsi="宋体" w:cs="宋体"/>
          <w:color w:val="auto"/>
          <w:kern w:val="0"/>
          <w:szCs w:val="21"/>
          <w:highlight w:val="none"/>
          <w:u w:val="single"/>
          <w:lang w:bidi="ar"/>
        </w:rPr>
        <w:t xml:space="preserve">（标的名称） </w:t>
      </w:r>
      <w:r>
        <w:rPr>
          <w:rFonts w:hint="eastAsia" w:ascii="宋体" w:hAnsi="宋体" w:cs="宋体"/>
          <w:color w:val="auto"/>
          <w:kern w:val="0"/>
          <w:szCs w:val="21"/>
          <w:highlight w:val="none"/>
          <w:lang w:bidi="ar"/>
        </w:rPr>
        <w:t>，属于</w:t>
      </w:r>
      <w:r>
        <w:rPr>
          <w:rFonts w:hint="eastAsia" w:ascii="宋体" w:hAnsi="宋体" w:cs="宋体"/>
          <w:color w:val="auto"/>
          <w:kern w:val="0"/>
          <w:szCs w:val="21"/>
          <w:highlight w:val="none"/>
          <w:u w:val="single"/>
          <w:lang w:bidi="ar"/>
        </w:rPr>
        <w:t>（采购文件中明确的所属行业）</w:t>
      </w:r>
      <w:r>
        <w:rPr>
          <w:rFonts w:hint="eastAsia" w:ascii="宋体" w:hAnsi="宋体" w:cs="宋体"/>
          <w:color w:val="auto"/>
          <w:kern w:val="0"/>
          <w:szCs w:val="21"/>
          <w:highlight w:val="none"/>
          <w:lang w:bidi="ar"/>
        </w:rPr>
        <w:t>行业；制造商为</w:t>
      </w:r>
      <w:r>
        <w:rPr>
          <w:rFonts w:hint="eastAsia" w:ascii="宋体" w:hAnsi="宋体" w:cs="宋体"/>
          <w:color w:val="auto"/>
          <w:kern w:val="0"/>
          <w:szCs w:val="21"/>
          <w:highlight w:val="none"/>
          <w:u w:val="single"/>
          <w:lang w:bidi="ar"/>
        </w:rPr>
        <w:t>（企业名称）</w:t>
      </w:r>
      <w:r>
        <w:rPr>
          <w:rFonts w:hint="eastAsia" w:ascii="宋体" w:hAnsi="宋体" w:cs="宋体"/>
          <w:color w:val="auto"/>
          <w:kern w:val="0"/>
          <w:szCs w:val="21"/>
          <w:highlight w:val="none"/>
          <w:lang w:bidi="ar"/>
        </w:rPr>
        <w:t>，从业人员</w:t>
      </w:r>
      <w:r>
        <w:rPr>
          <w:rFonts w:hint="eastAsia" w:ascii="宋体" w:hAnsi="宋体" w:cs="宋体"/>
          <w:color w:val="auto"/>
          <w:kern w:val="0"/>
          <w:szCs w:val="21"/>
          <w:highlight w:val="none"/>
          <w:u w:val="single"/>
          <w:lang w:bidi="ar"/>
        </w:rPr>
        <w:t xml:space="preserve">      </w:t>
      </w:r>
      <w:r>
        <w:rPr>
          <w:rFonts w:hint="eastAsia" w:ascii="宋体" w:hAnsi="宋体" w:cs="宋体"/>
          <w:color w:val="auto"/>
          <w:kern w:val="0"/>
          <w:szCs w:val="21"/>
          <w:highlight w:val="none"/>
          <w:lang w:bidi="ar"/>
        </w:rPr>
        <w:t>人，营业收入为</w:t>
      </w:r>
      <w:r>
        <w:rPr>
          <w:rFonts w:hint="eastAsia" w:ascii="宋体" w:hAnsi="宋体" w:cs="宋体"/>
          <w:color w:val="auto"/>
          <w:kern w:val="0"/>
          <w:szCs w:val="21"/>
          <w:highlight w:val="none"/>
          <w:u w:val="single"/>
          <w:lang w:bidi="ar"/>
        </w:rPr>
        <w:t xml:space="preserve">       </w:t>
      </w:r>
      <w:r>
        <w:rPr>
          <w:rFonts w:hint="eastAsia" w:ascii="宋体" w:hAnsi="宋体" w:cs="宋体"/>
          <w:color w:val="auto"/>
          <w:kern w:val="0"/>
          <w:szCs w:val="21"/>
          <w:highlight w:val="none"/>
          <w:lang w:bidi="ar"/>
        </w:rPr>
        <w:t>万元，资产总额为</w:t>
      </w:r>
      <w:r>
        <w:rPr>
          <w:rFonts w:hint="eastAsia" w:ascii="宋体" w:hAnsi="宋体" w:cs="宋体"/>
          <w:color w:val="auto"/>
          <w:kern w:val="0"/>
          <w:szCs w:val="21"/>
          <w:highlight w:val="none"/>
          <w:u w:val="single"/>
          <w:lang w:bidi="ar"/>
        </w:rPr>
        <w:t xml:space="preserve">       </w:t>
      </w:r>
      <w:r>
        <w:rPr>
          <w:rFonts w:hint="eastAsia" w:ascii="宋体" w:hAnsi="宋体" w:cs="宋体"/>
          <w:color w:val="auto"/>
          <w:kern w:val="0"/>
          <w:szCs w:val="21"/>
          <w:highlight w:val="none"/>
          <w:lang w:bidi="ar"/>
        </w:rPr>
        <w:t>万元，属于</w:t>
      </w:r>
      <w:r>
        <w:rPr>
          <w:rFonts w:hint="eastAsia" w:ascii="宋体" w:hAnsi="宋体" w:cs="宋体"/>
          <w:color w:val="auto"/>
          <w:kern w:val="0"/>
          <w:szCs w:val="21"/>
          <w:highlight w:val="none"/>
          <w:u w:val="single"/>
          <w:lang w:bidi="ar"/>
        </w:rPr>
        <w:t>（中型企业、小型企业、微型企业）</w:t>
      </w:r>
      <w:r>
        <w:rPr>
          <w:rFonts w:hint="eastAsia" w:ascii="宋体" w:hAnsi="宋体" w:cs="宋体"/>
          <w:color w:val="auto"/>
          <w:kern w:val="0"/>
          <w:szCs w:val="21"/>
          <w:highlight w:val="none"/>
          <w:lang w:bidi="ar"/>
        </w:rPr>
        <w:t xml:space="preserve">；  </w:t>
      </w:r>
    </w:p>
    <w:p w14:paraId="37284654">
      <w:pPr>
        <w:widowControl/>
        <w:spacing w:line="360" w:lineRule="auto"/>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lang w:bidi="ar"/>
        </w:rPr>
        <w:t>……</w:t>
      </w:r>
    </w:p>
    <w:p w14:paraId="6F38454A">
      <w:pPr>
        <w:widowControl/>
        <w:spacing w:line="360" w:lineRule="auto"/>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lang w:bidi="ar"/>
        </w:rPr>
        <w:t xml:space="preserve">以上企业，不属于大企业的分支机构，不存在控股股东为大企业的情形，也不存在与大企业的负责人为同一人的情形。本企业对上述声明内容的真实性负责。如有虚假，将依法承担相应责任。 </w:t>
      </w:r>
    </w:p>
    <w:p w14:paraId="2DFFD3C1">
      <w:pPr>
        <w:widowControl/>
        <w:spacing w:line="360" w:lineRule="auto"/>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lang w:bidi="ar"/>
        </w:rPr>
        <w:t xml:space="preserve">企业名称（盖章）： </w:t>
      </w:r>
    </w:p>
    <w:p w14:paraId="14E67E3E">
      <w:pPr>
        <w:widowControl/>
        <w:spacing w:line="360" w:lineRule="auto"/>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lang w:bidi="ar"/>
        </w:rPr>
        <w:t xml:space="preserve">日 期： </w:t>
      </w:r>
    </w:p>
    <w:p w14:paraId="002BA333">
      <w:pPr>
        <w:widowControl/>
        <w:ind w:firstLine="360" w:firstLineChars="200"/>
        <w:jc w:val="left"/>
        <w:rPr>
          <w:rFonts w:ascii="宋体" w:hAnsi="宋体" w:cs="宋体"/>
          <w:color w:val="auto"/>
          <w:kern w:val="0"/>
          <w:sz w:val="18"/>
          <w:szCs w:val="18"/>
          <w:highlight w:val="none"/>
          <w:lang w:bidi="ar"/>
        </w:rPr>
      </w:pPr>
    </w:p>
    <w:p w14:paraId="4078BB45">
      <w:pPr>
        <w:widowControl/>
        <w:ind w:firstLine="420" w:firstLineChars="200"/>
        <w:jc w:val="left"/>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注：1.属于专门面向中小企业采购的政府采购货物类项目，投标人应按本声明函内容和格式如实声明采购标的制造商的企业规模，未提供本声明函或不符合《政府采购促进中小企业发展管理办法》（财库﹝2020﹞46 号）规定的，其</w:t>
      </w:r>
      <w:r>
        <w:rPr>
          <w:rFonts w:hint="eastAsia" w:ascii="宋体" w:hAnsi="宋体" w:cs="宋体"/>
          <w:b/>
          <w:bCs/>
          <w:color w:val="auto"/>
          <w:kern w:val="0"/>
          <w:szCs w:val="21"/>
          <w:highlight w:val="none"/>
          <w:lang w:bidi="ar"/>
        </w:rPr>
        <w:t>投标无效。</w:t>
      </w:r>
    </w:p>
    <w:p w14:paraId="5FAED858">
      <w:pPr>
        <w:widowControl/>
        <w:ind w:firstLine="420" w:firstLineChars="200"/>
        <w:jc w:val="left"/>
        <w:rPr>
          <w:rFonts w:ascii="黑体" w:hAnsi="华文中宋" w:eastAsia="黑体" w:cs="宋体"/>
          <w:bCs/>
          <w:color w:val="auto"/>
          <w:spacing w:val="6"/>
          <w:kern w:val="0"/>
          <w:szCs w:val="21"/>
          <w:highlight w:val="none"/>
        </w:rPr>
      </w:pPr>
      <w:r>
        <w:rPr>
          <w:rFonts w:hint="eastAsia" w:ascii="宋体" w:hAnsi="宋体" w:cs="宋体"/>
          <w:color w:val="auto"/>
          <w:kern w:val="0"/>
          <w:szCs w:val="21"/>
          <w:highlight w:val="none"/>
          <w:lang w:bidi="ar"/>
        </w:rPr>
        <w:t>2.从业人员、营业收入、资产总额填报上一年度数据，无上一年度数据的新成立企业可不填报。</w:t>
      </w:r>
    </w:p>
    <w:p w14:paraId="66ABE238">
      <w:pPr>
        <w:keepNext w:val="0"/>
        <w:keepLines w:val="0"/>
        <w:widowControl/>
        <w:suppressLineNumbers w:val="0"/>
        <w:ind w:firstLine="2982" w:firstLineChars="1100"/>
        <w:jc w:val="left"/>
        <w:rPr>
          <w:color w:val="auto"/>
          <w:highlight w:val="none"/>
        </w:rPr>
      </w:pPr>
      <w:bookmarkStart w:id="115" w:name="_Toc62206227"/>
      <w:bookmarkStart w:id="116" w:name="_Toc16609"/>
      <w:bookmarkStart w:id="117" w:name="_Toc82155492"/>
      <w:bookmarkStart w:id="118" w:name="_Toc22201164"/>
      <w:r>
        <w:rPr>
          <w:rFonts w:hint="eastAsia" w:ascii="黑体" w:hAnsi="宋体" w:eastAsia="黑体" w:cs="黑体"/>
          <w:b/>
          <w:bCs/>
          <w:color w:val="auto"/>
          <w:kern w:val="0"/>
          <w:sz w:val="27"/>
          <w:szCs w:val="27"/>
          <w:highlight w:val="none"/>
          <w:lang w:val="en-US" w:eastAsia="zh-CN" w:bidi="ar"/>
        </w:rPr>
        <w:t xml:space="preserve">价格评审优惠货物清单 </w:t>
      </w:r>
    </w:p>
    <w:p w14:paraId="4BF26214">
      <w:pPr>
        <w:keepNext w:val="0"/>
        <w:keepLines w:val="0"/>
        <w:widowControl/>
        <w:suppressLineNumbers w:val="0"/>
        <w:jc w:val="left"/>
        <w:rPr>
          <w:color w:val="auto"/>
          <w:highlight w:val="none"/>
        </w:rPr>
      </w:pPr>
      <w:r>
        <w:rPr>
          <w:rFonts w:hint="eastAsia" w:ascii="宋体" w:hAnsi="宋体"/>
          <w:color w:val="auto"/>
          <w:spacing w:val="28"/>
          <w:szCs w:val="21"/>
          <w:highlight w:val="none"/>
        </w:rPr>
        <w:t>政府采购计划编号</w:t>
      </w:r>
      <w:r>
        <w:rPr>
          <w:rFonts w:hint="eastAsia" w:ascii="宋体" w:hAnsi="宋体" w:eastAsia="宋体" w:cs="宋体"/>
          <w:color w:val="auto"/>
          <w:kern w:val="0"/>
          <w:sz w:val="21"/>
          <w:szCs w:val="21"/>
          <w:highlight w:val="none"/>
          <w:lang w:val="en-US" w:eastAsia="zh-CN" w:bidi="ar"/>
        </w:rPr>
        <w:t xml:space="preserve">：                           项目名称： </w:t>
      </w:r>
    </w:p>
    <w:p w14:paraId="1076FEAD">
      <w:pPr>
        <w:keepNext w:val="0"/>
        <w:keepLines w:val="0"/>
        <w:widowControl/>
        <w:suppressLineNumbers w:val="0"/>
        <w:jc w:val="left"/>
        <w:rPr>
          <w:color w:val="auto"/>
          <w:highlight w:val="none"/>
        </w:rPr>
      </w:pPr>
      <w:r>
        <w:rPr>
          <w:rFonts w:hint="eastAsia" w:ascii="宋体" w:hAnsi="宋体" w:eastAsia="宋体" w:cs="宋体"/>
          <w:color w:val="auto"/>
          <w:kern w:val="0"/>
          <w:sz w:val="21"/>
          <w:szCs w:val="21"/>
          <w:highlight w:val="none"/>
          <w:lang w:val="en-US" w:eastAsia="zh-CN" w:bidi="ar"/>
        </w:rPr>
        <w:t xml:space="preserve">包 号：                                 </w:t>
      </w:r>
      <w:r>
        <w:rPr>
          <w:rFonts w:hint="eastAsia" w:ascii="宋体" w:hAnsi="宋体" w:cs="宋体"/>
          <w:color w:val="auto"/>
          <w:kern w:val="0"/>
          <w:sz w:val="21"/>
          <w:szCs w:val="21"/>
          <w:highlight w:val="none"/>
          <w:lang w:val="en-US" w:eastAsia="zh-CN" w:bidi="ar"/>
        </w:rPr>
        <w:t xml:space="preserve">        </w:t>
      </w:r>
      <w:r>
        <w:rPr>
          <w:rFonts w:hint="eastAsia" w:ascii="宋体" w:hAnsi="宋体" w:eastAsia="宋体" w:cs="宋体"/>
          <w:color w:val="auto"/>
          <w:kern w:val="0"/>
          <w:sz w:val="21"/>
          <w:szCs w:val="21"/>
          <w:highlight w:val="none"/>
          <w:lang w:val="en-US" w:eastAsia="zh-CN" w:bidi="ar"/>
        </w:rPr>
        <w:t xml:space="preserve"> 包名称：</w:t>
      </w:r>
    </w:p>
    <w:tbl>
      <w:tblPr>
        <w:tblStyle w:val="29"/>
        <w:tblW w:w="880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09"/>
        <w:gridCol w:w="1135"/>
        <w:gridCol w:w="1703"/>
        <w:gridCol w:w="1868"/>
        <w:gridCol w:w="2105"/>
        <w:gridCol w:w="1280"/>
      </w:tblGrid>
      <w:tr w14:paraId="354C02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9" w:hRule="atLeast"/>
        </w:trPr>
        <w:tc>
          <w:tcPr>
            <w:tcW w:w="8800" w:type="dxa"/>
            <w:gridSpan w:val="6"/>
            <w:noWrap w:val="0"/>
            <w:vAlign w:val="center"/>
          </w:tcPr>
          <w:p w14:paraId="2CDCE909">
            <w:pPr>
              <w:widowControl/>
              <w:adjustRightInd w:val="0"/>
              <w:snapToGrid w:val="0"/>
              <w:spacing w:line="240" w:lineRule="auto"/>
              <w:jc w:val="center"/>
              <w:rPr>
                <w:rFonts w:ascii="黑体" w:hAnsi="宋体" w:eastAsia="黑体"/>
                <w:color w:val="auto"/>
                <w:kern w:val="0"/>
                <w:sz w:val="24"/>
                <w:highlight w:val="none"/>
              </w:rPr>
            </w:pPr>
            <w:r>
              <w:rPr>
                <w:rFonts w:hint="eastAsia" w:ascii="黑体" w:hAnsi="宋体" w:eastAsia="黑体"/>
                <w:color w:val="auto"/>
                <w:kern w:val="0"/>
                <w:sz w:val="24"/>
                <w:highlight w:val="none"/>
              </w:rPr>
              <w:t>本单位对本表的真实性负责。如有虚假，将依法承担相应责任。</w:t>
            </w:r>
          </w:p>
        </w:tc>
      </w:tr>
      <w:tr w14:paraId="6BE6D2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6" w:hRule="atLeast"/>
        </w:trPr>
        <w:tc>
          <w:tcPr>
            <w:tcW w:w="709" w:type="dxa"/>
            <w:noWrap w:val="0"/>
            <w:vAlign w:val="center"/>
          </w:tcPr>
          <w:p w14:paraId="1016E9A7">
            <w:pPr>
              <w:widowControl/>
              <w:adjustRightInd w:val="0"/>
              <w:snapToGrid w:val="0"/>
              <w:spacing w:line="240" w:lineRule="auto"/>
              <w:jc w:val="center"/>
              <w:rPr>
                <w:rFonts w:ascii="宋体" w:hAnsi="宋体"/>
                <w:color w:val="auto"/>
                <w:kern w:val="0"/>
                <w:szCs w:val="21"/>
                <w:highlight w:val="none"/>
              </w:rPr>
            </w:pPr>
            <w:r>
              <w:rPr>
                <w:rFonts w:hint="eastAsia" w:ascii="宋体" w:hAnsi="宋体"/>
                <w:color w:val="auto"/>
                <w:kern w:val="0"/>
                <w:szCs w:val="21"/>
                <w:highlight w:val="none"/>
              </w:rPr>
              <w:t>1</w:t>
            </w:r>
          </w:p>
        </w:tc>
        <w:tc>
          <w:tcPr>
            <w:tcW w:w="1135" w:type="dxa"/>
            <w:noWrap w:val="0"/>
            <w:vAlign w:val="center"/>
          </w:tcPr>
          <w:p w14:paraId="0A0AB7FA">
            <w:pPr>
              <w:widowControl/>
              <w:adjustRightInd w:val="0"/>
              <w:snapToGrid w:val="0"/>
              <w:spacing w:line="240" w:lineRule="auto"/>
              <w:jc w:val="center"/>
              <w:rPr>
                <w:rFonts w:ascii="宋体" w:hAnsi="宋体"/>
                <w:color w:val="auto"/>
                <w:kern w:val="0"/>
                <w:szCs w:val="21"/>
                <w:highlight w:val="none"/>
              </w:rPr>
            </w:pPr>
            <w:r>
              <w:rPr>
                <w:rFonts w:hint="eastAsia" w:ascii="宋体" w:hAnsi="宋体"/>
                <w:color w:val="auto"/>
                <w:kern w:val="0"/>
                <w:szCs w:val="21"/>
                <w:highlight w:val="none"/>
              </w:rPr>
              <w:t>2</w:t>
            </w:r>
          </w:p>
        </w:tc>
        <w:tc>
          <w:tcPr>
            <w:tcW w:w="1703" w:type="dxa"/>
            <w:noWrap w:val="0"/>
            <w:vAlign w:val="center"/>
          </w:tcPr>
          <w:p w14:paraId="19793FCA">
            <w:pPr>
              <w:widowControl/>
              <w:adjustRightInd w:val="0"/>
              <w:snapToGrid w:val="0"/>
              <w:spacing w:line="240" w:lineRule="auto"/>
              <w:jc w:val="center"/>
              <w:rPr>
                <w:rFonts w:ascii="宋体" w:hAnsi="宋体"/>
                <w:color w:val="auto"/>
                <w:kern w:val="0"/>
                <w:szCs w:val="21"/>
                <w:highlight w:val="none"/>
              </w:rPr>
            </w:pPr>
            <w:r>
              <w:rPr>
                <w:rFonts w:hint="eastAsia" w:ascii="宋体" w:hAnsi="宋体"/>
                <w:color w:val="auto"/>
                <w:kern w:val="0"/>
                <w:szCs w:val="21"/>
                <w:highlight w:val="none"/>
              </w:rPr>
              <w:t>3</w:t>
            </w:r>
          </w:p>
        </w:tc>
        <w:tc>
          <w:tcPr>
            <w:tcW w:w="1868" w:type="dxa"/>
            <w:noWrap w:val="0"/>
            <w:vAlign w:val="center"/>
          </w:tcPr>
          <w:p w14:paraId="78437FFB">
            <w:pPr>
              <w:widowControl/>
              <w:adjustRightInd w:val="0"/>
              <w:snapToGrid w:val="0"/>
              <w:spacing w:line="240" w:lineRule="auto"/>
              <w:jc w:val="center"/>
              <w:rPr>
                <w:rFonts w:ascii="宋体" w:hAnsi="宋体"/>
                <w:color w:val="auto"/>
                <w:kern w:val="0"/>
                <w:szCs w:val="21"/>
                <w:highlight w:val="none"/>
              </w:rPr>
            </w:pPr>
            <w:r>
              <w:rPr>
                <w:rFonts w:hint="eastAsia" w:ascii="宋体" w:hAnsi="宋体"/>
                <w:color w:val="auto"/>
                <w:kern w:val="0"/>
                <w:szCs w:val="21"/>
                <w:highlight w:val="none"/>
              </w:rPr>
              <w:t>4</w:t>
            </w:r>
          </w:p>
        </w:tc>
        <w:tc>
          <w:tcPr>
            <w:tcW w:w="2105" w:type="dxa"/>
            <w:noWrap w:val="0"/>
            <w:vAlign w:val="center"/>
          </w:tcPr>
          <w:p w14:paraId="6BBF50B4">
            <w:pPr>
              <w:widowControl/>
              <w:adjustRightInd w:val="0"/>
              <w:snapToGrid w:val="0"/>
              <w:spacing w:line="240" w:lineRule="auto"/>
              <w:jc w:val="center"/>
              <w:rPr>
                <w:rFonts w:ascii="宋体" w:hAnsi="宋体"/>
                <w:color w:val="auto"/>
                <w:kern w:val="0"/>
                <w:szCs w:val="21"/>
                <w:highlight w:val="none"/>
              </w:rPr>
            </w:pPr>
            <w:r>
              <w:rPr>
                <w:rFonts w:hint="eastAsia" w:ascii="宋体" w:hAnsi="宋体"/>
                <w:color w:val="auto"/>
                <w:kern w:val="0"/>
                <w:szCs w:val="21"/>
                <w:highlight w:val="none"/>
              </w:rPr>
              <w:t>5</w:t>
            </w:r>
          </w:p>
        </w:tc>
        <w:tc>
          <w:tcPr>
            <w:tcW w:w="1280" w:type="dxa"/>
            <w:noWrap w:val="0"/>
            <w:vAlign w:val="center"/>
          </w:tcPr>
          <w:p w14:paraId="7EC2A7E2">
            <w:pPr>
              <w:widowControl/>
              <w:adjustRightInd w:val="0"/>
              <w:snapToGrid w:val="0"/>
              <w:spacing w:line="240" w:lineRule="auto"/>
              <w:jc w:val="center"/>
              <w:rPr>
                <w:rFonts w:ascii="宋体" w:hAnsi="宋体"/>
                <w:color w:val="auto"/>
                <w:kern w:val="0"/>
                <w:szCs w:val="21"/>
                <w:highlight w:val="none"/>
              </w:rPr>
            </w:pPr>
            <w:r>
              <w:rPr>
                <w:rFonts w:hint="eastAsia" w:ascii="宋体" w:hAnsi="宋体"/>
                <w:color w:val="auto"/>
                <w:kern w:val="0"/>
                <w:szCs w:val="21"/>
                <w:highlight w:val="none"/>
              </w:rPr>
              <w:t>6</w:t>
            </w:r>
          </w:p>
        </w:tc>
      </w:tr>
      <w:tr w14:paraId="3031B0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43" w:hRule="atLeast"/>
        </w:trPr>
        <w:tc>
          <w:tcPr>
            <w:tcW w:w="709" w:type="dxa"/>
            <w:noWrap w:val="0"/>
            <w:vAlign w:val="center"/>
          </w:tcPr>
          <w:p w14:paraId="73705C76">
            <w:pPr>
              <w:widowControl/>
              <w:adjustRightInd w:val="0"/>
              <w:snapToGrid w:val="0"/>
              <w:spacing w:line="240" w:lineRule="auto"/>
              <w:jc w:val="center"/>
              <w:rPr>
                <w:rFonts w:ascii="宋体" w:hAnsi="宋体"/>
                <w:color w:val="auto"/>
                <w:kern w:val="0"/>
                <w:szCs w:val="21"/>
                <w:highlight w:val="none"/>
              </w:rPr>
            </w:pPr>
            <w:r>
              <w:rPr>
                <w:rFonts w:hint="eastAsia" w:ascii="宋体" w:hAnsi="宋体"/>
                <w:color w:val="auto"/>
                <w:kern w:val="0"/>
                <w:szCs w:val="21"/>
                <w:highlight w:val="none"/>
              </w:rPr>
              <w:t>序号</w:t>
            </w:r>
          </w:p>
        </w:tc>
        <w:tc>
          <w:tcPr>
            <w:tcW w:w="1135" w:type="dxa"/>
            <w:noWrap w:val="0"/>
            <w:vAlign w:val="center"/>
          </w:tcPr>
          <w:p w14:paraId="315BF2EF">
            <w:pPr>
              <w:widowControl/>
              <w:adjustRightInd w:val="0"/>
              <w:snapToGrid w:val="0"/>
              <w:spacing w:line="240" w:lineRule="auto"/>
              <w:jc w:val="center"/>
              <w:rPr>
                <w:rFonts w:ascii="宋体" w:hAnsi="宋体"/>
                <w:color w:val="auto"/>
                <w:kern w:val="0"/>
                <w:szCs w:val="21"/>
                <w:highlight w:val="none"/>
              </w:rPr>
            </w:pPr>
            <w:r>
              <w:rPr>
                <w:rFonts w:hint="eastAsia" w:ascii="宋体" w:hAnsi="宋体"/>
                <w:color w:val="auto"/>
                <w:kern w:val="0"/>
                <w:szCs w:val="21"/>
                <w:highlight w:val="none"/>
              </w:rPr>
              <w:t>货物名称</w:t>
            </w:r>
          </w:p>
        </w:tc>
        <w:tc>
          <w:tcPr>
            <w:tcW w:w="1703" w:type="dxa"/>
            <w:noWrap w:val="0"/>
            <w:vAlign w:val="center"/>
          </w:tcPr>
          <w:p w14:paraId="330C76D3">
            <w:pPr>
              <w:widowControl/>
              <w:adjustRightInd w:val="0"/>
              <w:snapToGrid w:val="0"/>
              <w:spacing w:line="240" w:lineRule="auto"/>
              <w:jc w:val="center"/>
              <w:rPr>
                <w:rFonts w:ascii="宋体" w:hAnsi="宋体"/>
                <w:color w:val="auto"/>
                <w:kern w:val="0"/>
                <w:szCs w:val="21"/>
                <w:highlight w:val="none"/>
              </w:rPr>
            </w:pPr>
            <w:r>
              <w:rPr>
                <w:rFonts w:hint="eastAsia" w:ascii="宋体" w:hAnsi="宋体"/>
                <w:color w:val="auto"/>
                <w:kern w:val="0"/>
                <w:szCs w:val="21"/>
                <w:highlight w:val="none"/>
              </w:rPr>
              <w:t>价格（元）</w:t>
            </w:r>
          </w:p>
        </w:tc>
        <w:tc>
          <w:tcPr>
            <w:tcW w:w="1868" w:type="dxa"/>
            <w:noWrap w:val="0"/>
            <w:vAlign w:val="center"/>
          </w:tcPr>
          <w:p w14:paraId="5545F651">
            <w:pPr>
              <w:widowControl/>
              <w:adjustRightInd w:val="0"/>
              <w:snapToGrid w:val="0"/>
              <w:spacing w:line="240" w:lineRule="auto"/>
              <w:jc w:val="center"/>
              <w:rPr>
                <w:rFonts w:ascii="宋体" w:hAnsi="宋体"/>
                <w:color w:val="auto"/>
                <w:kern w:val="0"/>
                <w:szCs w:val="21"/>
                <w:highlight w:val="none"/>
              </w:rPr>
            </w:pPr>
            <w:r>
              <w:rPr>
                <w:rFonts w:hint="eastAsia" w:ascii="宋体" w:hAnsi="宋体"/>
                <w:color w:val="auto"/>
                <w:kern w:val="0"/>
                <w:szCs w:val="21"/>
                <w:highlight w:val="none"/>
              </w:rPr>
              <w:t>货物制造商名称</w:t>
            </w:r>
          </w:p>
        </w:tc>
        <w:tc>
          <w:tcPr>
            <w:tcW w:w="2105" w:type="dxa"/>
            <w:noWrap w:val="0"/>
            <w:vAlign w:val="center"/>
          </w:tcPr>
          <w:p w14:paraId="67A1D48C">
            <w:pPr>
              <w:widowControl/>
              <w:adjustRightInd w:val="0"/>
              <w:snapToGrid w:val="0"/>
              <w:spacing w:line="240" w:lineRule="auto"/>
              <w:jc w:val="center"/>
              <w:rPr>
                <w:rFonts w:ascii="宋体" w:hAnsi="宋体"/>
                <w:color w:val="auto"/>
                <w:kern w:val="0"/>
                <w:szCs w:val="21"/>
                <w:highlight w:val="none"/>
              </w:rPr>
            </w:pPr>
            <w:r>
              <w:rPr>
                <w:rFonts w:hint="eastAsia" w:ascii="宋体" w:hAnsi="宋体"/>
                <w:color w:val="auto"/>
                <w:kern w:val="0"/>
                <w:szCs w:val="21"/>
                <w:highlight w:val="none"/>
              </w:rPr>
              <w:t>货物制造商类型</w:t>
            </w:r>
          </w:p>
        </w:tc>
        <w:tc>
          <w:tcPr>
            <w:tcW w:w="1280" w:type="dxa"/>
            <w:noWrap w:val="0"/>
            <w:vAlign w:val="center"/>
          </w:tcPr>
          <w:p w14:paraId="24F375B4">
            <w:pPr>
              <w:widowControl/>
              <w:adjustRightInd w:val="0"/>
              <w:snapToGrid w:val="0"/>
              <w:spacing w:line="240" w:lineRule="auto"/>
              <w:jc w:val="center"/>
              <w:rPr>
                <w:rFonts w:ascii="宋体" w:hAnsi="宋体"/>
                <w:color w:val="auto"/>
                <w:kern w:val="0"/>
                <w:szCs w:val="21"/>
                <w:highlight w:val="none"/>
              </w:rPr>
            </w:pPr>
            <w:r>
              <w:rPr>
                <w:rFonts w:hint="eastAsia" w:ascii="宋体" w:hAnsi="宋体"/>
                <w:color w:val="auto"/>
                <w:kern w:val="0"/>
                <w:szCs w:val="21"/>
                <w:highlight w:val="none"/>
              </w:rPr>
              <w:t>商标名称</w:t>
            </w:r>
          </w:p>
        </w:tc>
      </w:tr>
      <w:tr w14:paraId="1DA4E8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1" w:hRule="atLeast"/>
        </w:trPr>
        <w:tc>
          <w:tcPr>
            <w:tcW w:w="709" w:type="dxa"/>
            <w:noWrap w:val="0"/>
            <w:vAlign w:val="center"/>
          </w:tcPr>
          <w:p w14:paraId="61B8888B">
            <w:pPr>
              <w:adjustRightInd w:val="0"/>
              <w:snapToGrid w:val="0"/>
              <w:spacing w:line="240" w:lineRule="auto"/>
              <w:jc w:val="center"/>
              <w:rPr>
                <w:rFonts w:ascii="宋体" w:hAnsi="宋体"/>
                <w:color w:val="auto"/>
                <w:szCs w:val="21"/>
                <w:highlight w:val="none"/>
              </w:rPr>
            </w:pPr>
          </w:p>
        </w:tc>
        <w:tc>
          <w:tcPr>
            <w:tcW w:w="1135" w:type="dxa"/>
            <w:noWrap w:val="0"/>
            <w:vAlign w:val="center"/>
          </w:tcPr>
          <w:p w14:paraId="4963802E">
            <w:pPr>
              <w:adjustRightInd w:val="0"/>
              <w:snapToGrid w:val="0"/>
              <w:spacing w:line="240" w:lineRule="auto"/>
              <w:jc w:val="center"/>
              <w:rPr>
                <w:rFonts w:ascii="宋体" w:hAnsi="宋体"/>
                <w:color w:val="auto"/>
                <w:szCs w:val="21"/>
                <w:highlight w:val="none"/>
              </w:rPr>
            </w:pPr>
          </w:p>
        </w:tc>
        <w:tc>
          <w:tcPr>
            <w:tcW w:w="1703" w:type="dxa"/>
            <w:noWrap w:val="0"/>
            <w:vAlign w:val="center"/>
          </w:tcPr>
          <w:p w14:paraId="0B2EBDCF">
            <w:pPr>
              <w:adjustRightInd w:val="0"/>
              <w:snapToGrid w:val="0"/>
              <w:spacing w:line="240" w:lineRule="auto"/>
              <w:jc w:val="center"/>
              <w:rPr>
                <w:rFonts w:ascii="宋体" w:hAnsi="宋体"/>
                <w:color w:val="auto"/>
                <w:szCs w:val="21"/>
                <w:highlight w:val="none"/>
              </w:rPr>
            </w:pPr>
          </w:p>
        </w:tc>
        <w:tc>
          <w:tcPr>
            <w:tcW w:w="1868" w:type="dxa"/>
            <w:noWrap w:val="0"/>
            <w:vAlign w:val="center"/>
          </w:tcPr>
          <w:p w14:paraId="1CF940B2">
            <w:pPr>
              <w:adjustRightInd w:val="0"/>
              <w:snapToGrid w:val="0"/>
              <w:spacing w:line="240" w:lineRule="auto"/>
              <w:jc w:val="center"/>
              <w:rPr>
                <w:rFonts w:ascii="宋体" w:hAnsi="宋体"/>
                <w:color w:val="auto"/>
                <w:szCs w:val="21"/>
                <w:highlight w:val="none"/>
              </w:rPr>
            </w:pPr>
          </w:p>
        </w:tc>
        <w:tc>
          <w:tcPr>
            <w:tcW w:w="2105" w:type="dxa"/>
            <w:noWrap w:val="0"/>
            <w:vAlign w:val="top"/>
          </w:tcPr>
          <w:p w14:paraId="3FE0B970">
            <w:pPr>
              <w:adjustRightInd w:val="0"/>
              <w:snapToGrid w:val="0"/>
              <w:spacing w:line="240" w:lineRule="auto"/>
              <w:jc w:val="center"/>
              <w:rPr>
                <w:rFonts w:ascii="宋体" w:hAnsi="宋体"/>
                <w:color w:val="auto"/>
                <w:szCs w:val="21"/>
                <w:highlight w:val="none"/>
              </w:rPr>
            </w:pPr>
          </w:p>
        </w:tc>
        <w:tc>
          <w:tcPr>
            <w:tcW w:w="1280" w:type="dxa"/>
            <w:noWrap w:val="0"/>
            <w:vAlign w:val="center"/>
          </w:tcPr>
          <w:p w14:paraId="4E1B4E69">
            <w:pPr>
              <w:adjustRightInd w:val="0"/>
              <w:snapToGrid w:val="0"/>
              <w:spacing w:line="240" w:lineRule="auto"/>
              <w:jc w:val="center"/>
              <w:rPr>
                <w:rFonts w:ascii="宋体" w:hAnsi="宋体"/>
                <w:color w:val="auto"/>
                <w:szCs w:val="21"/>
                <w:highlight w:val="none"/>
              </w:rPr>
            </w:pPr>
          </w:p>
        </w:tc>
      </w:tr>
      <w:tr w14:paraId="7FEA35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1" w:hRule="atLeast"/>
        </w:trPr>
        <w:tc>
          <w:tcPr>
            <w:tcW w:w="709" w:type="dxa"/>
            <w:noWrap w:val="0"/>
            <w:vAlign w:val="center"/>
          </w:tcPr>
          <w:p w14:paraId="7BC3766E">
            <w:pPr>
              <w:adjustRightInd w:val="0"/>
              <w:snapToGrid w:val="0"/>
              <w:spacing w:line="240" w:lineRule="auto"/>
              <w:jc w:val="center"/>
              <w:rPr>
                <w:rFonts w:ascii="宋体" w:hAnsi="宋体"/>
                <w:color w:val="auto"/>
                <w:szCs w:val="21"/>
                <w:highlight w:val="none"/>
              </w:rPr>
            </w:pPr>
          </w:p>
        </w:tc>
        <w:tc>
          <w:tcPr>
            <w:tcW w:w="1135" w:type="dxa"/>
            <w:noWrap w:val="0"/>
            <w:vAlign w:val="center"/>
          </w:tcPr>
          <w:p w14:paraId="66164858">
            <w:pPr>
              <w:adjustRightInd w:val="0"/>
              <w:snapToGrid w:val="0"/>
              <w:spacing w:line="240" w:lineRule="auto"/>
              <w:jc w:val="center"/>
              <w:rPr>
                <w:rFonts w:ascii="宋体" w:hAnsi="宋体"/>
                <w:color w:val="auto"/>
                <w:szCs w:val="21"/>
                <w:highlight w:val="none"/>
              </w:rPr>
            </w:pPr>
          </w:p>
        </w:tc>
        <w:tc>
          <w:tcPr>
            <w:tcW w:w="1703" w:type="dxa"/>
            <w:noWrap w:val="0"/>
            <w:vAlign w:val="center"/>
          </w:tcPr>
          <w:p w14:paraId="07BF4271">
            <w:pPr>
              <w:adjustRightInd w:val="0"/>
              <w:snapToGrid w:val="0"/>
              <w:spacing w:line="240" w:lineRule="auto"/>
              <w:jc w:val="center"/>
              <w:rPr>
                <w:rFonts w:ascii="宋体" w:hAnsi="宋体"/>
                <w:color w:val="auto"/>
                <w:szCs w:val="21"/>
                <w:highlight w:val="none"/>
              </w:rPr>
            </w:pPr>
          </w:p>
        </w:tc>
        <w:tc>
          <w:tcPr>
            <w:tcW w:w="1868" w:type="dxa"/>
            <w:noWrap w:val="0"/>
            <w:vAlign w:val="center"/>
          </w:tcPr>
          <w:p w14:paraId="5826BA1A">
            <w:pPr>
              <w:adjustRightInd w:val="0"/>
              <w:snapToGrid w:val="0"/>
              <w:spacing w:line="240" w:lineRule="auto"/>
              <w:jc w:val="center"/>
              <w:rPr>
                <w:rFonts w:ascii="宋体" w:hAnsi="宋体"/>
                <w:color w:val="auto"/>
                <w:szCs w:val="21"/>
                <w:highlight w:val="none"/>
              </w:rPr>
            </w:pPr>
          </w:p>
        </w:tc>
        <w:tc>
          <w:tcPr>
            <w:tcW w:w="2105" w:type="dxa"/>
            <w:noWrap w:val="0"/>
            <w:vAlign w:val="top"/>
          </w:tcPr>
          <w:p w14:paraId="054A46E4">
            <w:pPr>
              <w:adjustRightInd w:val="0"/>
              <w:snapToGrid w:val="0"/>
              <w:spacing w:line="240" w:lineRule="auto"/>
              <w:jc w:val="center"/>
              <w:rPr>
                <w:rFonts w:ascii="宋体" w:hAnsi="宋体"/>
                <w:color w:val="auto"/>
                <w:szCs w:val="21"/>
                <w:highlight w:val="none"/>
              </w:rPr>
            </w:pPr>
          </w:p>
        </w:tc>
        <w:tc>
          <w:tcPr>
            <w:tcW w:w="1280" w:type="dxa"/>
            <w:noWrap w:val="0"/>
            <w:vAlign w:val="center"/>
          </w:tcPr>
          <w:p w14:paraId="5538C74F">
            <w:pPr>
              <w:adjustRightInd w:val="0"/>
              <w:snapToGrid w:val="0"/>
              <w:spacing w:line="240" w:lineRule="auto"/>
              <w:jc w:val="center"/>
              <w:rPr>
                <w:rFonts w:ascii="宋体" w:hAnsi="宋体"/>
                <w:color w:val="auto"/>
                <w:szCs w:val="21"/>
                <w:highlight w:val="none"/>
              </w:rPr>
            </w:pPr>
          </w:p>
        </w:tc>
      </w:tr>
      <w:tr w14:paraId="4FA644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7" w:hRule="atLeast"/>
        </w:trPr>
        <w:tc>
          <w:tcPr>
            <w:tcW w:w="709" w:type="dxa"/>
            <w:noWrap w:val="0"/>
            <w:vAlign w:val="center"/>
          </w:tcPr>
          <w:p w14:paraId="4E00BECD">
            <w:pPr>
              <w:adjustRightInd w:val="0"/>
              <w:snapToGrid w:val="0"/>
              <w:spacing w:line="240" w:lineRule="auto"/>
              <w:jc w:val="center"/>
              <w:rPr>
                <w:rFonts w:ascii="宋体" w:hAnsi="宋体"/>
                <w:color w:val="auto"/>
                <w:szCs w:val="21"/>
                <w:highlight w:val="none"/>
              </w:rPr>
            </w:pPr>
            <w:r>
              <w:rPr>
                <w:rFonts w:hint="eastAsia" w:ascii="宋体" w:hAnsi="宋体"/>
                <w:color w:val="auto"/>
                <w:szCs w:val="21"/>
                <w:highlight w:val="none"/>
              </w:rPr>
              <w:t>小计</w:t>
            </w:r>
          </w:p>
        </w:tc>
        <w:tc>
          <w:tcPr>
            <w:tcW w:w="1135" w:type="dxa"/>
            <w:noWrap w:val="0"/>
            <w:vAlign w:val="center"/>
          </w:tcPr>
          <w:p w14:paraId="7FB24780">
            <w:pPr>
              <w:adjustRightInd w:val="0"/>
              <w:snapToGrid w:val="0"/>
              <w:spacing w:line="240" w:lineRule="auto"/>
              <w:jc w:val="center"/>
              <w:rPr>
                <w:rFonts w:ascii="宋体" w:hAnsi="宋体"/>
                <w:color w:val="auto"/>
                <w:szCs w:val="21"/>
                <w:highlight w:val="none"/>
              </w:rPr>
            </w:pPr>
            <w:r>
              <w:rPr>
                <w:rFonts w:hint="eastAsia" w:ascii="宋体" w:hAnsi="宋体"/>
                <w:b/>
                <w:color w:val="auto"/>
                <w:szCs w:val="21"/>
                <w:highlight w:val="none"/>
              </w:rPr>
              <w:t>/</w:t>
            </w:r>
          </w:p>
        </w:tc>
        <w:tc>
          <w:tcPr>
            <w:tcW w:w="1703" w:type="dxa"/>
            <w:noWrap w:val="0"/>
            <w:vAlign w:val="center"/>
          </w:tcPr>
          <w:p w14:paraId="4DE8254F">
            <w:pPr>
              <w:adjustRightInd w:val="0"/>
              <w:snapToGrid w:val="0"/>
              <w:spacing w:line="240" w:lineRule="auto"/>
              <w:jc w:val="center"/>
              <w:rPr>
                <w:rFonts w:ascii="宋体" w:hAnsi="宋体"/>
                <w:color w:val="auto"/>
                <w:szCs w:val="21"/>
                <w:highlight w:val="none"/>
              </w:rPr>
            </w:pPr>
          </w:p>
        </w:tc>
        <w:tc>
          <w:tcPr>
            <w:tcW w:w="1868" w:type="dxa"/>
            <w:noWrap w:val="0"/>
            <w:vAlign w:val="center"/>
          </w:tcPr>
          <w:p w14:paraId="0003DD42">
            <w:pPr>
              <w:adjustRightInd w:val="0"/>
              <w:snapToGrid w:val="0"/>
              <w:spacing w:line="240" w:lineRule="auto"/>
              <w:jc w:val="center"/>
              <w:rPr>
                <w:rFonts w:ascii="宋体" w:hAnsi="宋体"/>
                <w:color w:val="auto"/>
                <w:szCs w:val="21"/>
                <w:highlight w:val="none"/>
              </w:rPr>
            </w:pPr>
            <w:r>
              <w:rPr>
                <w:rFonts w:hint="eastAsia" w:ascii="宋体" w:hAnsi="宋体"/>
                <w:b/>
                <w:color w:val="auto"/>
                <w:szCs w:val="21"/>
                <w:highlight w:val="none"/>
              </w:rPr>
              <w:t>/</w:t>
            </w:r>
          </w:p>
        </w:tc>
        <w:tc>
          <w:tcPr>
            <w:tcW w:w="2105" w:type="dxa"/>
            <w:noWrap w:val="0"/>
            <w:vAlign w:val="center"/>
          </w:tcPr>
          <w:p w14:paraId="14B46B49">
            <w:pPr>
              <w:adjustRightInd w:val="0"/>
              <w:snapToGrid w:val="0"/>
              <w:spacing w:line="240" w:lineRule="auto"/>
              <w:jc w:val="center"/>
              <w:rPr>
                <w:rFonts w:ascii="宋体" w:hAnsi="宋体"/>
                <w:color w:val="auto"/>
                <w:szCs w:val="21"/>
                <w:highlight w:val="none"/>
              </w:rPr>
            </w:pPr>
            <w:r>
              <w:rPr>
                <w:rFonts w:hint="eastAsia" w:ascii="宋体" w:hAnsi="宋体"/>
                <w:b/>
                <w:color w:val="auto"/>
                <w:szCs w:val="21"/>
                <w:highlight w:val="none"/>
              </w:rPr>
              <w:t>/</w:t>
            </w:r>
          </w:p>
        </w:tc>
        <w:tc>
          <w:tcPr>
            <w:tcW w:w="1280" w:type="dxa"/>
            <w:noWrap w:val="0"/>
            <w:vAlign w:val="center"/>
          </w:tcPr>
          <w:p w14:paraId="2FA0657B">
            <w:pPr>
              <w:adjustRightInd w:val="0"/>
              <w:snapToGrid w:val="0"/>
              <w:spacing w:line="240" w:lineRule="auto"/>
              <w:jc w:val="center"/>
              <w:rPr>
                <w:rFonts w:ascii="宋体" w:hAnsi="宋体"/>
                <w:color w:val="auto"/>
                <w:szCs w:val="21"/>
                <w:highlight w:val="none"/>
              </w:rPr>
            </w:pPr>
            <w:r>
              <w:rPr>
                <w:rFonts w:hint="eastAsia" w:ascii="宋体" w:hAnsi="宋体"/>
                <w:b/>
                <w:color w:val="auto"/>
                <w:szCs w:val="21"/>
                <w:highlight w:val="none"/>
              </w:rPr>
              <w:t>/</w:t>
            </w:r>
          </w:p>
        </w:tc>
      </w:tr>
    </w:tbl>
    <w:p w14:paraId="2EF9CD59">
      <w:pPr>
        <w:adjustRightInd w:val="0"/>
        <w:snapToGri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说明：1、本表用于计算政府采购价格评审优惠（小微企业或者监狱企业或者残疾人福利性单位）应享受的政府采购政策价格扣除。</w:t>
      </w:r>
    </w:p>
    <w:p w14:paraId="0D25BA69">
      <w:pPr>
        <w:adjustRightInd w:val="0"/>
        <w:snapToGrid w:val="0"/>
        <w:spacing w:line="360" w:lineRule="auto"/>
        <w:ind w:firstLine="630" w:firstLineChars="300"/>
        <w:rPr>
          <w:rFonts w:ascii="宋体" w:hAnsi="宋体" w:eastAsia="宋体"/>
          <w:color w:val="auto"/>
          <w:szCs w:val="21"/>
          <w:highlight w:val="none"/>
        </w:rPr>
      </w:pPr>
      <w:r>
        <w:rPr>
          <w:rFonts w:hint="eastAsia" w:ascii="宋体" w:hAnsi="宋体" w:eastAsia="宋体"/>
          <w:color w:val="auto"/>
          <w:szCs w:val="21"/>
          <w:highlight w:val="none"/>
        </w:rPr>
        <w:t>2、栏目3“价格”为综合单价，包含该货物所有隐含的内容，如运输费、保险费、管理费和利润等。</w:t>
      </w:r>
    </w:p>
    <w:p w14:paraId="2CC1150C">
      <w:pPr>
        <w:adjustRightInd w:val="0"/>
        <w:snapToGrid w:val="0"/>
        <w:spacing w:line="360" w:lineRule="auto"/>
        <w:ind w:firstLine="630" w:firstLineChars="300"/>
        <w:rPr>
          <w:rFonts w:ascii="宋体" w:hAnsi="宋体" w:eastAsia="宋体"/>
          <w:color w:val="auto"/>
          <w:szCs w:val="21"/>
          <w:highlight w:val="none"/>
        </w:rPr>
      </w:pPr>
      <w:r>
        <w:rPr>
          <w:rFonts w:hint="eastAsia" w:ascii="宋体" w:hAnsi="宋体" w:eastAsia="宋体"/>
          <w:color w:val="auto"/>
          <w:szCs w:val="21"/>
          <w:highlight w:val="none"/>
        </w:rPr>
        <w:t>3、货物制造商类型填写小型、微型，或者监狱企业或者残疾人福利性单位。</w:t>
      </w:r>
    </w:p>
    <w:p w14:paraId="507BC54B">
      <w:pPr>
        <w:adjustRightInd w:val="0"/>
        <w:snapToGrid w:val="0"/>
        <w:spacing w:line="360" w:lineRule="auto"/>
        <w:ind w:firstLine="630" w:firstLineChars="300"/>
        <w:rPr>
          <w:rFonts w:ascii="宋体" w:hAnsi="宋体" w:eastAsia="宋体"/>
          <w:color w:val="auto"/>
          <w:szCs w:val="21"/>
          <w:highlight w:val="none"/>
        </w:rPr>
      </w:pPr>
      <w:r>
        <w:rPr>
          <w:rFonts w:hint="eastAsia" w:ascii="宋体" w:hAnsi="宋体" w:eastAsia="宋体"/>
          <w:color w:val="auto"/>
          <w:szCs w:val="21"/>
          <w:highlight w:val="none"/>
        </w:rPr>
        <w:t>4、投标人在提交投标文件的截止时间前修改“开标一览表”中的投标总价的，涉及本表相应内容应同时修改。未按上述要求填写的，评审时本表所有优惠不予以考虑。</w:t>
      </w:r>
    </w:p>
    <w:p w14:paraId="3B4F35A2">
      <w:pPr>
        <w:adjustRightInd w:val="0"/>
        <w:snapToGrid w:val="0"/>
        <w:spacing w:line="360" w:lineRule="auto"/>
        <w:ind w:firstLine="630" w:firstLineChars="300"/>
        <w:rPr>
          <w:rFonts w:ascii="宋体" w:hAnsi="宋体" w:eastAsia="宋体"/>
          <w:color w:val="auto"/>
          <w:szCs w:val="21"/>
          <w:highlight w:val="none"/>
        </w:rPr>
      </w:pPr>
    </w:p>
    <w:p w14:paraId="17A6A8A2">
      <w:pPr>
        <w:adjustRightInd w:val="0"/>
        <w:snapToGrid w:val="0"/>
        <w:spacing w:line="360" w:lineRule="auto"/>
        <w:ind w:firstLine="630" w:firstLineChars="300"/>
        <w:rPr>
          <w:rFonts w:ascii="宋体" w:hAnsi="宋体"/>
          <w:color w:val="auto"/>
          <w:szCs w:val="21"/>
          <w:highlight w:val="none"/>
        </w:rPr>
      </w:pPr>
    </w:p>
    <w:p w14:paraId="22F1AE85">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投标人名称（盖单位章）：</w:t>
      </w:r>
    </w:p>
    <w:p w14:paraId="6C622941">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法定代表人或其委托代理人（签字或印章）：</w:t>
      </w:r>
    </w:p>
    <w:p w14:paraId="23F7EE0A">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日期：</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w:t>
      </w:r>
    </w:p>
    <w:p w14:paraId="0A15F6CE">
      <w:pPr>
        <w:pStyle w:val="12"/>
        <w:rPr>
          <w:rFonts w:hint="eastAsia" w:ascii="黑体" w:hAnsi="黑体" w:cs="宋体"/>
          <w:b w:val="0"/>
          <w:bCs w:val="0"/>
          <w:color w:val="auto"/>
          <w:kern w:val="0"/>
          <w:sz w:val="21"/>
          <w:szCs w:val="21"/>
          <w:highlight w:val="none"/>
        </w:rPr>
      </w:pPr>
    </w:p>
    <w:p w14:paraId="11C26959">
      <w:pPr>
        <w:rPr>
          <w:rFonts w:hint="eastAsia" w:ascii="黑体" w:hAnsi="黑体" w:cs="宋体"/>
          <w:b w:val="0"/>
          <w:bCs w:val="0"/>
          <w:color w:val="auto"/>
          <w:kern w:val="0"/>
          <w:sz w:val="21"/>
          <w:szCs w:val="21"/>
          <w:highlight w:val="none"/>
        </w:rPr>
      </w:pPr>
    </w:p>
    <w:p w14:paraId="5A17E9B4">
      <w:pPr>
        <w:pStyle w:val="4"/>
        <w:rPr>
          <w:rFonts w:hint="eastAsia" w:ascii="黑体" w:hAnsi="黑体" w:cs="宋体"/>
          <w:b w:val="0"/>
          <w:bCs w:val="0"/>
          <w:color w:val="auto"/>
          <w:kern w:val="0"/>
          <w:sz w:val="21"/>
          <w:szCs w:val="21"/>
          <w:highlight w:val="none"/>
        </w:rPr>
      </w:pPr>
    </w:p>
    <w:p w14:paraId="3F6AFE02">
      <w:pPr>
        <w:rPr>
          <w:rFonts w:hint="eastAsia"/>
          <w:color w:val="auto"/>
          <w:highlight w:val="none"/>
        </w:rPr>
      </w:pPr>
    </w:p>
    <w:p w14:paraId="03B5D8F1">
      <w:pPr>
        <w:pStyle w:val="12"/>
        <w:rPr>
          <w:rFonts w:ascii="黑体" w:hAnsi="黑体"/>
          <w:b w:val="0"/>
          <w:bCs w:val="0"/>
          <w:color w:val="auto"/>
          <w:sz w:val="21"/>
          <w:szCs w:val="21"/>
          <w:highlight w:val="none"/>
        </w:rPr>
      </w:pPr>
      <w:r>
        <w:rPr>
          <w:rFonts w:hint="eastAsia" w:ascii="黑体" w:hAnsi="黑体" w:cs="宋体"/>
          <w:b w:val="0"/>
          <w:bCs w:val="0"/>
          <w:color w:val="auto"/>
          <w:kern w:val="0"/>
          <w:sz w:val="21"/>
          <w:szCs w:val="21"/>
          <w:highlight w:val="none"/>
        </w:rPr>
        <w:t xml:space="preserve">附件10-2 </w:t>
      </w:r>
      <w:r>
        <w:rPr>
          <w:rFonts w:hint="eastAsia" w:ascii="黑体" w:hAnsi="黑体"/>
          <w:b w:val="0"/>
          <w:bCs w:val="0"/>
          <w:color w:val="auto"/>
          <w:sz w:val="21"/>
          <w:szCs w:val="21"/>
          <w:highlight w:val="none"/>
        </w:rPr>
        <w:t>残疾人福利性单位声明函</w:t>
      </w:r>
      <w:bookmarkEnd w:id="115"/>
      <w:bookmarkEnd w:id="116"/>
      <w:bookmarkEnd w:id="117"/>
      <w:bookmarkEnd w:id="118"/>
    </w:p>
    <w:p w14:paraId="3CB77752">
      <w:pPr>
        <w:adjustRightInd w:val="0"/>
        <w:snapToGrid w:val="0"/>
        <w:spacing w:line="360" w:lineRule="auto"/>
        <w:jc w:val="center"/>
        <w:rPr>
          <w:rFonts w:ascii="黑体" w:hAnsi="黑体" w:eastAsia="黑体"/>
          <w:b/>
          <w:color w:val="auto"/>
          <w:spacing w:val="6"/>
          <w:sz w:val="28"/>
          <w:szCs w:val="28"/>
          <w:highlight w:val="none"/>
        </w:rPr>
      </w:pPr>
      <w:r>
        <w:rPr>
          <w:rFonts w:hint="eastAsia" w:ascii="黑体" w:hAnsi="黑体" w:eastAsia="黑体"/>
          <w:b/>
          <w:color w:val="auto"/>
          <w:spacing w:val="6"/>
          <w:sz w:val="28"/>
          <w:szCs w:val="28"/>
          <w:highlight w:val="none"/>
        </w:rPr>
        <w:t>残疾人福利性单位声明函</w:t>
      </w:r>
    </w:p>
    <w:p w14:paraId="0C01C98F">
      <w:pPr>
        <w:adjustRightInd w:val="0"/>
        <w:snapToGrid w:val="0"/>
        <w:spacing w:line="360" w:lineRule="auto"/>
        <w:ind w:firstLine="446" w:firstLineChars="200"/>
        <w:rPr>
          <w:rFonts w:ascii="宋体" w:hAnsi="宋体"/>
          <w:b/>
          <w:color w:val="auto"/>
          <w:spacing w:val="6"/>
          <w:szCs w:val="21"/>
          <w:highlight w:val="none"/>
        </w:rPr>
      </w:pPr>
    </w:p>
    <w:p w14:paraId="567B91DC">
      <w:pPr>
        <w:adjustRightInd w:val="0"/>
        <w:snapToGrid w:val="0"/>
        <w:spacing w:line="360" w:lineRule="auto"/>
        <w:ind w:firstLine="444" w:firstLineChars="200"/>
        <w:rPr>
          <w:rFonts w:ascii="宋体" w:hAnsi="宋体"/>
          <w:color w:val="auto"/>
          <w:spacing w:val="6"/>
          <w:szCs w:val="21"/>
          <w:highlight w:val="none"/>
        </w:rPr>
      </w:pPr>
      <w:r>
        <w:rPr>
          <w:rFonts w:hint="eastAsia" w:ascii="宋体" w:hAnsi="宋体"/>
          <w:color w:val="auto"/>
          <w:spacing w:val="6"/>
          <w:szCs w:val="21"/>
          <w:highlight w:val="none"/>
        </w:rPr>
        <w:t>本单位郑重声明，根据《财政部民政部中国残疾人联合会关于促进残疾人就业政府采购政策的通知》（财库</w:t>
      </w:r>
      <w:r>
        <w:rPr>
          <w:rFonts w:hint="eastAsia" w:ascii="宋体" w:hAnsi="宋体"/>
          <w:color w:val="auto"/>
          <w:szCs w:val="21"/>
          <w:highlight w:val="none"/>
        </w:rPr>
        <w:t>〔2017〕141</w:t>
      </w:r>
      <w:r>
        <w:rPr>
          <w:rFonts w:hint="eastAsia" w:ascii="宋体" w:hAnsi="宋体"/>
          <w:color w:val="auto"/>
          <w:spacing w:val="6"/>
          <w:szCs w:val="21"/>
          <w:highlight w:val="none"/>
        </w:rPr>
        <w:t>号）的规定，本单位为符合条件的残疾人福利性单位，且本单位参加</w:t>
      </w:r>
      <w:r>
        <w:rPr>
          <w:rFonts w:hint="eastAsia" w:ascii="宋体" w:hAnsi="宋体"/>
          <w:color w:val="auto"/>
          <w:spacing w:val="6"/>
          <w:szCs w:val="21"/>
          <w:highlight w:val="none"/>
          <w:u w:val="single"/>
        </w:rPr>
        <w:t xml:space="preserve">           </w:t>
      </w:r>
      <w:r>
        <w:rPr>
          <w:rFonts w:hint="eastAsia" w:ascii="宋体" w:hAnsi="宋体"/>
          <w:color w:val="auto"/>
          <w:spacing w:val="6"/>
          <w:szCs w:val="21"/>
          <w:highlight w:val="none"/>
        </w:rPr>
        <w:t>单位的</w:t>
      </w:r>
      <w:r>
        <w:rPr>
          <w:rFonts w:hint="eastAsia" w:ascii="宋体" w:hAnsi="宋体"/>
          <w:color w:val="auto"/>
          <w:spacing w:val="6"/>
          <w:szCs w:val="21"/>
          <w:highlight w:val="none"/>
          <w:u w:val="single"/>
        </w:rPr>
        <w:t xml:space="preserve">           </w:t>
      </w:r>
      <w:r>
        <w:rPr>
          <w:rFonts w:hint="eastAsia" w:ascii="宋体" w:hAnsi="宋体"/>
          <w:color w:val="auto"/>
          <w:spacing w:val="6"/>
          <w:szCs w:val="21"/>
          <w:highlight w:val="none"/>
        </w:rPr>
        <w:t>项目采购活动提供本单位制造的货物（由本单位承担工程/提供服务），或者提供其他残疾人福利性单位制造的货物（不包括使用非残疾人福利性单位注册商标的货物）。</w:t>
      </w:r>
    </w:p>
    <w:p w14:paraId="7BDBD1C2">
      <w:pPr>
        <w:adjustRightInd w:val="0"/>
        <w:snapToGrid w:val="0"/>
        <w:spacing w:line="360" w:lineRule="auto"/>
        <w:ind w:firstLine="444" w:firstLineChars="200"/>
        <w:rPr>
          <w:rFonts w:ascii="宋体" w:hAnsi="宋体"/>
          <w:color w:val="auto"/>
          <w:spacing w:val="6"/>
          <w:szCs w:val="21"/>
          <w:highlight w:val="none"/>
        </w:rPr>
      </w:pPr>
      <w:r>
        <w:rPr>
          <w:rFonts w:hint="eastAsia" w:ascii="宋体" w:hAnsi="宋体"/>
          <w:color w:val="auto"/>
          <w:spacing w:val="6"/>
          <w:szCs w:val="21"/>
          <w:highlight w:val="none"/>
        </w:rPr>
        <w:t>本单位对上述声明的真实性负责。如有虚假，将依法承担相应责任。</w:t>
      </w:r>
    </w:p>
    <w:p w14:paraId="6494DE4F">
      <w:pPr>
        <w:adjustRightInd w:val="0"/>
        <w:snapToGrid w:val="0"/>
        <w:spacing w:line="360" w:lineRule="auto"/>
        <w:ind w:firstLine="444" w:firstLineChars="200"/>
        <w:rPr>
          <w:rFonts w:ascii="宋体" w:hAnsi="宋体"/>
          <w:color w:val="auto"/>
          <w:spacing w:val="6"/>
          <w:szCs w:val="21"/>
          <w:highlight w:val="none"/>
        </w:rPr>
      </w:pPr>
    </w:p>
    <w:p w14:paraId="52AC6B49">
      <w:pPr>
        <w:adjustRightInd w:val="0"/>
        <w:snapToGrid w:val="0"/>
        <w:spacing w:line="360" w:lineRule="auto"/>
        <w:ind w:firstLine="444" w:firstLineChars="200"/>
        <w:rPr>
          <w:rFonts w:ascii="宋体" w:hAnsi="宋体"/>
          <w:color w:val="auto"/>
          <w:spacing w:val="6"/>
          <w:szCs w:val="21"/>
          <w:highlight w:val="none"/>
        </w:rPr>
      </w:pPr>
    </w:p>
    <w:p w14:paraId="67E8C230">
      <w:pPr>
        <w:tabs>
          <w:tab w:val="left" w:pos="4860"/>
        </w:tabs>
        <w:adjustRightInd w:val="0"/>
        <w:snapToGrid w:val="0"/>
        <w:spacing w:line="360" w:lineRule="auto"/>
        <w:ind w:right="1560" w:firstLine="444" w:firstLineChars="200"/>
        <w:jc w:val="center"/>
        <w:rPr>
          <w:rFonts w:ascii="宋体" w:hAnsi="宋体"/>
          <w:color w:val="auto"/>
          <w:spacing w:val="6"/>
          <w:szCs w:val="21"/>
          <w:highlight w:val="none"/>
        </w:rPr>
      </w:pPr>
      <w:r>
        <w:rPr>
          <w:rFonts w:hint="eastAsia" w:ascii="宋体" w:hAnsi="宋体"/>
          <w:color w:val="auto"/>
          <w:spacing w:val="6"/>
          <w:szCs w:val="21"/>
          <w:highlight w:val="none"/>
        </w:rPr>
        <w:t xml:space="preserve">               单位名称（盖章）：</w:t>
      </w:r>
    </w:p>
    <w:p w14:paraId="389C7F56">
      <w:pPr>
        <w:tabs>
          <w:tab w:val="left" w:pos="4860"/>
        </w:tabs>
        <w:adjustRightInd w:val="0"/>
        <w:snapToGrid w:val="0"/>
        <w:spacing w:line="360" w:lineRule="auto"/>
        <w:ind w:right="1560" w:firstLine="444" w:firstLineChars="200"/>
        <w:jc w:val="center"/>
        <w:rPr>
          <w:rFonts w:ascii="宋体" w:hAnsi="宋体"/>
          <w:color w:val="auto"/>
          <w:spacing w:val="6"/>
          <w:szCs w:val="21"/>
          <w:highlight w:val="none"/>
        </w:rPr>
      </w:pPr>
      <w:r>
        <w:rPr>
          <w:rFonts w:hint="eastAsia" w:ascii="宋体" w:hAnsi="宋体"/>
          <w:color w:val="auto"/>
          <w:spacing w:val="6"/>
          <w:szCs w:val="21"/>
          <w:highlight w:val="none"/>
        </w:rPr>
        <w:t xml:space="preserve">       日  期：</w:t>
      </w:r>
    </w:p>
    <w:p w14:paraId="0CB491BA">
      <w:pPr>
        <w:widowControl/>
        <w:adjustRightInd w:val="0"/>
        <w:snapToGrid w:val="0"/>
        <w:spacing w:line="360" w:lineRule="auto"/>
        <w:jc w:val="left"/>
        <w:rPr>
          <w:rFonts w:ascii="宋体" w:hAnsi="宋体" w:cs="宋体"/>
          <w:color w:val="auto"/>
          <w:kern w:val="0"/>
          <w:szCs w:val="21"/>
          <w:highlight w:val="none"/>
        </w:rPr>
      </w:pPr>
    </w:p>
    <w:p w14:paraId="23445FF3">
      <w:pPr>
        <w:pStyle w:val="12"/>
        <w:rPr>
          <w:rFonts w:ascii="黑体" w:hAnsi="黑体"/>
          <w:color w:val="auto"/>
          <w:sz w:val="21"/>
          <w:szCs w:val="21"/>
          <w:highlight w:val="none"/>
        </w:rPr>
      </w:pPr>
      <w:r>
        <w:rPr>
          <w:rFonts w:ascii="黑体" w:hAnsi="华文中宋" w:cs="宋体"/>
          <w:color w:val="auto"/>
          <w:spacing w:val="6"/>
          <w:kern w:val="0"/>
          <w:highlight w:val="none"/>
        </w:rPr>
        <w:br w:type="page"/>
      </w:r>
      <w:bookmarkStart w:id="119" w:name="_Toc21302"/>
      <w:bookmarkStart w:id="120" w:name="_Toc82155493"/>
      <w:bookmarkStart w:id="121" w:name="_Toc62206228"/>
      <w:bookmarkStart w:id="122" w:name="_Toc22201165"/>
      <w:r>
        <w:rPr>
          <w:rFonts w:hint="eastAsia" w:ascii="黑体" w:hAnsi="黑体" w:cs="宋体"/>
          <w:b w:val="0"/>
          <w:bCs w:val="0"/>
          <w:color w:val="auto"/>
          <w:kern w:val="0"/>
          <w:sz w:val="21"/>
          <w:szCs w:val="21"/>
          <w:highlight w:val="none"/>
        </w:rPr>
        <w:t xml:space="preserve">附件10-3 </w:t>
      </w:r>
      <w:r>
        <w:rPr>
          <w:rFonts w:hint="eastAsia" w:ascii="黑体" w:hAnsi="黑体"/>
          <w:b w:val="0"/>
          <w:bCs w:val="0"/>
          <w:color w:val="auto"/>
          <w:sz w:val="21"/>
          <w:szCs w:val="21"/>
          <w:highlight w:val="none"/>
        </w:rPr>
        <w:t>监狱企业证明资料</w:t>
      </w:r>
      <w:bookmarkEnd w:id="119"/>
      <w:bookmarkEnd w:id="120"/>
      <w:bookmarkEnd w:id="121"/>
      <w:bookmarkEnd w:id="122"/>
    </w:p>
    <w:p w14:paraId="2BEDD3EF">
      <w:pPr>
        <w:adjustRightInd w:val="0"/>
        <w:snapToGrid w:val="0"/>
        <w:spacing w:line="360" w:lineRule="auto"/>
        <w:jc w:val="center"/>
        <w:rPr>
          <w:rFonts w:ascii="黑体" w:hAnsi="宋体"/>
          <w:b/>
          <w:color w:val="auto"/>
          <w:sz w:val="28"/>
          <w:szCs w:val="28"/>
          <w:highlight w:val="none"/>
        </w:rPr>
      </w:pPr>
      <w:r>
        <w:rPr>
          <w:rFonts w:hint="eastAsia" w:ascii="黑体" w:hAnsi="宋体"/>
          <w:b/>
          <w:color w:val="auto"/>
          <w:sz w:val="28"/>
          <w:szCs w:val="28"/>
          <w:highlight w:val="none"/>
        </w:rPr>
        <w:t>监狱企业证明资料</w:t>
      </w:r>
    </w:p>
    <w:p w14:paraId="45E9609E">
      <w:pPr>
        <w:adjustRightInd w:val="0"/>
        <w:snapToGrid w:val="0"/>
        <w:spacing w:line="360" w:lineRule="auto"/>
        <w:rPr>
          <w:rFonts w:ascii="宋体" w:hAnsi="宋体"/>
          <w:b/>
          <w:color w:val="auto"/>
          <w:spacing w:val="6"/>
          <w:szCs w:val="21"/>
          <w:highlight w:val="none"/>
        </w:rPr>
      </w:pPr>
    </w:p>
    <w:p w14:paraId="6BCF0D2E">
      <w:pPr>
        <w:adjustRightInd w:val="0"/>
        <w:snapToGrid w:val="0"/>
        <w:spacing w:line="360" w:lineRule="auto"/>
        <w:ind w:firstLine="420" w:firstLineChars="200"/>
        <w:rPr>
          <w:rFonts w:ascii="宋体" w:hAnsi="宋体"/>
          <w:color w:val="auto"/>
          <w:szCs w:val="21"/>
          <w:highlight w:val="none"/>
        </w:rPr>
      </w:pPr>
      <w:r>
        <w:rPr>
          <w:rFonts w:hint="eastAsia" w:ascii="宋体" w:hAnsi="宋体"/>
          <w:bCs/>
          <w:color w:val="auto"/>
          <w:szCs w:val="21"/>
          <w:highlight w:val="none"/>
        </w:rPr>
        <w:t>注</w:t>
      </w:r>
      <w:r>
        <w:rPr>
          <w:rFonts w:hint="eastAsia" w:ascii="宋体" w:hAnsi="宋体" w:cs="宋体"/>
          <w:bCs/>
          <w:color w:val="auto"/>
          <w:spacing w:val="6"/>
          <w:kern w:val="0"/>
          <w:szCs w:val="21"/>
          <w:highlight w:val="none"/>
        </w:rPr>
        <w:t>：</w:t>
      </w:r>
      <w:r>
        <w:rPr>
          <w:rFonts w:hint="eastAsia" w:ascii="宋体" w:hAnsi="宋体"/>
          <w:color w:val="auto"/>
          <w:szCs w:val="21"/>
          <w:highlight w:val="none"/>
        </w:rPr>
        <w:t>按</w:t>
      </w:r>
      <w:r>
        <w:rPr>
          <w:rFonts w:hint="eastAsia" w:ascii="宋体" w:hAnsi="宋体"/>
          <w:color w:val="auto"/>
          <w:spacing w:val="6"/>
          <w:szCs w:val="21"/>
          <w:highlight w:val="none"/>
        </w:rPr>
        <w:t>《</w:t>
      </w:r>
      <w:r>
        <w:rPr>
          <w:rFonts w:hint="eastAsia" w:ascii="宋体" w:hAnsi="宋体"/>
          <w:color w:val="auto"/>
          <w:szCs w:val="21"/>
          <w:highlight w:val="none"/>
        </w:rPr>
        <w:t>财政部司法部关于政府采购支持监狱企业发展有关问题的通知</w:t>
      </w:r>
      <w:r>
        <w:rPr>
          <w:rFonts w:hint="eastAsia" w:ascii="宋体" w:hAnsi="宋体"/>
          <w:color w:val="auto"/>
          <w:spacing w:val="6"/>
          <w:szCs w:val="21"/>
          <w:highlight w:val="none"/>
        </w:rPr>
        <w:t>》</w:t>
      </w:r>
      <w:r>
        <w:rPr>
          <w:rFonts w:hint="eastAsia" w:ascii="宋体" w:hAnsi="宋体"/>
          <w:color w:val="auto"/>
          <w:szCs w:val="21"/>
          <w:highlight w:val="none"/>
        </w:rPr>
        <w:t>(财库〔2014〕68号)文件规定提供证明文件。</w:t>
      </w:r>
    </w:p>
    <w:p w14:paraId="414DB31D">
      <w:pPr>
        <w:adjustRightInd w:val="0"/>
        <w:snapToGrid w:val="0"/>
        <w:spacing w:line="360" w:lineRule="auto"/>
        <w:rPr>
          <w:rFonts w:ascii="黑体" w:hAnsi="华文中宋" w:eastAsia="黑体" w:cs="宋体"/>
          <w:bCs/>
          <w:color w:val="auto"/>
          <w:spacing w:val="6"/>
          <w:kern w:val="0"/>
          <w:szCs w:val="21"/>
          <w:highlight w:val="none"/>
        </w:rPr>
      </w:pPr>
    </w:p>
    <w:p w14:paraId="71FBDCC1">
      <w:pPr>
        <w:adjustRightInd w:val="0"/>
        <w:snapToGrid w:val="0"/>
        <w:spacing w:line="192" w:lineRule="auto"/>
        <w:rPr>
          <w:rFonts w:ascii="黑体" w:hAnsi="华文中宋" w:eastAsia="黑体" w:cs="宋体"/>
          <w:bCs/>
          <w:color w:val="auto"/>
          <w:spacing w:val="6"/>
          <w:kern w:val="0"/>
          <w:szCs w:val="21"/>
          <w:highlight w:val="none"/>
        </w:rPr>
      </w:pPr>
      <w:r>
        <w:rPr>
          <w:rFonts w:ascii="黑体" w:hAnsi="华文中宋" w:eastAsia="黑体" w:cs="宋体"/>
          <w:bCs/>
          <w:color w:val="auto"/>
          <w:spacing w:val="6"/>
          <w:kern w:val="0"/>
          <w:szCs w:val="21"/>
          <w:highlight w:val="none"/>
        </w:rPr>
        <w:br w:type="page"/>
      </w:r>
    </w:p>
    <w:p w14:paraId="571A8B66">
      <w:pPr>
        <w:pStyle w:val="12"/>
        <w:rPr>
          <w:rFonts w:ascii="黑体" w:hAnsi="宋体"/>
          <w:b w:val="0"/>
          <w:bCs w:val="0"/>
          <w:color w:val="auto"/>
          <w:sz w:val="21"/>
          <w:szCs w:val="21"/>
          <w:highlight w:val="none"/>
        </w:rPr>
      </w:pPr>
      <w:bookmarkStart w:id="123" w:name="_Toc3258"/>
      <w:r>
        <w:rPr>
          <w:rFonts w:hint="eastAsia" w:ascii="黑体" w:hAnsi="华文中宋" w:cs="宋体"/>
          <w:b w:val="0"/>
          <w:bCs w:val="0"/>
          <w:color w:val="auto"/>
          <w:spacing w:val="6"/>
          <w:kern w:val="0"/>
          <w:sz w:val="21"/>
          <w:szCs w:val="21"/>
          <w:highlight w:val="none"/>
        </w:rPr>
        <w:t xml:space="preserve">附件10-4 </w:t>
      </w:r>
      <w:r>
        <w:rPr>
          <w:rFonts w:hint="eastAsia" w:ascii="黑体" w:hAnsi="宋体"/>
          <w:b w:val="0"/>
          <w:bCs w:val="0"/>
          <w:color w:val="auto"/>
          <w:sz w:val="21"/>
          <w:szCs w:val="21"/>
          <w:highlight w:val="none"/>
        </w:rPr>
        <w:t>强制采购或者优先采购产品的证明材料</w:t>
      </w:r>
      <w:bookmarkEnd w:id="123"/>
    </w:p>
    <w:p w14:paraId="561CAE4F">
      <w:pPr>
        <w:adjustRightInd w:val="0"/>
        <w:snapToGrid w:val="0"/>
        <w:spacing w:line="360" w:lineRule="auto"/>
        <w:jc w:val="center"/>
        <w:rPr>
          <w:rFonts w:ascii="黑体" w:hAnsi="黑体" w:eastAsia="黑体"/>
          <w:b/>
          <w:color w:val="auto"/>
          <w:sz w:val="28"/>
          <w:szCs w:val="28"/>
          <w:highlight w:val="none"/>
        </w:rPr>
      </w:pPr>
      <w:r>
        <w:rPr>
          <w:rFonts w:hint="eastAsia" w:ascii="黑体" w:hAnsi="黑体" w:eastAsia="黑体"/>
          <w:b/>
          <w:color w:val="auto"/>
          <w:sz w:val="28"/>
          <w:szCs w:val="28"/>
          <w:highlight w:val="none"/>
        </w:rPr>
        <w:t>强制采购或者优先采购产品</w:t>
      </w:r>
      <w:r>
        <w:rPr>
          <w:rFonts w:hint="eastAsia" w:ascii="黑体" w:hAnsi="黑体" w:eastAsia="黑体"/>
          <w:b/>
          <w:bCs/>
          <w:color w:val="auto"/>
          <w:sz w:val="28"/>
          <w:szCs w:val="28"/>
          <w:highlight w:val="none"/>
        </w:rPr>
        <w:t>的</w:t>
      </w:r>
      <w:r>
        <w:rPr>
          <w:rFonts w:hint="eastAsia" w:ascii="黑体" w:hAnsi="黑体" w:eastAsia="黑体"/>
          <w:b/>
          <w:color w:val="auto"/>
          <w:sz w:val="28"/>
          <w:szCs w:val="28"/>
          <w:highlight w:val="none"/>
        </w:rPr>
        <w:t>证明材料</w:t>
      </w:r>
    </w:p>
    <w:p w14:paraId="628EA914">
      <w:pPr>
        <w:adjustRightInd w:val="0"/>
        <w:snapToGrid w:val="0"/>
        <w:spacing w:line="360" w:lineRule="auto"/>
        <w:jc w:val="center"/>
        <w:rPr>
          <w:rFonts w:ascii="宋体" w:hAnsi="宋体"/>
          <w:b/>
          <w:color w:val="auto"/>
          <w:spacing w:val="6"/>
          <w:szCs w:val="21"/>
          <w:highlight w:val="none"/>
        </w:rPr>
      </w:pPr>
      <w:r>
        <w:rPr>
          <w:rFonts w:hint="eastAsia" w:ascii="宋体" w:hAnsi="宋体"/>
          <w:b/>
          <w:color w:val="auto"/>
          <w:spacing w:val="6"/>
          <w:szCs w:val="21"/>
          <w:highlight w:val="none"/>
        </w:rPr>
        <w:t>(不属于强制采购或者优先采购产品的无需提供)</w:t>
      </w:r>
    </w:p>
    <w:p w14:paraId="7C89BFCB">
      <w:pPr>
        <w:adjustRightInd w:val="0"/>
        <w:snapToGrid w:val="0"/>
        <w:spacing w:line="360" w:lineRule="auto"/>
        <w:ind w:firstLine="420" w:firstLineChars="200"/>
        <w:jc w:val="left"/>
        <w:rPr>
          <w:rFonts w:ascii="宋体" w:hAnsi="宋体"/>
          <w:color w:val="auto"/>
          <w:szCs w:val="21"/>
          <w:highlight w:val="none"/>
        </w:rPr>
      </w:pPr>
    </w:p>
    <w:p w14:paraId="76AA2491">
      <w:pP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注：投标人提供的产品</w:t>
      </w:r>
      <w:r>
        <w:rPr>
          <w:rFonts w:hint="eastAsia" w:ascii="宋体" w:hAnsi="宋体"/>
          <w:bCs/>
          <w:color w:val="auto"/>
          <w:szCs w:val="21"/>
          <w:highlight w:val="none"/>
        </w:rPr>
        <w:t>属于强制采购或者优先采购的</w:t>
      </w:r>
      <w:r>
        <w:rPr>
          <w:rFonts w:hint="eastAsia" w:ascii="宋体" w:hAnsi="宋体"/>
          <w:color w:val="auto"/>
          <w:szCs w:val="21"/>
          <w:highlight w:val="none"/>
        </w:rPr>
        <w:t>，应按第二章第33.6款规定提供证明材料和本章本节附页2“优先采购产品清单”，并加盖投标人单位章。</w:t>
      </w:r>
    </w:p>
    <w:p w14:paraId="680A131B">
      <w:pPr>
        <w:adjustRightInd w:val="0"/>
        <w:snapToGrid w:val="0"/>
        <w:spacing w:line="360" w:lineRule="auto"/>
        <w:ind w:firstLine="420" w:firstLineChars="200"/>
        <w:jc w:val="left"/>
        <w:rPr>
          <w:rFonts w:ascii="宋体" w:hAnsi="宋体"/>
          <w:color w:val="auto"/>
          <w:szCs w:val="21"/>
          <w:highlight w:val="none"/>
        </w:rPr>
      </w:pPr>
    </w:p>
    <w:p w14:paraId="4A05D45F">
      <w:pPr>
        <w:adjustRightInd w:val="0"/>
        <w:snapToGrid w:val="0"/>
        <w:spacing w:after="156" w:afterLines="50" w:line="192" w:lineRule="auto"/>
        <w:rPr>
          <w:rFonts w:ascii="黑体" w:hAnsi="宋体" w:eastAsia="黑体"/>
          <w:color w:val="auto"/>
          <w:szCs w:val="21"/>
          <w:highlight w:val="none"/>
        </w:rPr>
      </w:pPr>
      <w:r>
        <w:rPr>
          <w:rFonts w:ascii="黑体" w:hAnsi="宋体" w:eastAsia="黑体"/>
          <w:b/>
          <w:color w:val="auto"/>
          <w:sz w:val="28"/>
          <w:szCs w:val="28"/>
          <w:highlight w:val="none"/>
        </w:rPr>
        <w:br w:type="page"/>
      </w:r>
    </w:p>
    <w:p w14:paraId="791D5C36">
      <w:pPr>
        <w:pStyle w:val="12"/>
        <w:spacing w:before="0"/>
        <w:jc w:val="left"/>
        <w:rPr>
          <w:rFonts w:ascii="黑体" w:hAnsi="宋体"/>
          <w:b w:val="0"/>
          <w:color w:val="auto"/>
          <w:sz w:val="21"/>
          <w:szCs w:val="21"/>
          <w:highlight w:val="none"/>
        </w:rPr>
      </w:pPr>
      <w:bookmarkStart w:id="124" w:name="_Toc21847"/>
      <w:r>
        <w:rPr>
          <w:rFonts w:hint="eastAsia" w:ascii="黑体" w:hAnsi="华文中宋" w:cs="宋体"/>
          <w:b w:val="0"/>
          <w:bCs w:val="0"/>
          <w:color w:val="auto"/>
          <w:spacing w:val="6"/>
          <w:kern w:val="0"/>
          <w:sz w:val="21"/>
          <w:szCs w:val="21"/>
          <w:highlight w:val="none"/>
        </w:rPr>
        <w:t xml:space="preserve">附页 1 </w:t>
      </w:r>
      <w:r>
        <w:rPr>
          <w:rFonts w:hint="eastAsia" w:ascii="黑体" w:hAnsi="宋体"/>
          <w:b w:val="0"/>
          <w:color w:val="auto"/>
          <w:sz w:val="21"/>
          <w:szCs w:val="21"/>
          <w:highlight w:val="none"/>
        </w:rPr>
        <w:t>优先采购产品清单</w:t>
      </w:r>
      <w:bookmarkEnd w:id="124"/>
    </w:p>
    <w:p w14:paraId="60472AF9">
      <w:pPr>
        <w:adjustRightInd w:val="0"/>
        <w:snapToGrid w:val="0"/>
        <w:spacing w:line="360" w:lineRule="auto"/>
        <w:jc w:val="center"/>
        <w:rPr>
          <w:rFonts w:ascii="宋体" w:hAnsi="宋体"/>
          <w:b/>
          <w:color w:val="auto"/>
          <w:spacing w:val="6"/>
          <w:szCs w:val="21"/>
          <w:highlight w:val="none"/>
        </w:rPr>
      </w:pPr>
      <w:r>
        <w:rPr>
          <w:rFonts w:hint="eastAsia" w:ascii="黑体" w:hAnsi="宋体" w:eastAsia="黑体"/>
          <w:b/>
          <w:color w:val="auto"/>
          <w:sz w:val="28"/>
          <w:szCs w:val="28"/>
          <w:highlight w:val="none"/>
        </w:rPr>
        <w:t>优先采购产品清单</w:t>
      </w:r>
    </w:p>
    <w:p w14:paraId="4A3357A1">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政府采购计划编号：</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项目名称：</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5FCBEE89">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包       号：</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包名称：</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tbl>
      <w:tblPr>
        <w:tblStyle w:val="29"/>
        <w:tblW w:w="874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67"/>
        <w:gridCol w:w="1729"/>
        <w:gridCol w:w="1127"/>
        <w:gridCol w:w="1410"/>
        <w:gridCol w:w="1972"/>
        <w:gridCol w:w="1835"/>
      </w:tblGrid>
      <w:tr w14:paraId="5ED729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8740" w:type="dxa"/>
            <w:gridSpan w:val="6"/>
            <w:vAlign w:val="center"/>
          </w:tcPr>
          <w:p w14:paraId="1D6FE193">
            <w:pPr>
              <w:widowControl/>
              <w:adjustRightInd w:val="0"/>
              <w:snapToGrid w:val="0"/>
              <w:spacing w:line="360" w:lineRule="auto"/>
              <w:ind w:firstLine="480" w:firstLineChars="200"/>
              <w:jc w:val="left"/>
              <w:rPr>
                <w:rFonts w:ascii="黑体" w:hAnsi="黑体" w:eastAsia="黑体"/>
                <w:color w:val="auto"/>
                <w:kern w:val="0"/>
                <w:sz w:val="24"/>
                <w:highlight w:val="none"/>
              </w:rPr>
            </w:pPr>
            <w:r>
              <w:rPr>
                <w:rFonts w:hint="eastAsia" w:ascii="黑体" w:hAnsi="宋体" w:eastAsia="黑体"/>
                <w:color w:val="auto"/>
                <w:kern w:val="0"/>
                <w:sz w:val="24"/>
                <w:highlight w:val="none"/>
              </w:rPr>
              <w:t>以下为投标人提供的政府采购优先采购产品，投标人对本表的真实性负责。如有虚假，将依法承担相应责任。</w:t>
            </w:r>
          </w:p>
        </w:tc>
      </w:tr>
      <w:tr w14:paraId="41EB59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7" w:hRule="atLeast"/>
        </w:trPr>
        <w:tc>
          <w:tcPr>
            <w:tcW w:w="667" w:type="dxa"/>
            <w:vAlign w:val="center"/>
          </w:tcPr>
          <w:p w14:paraId="10B545C1">
            <w:pPr>
              <w:widowControl/>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1</w:t>
            </w:r>
          </w:p>
        </w:tc>
        <w:tc>
          <w:tcPr>
            <w:tcW w:w="1729" w:type="dxa"/>
            <w:vAlign w:val="center"/>
          </w:tcPr>
          <w:p w14:paraId="63C19405">
            <w:pPr>
              <w:widowControl/>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2</w:t>
            </w:r>
          </w:p>
        </w:tc>
        <w:tc>
          <w:tcPr>
            <w:tcW w:w="1127" w:type="dxa"/>
            <w:tcBorders>
              <w:right w:val="single" w:color="auto" w:sz="4" w:space="0"/>
            </w:tcBorders>
            <w:vAlign w:val="center"/>
          </w:tcPr>
          <w:p w14:paraId="62B672CF">
            <w:pPr>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3</w:t>
            </w:r>
          </w:p>
        </w:tc>
        <w:tc>
          <w:tcPr>
            <w:tcW w:w="1410" w:type="dxa"/>
            <w:tcBorders>
              <w:left w:val="single" w:color="auto" w:sz="4" w:space="0"/>
            </w:tcBorders>
            <w:vAlign w:val="center"/>
          </w:tcPr>
          <w:p w14:paraId="5D3B07DE">
            <w:pPr>
              <w:widowControl/>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4</w:t>
            </w:r>
          </w:p>
        </w:tc>
        <w:tc>
          <w:tcPr>
            <w:tcW w:w="1972" w:type="dxa"/>
            <w:vAlign w:val="center"/>
          </w:tcPr>
          <w:p w14:paraId="3E45E214">
            <w:pPr>
              <w:widowControl/>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5</w:t>
            </w:r>
          </w:p>
        </w:tc>
        <w:tc>
          <w:tcPr>
            <w:tcW w:w="1835" w:type="dxa"/>
            <w:vAlign w:val="center"/>
          </w:tcPr>
          <w:p w14:paraId="7A133EB6">
            <w:pPr>
              <w:widowControl/>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6</w:t>
            </w:r>
          </w:p>
        </w:tc>
      </w:tr>
      <w:tr w14:paraId="7A8013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2" w:hRule="atLeast"/>
        </w:trPr>
        <w:tc>
          <w:tcPr>
            <w:tcW w:w="667" w:type="dxa"/>
            <w:vAlign w:val="center"/>
          </w:tcPr>
          <w:p w14:paraId="1BC9A03B">
            <w:pPr>
              <w:widowControl/>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序号</w:t>
            </w:r>
          </w:p>
        </w:tc>
        <w:tc>
          <w:tcPr>
            <w:tcW w:w="1729" w:type="dxa"/>
            <w:vAlign w:val="center"/>
          </w:tcPr>
          <w:p w14:paraId="05890667">
            <w:pPr>
              <w:widowControl/>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货物名称</w:t>
            </w:r>
          </w:p>
        </w:tc>
        <w:tc>
          <w:tcPr>
            <w:tcW w:w="1127" w:type="dxa"/>
            <w:tcBorders>
              <w:right w:val="single" w:color="auto" w:sz="4" w:space="0"/>
            </w:tcBorders>
            <w:vAlign w:val="center"/>
          </w:tcPr>
          <w:p w14:paraId="34CB7415">
            <w:pPr>
              <w:widowControl/>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规格型号</w:t>
            </w:r>
          </w:p>
        </w:tc>
        <w:tc>
          <w:tcPr>
            <w:tcW w:w="1410" w:type="dxa"/>
            <w:tcBorders>
              <w:left w:val="single" w:color="auto" w:sz="4" w:space="0"/>
            </w:tcBorders>
            <w:vAlign w:val="center"/>
          </w:tcPr>
          <w:p w14:paraId="0E574ED8">
            <w:pPr>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价格（元）</w:t>
            </w:r>
          </w:p>
        </w:tc>
        <w:tc>
          <w:tcPr>
            <w:tcW w:w="1972" w:type="dxa"/>
            <w:vAlign w:val="center"/>
          </w:tcPr>
          <w:p w14:paraId="74E736EF">
            <w:pPr>
              <w:widowControl/>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货物制造商名称</w:t>
            </w:r>
          </w:p>
        </w:tc>
        <w:tc>
          <w:tcPr>
            <w:tcW w:w="1835" w:type="dxa"/>
            <w:vAlign w:val="center"/>
          </w:tcPr>
          <w:p w14:paraId="61EF7938">
            <w:pPr>
              <w:widowControl/>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政策功能编码</w:t>
            </w:r>
          </w:p>
        </w:tc>
      </w:tr>
      <w:tr w14:paraId="2BEF35A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6" w:hRule="atLeast"/>
        </w:trPr>
        <w:tc>
          <w:tcPr>
            <w:tcW w:w="8740" w:type="dxa"/>
            <w:gridSpan w:val="6"/>
            <w:vAlign w:val="center"/>
          </w:tcPr>
          <w:p w14:paraId="268C88E8">
            <w:pPr>
              <w:adjustRightInd w:val="0"/>
              <w:snapToGrid w:val="0"/>
              <w:spacing w:line="360" w:lineRule="auto"/>
              <w:jc w:val="left"/>
              <w:rPr>
                <w:rFonts w:ascii="宋体" w:hAnsi="宋体"/>
                <w:b/>
                <w:color w:val="auto"/>
                <w:szCs w:val="21"/>
                <w:highlight w:val="none"/>
              </w:rPr>
            </w:pPr>
            <w:r>
              <w:rPr>
                <w:rFonts w:hint="eastAsia" w:ascii="宋体" w:hAnsi="宋体"/>
                <w:b/>
                <w:color w:val="auto"/>
                <w:szCs w:val="21"/>
                <w:highlight w:val="none"/>
              </w:rPr>
              <w:t>节能产品</w:t>
            </w:r>
          </w:p>
        </w:tc>
      </w:tr>
      <w:tr w14:paraId="046B824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6" w:hRule="atLeast"/>
        </w:trPr>
        <w:tc>
          <w:tcPr>
            <w:tcW w:w="667" w:type="dxa"/>
            <w:vAlign w:val="center"/>
          </w:tcPr>
          <w:p w14:paraId="4E7D3366">
            <w:pPr>
              <w:adjustRightInd w:val="0"/>
              <w:snapToGrid w:val="0"/>
              <w:spacing w:line="360" w:lineRule="auto"/>
              <w:jc w:val="center"/>
              <w:rPr>
                <w:rFonts w:ascii="宋体" w:hAnsi="宋体"/>
                <w:b/>
                <w:color w:val="auto"/>
                <w:szCs w:val="21"/>
                <w:highlight w:val="none"/>
              </w:rPr>
            </w:pPr>
          </w:p>
        </w:tc>
        <w:tc>
          <w:tcPr>
            <w:tcW w:w="1729" w:type="dxa"/>
            <w:vAlign w:val="center"/>
          </w:tcPr>
          <w:p w14:paraId="32E785E5">
            <w:pPr>
              <w:adjustRightInd w:val="0"/>
              <w:snapToGrid w:val="0"/>
              <w:spacing w:line="360" w:lineRule="auto"/>
              <w:jc w:val="center"/>
              <w:rPr>
                <w:rFonts w:ascii="宋体" w:hAnsi="宋体"/>
                <w:b/>
                <w:color w:val="auto"/>
                <w:szCs w:val="21"/>
                <w:highlight w:val="none"/>
              </w:rPr>
            </w:pPr>
          </w:p>
        </w:tc>
        <w:tc>
          <w:tcPr>
            <w:tcW w:w="1127" w:type="dxa"/>
            <w:tcBorders>
              <w:right w:val="single" w:color="auto" w:sz="4" w:space="0"/>
            </w:tcBorders>
            <w:vAlign w:val="center"/>
          </w:tcPr>
          <w:p w14:paraId="0D7C2483">
            <w:pPr>
              <w:adjustRightInd w:val="0"/>
              <w:snapToGrid w:val="0"/>
              <w:spacing w:line="360" w:lineRule="auto"/>
              <w:jc w:val="left"/>
              <w:rPr>
                <w:rFonts w:ascii="宋体" w:hAnsi="宋体"/>
                <w:b/>
                <w:color w:val="auto"/>
                <w:szCs w:val="21"/>
                <w:highlight w:val="none"/>
              </w:rPr>
            </w:pPr>
          </w:p>
        </w:tc>
        <w:tc>
          <w:tcPr>
            <w:tcW w:w="1410" w:type="dxa"/>
            <w:tcBorders>
              <w:left w:val="single" w:color="auto" w:sz="4" w:space="0"/>
            </w:tcBorders>
            <w:vAlign w:val="center"/>
          </w:tcPr>
          <w:p w14:paraId="4190A684">
            <w:pPr>
              <w:adjustRightInd w:val="0"/>
              <w:snapToGrid w:val="0"/>
              <w:spacing w:line="360" w:lineRule="auto"/>
              <w:jc w:val="left"/>
              <w:rPr>
                <w:rFonts w:ascii="宋体" w:hAnsi="宋体"/>
                <w:b/>
                <w:color w:val="auto"/>
                <w:szCs w:val="21"/>
                <w:highlight w:val="none"/>
              </w:rPr>
            </w:pPr>
          </w:p>
        </w:tc>
        <w:tc>
          <w:tcPr>
            <w:tcW w:w="1972" w:type="dxa"/>
            <w:vAlign w:val="center"/>
          </w:tcPr>
          <w:p w14:paraId="402E792B">
            <w:pPr>
              <w:adjustRightInd w:val="0"/>
              <w:snapToGrid w:val="0"/>
              <w:spacing w:line="360" w:lineRule="auto"/>
              <w:jc w:val="center"/>
              <w:rPr>
                <w:rFonts w:ascii="宋体" w:hAnsi="宋体"/>
                <w:b/>
                <w:color w:val="auto"/>
                <w:szCs w:val="21"/>
                <w:highlight w:val="none"/>
              </w:rPr>
            </w:pPr>
          </w:p>
        </w:tc>
        <w:tc>
          <w:tcPr>
            <w:tcW w:w="1835" w:type="dxa"/>
          </w:tcPr>
          <w:p w14:paraId="1A620B84">
            <w:pPr>
              <w:adjustRightInd w:val="0"/>
              <w:snapToGrid w:val="0"/>
              <w:spacing w:line="360" w:lineRule="auto"/>
              <w:jc w:val="center"/>
              <w:rPr>
                <w:rFonts w:ascii="宋体" w:hAnsi="宋体"/>
                <w:b/>
                <w:color w:val="auto"/>
                <w:szCs w:val="21"/>
                <w:highlight w:val="none"/>
              </w:rPr>
            </w:pPr>
          </w:p>
        </w:tc>
      </w:tr>
      <w:tr w14:paraId="2E53C9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6" w:hRule="atLeast"/>
        </w:trPr>
        <w:tc>
          <w:tcPr>
            <w:tcW w:w="667" w:type="dxa"/>
            <w:vAlign w:val="center"/>
          </w:tcPr>
          <w:p w14:paraId="192D9853">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小计</w:t>
            </w:r>
          </w:p>
        </w:tc>
        <w:tc>
          <w:tcPr>
            <w:tcW w:w="1729" w:type="dxa"/>
            <w:vAlign w:val="center"/>
          </w:tcPr>
          <w:p w14:paraId="5B328FE1">
            <w:pPr>
              <w:adjustRightInd w:val="0"/>
              <w:snapToGrid w:val="0"/>
              <w:spacing w:line="360" w:lineRule="auto"/>
              <w:jc w:val="center"/>
              <w:rPr>
                <w:rFonts w:ascii="宋体" w:hAnsi="宋体"/>
                <w:b/>
                <w:color w:val="auto"/>
                <w:szCs w:val="21"/>
                <w:highlight w:val="none"/>
              </w:rPr>
            </w:pPr>
            <w:r>
              <w:rPr>
                <w:rFonts w:hint="eastAsia" w:ascii="宋体" w:hAnsi="宋体"/>
                <w:b/>
                <w:color w:val="auto"/>
                <w:szCs w:val="21"/>
                <w:highlight w:val="none"/>
              </w:rPr>
              <w:t>/</w:t>
            </w:r>
          </w:p>
        </w:tc>
        <w:tc>
          <w:tcPr>
            <w:tcW w:w="1127" w:type="dxa"/>
            <w:tcBorders>
              <w:right w:val="single" w:color="auto" w:sz="4" w:space="0"/>
            </w:tcBorders>
            <w:vAlign w:val="center"/>
          </w:tcPr>
          <w:p w14:paraId="58292D59">
            <w:pPr>
              <w:adjustRightInd w:val="0"/>
              <w:snapToGrid w:val="0"/>
              <w:spacing w:line="360" w:lineRule="auto"/>
              <w:jc w:val="left"/>
              <w:rPr>
                <w:rFonts w:ascii="宋体" w:hAnsi="宋体"/>
                <w:b/>
                <w:color w:val="auto"/>
                <w:szCs w:val="21"/>
                <w:highlight w:val="none"/>
              </w:rPr>
            </w:pPr>
          </w:p>
        </w:tc>
        <w:tc>
          <w:tcPr>
            <w:tcW w:w="1410" w:type="dxa"/>
            <w:tcBorders>
              <w:left w:val="single" w:color="auto" w:sz="4" w:space="0"/>
            </w:tcBorders>
            <w:vAlign w:val="center"/>
          </w:tcPr>
          <w:p w14:paraId="5B1F0D91">
            <w:pPr>
              <w:adjustRightInd w:val="0"/>
              <w:snapToGrid w:val="0"/>
              <w:spacing w:line="360" w:lineRule="auto"/>
              <w:jc w:val="left"/>
              <w:rPr>
                <w:rFonts w:ascii="宋体" w:hAnsi="宋体"/>
                <w:b/>
                <w:color w:val="auto"/>
                <w:szCs w:val="21"/>
                <w:highlight w:val="none"/>
              </w:rPr>
            </w:pPr>
          </w:p>
        </w:tc>
        <w:tc>
          <w:tcPr>
            <w:tcW w:w="1972" w:type="dxa"/>
            <w:vAlign w:val="center"/>
          </w:tcPr>
          <w:p w14:paraId="68456BB2">
            <w:pPr>
              <w:adjustRightInd w:val="0"/>
              <w:snapToGrid w:val="0"/>
              <w:spacing w:line="360" w:lineRule="auto"/>
              <w:jc w:val="center"/>
              <w:rPr>
                <w:rFonts w:ascii="宋体" w:hAnsi="宋体"/>
                <w:b/>
                <w:color w:val="auto"/>
                <w:szCs w:val="21"/>
                <w:highlight w:val="none"/>
              </w:rPr>
            </w:pPr>
            <w:r>
              <w:rPr>
                <w:rFonts w:hint="eastAsia" w:ascii="宋体" w:hAnsi="宋体"/>
                <w:b/>
                <w:color w:val="auto"/>
                <w:szCs w:val="21"/>
                <w:highlight w:val="none"/>
              </w:rPr>
              <w:t>/</w:t>
            </w:r>
          </w:p>
        </w:tc>
        <w:tc>
          <w:tcPr>
            <w:tcW w:w="1835" w:type="dxa"/>
          </w:tcPr>
          <w:p w14:paraId="708972DC">
            <w:pPr>
              <w:adjustRightInd w:val="0"/>
              <w:snapToGrid w:val="0"/>
              <w:spacing w:line="360" w:lineRule="auto"/>
              <w:jc w:val="center"/>
              <w:rPr>
                <w:rFonts w:ascii="宋体" w:hAnsi="宋体"/>
                <w:b/>
                <w:color w:val="auto"/>
                <w:szCs w:val="21"/>
                <w:highlight w:val="none"/>
              </w:rPr>
            </w:pPr>
            <w:r>
              <w:rPr>
                <w:rFonts w:hint="eastAsia" w:ascii="宋体" w:hAnsi="宋体"/>
                <w:b/>
                <w:color w:val="auto"/>
                <w:szCs w:val="21"/>
                <w:highlight w:val="none"/>
              </w:rPr>
              <w:t>/</w:t>
            </w:r>
          </w:p>
        </w:tc>
      </w:tr>
      <w:tr w14:paraId="63F8723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6" w:hRule="atLeast"/>
        </w:trPr>
        <w:tc>
          <w:tcPr>
            <w:tcW w:w="8740" w:type="dxa"/>
            <w:gridSpan w:val="6"/>
            <w:vAlign w:val="center"/>
          </w:tcPr>
          <w:p w14:paraId="419A4177">
            <w:pPr>
              <w:adjustRightInd w:val="0"/>
              <w:snapToGrid w:val="0"/>
              <w:spacing w:line="360" w:lineRule="auto"/>
              <w:jc w:val="left"/>
              <w:rPr>
                <w:rFonts w:ascii="宋体" w:hAnsi="宋体"/>
                <w:b/>
                <w:color w:val="auto"/>
                <w:szCs w:val="21"/>
                <w:highlight w:val="none"/>
              </w:rPr>
            </w:pPr>
            <w:r>
              <w:rPr>
                <w:rFonts w:hint="eastAsia" w:ascii="宋体" w:hAnsi="宋体"/>
                <w:b/>
                <w:color w:val="auto"/>
                <w:szCs w:val="21"/>
                <w:highlight w:val="none"/>
              </w:rPr>
              <w:t>环境标志产品</w:t>
            </w:r>
          </w:p>
        </w:tc>
      </w:tr>
      <w:tr w14:paraId="78010E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6" w:hRule="atLeast"/>
        </w:trPr>
        <w:tc>
          <w:tcPr>
            <w:tcW w:w="667" w:type="dxa"/>
            <w:vAlign w:val="center"/>
          </w:tcPr>
          <w:p w14:paraId="62D4873F">
            <w:pPr>
              <w:adjustRightInd w:val="0"/>
              <w:snapToGrid w:val="0"/>
              <w:spacing w:line="360" w:lineRule="auto"/>
              <w:jc w:val="center"/>
              <w:rPr>
                <w:rFonts w:ascii="宋体" w:hAnsi="宋体"/>
                <w:b/>
                <w:color w:val="auto"/>
                <w:szCs w:val="21"/>
                <w:highlight w:val="none"/>
              </w:rPr>
            </w:pPr>
          </w:p>
        </w:tc>
        <w:tc>
          <w:tcPr>
            <w:tcW w:w="1729" w:type="dxa"/>
            <w:vAlign w:val="center"/>
          </w:tcPr>
          <w:p w14:paraId="736E9803">
            <w:pPr>
              <w:adjustRightInd w:val="0"/>
              <w:snapToGrid w:val="0"/>
              <w:spacing w:line="360" w:lineRule="auto"/>
              <w:jc w:val="center"/>
              <w:rPr>
                <w:rFonts w:ascii="宋体" w:hAnsi="宋体"/>
                <w:b/>
                <w:color w:val="auto"/>
                <w:szCs w:val="21"/>
                <w:highlight w:val="none"/>
              </w:rPr>
            </w:pPr>
          </w:p>
        </w:tc>
        <w:tc>
          <w:tcPr>
            <w:tcW w:w="1127" w:type="dxa"/>
            <w:tcBorders>
              <w:right w:val="single" w:color="auto" w:sz="4" w:space="0"/>
            </w:tcBorders>
            <w:vAlign w:val="center"/>
          </w:tcPr>
          <w:p w14:paraId="02D4B96C">
            <w:pPr>
              <w:adjustRightInd w:val="0"/>
              <w:snapToGrid w:val="0"/>
              <w:spacing w:line="360" w:lineRule="auto"/>
              <w:jc w:val="left"/>
              <w:rPr>
                <w:rFonts w:ascii="宋体" w:hAnsi="宋体"/>
                <w:b/>
                <w:color w:val="auto"/>
                <w:szCs w:val="21"/>
                <w:highlight w:val="none"/>
              </w:rPr>
            </w:pPr>
          </w:p>
        </w:tc>
        <w:tc>
          <w:tcPr>
            <w:tcW w:w="1410" w:type="dxa"/>
            <w:tcBorders>
              <w:left w:val="single" w:color="auto" w:sz="4" w:space="0"/>
            </w:tcBorders>
            <w:vAlign w:val="center"/>
          </w:tcPr>
          <w:p w14:paraId="58D9A619">
            <w:pPr>
              <w:adjustRightInd w:val="0"/>
              <w:snapToGrid w:val="0"/>
              <w:spacing w:line="360" w:lineRule="auto"/>
              <w:jc w:val="left"/>
              <w:rPr>
                <w:rFonts w:ascii="宋体" w:hAnsi="宋体"/>
                <w:b/>
                <w:color w:val="auto"/>
                <w:szCs w:val="21"/>
                <w:highlight w:val="none"/>
              </w:rPr>
            </w:pPr>
          </w:p>
        </w:tc>
        <w:tc>
          <w:tcPr>
            <w:tcW w:w="1972" w:type="dxa"/>
            <w:vAlign w:val="center"/>
          </w:tcPr>
          <w:p w14:paraId="30772190">
            <w:pPr>
              <w:adjustRightInd w:val="0"/>
              <w:snapToGrid w:val="0"/>
              <w:spacing w:line="360" w:lineRule="auto"/>
              <w:jc w:val="center"/>
              <w:rPr>
                <w:rFonts w:ascii="宋体" w:hAnsi="宋体"/>
                <w:b/>
                <w:color w:val="auto"/>
                <w:szCs w:val="21"/>
                <w:highlight w:val="none"/>
              </w:rPr>
            </w:pPr>
          </w:p>
        </w:tc>
        <w:tc>
          <w:tcPr>
            <w:tcW w:w="1835" w:type="dxa"/>
          </w:tcPr>
          <w:p w14:paraId="7AA99DF1">
            <w:pPr>
              <w:adjustRightInd w:val="0"/>
              <w:snapToGrid w:val="0"/>
              <w:spacing w:line="360" w:lineRule="auto"/>
              <w:jc w:val="center"/>
              <w:rPr>
                <w:rFonts w:ascii="宋体" w:hAnsi="宋体"/>
                <w:b/>
                <w:color w:val="auto"/>
                <w:szCs w:val="21"/>
                <w:highlight w:val="none"/>
              </w:rPr>
            </w:pPr>
          </w:p>
        </w:tc>
      </w:tr>
      <w:tr w14:paraId="16107F1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6" w:hRule="atLeast"/>
        </w:trPr>
        <w:tc>
          <w:tcPr>
            <w:tcW w:w="667" w:type="dxa"/>
            <w:vAlign w:val="center"/>
          </w:tcPr>
          <w:p w14:paraId="6C0C3328">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小计</w:t>
            </w:r>
          </w:p>
        </w:tc>
        <w:tc>
          <w:tcPr>
            <w:tcW w:w="1729" w:type="dxa"/>
            <w:vAlign w:val="center"/>
          </w:tcPr>
          <w:p w14:paraId="416FC8A8">
            <w:pPr>
              <w:adjustRightInd w:val="0"/>
              <w:snapToGrid w:val="0"/>
              <w:spacing w:line="360" w:lineRule="auto"/>
              <w:jc w:val="center"/>
              <w:rPr>
                <w:rFonts w:ascii="宋体" w:hAnsi="宋体"/>
                <w:b/>
                <w:color w:val="auto"/>
                <w:szCs w:val="21"/>
                <w:highlight w:val="none"/>
              </w:rPr>
            </w:pPr>
            <w:r>
              <w:rPr>
                <w:rFonts w:hint="eastAsia" w:ascii="宋体" w:hAnsi="宋体"/>
                <w:b/>
                <w:color w:val="auto"/>
                <w:szCs w:val="21"/>
                <w:highlight w:val="none"/>
              </w:rPr>
              <w:t>/</w:t>
            </w:r>
          </w:p>
        </w:tc>
        <w:tc>
          <w:tcPr>
            <w:tcW w:w="1127" w:type="dxa"/>
            <w:tcBorders>
              <w:right w:val="single" w:color="auto" w:sz="4" w:space="0"/>
            </w:tcBorders>
            <w:vAlign w:val="center"/>
          </w:tcPr>
          <w:p w14:paraId="4CD38F05">
            <w:pPr>
              <w:adjustRightInd w:val="0"/>
              <w:snapToGrid w:val="0"/>
              <w:spacing w:line="360" w:lineRule="auto"/>
              <w:jc w:val="left"/>
              <w:rPr>
                <w:rFonts w:ascii="宋体" w:hAnsi="宋体"/>
                <w:b/>
                <w:color w:val="auto"/>
                <w:szCs w:val="21"/>
                <w:highlight w:val="none"/>
              </w:rPr>
            </w:pPr>
          </w:p>
        </w:tc>
        <w:tc>
          <w:tcPr>
            <w:tcW w:w="1410" w:type="dxa"/>
            <w:tcBorders>
              <w:left w:val="single" w:color="auto" w:sz="4" w:space="0"/>
            </w:tcBorders>
            <w:vAlign w:val="center"/>
          </w:tcPr>
          <w:p w14:paraId="3B7F5AAA">
            <w:pPr>
              <w:adjustRightInd w:val="0"/>
              <w:snapToGrid w:val="0"/>
              <w:spacing w:line="360" w:lineRule="auto"/>
              <w:jc w:val="left"/>
              <w:rPr>
                <w:rFonts w:ascii="宋体" w:hAnsi="宋体"/>
                <w:b/>
                <w:color w:val="auto"/>
                <w:szCs w:val="21"/>
                <w:highlight w:val="none"/>
              </w:rPr>
            </w:pPr>
          </w:p>
        </w:tc>
        <w:tc>
          <w:tcPr>
            <w:tcW w:w="1972" w:type="dxa"/>
            <w:vAlign w:val="center"/>
          </w:tcPr>
          <w:p w14:paraId="39FE1A05">
            <w:pPr>
              <w:adjustRightInd w:val="0"/>
              <w:snapToGrid w:val="0"/>
              <w:spacing w:line="360" w:lineRule="auto"/>
              <w:jc w:val="center"/>
              <w:rPr>
                <w:rFonts w:ascii="宋体" w:hAnsi="宋体"/>
                <w:b/>
                <w:color w:val="auto"/>
                <w:szCs w:val="21"/>
                <w:highlight w:val="none"/>
              </w:rPr>
            </w:pPr>
            <w:r>
              <w:rPr>
                <w:rFonts w:hint="eastAsia" w:ascii="宋体" w:hAnsi="宋体"/>
                <w:b/>
                <w:color w:val="auto"/>
                <w:szCs w:val="21"/>
                <w:highlight w:val="none"/>
              </w:rPr>
              <w:t>/</w:t>
            </w:r>
          </w:p>
        </w:tc>
        <w:tc>
          <w:tcPr>
            <w:tcW w:w="1835" w:type="dxa"/>
          </w:tcPr>
          <w:p w14:paraId="2706B51B">
            <w:pPr>
              <w:adjustRightInd w:val="0"/>
              <w:snapToGrid w:val="0"/>
              <w:spacing w:line="360" w:lineRule="auto"/>
              <w:jc w:val="center"/>
              <w:rPr>
                <w:rFonts w:ascii="宋体" w:hAnsi="宋体"/>
                <w:b/>
                <w:color w:val="auto"/>
                <w:szCs w:val="21"/>
                <w:highlight w:val="none"/>
              </w:rPr>
            </w:pPr>
            <w:r>
              <w:rPr>
                <w:rFonts w:hint="eastAsia" w:ascii="宋体" w:hAnsi="宋体"/>
                <w:b/>
                <w:color w:val="auto"/>
                <w:szCs w:val="21"/>
                <w:highlight w:val="none"/>
              </w:rPr>
              <w:t>/</w:t>
            </w:r>
          </w:p>
        </w:tc>
      </w:tr>
      <w:tr w14:paraId="20A9CD7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6" w:hRule="atLeast"/>
        </w:trPr>
        <w:tc>
          <w:tcPr>
            <w:tcW w:w="8740" w:type="dxa"/>
            <w:gridSpan w:val="6"/>
            <w:vAlign w:val="center"/>
          </w:tcPr>
          <w:p w14:paraId="13050A25">
            <w:pPr>
              <w:adjustRightInd w:val="0"/>
              <w:snapToGrid w:val="0"/>
              <w:spacing w:line="360" w:lineRule="auto"/>
              <w:jc w:val="left"/>
              <w:rPr>
                <w:rFonts w:ascii="宋体" w:hAnsi="宋体"/>
                <w:b/>
                <w:color w:val="auto"/>
                <w:szCs w:val="21"/>
                <w:highlight w:val="none"/>
              </w:rPr>
            </w:pPr>
            <w:r>
              <w:rPr>
                <w:rFonts w:hint="eastAsia" w:ascii="宋体" w:hAnsi="宋体"/>
                <w:b/>
                <w:color w:val="auto"/>
                <w:szCs w:val="21"/>
                <w:highlight w:val="none"/>
              </w:rPr>
              <w:t>两型产品</w:t>
            </w:r>
          </w:p>
        </w:tc>
      </w:tr>
      <w:tr w14:paraId="029ED9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6" w:hRule="atLeast"/>
        </w:trPr>
        <w:tc>
          <w:tcPr>
            <w:tcW w:w="667" w:type="dxa"/>
            <w:vAlign w:val="center"/>
          </w:tcPr>
          <w:p w14:paraId="73C8B72E">
            <w:pPr>
              <w:adjustRightInd w:val="0"/>
              <w:snapToGrid w:val="0"/>
              <w:spacing w:line="360" w:lineRule="auto"/>
              <w:jc w:val="center"/>
              <w:rPr>
                <w:rFonts w:ascii="宋体" w:hAnsi="宋体"/>
                <w:color w:val="auto"/>
                <w:szCs w:val="21"/>
                <w:highlight w:val="none"/>
              </w:rPr>
            </w:pPr>
          </w:p>
        </w:tc>
        <w:tc>
          <w:tcPr>
            <w:tcW w:w="1729" w:type="dxa"/>
            <w:vAlign w:val="center"/>
          </w:tcPr>
          <w:p w14:paraId="2A2D78D7">
            <w:pPr>
              <w:adjustRightInd w:val="0"/>
              <w:snapToGrid w:val="0"/>
              <w:spacing w:line="360" w:lineRule="auto"/>
              <w:jc w:val="center"/>
              <w:rPr>
                <w:rFonts w:ascii="宋体" w:hAnsi="宋体"/>
                <w:color w:val="auto"/>
                <w:szCs w:val="21"/>
                <w:highlight w:val="none"/>
              </w:rPr>
            </w:pPr>
          </w:p>
        </w:tc>
        <w:tc>
          <w:tcPr>
            <w:tcW w:w="1127" w:type="dxa"/>
            <w:tcBorders>
              <w:right w:val="single" w:color="auto" w:sz="4" w:space="0"/>
            </w:tcBorders>
            <w:vAlign w:val="center"/>
          </w:tcPr>
          <w:p w14:paraId="5C490EC3">
            <w:pPr>
              <w:adjustRightInd w:val="0"/>
              <w:snapToGrid w:val="0"/>
              <w:spacing w:line="360" w:lineRule="auto"/>
              <w:jc w:val="center"/>
              <w:rPr>
                <w:rFonts w:ascii="宋体" w:hAnsi="宋体"/>
                <w:color w:val="auto"/>
                <w:szCs w:val="21"/>
                <w:highlight w:val="none"/>
              </w:rPr>
            </w:pPr>
          </w:p>
        </w:tc>
        <w:tc>
          <w:tcPr>
            <w:tcW w:w="1410" w:type="dxa"/>
            <w:tcBorders>
              <w:left w:val="single" w:color="auto" w:sz="4" w:space="0"/>
            </w:tcBorders>
            <w:vAlign w:val="center"/>
          </w:tcPr>
          <w:p w14:paraId="08D81753">
            <w:pPr>
              <w:adjustRightInd w:val="0"/>
              <w:snapToGrid w:val="0"/>
              <w:spacing w:line="360" w:lineRule="auto"/>
              <w:jc w:val="center"/>
              <w:rPr>
                <w:rFonts w:ascii="宋体" w:hAnsi="宋体"/>
                <w:color w:val="auto"/>
                <w:szCs w:val="21"/>
                <w:highlight w:val="none"/>
              </w:rPr>
            </w:pPr>
          </w:p>
        </w:tc>
        <w:tc>
          <w:tcPr>
            <w:tcW w:w="1972" w:type="dxa"/>
            <w:vAlign w:val="center"/>
          </w:tcPr>
          <w:p w14:paraId="76BDA306">
            <w:pPr>
              <w:adjustRightInd w:val="0"/>
              <w:snapToGrid w:val="0"/>
              <w:spacing w:line="360" w:lineRule="auto"/>
              <w:jc w:val="center"/>
              <w:rPr>
                <w:rFonts w:ascii="宋体" w:hAnsi="宋体"/>
                <w:color w:val="auto"/>
                <w:szCs w:val="21"/>
                <w:highlight w:val="none"/>
              </w:rPr>
            </w:pPr>
          </w:p>
        </w:tc>
        <w:tc>
          <w:tcPr>
            <w:tcW w:w="1835" w:type="dxa"/>
          </w:tcPr>
          <w:p w14:paraId="6C994D0A">
            <w:pPr>
              <w:adjustRightInd w:val="0"/>
              <w:snapToGrid w:val="0"/>
              <w:spacing w:line="360" w:lineRule="auto"/>
              <w:jc w:val="center"/>
              <w:rPr>
                <w:rFonts w:ascii="宋体" w:hAnsi="宋体"/>
                <w:color w:val="auto"/>
                <w:szCs w:val="21"/>
                <w:highlight w:val="none"/>
              </w:rPr>
            </w:pPr>
          </w:p>
        </w:tc>
      </w:tr>
      <w:tr w14:paraId="4869474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0" w:hRule="atLeast"/>
        </w:trPr>
        <w:tc>
          <w:tcPr>
            <w:tcW w:w="667" w:type="dxa"/>
            <w:vAlign w:val="center"/>
          </w:tcPr>
          <w:p w14:paraId="5B3B339C">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小计</w:t>
            </w:r>
          </w:p>
        </w:tc>
        <w:tc>
          <w:tcPr>
            <w:tcW w:w="1729" w:type="dxa"/>
            <w:vAlign w:val="center"/>
          </w:tcPr>
          <w:p w14:paraId="782746CB">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w:t>
            </w:r>
          </w:p>
        </w:tc>
        <w:tc>
          <w:tcPr>
            <w:tcW w:w="1127" w:type="dxa"/>
            <w:tcBorders>
              <w:right w:val="single" w:color="auto" w:sz="4" w:space="0"/>
            </w:tcBorders>
            <w:vAlign w:val="center"/>
          </w:tcPr>
          <w:p w14:paraId="41A55F2A">
            <w:pPr>
              <w:adjustRightInd w:val="0"/>
              <w:snapToGrid w:val="0"/>
              <w:spacing w:line="360" w:lineRule="auto"/>
              <w:jc w:val="center"/>
              <w:rPr>
                <w:rFonts w:ascii="宋体" w:hAnsi="宋体"/>
                <w:color w:val="auto"/>
                <w:szCs w:val="21"/>
                <w:highlight w:val="none"/>
              </w:rPr>
            </w:pPr>
          </w:p>
        </w:tc>
        <w:tc>
          <w:tcPr>
            <w:tcW w:w="1410" w:type="dxa"/>
            <w:tcBorders>
              <w:left w:val="single" w:color="auto" w:sz="4" w:space="0"/>
            </w:tcBorders>
            <w:vAlign w:val="center"/>
          </w:tcPr>
          <w:p w14:paraId="7B509ACD">
            <w:pPr>
              <w:adjustRightInd w:val="0"/>
              <w:snapToGrid w:val="0"/>
              <w:spacing w:line="360" w:lineRule="auto"/>
              <w:jc w:val="center"/>
              <w:rPr>
                <w:rFonts w:ascii="宋体" w:hAnsi="宋体"/>
                <w:color w:val="auto"/>
                <w:szCs w:val="21"/>
                <w:highlight w:val="none"/>
              </w:rPr>
            </w:pPr>
          </w:p>
        </w:tc>
        <w:tc>
          <w:tcPr>
            <w:tcW w:w="1972" w:type="dxa"/>
            <w:vAlign w:val="center"/>
          </w:tcPr>
          <w:p w14:paraId="2D733485">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w:t>
            </w:r>
          </w:p>
        </w:tc>
        <w:tc>
          <w:tcPr>
            <w:tcW w:w="1835" w:type="dxa"/>
          </w:tcPr>
          <w:p w14:paraId="0F080B7B">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w:t>
            </w:r>
          </w:p>
        </w:tc>
      </w:tr>
    </w:tbl>
    <w:p w14:paraId="35FECB19">
      <w:pP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说明：</w:t>
      </w:r>
      <w:r>
        <w:rPr>
          <w:rFonts w:hint="eastAsia" w:ascii="宋体" w:hAnsi="宋体"/>
          <w:bCs/>
          <w:color w:val="auto"/>
          <w:szCs w:val="21"/>
          <w:highlight w:val="none"/>
        </w:rPr>
        <w:t>1.</w:t>
      </w:r>
      <w:r>
        <w:rPr>
          <w:rFonts w:hint="eastAsia" w:ascii="宋体" w:hAnsi="宋体"/>
          <w:color w:val="auto"/>
          <w:szCs w:val="21"/>
          <w:highlight w:val="none"/>
        </w:rPr>
        <w:t>本表用于计算政府采购优先采购产品（节能产品或环境标志产品或两型产品）的政府采购政策加分或者价格扣除。</w:t>
      </w:r>
    </w:p>
    <w:p w14:paraId="56D8E72B">
      <w:pPr>
        <w:adjustRightInd w:val="0"/>
        <w:snapToGrid w:val="0"/>
        <w:spacing w:line="360" w:lineRule="auto"/>
        <w:ind w:firstLine="630" w:firstLineChars="300"/>
        <w:jc w:val="left"/>
        <w:rPr>
          <w:rFonts w:ascii="宋体" w:hAnsi="宋体"/>
          <w:color w:val="auto"/>
          <w:szCs w:val="21"/>
          <w:highlight w:val="none"/>
        </w:rPr>
      </w:pPr>
      <w:r>
        <w:rPr>
          <w:rFonts w:hint="eastAsia" w:ascii="宋体" w:hAnsi="宋体"/>
          <w:color w:val="auto"/>
          <w:szCs w:val="21"/>
          <w:highlight w:val="none"/>
        </w:rPr>
        <w:t>2.栏目4“价格”为综合单价，包含货物所有隐含的内容，如运输费、保险费、管理费和利润等。</w:t>
      </w:r>
    </w:p>
    <w:p w14:paraId="36E9BEDF">
      <w:pPr>
        <w:adjustRightInd w:val="0"/>
        <w:snapToGrid w:val="0"/>
        <w:spacing w:line="360" w:lineRule="auto"/>
        <w:ind w:firstLine="630" w:firstLineChars="300"/>
        <w:jc w:val="left"/>
        <w:rPr>
          <w:rFonts w:ascii="宋体" w:hAnsi="宋体"/>
          <w:color w:val="auto"/>
          <w:szCs w:val="21"/>
          <w:highlight w:val="none"/>
        </w:rPr>
      </w:pPr>
      <w:r>
        <w:rPr>
          <w:rFonts w:hint="eastAsia" w:ascii="宋体" w:hAnsi="宋体"/>
          <w:color w:val="auto"/>
          <w:szCs w:val="21"/>
          <w:highlight w:val="none"/>
        </w:rPr>
        <w:t>3.栏目6“政策功能编码”是指货物的中国环境标志认证证书编号、中国节能标志认证证书号、湖南两型产品编号（货物同时属于节能产品、环境标志产品、两型产品的，只须填写一种）。</w:t>
      </w:r>
    </w:p>
    <w:p w14:paraId="1D1ED3CA">
      <w:pPr>
        <w:adjustRightInd w:val="0"/>
        <w:snapToGrid w:val="0"/>
        <w:spacing w:line="360" w:lineRule="auto"/>
        <w:ind w:firstLine="630" w:firstLineChars="300"/>
        <w:rPr>
          <w:rFonts w:ascii="宋体" w:hAnsi="宋体"/>
          <w:bCs/>
          <w:color w:val="auto"/>
          <w:szCs w:val="21"/>
          <w:highlight w:val="none"/>
        </w:rPr>
      </w:pPr>
      <w:r>
        <w:rPr>
          <w:rFonts w:hint="eastAsia" w:ascii="宋体" w:hAnsi="宋体"/>
          <w:bCs/>
          <w:color w:val="auto"/>
          <w:szCs w:val="21"/>
          <w:highlight w:val="none"/>
        </w:rPr>
        <w:t>4.投标人在投标截止时间前修改“开标一览表”中的投标报价的，应按第二章第13.7款规定修改本表相应内容。否则，评审时涉及本表所有优惠不予以考虑。</w:t>
      </w:r>
    </w:p>
    <w:p w14:paraId="0C44D535">
      <w:pPr>
        <w:adjustRightInd w:val="0"/>
        <w:snapToGrid w:val="0"/>
        <w:spacing w:line="360" w:lineRule="auto"/>
        <w:rPr>
          <w:rFonts w:ascii="宋体" w:hAnsi="宋体"/>
          <w:color w:val="auto"/>
          <w:szCs w:val="21"/>
          <w:highlight w:val="none"/>
        </w:rPr>
      </w:pPr>
    </w:p>
    <w:p w14:paraId="5A73F6DD">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投标人名称（盖单位章）：</w:t>
      </w:r>
    </w:p>
    <w:p w14:paraId="718903D2">
      <w:pPr>
        <w:adjustRightInd w:val="0"/>
        <w:snapToGrid w:val="0"/>
        <w:spacing w:line="360" w:lineRule="auto"/>
        <w:rPr>
          <w:rFonts w:ascii="宋体" w:hAnsi="宋体"/>
          <w:color w:val="auto"/>
          <w:szCs w:val="21"/>
          <w:highlight w:val="non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或其委托代理人（签字或印章）：</w:t>
      </w:r>
      <w:r>
        <w:rPr>
          <w:rFonts w:hint="eastAsia" w:ascii="宋体" w:hAnsi="宋体"/>
          <w:color w:val="auto"/>
          <w:szCs w:val="21"/>
          <w:highlight w:val="none"/>
          <w:u w:val="single"/>
        </w:rPr>
        <w:t xml:space="preserve">       </w:t>
      </w:r>
    </w:p>
    <w:p w14:paraId="05A85743">
      <w:pPr>
        <w:rPr>
          <w:rFonts w:ascii="宋体" w:hAnsi="宋体"/>
          <w:b/>
          <w:bCs/>
          <w:color w:val="auto"/>
          <w:sz w:val="10"/>
          <w:szCs w:val="10"/>
          <w:highlight w:val="none"/>
        </w:rPr>
      </w:pPr>
      <w:r>
        <w:rPr>
          <w:rFonts w:hint="eastAsia"/>
          <w:color w:val="auto"/>
          <w:highlight w:val="none"/>
        </w:rPr>
        <w:t>日期：        年    月   日</w:t>
      </w:r>
      <w:r>
        <w:rPr>
          <w:rFonts w:ascii="宋体" w:hAnsi="宋体"/>
          <w:color w:val="auto"/>
          <w:szCs w:val="21"/>
          <w:highlight w:val="none"/>
        </w:rPr>
        <w:br w:type="page"/>
      </w:r>
    </w:p>
    <w:p w14:paraId="2CEF79C3">
      <w:pPr>
        <w:pStyle w:val="11"/>
        <w:adjustRightInd w:val="0"/>
        <w:snapToGrid w:val="0"/>
        <w:spacing w:before="0" w:after="0" w:line="360" w:lineRule="auto"/>
        <w:jc w:val="center"/>
        <w:rPr>
          <w:rFonts w:ascii="黑体" w:hAnsi="宋体" w:eastAsia="黑体"/>
          <w:color w:val="auto"/>
          <w:sz w:val="28"/>
          <w:szCs w:val="28"/>
          <w:highlight w:val="none"/>
        </w:rPr>
      </w:pPr>
      <w:bookmarkStart w:id="125" w:name="_Toc2034"/>
      <w:r>
        <w:rPr>
          <w:rFonts w:hint="eastAsia" w:ascii="黑体" w:hAnsi="宋体" w:eastAsia="黑体"/>
          <w:color w:val="auto"/>
          <w:sz w:val="28"/>
          <w:szCs w:val="28"/>
          <w:highlight w:val="none"/>
        </w:rPr>
        <w:t>十一、投标货物符合招标文件规定的证明文件</w:t>
      </w:r>
      <w:bookmarkEnd w:id="125"/>
    </w:p>
    <w:p w14:paraId="1C9F37BB">
      <w:pPr>
        <w:adjustRightInd w:val="0"/>
        <w:snapToGrid w:val="0"/>
        <w:spacing w:line="360" w:lineRule="auto"/>
        <w:rPr>
          <w:rFonts w:ascii="宋体" w:hAnsi="宋体"/>
          <w:color w:val="auto"/>
          <w:szCs w:val="21"/>
          <w:highlight w:val="none"/>
        </w:rPr>
      </w:pPr>
    </w:p>
    <w:p w14:paraId="489E3C6D">
      <w:pPr>
        <w:adjustRightInd w:val="0"/>
        <w:snapToGrid w:val="0"/>
        <w:spacing w:line="360" w:lineRule="auto"/>
        <w:rPr>
          <w:rFonts w:ascii="宋体" w:hAnsi="宋体"/>
          <w:color w:val="auto"/>
          <w:highlight w:val="none"/>
        </w:rPr>
      </w:pPr>
      <w:r>
        <w:rPr>
          <w:rFonts w:hint="eastAsia" w:ascii="宋体" w:hAnsi="宋体"/>
          <w:color w:val="auto"/>
          <w:szCs w:val="21"/>
          <w:highlight w:val="none"/>
        </w:rPr>
        <w:t>注：提供第五章规定的证明材料复印件。</w:t>
      </w:r>
    </w:p>
    <w:p w14:paraId="47B44B9C">
      <w:pPr>
        <w:widowControl/>
        <w:jc w:val="left"/>
        <w:rPr>
          <w:rFonts w:ascii="黑体" w:eastAsia="黑体"/>
          <w:color w:val="auto"/>
          <w:sz w:val="10"/>
          <w:szCs w:val="10"/>
          <w:highlight w:val="none"/>
        </w:rPr>
      </w:pPr>
      <w:r>
        <w:rPr>
          <w:rFonts w:ascii="黑体" w:eastAsia="黑体"/>
          <w:b/>
          <w:bCs/>
          <w:color w:val="auto"/>
          <w:sz w:val="28"/>
          <w:szCs w:val="28"/>
          <w:highlight w:val="none"/>
        </w:rPr>
        <w:br w:type="page"/>
      </w:r>
    </w:p>
    <w:p w14:paraId="2B8AF393">
      <w:pPr>
        <w:pStyle w:val="11"/>
        <w:adjustRightInd w:val="0"/>
        <w:snapToGrid w:val="0"/>
        <w:spacing w:before="0" w:after="0" w:line="360" w:lineRule="auto"/>
        <w:jc w:val="center"/>
        <w:rPr>
          <w:rFonts w:ascii="黑体" w:hAnsi="宋体" w:eastAsia="黑体"/>
          <w:color w:val="auto"/>
          <w:sz w:val="28"/>
          <w:szCs w:val="28"/>
          <w:highlight w:val="none"/>
        </w:rPr>
      </w:pPr>
      <w:bookmarkStart w:id="126" w:name="_Toc18174"/>
      <w:r>
        <w:rPr>
          <w:rFonts w:hint="eastAsia" w:ascii="黑体" w:hAnsi="宋体" w:eastAsia="黑体"/>
          <w:color w:val="auto"/>
          <w:sz w:val="28"/>
          <w:szCs w:val="28"/>
          <w:highlight w:val="none"/>
        </w:rPr>
        <w:t>十二、投标人认为需提供的其他资料</w:t>
      </w:r>
      <w:bookmarkEnd w:id="126"/>
    </w:p>
    <w:p w14:paraId="7A6F3BAA">
      <w:pPr>
        <w:adjustRightInd w:val="0"/>
        <w:snapToGrid w:val="0"/>
        <w:spacing w:before="156" w:beforeLines="50" w:line="360" w:lineRule="auto"/>
        <w:rPr>
          <w:rFonts w:ascii="宋体" w:hAnsi="宋体"/>
          <w:color w:val="auto"/>
          <w:highlight w:val="none"/>
        </w:rPr>
      </w:pPr>
    </w:p>
    <w:p w14:paraId="4A25BB07">
      <w:pPr>
        <w:adjustRightInd w:val="0"/>
        <w:snapToGrid w:val="0"/>
        <w:spacing w:before="156" w:beforeLines="50" w:line="360" w:lineRule="auto"/>
        <w:rPr>
          <w:rFonts w:ascii="宋体" w:hAnsi="宋体"/>
          <w:color w:val="auto"/>
          <w:highlight w:val="none"/>
        </w:rPr>
      </w:pPr>
      <w:r>
        <w:rPr>
          <w:rFonts w:hint="eastAsia" w:ascii="宋体" w:hAnsi="宋体"/>
          <w:color w:val="auto"/>
          <w:highlight w:val="none"/>
        </w:rPr>
        <w:t>注：投标人认为需提供的其他资料包括：</w:t>
      </w:r>
    </w:p>
    <w:p w14:paraId="6723903C">
      <w:pPr>
        <w:adjustRightInd w:val="0"/>
        <w:snapToGrid w:val="0"/>
        <w:spacing w:before="156" w:beforeLines="50" w:line="360" w:lineRule="auto"/>
        <w:ind w:firstLine="420" w:firstLineChars="200"/>
        <w:rPr>
          <w:rFonts w:ascii="宋体" w:hAnsi="宋体"/>
          <w:color w:val="auto"/>
          <w:highlight w:val="none"/>
        </w:rPr>
      </w:pPr>
      <w:r>
        <w:rPr>
          <w:rFonts w:hint="eastAsia" w:ascii="宋体" w:hAnsi="宋体"/>
          <w:color w:val="auto"/>
          <w:highlight w:val="none"/>
        </w:rPr>
        <w:t>1.招标文件第四章评标方法及标准要求的其他相关资料；</w:t>
      </w:r>
    </w:p>
    <w:p w14:paraId="3F8B1154">
      <w:pPr>
        <w:adjustRightInd w:val="0"/>
        <w:snapToGrid w:val="0"/>
        <w:spacing w:before="156" w:beforeLines="50" w:line="360" w:lineRule="auto"/>
        <w:ind w:firstLine="420" w:firstLineChars="200"/>
        <w:rPr>
          <w:rFonts w:ascii="宋体" w:hAnsi="宋体"/>
          <w:color w:val="auto"/>
          <w:highlight w:val="none"/>
        </w:rPr>
      </w:pPr>
      <w:r>
        <w:rPr>
          <w:rFonts w:hint="eastAsia" w:ascii="宋体" w:hAnsi="宋体"/>
          <w:color w:val="auto"/>
          <w:highlight w:val="none"/>
        </w:rPr>
        <w:t>2.招标文件第五章采购需求要求的其他资料。</w:t>
      </w:r>
    </w:p>
    <w:p w14:paraId="2F2DEEC9">
      <w:pPr>
        <w:adjustRightInd w:val="0"/>
        <w:snapToGrid w:val="0"/>
        <w:spacing w:before="156" w:beforeLines="50" w:line="360" w:lineRule="auto"/>
        <w:rPr>
          <w:rFonts w:ascii="宋体" w:hAnsi="宋体"/>
          <w:color w:val="auto"/>
          <w:highlight w:val="none"/>
        </w:rPr>
      </w:pPr>
    </w:p>
    <w:p w14:paraId="2EFF3DEB">
      <w:pPr>
        <w:rPr>
          <w:color w:val="auto"/>
          <w:highlight w:val="none"/>
        </w:rPr>
      </w:pPr>
    </w:p>
    <w:p w14:paraId="2DC121D3">
      <w:pPr>
        <w:widowControl/>
        <w:jc w:val="left"/>
        <w:rPr>
          <w:color w:val="auto"/>
          <w:highlight w:val="none"/>
        </w:rPr>
      </w:pPr>
    </w:p>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decorative"/>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Unicode MS">
    <w:altName w:val="Arial"/>
    <w:panose1 w:val="020B0604020202020204"/>
    <w:charset w:val="00"/>
    <w:family w:val="roman"/>
    <w:pitch w:val="default"/>
    <w:sig w:usb0="00000000" w:usb1="00000000" w:usb2="00000000" w:usb3="00000000" w:csb0="00000001"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宋体">
    <w:panose1 w:val="02010600040101010101"/>
    <w:charset w:val="86"/>
    <w:family w:val="auto"/>
    <w:pitch w:val="default"/>
    <w:sig w:usb0="00000287" w:usb1="080F0000" w:usb2="00000000" w:usb3="00000000" w:csb0="0004009F" w:csb1="DFD70000"/>
  </w:font>
  <w:font w:name="Times New Roman PS MT">
    <w:altName w:val="Times New Roman"/>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2D65F1">
    <w:pPr>
      <w:pStyle w:val="21"/>
      <w:ind w:left="180" w:right="359" w:rightChars="171" w:hanging="180" w:hangingChars="100"/>
      <w:rPr>
        <w:rFonts w:eastAsia="楷体_GB2312"/>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7785" cy="131445"/>
              <wp:effectExtent l="0" t="0" r="3175" b="0"/>
              <wp:wrapNone/>
              <wp:docPr id="3" name="文本框 1"/>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14:paraId="574F1544">
                          <w:pPr>
                            <w:pStyle w:val="21"/>
                          </w:pPr>
                          <w:r>
                            <w:fldChar w:fldCharType="begin"/>
                          </w:r>
                          <w:r>
                            <w:instrText xml:space="preserve"> PAGE  \* MERGEFORMAT </w:instrText>
                          </w:r>
                          <w:r>
                            <w:fldChar w:fldCharType="separate"/>
                          </w:r>
                          <w:r>
                            <w:t>1</w:t>
                          </w:r>
                          <w:r>
                            <w:fldChar w:fldCharType="end"/>
                          </w:r>
                        </w:p>
                      </w:txbxContent>
                    </wps:txbx>
                    <wps:bodyPr rot="0" vert="horz" wrap="none" lIns="0" tIns="0" rIns="0" bIns="0" anchor="t" anchorCtr="0" upright="1">
                      <a:spAutoFit/>
                    </wps:bodyPr>
                  </wps:wsp>
                </a:graphicData>
              </a:graphic>
            </wp:anchor>
          </w:drawing>
        </mc:Choice>
        <mc:Fallback>
          <w:pict>
            <v:shape id="文本框 1" o:spid="_x0000_s1026" o:spt="202" type="#_x0000_t202" style="position:absolute;left:0pt;margin-top:0pt;height:10.35pt;width:4.55pt;mso-position-horizontal:center;mso-position-horizontal-relative:margin;mso-wrap-style:none;z-index:251660288;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z4vdRNAAAAACAQAADwAAAAAAAAABACAAAAAiAAAAZHJzL2Rv&#10;d25yZXYueG1sUEsBAhQAFAAAAAgAh07iQKgGJM4JAgAAAQQAAA4AAAAAAAAAAQAgAAAAHwEAAGRy&#10;cy9lMm9Eb2MueG1sUEsFBgAAAAAGAAYAWQEAAJoFAAAAAA==&#10;">
              <v:fill on="f" focussize="0,0"/>
              <v:stroke on="f"/>
              <v:imagedata o:title=""/>
              <o:lock v:ext="edit" aspectratio="f"/>
              <v:textbox inset="0mm,0mm,0mm,0mm" style="mso-fit-shape-to-text:t;">
                <w:txbxContent>
                  <w:p w14:paraId="574F1544">
                    <w:pPr>
                      <w:pStyle w:val="2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20B1B2">
    <w:pPr>
      <w:pStyle w:val="21"/>
      <w:ind w:left="300" w:right="360" w:hanging="180" w:hangingChars="100"/>
      <w:rPr>
        <w:rFonts w:eastAsia="楷体_GB2312"/>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FF4627A">
                          <w:pPr>
                            <w:pStyle w:val="21"/>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5FF4627A">
                    <w:pPr>
                      <w:pStyle w:val="2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100EEC">
    <w:pPr>
      <w:pStyle w:val="21"/>
      <w:ind w:right="36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57785" cy="131445"/>
              <wp:effectExtent l="0" t="0" r="3175" b="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14:paraId="1303E7D1">
                          <w:pPr>
                            <w:pStyle w:val="21"/>
                          </w:pPr>
                          <w:r>
                            <w:fldChar w:fldCharType="begin"/>
                          </w:r>
                          <w:r>
                            <w:instrText xml:space="preserve"> PAGE  \* MERGEFORMAT </w:instrText>
                          </w:r>
                          <w:r>
                            <w:fldChar w:fldCharType="separate"/>
                          </w:r>
                          <w:r>
                            <w:t>1</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61312;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M+L3UTQAAAAAgEAAA8AAAAAAAAAAQAgAAAAIgAAAGRycy9k&#10;b3ducmV2LnhtbFBLAQIUABQAAAAIAIdO4kB50fnlCgIAAAEEAAAOAAAAAAAAAAEAIAAAAB8BAABk&#10;cnMvZTJvRG9jLnhtbFBLBQYAAAAABgAGAFkBAACbBQAAAAA=&#10;">
              <v:fill on="f" focussize="0,0"/>
              <v:stroke on="f"/>
              <v:imagedata o:title=""/>
              <o:lock v:ext="edit" aspectratio="f"/>
              <v:textbox inset="0mm,0mm,0mm,0mm" style="mso-fit-shape-to-text:t;">
                <w:txbxContent>
                  <w:p w14:paraId="1303E7D1">
                    <w:pPr>
                      <w:pStyle w:val="2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92A0E1">
    <w:pPr>
      <w:pStyle w:val="21"/>
      <w:framePr w:wrap="around" w:vAnchor="text" w:hAnchor="margin" w:xAlign="right" w:y="1"/>
      <w:rPr>
        <w:rStyle w:val="33"/>
      </w:rPr>
    </w:pPr>
    <w:r>
      <w:fldChar w:fldCharType="begin"/>
    </w:r>
    <w:r>
      <w:rPr>
        <w:rStyle w:val="33"/>
      </w:rPr>
      <w:instrText xml:space="preserve">PAGE  </w:instrText>
    </w:r>
    <w:r>
      <w:fldChar w:fldCharType="end"/>
    </w:r>
  </w:p>
  <w:p w14:paraId="1E8553B8">
    <w:pPr>
      <w:pStyle w:val="21"/>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A10DCC">
    <w:pPr>
      <w:pStyle w:val="2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226083">
    <w:pPr>
      <w:pStyle w:val="21"/>
      <w:ind w:left="180" w:right="359" w:rightChars="171" w:hanging="180" w:hangingChars="100"/>
      <w:rPr>
        <w:rFonts w:eastAsia="楷体_GB2312"/>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935" cy="131445"/>
              <wp:effectExtent l="0" t="0" r="635" b="0"/>
              <wp:wrapNone/>
              <wp:docPr id="1" name="文本框 3"/>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14E89965">
                          <w:pPr>
                            <w:pStyle w:val="21"/>
                          </w:pPr>
                          <w:r>
                            <w:fldChar w:fldCharType="begin"/>
                          </w:r>
                          <w:r>
                            <w:instrText xml:space="preserve"> PAGE  \* MERGEFORMAT </w:instrText>
                          </w:r>
                          <w:r>
                            <w:fldChar w:fldCharType="separate"/>
                          </w:r>
                          <w:r>
                            <w:t>70</w:t>
                          </w:r>
                          <w:r>
                            <w:fldChar w:fldCharType="end"/>
                          </w:r>
                        </w:p>
                      </w:txbxContent>
                    </wps:txbx>
                    <wps:bodyPr rot="0" vert="horz" wrap="none" lIns="0" tIns="0" rIns="0" bIns="0" anchor="t" anchorCtr="0" upright="1">
                      <a:spAutoFit/>
                    </wps:bodyPr>
                  </wps:wsp>
                </a:graphicData>
              </a:graphic>
            </wp:anchor>
          </w:drawing>
        </mc:Choice>
        <mc:Fallback>
          <w:pict>
            <v:shape id="文本框 3" o:spid="_x0000_s1026" o:spt="202" type="#_x0000_t202" style="position:absolute;left:0pt;margin-top:0pt;height:10.35pt;width:9.05pt;mso-position-horizontal:center;mso-position-horizontal-relative:margin;mso-wrap-style:none;z-index:251661312;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Q+V+SdAAAAADAQAADwAAAAAAAAABACAAAAAiAAAAZHJzL2Rv&#10;d25yZXYueG1sUEsBAhQAFAAAAAgAh07iQDOv/xoJAgAAAgQAAA4AAAAAAAAAAQAgAAAAHwEAAGRy&#10;cy9lMm9Eb2MueG1sUEsFBgAAAAAGAAYAWQEAAJoFAAAAAA==&#10;">
              <v:fill on="f" focussize="0,0"/>
              <v:stroke on="f"/>
              <v:imagedata o:title=""/>
              <o:lock v:ext="edit" aspectratio="f"/>
              <v:textbox inset="0mm,0mm,0mm,0mm" style="mso-fit-shape-to-text:t;">
                <w:txbxContent>
                  <w:p w14:paraId="14E89965">
                    <w:pPr>
                      <w:pStyle w:val="21"/>
                    </w:pPr>
                    <w:r>
                      <w:fldChar w:fldCharType="begin"/>
                    </w:r>
                    <w:r>
                      <w:instrText xml:space="preserve"> PAGE  \* MERGEFORMAT </w:instrText>
                    </w:r>
                    <w:r>
                      <w:fldChar w:fldCharType="separate"/>
                    </w:r>
                    <w:r>
                      <w:t>70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E7F04B">
    <w:pPr>
      <w:pStyle w:val="22"/>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8687B">
    <w:pPr>
      <w:pStyle w:val="2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8600C">
    <w:pPr>
      <w:pStyle w:val="2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C07894">
    <w:pPr>
      <w:pStyle w:val="22"/>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E4CD3B">
    <w:pPr>
      <w:pStyle w:val="22"/>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0EC782">
    <w:pPr>
      <w:pStyle w:val="22"/>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2C517">
    <w:pPr>
      <w:pStyle w:val="2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7B1468"/>
    <w:multiLevelType w:val="singleLevel"/>
    <w:tmpl w:val="087B1468"/>
    <w:lvl w:ilvl="0" w:tentative="0">
      <w:start w:val="4"/>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cyNDUxMGY3MTVhOTNkNWQ0MjcwMGQzNWRiYzgzNmUifQ=="/>
  </w:docVars>
  <w:rsids>
    <w:rsidRoot w:val="00686028"/>
    <w:rsid w:val="000A14C2"/>
    <w:rsid w:val="0034470D"/>
    <w:rsid w:val="00437497"/>
    <w:rsid w:val="00686028"/>
    <w:rsid w:val="006B2CEF"/>
    <w:rsid w:val="00A26BF4"/>
    <w:rsid w:val="00B75004"/>
    <w:rsid w:val="00BD1B68"/>
    <w:rsid w:val="00C346BD"/>
    <w:rsid w:val="00CF463D"/>
    <w:rsid w:val="018D5056"/>
    <w:rsid w:val="01C67B38"/>
    <w:rsid w:val="0288137B"/>
    <w:rsid w:val="02FA56FA"/>
    <w:rsid w:val="03537813"/>
    <w:rsid w:val="040C699C"/>
    <w:rsid w:val="05562911"/>
    <w:rsid w:val="0603688A"/>
    <w:rsid w:val="06BD7A32"/>
    <w:rsid w:val="071023CF"/>
    <w:rsid w:val="08601134"/>
    <w:rsid w:val="0A075D0B"/>
    <w:rsid w:val="0A0A4E5E"/>
    <w:rsid w:val="0A9456E5"/>
    <w:rsid w:val="0AAA7AC8"/>
    <w:rsid w:val="0C551238"/>
    <w:rsid w:val="0D3F00EE"/>
    <w:rsid w:val="101051ED"/>
    <w:rsid w:val="115E1BD7"/>
    <w:rsid w:val="11636F66"/>
    <w:rsid w:val="11744968"/>
    <w:rsid w:val="12BA6899"/>
    <w:rsid w:val="1375075F"/>
    <w:rsid w:val="13C65B8A"/>
    <w:rsid w:val="13CF2503"/>
    <w:rsid w:val="14105A0F"/>
    <w:rsid w:val="14EC62F2"/>
    <w:rsid w:val="17433079"/>
    <w:rsid w:val="180B4F2E"/>
    <w:rsid w:val="18764AA7"/>
    <w:rsid w:val="1AC521E8"/>
    <w:rsid w:val="1B283AEC"/>
    <w:rsid w:val="1B4F34FC"/>
    <w:rsid w:val="1B854CE1"/>
    <w:rsid w:val="1F9267D1"/>
    <w:rsid w:val="1FE468C6"/>
    <w:rsid w:val="20155A95"/>
    <w:rsid w:val="207E0DDE"/>
    <w:rsid w:val="20C91B14"/>
    <w:rsid w:val="21684414"/>
    <w:rsid w:val="21F764D4"/>
    <w:rsid w:val="22A77747"/>
    <w:rsid w:val="22B82A4D"/>
    <w:rsid w:val="22E55F1F"/>
    <w:rsid w:val="242E1C8E"/>
    <w:rsid w:val="24636DE4"/>
    <w:rsid w:val="256764B5"/>
    <w:rsid w:val="25822292"/>
    <w:rsid w:val="25D0124F"/>
    <w:rsid w:val="26717E0B"/>
    <w:rsid w:val="26CE5D64"/>
    <w:rsid w:val="29F171A8"/>
    <w:rsid w:val="2A172D9D"/>
    <w:rsid w:val="2C6140CB"/>
    <w:rsid w:val="2D2172E6"/>
    <w:rsid w:val="2E41718E"/>
    <w:rsid w:val="2E9C3869"/>
    <w:rsid w:val="2F931BE1"/>
    <w:rsid w:val="2F984477"/>
    <w:rsid w:val="2FA35779"/>
    <w:rsid w:val="3016021C"/>
    <w:rsid w:val="309A0389"/>
    <w:rsid w:val="310B2581"/>
    <w:rsid w:val="32F51389"/>
    <w:rsid w:val="33064502"/>
    <w:rsid w:val="341D6771"/>
    <w:rsid w:val="348B0E66"/>
    <w:rsid w:val="353142B1"/>
    <w:rsid w:val="36AD05C2"/>
    <w:rsid w:val="37697FA8"/>
    <w:rsid w:val="377C2FB4"/>
    <w:rsid w:val="38300154"/>
    <w:rsid w:val="385A5819"/>
    <w:rsid w:val="38FC2559"/>
    <w:rsid w:val="394C2FAE"/>
    <w:rsid w:val="39845AFF"/>
    <w:rsid w:val="3A7577F9"/>
    <w:rsid w:val="3C2512D7"/>
    <w:rsid w:val="3CA84EF8"/>
    <w:rsid w:val="3CC167CC"/>
    <w:rsid w:val="3D440A9C"/>
    <w:rsid w:val="3DCC6CDD"/>
    <w:rsid w:val="3E18072E"/>
    <w:rsid w:val="3EAE1FC7"/>
    <w:rsid w:val="3F8C7474"/>
    <w:rsid w:val="3FFF47B3"/>
    <w:rsid w:val="41A448BE"/>
    <w:rsid w:val="429237DA"/>
    <w:rsid w:val="429A08F9"/>
    <w:rsid w:val="44071E88"/>
    <w:rsid w:val="44900F95"/>
    <w:rsid w:val="45552EAA"/>
    <w:rsid w:val="47411441"/>
    <w:rsid w:val="48531B40"/>
    <w:rsid w:val="48E014EE"/>
    <w:rsid w:val="494070B0"/>
    <w:rsid w:val="49964CF4"/>
    <w:rsid w:val="49FE57E1"/>
    <w:rsid w:val="4A280DAA"/>
    <w:rsid w:val="4B6E4EE3"/>
    <w:rsid w:val="4B9367EA"/>
    <w:rsid w:val="4BB8660B"/>
    <w:rsid w:val="4D5E2B50"/>
    <w:rsid w:val="4D952C84"/>
    <w:rsid w:val="4DF975D6"/>
    <w:rsid w:val="4EDB32EC"/>
    <w:rsid w:val="4F6E78D6"/>
    <w:rsid w:val="5040237F"/>
    <w:rsid w:val="50B43B02"/>
    <w:rsid w:val="52C250A6"/>
    <w:rsid w:val="52EC14B5"/>
    <w:rsid w:val="53C02991"/>
    <w:rsid w:val="54696247"/>
    <w:rsid w:val="55C43845"/>
    <w:rsid w:val="562F7245"/>
    <w:rsid w:val="56B11101"/>
    <w:rsid w:val="580018F0"/>
    <w:rsid w:val="590626C5"/>
    <w:rsid w:val="598F4C4A"/>
    <w:rsid w:val="5B9B13DC"/>
    <w:rsid w:val="5BE24019"/>
    <w:rsid w:val="5DD51F6A"/>
    <w:rsid w:val="5E8E0B2C"/>
    <w:rsid w:val="5ECB7E23"/>
    <w:rsid w:val="5F0019DD"/>
    <w:rsid w:val="5F793AC9"/>
    <w:rsid w:val="5F954394"/>
    <w:rsid w:val="5FF27B1A"/>
    <w:rsid w:val="60AF602B"/>
    <w:rsid w:val="62244822"/>
    <w:rsid w:val="6239245A"/>
    <w:rsid w:val="634560D1"/>
    <w:rsid w:val="63E679AF"/>
    <w:rsid w:val="64234CA7"/>
    <w:rsid w:val="64FE22F6"/>
    <w:rsid w:val="6530528B"/>
    <w:rsid w:val="67AB6E4B"/>
    <w:rsid w:val="67E47900"/>
    <w:rsid w:val="68A82DB8"/>
    <w:rsid w:val="6AE222C4"/>
    <w:rsid w:val="6BD87DA9"/>
    <w:rsid w:val="6C062E63"/>
    <w:rsid w:val="6D5369F9"/>
    <w:rsid w:val="6F5837CB"/>
    <w:rsid w:val="70C20C53"/>
    <w:rsid w:val="70EC0E1C"/>
    <w:rsid w:val="713518D1"/>
    <w:rsid w:val="71993A7A"/>
    <w:rsid w:val="733A3DB8"/>
    <w:rsid w:val="739C65E6"/>
    <w:rsid w:val="73AB3598"/>
    <w:rsid w:val="73E54700"/>
    <w:rsid w:val="75696246"/>
    <w:rsid w:val="77950F7E"/>
    <w:rsid w:val="779673A2"/>
    <w:rsid w:val="77CA3E11"/>
    <w:rsid w:val="78904560"/>
    <w:rsid w:val="789719A8"/>
    <w:rsid w:val="78D15FE5"/>
    <w:rsid w:val="7AA05A87"/>
    <w:rsid w:val="7B1117C8"/>
    <w:rsid w:val="7B737828"/>
    <w:rsid w:val="7BEE5100"/>
    <w:rsid w:val="7C3F756C"/>
    <w:rsid w:val="7CBE0F77"/>
    <w:rsid w:val="7F616F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iPriority="39"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9">
    <w:name w:val="heading 1"/>
    <w:basedOn w:val="1"/>
    <w:next w:val="1"/>
    <w:qFormat/>
    <w:uiPriority w:val="0"/>
    <w:pPr>
      <w:keepNext/>
      <w:jc w:val="center"/>
      <w:outlineLvl w:val="0"/>
    </w:pPr>
    <w:rPr>
      <w:b/>
      <w:bCs/>
      <w:sz w:val="24"/>
      <w:szCs w:val="20"/>
    </w:rPr>
  </w:style>
  <w:style w:type="paragraph" w:styleId="10">
    <w:name w:val="heading 2"/>
    <w:basedOn w:val="1"/>
    <w:next w:val="1"/>
    <w:qFormat/>
    <w:uiPriority w:val="0"/>
    <w:pPr>
      <w:keepNext/>
      <w:keepLines/>
      <w:spacing w:line="360" w:lineRule="auto"/>
      <w:outlineLvl w:val="1"/>
    </w:pPr>
    <w:rPr>
      <w:rFonts w:ascii="Arial" w:hAnsi="Arial"/>
      <w:b/>
      <w:bCs/>
      <w:sz w:val="24"/>
      <w:szCs w:val="32"/>
    </w:rPr>
  </w:style>
  <w:style w:type="paragraph" w:styleId="11">
    <w:name w:val="heading 3"/>
    <w:basedOn w:val="1"/>
    <w:next w:val="1"/>
    <w:qFormat/>
    <w:uiPriority w:val="0"/>
    <w:pPr>
      <w:keepNext/>
      <w:keepLines/>
      <w:spacing w:before="260" w:after="260" w:line="416" w:lineRule="auto"/>
      <w:outlineLvl w:val="2"/>
    </w:pPr>
    <w:rPr>
      <w:b/>
      <w:bCs/>
      <w:sz w:val="32"/>
      <w:szCs w:val="32"/>
    </w:rPr>
  </w:style>
  <w:style w:type="paragraph" w:styleId="12">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customStyle="1" w:styleId="2">
    <w:name w:val="列出段落1"/>
    <w:basedOn w:val="3"/>
    <w:qFormat/>
    <w:uiPriority w:val="0"/>
    <w:pPr>
      <w:ind w:firstLine="420" w:firstLineChars="200"/>
    </w:pPr>
    <w:rPr>
      <w:szCs w:val="21"/>
    </w:rPr>
  </w:style>
  <w:style w:type="paragraph" w:customStyle="1" w:styleId="3">
    <w:name w:val="正文_0"/>
    <w:next w:val="4"/>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4">
    <w:name w:val="Body Text First Indent 2"/>
    <w:basedOn w:val="5"/>
    <w:next w:val="7"/>
    <w:qFormat/>
    <w:uiPriority w:val="0"/>
    <w:pPr>
      <w:ind w:firstLine="420" w:firstLineChars="200"/>
    </w:pPr>
  </w:style>
  <w:style w:type="paragraph" w:customStyle="1" w:styleId="5">
    <w:name w:val="正文文本缩进_0"/>
    <w:basedOn w:val="6"/>
    <w:unhideWhenUsed/>
    <w:qFormat/>
    <w:uiPriority w:val="0"/>
    <w:pPr>
      <w:spacing w:after="120"/>
      <w:ind w:left="420" w:leftChars="200"/>
    </w:pPr>
  </w:style>
  <w:style w:type="paragraph" w:customStyle="1" w:styleId="6">
    <w:name w:val="正文_1"/>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
    <w:name w:val="正文缩进_0"/>
    <w:basedOn w:val="3"/>
    <w:next w:val="8"/>
    <w:qFormat/>
    <w:uiPriority w:val="0"/>
    <w:pPr>
      <w:widowControl/>
      <w:ind w:firstLine="420"/>
      <w:jc w:val="left"/>
    </w:pPr>
    <w:rPr>
      <w:kern w:val="0"/>
      <w:sz w:val="20"/>
      <w:szCs w:val="20"/>
    </w:rPr>
  </w:style>
  <w:style w:type="paragraph" w:customStyle="1" w:styleId="8">
    <w:name w:val="Default_0"/>
    <w:next w:val="3"/>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13">
    <w:name w:val="index 8"/>
    <w:basedOn w:val="1"/>
    <w:next w:val="1"/>
    <w:qFormat/>
    <w:uiPriority w:val="0"/>
    <w:pPr>
      <w:spacing w:line="560" w:lineRule="exact"/>
      <w:ind w:firstLine="640" w:firstLineChars="200"/>
    </w:pPr>
    <w:rPr>
      <w:rFonts w:ascii="仿宋" w:hAnsi="仿宋" w:eastAsia="仿宋"/>
      <w:bCs/>
      <w:color w:val="000000"/>
      <w:sz w:val="32"/>
      <w:szCs w:val="32"/>
      <w:shd w:val="clear" w:color="auto" w:fill="FFFFFF"/>
    </w:rPr>
  </w:style>
  <w:style w:type="paragraph" w:styleId="14">
    <w:name w:val="annotation text"/>
    <w:basedOn w:val="1"/>
    <w:qFormat/>
    <w:uiPriority w:val="0"/>
    <w:pPr>
      <w:jc w:val="left"/>
    </w:pPr>
  </w:style>
  <w:style w:type="paragraph" w:styleId="15">
    <w:name w:val="Body Text"/>
    <w:basedOn w:val="1"/>
    <w:next w:val="16"/>
    <w:qFormat/>
    <w:uiPriority w:val="0"/>
    <w:pPr>
      <w:spacing w:after="120"/>
    </w:pPr>
    <w:rPr>
      <w:kern w:val="0"/>
      <w:sz w:val="20"/>
    </w:rPr>
  </w:style>
  <w:style w:type="paragraph" w:styleId="16">
    <w:name w:val="Date"/>
    <w:basedOn w:val="1"/>
    <w:next w:val="1"/>
    <w:qFormat/>
    <w:uiPriority w:val="0"/>
    <w:rPr>
      <w:sz w:val="24"/>
      <w:szCs w:val="20"/>
    </w:rPr>
  </w:style>
  <w:style w:type="paragraph" w:styleId="17">
    <w:name w:val="Body Text Indent"/>
    <w:basedOn w:val="1"/>
    <w:qFormat/>
    <w:uiPriority w:val="0"/>
    <w:pPr>
      <w:spacing w:after="120"/>
      <w:ind w:left="420" w:leftChars="200"/>
    </w:pPr>
  </w:style>
  <w:style w:type="paragraph" w:styleId="18">
    <w:name w:val="toc 3"/>
    <w:basedOn w:val="1"/>
    <w:next w:val="1"/>
    <w:unhideWhenUsed/>
    <w:qFormat/>
    <w:uiPriority w:val="39"/>
    <w:pPr>
      <w:adjustRightInd w:val="0"/>
      <w:snapToGrid w:val="0"/>
      <w:spacing w:line="360" w:lineRule="auto"/>
      <w:ind w:left="400" w:leftChars="400"/>
    </w:pPr>
    <w:rPr>
      <w:b/>
    </w:rPr>
  </w:style>
  <w:style w:type="paragraph" w:styleId="19">
    <w:name w:val="Plain Text"/>
    <w:basedOn w:val="1"/>
    <w:qFormat/>
    <w:uiPriority w:val="0"/>
    <w:rPr>
      <w:rFonts w:ascii="宋体" w:hAnsi="Courier New" w:cs="Courier New"/>
      <w:szCs w:val="21"/>
    </w:rPr>
  </w:style>
  <w:style w:type="paragraph" w:styleId="20">
    <w:name w:val="Body Text Indent 2"/>
    <w:basedOn w:val="1"/>
    <w:next w:val="1"/>
    <w:qFormat/>
    <w:uiPriority w:val="0"/>
    <w:pPr>
      <w:spacing w:after="120" w:line="480" w:lineRule="auto"/>
      <w:ind w:left="420" w:leftChars="200"/>
    </w:pPr>
  </w:style>
  <w:style w:type="paragraph" w:styleId="21">
    <w:name w:val="footer"/>
    <w:basedOn w:val="1"/>
    <w:qFormat/>
    <w:uiPriority w:val="0"/>
    <w:pPr>
      <w:tabs>
        <w:tab w:val="center" w:pos="4153"/>
        <w:tab w:val="right" w:pos="8306"/>
      </w:tabs>
      <w:snapToGrid w:val="0"/>
      <w:jc w:val="left"/>
    </w:pPr>
    <w:rPr>
      <w:sz w:val="18"/>
      <w:szCs w:val="18"/>
    </w:rPr>
  </w:style>
  <w:style w:type="paragraph" w:styleId="2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3">
    <w:name w:val="toc 1"/>
    <w:basedOn w:val="1"/>
    <w:next w:val="1"/>
    <w:qFormat/>
    <w:uiPriority w:val="39"/>
    <w:pPr>
      <w:spacing w:line="360" w:lineRule="auto"/>
    </w:pPr>
    <w:rPr>
      <w:rFonts w:ascii="宋体" w:hAnsi="宋体"/>
      <w:b/>
      <w:sz w:val="24"/>
      <w:szCs w:val="21"/>
    </w:rPr>
  </w:style>
  <w:style w:type="paragraph" w:styleId="24">
    <w:name w:val="toc 4"/>
    <w:basedOn w:val="1"/>
    <w:next w:val="1"/>
    <w:unhideWhenUsed/>
    <w:qFormat/>
    <w:uiPriority w:val="39"/>
    <w:pPr>
      <w:adjustRightInd w:val="0"/>
      <w:snapToGrid w:val="0"/>
      <w:spacing w:line="360" w:lineRule="auto"/>
      <w:ind w:left="600" w:leftChars="600"/>
    </w:pPr>
    <w:rPr>
      <w:rFonts w:ascii="Calibri" w:hAnsi="Calibri"/>
      <w:b/>
      <w:szCs w:val="22"/>
    </w:rPr>
  </w:style>
  <w:style w:type="paragraph" w:styleId="25">
    <w:name w:val="toc 2"/>
    <w:basedOn w:val="1"/>
    <w:next w:val="1"/>
    <w:unhideWhenUsed/>
    <w:qFormat/>
    <w:uiPriority w:val="39"/>
    <w:pPr>
      <w:spacing w:line="360" w:lineRule="auto"/>
      <w:ind w:left="200" w:leftChars="200"/>
    </w:pPr>
    <w:rPr>
      <w:b/>
    </w:rPr>
  </w:style>
  <w:style w:type="paragraph" w:styleId="26">
    <w:name w:val="toc 9"/>
    <w:basedOn w:val="1"/>
    <w:next w:val="1"/>
    <w:unhideWhenUsed/>
    <w:qFormat/>
    <w:uiPriority w:val="39"/>
    <w:pPr>
      <w:ind w:left="3360" w:leftChars="1600"/>
    </w:pPr>
    <w:rPr>
      <w:rFonts w:ascii="Calibri" w:hAnsi="Calibri" w:eastAsia="宋体" w:cs="Times New Roman"/>
      <w:szCs w:val="22"/>
    </w:rPr>
  </w:style>
  <w:style w:type="paragraph" w:styleId="27">
    <w:name w:val="Body Text 2"/>
    <w:basedOn w:val="1"/>
    <w:qFormat/>
    <w:uiPriority w:val="0"/>
    <w:pPr>
      <w:spacing w:after="120" w:line="480" w:lineRule="auto"/>
    </w:pPr>
  </w:style>
  <w:style w:type="paragraph" w:styleId="28">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30">
    <w:name w:val="Table Grid"/>
    <w:basedOn w:val="29"/>
    <w:qFormat/>
    <w:uiPriority w:val="59"/>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qFormat/>
    <w:uiPriority w:val="0"/>
    <w:rPr>
      <w:b/>
      <w:bCs/>
    </w:rPr>
  </w:style>
  <w:style w:type="character" w:styleId="33">
    <w:name w:val="page number"/>
    <w:qFormat/>
    <w:uiPriority w:val="0"/>
  </w:style>
  <w:style w:type="character" w:styleId="34">
    <w:name w:val="FollowedHyperlink"/>
    <w:basedOn w:val="31"/>
    <w:qFormat/>
    <w:uiPriority w:val="0"/>
    <w:rPr>
      <w:color w:val="800080"/>
      <w:u w:val="none"/>
    </w:rPr>
  </w:style>
  <w:style w:type="character" w:styleId="35">
    <w:name w:val="HTML Definition"/>
    <w:basedOn w:val="31"/>
    <w:qFormat/>
    <w:uiPriority w:val="0"/>
  </w:style>
  <w:style w:type="character" w:styleId="36">
    <w:name w:val="HTML Typewriter"/>
    <w:basedOn w:val="31"/>
    <w:qFormat/>
    <w:uiPriority w:val="0"/>
    <w:rPr>
      <w:rFonts w:hint="default" w:ascii="monospace" w:hAnsi="monospace" w:eastAsia="monospace" w:cs="monospace"/>
      <w:sz w:val="20"/>
    </w:rPr>
  </w:style>
  <w:style w:type="character" w:styleId="37">
    <w:name w:val="HTML Acronym"/>
    <w:basedOn w:val="31"/>
    <w:qFormat/>
    <w:uiPriority w:val="0"/>
  </w:style>
  <w:style w:type="character" w:styleId="38">
    <w:name w:val="HTML Variable"/>
    <w:basedOn w:val="31"/>
    <w:qFormat/>
    <w:uiPriority w:val="0"/>
  </w:style>
  <w:style w:type="character" w:styleId="39">
    <w:name w:val="Hyperlink"/>
    <w:qFormat/>
    <w:uiPriority w:val="0"/>
    <w:rPr>
      <w:color w:val="136EC2"/>
      <w:u w:val="single"/>
      <w:lang w:val="en-US" w:eastAsia="zh-CN" w:bidi="ar-SA"/>
    </w:rPr>
  </w:style>
  <w:style w:type="character" w:styleId="40">
    <w:name w:val="HTML Code"/>
    <w:basedOn w:val="31"/>
    <w:qFormat/>
    <w:uiPriority w:val="0"/>
    <w:rPr>
      <w:rFonts w:hint="default" w:ascii="monospace" w:hAnsi="monospace" w:eastAsia="monospace" w:cs="monospace"/>
      <w:sz w:val="20"/>
    </w:rPr>
  </w:style>
  <w:style w:type="character" w:styleId="41">
    <w:name w:val="HTML Cite"/>
    <w:basedOn w:val="31"/>
    <w:qFormat/>
    <w:uiPriority w:val="0"/>
  </w:style>
  <w:style w:type="character" w:styleId="42">
    <w:name w:val="HTML Keyboard"/>
    <w:basedOn w:val="31"/>
    <w:qFormat/>
    <w:uiPriority w:val="0"/>
    <w:rPr>
      <w:rFonts w:hint="default" w:ascii="monospace" w:hAnsi="monospace" w:eastAsia="monospace" w:cs="monospace"/>
      <w:sz w:val="20"/>
    </w:rPr>
  </w:style>
  <w:style w:type="character" w:styleId="43">
    <w:name w:val="HTML Sample"/>
    <w:basedOn w:val="31"/>
    <w:qFormat/>
    <w:uiPriority w:val="0"/>
    <w:rPr>
      <w:rFonts w:ascii="monospace" w:hAnsi="monospace" w:eastAsia="monospace" w:cs="monospace"/>
    </w:rPr>
  </w:style>
  <w:style w:type="paragraph" w:customStyle="1" w:styleId="44">
    <w:name w:val="目录 11"/>
    <w:basedOn w:val="1"/>
    <w:next w:val="1"/>
    <w:unhideWhenUsed/>
    <w:qFormat/>
    <w:uiPriority w:val="39"/>
    <w:rPr>
      <w:rFonts w:ascii="Calibri" w:hAnsi="Calibri" w:eastAsia="宋体"/>
    </w:rPr>
  </w:style>
  <w:style w:type="paragraph" w:customStyle="1" w:styleId="45">
    <w:name w:val="font5"/>
    <w:basedOn w:val="1"/>
    <w:qFormat/>
    <w:uiPriority w:val="0"/>
    <w:pPr>
      <w:widowControl/>
      <w:spacing w:before="100" w:beforeAutospacing="1" w:after="100" w:afterAutospacing="1"/>
      <w:jc w:val="left"/>
    </w:pPr>
    <w:rPr>
      <w:rFonts w:hint="eastAsia" w:ascii="宋体" w:hAnsi="宋体" w:cs="Arial Unicode MS"/>
      <w:kern w:val="0"/>
      <w:sz w:val="18"/>
      <w:szCs w:val="18"/>
    </w:rPr>
  </w:style>
  <w:style w:type="paragraph" w:customStyle="1" w:styleId="46">
    <w:name w:val="正文1"/>
    <w:basedOn w:val="1"/>
    <w:qFormat/>
    <w:uiPriority w:val="0"/>
    <w:pPr>
      <w:spacing w:line="360" w:lineRule="auto"/>
      <w:ind w:firstLine="480" w:firstLineChars="200"/>
    </w:pPr>
    <w:rPr>
      <w:sz w:val="24"/>
    </w:rPr>
  </w:style>
  <w:style w:type="paragraph" w:customStyle="1" w:styleId="47">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48">
    <w:name w:val="UserStyle_0"/>
    <w:basedOn w:val="1"/>
    <w:qFormat/>
    <w:uiPriority w:val="0"/>
    <w:pPr>
      <w:ind w:firstLine="420" w:firstLineChars="200"/>
      <w:textAlignment w:val="baseline"/>
    </w:pPr>
    <w:rPr>
      <w:szCs w:val="21"/>
    </w:rPr>
  </w:style>
  <w:style w:type="character" w:customStyle="1" w:styleId="49">
    <w:name w:val="NormalCharacter"/>
    <w:qFormat/>
    <w:uiPriority w:val="0"/>
    <w:rPr>
      <w:rFonts w:ascii="Times New Roman" w:hAnsi="Times New Roman" w:eastAsia="宋体" w:cs="Times New Roman"/>
      <w:kern w:val="2"/>
      <w:sz w:val="21"/>
      <w:szCs w:val="24"/>
      <w:lang w:val="en-US" w:eastAsia="zh-CN" w:bidi="ar-SA"/>
    </w:rPr>
  </w:style>
  <w:style w:type="paragraph" w:customStyle="1" w:styleId="50">
    <w:name w:val="BodyText1I2"/>
    <w:basedOn w:val="51"/>
    <w:next w:val="1"/>
    <w:qFormat/>
    <w:uiPriority w:val="0"/>
    <w:pPr>
      <w:ind w:firstLine="420" w:firstLineChars="200"/>
    </w:pPr>
  </w:style>
  <w:style w:type="paragraph" w:customStyle="1" w:styleId="51">
    <w:name w:val="BodyTextIndent"/>
    <w:basedOn w:val="1"/>
    <w:next w:val="52"/>
    <w:qFormat/>
    <w:uiPriority w:val="0"/>
    <w:pPr>
      <w:spacing w:after="120"/>
      <w:ind w:left="420" w:leftChars="200"/>
      <w:textAlignment w:val="baseline"/>
    </w:pPr>
  </w:style>
  <w:style w:type="paragraph" w:customStyle="1" w:styleId="52">
    <w:name w:val="BodyTextIndent2"/>
    <w:basedOn w:val="1"/>
    <w:qFormat/>
    <w:uiPriority w:val="0"/>
    <w:pPr>
      <w:spacing w:after="120" w:line="480" w:lineRule="auto"/>
      <w:ind w:left="420" w:leftChars="200"/>
      <w:textAlignment w:val="baseline"/>
    </w:pPr>
  </w:style>
  <w:style w:type="paragraph" w:customStyle="1" w:styleId="53">
    <w:name w:val="BodyText2"/>
    <w:basedOn w:val="1"/>
    <w:qFormat/>
    <w:uiPriority w:val="0"/>
    <w:pPr>
      <w:spacing w:after="120" w:line="480" w:lineRule="auto"/>
      <w:textAlignment w:val="baseline"/>
    </w:pPr>
  </w:style>
  <w:style w:type="character" w:customStyle="1" w:styleId="54">
    <w:name w:val="UserStyle_42"/>
    <w:qFormat/>
    <w:uiPriority w:val="0"/>
    <w:rPr>
      <w:rFonts w:ascii="宋体" w:hAnsi="宋体" w:eastAsia="宋体"/>
      <w:color w:val="000000"/>
      <w:sz w:val="18"/>
      <w:szCs w:val="18"/>
      <w:lang w:val="en-US" w:eastAsia="zh-CN" w:bidi="ar-SA"/>
    </w:rPr>
  </w:style>
  <w:style w:type="paragraph" w:customStyle="1" w:styleId="55">
    <w:name w:val="Table Paragraph"/>
    <w:basedOn w:val="1"/>
    <w:qFormat/>
    <w:uiPriority w:val="1"/>
    <w:rPr>
      <w:rFonts w:ascii="宋体" w:hAnsi="宋体" w:eastAsia="宋体" w:cs="宋体"/>
      <w:lang w:val="zh-CN" w:eastAsia="zh-CN" w:bidi="zh-CN"/>
    </w:rPr>
  </w:style>
  <w:style w:type="character" w:customStyle="1" w:styleId="56">
    <w:name w:val="font71"/>
    <w:basedOn w:val="31"/>
    <w:qFormat/>
    <w:uiPriority w:val="0"/>
    <w:rPr>
      <w:rFonts w:hint="eastAsia" w:ascii="宋体" w:hAnsi="宋体" w:eastAsia="宋体" w:cs="宋体"/>
      <w:color w:val="FF0000"/>
      <w:sz w:val="18"/>
      <w:szCs w:val="18"/>
      <w:u w:val="none"/>
    </w:rPr>
  </w:style>
  <w:style w:type="character" w:customStyle="1" w:styleId="57">
    <w:name w:val="font81"/>
    <w:basedOn w:val="31"/>
    <w:qFormat/>
    <w:uiPriority w:val="0"/>
    <w:rPr>
      <w:rFonts w:hint="eastAsia" w:ascii="宋体" w:hAnsi="宋体" w:eastAsia="宋体" w:cs="宋体"/>
      <w:color w:val="000000"/>
      <w:sz w:val="18"/>
      <w:szCs w:val="18"/>
      <w:u w:val="none"/>
    </w:rPr>
  </w:style>
  <w:style w:type="character" w:customStyle="1" w:styleId="58">
    <w:name w:val="font31"/>
    <w:basedOn w:val="31"/>
    <w:qFormat/>
    <w:uiPriority w:val="0"/>
    <w:rPr>
      <w:rFonts w:hint="eastAsia" w:ascii="宋体" w:hAnsi="宋体" w:eastAsia="宋体" w:cs="宋体"/>
      <w:color w:val="000000"/>
      <w:sz w:val="18"/>
      <w:szCs w:val="18"/>
      <w:u w:val="none"/>
    </w:rPr>
  </w:style>
  <w:style w:type="character" w:customStyle="1" w:styleId="59">
    <w:name w:val="font41"/>
    <w:basedOn w:val="31"/>
    <w:qFormat/>
    <w:uiPriority w:val="0"/>
    <w:rPr>
      <w:rFonts w:hint="eastAsia" w:ascii="宋体" w:hAnsi="宋体" w:eastAsia="宋体" w:cs="宋体"/>
      <w:color w:val="323232"/>
      <w:sz w:val="20"/>
      <w:szCs w:val="20"/>
      <w:u w:val="none"/>
    </w:rPr>
  </w:style>
  <w:style w:type="character" w:customStyle="1" w:styleId="60">
    <w:name w:val="font01"/>
    <w:basedOn w:val="31"/>
    <w:qFormat/>
    <w:uiPriority w:val="0"/>
    <w:rPr>
      <w:rFonts w:hint="eastAsia" w:ascii="宋体" w:hAnsi="宋体" w:eastAsia="宋体" w:cs="宋体"/>
      <w:color w:val="333333"/>
      <w:sz w:val="20"/>
      <w:szCs w:val="20"/>
      <w:u w:val="none"/>
    </w:rPr>
  </w:style>
  <w:style w:type="character" w:customStyle="1" w:styleId="61">
    <w:name w:val="font161"/>
    <w:basedOn w:val="31"/>
    <w:qFormat/>
    <w:uiPriority w:val="0"/>
    <w:rPr>
      <w:rFonts w:ascii="Arial" w:hAnsi="Arial" w:cs="Arial"/>
      <w:color w:val="333333"/>
      <w:sz w:val="20"/>
      <w:szCs w:val="20"/>
      <w:u w:val="none"/>
    </w:rPr>
  </w:style>
  <w:style w:type="character" w:customStyle="1" w:styleId="62">
    <w:name w:val="font91"/>
    <w:basedOn w:val="31"/>
    <w:qFormat/>
    <w:uiPriority w:val="0"/>
    <w:rPr>
      <w:rFonts w:hint="eastAsia" w:ascii="宋体" w:hAnsi="宋体" w:eastAsia="宋体" w:cs="宋体"/>
      <w:color w:val="333333"/>
      <w:sz w:val="18"/>
      <w:szCs w:val="18"/>
      <w:u w:val="none"/>
    </w:rPr>
  </w:style>
  <w:style w:type="character" w:customStyle="1" w:styleId="63">
    <w:name w:val="font141"/>
    <w:basedOn w:val="31"/>
    <w:qFormat/>
    <w:uiPriority w:val="0"/>
    <w:rPr>
      <w:rFonts w:hint="default" w:ascii="Arial" w:hAnsi="Arial" w:cs="Arial"/>
      <w:color w:val="333333"/>
      <w:sz w:val="18"/>
      <w:szCs w:val="18"/>
      <w:u w:val="none"/>
    </w:rPr>
  </w:style>
  <w:style w:type="character" w:customStyle="1" w:styleId="64">
    <w:name w:val="font101"/>
    <w:basedOn w:val="31"/>
    <w:qFormat/>
    <w:uiPriority w:val="0"/>
    <w:rPr>
      <w:rFonts w:hint="eastAsia" w:ascii="宋体" w:hAnsi="宋体" w:eastAsia="宋体" w:cs="宋体"/>
      <w:color w:val="555555"/>
      <w:sz w:val="20"/>
      <w:szCs w:val="20"/>
      <w:u w:val="none"/>
    </w:rPr>
  </w:style>
  <w:style w:type="character" w:customStyle="1" w:styleId="65">
    <w:name w:val="font171"/>
    <w:basedOn w:val="31"/>
    <w:qFormat/>
    <w:uiPriority w:val="0"/>
    <w:rPr>
      <w:rFonts w:hint="default" w:ascii="Arial" w:hAnsi="Arial" w:cs="Arial"/>
      <w:color w:val="555555"/>
      <w:sz w:val="20"/>
      <w:szCs w:val="20"/>
      <w:u w:val="none"/>
    </w:rPr>
  </w:style>
  <w:style w:type="character" w:customStyle="1" w:styleId="66">
    <w:name w:val="font21"/>
    <w:basedOn w:val="31"/>
    <w:qFormat/>
    <w:uiPriority w:val="0"/>
    <w:rPr>
      <w:rFonts w:hint="eastAsia" w:ascii="宋体" w:hAnsi="宋体" w:eastAsia="宋体" w:cs="宋体"/>
      <w:color w:val="000000"/>
      <w:sz w:val="18"/>
      <w:szCs w:val="18"/>
      <w:u w:val="none"/>
    </w:rPr>
  </w:style>
  <w:style w:type="paragraph" w:customStyle="1" w:styleId="67">
    <w:name w:val="Table Text"/>
    <w:basedOn w:val="1"/>
    <w:semiHidden/>
    <w:qFormat/>
    <w:uiPriority w:val="0"/>
    <w:rPr>
      <w:rFonts w:ascii="宋体" w:hAnsi="宋体" w:eastAsia="宋体" w:cs="宋体"/>
      <w:sz w:val="20"/>
      <w:szCs w:val="20"/>
      <w:lang w:val="en-US" w:eastAsia="en-US" w:bidi="ar-SA"/>
    </w:rPr>
  </w:style>
  <w:style w:type="paragraph" w:customStyle="1" w:styleId="68">
    <w:name w:val="列表段落1"/>
    <w:basedOn w:val="1"/>
    <w:qFormat/>
    <w:uiPriority w:val="34"/>
    <w:pPr>
      <w:ind w:left="720"/>
      <w:contextualSpacing/>
    </w:pPr>
  </w:style>
  <w:style w:type="paragraph" w:styleId="69">
    <w:name w:val="List Paragraph"/>
    <w:basedOn w:val="1"/>
    <w:qFormat/>
    <w:uiPriority w:val="34"/>
    <w:pPr>
      <w:ind w:firstLine="420" w:firstLineChars="200"/>
    </w:pPr>
  </w:style>
  <w:style w:type="paragraph" w:customStyle="1" w:styleId="70">
    <w:name w:val="正文_21"/>
    <w:qFormat/>
    <w:uiPriority w:val="0"/>
    <w:pPr>
      <w:widowControl w:val="0"/>
      <w:jc w:val="both"/>
    </w:pPr>
    <w:rPr>
      <w:rFonts w:ascii="Times New Roman" w:hAnsi="Times New Roman" w:eastAsia="宋体" w:cs="Times New Roman"/>
      <w:kern w:val="2"/>
      <w:sz w:val="21"/>
      <w:szCs w:val="22"/>
      <w:lang w:val="en-US" w:eastAsia="zh-CN" w:bidi="ar-SA"/>
    </w:rPr>
  </w:style>
  <w:style w:type="table" w:customStyle="1" w:styleId="71">
    <w:name w:val="网格型_0"/>
    <w:basedOn w:val="2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2">
    <w:name w:val="Normal_3"/>
    <w:qFormat/>
    <w:uiPriority w:val="0"/>
    <w:rPr>
      <w:rFonts w:ascii="Times New Roman" w:hAnsi="Times New Roman" w:eastAsia="Times New Roman" w:cs="Times New Roman"/>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1.png"/><Relationship Id="rId16" Type="http://schemas.openxmlformats.org/officeDocument/2006/relationships/theme" Target="theme/theme1.xml"/><Relationship Id="rId15" Type="http://schemas.openxmlformats.org/officeDocument/2006/relationships/footer" Target="footer6.xml"/><Relationship Id="rId14" Type="http://schemas.openxmlformats.org/officeDocument/2006/relationships/header" Target="header7.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115</Pages>
  <Words>16342</Words>
  <Characters>17833</Characters>
  <Lines>385</Lines>
  <Paragraphs>108</Paragraphs>
  <TotalTime>70</TotalTime>
  <ScaleCrop>false</ScaleCrop>
  <LinksUpToDate>false</LinksUpToDate>
  <CharactersWithSpaces>18495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2022-11-17T08:19:00Z</dcterms:created>
  <dc:creator>Administrator</dc:creator>
  <cp:lastModifiedBy>麦子芯</cp:lastModifiedBy>
  <dcterms:modified xsi:type="dcterms:W3CDTF">2026-08-20T09:10:18Z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B88EA9E3C28F46928215F6DE680863D2_13</vt:lpwstr>
  </property>
  <property fmtid="{D5CDD505-2E9C-101B-9397-08002B2CF9AE}" pid="4" name="KSOTemplateDocerSaveRecord">
    <vt:lpwstr>eyJoZGlkIjoiOTcyNDUxMGY3MTVhOTNkNWQ0MjcwMGQzNWRiYzgzNmUiLCJ1c2VySWQiOiIyNTIxOTU5NTQifQ==</vt:lpwstr>
  </property>
</Properties>
</file>