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CD3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rPr>
          <w:rFonts w:hint="eastAsia" w:ascii="宋体" w:hAnsi="宋体" w:eastAsia="宋体" w:cs="宋体"/>
          <w:color w:val="auto"/>
        </w:rPr>
      </w:pPr>
      <w:bookmarkStart w:id="0" w:name="_Toc20384570"/>
      <w:r>
        <w:rPr>
          <w:rFonts w:hint="eastAsia" w:ascii="宋体" w:hAnsi="宋体" w:eastAsia="宋体" w:cs="宋体"/>
          <w:i w:val="0"/>
          <w:iCs w:val="0"/>
          <w:caps w:val="0"/>
          <w:color w:val="auto"/>
          <w:spacing w:val="0"/>
          <w:kern w:val="0"/>
          <w:sz w:val="27"/>
          <w:szCs w:val="27"/>
          <w:u w:val="none"/>
          <w:lang w:val="en-US" w:eastAsia="zh-CN" w:bidi="ar"/>
        </w:rPr>
        <w:t>附件1</w:t>
      </w:r>
      <w:bookmarkEnd w:id="0"/>
    </w:p>
    <w:p w14:paraId="229F45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政府采购项目</w:t>
      </w:r>
    </w:p>
    <w:p w14:paraId="5D57D0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采 购 需 求</w:t>
      </w:r>
    </w:p>
    <w:p w14:paraId="7D232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 </w:t>
      </w:r>
    </w:p>
    <w:p w14:paraId="4BD5F7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350" w:firstLineChars="500"/>
        <w:jc w:val="both"/>
        <w:rPr>
          <w:rFonts w:hint="eastAsia" w:ascii="宋体" w:hAnsi="宋体" w:eastAsia="宋体" w:cs="宋体"/>
          <w:i w:val="0"/>
          <w:iCs w:val="0"/>
          <w:caps w:val="0"/>
          <w:color w:val="auto"/>
          <w:spacing w:val="0"/>
          <w:kern w:val="0"/>
          <w:sz w:val="27"/>
          <w:szCs w:val="27"/>
          <w:lang w:val="en-US" w:eastAsia="zh-CN" w:bidi="ar"/>
        </w:rPr>
      </w:pPr>
      <w:r>
        <w:rPr>
          <w:rFonts w:hint="eastAsia" w:ascii="宋体" w:hAnsi="宋体" w:eastAsia="宋体" w:cs="宋体"/>
          <w:i w:val="0"/>
          <w:iCs w:val="0"/>
          <w:caps w:val="0"/>
          <w:color w:val="auto"/>
          <w:spacing w:val="0"/>
          <w:kern w:val="0"/>
          <w:sz w:val="27"/>
          <w:szCs w:val="27"/>
          <w:lang w:val="en-US" w:eastAsia="zh-CN" w:bidi="ar"/>
        </w:rPr>
        <w:t>项目名称：</w:t>
      </w:r>
      <w:r>
        <w:rPr>
          <w:rFonts w:hint="eastAsia" w:ascii="宋体" w:hAnsi="宋体" w:eastAsia="宋体" w:cs="宋体"/>
          <w:i w:val="0"/>
          <w:iCs w:val="0"/>
          <w:caps w:val="0"/>
          <w:color w:val="auto"/>
          <w:spacing w:val="0"/>
          <w:kern w:val="0"/>
          <w:sz w:val="27"/>
          <w:szCs w:val="27"/>
          <w:u w:val="single"/>
          <w:lang w:val="en-US" w:eastAsia="zh-CN" w:bidi="ar"/>
        </w:rPr>
        <w:t>涟源市蓝溪学校食堂原辅材料采购项目</w:t>
      </w:r>
    </w:p>
    <w:p w14:paraId="4568C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350" w:firstLineChars="500"/>
        <w:jc w:val="left"/>
        <w:rPr>
          <w:rFonts w:hint="eastAsia" w:ascii="宋体" w:hAnsi="宋体" w:eastAsia="宋体" w:cs="宋体"/>
          <w:color w:val="auto"/>
          <w:lang w:val="en-US"/>
        </w:rPr>
      </w:pPr>
      <w:r>
        <w:rPr>
          <w:rFonts w:hint="eastAsia" w:ascii="宋体" w:hAnsi="宋体" w:eastAsia="宋体" w:cs="宋体"/>
          <w:i w:val="0"/>
          <w:iCs w:val="0"/>
          <w:caps w:val="0"/>
          <w:color w:val="auto"/>
          <w:spacing w:val="0"/>
          <w:kern w:val="0"/>
          <w:sz w:val="27"/>
          <w:szCs w:val="27"/>
          <w:lang w:val="en-US" w:eastAsia="zh-CN" w:bidi="ar"/>
        </w:rPr>
        <w:t>采购单位：</w:t>
      </w:r>
      <w:r>
        <w:rPr>
          <w:rFonts w:hint="eastAsia" w:ascii="宋体" w:hAnsi="宋体" w:eastAsia="宋体" w:cs="宋体"/>
          <w:i w:val="0"/>
          <w:iCs w:val="0"/>
          <w:caps w:val="0"/>
          <w:color w:val="auto"/>
          <w:spacing w:val="0"/>
          <w:kern w:val="0"/>
          <w:sz w:val="27"/>
          <w:szCs w:val="27"/>
          <w:u w:val="single"/>
          <w:lang w:val="en-US" w:eastAsia="zh-CN" w:bidi="ar"/>
        </w:rPr>
        <w:t>涟源市蓝溪学校</w:t>
      </w:r>
    </w:p>
    <w:p w14:paraId="21AA78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350" w:firstLineChars="50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编制单位：</w:t>
      </w:r>
      <w:r>
        <w:rPr>
          <w:rFonts w:hint="eastAsia" w:ascii="宋体" w:hAnsi="宋体" w:eastAsia="宋体" w:cs="宋体"/>
          <w:i w:val="0"/>
          <w:iCs w:val="0"/>
          <w:caps w:val="0"/>
          <w:color w:val="auto"/>
          <w:spacing w:val="0"/>
          <w:kern w:val="0"/>
          <w:sz w:val="27"/>
          <w:szCs w:val="27"/>
          <w:u w:val="single"/>
          <w:lang w:val="en-US" w:eastAsia="zh-CN" w:bidi="ar"/>
        </w:rPr>
        <w:t>涟源市蓝溪学校</w:t>
      </w:r>
    </w:p>
    <w:p w14:paraId="2D5CE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350" w:firstLineChars="500"/>
        <w:jc w:val="left"/>
        <w:rPr>
          <w:rFonts w:hint="eastAsia" w:ascii="宋体" w:hAnsi="宋体" w:eastAsia="宋体" w:cs="宋体"/>
          <w:color w:val="auto"/>
          <w:lang w:val="en-US"/>
        </w:rPr>
      </w:pPr>
      <w:r>
        <w:rPr>
          <w:rFonts w:hint="eastAsia" w:ascii="宋体" w:hAnsi="宋体" w:eastAsia="宋体" w:cs="宋体"/>
          <w:i w:val="0"/>
          <w:iCs w:val="0"/>
          <w:caps w:val="0"/>
          <w:color w:val="auto"/>
          <w:spacing w:val="0"/>
          <w:kern w:val="0"/>
          <w:sz w:val="27"/>
          <w:szCs w:val="27"/>
          <w:lang w:val="en-US" w:eastAsia="zh-CN" w:bidi="ar"/>
        </w:rPr>
        <w:t>编制时间：</w:t>
      </w:r>
      <w:r>
        <w:rPr>
          <w:rFonts w:hint="eastAsia" w:ascii="宋体" w:hAnsi="宋体" w:eastAsia="宋体" w:cs="宋体"/>
          <w:i w:val="0"/>
          <w:iCs w:val="0"/>
          <w:caps w:val="0"/>
          <w:color w:val="auto"/>
          <w:spacing w:val="0"/>
          <w:kern w:val="0"/>
          <w:sz w:val="27"/>
          <w:szCs w:val="27"/>
          <w:u w:val="single"/>
          <w:lang w:val="en-US" w:eastAsia="zh-CN" w:bidi="ar"/>
        </w:rPr>
        <w:t>2026年7月</w:t>
      </w:r>
    </w:p>
    <w:p w14:paraId="268FB1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 </w:t>
      </w:r>
    </w:p>
    <w:p w14:paraId="304E8307">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384B8E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55A26C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1A4A69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1582BB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7255A2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185D0C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5D4209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66AB84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203AB8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0A5304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01E6B6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17F1F4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7B9E68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i w:val="0"/>
          <w:iCs w:val="0"/>
          <w:caps w:val="0"/>
          <w:color w:val="auto"/>
          <w:spacing w:val="0"/>
          <w:kern w:val="0"/>
          <w:sz w:val="27"/>
          <w:szCs w:val="27"/>
          <w:lang w:val="en-US" w:eastAsia="zh-CN" w:bidi="ar"/>
        </w:rPr>
      </w:pPr>
    </w:p>
    <w:p w14:paraId="313C88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编 制 说 明</w:t>
      </w:r>
    </w:p>
    <w:p w14:paraId="532E28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 </w:t>
      </w:r>
    </w:p>
    <w:p w14:paraId="0081A5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一、采购单位可以自行组织编制采购需求，也可以委托采购代理机构或者其他第三方机构编制。</w:t>
      </w:r>
    </w:p>
    <w:p w14:paraId="2ABA0A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二、编制的采购需求应当符合《财政部关于印发政府采购需求管理办法的通知》（财库〔2021〕22号）要求及政府采购的相关规定。</w:t>
      </w:r>
    </w:p>
    <w:p w14:paraId="0D939F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三、斜体字部分属于提醒内容，编制时应删除。</w:t>
      </w:r>
    </w:p>
    <w:p w14:paraId="509657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7"/>
          <w:szCs w:val="27"/>
          <w:lang w:val="en-US" w:eastAsia="zh-CN" w:bidi="ar"/>
        </w:rPr>
        <w:t>四、对不适用的内容应删除，并调整相应序号。</w:t>
      </w:r>
    </w:p>
    <w:p w14:paraId="186557D4">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2CD84C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7C54FD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5B62AF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79BB86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5CAE83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0F5CBC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24FEB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36C81B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724B2B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49CB9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7DCD85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宋体" w:hAnsi="宋体" w:eastAsia="宋体" w:cs="宋体"/>
          <w:i w:val="0"/>
          <w:iCs w:val="0"/>
          <w:caps w:val="0"/>
          <w:color w:val="auto"/>
          <w:spacing w:val="0"/>
          <w:kern w:val="0"/>
          <w:sz w:val="27"/>
          <w:szCs w:val="27"/>
          <w:lang w:val="en-US" w:eastAsia="zh-CN" w:bidi="ar"/>
        </w:rPr>
      </w:pPr>
    </w:p>
    <w:p w14:paraId="4EA4BD03">
      <w:pPr>
        <w:ind w:firstLine="420" w:firstLineChars="200"/>
        <w:rPr>
          <w:rFonts w:hint="eastAsia" w:ascii="黑体" w:hAnsi="黑体" w:eastAsia="黑体" w:cs="黑体"/>
          <w:snapToGrid w:val="0"/>
          <w:kern w:val="0"/>
          <w:szCs w:val="21"/>
        </w:rPr>
      </w:pPr>
    </w:p>
    <w:p w14:paraId="60D1C418">
      <w:pPr>
        <w:ind w:firstLine="420" w:firstLineChars="200"/>
        <w:rPr>
          <w:rFonts w:hint="eastAsia" w:ascii="黑体" w:hAnsi="黑体" w:eastAsia="黑体" w:cs="黑体"/>
          <w:snapToGrid w:val="0"/>
          <w:kern w:val="0"/>
          <w:szCs w:val="21"/>
        </w:rPr>
      </w:pPr>
    </w:p>
    <w:p w14:paraId="70C76B33">
      <w:pPr>
        <w:ind w:firstLine="420" w:firstLineChars="200"/>
        <w:rPr>
          <w:rFonts w:hint="eastAsia" w:ascii="黑体" w:hAnsi="黑体" w:eastAsia="黑体" w:cs="黑体"/>
          <w:snapToGrid w:val="0"/>
          <w:kern w:val="0"/>
          <w:szCs w:val="21"/>
        </w:rPr>
      </w:pPr>
    </w:p>
    <w:p w14:paraId="20C9A70F">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snapToGrid w:val="0"/>
          <w:kern w:val="0"/>
          <w:szCs w:val="21"/>
          <w:lang w:eastAsia="zh-CN"/>
        </w:rPr>
        <w:t>涟源市蓝溪学校食堂原辅材料采购项目</w:t>
      </w:r>
    </w:p>
    <w:p w14:paraId="40EE8340">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4DE420F9">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为</w:t>
      </w:r>
      <w:r>
        <w:rPr>
          <w:rFonts w:hint="eastAsia" w:ascii="方正仿宋_GB2312" w:hAnsi="方正仿宋_GB2312" w:eastAsia="方正仿宋_GB2312" w:cs="方正仿宋_GB2312"/>
          <w:lang w:eastAsia="zh-CN"/>
        </w:rPr>
        <w:t>涟源市蓝溪学校</w:t>
      </w:r>
      <w:r>
        <w:rPr>
          <w:rFonts w:hint="eastAsia" w:ascii="方正仿宋_GB2312" w:hAnsi="方正仿宋_GB2312" w:eastAsia="方正仿宋_GB2312" w:cs="方正仿宋_GB2312"/>
        </w:rPr>
        <w:t>食堂提供稳定、安全、新鲜的食材供应服务。</w:t>
      </w:r>
    </w:p>
    <w:p w14:paraId="323754B4">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30C4559B">
      <w:pPr>
        <w:widowControl w:val="0"/>
        <w:spacing w:after="0"/>
        <w:ind w:left="0" w:leftChars="0" w:firstLine="420" w:firstLineChars="200"/>
        <w:jc w:val="both"/>
        <w:rPr>
          <w:rFonts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1.服务期限：服务期限一年。</w:t>
      </w:r>
    </w:p>
    <w:p w14:paraId="797B039C">
      <w:pPr>
        <w:widowControl w:val="0"/>
        <w:spacing w:after="0"/>
        <w:ind w:left="0" w:leftChars="0" w:firstLine="420" w:firstLineChars="200"/>
        <w:jc w:val="both"/>
        <w:rPr>
          <w:rFonts w:hint="eastAsia" w:ascii="方正仿宋_GB2312" w:hAnsi="方正仿宋_GB2312" w:eastAsia="方正仿宋_GB2312" w:cs="方正仿宋_GB2312"/>
          <w:color w:val="auto"/>
          <w:kern w:val="2"/>
          <w:sz w:val="21"/>
          <w:szCs w:val="24"/>
          <w:highlight w:val="none"/>
          <w:lang w:val="en-US" w:eastAsia="zh-CN" w:bidi="ar-SA"/>
        </w:rPr>
      </w:pPr>
      <w:r>
        <w:rPr>
          <w:rFonts w:hint="eastAsia" w:ascii="方正仿宋_GB2312" w:hAnsi="方正仿宋_GB2312" w:eastAsia="方正仿宋_GB2312" w:cs="方正仿宋_GB2312"/>
          <w:color w:val="auto"/>
          <w:kern w:val="2"/>
          <w:sz w:val="21"/>
          <w:szCs w:val="24"/>
          <w:lang w:val="en-US" w:eastAsia="zh-CN" w:bidi="ar-SA"/>
        </w:rPr>
        <w:t>2.服务范围：</w:t>
      </w:r>
      <w:r>
        <w:rPr>
          <w:rFonts w:hint="eastAsia" w:ascii="宋体" w:hAnsi="宋体" w:eastAsia="宋体" w:cs="Times New Roman"/>
          <w:kern w:val="2"/>
          <w:sz w:val="21"/>
          <w:szCs w:val="21"/>
          <w:lang w:val="en-US" w:eastAsia="zh-CN" w:bidi="ar-SA"/>
        </w:rPr>
        <w:t>我校食堂中餐</w:t>
      </w:r>
      <w:r>
        <w:rPr>
          <w:rFonts w:hint="eastAsia" w:ascii="方正仿宋_GB2312" w:hAnsi="方正仿宋_GB2312" w:eastAsia="方正仿宋_GB2312" w:cs="方正仿宋_GB2312"/>
          <w:color w:val="auto"/>
          <w:kern w:val="2"/>
          <w:sz w:val="21"/>
          <w:szCs w:val="24"/>
          <w:lang w:val="en-US" w:eastAsia="zh-CN" w:bidi="ar-SA"/>
        </w:rPr>
        <w:t>，</w:t>
      </w:r>
      <w:r>
        <w:rPr>
          <w:rFonts w:hint="eastAsia" w:ascii="方正仿宋_GB2312" w:hAnsi="方正仿宋_GB2312" w:eastAsia="方正仿宋_GB2312" w:cs="方正仿宋_GB2312"/>
          <w:color w:val="auto"/>
          <w:kern w:val="2"/>
          <w:sz w:val="21"/>
          <w:szCs w:val="24"/>
          <w:highlight w:val="none"/>
          <w:lang w:val="en-US" w:eastAsia="zh-CN" w:bidi="ar-SA"/>
        </w:rPr>
        <w:t>全体师生约2900人。</w:t>
      </w:r>
    </w:p>
    <w:p w14:paraId="16BD5CC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3.食材类别：</w:t>
      </w:r>
    </w:p>
    <w:p w14:paraId="4418EDDB">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3.1蔬菜类：根茎类（土豆、萝卜等）、瓜类（冬瓜、南瓜等）、叶菜类（白菜、菠菜等）、辣椒类（青椒、红椒等）及其他应季蔬菜。</w:t>
      </w:r>
    </w:p>
    <w:tbl>
      <w:tblPr>
        <w:tblStyle w:val="8"/>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6FE1F27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76555A2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778427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39EF22C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42AA442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6004DB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651EF4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11E9F25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1BEEDF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4955885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BF29F6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1A9644E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3F13AC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52F1C8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795DB93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0AFC4A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2B51921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07A695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36F569E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B7D5F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0C9476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642592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710A45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192DA3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1BB5FC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6E4B91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3BB97A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75544E8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6376E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17BC9BC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68C266C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741B655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0D8F90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0E4E0A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3AE8343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652EF7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78E64F6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B0176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3BC43AC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4D35A2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0814CD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27BE14B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0C04BB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35FA25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039BF8A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196C631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382E3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165DB79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706BE7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75C1C2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2077A73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49DFAE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63A6D1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67B2BF2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709F46E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A69D4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5CE3C8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71AEE6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0EE136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36B889D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61BE3F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1B5733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6A5F28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5F58F54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73AEA1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66AF22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2A3894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229814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1280D07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48D028C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144786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5EF8CF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75487A2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F71D7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0E9498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5EC390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57A721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01F5BA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433C7F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44CF35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167CF16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0D28974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788323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7B4DB74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10D83D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5B9AC0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5B6FA58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21B35F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765D3D9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266E96F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25F1789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27A3493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44E83F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7FCBCD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6C2D35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1231ED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475E99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458F681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657892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195D240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C6BB6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733F0C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7B9182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28DFB38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5F3F59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73F92D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76A2213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0101888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667AD3F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27E7B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7E53EB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415822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0EB5240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0F9907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08B959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4DEE56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03AE09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4570F75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EBB088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36B198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7E9BAD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5B0005E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3A34C3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7C9D81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108F695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2CB22E2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34915DE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371B9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13DB08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75F237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340B86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3C9358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788A78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55390B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0D16E3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0B540CE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72602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2FEF1B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0D26BF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4B8C46A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0B544E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0D932FA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42E5BE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7D2126D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5E486C6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74876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26C42BF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3E0559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1E30D2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448E88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671880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3E16854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49C489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5608B9F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5E64F3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63EE1F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3F79C2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4663DF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0A52073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6DE893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269212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2BA26E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0F15A5A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27EC5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311BA8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3F2397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2AAE419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780B09D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41D0F35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76CABC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61F1AD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5E0E8A1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F5F967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0602B8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24A51D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47725A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020049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2B0763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3F5773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3A9F69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4551DB5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26EE7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61D0D3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1B3166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5648DD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3E3AB8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6E51C5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49F363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134C8AA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4173BBB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2CF7B6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4441E1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0FEF04E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1EC0D4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20A2048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2311C01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5C9AFCD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0D212F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4177BB3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D0DAB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2A89CD8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14FC48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6BBAAD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5B874A9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0AD8B5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635680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103CBE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4EC60EE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54B1B8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66ECAC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5F934D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079EEC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235F38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7F379E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1FC6AC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3FAC0C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4C530E4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C6F627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649AD14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67936A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700AB4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69205A8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24F3FE7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65111FE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027D80F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7946DFC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DB578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619234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62AF37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1A8AC6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2204F5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5E143A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6CA7A8A7">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6216FAFF">
            <w:pPr>
              <w:adjustRightInd w:val="0"/>
              <w:snapToGrid w:val="0"/>
              <w:spacing w:line="360" w:lineRule="auto"/>
              <w:rPr>
                <w:rFonts w:ascii="仿宋" w:hAnsi="仿宋" w:eastAsia="仿宋" w:cs="仿宋"/>
                <w:b/>
                <w:szCs w:val="21"/>
                <w:highlight w:val="yellow"/>
              </w:rPr>
            </w:pPr>
          </w:p>
        </w:tc>
      </w:tr>
      <w:tr w14:paraId="402BCB3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4C7DB0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798968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2633D81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7F47704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6D5790E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34560E6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68D9EB3F">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0278620C">
            <w:pPr>
              <w:adjustRightInd w:val="0"/>
              <w:snapToGrid w:val="0"/>
              <w:spacing w:line="360" w:lineRule="auto"/>
              <w:jc w:val="center"/>
              <w:rPr>
                <w:rFonts w:ascii="仿宋" w:hAnsi="仿宋" w:eastAsia="仿宋" w:cs="仿宋"/>
                <w:szCs w:val="21"/>
              </w:rPr>
            </w:pPr>
          </w:p>
        </w:tc>
      </w:tr>
    </w:tbl>
    <w:p w14:paraId="22679077">
      <w:pPr>
        <w:rPr>
          <w:rFonts w:hint="eastAsia" w:ascii="Times New Roman" w:hAnsi="Times New Roman" w:eastAsia="宋体" w:cs="Times New Roman"/>
        </w:rPr>
      </w:pPr>
    </w:p>
    <w:p w14:paraId="6637550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3.2综合类：干货（木耳、香菇等）、调料（盐、酱、醋等）、调味品（鸡精、香料等）、豆制品（豆腐、豆干等）、面食类（面条、面粉、米粉等）。</w:t>
      </w:r>
    </w:p>
    <w:tbl>
      <w:tblPr>
        <w:tblStyle w:val="8"/>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2BEDE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E4278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19194F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75F452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7D813F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0B7B1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A92A2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44AB2D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1B3063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666B3BF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33802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CBCF3E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162E3D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7B54B0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6FBD61C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10BFD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55A9F3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16AD1D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64E44B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099F05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1F7D2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331481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64242A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5C7E20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7714202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061D5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45A4D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6B62DA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445E513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64C0A06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691BC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E9A9D4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37889B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301E60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6CAC7A4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2F6EF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01D406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17B497B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2AEB15B8">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63ED08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22081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14D5CB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78BCA6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6EDE5F8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0C0CB726">
            <w:pPr>
              <w:adjustRightInd w:val="0"/>
              <w:snapToGrid w:val="0"/>
              <w:spacing w:line="360" w:lineRule="auto"/>
              <w:jc w:val="center"/>
              <w:rPr>
                <w:rFonts w:hint="eastAsia" w:ascii="仿宋" w:hAnsi="仿宋" w:eastAsia="仿宋" w:cs="仿宋"/>
                <w:szCs w:val="21"/>
              </w:rPr>
            </w:pPr>
          </w:p>
        </w:tc>
      </w:tr>
    </w:tbl>
    <w:p w14:paraId="3D3082BF">
      <w:pPr>
        <w:rPr>
          <w:rFonts w:hint="eastAsia" w:ascii="Times New Roman" w:hAnsi="Times New Roman" w:eastAsia="宋体" w:cs="Times New Roman"/>
        </w:rPr>
      </w:pPr>
    </w:p>
    <w:p w14:paraId="569C4A81">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31828684">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1.蔬菜类</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2F8B5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694963C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种  类</w:t>
            </w:r>
          </w:p>
        </w:tc>
        <w:tc>
          <w:tcPr>
            <w:tcW w:w="6390" w:type="dxa"/>
            <w:noWrap w:val="0"/>
            <w:vAlign w:val="center"/>
          </w:tcPr>
          <w:p w14:paraId="24B810A5">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服务标准和质量要求</w:t>
            </w:r>
          </w:p>
        </w:tc>
      </w:tr>
      <w:tr w14:paraId="273C3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0D049D7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叶菜类</w:t>
            </w:r>
          </w:p>
        </w:tc>
        <w:tc>
          <w:tcPr>
            <w:tcW w:w="6390" w:type="dxa"/>
            <w:noWrap w:val="0"/>
            <w:vAlign w:val="center"/>
          </w:tcPr>
          <w:p w14:paraId="28C414E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外形正常，叶梗光滑幼嫩，不干瘪凋萎，无过多黄叶，色泽正常。去除根须，不含土，无虫害，大白菜、卷心菜切开心不变黑，无腐烂情形，无明显浸水现象；农药残留不超标。</w:t>
            </w:r>
          </w:p>
        </w:tc>
      </w:tr>
      <w:tr w14:paraId="3AA16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6D995883">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根茎类。如香芋、土豆、莴笋</w:t>
            </w:r>
          </w:p>
        </w:tc>
        <w:tc>
          <w:tcPr>
            <w:tcW w:w="6390" w:type="dxa"/>
            <w:noWrap w:val="0"/>
            <w:vAlign w:val="center"/>
          </w:tcPr>
          <w:p w14:paraId="74AD2D5E">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无虫咬、发芽、发霉现象，新鲜，形态大小与甲方自购标准相当。农药残留不超标。</w:t>
            </w:r>
          </w:p>
        </w:tc>
      </w:tr>
      <w:tr w14:paraId="19FC2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76FD699F">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花果类。如西兰花、白菜花</w:t>
            </w:r>
          </w:p>
        </w:tc>
        <w:tc>
          <w:tcPr>
            <w:tcW w:w="6390" w:type="dxa"/>
            <w:noWrap w:val="0"/>
            <w:vAlign w:val="center"/>
          </w:tcPr>
          <w:p w14:paraId="7DDF8CA7">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无虫害，成熟度良好，新鲜固有的色泽鲜明，无发霉发黄。农药残留不超标。</w:t>
            </w:r>
          </w:p>
        </w:tc>
      </w:tr>
      <w:tr w14:paraId="1AB27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044DCBE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瓜果类</w:t>
            </w:r>
          </w:p>
        </w:tc>
        <w:tc>
          <w:tcPr>
            <w:tcW w:w="6390" w:type="dxa"/>
            <w:noWrap w:val="0"/>
            <w:vAlign w:val="center"/>
          </w:tcPr>
          <w:p w14:paraId="6416B518">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外表光亮无斑点，有新鲜连接的秧，形状正常、大小均匀，无软塌，成熟度适度。无腐烂，无污染，清洁、新鲜，无异味、无病虫损害。农药残留不超标。</w:t>
            </w:r>
          </w:p>
        </w:tc>
      </w:tr>
    </w:tbl>
    <w:p w14:paraId="74260C0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1.1接收准则或规范：</w:t>
      </w:r>
    </w:p>
    <w:p w14:paraId="2EDEE96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货物配送量应与需求计划量相符。货物送达招标人指定地点时，须一并提供当批次产品的农药残留检验等质量合格证明材料。</w:t>
      </w:r>
    </w:p>
    <w:p w14:paraId="4990F344">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1.2符合NY/T 2798.3-2015 无公害农产品 生产质量安全控制技术规范 第3部分：蔬菜的安全要求；</w:t>
      </w:r>
    </w:p>
    <w:p w14:paraId="2A7AC4E5">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1.3相关具体品种：</w:t>
      </w:r>
    </w:p>
    <w:tbl>
      <w:tblPr>
        <w:tblStyle w:val="8"/>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2F641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39372D6E">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菜品名</w:t>
            </w:r>
          </w:p>
        </w:tc>
        <w:tc>
          <w:tcPr>
            <w:tcW w:w="7446" w:type="dxa"/>
            <w:noWrap w:val="0"/>
            <w:vAlign w:val="center"/>
          </w:tcPr>
          <w:p w14:paraId="418F82B6">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服务标准和质量要求</w:t>
            </w:r>
          </w:p>
        </w:tc>
      </w:tr>
      <w:tr w14:paraId="08A08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6EA1DAC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青椒</w:t>
            </w:r>
          </w:p>
        </w:tc>
        <w:tc>
          <w:tcPr>
            <w:tcW w:w="7446" w:type="dxa"/>
            <w:noWrap w:val="0"/>
            <w:vAlign w:val="center"/>
          </w:tcPr>
          <w:p w14:paraId="7E8644A2">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长度7CM以上（不含蒂尾，包含弯曲长度），大小均匀，成熟度适中，整齐，无烂果，异味，病虫，薄皮，颜色碧绿，有光泽、表面光滑，饱满有一定硬度和弹性，肉层中等有辣味。</w:t>
            </w:r>
          </w:p>
        </w:tc>
      </w:tr>
      <w:tr w14:paraId="49BCF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15749D2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红椒</w:t>
            </w:r>
          </w:p>
        </w:tc>
        <w:tc>
          <w:tcPr>
            <w:tcW w:w="7446" w:type="dxa"/>
            <w:noWrap w:val="0"/>
            <w:vAlign w:val="center"/>
          </w:tcPr>
          <w:p w14:paraId="148D9444">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长度7CM以上（不含蒂尾，包含弯曲长度），大小均匀，成熟度适中，色鲜，整齐，无烂果，异味，病虫，有光泽、表面光滑，饱满有一定硬度和弹性，肉层中等有辣味。</w:t>
            </w:r>
          </w:p>
        </w:tc>
      </w:tr>
      <w:tr w14:paraId="56DDBC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707C5744">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尖红椒</w:t>
            </w:r>
          </w:p>
        </w:tc>
        <w:tc>
          <w:tcPr>
            <w:tcW w:w="7446" w:type="dxa"/>
            <w:noWrap w:val="0"/>
            <w:vAlign w:val="center"/>
          </w:tcPr>
          <w:p w14:paraId="30EEE1A4">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长度5CM以上（不含蒂尾，包含弯曲长度），大小均匀，成熟度适中，整齐，无烂果，异味，病虫，薄皮，颜色鲜红，有光泽、表面光滑，饱满有一定硬度和弹性，肉层中等有辣味。</w:t>
            </w:r>
          </w:p>
        </w:tc>
      </w:tr>
      <w:tr w14:paraId="19269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3DBE086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冬瓜</w:t>
            </w:r>
          </w:p>
        </w:tc>
        <w:tc>
          <w:tcPr>
            <w:tcW w:w="7446" w:type="dxa"/>
            <w:noWrap w:val="0"/>
            <w:vAlign w:val="center"/>
          </w:tcPr>
          <w:p w14:paraId="7B25B60A">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重量5公斤左右，皮青绿，有白霜，肉洁白、厚嫩、紧密，膛小，有一定硬度。表皮平整光滑、无外伤腐烂，无疤点，无断裂，无畸形。</w:t>
            </w:r>
          </w:p>
        </w:tc>
      </w:tr>
      <w:tr w14:paraId="510588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60E1BE2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南瓜</w:t>
            </w:r>
          </w:p>
        </w:tc>
        <w:tc>
          <w:tcPr>
            <w:tcW w:w="7446" w:type="dxa"/>
            <w:noWrap w:val="0"/>
            <w:vAlign w:val="center"/>
          </w:tcPr>
          <w:p w14:paraId="632A930E">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重量4公斤左右，无疤点，无断裂，无病虫害瓜、烂瓜，颜色金黄色或橙黄色，瓜形周正，肉金黄紧密、粉甜，表面硬实。</w:t>
            </w:r>
          </w:p>
        </w:tc>
      </w:tr>
      <w:tr w14:paraId="7E070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77DC33C">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黄瓜</w:t>
            </w:r>
          </w:p>
        </w:tc>
        <w:tc>
          <w:tcPr>
            <w:tcW w:w="7446" w:type="dxa"/>
            <w:noWrap w:val="0"/>
            <w:vAlign w:val="center"/>
          </w:tcPr>
          <w:p w14:paraId="018A8854">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长度20CM左右，鲜嫩，均匀整齐，无折断损伤；清香爽脆，无异味，无畸形，无病虫害；颜色青绿，瓜身细短、条直均匀，瓜把小，表皮有光泽，肉脆甜，瓤小籽少。</w:t>
            </w:r>
          </w:p>
        </w:tc>
      </w:tr>
      <w:tr w14:paraId="0D722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5E38A01C">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茄子</w:t>
            </w:r>
          </w:p>
        </w:tc>
        <w:tc>
          <w:tcPr>
            <w:tcW w:w="7446" w:type="dxa"/>
            <w:noWrap w:val="0"/>
            <w:vAlign w:val="center"/>
          </w:tcPr>
          <w:p w14:paraId="620CCEDE">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色鲜，果实圆整，大小均匀，成熟度适中，型直长，表面光滑有光泽，有弹性不软，皮薄，整齐，无烂果、异味、病虫。</w:t>
            </w:r>
          </w:p>
        </w:tc>
      </w:tr>
      <w:tr w14:paraId="05EF7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17DEE7B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黄芽白</w:t>
            </w:r>
          </w:p>
        </w:tc>
        <w:tc>
          <w:tcPr>
            <w:tcW w:w="7446" w:type="dxa"/>
            <w:noWrap w:val="0"/>
            <w:vAlign w:val="center"/>
          </w:tcPr>
          <w:p w14:paraId="6BEB730C">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鲜嫩、无虫眼，无腐烂，无黄叶，无烧心，无泥土，无杂质，清洁。</w:t>
            </w:r>
          </w:p>
        </w:tc>
      </w:tr>
      <w:tr w14:paraId="78BA32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781E167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包菜</w:t>
            </w:r>
          </w:p>
        </w:tc>
        <w:tc>
          <w:tcPr>
            <w:tcW w:w="7446" w:type="dxa"/>
            <w:noWrap w:val="0"/>
            <w:vAlign w:val="center"/>
          </w:tcPr>
          <w:p w14:paraId="41037536">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鲜嫩、无虫眼，无腐烂，无黄叶，无烧心，无泥土，无杂质，清洁。</w:t>
            </w:r>
          </w:p>
        </w:tc>
      </w:tr>
      <w:tr w14:paraId="41C45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123E997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大土豆</w:t>
            </w:r>
          </w:p>
        </w:tc>
        <w:tc>
          <w:tcPr>
            <w:tcW w:w="7446" w:type="dxa"/>
            <w:noWrap w:val="0"/>
            <w:vAlign w:val="center"/>
          </w:tcPr>
          <w:p w14:paraId="6E34042A">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重量在4两或4两以上，薯块大小均匀饱满，颜色淡黄或奶白，皮脆薄而干净，不带毛根和泥土，表皮光滑，无虫咬或机械外伤；不萎蔫，不变软，无发酵酒精气味；薯块不发芽，不变绿。</w:t>
            </w:r>
          </w:p>
        </w:tc>
      </w:tr>
      <w:tr w14:paraId="308EC5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0EE843D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白萝卜</w:t>
            </w:r>
          </w:p>
        </w:tc>
        <w:tc>
          <w:tcPr>
            <w:tcW w:w="7446" w:type="dxa"/>
            <w:noWrap w:val="0"/>
            <w:vAlign w:val="center"/>
          </w:tcPr>
          <w:p w14:paraId="7262BF59">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长度20cm以上，颜色洁白光亮，皮细光滑，色泽良好，大小均匀，形体完整、分量重，底部切面洁白，水分大，肉质脆嫩致密，味甜适中。新鲜，无畸形、裂痕、糠心、病虫斑害，不带大量泥沙、茎叶、须根。</w:t>
            </w:r>
          </w:p>
        </w:tc>
      </w:tr>
      <w:tr w14:paraId="144B5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078E5919">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小白菜</w:t>
            </w:r>
          </w:p>
        </w:tc>
        <w:tc>
          <w:tcPr>
            <w:tcW w:w="7446" w:type="dxa"/>
            <w:noWrap w:val="0"/>
            <w:vAlign w:val="center"/>
          </w:tcPr>
          <w:p w14:paraId="7C570210">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梗白色，较嫩较短，叶子淡绿色，整棵菜水分充足，无根。不得有叶边泛黄或发黄；枯萎；虫蛀洞或小虫，腐烂，压伤，浸水太多。</w:t>
            </w:r>
          </w:p>
        </w:tc>
      </w:tr>
      <w:tr w14:paraId="11DBE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0F639C60">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上海青、白菜</w:t>
            </w:r>
          </w:p>
        </w:tc>
        <w:tc>
          <w:tcPr>
            <w:tcW w:w="7446" w:type="dxa"/>
            <w:noWrap w:val="0"/>
            <w:vAlign w:val="center"/>
          </w:tcPr>
          <w:p w14:paraId="11229BD7">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鲜嫩、无虫眼，无腐烂，无黄叶，无烧心，无泥土，无杂质，清洁。</w:t>
            </w:r>
          </w:p>
        </w:tc>
      </w:tr>
      <w:tr w14:paraId="15A9F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169DB86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丝瓜</w:t>
            </w:r>
          </w:p>
        </w:tc>
        <w:tc>
          <w:tcPr>
            <w:tcW w:w="7446" w:type="dxa"/>
            <w:noWrap w:val="0"/>
            <w:vAlign w:val="center"/>
          </w:tcPr>
          <w:p w14:paraId="4BEAB678">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皮颜色翠绿、薄嫩、有白霜，条直均匀、细长挺直，易断无弹性，肉洁白软嫩、子小，无折断损伤，无异味，无畸形，无病虫害。</w:t>
            </w:r>
          </w:p>
        </w:tc>
      </w:tr>
      <w:tr w14:paraId="08832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30C8D9F0">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苦瓜</w:t>
            </w:r>
          </w:p>
        </w:tc>
        <w:tc>
          <w:tcPr>
            <w:tcW w:w="7446" w:type="dxa"/>
            <w:noWrap w:val="0"/>
            <w:vAlign w:val="center"/>
          </w:tcPr>
          <w:p w14:paraId="1294BDB3">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颜色淡绿色或白色、有光泽，凸出明显，条直均匀，有一定的硬度，瓤黄白，仔小、味苦，无折断损伤，无异味，无畸形，无病虫害。</w:t>
            </w:r>
          </w:p>
        </w:tc>
      </w:tr>
      <w:tr w14:paraId="50A47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67D30F1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西葫芦</w:t>
            </w:r>
          </w:p>
        </w:tc>
        <w:tc>
          <w:tcPr>
            <w:tcW w:w="7446" w:type="dxa"/>
            <w:noWrap w:val="0"/>
            <w:vAlign w:val="center"/>
          </w:tcPr>
          <w:p w14:paraId="0AB8A8D3">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颜色青绿色、表皮光滑，大小适中、皮薄肉嫩，瓤小籽少，有一定硬度，尾蒂有毛刺，半去皮，无机械伤，不干瘪，不腐烂霉变，茭白不变黑。</w:t>
            </w:r>
          </w:p>
        </w:tc>
      </w:tr>
      <w:tr w14:paraId="7795F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1F744D6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豆角</w:t>
            </w:r>
          </w:p>
        </w:tc>
        <w:tc>
          <w:tcPr>
            <w:tcW w:w="7446" w:type="dxa"/>
            <w:noWrap w:val="0"/>
            <w:vAlign w:val="center"/>
          </w:tcPr>
          <w:p w14:paraId="2762E6E1">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大小均匀、挺直、细长、脆嫩、有光泽、折断为实心，颜色为浅绿色，成熟度适中，规格形态完整，无病虫害斑点、无空洞。</w:t>
            </w:r>
          </w:p>
        </w:tc>
      </w:tr>
      <w:tr w14:paraId="598A54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7C34248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四季豆</w:t>
            </w:r>
          </w:p>
        </w:tc>
        <w:tc>
          <w:tcPr>
            <w:tcW w:w="7446" w:type="dxa"/>
            <w:noWrap w:val="0"/>
            <w:vAlign w:val="center"/>
          </w:tcPr>
          <w:p w14:paraId="30C59CF2">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鲜嫩，成熟度适中，规格形态完整，无病虫害斑点。</w:t>
            </w:r>
          </w:p>
        </w:tc>
      </w:tr>
      <w:tr w14:paraId="3B06D0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34FF0CB5">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红萝卜</w:t>
            </w:r>
          </w:p>
        </w:tc>
        <w:tc>
          <w:tcPr>
            <w:tcW w:w="7446" w:type="dxa"/>
            <w:noWrap w:val="0"/>
            <w:vAlign w:val="center"/>
          </w:tcPr>
          <w:p w14:paraId="22179249">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长度12CM以上，颜色红色或橘黄色，皮细光滑，色泽良好，大小均匀，肉质脆嫩致密，粗壮、硬实不软、肉质甜脆，新鲜，无畸形、裂痕、糠心、病虫斑害，不带泥沙、茎叶、须根。</w:t>
            </w:r>
          </w:p>
        </w:tc>
      </w:tr>
      <w:tr w14:paraId="13549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62551C2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花菜</w:t>
            </w:r>
          </w:p>
        </w:tc>
        <w:tc>
          <w:tcPr>
            <w:tcW w:w="7446" w:type="dxa"/>
            <w:noWrap w:val="0"/>
            <w:vAlign w:val="center"/>
          </w:tcPr>
          <w:p w14:paraId="32F38E40">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中号，花蕾颜色洁白或乳白、紧实不散，球形完整、表面湿润，花梗乳白或淡绿，紧凑，外叶绿色且少，主茎短，断面洁白，坚实无小球，新鲜、清洁，无虫眼，无病斑，无腐烂，保留不多于5片个叶把。</w:t>
            </w:r>
          </w:p>
        </w:tc>
      </w:tr>
      <w:tr w14:paraId="0427E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02D5220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西芹菜</w:t>
            </w:r>
          </w:p>
        </w:tc>
        <w:tc>
          <w:tcPr>
            <w:tcW w:w="7446" w:type="dxa"/>
            <w:noWrap w:val="0"/>
            <w:vAlign w:val="center"/>
          </w:tcPr>
          <w:p w14:paraId="0404D253">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长约30CM，色泽鲜绿，叶嫩绿或黄绿，茎、根部呈白色，茎细软，中间空、水分充足，有清香味，无枯黄叶，无泥沙，无杂物。</w:t>
            </w:r>
          </w:p>
        </w:tc>
      </w:tr>
      <w:tr w14:paraId="36627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702B0020">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蒜苗</w:t>
            </w:r>
          </w:p>
        </w:tc>
        <w:tc>
          <w:tcPr>
            <w:tcW w:w="7446" w:type="dxa"/>
            <w:noWrap w:val="0"/>
            <w:vAlign w:val="center"/>
          </w:tcPr>
          <w:p w14:paraId="7FA1C9E1">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颜色深绿、梗细滑、有光泽、挺直、鲜嫩、指甲掐之易断，干爽，苔梗粗壮而均匀，柔软且基部不老化；苔苞小，无斑点。</w:t>
            </w:r>
          </w:p>
        </w:tc>
      </w:tr>
      <w:tr w14:paraId="38E27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5364C03D">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带皮莴笋头</w:t>
            </w:r>
          </w:p>
        </w:tc>
        <w:tc>
          <w:tcPr>
            <w:tcW w:w="7446" w:type="dxa"/>
            <w:noWrap w:val="0"/>
            <w:vAlign w:val="center"/>
          </w:tcPr>
          <w:p w14:paraId="25FCE94A">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无腐烂，不糠心，不黑心，绿皮绿心或白皮绿心。</w:t>
            </w:r>
          </w:p>
        </w:tc>
      </w:tr>
      <w:tr w14:paraId="32A86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6AA3752E">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去皮莴笋头</w:t>
            </w:r>
          </w:p>
        </w:tc>
        <w:tc>
          <w:tcPr>
            <w:tcW w:w="7446" w:type="dxa"/>
            <w:noWrap w:val="0"/>
            <w:vAlign w:val="center"/>
          </w:tcPr>
          <w:p w14:paraId="262712C8">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去皮彻底，无耗损，新鲜，干净，无苦味及其他不良异味。</w:t>
            </w:r>
          </w:p>
        </w:tc>
      </w:tr>
      <w:tr w14:paraId="74577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525D86F6">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莴笋叶</w:t>
            </w:r>
          </w:p>
        </w:tc>
        <w:tc>
          <w:tcPr>
            <w:tcW w:w="7446" w:type="dxa"/>
            <w:noWrap w:val="0"/>
            <w:vAlign w:val="center"/>
          </w:tcPr>
          <w:p w14:paraId="1FF79C16">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去皮彻底，无耗损，新鲜，干净，无苦味及其他不良异味。</w:t>
            </w:r>
          </w:p>
        </w:tc>
      </w:tr>
      <w:tr w14:paraId="65293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52A58F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淮山</w:t>
            </w:r>
          </w:p>
        </w:tc>
        <w:tc>
          <w:tcPr>
            <w:tcW w:w="7446" w:type="dxa"/>
            <w:noWrap w:val="0"/>
            <w:vAlign w:val="center"/>
          </w:tcPr>
          <w:p w14:paraId="48763F2E">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皮细光滑，色泽良好，整齐，新鲜，无畸形，裂痕，糠心，病虫斑害，不带沙泥。</w:t>
            </w:r>
          </w:p>
        </w:tc>
      </w:tr>
      <w:tr w14:paraId="60175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2994748D">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红菜苔</w:t>
            </w:r>
          </w:p>
        </w:tc>
        <w:tc>
          <w:tcPr>
            <w:tcW w:w="7446" w:type="dxa"/>
            <w:noWrap w:val="0"/>
            <w:vAlign w:val="center"/>
          </w:tcPr>
          <w:p w14:paraId="15E0A014">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鲜嫩，无虫眼，无腐烂，无黄叶，无烧心，无泥土，无杂质。</w:t>
            </w:r>
          </w:p>
        </w:tc>
      </w:tr>
      <w:tr w14:paraId="329A4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75096CC1">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木耳苋菜</w:t>
            </w:r>
          </w:p>
        </w:tc>
        <w:tc>
          <w:tcPr>
            <w:tcW w:w="7446" w:type="dxa"/>
            <w:noWrap w:val="0"/>
            <w:vAlign w:val="center"/>
          </w:tcPr>
          <w:p w14:paraId="284CA2BA">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鲜嫩，无虫眼，无腐烂，无黄叶，无烧心，无泥土，无杂质。</w:t>
            </w:r>
          </w:p>
        </w:tc>
      </w:tr>
      <w:tr w14:paraId="09C974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53774716">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青皮豆</w:t>
            </w:r>
          </w:p>
        </w:tc>
        <w:tc>
          <w:tcPr>
            <w:tcW w:w="7446" w:type="dxa"/>
            <w:noWrap w:val="0"/>
            <w:vAlign w:val="center"/>
          </w:tcPr>
          <w:p w14:paraId="6A9B0422">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籽粒饱满较均匀，无发芽，不带泥土、杂质，无色素。</w:t>
            </w:r>
          </w:p>
        </w:tc>
      </w:tr>
      <w:tr w14:paraId="30DB7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49CE1BB">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老姜</w:t>
            </w:r>
          </w:p>
        </w:tc>
        <w:tc>
          <w:tcPr>
            <w:tcW w:w="7446" w:type="dxa"/>
            <w:noWrap w:val="0"/>
            <w:vAlign w:val="center"/>
          </w:tcPr>
          <w:p w14:paraId="620B5AE1">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姜块完整，丰满结实，无损伤，辣味强，无姜腐病，不带枯苗和泥土，无焦皮，不皱缩，无黑心、糠心现象。</w:t>
            </w:r>
          </w:p>
        </w:tc>
      </w:tr>
      <w:tr w14:paraId="55473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4F3D36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西红柿</w:t>
            </w:r>
          </w:p>
        </w:tc>
        <w:tc>
          <w:tcPr>
            <w:tcW w:w="7446" w:type="dxa"/>
            <w:noWrap w:val="0"/>
            <w:vAlign w:val="center"/>
          </w:tcPr>
          <w:p w14:paraId="0104F00A">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色鲜，果实圆整，大小均匀，成熟度适中，整齐，无烂果、异味、病虫。</w:t>
            </w:r>
          </w:p>
        </w:tc>
      </w:tr>
      <w:tr w14:paraId="1421A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218D7FC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香葱</w:t>
            </w:r>
          </w:p>
        </w:tc>
        <w:tc>
          <w:tcPr>
            <w:tcW w:w="7446" w:type="dxa"/>
            <w:noWrap w:val="0"/>
            <w:vAlign w:val="center"/>
          </w:tcPr>
          <w:p w14:paraId="13CE93BE">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叶色青绿，无干枯霉烂的叶梢，不失水，葱株均匀，完整而不折断，扎成捆，干净无泥，无夹杂异物，无斑点叶及霉枯叶</w:t>
            </w:r>
          </w:p>
        </w:tc>
      </w:tr>
      <w:tr w14:paraId="7AF3E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6B0C04C6">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洋葱</w:t>
            </w:r>
          </w:p>
        </w:tc>
        <w:tc>
          <w:tcPr>
            <w:tcW w:w="7446" w:type="dxa"/>
            <w:noWrap w:val="0"/>
            <w:vAlign w:val="center"/>
          </w:tcPr>
          <w:p w14:paraId="2DBCB95E">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表皮颜色粉白或紫白，表皮肥厚，完整无损，饱和紧密，球茎干度适中，有一定硬度，去枯叶。</w:t>
            </w:r>
          </w:p>
        </w:tc>
      </w:tr>
      <w:tr w14:paraId="5C590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5676C85E">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大葱</w:t>
            </w:r>
          </w:p>
        </w:tc>
        <w:tc>
          <w:tcPr>
            <w:tcW w:w="7446" w:type="dxa"/>
            <w:noWrap w:val="0"/>
            <w:vAlign w:val="center"/>
          </w:tcPr>
          <w:p w14:paraId="7092A4C7">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长约50CM，新鲜青绿，葱叶为管状、浅绿色，葱白长、紧实、挺直，无根、无枯、焦、烂叶，无折断，扎成捆，干净，无泥无水。</w:t>
            </w:r>
          </w:p>
        </w:tc>
      </w:tr>
      <w:tr w14:paraId="27E3E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31DD874C">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去皮大蒜子</w:t>
            </w:r>
          </w:p>
        </w:tc>
        <w:tc>
          <w:tcPr>
            <w:tcW w:w="7446" w:type="dxa"/>
            <w:noWrap w:val="0"/>
            <w:vAlign w:val="center"/>
          </w:tcPr>
          <w:p w14:paraId="03D348E1">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白色、大小均匀，饱满，无干枯与腐烂，无疤痕，无化学药物侵泡。</w:t>
            </w:r>
          </w:p>
        </w:tc>
      </w:tr>
      <w:tr w14:paraId="05613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74214360">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大蒜叶</w:t>
            </w:r>
          </w:p>
        </w:tc>
        <w:tc>
          <w:tcPr>
            <w:tcW w:w="7446" w:type="dxa"/>
            <w:noWrap w:val="0"/>
            <w:vAlign w:val="center"/>
          </w:tcPr>
          <w:p w14:paraId="10D9F336">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叶片新鲜青绿，无折断，叶子无干枯，无斑点。</w:t>
            </w:r>
          </w:p>
        </w:tc>
      </w:tr>
      <w:tr w14:paraId="3C813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0EDF2A0C">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莲藕</w:t>
            </w:r>
          </w:p>
        </w:tc>
        <w:tc>
          <w:tcPr>
            <w:tcW w:w="7446" w:type="dxa"/>
            <w:noWrap w:val="0"/>
            <w:vAlign w:val="center"/>
          </w:tcPr>
          <w:p w14:paraId="240D66F0">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藕节3-4节，表皮颜色白中带黄，藕节肥大，水分充足，肉洁白脆嫩，无叉，无泥，无杂质，无破损，无机械伤，不干瘪，不腐烂霉变。</w:t>
            </w:r>
          </w:p>
        </w:tc>
      </w:tr>
      <w:tr w14:paraId="0B568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FB82701">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槟榔芋</w:t>
            </w:r>
          </w:p>
        </w:tc>
        <w:tc>
          <w:tcPr>
            <w:tcW w:w="7446" w:type="dxa"/>
            <w:noWrap w:val="0"/>
            <w:vAlign w:val="center"/>
          </w:tcPr>
          <w:p w14:paraId="39576318">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色泽一致，不带泥沙，不带茎叶，须根，无机械和病虫害斑，无腐烂干瘪。</w:t>
            </w:r>
          </w:p>
        </w:tc>
      </w:tr>
      <w:tr w14:paraId="5571C7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1E80D23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去皮芋头</w:t>
            </w:r>
          </w:p>
        </w:tc>
        <w:tc>
          <w:tcPr>
            <w:tcW w:w="7446" w:type="dxa"/>
            <w:noWrap w:val="0"/>
            <w:vAlign w:val="center"/>
          </w:tcPr>
          <w:p w14:paraId="2C9EC627">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色泽一致，不带泥沙，不带茎叶，须根，无机械和病虫害斑，无腐烂干瘪。</w:t>
            </w:r>
          </w:p>
        </w:tc>
      </w:tr>
      <w:tr w14:paraId="2ACCD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0DF1216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香菜</w:t>
            </w:r>
          </w:p>
        </w:tc>
        <w:tc>
          <w:tcPr>
            <w:tcW w:w="7446" w:type="dxa"/>
            <w:noWrap w:val="0"/>
            <w:vAlign w:val="center"/>
          </w:tcPr>
          <w:p w14:paraId="205C3F23">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翠绿、挺直、根部无泥、香气重、水分充足，无病虫害，无散黄叶，无泥沙，杂草。</w:t>
            </w:r>
          </w:p>
        </w:tc>
      </w:tr>
      <w:tr w14:paraId="61B27D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2FD2814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坛子酸菜</w:t>
            </w:r>
          </w:p>
        </w:tc>
        <w:tc>
          <w:tcPr>
            <w:tcW w:w="7446" w:type="dxa"/>
            <w:noWrap w:val="0"/>
            <w:vAlign w:val="center"/>
          </w:tcPr>
          <w:p w14:paraId="0FCC50AB">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色鲜嫩，无沙子，无色素，无药水味道，无腐烂变质。</w:t>
            </w:r>
          </w:p>
        </w:tc>
      </w:tr>
      <w:tr w14:paraId="1520D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7A85D2D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酱辣椒</w:t>
            </w:r>
          </w:p>
        </w:tc>
        <w:tc>
          <w:tcPr>
            <w:tcW w:w="7446" w:type="dxa"/>
            <w:noWrap w:val="0"/>
            <w:vAlign w:val="center"/>
          </w:tcPr>
          <w:p w14:paraId="2942919A">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色鲜嫩，无沙子，无色素，无腐烂变质。</w:t>
            </w:r>
          </w:p>
        </w:tc>
      </w:tr>
      <w:tr w14:paraId="04DA3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30D1A08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酸豆角</w:t>
            </w:r>
          </w:p>
        </w:tc>
        <w:tc>
          <w:tcPr>
            <w:tcW w:w="7446" w:type="dxa"/>
            <w:noWrap w:val="0"/>
            <w:vAlign w:val="center"/>
          </w:tcPr>
          <w:p w14:paraId="6240097A">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色鲜嫩，无沙子，无色素，无药水味道，无腐烂变质。</w:t>
            </w:r>
          </w:p>
        </w:tc>
      </w:tr>
      <w:tr w14:paraId="165CD2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65FA237E">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白卜辣椒</w:t>
            </w:r>
          </w:p>
        </w:tc>
        <w:tc>
          <w:tcPr>
            <w:tcW w:w="7446" w:type="dxa"/>
            <w:noWrap w:val="0"/>
            <w:vAlign w:val="center"/>
          </w:tcPr>
          <w:p w14:paraId="6BE40BA0">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色鲜嫩，无沙子，无色素，无药水味道，无腐烂变质。</w:t>
            </w:r>
          </w:p>
        </w:tc>
      </w:tr>
      <w:tr w14:paraId="7CE89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142E7870">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卜豆角</w:t>
            </w:r>
          </w:p>
        </w:tc>
        <w:tc>
          <w:tcPr>
            <w:tcW w:w="7446" w:type="dxa"/>
            <w:noWrap w:val="0"/>
            <w:vAlign w:val="center"/>
          </w:tcPr>
          <w:p w14:paraId="6B973B07">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色鲜嫩，无沙子，无色素，无药水味道，无腐烂变质。</w:t>
            </w:r>
          </w:p>
        </w:tc>
      </w:tr>
      <w:tr w14:paraId="2295A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1797F52E">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腊八豆</w:t>
            </w:r>
          </w:p>
        </w:tc>
        <w:tc>
          <w:tcPr>
            <w:tcW w:w="7446" w:type="dxa"/>
            <w:noWrap w:val="0"/>
            <w:vAlign w:val="center"/>
          </w:tcPr>
          <w:p w14:paraId="756A6E33">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色香，味纯，无杂物。</w:t>
            </w:r>
          </w:p>
        </w:tc>
      </w:tr>
      <w:tr w14:paraId="1F015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DC9553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菠菜</w:t>
            </w:r>
          </w:p>
        </w:tc>
        <w:tc>
          <w:tcPr>
            <w:tcW w:w="7446" w:type="dxa"/>
            <w:noWrap w:val="0"/>
            <w:vAlign w:val="center"/>
          </w:tcPr>
          <w:p w14:paraId="1D208FE7">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颜色碧绿，鲜嫩，叶子大、挺直，根桃红，无主茎且无柄无红色，颗株适当，无枯黄叶，根上无泥，捆内无杂物。</w:t>
            </w:r>
          </w:p>
        </w:tc>
      </w:tr>
      <w:tr w14:paraId="2B7D63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02F2C60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红薯</w:t>
            </w:r>
          </w:p>
        </w:tc>
        <w:tc>
          <w:tcPr>
            <w:tcW w:w="7446" w:type="dxa"/>
            <w:noWrap w:val="0"/>
            <w:vAlign w:val="center"/>
          </w:tcPr>
          <w:p w14:paraId="61DD81A7">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新鲜，干净，无腐烂、泥土。</w:t>
            </w:r>
          </w:p>
        </w:tc>
      </w:tr>
      <w:tr w14:paraId="134963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2728AB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雪里红</w:t>
            </w:r>
          </w:p>
        </w:tc>
        <w:tc>
          <w:tcPr>
            <w:tcW w:w="7446" w:type="dxa"/>
            <w:noWrap w:val="0"/>
            <w:vAlign w:val="center"/>
          </w:tcPr>
          <w:p w14:paraId="6AE53A72">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鲜嫩，不得有：压伤、擦伤，叶边泛黄或发黄，枯萎，茎顶部有烂心；主茎不易掐断、边上的纤维粗；有花蕾甚至开花；叶内腐烂。</w:t>
            </w:r>
          </w:p>
        </w:tc>
      </w:tr>
      <w:tr w14:paraId="1EF2E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CD8CF92">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西兰花</w:t>
            </w:r>
          </w:p>
        </w:tc>
        <w:tc>
          <w:tcPr>
            <w:tcW w:w="7446" w:type="dxa"/>
            <w:noWrap w:val="0"/>
            <w:vAlign w:val="center"/>
          </w:tcPr>
          <w:p w14:paraId="25528EEB">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花蕾颜色深绿，紧实不散，球形完整、表面有白霜，花梗深绿、紧凑，外叶绿色且少，主茎短。</w:t>
            </w:r>
          </w:p>
        </w:tc>
      </w:tr>
      <w:tr w14:paraId="4368B5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DA20A3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金针菇</w:t>
            </w:r>
          </w:p>
        </w:tc>
        <w:tc>
          <w:tcPr>
            <w:tcW w:w="7446" w:type="dxa"/>
            <w:noWrap w:val="0"/>
            <w:vAlign w:val="center"/>
          </w:tcPr>
          <w:p w14:paraId="2D6792E4">
            <w:pPr>
              <w:widowControl w:val="0"/>
              <w:spacing w:after="0"/>
              <w:ind w:left="0" w:leftChars="0" w:firstLine="0" w:firstLineChars="0"/>
              <w:jc w:val="left"/>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菌盖颜色乳白、菌柄淡黄色、根部淡褐色，菌身细短，挺直，干净，无药水味道。</w:t>
            </w:r>
          </w:p>
        </w:tc>
      </w:tr>
    </w:tbl>
    <w:p w14:paraId="15EE981A">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★2.干货调料类</w:t>
      </w:r>
    </w:p>
    <w:p w14:paraId="5C05B284">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2.1所有产品均为未过期产品，且离过期期限不超过有效期的一半；</w:t>
      </w:r>
    </w:p>
    <w:p w14:paraId="1E108924">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2.2所有产品均为正规厂商生产的合格产品，不属于三无产品；</w:t>
      </w:r>
    </w:p>
    <w:p w14:paraId="57C376D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2.3所有产品均包装完好，无拆毁和漏气，无异味；</w:t>
      </w:r>
    </w:p>
    <w:p w14:paraId="547E06FE">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2.4符合食品安全相关要求。</w:t>
      </w:r>
    </w:p>
    <w:p w14:paraId="1E6CB9F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注：采购人有权根据实际需求采购以上清单之外的产品，投标人应按本章要求按时按质按量供货。</w:t>
      </w:r>
    </w:p>
    <w:p w14:paraId="07451A8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★3.服务标准和质量要求：</w:t>
      </w:r>
    </w:p>
    <w:p w14:paraId="40C7893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3.1所有产品均为未过期产品，且离过期期限不超过有效期的一半；</w:t>
      </w:r>
    </w:p>
    <w:p w14:paraId="51A5752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3.2所有产品均为正规厂商生产的合格产品，不属于三无产品；</w:t>
      </w:r>
    </w:p>
    <w:p w14:paraId="5787C43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3.3所有产品均包装完好，无拆毁和漏气，无异味；</w:t>
      </w:r>
    </w:p>
    <w:p w14:paraId="10ADB722">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3.4符合食品安全相关要求。</w:t>
      </w:r>
    </w:p>
    <w:p w14:paraId="6420D66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3.5可追溯至生产基地或合法供应商，提供食材来源地证明及供应商资质文件。</w:t>
      </w:r>
    </w:p>
    <w:p w14:paraId="1162F5EA">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61D3F623">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1.配送服务：</w:t>
      </w:r>
    </w:p>
    <w:p w14:paraId="254FFAC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★1.1时间要求：每日食材必须在7：30分之前送达（特殊情况提前2小时沟通）。</w:t>
      </w:r>
    </w:p>
    <w:p w14:paraId="5BAAFF95">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3E53F87E">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2.订单与沟通：</w:t>
      </w:r>
    </w:p>
    <w:p w14:paraId="433F6448">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1.1通过线上或线下下单，支持学校提前3天提交周计划或每日调整订单，2小时内确认订单信息。</w:t>
      </w:r>
    </w:p>
    <w:p w14:paraId="6D100BB3">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1.2每月召开1次供需沟通会，收集学校反馈并优化服务。</w:t>
      </w:r>
    </w:p>
    <w:p w14:paraId="78ED106D">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3.应急响应：</w:t>
      </w:r>
    </w:p>
    <w:p w14:paraId="7A8B073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kern w:val="2"/>
          <w:sz w:val="21"/>
          <w:szCs w:val="24"/>
          <w:lang w:val="en-US" w:eastAsia="zh-CN" w:bidi="ar-SA"/>
        </w:rPr>
        <w:t>突发情况（如恶劣天气、食材短缺）需启动备用配送方案，确保4小时内补送到位；质量问题24小时内无条件退换货。</w:t>
      </w:r>
    </w:p>
    <w:p w14:paraId="5ED5E89E">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4542996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1.报价方式：</w:t>
      </w:r>
    </w:p>
    <w:p w14:paraId="3A6E88A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1.1按折扣报价，包含食材采购、运输、税费等全部费用；具体结算按实际配送的品种、数量、各单项商品市场基准价*中标折扣率，按实结算。</w:t>
      </w:r>
    </w:p>
    <w:p w14:paraId="08F2ABD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1.2投标方参与学校定期组织的市场询价、共同询价后确定各类食材的价格为基准价，以学校发布的价格*中标折扣率与学校按实结算，合同期内价格折扣率固定不作调整。</w:t>
      </w:r>
    </w:p>
    <w:p w14:paraId="7038985B">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1.3对涟源市城区大型超市、中大型农贸市场、各乡镇市场等地点进行市场询价（不包含：活动价、特价及限购价等类似商品）。</w:t>
      </w:r>
    </w:p>
    <w:p w14:paraId="17DDFDAE">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1.4报价周期内（一般为二周）没有特殊情况双方不得擅自更改价格。</w:t>
      </w:r>
    </w:p>
    <w:p w14:paraId="5318DE47">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182ED649">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2.合同期限：1年（自合同签订之日起）。</w:t>
      </w:r>
    </w:p>
    <w:p w14:paraId="24940054">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kern w:val="2"/>
          <w:sz w:val="21"/>
          <w:szCs w:val="21"/>
          <w:highlight w:val="none"/>
          <w:lang w:val="en-US" w:eastAsia="zh-CN" w:bidi="ar-SA"/>
        </w:rPr>
        <w:t>付款到中标公司的公账户上。</w:t>
      </w:r>
    </w:p>
    <w:p w14:paraId="12B7A0D5">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7296B5C3">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1.验收流程：学校食堂对食材数量、外观、检测报告进行现场核验，抽样送检（费用由供应商承担）。</w:t>
      </w:r>
    </w:p>
    <w:p w14:paraId="2C08B989">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2.违约条款：</w:t>
      </w:r>
    </w:p>
    <w:p w14:paraId="77BBC3BD">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配送延迟每次扣罚合同金额的0.5%；</w:t>
      </w:r>
    </w:p>
    <w:p w14:paraId="60F2F1A7">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食材质量不合格，除退换货外，按该批次货值的3倍赔偿；</w:t>
      </w:r>
    </w:p>
    <w:p w14:paraId="79F619BB">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累计3次违约，采购人有权终止合同。</w:t>
      </w:r>
    </w:p>
    <w:p w14:paraId="139F6139">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515664E7">
      <w:pPr>
        <w:widowControl w:val="0"/>
        <w:spacing w:after="0"/>
        <w:ind w:left="0" w:leftChars="0" w:firstLine="420" w:firstLineChars="200"/>
        <w:jc w:val="both"/>
        <w:rPr>
          <w:rFonts w:hint="eastAsia" w:ascii="方正仿宋_GB2312" w:hAnsi="方正仿宋_GB2312" w:eastAsia="方正仿宋_GB2312" w:cs="方正仿宋_GB2312"/>
          <w:color w:val="C00000"/>
          <w:kern w:val="2"/>
          <w:sz w:val="21"/>
          <w:szCs w:val="24"/>
          <w:highlight w:val="none"/>
          <w:lang w:val="en-US" w:eastAsia="zh-CN" w:bidi="ar-SA"/>
        </w:rPr>
      </w:pPr>
      <w:r>
        <w:rPr>
          <w:rFonts w:hint="eastAsia" w:ascii="方正仿宋_GB2312" w:hAnsi="方正仿宋_GB2312" w:eastAsia="方正仿宋_GB2312" w:cs="方正仿宋_GB2312"/>
          <w:color w:val="C00000"/>
          <w:kern w:val="2"/>
          <w:sz w:val="21"/>
          <w:szCs w:val="24"/>
          <w:highlight w:val="none"/>
          <w:lang w:val="en-US" w:eastAsia="zh-CN" w:bidi="ar-SA"/>
        </w:rPr>
        <w:t>★1.供应商需缴纳履约保证金2%(履约担保的中标金额计算方式按:预算金额x中标折扣率)签订合同前提交(采用现金形式的缴纳至采购人指定账户)，服务期满无违约全额退还。</w:t>
      </w:r>
    </w:p>
    <w:p w14:paraId="0FF51C72">
      <w:pPr>
        <w:snapToGrid w:val="0"/>
        <w:spacing w:line="440" w:lineRule="exact"/>
        <w:ind w:firstLine="420" w:firstLineChars="200"/>
        <w:rPr>
          <w:rFonts w:ascii="宋体" w:hAnsi="宋体" w:eastAsia="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47396D3E">
      <w:pPr>
        <w:adjustRightInd w:val="0"/>
        <w:snapToGrid w:val="0"/>
        <w:spacing w:line="360" w:lineRule="auto"/>
        <w:ind w:firstLine="422" w:firstLineChars="200"/>
        <w:rPr>
          <w:rFonts w:ascii="宋体" w:hAnsi="宋体" w:cs="楷体"/>
          <w:color w:val="auto"/>
          <w:szCs w:val="21"/>
        </w:rPr>
      </w:pPr>
      <w:r>
        <w:rPr>
          <w:rFonts w:hint="eastAsia" w:ascii="宋体" w:hAnsi="宋体" w:eastAsia="宋体" w:cs="宋体"/>
          <w:b/>
          <w:bCs/>
          <w:kern w:val="2"/>
          <w:sz w:val="21"/>
          <w:szCs w:val="21"/>
          <w:highlight w:val="none"/>
          <w:lang w:val="en-US" w:eastAsia="zh-CN" w:bidi="ar-SA"/>
        </w:rPr>
        <w:t>备注：投标人在投标文件中对以上要求进行响应，承诺或说明。</w:t>
      </w:r>
    </w:p>
    <w:p w14:paraId="428BD6CB">
      <w:pPr>
        <w:numPr>
          <w:ilvl w:val="0"/>
          <w:numId w:val="0"/>
        </w:numPr>
        <w:ind w:firstLine="422" w:firstLineChars="200"/>
        <w:rPr>
          <w:rFonts w:hint="default" w:ascii="Times New Roman" w:hAnsi="宋体" w:cs="Times New Roman"/>
          <w:b/>
          <w:color w:val="auto"/>
          <w:lang w:val="en-US" w:eastAsia="zh-CN"/>
        </w:rPr>
      </w:pP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Perpetua">
    <w:panose1 w:val="02020502060401020303"/>
    <w:charset w:val="00"/>
    <w:family w:val="roman"/>
    <w:pitch w:val="default"/>
    <w:sig w:usb0="00000003" w:usb1="00000000" w:usb2="00000000" w:usb3="00000000" w:csb0="2000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88648">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7"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9964FE3">
                          <w:pPr>
                            <w:pStyle w:val="6"/>
                          </w:pPr>
                          <w:r>
                            <w:fldChar w:fldCharType="begin"/>
                          </w:r>
                          <w:r>
                            <w:instrText xml:space="preserve"> PAGE  \* MERGEFORMAT </w:instrText>
                          </w:r>
                          <w:r>
                            <w:fldChar w:fldCharType="separate"/>
                          </w:r>
                          <w:r>
                            <w:t>45</w:t>
                          </w:r>
                          <w:r>
                            <w:fldChar w:fldCharType="end"/>
                          </w:r>
                        </w:p>
                      </w:txbxContent>
                    </wps:txbx>
                    <wps:bodyPr wrap="none" lIns="0" tIns="0" rIns="0" bIns="0" upright="1">
                      <a:spAutoFit/>
                    </wps:bodyPr>
                  </wps:wsp>
                </a:graphicData>
              </a:graphic>
            </wp:anchor>
          </w:drawing>
        </mc:Choice>
        <mc:Fallback>
          <w:pict>
            <v:shape id="文本框 1038"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V+SdAAAAADAQAADwAAAAAAAAABACAAAAAiAAAAZHJzL2Rv&#10;d25yZXYueG1sUEsBAhQAFAAAAAgAh07iQIBIJz3QAQAAqwMAAA4AAAAAAAAAAQAgAAAAHwEAAGRy&#10;cy9lMm9Eb2MueG1sUEsFBgAAAAAGAAYAWQEAAGEFAAAAAA==&#10;">
              <v:fill on="f" focussize="0,0"/>
              <v:stroke on="f"/>
              <v:imagedata o:title=""/>
              <o:lock v:ext="edit" aspectratio="f"/>
              <v:textbox inset="0mm,0mm,0mm,0mm" style="mso-fit-shape-to-text:t;">
                <w:txbxContent>
                  <w:p w14:paraId="39964FE3">
                    <w:pPr>
                      <w:pStyle w:val="6"/>
                    </w:pPr>
                    <w:r>
                      <w:fldChar w:fldCharType="begin"/>
                    </w:r>
                    <w:r>
                      <w:instrText xml:space="preserve"> PAGE  \* MERGEFORMAT </w:instrText>
                    </w:r>
                    <w:r>
                      <w:fldChar w:fldCharType="separate"/>
                    </w:r>
                    <w:r>
                      <w:t>45</w:t>
                    </w:r>
                    <w:r>
                      <w:fldChar w:fldCharType="end"/>
                    </w:r>
                  </w:p>
                </w:txbxContent>
              </v:textbox>
            </v:shape>
          </w:pict>
        </mc:Fallback>
      </mc:AlternateContent>
    </w:r>
  </w:p>
  <w:p w14:paraId="2197B750">
    <w:pPr>
      <w:pStyle w:val="6"/>
      <w:pBdr>
        <w:top w:val="single" w:color="auto" w:sz="4" w:space="1"/>
      </w:pBdr>
      <w:jc w:val="center"/>
      <w:rPr>
        <w:rFonts w:ascii="宋体" w:hAnsi="宋体"/>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mMzAxNDNkYzA1YWNmYzQ2NTE5NWVmMmViNGJkYjMifQ=="/>
  </w:docVars>
  <w:rsids>
    <w:rsidRoot w:val="59F87DFB"/>
    <w:rsid w:val="003675EE"/>
    <w:rsid w:val="01CD03F9"/>
    <w:rsid w:val="042F396F"/>
    <w:rsid w:val="051C0E63"/>
    <w:rsid w:val="07986FA9"/>
    <w:rsid w:val="0F780715"/>
    <w:rsid w:val="18E84A99"/>
    <w:rsid w:val="1A182C2A"/>
    <w:rsid w:val="1A4E703E"/>
    <w:rsid w:val="1B6D7A10"/>
    <w:rsid w:val="1BF54E5E"/>
    <w:rsid w:val="248D3861"/>
    <w:rsid w:val="25260AEC"/>
    <w:rsid w:val="2679205A"/>
    <w:rsid w:val="26C47F14"/>
    <w:rsid w:val="2CDA5E30"/>
    <w:rsid w:val="2E5E7257"/>
    <w:rsid w:val="31D91015"/>
    <w:rsid w:val="33A5656B"/>
    <w:rsid w:val="36997D39"/>
    <w:rsid w:val="394463F8"/>
    <w:rsid w:val="39F74F62"/>
    <w:rsid w:val="3AA877DE"/>
    <w:rsid w:val="3D0433A8"/>
    <w:rsid w:val="422732CD"/>
    <w:rsid w:val="450B7427"/>
    <w:rsid w:val="47A25878"/>
    <w:rsid w:val="48223469"/>
    <w:rsid w:val="503E2517"/>
    <w:rsid w:val="53B21D2E"/>
    <w:rsid w:val="59F87DFB"/>
    <w:rsid w:val="68E83A44"/>
    <w:rsid w:val="6A723237"/>
    <w:rsid w:val="70665830"/>
    <w:rsid w:val="7542526C"/>
    <w:rsid w:val="7B8A5BDA"/>
    <w:rsid w:val="7CC5428E"/>
    <w:rsid w:val="7EEB5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line="360" w:lineRule="auto"/>
      <w:outlineLvl w:val="1"/>
    </w:pPr>
    <w:rPr>
      <w:rFonts w:ascii="Arial" w:hAnsi="Arial"/>
      <w:b/>
      <w:bCs/>
      <w:kern w:val="0"/>
      <w:sz w:val="24"/>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next w:val="5"/>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5">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6">
    <w:name w:val="footer"/>
    <w:basedOn w:val="1"/>
    <w:autoRedefine/>
    <w:qFormat/>
    <w:uiPriority w:val="99"/>
    <w:pPr>
      <w:tabs>
        <w:tab w:val="center" w:pos="4153"/>
        <w:tab w:val="right" w:pos="8306"/>
      </w:tabs>
      <w:snapToGrid w:val="0"/>
      <w:jc w:val="left"/>
    </w:pPr>
    <w:rPr>
      <w:kern w:val="0"/>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table" w:styleId="9">
    <w:name w:val="Table Grid"/>
    <w:basedOn w:val="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FollowedHyperlink"/>
    <w:basedOn w:val="10"/>
    <w:qFormat/>
    <w:uiPriority w:val="0"/>
    <w:rPr>
      <w:color w:val="337AB7"/>
      <w:u w:val="none"/>
    </w:rPr>
  </w:style>
  <w:style w:type="character" w:styleId="13">
    <w:name w:val="HTML Definition"/>
    <w:basedOn w:val="10"/>
    <w:autoRedefine/>
    <w:qFormat/>
    <w:uiPriority w:val="0"/>
    <w:rPr>
      <w:i/>
      <w:iCs/>
    </w:rPr>
  </w:style>
  <w:style w:type="character" w:styleId="14">
    <w:name w:val="Hyperlink"/>
    <w:basedOn w:val="10"/>
    <w:qFormat/>
    <w:uiPriority w:val="0"/>
    <w:rPr>
      <w:color w:val="337AB7"/>
      <w:u w:val="none"/>
    </w:rPr>
  </w:style>
  <w:style w:type="character" w:styleId="15">
    <w:name w:val="HTML Code"/>
    <w:basedOn w:val="10"/>
    <w:qFormat/>
    <w:uiPriority w:val="0"/>
    <w:rPr>
      <w:rFonts w:ascii="Consolas" w:hAnsi="Consolas" w:eastAsia="Consolas" w:cs="Consolas"/>
      <w:color w:val="C7254E"/>
      <w:sz w:val="21"/>
      <w:szCs w:val="21"/>
      <w:shd w:val="clear" w:fill="F9F2F4"/>
    </w:rPr>
  </w:style>
  <w:style w:type="character" w:styleId="16">
    <w:name w:val="HTML Keyboard"/>
    <w:basedOn w:val="10"/>
    <w:autoRedefine/>
    <w:qFormat/>
    <w:uiPriority w:val="0"/>
    <w:rPr>
      <w:rFonts w:hint="default" w:ascii="Consolas" w:hAnsi="Consolas" w:eastAsia="Consolas" w:cs="Consolas"/>
      <w:color w:val="FFFFFF"/>
      <w:sz w:val="21"/>
      <w:szCs w:val="21"/>
      <w:shd w:val="clear" w:fill="333333"/>
    </w:rPr>
  </w:style>
  <w:style w:type="character" w:styleId="17">
    <w:name w:val="HTML Sample"/>
    <w:basedOn w:val="10"/>
    <w:qFormat/>
    <w:uiPriority w:val="0"/>
    <w:rPr>
      <w:rFonts w:hint="default" w:ascii="Consolas" w:hAnsi="Consolas" w:eastAsia="Consolas" w:cs="Consolas"/>
      <w:sz w:val="21"/>
      <w:szCs w:val="21"/>
    </w:rPr>
  </w:style>
  <w:style w:type="paragraph" w:customStyle="1" w:styleId="18">
    <w:name w:val="BodyText1I2"/>
    <w:basedOn w:val="19"/>
    <w:qFormat/>
    <w:uiPriority w:val="0"/>
    <w:pPr>
      <w:ind w:firstLine="482" w:firstLineChars="200"/>
    </w:pPr>
    <w:rPr>
      <w:rFonts w:ascii="Calibri" w:hAnsi="Calibri"/>
      <w:b/>
      <w:sz w:val="24"/>
    </w:rPr>
  </w:style>
  <w:style w:type="paragraph" w:customStyle="1" w:styleId="19">
    <w:name w:val="BodyTextIndent"/>
    <w:basedOn w:val="1"/>
    <w:next w:val="1"/>
    <w:autoRedefine/>
    <w:qFormat/>
    <w:uiPriority w:val="0"/>
    <w:pPr>
      <w:spacing w:after="120"/>
      <w:ind w:left="420" w:leftChars="200"/>
    </w:pPr>
    <w:rPr>
      <w:rFonts w:ascii="宋体" w:hAnsi="宋体"/>
    </w:rPr>
  </w:style>
  <w:style w:type="paragraph" w:customStyle="1" w:styleId="20">
    <w:name w:val="列出段落1"/>
    <w:basedOn w:val="1"/>
    <w:autoRedefine/>
    <w:qFormat/>
    <w:uiPriority w:val="0"/>
    <w:pPr>
      <w:spacing w:line="276" w:lineRule="auto"/>
      <w:ind w:firstLine="420" w:firstLineChars="200"/>
      <w:jc w:val="left"/>
      <w:textAlignment w:val="auto"/>
    </w:pPr>
    <w:rPr>
      <w:rFonts w:ascii="Perpetua" w:hAnsi="Perpetua"/>
      <w:color w:val="000000"/>
      <w:kern w:val="0"/>
      <w:sz w:val="22"/>
    </w:rPr>
  </w:style>
  <w:style w:type="character" w:customStyle="1" w:styleId="21">
    <w:name w:val="NormalCharacter"/>
    <w:autoRedefine/>
    <w:qFormat/>
    <w:uiPriority w:val="0"/>
  </w:style>
  <w:style w:type="paragraph" w:customStyle="1" w:styleId="22">
    <w:name w:val="AnnotationText"/>
    <w:basedOn w:val="1"/>
    <w:autoRedefine/>
    <w:semiHidden/>
    <w:qFormat/>
    <w:uiPriority w:val="0"/>
    <w:pPr>
      <w:jc w:val="left"/>
    </w:pPr>
    <w:rPr>
      <w:rFonts w:ascii="宋体" w:hAnsi="宋体"/>
    </w:rPr>
  </w:style>
  <w:style w:type="character" w:customStyle="1" w:styleId="23">
    <w:name w:val="bid-span-position"/>
    <w:basedOn w:val="10"/>
    <w:autoRedefine/>
    <w:qFormat/>
    <w:uiPriority w:val="0"/>
  </w:style>
  <w:style w:type="character" w:customStyle="1" w:styleId="24">
    <w:name w:val="tab-delete"/>
    <w:basedOn w:val="10"/>
    <w:autoRedefine/>
    <w:qFormat/>
    <w:uiPriority w:val="0"/>
    <w:rPr>
      <w:color w:val="000000"/>
    </w:rPr>
  </w:style>
  <w:style w:type="paragraph" w:customStyle="1" w:styleId="25">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5281</Words>
  <Characters>5497</Characters>
  <Lines>0</Lines>
  <Paragraphs>0</Paragraphs>
  <TotalTime>0</TotalTime>
  <ScaleCrop>false</ScaleCrop>
  <LinksUpToDate>false</LinksUpToDate>
  <CharactersWithSpaces>5512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45241</cp:lastModifiedBy>
  <cp:lastPrinted>2025-08-10T07:45:00Z</cp:lastPrinted>
  <dcterms:modified xsi:type="dcterms:W3CDTF">2026-07-17T01:43:44Z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D477527054724DC4A1999001EBD30CC9_13</vt:lpwstr>
  </property>
  <property fmtid="{D5CDD505-2E9C-101B-9397-08002B2CF9AE}" pid="4" name="KSOTemplateDocerSaveRecord">
    <vt:lpwstr>eyJoZGlkIjoiNTIzZWYzZDBlMWU5N2EwMzRhODJjOTJiMzIwZWIyNjciLCJ1c2VySWQiOiIxMTc0OTU0MDk1In0=</vt:lpwstr>
  </property>
</Properties>
</file>