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80AEAA">
      <w:pPr>
        <w:numPr>
          <w:ilvl w:val="0"/>
          <w:numId w:val="1"/>
        </w:numPr>
        <w:snapToGrid w:val="0"/>
        <w:spacing w:line="360" w:lineRule="auto"/>
        <w:jc w:val="center"/>
        <w:rPr>
          <w:rFonts w:hint="eastAsia" w:ascii="宋体" w:hAnsi="宋体" w:eastAsia="宋体" w:cs="华文中宋"/>
          <w:b/>
          <w:sz w:val="32"/>
          <w:szCs w:val="32"/>
        </w:rPr>
      </w:pPr>
      <w:r>
        <w:rPr>
          <w:rFonts w:hint="eastAsia" w:ascii="宋体" w:hAnsi="宋体" w:eastAsia="宋体" w:cs="华文中宋"/>
          <w:b/>
          <w:sz w:val="32"/>
          <w:szCs w:val="32"/>
          <w:lang w:val="en-US" w:eastAsia="zh-CN"/>
        </w:rPr>
        <w:t>技术规格、参数与要求</w:t>
      </w:r>
    </w:p>
    <w:p w14:paraId="637674D8">
      <w:pPr>
        <w:pStyle w:val="4"/>
        <w:numPr>
          <w:ilvl w:val="0"/>
          <w:numId w:val="0"/>
        </w:numPr>
        <w:ind w:left="840" w:leftChars="0" w:right="0" w:rightChars="0"/>
        <w:rPr>
          <w:rFonts w:ascii="Times New Roman" w:hAnsi="Times New Roman" w:eastAsia="宋体" w:cs="Times New Roman"/>
        </w:rPr>
      </w:pPr>
    </w:p>
    <w:p w14:paraId="3DA32785">
      <w:pPr>
        <w:rPr>
          <w:rFonts w:ascii="Times New Roman" w:hAnsi="Times New Roman" w:eastAsia="宋体" w:cs="Times New Roman"/>
        </w:rPr>
      </w:pPr>
    </w:p>
    <w:p w14:paraId="42E32969">
      <w:pPr>
        <w:rPr>
          <w:rFonts w:ascii="Times New Roman" w:hAnsi="Times New Roman" w:eastAsia="宋体" w:cs="Times New Roman"/>
        </w:rPr>
      </w:pPr>
    </w:p>
    <w:p w14:paraId="4F4B3BCB">
      <w:pPr>
        <w:pStyle w:val="7"/>
        <w:tabs>
          <w:tab w:val="left" w:pos="1342"/>
        </w:tabs>
        <w:snapToGrid w:val="0"/>
        <w:spacing w:after="0" w:line="360" w:lineRule="auto"/>
        <w:ind w:left="0"/>
        <w:jc w:val="center"/>
        <w:textAlignment w:val="baseline"/>
        <w:outlineLvl w:val="1"/>
        <w:rPr>
          <w:rFonts w:hint="eastAsia" w:ascii="宋体" w:hAnsi="宋体" w:eastAsia="宋体" w:cs="宋体"/>
          <w:b/>
          <w:bCs/>
          <w:color w:val="000000"/>
          <w:sz w:val="28"/>
          <w:szCs w:val="24"/>
        </w:rPr>
      </w:pPr>
      <w:bookmarkStart w:id="0" w:name="_Hlk206569330"/>
      <w:bookmarkStart w:id="1" w:name="OLE_LINK6"/>
      <w:bookmarkStart w:id="2" w:name="OLE_LINK7"/>
      <w:r>
        <w:rPr>
          <w:rFonts w:hint="eastAsia" w:ascii="宋体" w:hAnsi="宋体" w:eastAsia="宋体" w:cs="宋体"/>
          <w:b/>
          <w:bCs/>
          <w:color w:val="000000"/>
          <w:sz w:val="28"/>
          <w:szCs w:val="24"/>
        </w:rPr>
        <w:t>第一节  采购清单一览表</w:t>
      </w:r>
    </w:p>
    <w:tbl>
      <w:tblPr>
        <w:tblStyle w:val="5"/>
        <w:tblW w:w="9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2068"/>
        <w:gridCol w:w="1409"/>
        <w:gridCol w:w="1398"/>
        <w:gridCol w:w="1738"/>
        <w:gridCol w:w="1727"/>
        <w:gridCol w:w="830"/>
      </w:tblGrid>
      <w:tr w14:paraId="18324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9" w:hRule="atLeast"/>
          <w:jc w:val="center"/>
        </w:trPr>
        <w:tc>
          <w:tcPr>
            <w:tcW w:w="826" w:type="dxa"/>
            <w:noWrap w:val="0"/>
            <w:vAlign w:val="center"/>
          </w:tcPr>
          <w:p w14:paraId="0DC980A1">
            <w:pPr>
              <w:adjustRightInd w:val="0"/>
              <w:snapToGrid w:val="0"/>
              <w:jc w:val="center"/>
              <w:rPr>
                <w:rFonts w:hint="eastAsia" w:ascii="宋体" w:hAnsi="宋体" w:eastAsia="宋体" w:cs="Times New Roman"/>
                <w:color w:val="000000"/>
                <w:sz w:val="24"/>
                <w:highlight w:val="none"/>
                <w:lang w:eastAsia="zh-CN"/>
              </w:rPr>
            </w:pPr>
            <w:r>
              <w:rPr>
                <w:rFonts w:hint="eastAsia" w:ascii="宋体" w:hAnsi="宋体" w:eastAsia="宋体" w:cs="Times New Roman"/>
                <w:b/>
                <w:bCs/>
                <w:color w:val="000000"/>
                <w:sz w:val="24"/>
                <w:highlight w:val="none"/>
                <w:lang w:val="en-US" w:eastAsia="zh-CN"/>
              </w:rPr>
              <w:t>序号</w:t>
            </w:r>
          </w:p>
        </w:tc>
        <w:tc>
          <w:tcPr>
            <w:tcW w:w="2068" w:type="dxa"/>
            <w:noWrap w:val="0"/>
            <w:vAlign w:val="center"/>
          </w:tcPr>
          <w:p w14:paraId="53CA79B5">
            <w:pPr>
              <w:adjustRightInd w:val="0"/>
              <w:snapToGrid w:val="0"/>
              <w:jc w:val="center"/>
              <w:rPr>
                <w:rFonts w:hint="eastAsia" w:ascii="宋体" w:hAnsi="宋体" w:eastAsia="宋体" w:cs="Times New Roman"/>
                <w:color w:val="000000"/>
                <w:sz w:val="24"/>
                <w:highlight w:val="none"/>
              </w:rPr>
            </w:pPr>
            <w:r>
              <w:rPr>
                <w:rFonts w:hint="eastAsia" w:ascii="宋体" w:hAnsi="宋体" w:eastAsia="宋体" w:cs="宋体"/>
                <w:b/>
                <w:bCs/>
                <w:color w:val="000000"/>
                <w:sz w:val="24"/>
                <w:highlight w:val="none"/>
                <w:lang w:val="en-US" w:eastAsia="zh-CN"/>
              </w:rPr>
              <w:t>货物</w:t>
            </w:r>
            <w:r>
              <w:rPr>
                <w:rFonts w:hint="eastAsia" w:ascii="宋体" w:hAnsi="宋体" w:eastAsia="宋体" w:cs="宋体"/>
                <w:b/>
                <w:bCs/>
                <w:color w:val="000000"/>
                <w:sz w:val="24"/>
                <w:highlight w:val="none"/>
              </w:rPr>
              <w:t>名称</w:t>
            </w:r>
          </w:p>
        </w:tc>
        <w:tc>
          <w:tcPr>
            <w:tcW w:w="1409" w:type="dxa"/>
            <w:noWrap w:val="0"/>
            <w:vAlign w:val="center"/>
          </w:tcPr>
          <w:p w14:paraId="7571D60F">
            <w:pPr>
              <w:adjustRightInd w:val="0"/>
              <w:snapToGrid w:val="0"/>
              <w:jc w:val="center"/>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数量/单位</w:t>
            </w:r>
          </w:p>
        </w:tc>
        <w:tc>
          <w:tcPr>
            <w:tcW w:w="1398" w:type="dxa"/>
            <w:noWrap w:val="0"/>
            <w:vAlign w:val="center"/>
          </w:tcPr>
          <w:p w14:paraId="2A7AAF6E">
            <w:pPr>
              <w:adjustRightInd w:val="0"/>
              <w:snapToGrid w:val="0"/>
              <w:jc w:val="center"/>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进口/国产</w:t>
            </w:r>
          </w:p>
        </w:tc>
        <w:tc>
          <w:tcPr>
            <w:tcW w:w="1738" w:type="dxa"/>
            <w:noWrap w:val="0"/>
            <w:vAlign w:val="center"/>
          </w:tcPr>
          <w:p w14:paraId="073A82C6">
            <w:pPr>
              <w:adjustRightInd w:val="0"/>
              <w:snapToGrid w:val="0"/>
              <w:jc w:val="center"/>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预算金额（元）</w:t>
            </w:r>
          </w:p>
        </w:tc>
        <w:tc>
          <w:tcPr>
            <w:tcW w:w="1727" w:type="dxa"/>
            <w:noWrap w:val="0"/>
            <w:vAlign w:val="center"/>
          </w:tcPr>
          <w:p w14:paraId="3AB8A6CD">
            <w:pPr>
              <w:adjustRightInd w:val="0"/>
              <w:snapToGrid w:val="0"/>
              <w:jc w:val="center"/>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最高限价（元）</w:t>
            </w:r>
          </w:p>
        </w:tc>
        <w:tc>
          <w:tcPr>
            <w:tcW w:w="830" w:type="dxa"/>
            <w:noWrap w:val="0"/>
            <w:vAlign w:val="center"/>
          </w:tcPr>
          <w:p w14:paraId="55881AA5">
            <w:pPr>
              <w:adjustRightInd w:val="0"/>
              <w:snapToGrid w:val="0"/>
              <w:jc w:val="center"/>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说明</w:t>
            </w:r>
          </w:p>
        </w:tc>
      </w:tr>
      <w:tr w14:paraId="2094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3" w:hRule="atLeast"/>
          <w:jc w:val="center"/>
        </w:trPr>
        <w:tc>
          <w:tcPr>
            <w:tcW w:w="826" w:type="dxa"/>
            <w:noWrap w:val="0"/>
            <w:vAlign w:val="center"/>
          </w:tcPr>
          <w:p w14:paraId="5458E436">
            <w:pPr>
              <w:adjustRightInd w:val="0"/>
              <w:snapToGrid w:val="0"/>
              <w:jc w:val="center"/>
              <w:rPr>
                <w:rFonts w:hint="eastAsia" w:ascii="宋体" w:hAnsi="宋体" w:eastAsia="宋体" w:cs="宋体"/>
                <w:sz w:val="24"/>
              </w:rPr>
            </w:pPr>
            <w:r>
              <w:rPr>
                <w:rFonts w:hint="eastAsia" w:ascii="宋体" w:hAnsi="宋体" w:eastAsia="宋体" w:cs="宋体"/>
                <w:sz w:val="24"/>
                <w:lang w:val="en-US" w:eastAsia="zh-CN"/>
              </w:rPr>
              <w:t>1</w:t>
            </w:r>
          </w:p>
        </w:tc>
        <w:tc>
          <w:tcPr>
            <w:tcW w:w="2068" w:type="dxa"/>
            <w:noWrap w:val="0"/>
            <w:vAlign w:val="center"/>
          </w:tcPr>
          <w:p w14:paraId="52C23B0B">
            <w:pPr>
              <w:adjustRightInd w:val="0"/>
              <w:snapToGrid w:val="0"/>
              <w:jc w:val="center"/>
              <w:rPr>
                <w:rFonts w:hint="eastAsia" w:ascii="宋体" w:hAnsi="宋体" w:eastAsia="宋体" w:cs="宋体"/>
                <w:sz w:val="24"/>
                <w:lang w:eastAsia="zh-CN"/>
              </w:rPr>
            </w:pPr>
            <w:r>
              <w:rPr>
                <w:rFonts w:hint="eastAsia" w:ascii="宋体" w:hAnsi="宋体" w:eastAsia="宋体" w:cs="宋体"/>
                <w:sz w:val="24"/>
                <w:lang w:eastAsia="zh-CN"/>
              </w:rPr>
              <w:t>乳腺钼靶机设备</w:t>
            </w:r>
          </w:p>
        </w:tc>
        <w:tc>
          <w:tcPr>
            <w:tcW w:w="1409" w:type="dxa"/>
            <w:noWrap w:val="0"/>
            <w:vAlign w:val="center"/>
          </w:tcPr>
          <w:p w14:paraId="2E1068F1">
            <w:pPr>
              <w:adjustRightInd w:val="0"/>
              <w:snapToGrid w:val="0"/>
              <w:jc w:val="center"/>
              <w:rPr>
                <w:rFonts w:hint="eastAsia" w:ascii="宋体" w:hAnsi="宋体" w:eastAsia="宋体" w:cs="宋体"/>
                <w:sz w:val="24"/>
                <w:lang w:eastAsia="zh-CN"/>
              </w:rPr>
            </w:pPr>
            <w:r>
              <w:rPr>
                <w:rFonts w:hint="eastAsia" w:ascii="宋体" w:hAnsi="宋体" w:eastAsia="宋体" w:cs="宋体"/>
                <w:sz w:val="24"/>
              </w:rPr>
              <w:t>1</w:t>
            </w:r>
            <w:r>
              <w:rPr>
                <w:rFonts w:hint="eastAsia" w:ascii="宋体" w:hAnsi="宋体" w:eastAsia="宋体" w:cs="宋体"/>
                <w:sz w:val="24"/>
                <w:lang w:val="en-US" w:eastAsia="zh-CN"/>
              </w:rPr>
              <w:t>台</w:t>
            </w:r>
          </w:p>
        </w:tc>
        <w:tc>
          <w:tcPr>
            <w:tcW w:w="1398" w:type="dxa"/>
            <w:noWrap w:val="0"/>
            <w:vAlign w:val="center"/>
          </w:tcPr>
          <w:p w14:paraId="69853E18">
            <w:pPr>
              <w:adjustRightInd w:val="0"/>
              <w:snapToGrid w:val="0"/>
              <w:jc w:val="center"/>
              <w:rPr>
                <w:rFonts w:hint="eastAsia" w:ascii="宋体" w:hAnsi="宋体" w:eastAsia="宋体" w:cs="宋体"/>
                <w:sz w:val="24"/>
              </w:rPr>
            </w:pPr>
            <w:r>
              <w:rPr>
                <w:rFonts w:hint="eastAsia" w:ascii="宋体" w:hAnsi="宋体" w:eastAsia="宋体" w:cs="宋体"/>
                <w:sz w:val="24"/>
              </w:rPr>
              <w:t>国产</w:t>
            </w:r>
          </w:p>
        </w:tc>
        <w:tc>
          <w:tcPr>
            <w:tcW w:w="1738" w:type="dxa"/>
            <w:noWrap w:val="0"/>
            <w:vAlign w:val="center"/>
          </w:tcPr>
          <w:p w14:paraId="46BA10C4">
            <w:pPr>
              <w:adjustRightInd w:val="0"/>
              <w:snapToGrid w:val="0"/>
              <w:jc w:val="center"/>
              <w:rPr>
                <w:rFonts w:hint="default" w:ascii="宋体" w:hAnsi="宋体" w:eastAsia="宋体" w:cs="宋体"/>
                <w:sz w:val="24"/>
                <w:lang w:val="en-US" w:eastAsia="zh-CN"/>
              </w:rPr>
            </w:pPr>
            <w:r>
              <w:rPr>
                <w:rFonts w:hint="eastAsia" w:ascii="宋体" w:hAnsi="宋体" w:eastAsia="宋体" w:cs="宋体"/>
                <w:sz w:val="24"/>
                <w:lang w:val="en-US" w:eastAsia="zh-CN"/>
              </w:rPr>
              <w:t>2000000.00</w:t>
            </w:r>
          </w:p>
        </w:tc>
        <w:tc>
          <w:tcPr>
            <w:tcW w:w="1727" w:type="dxa"/>
            <w:noWrap w:val="0"/>
            <w:vAlign w:val="center"/>
          </w:tcPr>
          <w:p w14:paraId="496D73D3">
            <w:pPr>
              <w:adjustRightInd w:val="0"/>
              <w:snapToGrid w:val="0"/>
              <w:jc w:val="center"/>
              <w:rPr>
                <w:rFonts w:hint="default" w:ascii="宋体" w:hAnsi="宋体" w:eastAsia="宋体" w:cs="宋体"/>
                <w:sz w:val="24"/>
                <w:lang w:val="en-US" w:eastAsia="zh-CN"/>
              </w:rPr>
            </w:pPr>
            <w:r>
              <w:rPr>
                <w:rFonts w:hint="eastAsia" w:ascii="宋体" w:hAnsi="宋体" w:eastAsia="宋体" w:cs="宋体"/>
                <w:sz w:val="24"/>
                <w:lang w:val="en-US" w:eastAsia="zh-CN"/>
              </w:rPr>
              <w:t>2000000.00</w:t>
            </w:r>
          </w:p>
        </w:tc>
        <w:tc>
          <w:tcPr>
            <w:tcW w:w="830" w:type="dxa"/>
            <w:noWrap w:val="0"/>
            <w:vAlign w:val="center"/>
          </w:tcPr>
          <w:p w14:paraId="0DFC0BEA">
            <w:pPr>
              <w:adjustRightInd w:val="0"/>
              <w:snapToGrid w:val="0"/>
              <w:jc w:val="center"/>
              <w:rPr>
                <w:rFonts w:hint="eastAsia" w:ascii="宋体" w:hAnsi="宋体" w:eastAsia="宋体" w:cs="宋体"/>
                <w:sz w:val="24"/>
                <w:lang w:val="en-US" w:eastAsia="zh-CN"/>
              </w:rPr>
            </w:pPr>
            <w:r>
              <w:rPr>
                <w:rFonts w:hint="eastAsia" w:ascii="宋体" w:hAnsi="宋体" w:eastAsia="宋体" w:cs="宋体"/>
                <w:sz w:val="24"/>
                <w:lang w:val="en-US" w:eastAsia="zh-CN"/>
              </w:rPr>
              <w:t>/</w:t>
            </w:r>
          </w:p>
        </w:tc>
      </w:tr>
    </w:tbl>
    <w:p w14:paraId="0F48E632">
      <w:pPr>
        <w:adjustRightInd w:val="0"/>
        <w:snapToGrid w:val="0"/>
        <w:spacing w:line="360" w:lineRule="auto"/>
        <w:ind w:firstLine="440" w:firstLineChars="200"/>
        <w:rPr>
          <w:rFonts w:hint="eastAsia" w:ascii="宋体" w:hAnsi="宋体" w:eastAsia="宋体" w:cs="Arial"/>
          <w:color w:val="000000"/>
          <w:kern w:val="0"/>
          <w:sz w:val="22"/>
          <w:szCs w:val="21"/>
        </w:rPr>
      </w:pPr>
      <w:r>
        <w:rPr>
          <w:rFonts w:hint="eastAsia" w:ascii="宋体" w:hAnsi="宋体" w:eastAsia="宋体" w:cs="Arial"/>
          <w:color w:val="000000"/>
          <w:kern w:val="0"/>
          <w:sz w:val="22"/>
          <w:szCs w:val="21"/>
        </w:rPr>
        <w:t>注：1、投标人必须对一个完整、独立的包进行投标，不得仅对一个包中的部分品目投标，否则</w:t>
      </w:r>
      <w:r>
        <w:rPr>
          <w:rFonts w:hint="eastAsia" w:ascii="宋体" w:hAnsi="宋体" w:eastAsia="宋体" w:cs="Arial"/>
          <w:b/>
          <w:bCs/>
          <w:color w:val="000000"/>
          <w:kern w:val="0"/>
          <w:sz w:val="22"/>
          <w:szCs w:val="21"/>
        </w:rPr>
        <w:t>投标无效</w:t>
      </w:r>
      <w:r>
        <w:rPr>
          <w:rFonts w:hint="eastAsia" w:ascii="宋体" w:hAnsi="宋体" w:eastAsia="宋体" w:cs="Arial"/>
          <w:color w:val="000000"/>
          <w:kern w:val="0"/>
          <w:sz w:val="22"/>
          <w:szCs w:val="21"/>
        </w:rPr>
        <w:t>。</w:t>
      </w:r>
    </w:p>
    <w:p w14:paraId="57476780">
      <w:pPr>
        <w:pStyle w:val="7"/>
        <w:tabs>
          <w:tab w:val="left" w:pos="1342"/>
        </w:tabs>
        <w:snapToGrid w:val="0"/>
        <w:spacing w:after="0" w:line="360" w:lineRule="auto"/>
        <w:textAlignment w:val="baseline"/>
        <w:rPr>
          <w:rFonts w:hint="eastAsia" w:ascii="宋体" w:hAnsi="宋体" w:eastAsia="宋体" w:cs="Arial"/>
          <w:color w:val="000000"/>
          <w:szCs w:val="21"/>
        </w:rPr>
      </w:pPr>
      <w:r>
        <w:rPr>
          <w:rFonts w:hint="eastAsia" w:ascii="宋体" w:hAnsi="宋体" w:eastAsia="宋体" w:cs="Arial"/>
          <w:color w:val="000000"/>
          <w:szCs w:val="21"/>
        </w:rPr>
        <w:t>2、投标人所投产品与采购清单产品名称不一致的，需在《开标一览表》单独注明。</w:t>
      </w:r>
    </w:p>
    <w:p w14:paraId="63DCF82A">
      <w:pPr>
        <w:pStyle w:val="7"/>
        <w:tabs>
          <w:tab w:val="left" w:pos="1342"/>
        </w:tabs>
        <w:snapToGrid w:val="0"/>
        <w:spacing w:after="0" w:line="360" w:lineRule="auto"/>
        <w:textAlignment w:val="baseline"/>
        <w:rPr>
          <w:rFonts w:hint="eastAsia" w:ascii="宋体" w:hAnsi="宋体" w:eastAsia="宋体" w:cs="Arial"/>
          <w:color w:val="000000"/>
          <w:szCs w:val="21"/>
        </w:rPr>
      </w:pPr>
      <w:r>
        <w:rPr>
          <w:rFonts w:hint="eastAsia" w:ascii="宋体" w:hAnsi="宋体" w:eastAsia="宋体" w:cs="Arial"/>
          <w:color w:val="000000"/>
          <w:szCs w:val="21"/>
        </w:rPr>
        <w:t>3、货物的主要技术参数或规格：详见“技术要求”中的具体技术参数。</w:t>
      </w:r>
    </w:p>
    <w:p w14:paraId="362A4927">
      <w:pPr>
        <w:pStyle w:val="7"/>
        <w:tabs>
          <w:tab w:val="left" w:pos="1342"/>
        </w:tabs>
        <w:snapToGrid w:val="0"/>
        <w:spacing w:after="0" w:line="360" w:lineRule="auto"/>
        <w:textAlignment w:val="baseline"/>
        <w:rPr>
          <w:rFonts w:ascii="宋体" w:hAnsi="宋体" w:eastAsia="宋体" w:cs="Arial"/>
          <w:color w:val="000000"/>
          <w:szCs w:val="21"/>
        </w:rPr>
      </w:pPr>
    </w:p>
    <w:p w14:paraId="190898E7">
      <w:pPr>
        <w:pStyle w:val="7"/>
        <w:tabs>
          <w:tab w:val="left" w:pos="1342"/>
        </w:tabs>
        <w:snapToGrid w:val="0"/>
        <w:spacing w:after="0" w:line="360" w:lineRule="auto"/>
        <w:ind w:left="0"/>
        <w:textAlignment w:val="baseline"/>
        <w:outlineLvl w:val="1"/>
        <w:rPr>
          <w:rFonts w:ascii="宋体" w:hAnsi="宋体" w:eastAsia="宋体" w:cs="宋体"/>
          <w:b/>
          <w:bCs/>
          <w:color w:val="000000"/>
          <w:sz w:val="24"/>
        </w:rPr>
      </w:pPr>
    </w:p>
    <w:p w14:paraId="21DA7CE5">
      <w:pPr>
        <w:pStyle w:val="7"/>
        <w:tabs>
          <w:tab w:val="left" w:pos="1342"/>
        </w:tabs>
        <w:spacing w:before="67" w:line="288" w:lineRule="auto"/>
        <w:ind w:left="0"/>
        <w:jc w:val="center"/>
        <w:textAlignment w:val="baseline"/>
        <w:outlineLvl w:val="1"/>
        <w:rPr>
          <w:rFonts w:hint="eastAsia" w:ascii="宋体" w:hAnsi="宋体" w:eastAsia="宋体" w:cs="宋体"/>
          <w:b/>
          <w:bCs/>
          <w:sz w:val="24"/>
        </w:rPr>
      </w:pPr>
    </w:p>
    <w:p w14:paraId="2333CFA9">
      <w:pPr>
        <w:pStyle w:val="7"/>
        <w:tabs>
          <w:tab w:val="left" w:pos="1342"/>
        </w:tabs>
        <w:spacing w:before="67" w:line="288" w:lineRule="auto"/>
        <w:ind w:left="0"/>
        <w:jc w:val="center"/>
        <w:textAlignment w:val="baseline"/>
        <w:outlineLvl w:val="1"/>
        <w:rPr>
          <w:rFonts w:hint="eastAsia" w:ascii="宋体" w:hAnsi="宋体" w:eastAsia="宋体" w:cs="宋体"/>
          <w:b/>
          <w:bCs/>
          <w:sz w:val="24"/>
        </w:rPr>
      </w:pPr>
    </w:p>
    <w:p w14:paraId="53E05BE2">
      <w:pPr>
        <w:pStyle w:val="7"/>
        <w:tabs>
          <w:tab w:val="left" w:pos="1342"/>
        </w:tabs>
        <w:spacing w:before="67" w:line="288" w:lineRule="auto"/>
        <w:ind w:left="0"/>
        <w:jc w:val="center"/>
        <w:textAlignment w:val="baseline"/>
        <w:outlineLvl w:val="1"/>
        <w:rPr>
          <w:rFonts w:hint="eastAsia" w:ascii="宋体" w:hAnsi="宋体" w:eastAsia="宋体" w:cs="宋体"/>
          <w:b/>
          <w:bCs/>
          <w:sz w:val="24"/>
        </w:rPr>
      </w:pPr>
    </w:p>
    <w:p w14:paraId="358FA841">
      <w:pPr>
        <w:pStyle w:val="7"/>
        <w:tabs>
          <w:tab w:val="left" w:pos="1342"/>
        </w:tabs>
        <w:spacing w:before="67" w:line="288" w:lineRule="auto"/>
        <w:ind w:left="0"/>
        <w:jc w:val="center"/>
        <w:textAlignment w:val="baseline"/>
        <w:outlineLvl w:val="1"/>
        <w:rPr>
          <w:rFonts w:hint="eastAsia" w:ascii="宋体" w:hAnsi="宋体" w:eastAsia="宋体" w:cs="宋体"/>
          <w:b/>
          <w:bCs/>
          <w:sz w:val="24"/>
        </w:rPr>
      </w:pPr>
    </w:p>
    <w:p w14:paraId="7AB2A298">
      <w:pPr>
        <w:pStyle w:val="7"/>
        <w:tabs>
          <w:tab w:val="left" w:pos="1342"/>
        </w:tabs>
        <w:spacing w:before="67" w:line="288" w:lineRule="auto"/>
        <w:ind w:left="0"/>
        <w:jc w:val="center"/>
        <w:textAlignment w:val="baseline"/>
        <w:outlineLvl w:val="1"/>
        <w:rPr>
          <w:rFonts w:hint="eastAsia" w:ascii="宋体" w:hAnsi="宋体" w:eastAsia="宋体" w:cs="宋体"/>
          <w:b/>
          <w:bCs/>
          <w:sz w:val="24"/>
        </w:rPr>
      </w:pPr>
    </w:p>
    <w:p w14:paraId="564B38EC">
      <w:pPr>
        <w:pStyle w:val="7"/>
        <w:tabs>
          <w:tab w:val="left" w:pos="1342"/>
        </w:tabs>
        <w:spacing w:before="67" w:line="288" w:lineRule="auto"/>
        <w:ind w:left="0"/>
        <w:jc w:val="center"/>
        <w:textAlignment w:val="baseline"/>
        <w:outlineLvl w:val="1"/>
        <w:rPr>
          <w:rFonts w:hint="eastAsia" w:ascii="宋体" w:hAnsi="宋体" w:eastAsia="宋体" w:cs="宋体"/>
          <w:b/>
          <w:bCs/>
          <w:sz w:val="24"/>
        </w:rPr>
      </w:pPr>
    </w:p>
    <w:p w14:paraId="2FE14E4E">
      <w:pPr>
        <w:pStyle w:val="7"/>
        <w:tabs>
          <w:tab w:val="left" w:pos="1342"/>
        </w:tabs>
        <w:spacing w:before="67" w:line="288" w:lineRule="auto"/>
        <w:ind w:left="0"/>
        <w:jc w:val="center"/>
        <w:textAlignment w:val="baseline"/>
        <w:outlineLvl w:val="1"/>
        <w:rPr>
          <w:rFonts w:hint="eastAsia" w:ascii="宋体" w:hAnsi="宋体" w:eastAsia="宋体" w:cs="宋体"/>
          <w:b/>
          <w:bCs/>
          <w:sz w:val="24"/>
        </w:rPr>
      </w:pPr>
    </w:p>
    <w:p w14:paraId="5137EFB6">
      <w:pPr>
        <w:pStyle w:val="7"/>
        <w:tabs>
          <w:tab w:val="left" w:pos="1342"/>
        </w:tabs>
        <w:spacing w:before="67" w:line="288" w:lineRule="auto"/>
        <w:ind w:left="0"/>
        <w:jc w:val="center"/>
        <w:textAlignment w:val="baseline"/>
        <w:outlineLvl w:val="1"/>
        <w:rPr>
          <w:rFonts w:hint="eastAsia" w:ascii="宋体" w:hAnsi="宋体" w:eastAsia="宋体" w:cs="宋体"/>
          <w:b/>
          <w:bCs/>
          <w:sz w:val="24"/>
        </w:rPr>
      </w:pPr>
    </w:p>
    <w:p w14:paraId="17BC7E86">
      <w:pPr>
        <w:pStyle w:val="7"/>
        <w:tabs>
          <w:tab w:val="left" w:pos="1342"/>
        </w:tabs>
        <w:spacing w:before="67" w:line="288" w:lineRule="auto"/>
        <w:ind w:left="0"/>
        <w:jc w:val="center"/>
        <w:textAlignment w:val="baseline"/>
        <w:outlineLvl w:val="1"/>
        <w:rPr>
          <w:rFonts w:hint="eastAsia" w:ascii="宋体" w:hAnsi="宋体" w:eastAsia="宋体" w:cs="宋体"/>
          <w:b/>
          <w:bCs/>
          <w:sz w:val="24"/>
        </w:rPr>
      </w:pPr>
    </w:p>
    <w:p w14:paraId="05D2F86B">
      <w:pPr>
        <w:pStyle w:val="7"/>
        <w:tabs>
          <w:tab w:val="left" w:pos="1342"/>
        </w:tabs>
        <w:spacing w:before="67" w:line="288" w:lineRule="auto"/>
        <w:ind w:left="0"/>
        <w:jc w:val="center"/>
        <w:textAlignment w:val="baseline"/>
        <w:outlineLvl w:val="1"/>
        <w:rPr>
          <w:rFonts w:hint="eastAsia" w:ascii="宋体" w:hAnsi="宋体" w:eastAsia="宋体" w:cs="宋体"/>
          <w:b/>
          <w:bCs/>
          <w:sz w:val="24"/>
        </w:rPr>
      </w:pPr>
    </w:p>
    <w:p w14:paraId="6FA0B2E2">
      <w:pPr>
        <w:pStyle w:val="7"/>
        <w:tabs>
          <w:tab w:val="left" w:pos="1342"/>
        </w:tabs>
        <w:spacing w:before="67" w:line="288" w:lineRule="auto"/>
        <w:ind w:left="0"/>
        <w:jc w:val="center"/>
        <w:textAlignment w:val="baseline"/>
        <w:outlineLvl w:val="1"/>
        <w:rPr>
          <w:rFonts w:hint="eastAsia" w:ascii="宋体" w:hAnsi="宋体" w:eastAsia="宋体" w:cs="宋体"/>
          <w:b/>
          <w:bCs/>
          <w:sz w:val="24"/>
        </w:rPr>
      </w:pPr>
    </w:p>
    <w:p w14:paraId="58DEB4F3">
      <w:pPr>
        <w:pStyle w:val="7"/>
        <w:tabs>
          <w:tab w:val="left" w:pos="1342"/>
        </w:tabs>
        <w:spacing w:before="67" w:line="288" w:lineRule="auto"/>
        <w:ind w:left="0"/>
        <w:jc w:val="center"/>
        <w:textAlignment w:val="baseline"/>
        <w:outlineLvl w:val="1"/>
        <w:rPr>
          <w:rFonts w:hint="eastAsia" w:ascii="宋体" w:hAnsi="宋体" w:eastAsia="宋体" w:cs="宋体"/>
          <w:b/>
          <w:bCs/>
          <w:sz w:val="24"/>
        </w:rPr>
      </w:pPr>
    </w:p>
    <w:p w14:paraId="51F1C7CB">
      <w:pPr>
        <w:pStyle w:val="7"/>
        <w:tabs>
          <w:tab w:val="left" w:pos="1342"/>
        </w:tabs>
        <w:spacing w:before="67" w:line="288" w:lineRule="auto"/>
        <w:ind w:left="0"/>
        <w:jc w:val="center"/>
        <w:textAlignment w:val="baseline"/>
        <w:outlineLvl w:val="1"/>
        <w:rPr>
          <w:rFonts w:hint="eastAsia" w:ascii="宋体" w:hAnsi="宋体" w:eastAsia="宋体" w:cs="宋体"/>
          <w:b/>
          <w:bCs/>
          <w:sz w:val="24"/>
        </w:rPr>
      </w:pPr>
    </w:p>
    <w:p w14:paraId="0C7564D1">
      <w:pPr>
        <w:pStyle w:val="7"/>
        <w:tabs>
          <w:tab w:val="left" w:pos="1342"/>
        </w:tabs>
        <w:spacing w:before="67" w:line="288" w:lineRule="auto"/>
        <w:ind w:left="0"/>
        <w:jc w:val="center"/>
        <w:textAlignment w:val="baseline"/>
        <w:outlineLvl w:val="1"/>
        <w:rPr>
          <w:rFonts w:hint="eastAsia" w:ascii="宋体" w:hAnsi="宋体" w:eastAsia="宋体" w:cs="宋体"/>
          <w:b/>
          <w:bCs/>
          <w:sz w:val="24"/>
        </w:rPr>
      </w:pPr>
    </w:p>
    <w:p w14:paraId="2D1A9741">
      <w:pPr>
        <w:pStyle w:val="7"/>
        <w:tabs>
          <w:tab w:val="left" w:pos="1342"/>
        </w:tabs>
        <w:spacing w:before="67" w:line="288" w:lineRule="auto"/>
        <w:ind w:left="0"/>
        <w:jc w:val="center"/>
        <w:textAlignment w:val="baseline"/>
        <w:outlineLvl w:val="1"/>
        <w:rPr>
          <w:rFonts w:hint="eastAsia" w:ascii="宋体" w:hAnsi="宋体" w:eastAsia="宋体" w:cs="宋体"/>
          <w:b/>
          <w:bCs/>
          <w:sz w:val="24"/>
        </w:rPr>
      </w:pPr>
    </w:p>
    <w:p w14:paraId="31213395">
      <w:pPr>
        <w:pStyle w:val="7"/>
        <w:tabs>
          <w:tab w:val="left" w:pos="1342"/>
        </w:tabs>
        <w:spacing w:before="67" w:line="288" w:lineRule="auto"/>
        <w:ind w:left="0"/>
        <w:jc w:val="center"/>
        <w:textAlignment w:val="baseline"/>
        <w:outlineLvl w:val="1"/>
        <w:rPr>
          <w:rFonts w:hint="eastAsia" w:ascii="宋体" w:hAnsi="宋体" w:eastAsia="宋体" w:cs="宋体"/>
          <w:b/>
          <w:bCs/>
          <w:sz w:val="24"/>
        </w:rPr>
      </w:pPr>
    </w:p>
    <w:p w14:paraId="15EB096E">
      <w:pPr>
        <w:pStyle w:val="7"/>
        <w:tabs>
          <w:tab w:val="left" w:pos="1342"/>
        </w:tabs>
        <w:spacing w:before="67" w:line="288" w:lineRule="auto"/>
        <w:ind w:left="0"/>
        <w:jc w:val="both"/>
        <w:textAlignment w:val="baseline"/>
        <w:outlineLvl w:val="1"/>
        <w:rPr>
          <w:rFonts w:hint="eastAsia" w:ascii="宋体" w:hAnsi="宋体" w:eastAsia="宋体" w:cs="宋体"/>
          <w:b/>
          <w:bCs/>
          <w:sz w:val="24"/>
        </w:rPr>
      </w:pPr>
    </w:p>
    <w:bookmarkEnd w:id="0"/>
    <w:p w14:paraId="694719C4">
      <w:pPr>
        <w:pStyle w:val="7"/>
        <w:tabs>
          <w:tab w:val="left" w:pos="1342"/>
        </w:tabs>
        <w:snapToGrid w:val="0"/>
        <w:spacing w:after="0" w:line="360" w:lineRule="auto"/>
        <w:ind w:left="0"/>
        <w:jc w:val="center"/>
        <w:textAlignment w:val="baseline"/>
        <w:outlineLvl w:val="1"/>
        <w:rPr>
          <w:rFonts w:hint="eastAsia" w:ascii="宋体" w:hAnsi="宋体" w:eastAsia="宋体" w:cs="宋体"/>
          <w:b/>
          <w:bCs/>
          <w:color w:val="000000"/>
          <w:sz w:val="28"/>
          <w:szCs w:val="24"/>
          <w:highlight w:val="none"/>
        </w:rPr>
      </w:pPr>
      <w:r>
        <w:rPr>
          <w:rFonts w:hint="eastAsia" w:ascii="宋体" w:hAnsi="宋体" w:eastAsia="宋体" w:cs="宋体"/>
          <w:b/>
          <w:bCs/>
          <w:color w:val="000000"/>
          <w:sz w:val="28"/>
          <w:szCs w:val="24"/>
          <w:highlight w:val="none"/>
        </w:rPr>
        <w:t>第二节  技术要求</w:t>
      </w:r>
    </w:p>
    <w:tbl>
      <w:tblPr>
        <w:tblStyle w:val="5"/>
        <w:tblW w:w="10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4122"/>
        <w:gridCol w:w="5323"/>
      </w:tblGrid>
      <w:tr w14:paraId="27ED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0" w:type="auto"/>
            <w:noWrap w:val="0"/>
            <w:vAlign w:val="center"/>
          </w:tcPr>
          <w:p w14:paraId="5CADAEEC">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bCs/>
                <w:color w:val="000000"/>
                <w:sz w:val="24"/>
                <w:szCs w:val="24"/>
                <w:highlight w:val="none"/>
                <w:lang w:val="en-US" w:eastAsia="zh-CN" w:bidi="ar-SA"/>
              </w:rPr>
            </w:pPr>
            <w:r>
              <w:rPr>
                <w:rFonts w:hint="eastAsia" w:ascii="微软雅黑" w:hAnsi="微软雅黑" w:eastAsia="微软雅黑" w:cs="微软雅黑"/>
                <w:b/>
                <w:bCs/>
                <w:color w:val="000000"/>
                <w:sz w:val="24"/>
                <w:szCs w:val="24"/>
                <w:highlight w:val="none"/>
                <w:lang w:val="en-US" w:eastAsia="zh-CN" w:bidi="ar-SA"/>
              </w:rPr>
              <w:t>序号</w:t>
            </w:r>
          </w:p>
        </w:tc>
        <w:tc>
          <w:tcPr>
            <w:tcW w:w="4122" w:type="dxa"/>
            <w:noWrap w:val="0"/>
            <w:vAlign w:val="top"/>
          </w:tcPr>
          <w:p w14:paraId="79D4B8C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bCs/>
                <w:color w:val="000000"/>
                <w:sz w:val="24"/>
                <w:szCs w:val="24"/>
                <w:highlight w:val="none"/>
                <w:lang w:val="en-US" w:eastAsia="zh-CN" w:bidi="ar-SA"/>
              </w:rPr>
            </w:pPr>
            <w:r>
              <w:rPr>
                <w:rFonts w:hint="eastAsia" w:ascii="微软雅黑" w:hAnsi="微软雅黑" w:eastAsia="微软雅黑" w:cs="微软雅黑"/>
                <w:b/>
                <w:bCs/>
                <w:color w:val="000000"/>
                <w:sz w:val="24"/>
                <w:szCs w:val="24"/>
                <w:highlight w:val="none"/>
                <w:lang w:val="en-US" w:eastAsia="zh-CN" w:bidi="ar-SA"/>
              </w:rPr>
              <w:t>技术参数</w:t>
            </w:r>
          </w:p>
        </w:tc>
        <w:tc>
          <w:tcPr>
            <w:tcW w:w="5323" w:type="dxa"/>
            <w:noWrap w:val="0"/>
            <w:vAlign w:val="top"/>
          </w:tcPr>
          <w:p w14:paraId="1F644A42">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bCs/>
                <w:color w:val="000000"/>
                <w:sz w:val="24"/>
                <w:szCs w:val="24"/>
                <w:highlight w:val="none"/>
                <w:lang w:val="en-US" w:eastAsia="zh-CN" w:bidi="ar-SA"/>
              </w:rPr>
            </w:pPr>
            <w:r>
              <w:rPr>
                <w:rFonts w:hint="eastAsia" w:ascii="微软雅黑" w:hAnsi="微软雅黑" w:eastAsia="微软雅黑" w:cs="微软雅黑"/>
                <w:b/>
                <w:bCs/>
                <w:color w:val="000000"/>
                <w:sz w:val="24"/>
                <w:szCs w:val="24"/>
                <w:highlight w:val="none"/>
                <w:lang w:val="en-US" w:eastAsia="zh-CN" w:bidi="ar-SA"/>
              </w:rPr>
              <w:t>技术要求</w:t>
            </w:r>
          </w:p>
        </w:tc>
      </w:tr>
      <w:tr w14:paraId="3B1ED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73BD565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一．</w:t>
            </w:r>
          </w:p>
        </w:tc>
        <w:tc>
          <w:tcPr>
            <w:tcW w:w="4122" w:type="dxa"/>
            <w:noWrap w:val="0"/>
            <w:vAlign w:val="center"/>
          </w:tcPr>
          <w:p w14:paraId="24E9D966">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设备型号及其用途：</w:t>
            </w:r>
          </w:p>
        </w:tc>
        <w:tc>
          <w:tcPr>
            <w:tcW w:w="5323" w:type="dxa"/>
            <w:noWrap w:val="0"/>
            <w:vAlign w:val="center"/>
          </w:tcPr>
          <w:p w14:paraId="74D352FD">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全数字化平板乳腺X线摄影、早期妇女乳腺疾病普查, 供医疗人员进行乳腺摄影检查。</w:t>
            </w:r>
          </w:p>
        </w:tc>
      </w:tr>
      <w:tr w14:paraId="4A3E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0" w:type="auto"/>
            <w:noWrap w:val="0"/>
            <w:vAlign w:val="center"/>
          </w:tcPr>
          <w:p w14:paraId="00D484AF">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二．</w:t>
            </w:r>
          </w:p>
        </w:tc>
        <w:tc>
          <w:tcPr>
            <w:tcW w:w="4122" w:type="dxa"/>
            <w:noWrap w:val="0"/>
            <w:vAlign w:val="center"/>
          </w:tcPr>
          <w:p w14:paraId="5D59C65D">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资格标准：</w:t>
            </w:r>
          </w:p>
        </w:tc>
        <w:tc>
          <w:tcPr>
            <w:tcW w:w="5323" w:type="dxa"/>
            <w:noWrap w:val="0"/>
            <w:vAlign w:val="center"/>
          </w:tcPr>
          <w:p w14:paraId="3EBC04AF">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p>
        </w:tc>
      </w:tr>
      <w:tr w14:paraId="24F54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3B85FE1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2.1</w:t>
            </w:r>
          </w:p>
        </w:tc>
        <w:tc>
          <w:tcPr>
            <w:tcW w:w="4122" w:type="dxa"/>
            <w:noWrap w:val="0"/>
            <w:vAlign w:val="center"/>
          </w:tcPr>
          <w:p w14:paraId="0AB54E84">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 xml:space="preserve">该设备获得NMPA认证 </w:t>
            </w:r>
          </w:p>
        </w:tc>
        <w:tc>
          <w:tcPr>
            <w:tcW w:w="5323" w:type="dxa"/>
            <w:noWrap w:val="0"/>
            <w:vAlign w:val="center"/>
          </w:tcPr>
          <w:p w14:paraId="77577E5C">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55AEA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0228F490">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三．</w:t>
            </w:r>
          </w:p>
        </w:tc>
        <w:tc>
          <w:tcPr>
            <w:tcW w:w="4122" w:type="dxa"/>
            <w:noWrap w:val="0"/>
            <w:vAlign w:val="center"/>
          </w:tcPr>
          <w:p w14:paraId="3EE3A264">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X线球管</w:t>
            </w:r>
          </w:p>
        </w:tc>
        <w:tc>
          <w:tcPr>
            <w:tcW w:w="5323" w:type="dxa"/>
            <w:noWrap w:val="0"/>
            <w:vAlign w:val="center"/>
          </w:tcPr>
          <w:p w14:paraId="539B0E89">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p>
        </w:tc>
      </w:tr>
      <w:tr w14:paraId="6D229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11E5DC11">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▲3.1</w:t>
            </w:r>
          </w:p>
        </w:tc>
        <w:tc>
          <w:tcPr>
            <w:tcW w:w="4122" w:type="dxa"/>
            <w:noWrap w:val="0"/>
            <w:vAlign w:val="center"/>
          </w:tcPr>
          <w:p w14:paraId="3C5A104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球管与投标厂商所投产品主机为同一品牌</w:t>
            </w:r>
          </w:p>
        </w:tc>
        <w:tc>
          <w:tcPr>
            <w:tcW w:w="5323" w:type="dxa"/>
            <w:noWrap w:val="0"/>
            <w:vAlign w:val="center"/>
          </w:tcPr>
          <w:p w14:paraId="408A1FC8">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19A9A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54A12571">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3.2</w:t>
            </w:r>
          </w:p>
        </w:tc>
        <w:tc>
          <w:tcPr>
            <w:tcW w:w="4122" w:type="dxa"/>
            <w:noWrap w:val="0"/>
            <w:vAlign w:val="center"/>
          </w:tcPr>
          <w:p w14:paraId="77A3234D">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阳极材料</w:t>
            </w:r>
          </w:p>
        </w:tc>
        <w:tc>
          <w:tcPr>
            <w:tcW w:w="5323" w:type="dxa"/>
            <w:noWrap w:val="0"/>
            <w:vAlign w:val="center"/>
          </w:tcPr>
          <w:p w14:paraId="0D8BE67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钨靶</w:t>
            </w:r>
          </w:p>
        </w:tc>
      </w:tr>
      <w:tr w14:paraId="21AAF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53B81B46">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3.3</w:t>
            </w:r>
          </w:p>
        </w:tc>
        <w:tc>
          <w:tcPr>
            <w:tcW w:w="4122" w:type="dxa"/>
            <w:noWrap w:val="0"/>
            <w:vAlign w:val="center"/>
          </w:tcPr>
          <w:p w14:paraId="098BDBE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阳极转速</w:t>
            </w:r>
          </w:p>
        </w:tc>
        <w:tc>
          <w:tcPr>
            <w:tcW w:w="5323" w:type="dxa"/>
            <w:noWrap w:val="0"/>
            <w:vAlign w:val="center"/>
          </w:tcPr>
          <w:p w14:paraId="4A56C261">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≥8000rpm/min</w:t>
            </w:r>
          </w:p>
        </w:tc>
      </w:tr>
      <w:tr w14:paraId="6823D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268D7290">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▲3.4</w:t>
            </w:r>
          </w:p>
        </w:tc>
        <w:tc>
          <w:tcPr>
            <w:tcW w:w="4122" w:type="dxa"/>
            <w:noWrap w:val="0"/>
            <w:vAlign w:val="center"/>
          </w:tcPr>
          <w:p w14:paraId="5DAD9AA9">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球管热容量</w:t>
            </w:r>
          </w:p>
        </w:tc>
        <w:tc>
          <w:tcPr>
            <w:tcW w:w="5323" w:type="dxa"/>
            <w:noWrap w:val="0"/>
            <w:vAlign w:val="center"/>
          </w:tcPr>
          <w:p w14:paraId="79421DC2">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≥2000KHu</w:t>
            </w:r>
          </w:p>
        </w:tc>
      </w:tr>
      <w:tr w14:paraId="2A03E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48D68B26">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3.5</w:t>
            </w:r>
          </w:p>
        </w:tc>
        <w:tc>
          <w:tcPr>
            <w:tcW w:w="4122" w:type="dxa"/>
            <w:noWrap w:val="0"/>
            <w:vAlign w:val="center"/>
          </w:tcPr>
          <w:p w14:paraId="1D73DAA1">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阳极热容量</w:t>
            </w:r>
          </w:p>
        </w:tc>
        <w:tc>
          <w:tcPr>
            <w:tcW w:w="5323" w:type="dxa"/>
            <w:noWrap w:val="0"/>
            <w:vAlign w:val="center"/>
          </w:tcPr>
          <w:p w14:paraId="037E0F4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≥160KHU</w:t>
            </w:r>
          </w:p>
        </w:tc>
      </w:tr>
      <w:tr w14:paraId="65266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55AA122D">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3.6</w:t>
            </w:r>
          </w:p>
        </w:tc>
        <w:tc>
          <w:tcPr>
            <w:tcW w:w="4122" w:type="dxa"/>
            <w:noWrap w:val="0"/>
            <w:vAlign w:val="center"/>
          </w:tcPr>
          <w:p w14:paraId="014E89EB">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滤过材料</w:t>
            </w:r>
          </w:p>
        </w:tc>
        <w:tc>
          <w:tcPr>
            <w:tcW w:w="5323" w:type="dxa"/>
            <w:noWrap w:val="0"/>
            <w:vAlign w:val="center"/>
          </w:tcPr>
          <w:p w14:paraId="1F68788E">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≥2种</w:t>
            </w:r>
          </w:p>
        </w:tc>
      </w:tr>
      <w:tr w14:paraId="6C669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292CA4A4">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3.7</w:t>
            </w:r>
          </w:p>
        </w:tc>
        <w:tc>
          <w:tcPr>
            <w:tcW w:w="4122" w:type="dxa"/>
            <w:noWrap w:val="0"/>
            <w:vAlign w:val="center"/>
          </w:tcPr>
          <w:p w14:paraId="0B7AAED0">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准直器：</w:t>
            </w:r>
          </w:p>
        </w:tc>
        <w:tc>
          <w:tcPr>
            <w:tcW w:w="5323" w:type="dxa"/>
            <w:noWrap w:val="0"/>
            <w:vAlign w:val="center"/>
          </w:tcPr>
          <w:p w14:paraId="071E9CAB">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自动照射野跟踪</w:t>
            </w:r>
          </w:p>
        </w:tc>
      </w:tr>
      <w:tr w14:paraId="444C0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7A5AEED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▲3.8</w:t>
            </w:r>
          </w:p>
        </w:tc>
        <w:tc>
          <w:tcPr>
            <w:tcW w:w="4122" w:type="dxa"/>
            <w:noWrap w:val="0"/>
            <w:vAlign w:val="center"/>
          </w:tcPr>
          <w:p w14:paraId="6DAC0D5E">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最大mA</w:t>
            </w:r>
          </w:p>
        </w:tc>
        <w:tc>
          <w:tcPr>
            <w:tcW w:w="5323" w:type="dxa"/>
            <w:noWrap w:val="0"/>
            <w:vAlign w:val="center"/>
          </w:tcPr>
          <w:p w14:paraId="1732760D">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≥190mA</w:t>
            </w:r>
          </w:p>
        </w:tc>
      </w:tr>
      <w:tr w14:paraId="6F31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6F893B26">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▲3.9</w:t>
            </w:r>
          </w:p>
        </w:tc>
        <w:tc>
          <w:tcPr>
            <w:tcW w:w="4122" w:type="dxa"/>
            <w:noWrap w:val="0"/>
            <w:vAlign w:val="center"/>
          </w:tcPr>
          <w:p w14:paraId="68E8B49B">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 xml:space="preserve">靶角 </w:t>
            </w:r>
          </w:p>
        </w:tc>
        <w:tc>
          <w:tcPr>
            <w:tcW w:w="5323" w:type="dxa"/>
            <w:noWrap w:val="0"/>
            <w:vAlign w:val="center"/>
          </w:tcPr>
          <w:p w14:paraId="61484B5C">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X线球管为单靶角设计</w:t>
            </w:r>
          </w:p>
        </w:tc>
      </w:tr>
      <w:tr w14:paraId="61B8B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1CB1A8B0">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四．</w:t>
            </w:r>
          </w:p>
        </w:tc>
        <w:tc>
          <w:tcPr>
            <w:tcW w:w="4122" w:type="dxa"/>
            <w:noWrap w:val="0"/>
            <w:vAlign w:val="center"/>
          </w:tcPr>
          <w:p w14:paraId="67B5BB92">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高压发生器</w:t>
            </w:r>
          </w:p>
        </w:tc>
        <w:tc>
          <w:tcPr>
            <w:tcW w:w="5323" w:type="dxa"/>
            <w:noWrap w:val="0"/>
            <w:vAlign w:val="center"/>
          </w:tcPr>
          <w:p w14:paraId="09EF061B">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p>
        </w:tc>
      </w:tr>
      <w:tr w14:paraId="6106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0CDED55D">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4.1</w:t>
            </w:r>
          </w:p>
        </w:tc>
        <w:tc>
          <w:tcPr>
            <w:tcW w:w="4122" w:type="dxa"/>
            <w:noWrap w:val="0"/>
            <w:vAlign w:val="center"/>
          </w:tcPr>
          <w:p w14:paraId="3A39CC0D">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发生器类型</w:t>
            </w:r>
          </w:p>
        </w:tc>
        <w:tc>
          <w:tcPr>
            <w:tcW w:w="5323" w:type="dxa"/>
            <w:noWrap w:val="0"/>
            <w:vAlign w:val="center"/>
          </w:tcPr>
          <w:p w14:paraId="66082096">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高频逆变式</w:t>
            </w:r>
          </w:p>
        </w:tc>
      </w:tr>
      <w:tr w14:paraId="605D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13FF1E9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4.2</w:t>
            </w:r>
          </w:p>
        </w:tc>
        <w:tc>
          <w:tcPr>
            <w:tcW w:w="4122" w:type="dxa"/>
            <w:noWrap w:val="0"/>
            <w:vAlign w:val="center"/>
          </w:tcPr>
          <w:p w14:paraId="490D8ECB">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功率</w:t>
            </w:r>
          </w:p>
        </w:tc>
        <w:tc>
          <w:tcPr>
            <w:tcW w:w="5323" w:type="dxa"/>
            <w:noWrap w:val="0"/>
            <w:vAlign w:val="center"/>
          </w:tcPr>
          <w:p w14:paraId="013E6D92">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≥5KW</w:t>
            </w:r>
          </w:p>
        </w:tc>
      </w:tr>
      <w:tr w14:paraId="2D6AF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5AA19679">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4.3</w:t>
            </w:r>
          </w:p>
        </w:tc>
        <w:tc>
          <w:tcPr>
            <w:tcW w:w="4122" w:type="dxa"/>
            <w:noWrap w:val="0"/>
            <w:vAlign w:val="center"/>
          </w:tcPr>
          <w:p w14:paraId="65C56ADD">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高压发生器频率</w:t>
            </w:r>
          </w:p>
        </w:tc>
        <w:tc>
          <w:tcPr>
            <w:tcW w:w="5323" w:type="dxa"/>
            <w:noWrap w:val="0"/>
            <w:vAlign w:val="center"/>
          </w:tcPr>
          <w:p w14:paraId="0074D49B">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≥200kHz</w:t>
            </w:r>
          </w:p>
        </w:tc>
      </w:tr>
      <w:tr w14:paraId="17F09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5B12A31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4.4</w:t>
            </w:r>
          </w:p>
        </w:tc>
        <w:tc>
          <w:tcPr>
            <w:tcW w:w="4122" w:type="dxa"/>
            <w:noWrap w:val="0"/>
            <w:vAlign w:val="center"/>
          </w:tcPr>
          <w:p w14:paraId="6F9D893A">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最小曝光电压</w:t>
            </w:r>
          </w:p>
        </w:tc>
        <w:tc>
          <w:tcPr>
            <w:tcW w:w="5323" w:type="dxa"/>
            <w:noWrap w:val="0"/>
            <w:vAlign w:val="center"/>
          </w:tcPr>
          <w:p w14:paraId="6206AE70">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≤24Kv</w:t>
            </w:r>
          </w:p>
        </w:tc>
      </w:tr>
      <w:tr w14:paraId="78194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1BA76996">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4.5</w:t>
            </w:r>
          </w:p>
        </w:tc>
        <w:tc>
          <w:tcPr>
            <w:tcW w:w="4122" w:type="dxa"/>
            <w:noWrap w:val="0"/>
            <w:vAlign w:val="center"/>
          </w:tcPr>
          <w:p w14:paraId="36CD3272">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最大曝光电压</w:t>
            </w:r>
          </w:p>
        </w:tc>
        <w:tc>
          <w:tcPr>
            <w:tcW w:w="5323" w:type="dxa"/>
            <w:noWrap w:val="0"/>
            <w:vAlign w:val="center"/>
          </w:tcPr>
          <w:p w14:paraId="50D1363D">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≥45Kv</w:t>
            </w:r>
          </w:p>
        </w:tc>
      </w:tr>
      <w:tr w14:paraId="18E92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26F88B52">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4.6</w:t>
            </w:r>
          </w:p>
        </w:tc>
        <w:tc>
          <w:tcPr>
            <w:tcW w:w="4122" w:type="dxa"/>
            <w:noWrap w:val="0"/>
            <w:vAlign w:val="center"/>
          </w:tcPr>
          <w:p w14:paraId="7F586BD1">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最小mAs</w:t>
            </w:r>
          </w:p>
        </w:tc>
        <w:tc>
          <w:tcPr>
            <w:tcW w:w="5323" w:type="dxa"/>
            <w:noWrap w:val="0"/>
            <w:vAlign w:val="center"/>
          </w:tcPr>
          <w:p w14:paraId="448AB89E">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≤2mAs</w:t>
            </w:r>
          </w:p>
        </w:tc>
      </w:tr>
      <w:tr w14:paraId="4CF7F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0DF34078">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▲4.7</w:t>
            </w:r>
          </w:p>
        </w:tc>
        <w:tc>
          <w:tcPr>
            <w:tcW w:w="4122" w:type="dxa"/>
            <w:noWrap w:val="0"/>
            <w:vAlign w:val="center"/>
          </w:tcPr>
          <w:p w14:paraId="2BBA8634">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最大mAs</w:t>
            </w:r>
          </w:p>
        </w:tc>
        <w:tc>
          <w:tcPr>
            <w:tcW w:w="5323" w:type="dxa"/>
            <w:noWrap w:val="0"/>
            <w:vAlign w:val="center"/>
          </w:tcPr>
          <w:p w14:paraId="7A6509B7">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≥700 mAs</w:t>
            </w:r>
          </w:p>
        </w:tc>
      </w:tr>
      <w:tr w14:paraId="2A26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71CE0DAB">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五．</w:t>
            </w:r>
          </w:p>
        </w:tc>
        <w:tc>
          <w:tcPr>
            <w:tcW w:w="4122" w:type="dxa"/>
            <w:noWrap w:val="0"/>
            <w:vAlign w:val="center"/>
          </w:tcPr>
          <w:p w14:paraId="577F09AD">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立式摄影系统</w:t>
            </w:r>
          </w:p>
        </w:tc>
        <w:tc>
          <w:tcPr>
            <w:tcW w:w="5323" w:type="dxa"/>
            <w:noWrap w:val="0"/>
            <w:vAlign w:val="center"/>
          </w:tcPr>
          <w:p w14:paraId="0D755B19">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p>
        </w:tc>
      </w:tr>
      <w:tr w14:paraId="03205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63D0864C">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5.1</w:t>
            </w:r>
          </w:p>
        </w:tc>
        <w:tc>
          <w:tcPr>
            <w:tcW w:w="4122" w:type="dxa"/>
            <w:noWrap w:val="0"/>
            <w:vAlign w:val="center"/>
          </w:tcPr>
          <w:p w14:paraId="420EC751">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机架结构</w:t>
            </w:r>
          </w:p>
        </w:tc>
        <w:tc>
          <w:tcPr>
            <w:tcW w:w="5323" w:type="dxa"/>
            <w:noWrap w:val="0"/>
            <w:vAlign w:val="center"/>
          </w:tcPr>
          <w:p w14:paraId="0811E4B6">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一体化机架，C型臂设计</w:t>
            </w:r>
          </w:p>
        </w:tc>
      </w:tr>
      <w:tr w14:paraId="6ACBD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2F63B4C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▲5.2</w:t>
            </w:r>
          </w:p>
        </w:tc>
        <w:tc>
          <w:tcPr>
            <w:tcW w:w="4122" w:type="dxa"/>
            <w:noWrap w:val="0"/>
            <w:vAlign w:val="center"/>
          </w:tcPr>
          <w:p w14:paraId="439CAE6E">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摄影平台调节高低</w:t>
            </w:r>
          </w:p>
        </w:tc>
        <w:tc>
          <w:tcPr>
            <w:tcW w:w="5323" w:type="dxa"/>
            <w:noWrap w:val="0"/>
            <w:vAlign w:val="center"/>
          </w:tcPr>
          <w:p w14:paraId="555FD28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≥80cm</w:t>
            </w:r>
          </w:p>
        </w:tc>
      </w:tr>
      <w:tr w14:paraId="6BDD0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6507CC37">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5.3</w:t>
            </w:r>
          </w:p>
        </w:tc>
        <w:tc>
          <w:tcPr>
            <w:tcW w:w="4122" w:type="dxa"/>
            <w:noWrap w:val="0"/>
            <w:vAlign w:val="center"/>
          </w:tcPr>
          <w:p w14:paraId="562F7144">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摄影平台最低高度</w:t>
            </w:r>
          </w:p>
        </w:tc>
        <w:tc>
          <w:tcPr>
            <w:tcW w:w="5323" w:type="dxa"/>
            <w:noWrap w:val="0"/>
            <w:vAlign w:val="center"/>
          </w:tcPr>
          <w:p w14:paraId="1A2EAAB2">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≤70cm</w:t>
            </w:r>
          </w:p>
        </w:tc>
      </w:tr>
      <w:tr w14:paraId="13581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1BD00AF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5.4</w:t>
            </w:r>
          </w:p>
        </w:tc>
        <w:tc>
          <w:tcPr>
            <w:tcW w:w="4122" w:type="dxa"/>
            <w:noWrap w:val="0"/>
            <w:vAlign w:val="center"/>
          </w:tcPr>
          <w:p w14:paraId="456C74B0">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摄影臂旋转角度（起始位置按0°位置计算）</w:t>
            </w:r>
          </w:p>
        </w:tc>
        <w:tc>
          <w:tcPr>
            <w:tcW w:w="5323" w:type="dxa"/>
            <w:noWrap w:val="0"/>
            <w:vAlign w:val="center"/>
          </w:tcPr>
          <w:p w14:paraId="46B718DD">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≥±180°</w:t>
            </w:r>
          </w:p>
        </w:tc>
      </w:tr>
      <w:tr w14:paraId="6ABD8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625E2236">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5.5</w:t>
            </w:r>
          </w:p>
        </w:tc>
        <w:tc>
          <w:tcPr>
            <w:tcW w:w="4122" w:type="dxa"/>
            <w:noWrap w:val="0"/>
            <w:vAlign w:val="center"/>
          </w:tcPr>
          <w:p w14:paraId="7954B8F7">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具有镜向角度记忆功能，可一键式摆位，快捷准确</w:t>
            </w:r>
          </w:p>
        </w:tc>
        <w:tc>
          <w:tcPr>
            <w:tcW w:w="5323" w:type="dxa"/>
            <w:noWrap w:val="0"/>
            <w:vAlign w:val="center"/>
          </w:tcPr>
          <w:p w14:paraId="1D20C5D1">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41B6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04C27640">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5.6</w:t>
            </w:r>
          </w:p>
        </w:tc>
        <w:tc>
          <w:tcPr>
            <w:tcW w:w="4122" w:type="dxa"/>
            <w:noWrap w:val="0"/>
            <w:vAlign w:val="center"/>
          </w:tcPr>
          <w:p w14:paraId="57AA212B">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SID</w:t>
            </w:r>
          </w:p>
        </w:tc>
        <w:tc>
          <w:tcPr>
            <w:tcW w:w="5323" w:type="dxa"/>
            <w:noWrap w:val="0"/>
            <w:vAlign w:val="center"/>
          </w:tcPr>
          <w:p w14:paraId="66665D09">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≤65cm</w:t>
            </w:r>
          </w:p>
        </w:tc>
      </w:tr>
      <w:tr w14:paraId="68C6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435DE0DB">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5.7</w:t>
            </w:r>
          </w:p>
        </w:tc>
        <w:tc>
          <w:tcPr>
            <w:tcW w:w="4122" w:type="dxa"/>
            <w:noWrap w:val="0"/>
            <w:vAlign w:val="center"/>
          </w:tcPr>
          <w:p w14:paraId="4973951F">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附件：两对可控制压迫板及摄影臂运动的脚踏板</w:t>
            </w:r>
          </w:p>
        </w:tc>
        <w:tc>
          <w:tcPr>
            <w:tcW w:w="5323" w:type="dxa"/>
            <w:noWrap w:val="0"/>
            <w:vAlign w:val="center"/>
          </w:tcPr>
          <w:p w14:paraId="75407DB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78E7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7720E811">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5.8</w:t>
            </w:r>
          </w:p>
        </w:tc>
        <w:tc>
          <w:tcPr>
            <w:tcW w:w="4122" w:type="dxa"/>
            <w:noWrap w:val="0"/>
            <w:vAlign w:val="center"/>
          </w:tcPr>
          <w:p w14:paraId="6508DB4F">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机架两边具有升降、旋转电动控制按钮</w:t>
            </w:r>
          </w:p>
        </w:tc>
        <w:tc>
          <w:tcPr>
            <w:tcW w:w="5323" w:type="dxa"/>
            <w:noWrap w:val="0"/>
            <w:vAlign w:val="center"/>
          </w:tcPr>
          <w:p w14:paraId="784F09FD">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270B8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5" w:hRule="atLeast"/>
          <w:jc w:val="center"/>
        </w:trPr>
        <w:tc>
          <w:tcPr>
            <w:tcW w:w="0" w:type="auto"/>
            <w:noWrap w:val="0"/>
            <w:vAlign w:val="center"/>
          </w:tcPr>
          <w:p w14:paraId="685E27A7">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5.9</w:t>
            </w:r>
          </w:p>
        </w:tc>
        <w:tc>
          <w:tcPr>
            <w:tcW w:w="4122" w:type="dxa"/>
            <w:noWrap w:val="0"/>
            <w:vAlign w:val="center"/>
          </w:tcPr>
          <w:p w14:paraId="179D2456">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数码显示屏位于X线机架的底座上，可显示角度、厚度、压力和病人姓名等信息，易于观察，不易被遮挡</w:t>
            </w:r>
          </w:p>
        </w:tc>
        <w:tc>
          <w:tcPr>
            <w:tcW w:w="5323" w:type="dxa"/>
            <w:noWrap w:val="0"/>
            <w:vAlign w:val="center"/>
          </w:tcPr>
          <w:p w14:paraId="79E78D2E">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2B4C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390AFF34">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六.</w:t>
            </w:r>
          </w:p>
        </w:tc>
        <w:tc>
          <w:tcPr>
            <w:tcW w:w="4122" w:type="dxa"/>
            <w:noWrap w:val="0"/>
            <w:vAlign w:val="center"/>
          </w:tcPr>
          <w:p w14:paraId="4DDA437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平板探测器</w:t>
            </w:r>
          </w:p>
        </w:tc>
        <w:tc>
          <w:tcPr>
            <w:tcW w:w="5323" w:type="dxa"/>
            <w:noWrap w:val="0"/>
            <w:vAlign w:val="center"/>
          </w:tcPr>
          <w:p w14:paraId="17E4796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p>
        </w:tc>
      </w:tr>
      <w:tr w14:paraId="26EF5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13AFA618">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▲6.1</w:t>
            </w:r>
          </w:p>
        </w:tc>
        <w:tc>
          <w:tcPr>
            <w:tcW w:w="4122" w:type="dxa"/>
            <w:noWrap w:val="0"/>
            <w:vAlign w:val="center"/>
          </w:tcPr>
          <w:p w14:paraId="5355EA3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探测器材料</w:t>
            </w:r>
          </w:p>
        </w:tc>
        <w:tc>
          <w:tcPr>
            <w:tcW w:w="5323" w:type="dxa"/>
            <w:noWrap w:val="0"/>
            <w:vAlign w:val="center"/>
          </w:tcPr>
          <w:p w14:paraId="220737FB">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非晶硒平板探测器</w:t>
            </w:r>
          </w:p>
        </w:tc>
      </w:tr>
      <w:tr w14:paraId="7DF87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2427791E">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6.2</w:t>
            </w:r>
          </w:p>
        </w:tc>
        <w:tc>
          <w:tcPr>
            <w:tcW w:w="4122" w:type="dxa"/>
            <w:noWrap w:val="0"/>
            <w:vAlign w:val="center"/>
          </w:tcPr>
          <w:p w14:paraId="448776C9">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GB" w:eastAsia="zh-CN" w:bidi="ar-SA"/>
              </w:rPr>
            </w:pPr>
            <w:r>
              <w:rPr>
                <w:rFonts w:hint="eastAsia" w:ascii="微软雅黑" w:hAnsi="微软雅黑" w:eastAsia="微软雅黑" w:cs="微软雅黑"/>
                <w:b w:val="0"/>
                <w:color w:val="000000"/>
                <w:sz w:val="24"/>
                <w:szCs w:val="24"/>
                <w:highlight w:val="none"/>
                <w:lang w:val="en-GB" w:eastAsia="zh-CN" w:bidi="ar-SA"/>
              </w:rPr>
              <w:t>DQE at 1 lp/mm</w:t>
            </w:r>
          </w:p>
        </w:tc>
        <w:tc>
          <w:tcPr>
            <w:tcW w:w="5323" w:type="dxa"/>
            <w:noWrap w:val="0"/>
            <w:vAlign w:val="center"/>
          </w:tcPr>
          <w:p w14:paraId="675C77A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≥60%</w:t>
            </w:r>
          </w:p>
        </w:tc>
      </w:tr>
      <w:tr w14:paraId="50017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4AD6C6DD">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▲6.3</w:t>
            </w:r>
          </w:p>
        </w:tc>
        <w:tc>
          <w:tcPr>
            <w:tcW w:w="4122" w:type="dxa"/>
            <w:noWrap w:val="0"/>
            <w:vAlign w:val="center"/>
          </w:tcPr>
          <w:p w14:paraId="705B64DB">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探测器有效成像野</w:t>
            </w:r>
          </w:p>
        </w:tc>
        <w:tc>
          <w:tcPr>
            <w:tcW w:w="5323" w:type="dxa"/>
            <w:noWrap w:val="0"/>
            <w:vAlign w:val="center"/>
          </w:tcPr>
          <w:p w14:paraId="56CB8A10">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≥24X30cm</w:t>
            </w:r>
          </w:p>
        </w:tc>
      </w:tr>
      <w:tr w14:paraId="4D412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7F34DC92">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6.4</w:t>
            </w:r>
          </w:p>
        </w:tc>
        <w:tc>
          <w:tcPr>
            <w:tcW w:w="4122" w:type="dxa"/>
            <w:noWrap w:val="0"/>
            <w:vAlign w:val="center"/>
          </w:tcPr>
          <w:p w14:paraId="7C614564">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平板有效像素</w:t>
            </w:r>
          </w:p>
        </w:tc>
        <w:tc>
          <w:tcPr>
            <w:tcW w:w="5323" w:type="dxa"/>
            <w:noWrap w:val="0"/>
            <w:vAlign w:val="center"/>
          </w:tcPr>
          <w:p w14:paraId="2885359B">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≥1000万</w:t>
            </w:r>
          </w:p>
        </w:tc>
      </w:tr>
      <w:tr w14:paraId="344A6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7AA75AF6">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6.5</w:t>
            </w:r>
          </w:p>
        </w:tc>
        <w:tc>
          <w:tcPr>
            <w:tcW w:w="4122" w:type="dxa"/>
            <w:noWrap w:val="0"/>
            <w:vAlign w:val="center"/>
          </w:tcPr>
          <w:p w14:paraId="207F247B">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平板像素大小</w:t>
            </w:r>
          </w:p>
        </w:tc>
        <w:tc>
          <w:tcPr>
            <w:tcW w:w="5323" w:type="dxa"/>
            <w:noWrap w:val="0"/>
            <w:vAlign w:val="center"/>
          </w:tcPr>
          <w:p w14:paraId="619E169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≤85 μm</w:t>
            </w:r>
          </w:p>
        </w:tc>
      </w:tr>
      <w:tr w14:paraId="13169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0440052A">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6.6</w:t>
            </w:r>
          </w:p>
        </w:tc>
        <w:tc>
          <w:tcPr>
            <w:tcW w:w="4122" w:type="dxa"/>
            <w:noWrap w:val="0"/>
            <w:vAlign w:val="center"/>
          </w:tcPr>
          <w:p w14:paraId="1FD20080">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空间分辨率（FFDM模式）</w:t>
            </w:r>
          </w:p>
        </w:tc>
        <w:tc>
          <w:tcPr>
            <w:tcW w:w="5323" w:type="dxa"/>
            <w:noWrap w:val="0"/>
            <w:vAlign w:val="center"/>
          </w:tcPr>
          <w:p w14:paraId="363FB92D">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≥5.8lp/mm</w:t>
            </w:r>
          </w:p>
        </w:tc>
      </w:tr>
      <w:tr w14:paraId="4669E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1CC94931">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6.7</w:t>
            </w:r>
          </w:p>
        </w:tc>
        <w:tc>
          <w:tcPr>
            <w:tcW w:w="4122" w:type="dxa"/>
            <w:noWrap w:val="0"/>
            <w:vAlign w:val="center"/>
          </w:tcPr>
          <w:p w14:paraId="083C7B51">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空间分辨率（DBT模式）</w:t>
            </w:r>
          </w:p>
        </w:tc>
        <w:tc>
          <w:tcPr>
            <w:tcW w:w="5323" w:type="dxa"/>
            <w:noWrap w:val="0"/>
            <w:vAlign w:val="center"/>
          </w:tcPr>
          <w:p w14:paraId="5818F57E">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≥5.8lp/mm</w:t>
            </w:r>
          </w:p>
        </w:tc>
      </w:tr>
      <w:tr w14:paraId="2FE37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38624F9E">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6.8</w:t>
            </w:r>
          </w:p>
        </w:tc>
        <w:tc>
          <w:tcPr>
            <w:tcW w:w="4122" w:type="dxa"/>
            <w:noWrap w:val="0"/>
            <w:vAlign w:val="center"/>
          </w:tcPr>
          <w:p w14:paraId="6A97C9CC">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平板模数转换深度</w:t>
            </w:r>
          </w:p>
        </w:tc>
        <w:tc>
          <w:tcPr>
            <w:tcW w:w="5323" w:type="dxa"/>
            <w:noWrap w:val="0"/>
            <w:vAlign w:val="center"/>
          </w:tcPr>
          <w:p w14:paraId="3AD50EB1">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16bit</w:t>
            </w:r>
          </w:p>
        </w:tc>
      </w:tr>
      <w:tr w14:paraId="7F0D6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0" w:type="auto"/>
            <w:noWrap w:val="0"/>
            <w:vAlign w:val="center"/>
          </w:tcPr>
          <w:p w14:paraId="40D7EA1F">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6.9</w:t>
            </w:r>
          </w:p>
        </w:tc>
        <w:tc>
          <w:tcPr>
            <w:tcW w:w="4122" w:type="dxa"/>
            <w:noWrap w:val="0"/>
            <w:vAlign w:val="center"/>
          </w:tcPr>
          <w:p w14:paraId="4430CAA6">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AEC探测：能够自动识别乳腺覆盖区域，并对整个乳腺探测区域进行投照剂量的探测</w:t>
            </w:r>
          </w:p>
        </w:tc>
        <w:tc>
          <w:tcPr>
            <w:tcW w:w="5323" w:type="dxa"/>
            <w:noWrap w:val="0"/>
            <w:vAlign w:val="center"/>
          </w:tcPr>
          <w:p w14:paraId="480098F2">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1169D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7B73474E">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七．</w:t>
            </w:r>
          </w:p>
        </w:tc>
        <w:tc>
          <w:tcPr>
            <w:tcW w:w="4122" w:type="dxa"/>
            <w:noWrap w:val="0"/>
            <w:vAlign w:val="center"/>
          </w:tcPr>
          <w:p w14:paraId="6B31CB2B">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压迫系统</w:t>
            </w:r>
          </w:p>
        </w:tc>
        <w:tc>
          <w:tcPr>
            <w:tcW w:w="5323" w:type="dxa"/>
            <w:noWrap w:val="0"/>
            <w:vAlign w:val="center"/>
          </w:tcPr>
          <w:p w14:paraId="4EEB05AF">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p>
        </w:tc>
      </w:tr>
      <w:tr w14:paraId="682E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52C0B444">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7.1</w:t>
            </w:r>
          </w:p>
        </w:tc>
        <w:tc>
          <w:tcPr>
            <w:tcW w:w="4122" w:type="dxa"/>
            <w:noWrap w:val="0"/>
            <w:vAlign w:val="center"/>
          </w:tcPr>
          <w:p w14:paraId="0020B09A">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压迫方式</w:t>
            </w:r>
          </w:p>
        </w:tc>
        <w:tc>
          <w:tcPr>
            <w:tcW w:w="5323" w:type="dxa"/>
            <w:noWrap w:val="0"/>
            <w:vAlign w:val="center"/>
          </w:tcPr>
          <w:p w14:paraId="5458727F">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手动和电动</w:t>
            </w:r>
          </w:p>
        </w:tc>
      </w:tr>
      <w:tr w14:paraId="1C25E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79F5C3B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7.2</w:t>
            </w:r>
          </w:p>
        </w:tc>
        <w:tc>
          <w:tcPr>
            <w:tcW w:w="4122" w:type="dxa"/>
            <w:noWrap w:val="0"/>
            <w:vAlign w:val="center"/>
          </w:tcPr>
          <w:p w14:paraId="397418D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曝光后自动解压</w:t>
            </w:r>
          </w:p>
        </w:tc>
        <w:tc>
          <w:tcPr>
            <w:tcW w:w="5323" w:type="dxa"/>
            <w:noWrap w:val="0"/>
            <w:vAlign w:val="center"/>
          </w:tcPr>
          <w:p w14:paraId="1533C068">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20CCD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6011FFC1">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7.3</w:t>
            </w:r>
          </w:p>
        </w:tc>
        <w:tc>
          <w:tcPr>
            <w:tcW w:w="4122" w:type="dxa"/>
            <w:noWrap w:val="0"/>
            <w:vAlign w:val="center"/>
          </w:tcPr>
          <w:p w14:paraId="11721988">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智能压迫技术，可在到达最适宜的压力时自动停止压迫</w:t>
            </w:r>
          </w:p>
        </w:tc>
        <w:tc>
          <w:tcPr>
            <w:tcW w:w="5323" w:type="dxa"/>
            <w:noWrap w:val="0"/>
            <w:vAlign w:val="center"/>
          </w:tcPr>
          <w:p w14:paraId="679870DB">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0F9E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391D8CBE">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7.4</w:t>
            </w:r>
          </w:p>
        </w:tc>
        <w:tc>
          <w:tcPr>
            <w:tcW w:w="4122" w:type="dxa"/>
            <w:noWrap w:val="0"/>
            <w:vAlign w:val="center"/>
          </w:tcPr>
          <w:p w14:paraId="0DDF9D91">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压迫板</w:t>
            </w:r>
          </w:p>
        </w:tc>
        <w:tc>
          <w:tcPr>
            <w:tcW w:w="5323" w:type="dxa"/>
            <w:noWrap w:val="0"/>
            <w:vAlign w:val="center"/>
          </w:tcPr>
          <w:p w14:paraId="637C4A09">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≥5个</w:t>
            </w:r>
          </w:p>
        </w:tc>
      </w:tr>
      <w:tr w14:paraId="3137E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51C94DFE">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八．</w:t>
            </w:r>
          </w:p>
        </w:tc>
        <w:tc>
          <w:tcPr>
            <w:tcW w:w="4122" w:type="dxa"/>
            <w:noWrap w:val="0"/>
            <w:vAlign w:val="center"/>
          </w:tcPr>
          <w:p w14:paraId="6EBEC73B">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滤线栅</w:t>
            </w:r>
          </w:p>
        </w:tc>
        <w:tc>
          <w:tcPr>
            <w:tcW w:w="5323" w:type="dxa"/>
            <w:noWrap w:val="0"/>
            <w:vAlign w:val="center"/>
          </w:tcPr>
          <w:p w14:paraId="4A83B1C8">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p>
        </w:tc>
      </w:tr>
      <w:tr w14:paraId="52D0A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5457604E">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8.1</w:t>
            </w:r>
          </w:p>
        </w:tc>
        <w:tc>
          <w:tcPr>
            <w:tcW w:w="4122" w:type="dxa"/>
            <w:noWrap w:val="0"/>
            <w:vAlign w:val="center"/>
          </w:tcPr>
          <w:p w14:paraId="710AC1E2">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数字滤线栅</w:t>
            </w:r>
          </w:p>
        </w:tc>
        <w:tc>
          <w:tcPr>
            <w:tcW w:w="5323" w:type="dxa"/>
            <w:noWrap w:val="0"/>
            <w:vAlign w:val="center"/>
          </w:tcPr>
          <w:p w14:paraId="4E56FEEF">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41ECF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25333EAE">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九．</w:t>
            </w:r>
          </w:p>
        </w:tc>
        <w:tc>
          <w:tcPr>
            <w:tcW w:w="4122" w:type="dxa"/>
            <w:noWrap w:val="0"/>
            <w:vAlign w:val="center"/>
          </w:tcPr>
          <w:p w14:paraId="694E9582">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低剂量技术</w:t>
            </w:r>
          </w:p>
        </w:tc>
        <w:tc>
          <w:tcPr>
            <w:tcW w:w="5323" w:type="dxa"/>
            <w:noWrap w:val="0"/>
            <w:vAlign w:val="center"/>
          </w:tcPr>
          <w:p w14:paraId="495CAFC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p>
        </w:tc>
      </w:tr>
      <w:tr w14:paraId="3752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652EE721">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9.1</w:t>
            </w:r>
          </w:p>
        </w:tc>
        <w:tc>
          <w:tcPr>
            <w:tcW w:w="4122" w:type="dxa"/>
            <w:noWrap w:val="0"/>
            <w:vAlign w:val="center"/>
          </w:tcPr>
          <w:p w14:paraId="74AC757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具备乳腺专用低剂量技术，可在不损失图像质量情况下有效降低辐射剂量</w:t>
            </w:r>
          </w:p>
        </w:tc>
        <w:tc>
          <w:tcPr>
            <w:tcW w:w="5323" w:type="dxa"/>
            <w:noWrap w:val="0"/>
            <w:vAlign w:val="center"/>
          </w:tcPr>
          <w:p w14:paraId="6124E2FA">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 xml:space="preserve">在不损失图像质量情况下有效降低辐射剂量≥10% </w:t>
            </w:r>
          </w:p>
        </w:tc>
      </w:tr>
      <w:tr w14:paraId="20C73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008407AB">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十．</w:t>
            </w:r>
          </w:p>
        </w:tc>
        <w:tc>
          <w:tcPr>
            <w:tcW w:w="4122" w:type="dxa"/>
            <w:noWrap w:val="0"/>
            <w:vAlign w:val="center"/>
          </w:tcPr>
          <w:p w14:paraId="709A402C">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图像采集工作站</w:t>
            </w:r>
          </w:p>
        </w:tc>
        <w:tc>
          <w:tcPr>
            <w:tcW w:w="5323" w:type="dxa"/>
            <w:noWrap w:val="0"/>
            <w:vAlign w:val="center"/>
          </w:tcPr>
          <w:p w14:paraId="2F411EB4">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p>
        </w:tc>
      </w:tr>
      <w:tr w14:paraId="70D6F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169FDCEB">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10.1</w:t>
            </w:r>
          </w:p>
        </w:tc>
        <w:tc>
          <w:tcPr>
            <w:tcW w:w="4122" w:type="dxa"/>
            <w:noWrap w:val="0"/>
            <w:vAlign w:val="center"/>
          </w:tcPr>
          <w:p w14:paraId="0BA80DAA">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曝光参数设置与图像采集一体式操作界面</w:t>
            </w:r>
          </w:p>
        </w:tc>
        <w:tc>
          <w:tcPr>
            <w:tcW w:w="5323" w:type="dxa"/>
            <w:noWrap w:val="0"/>
            <w:vAlign w:val="center"/>
          </w:tcPr>
          <w:p w14:paraId="3593D399">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34C1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3BEFE394">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10.2</w:t>
            </w:r>
          </w:p>
        </w:tc>
        <w:tc>
          <w:tcPr>
            <w:tcW w:w="4122" w:type="dxa"/>
            <w:noWrap w:val="0"/>
            <w:vAlign w:val="center"/>
          </w:tcPr>
          <w:p w14:paraId="3ECED9D2">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CPU</w:t>
            </w:r>
          </w:p>
        </w:tc>
        <w:tc>
          <w:tcPr>
            <w:tcW w:w="5323" w:type="dxa"/>
            <w:noWrap w:val="0"/>
            <w:vAlign w:val="center"/>
          </w:tcPr>
          <w:p w14:paraId="155F56EC">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四核CPU≥3.2GHz</w:t>
            </w:r>
          </w:p>
        </w:tc>
      </w:tr>
      <w:tr w14:paraId="40320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5A99207E">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10.3</w:t>
            </w:r>
          </w:p>
        </w:tc>
        <w:tc>
          <w:tcPr>
            <w:tcW w:w="4122" w:type="dxa"/>
            <w:noWrap w:val="0"/>
            <w:vAlign w:val="center"/>
          </w:tcPr>
          <w:p w14:paraId="4AE682C0">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硬盘</w:t>
            </w:r>
          </w:p>
        </w:tc>
        <w:tc>
          <w:tcPr>
            <w:tcW w:w="5323" w:type="dxa"/>
            <w:noWrap w:val="0"/>
            <w:vAlign w:val="center"/>
          </w:tcPr>
          <w:p w14:paraId="370BEA6B">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≥4TB</w:t>
            </w:r>
          </w:p>
        </w:tc>
      </w:tr>
      <w:tr w14:paraId="390F6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73F4FA79">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10.4</w:t>
            </w:r>
          </w:p>
        </w:tc>
        <w:tc>
          <w:tcPr>
            <w:tcW w:w="4122" w:type="dxa"/>
            <w:noWrap w:val="0"/>
            <w:vAlign w:val="center"/>
          </w:tcPr>
          <w:p w14:paraId="74DAD8F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内存</w:t>
            </w:r>
          </w:p>
        </w:tc>
        <w:tc>
          <w:tcPr>
            <w:tcW w:w="5323" w:type="dxa"/>
            <w:noWrap w:val="0"/>
            <w:vAlign w:val="center"/>
          </w:tcPr>
          <w:p w14:paraId="59D702BF">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≥32GB</w:t>
            </w:r>
          </w:p>
        </w:tc>
      </w:tr>
      <w:tr w14:paraId="7008A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73AEE001">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10.5</w:t>
            </w:r>
          </w:p>
        </w:tc>
        <w:tc>
          <w:tcPr>
            <w:tcW w:w="4122" w:type="dxa"/>
            <w:noWrap w:val="0"/>
            <w:vAlign w:val="center"/>
          </w:tcPr>
          <w:p w14:paraId="66CB1A87">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可存储图像容量</w:t>
            </w:r>
          </w:p>
        </w:tc>
        <w:tc>
          <w:tcPr>
            <w:tcW w:w="5323" w:type="dxa"/>
            <w:noWrap w:val="0"/>
            <w:vAlign w:val="center"/>
          </w:tcPr>
          <w:p w14:paraId="5FD596DA">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≥140000幅</w:t>
            </w:r>
          </w:p>
        </w:tc>
      </w:tr>
      <w:tr w14:paraId="1D15C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01E8F8DB">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10.6</w:t>
            </w:r>
          </w:p>
        </w:tc>
        <w:tc>
          <w:tcPr>
            <w:tcW w:w="4122" w:type="dxa"/>
            <w:noWrap w:val="0"/>
            <w:vAlign w:val="center"/>
          </w:tcPr>
          <w:p w14:paraId="2F7E9496">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监视器尺寸</w:t>
            </w:r>
          </w:p>
        </w:tc>
        <w:tc>
          <w:tcPr>
            <w:tcW w:w="5323" w:type="dxa"/>
            <w:noWrap w:val="0"/>
            <w:vAlign w:val="center"/>
          </w:tcPr>
          <w:p w14:paraId="3CA8A52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≥21英寸</w:t>
            </w:r>
          </w:p>
        </w:tc>
      </w:tr>
      <w:tr w14:paraId="3D9C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0" w:type="auto"/>
            <w:noWrap w:val="0"/>
            <w:vAlign w:val="center"/>
          </w:tcPr>
          <w:p w14:paraId="63D3FA08">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10.7</w:t>
            </w:r>
          </w:p>
        </w:tc>
        <w:tc>
          <w:tcPr>
            <w:tcW w:w="4122" w:type="dxa"/>
            <w:noWrap w:val="0"/>
            <w:vAlign w:val="center"/>
          </w:tcPr>
          <w:p w14:paraId="3CB639C6">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病人数据可手动输入，也可通过DICOM Worklist从HIS/RIS中直接获取</w:t>
            </w:r>
          </w:p>
        </w:tc>
        <w:tc>
          <w:tcPr>
            <w:tcW w:w="5323" w:type="dxa"/>
            <w:noWrap w:val="0"/>
            <w:vAlign w:val="center"/>
          </w:tcPr>
          <w:p w14:paraId="379E9E74">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6B4A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0" w:type="auto"/>
            <w:noWrap w:val="0"/>
            <w:vAlign w:val="center"/>
          </w:tcPr>
          <w:p w14:paraId="4172B5CA">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10.8</w:t>
            </w:r>
          </w:p>
        </w:tc>
        <w:tc>
          <w:tcPr>
            <w:tcW w:w="4122" w:type="dxa"/>
            <w:noWrap w:val="0"/>
            <w:vAlign w:val="center"/>
          </w:tcPr>
          <w:p w14:paraId="6F123524">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一键成像功能，直接点击曝光按钮获取图像，无需选择摆位体位</w:t>
            </w:r>
          </w:p>
        </w:tc>
        <w:tc>
          <w:tcPr>
            <w:tcW w:w="5323" w:type="dxa"/>
            <w:noWrap w:val="0"/>
            <w:vAlign w:val="center"/>
          </w:tcPr>
          <w:p w14:paraId="372F73E0">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0C834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1D5ACD2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10.9</w:t>
            </w:r>
          </w:p>
        </w:tc>
        <w:tc>
          <w:tcPr>
            <w:tcW w:w="4122" w:type="dxa"/>
            <w:noWrap w:val="0"/>
            <w:vAlign w:val="center"/>
          </w:tcPr>
          <w:p w14:paraId="46EE049D">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可在采集工作站上同时浏览CT/MR/US等设备图像</w:t>
            </w:r>
          </w:p>
        </w:tc>
        <w:tc>
          <w:tcPr>
            <w:tcW w:w="5323" w:type="dxa"/>
            <w:noWrap w:val="0"/>
            <w:vAlign w:val="center"/>
          </w:tcPr>
          <w:p w14:paraId="30B09B8B">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7201A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65F400C0">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10.10</w:t>
            </w:r>
          </w:p>
        </w:tc>
        <w:tc>
          <w:tcPr>
            <w:tcW w:w="4122" w:type="dxa"/>
            <w:noWrap w:val="0"/>
            <w:vAlign w:val="center"/>
          </w:tcPr>
          <w:p w14:paraId="76634FB8">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检查过程中可随时自由插入或添加新的投照位</w:t>
            </w:r>
          </w:p>
        </w:tc>
        <w:tc>
          <w:tcPr>
            <w:tcW w:w="5323" w:type="dxa"/>
            <w:noWrap w:val="0"/>
            <w:vAlign w:val="center"/>
          </w:tcPr>
          <w:p w14:paraId="0F8A146C">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66E20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382395CA">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10.11</w:t>
            </w:r>
          </w:p>
        </w:tc>
        <w:tc>
          <w:tcPr>
            <w:tcW w:w="4122" w:type="dxa"/>
            <w:noWrap w:val="0"/>
            <w:vAlign w:val="center"/>
          </w:tcPr>
          <w:p w14:paraId="7C9889B8">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可通过软件界面设置最大安全压力值</w:t>
            </w:r>
          </w:p>
        </w:tc>
        <w:tc>
          <w:tcPr>
            <w:tcW w:w="5323" w:type="dxa"/>
            <w:noWrap w:val="0"/>
            <w:vAlign w:val="center"/>
          </w:tcPr>
          <w:p w14:paraId="39B7D838">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0FE4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454558D8">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10.12</w:t>
            </w:r>
          </w:p>
        </w:tc>
        <w:tc>
          <w:tcPr>
            <w:tcW w:w="4122" w:type="dxa"/>
            <w:noWrap w:val="0"/>
            <w:vAlign w:val="center"/>
          </w:tcPr>
          <w:p w14:paraId="13F676BF">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可自由预设多个不同检查流程满足各种临床应用</w:t>
            </w:r>
          </w:p>
        </w:tc>
        <w:tc>
          <w:tcPr>
            <w:tcW w:w="5323" w:type="dxa"/>
            <w:noWrap w:val="0"/>
            <w:vAlign w:val="center"/>
          </w:tcPr>
          <w:p w14:paraId="7535620B">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4D0C6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4C18563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10.13</w:t>
            </w:r>
          </w:p>
        </w:tc>
        <w:tc>
          <w:tcPr>
            <w:tcW w:w="4122" w:type="dxa"/>
            <w:noWrap w:val="0"/>
            <w:vAlign w:val="center"/>
          </w:tcPr>
          <w:p w14:paraId="1EBEABE8">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具有多种过滤条件对数据库病人资料进行过滤选择</w:t>
            </w:r>
          </w:p>
        </w:tc>
        <w:tc>
          <w:tcPr>
            <w:tcW w:w="5323" w:type="dxa"/>
            <w:noWrap w:val="0"/>
            <w:vAlign w:val="center"/>
          </w:tcPr>
          <w:p w14:paraId="44530B8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6804F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1BA0794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10.14</w:t>
            </w:r>
          </w:p>
        </w:tc>
        <w:tc>
          <w:tcPr>
            <w:tcW w:w="4122" w:type="dxa"/>
            <w:noWrap w:val="0"/>
            <w:vAlign w:val="center"/>
          </w:tcPr>
          <w:p w14:paraId="3B6EC060">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专用于女性乳腺图像的处理程序</w:t>
            </w:r>
          </w:p>
        </w:tc>
        <w:tc>
          <w:tcPr>
            <w:tcW w:w="5323" w:type="dxa"/>
            <w:noWrap w:val="0"/>
            <w:vAlign w:val="center"/>
          </w:tcPr>
          <w:p w14:paraId="6D074EF8">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424C6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57F86E0D">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10.15</w:t>
            </w:r>
          </w:p>
        </w:tc>
        <w:tc>
          <w:tcPr>
            <w:tcW w:w="4122" w:type="dxa"/>
            <w:noWrap w:val="0"/>
            <w:vAlign w:val="center"/>
          </w:tcPr>
          <w:p w14:paraId="775FDBEA">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专用于带假体图像的处理方式</w:t>
            </w:r>
          </w:p>
        </w:tc>
        <w:tc>
          <w:tcPr>
            <w:tcW w:w="5323" w:type="dxa"/>
            <w:noWrap w:val="0"/>
            <w:vAlign w:val="center"/>
          </w:tcPr>
          <w:p w14:paraId="68CA02CA">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6155E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2B701847">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10.16</w:t>
            </w:r>
          </w:p>
        </w:tc>
        <w:tc>
          <w:tcPr>
            <w:tcW w:w="4122" w:type="dxa"/>
            <w:noWrap w:val="0"/>
            <w:vAlign w:val="center"/>
          </w:tcPr>
          <w:p w14:paraId="5CD860B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多等级对比度/亮度图像处理</w:t>
            </w:r>
          </w:p>
        </w:tc>
        <w:tc>
          <w:tcPr>
            <w:tcW w:w="5323" w:type="dxa"/>
            <w:noWrap w:val="0"/>
            <w:vAlign w:val="center"/>
          </w:tcPr>
          <w:p w14:paraId="40C22F1C">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66B2B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7D72716F">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10.17</w:t>
            </w:r>
          </w:p>
        </w:tc>
        <w:tc>
          <w:tcPr>
            <w:tcW w:w="4122" w:type="dxa"/>
            <w:noWrap w:val="0"/>
            <w:vAlign w:val="center"/>
          </w:tcPr>
          <w:p w14:paraId="5A037742">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图像输出接口</w:t>
            </w:r>
          </w:p>
        </w:tc>
        <w:tc>
          <w:tcPr>
            <w:tcW w:w="5323" w:type="dxa"/>
            <w:noWrap w:val="0"/>
            <w:vAlign w:val="center"/>
          </w:tcPr>
          <w:p w14:paraId="515B7890">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DICOM 3.0通用数字接口</w:t>
            </w:r>
          </w:p>
        </w:tc>
      </w:tr>
      <w:tr w14:paraId="4B69D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74190D38">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10.18</w:t>
            </w:r>
          </w:p>
        </w:tc>
        <w:tc>
          <w:tcPr>
            <w:tcW w:w="4122" w:type="dxa"/>
            <w:noWrap w:val="0"/>
            <w:vAlign w:val="center"/>
          </w:tcPr>
          <w:p w14:paraId="4F8E5AA1">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可进行光盘刻录</w:t>
            </w:r>
          </w:p>
        </w:tc>
        <w:tc>
          <w:tcPr>
            <w:tcW w:w="5323" w:type="dxa"/>
            <w:noWrap w:val="0"/>
            <w:vAlign w:val="center"/>
          </w:tcPr>
          <w:p w14:paraId="181C6D4D">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32559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0" w:type="auto"/>
            <w:noWrap w:val="0"/>
            <w:vAlign w:val="center"/>
          </w:tcPr>
          <w:p w14:paraId="506F053C">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10.19</w:t>
            </w:r>
          </w:p>
        </w:tc>
        <w:tc>
          <w:tcPr>
            <w:tcW w:w="4122" w:type="dxa"/>
            <w:noWrap w:val="0"/>
            <w:vAlign w:val="center"/>
          </w:tcPr>
          <w:p w14:paraId="22E43FAF">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根据乳腺厚度分级预设曝光参数</w:t>
            </w:r>
          </w:p>
        </w:tc>
        <w:tc>
          <w:tcPr>
            <w:tcW w:w="5323" w:type="dxa"/>
            <w:noWrap w:val="0"/>
            <w:vAlign w:val="center"/>
          </w:tcPr>
          <w:p w14:paraId="176B30C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可以 最精细为10mm/级</w:t>
            </w:r>
          </w:p>
        </w:tc>
      </w:tr>
      <w:tr w14:paraId="58DB1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30D7FAD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十一.</w:t>
            </w:r>
          </w:p>
        </w:tc>
        <w:tc>
          <w:tcPr>
            <w:tcW w:w="4122" w:type="dxa"/>
            <w:noWrap w:val="0"/>
            <w:vAlign w:val="center"/>
          </w:tcPr>
          <w:p w14:paraId="0FAE2FC0">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诊断工作站</w:t>
            </w:r>
          </w:p>
        </w:tc>
        <w:tc>
          <w:tcPr>
            <w:tcW w:w="5323" w:type="dxa"/>
            <w:noWrap w:val="0"/>
            <w:vAlign w:val="center"/>
          </w:tcPr>
          <w:p w14:paraId="3809BA7C">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p>
        </w:tc>
      </w:tr>
      <w:tr w14:paraId="7F37C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1671CFDB">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11.1</w:t>
            </w:r>
          </w:p>
        </w:tc>
        <w:tc>
          <w:tcPr>
            <w:tcW w:w="4122" w:type="dxa"/>
            <w:noWrap w:val="0"/>
            <w:vAlign w:val="center"/>
          </w:tcPr>
          <w:p w14:paraId="4DB9D0CC">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2台医用专业诊断显示器，分辨率</w:t>
            </w:r>
          </w:p>
        </w:tc>
        <w:tc>
          <w:tcPr>
            <w:tcW w:w="5323" w:type="dxa"/>
            <w:noWrap w:val="0"/>
            <w:vAlign w:val="center"/>
          </w:tcPr>
          <w:p w14:paraId="4708D040">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≥2K X 2.5K</w:t>
            </w:r>
          </w:p>
        </w:tc>
      </w:tr>
      <w:tr w14:paraId="29BE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2E66F07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11.2</w:t>
            </w:r>
          </w:p>
        </w:tc>
        <w:tc>
          <w:tcPr>
            <w:tcW w:w="4122" w:type="dxa"/>
            <w:noWrap w:val="0"/>
            <w:vAlign w:val="center"/>
          </w:tcPr>
          <w:p w14:paraId="511E74DB">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硬盘</w:t>
            </w:r>
          </w:p>
        </w:tc>
        <w:tc>
          <w:tcPr>
            <w:tcW w:w="5323" w:type="dxa"/>
            <w:noWrap w:val="0"/>
            <w:vAlign w:val="center"/>
          </w:tcPr>
          <w:p w14:paraId="299BA792">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≥1TB</w:t>
            </w:r>
          </w:p>
        </w:tc>
      </w:tr>
      <w:tr w14:paraId="5C91F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0A1038B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11.3</w:t>
            </w:r>
          </w:p>
        </w:tc>
        <w:tc>
          <w:tcPr>
            <w:tcW w:w="4122" w:type="dxa"/>
            <w:noWrap w:val="0"/>
            <w:vAlign w:val="center"/>
          </w:tcPr>
          <w:p w14:paraId="2C9AE3A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内存</w:t>
            </w:r>
          </w:p>
        </w:tc>
        <w:tc>
          <w:tcPr>
            <w:tcW w:w="5323" w:type="dxa"/>
            <w:noWrap w:val="0"/>
            <w:vAlign w:val="center"/>
          </w:tcPr>
          <w:p w14:paraId="02B335D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≥8GB</w:t>
            </w:r>
          </w:p>
        </w:tc>
      </w:tr>
      <w:tr w14:paraId="16A2C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7D1D529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11.4</w:t>
            </w:r>
          </w:p>
        </w:tc>
        <w:tc>
          <w:tcPr>
            <w:tcW w:w="4122" w:type="dxa"/>
            <w:noWrap w:val="0"/>
            <w:vAlign w:val="center"/>
          </w:tcPr>
          <w:p w14:paraId="220C10F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观片测量功能</w:t>
            </w:r>
          </w:p>
        </w:tc>
        <w:tc>
          <w:tcPr>
            <w:tcW w:w="5323" w:type="dxa"/>
            <w:noWrap w:val="0"/>
            <w:vAlign w:val="center"/>
          </w:tcPr>
          <w:p w14:paraId="4ADDC0CC">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735B6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4B7F7BA0">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11.5</w:t>
            </w:r>
          </w:p>
        </w:tc>
        <w:tc>
          <w:tcPr>
            <w:tcW w:w="4122" w:type="dxa"/>
            <w:noWrap w:val="0"/>
            <w:vAlign w:val="center"/>
          </w:tcPr>
          <w:p w14:paraId="276975E0">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诊断报告的打开与编辑功能</w:t>
            </w:r>
          </w:p>
        </w:tc>
        <w:tc>
          <w:tcPr>
            <w:tcW w:w="5323" w:type="dxa"/>
            <w:noWrap w:val="0"/>
            <w:vAlign w:val="center"/>
          </w:tcPr>
          <w:p w14:paraId="6966C452">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63343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0" w:type="auto"/>
            <w:noWrap w:val="0"/>
            <w:vAlign w:val="center"/>
          </w:tcPr>
          <w:p w14:paraId="1DD3A95C">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11.6</w:t>
            </w:r>
          </w:p>
        </w:tc>
        <w:tc>
          <w:tcPr>
            <w:tcW w:w="4122" w:type="dxa"/>
            <w:noWrap w:val="0"/>
            <w:vAlign w:val="center"/>
          </w:tcPr>
          <w:p w14:paraId="308EE228">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照相排版功能：图像排版，图像打印到纸张，图像打印到胶片</w:t>
            </w:r>
          </w:p>
        </w:tc>
        <w:tc>
          <w:tcPr>
            <w:tcW w:w="5323" w:type="dxa"/>
            <w:noWrap w:val="0"/>
            <w:vAlign w:val="center"/>
          </w:tcPr>
          <w:p w14:paraId="797E4818">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329CE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0" w:type="auto"/>
            <w:noWrap w:val="0"/>
            <w:vAlign w:val="center"/>
          </w:tcPr>
          <w:p w14:paraId="4A4FBB4A">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11.7</w:t>
            </w:r>
          </w:p>
        </w:tc>
        <w:tc>
          <w:tcPr>
            <w:tcW w:w="4122" w:type="dxa"/>
            <w:noWrap w:val="0"/>
            <w:vAlign w:val="center"/>
          </w:tcPr>
          <w:p w14:paraId="72416C4A">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据库备份，数据库恢复，数据库压缩，图像备份，图像数据传输</w:t>
            </w:r>
          </w:p>
        </w:tc>
        <w:tc>
          <w:tcPr>
            <w:tcW w:w="5323" w:type="dxa"/>
            <w:noWrap w:val="0"/>
            <w:vAlign w:val="center"/>
          </w:tcPr>
          <w:p w14:paraId="73A4088B">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7DD40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2" w:hRule="atLeast"/>
          <w:jc w:val="center"/>
        </w:trPr>
        <w:tc>
          <w:tcPr>
            <w:tcW w:w="0" w:type="auto"/>
            <w:noWrap w:val="0"/>
            <w:vAlign w:val="center"/>
          </w:tcPr>
          <w:p w14:paraId="40B92D21">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11.8</w:t>
            </w:r>
          </w:p>
        </w:tc>
        <w:tc>
          <w:tcPr>
            <w:tcW w:w="4122" w:type="dxa"/>
            <w:noWrap w:val="0"/>
            <w:vAlign w:val="center"/>
          </w:tcPr>
          <w:p w14:paraId="64FFE39F">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符合DICOM协议标准，可实现图像数据传输、存储、查询、打印或刻录到CD/DVD上，以及工作流程和病人信息处理</w:t>
            </w:r>
          </w:p>
        </w:tc>
        <w:tc>
          <w:tcPr>
            <w:tcW w:w="5323" w:type="dxa"/>
            <w:noWrap w:val="0"/>
            <w:vAlign w:val="center"/>
          </w:tcPr>
          <w:p w14:paraId="3A33CF09">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40D8C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583266C8">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十二.</w:t>
            </w:r>
          </w:p>
        </w:tc>
        <w:tc>
          <w:tcPr>
            <w:tcW w:w="4122" w:type="dxa"/>
            <w:noWrap w:val="0"/>
            <w:vAlign w:val="center"/>
          </w:tcPr>
          <w:p w14:paraId="0DFA0011">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三维数字乳腺断层融合摄影功能</w:t>
            </w:r>
          </w:p>
        </w:tc>
        <w:tc>
          <w:tcPr>
            <w:tcW w:w="5323" w:type="dxa"/>
            <w:noWrap w:val="0"/>
            <w:vAlign w:val="center"/>
          </w:tcPr>
          <w:p w14:paraId="6026E084">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p>
        </w:tc>
      </w:tr>
      <w:tr w14:paraId="725A0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77C4273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▲12.1</w:t>
            </w:r>
          </w:p>
        </w:tc>
        <w:tc>
          <w:tcPr>
            <w:tcW w:w="4122" w:type="dxa"/>
            <w:noWrap w:val="0"/>
            <w:vAlign w:val="center"/>
          </w:tcPr>
          <w:p w14:paraId="3317D946">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断层摄影球管旋转角度</w:t>
            </w:r>
          </w:p>
        </w:tc>
        <w:tc>
          <w:tcPr>
            <w:tcW w:w="5323" w:type="dxa"/>
            <w:noWrap w:val="0"/>
            <w:vAlign w:val="center"/>
          </w:tcPr>
          <w:p w14:paraId="7AE3D67F">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≥±25°</w:t>
            </w:r>
          </w:p>
        </w:tc>
      </w:tr>
      <w:tr w14:paraId="6FA3A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4FFB272C">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▲12.2</w:t>
            </w:r>
          </w:p>
        </w:tc>
        <w:tc>
          <w:tcPr>
            <w:tcW w:w="4122" w:type="dxa"/>
            <w:noWrap w:val="0"/>
            <w:vAlign w:val="center"/>
          </w:tcPr>
          <w:p w14:paraId="01D22E7C">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断层采集曝光次数</w:t>
            </w:r>
          </w:p>
        </w:tc>
        <w:tc>
          <w:tcPr>
            <w:tcW w:w="5323" w:type="dxa"/>
            <w:noWrap w:val="0"/>
            <w:vAlign w:val="center"/>
          </w:tcPr>
          <w:p w14:paraId="01A42569">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≥25次</w:t>
            </w:r>
          </w:p>
        </w:tc>
      </w:tr>
      <w:tr w14:paraId="2115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356E9191">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12.3</w:t>
            </w:r>
          </w:p>
        </w:tc>
        <w:tc>
          <w:tcPr>
            <w:tcW w:w="4122" w:type="dxa"/>
            <w:noWrap w:val="0"/>
            <w:vAlign w:val="center"/>
          </w:tcPr>
          <w:p w14:paraId="78CD8AB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连续曝光，非步进式曝光</w:t>
            </w:r>
          </w:p>
        </w:tc>
        <w:tc>
          <w:tcPr>
            <w:tcW w:w="5323" w:type="dxa"/>
            <w:noWrap w:val="0"/>
            <w:vAlign w:val="center"/>
          </w:tcPr>
          <w:p w14:paraId="74A5CD79">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780B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5B3A2D3C">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12.4</w:t>
            </w:r>
          </w:p>
        </w:tc>
        <w:tc>
          <w:tcPr>
            <w:tcW w:w="4122" w:type="dxa"/>
            <w:noWrap w:val="0"/>
            <w:vAlign w:val="center"/>
          </w:tcPr>
          <w:p w14:paraId="0E5F555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按一次曝光键完成断层图像采集，球管自动回到起始位置</w:t>
            </w:r>
          </w:p>
        </w:tc>
        <w:tc>
          <w:tcPr>
            <w:tcW w:w="5323" w:type="dxa"/>
            <w:noWrap w:val="0"/>
            <w:vAlign w:val="center"/>
          </w:tcPr>
          <w:p w14:paraId="649029A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1ED04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6A9C40E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12.5</w:t>
            </w:r>
          </w:p>
        </w:tc>
        <w:tc>
          <w:tcPr>
            <w:tcW w:w="4122" w:type="dxa"/>
            <w:noWrap w:val="0"/>
            <w:vAlign w:val="center"/>
          </w:tcPr>
          <w:p w14:paraId="3A063038">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断层图像层厚</w:t>
            </w:r>
          </w:p>
        </w:tc>
        <w:tc>
          <w:tcPr>
            <w:tcW w:w="5323" w:type="dxa"/>
            <w:noWrap w:val="0"/>
            <w:vAlign w:val="center"/>
          </w:tcPr>
          <w:p w14:paraId="0224C3AA">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≤1mm</w:t>
            </w:r>
          </w:p>
        </w:tc>
      </w:tr>
      <w:tr w14:paraId="37C78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1D3A80CE">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12.6</w:t>
            </w:r>
          </w:p>
        </w:tc>
        <w:tc>
          <w:tcPr>
            <w:tcW w:w="4122" w:type="dxa"/>
            <w:noWrap w:val="0"/>
            <w:vAlign w:val="center"/>
          </w:tcPr>
          <w:p w14:paraId="4BA800F7">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断层图像电影回放功能</w:t>
            </w:r>
          </w:p>
        </w:tc>
        <w:tc>
          <w:tcPr>
            <w:tcW w:w="5323" w:type="dxa"/>
            <w:noWrap w:val="0"/>
            <w:vAlign w:val="center"/>
          </w:tcPr>
          <w:p w14:paraId="5C131779">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116C7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3BC82E8D">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12.7</w:t>
            </w:r>
          </w:p>
        </w:tc>
        <w:tc>
          <w:tcPr>
            <w:tcW w:w="4122" w:type="dxa"/>
            <w:noWrap w:val="0"/>
            <w:vAlign w:val="center"/>
          </w:tcPr>
          <w:p w14:paraId="35D2A00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可在同一压迫位置下同时获取2D和3D图像</w:t>
            </w:r>
          </w:p>
        </w:tc>
        <w:tc>
          <w:tcPr>
            <w:tcW w:w="5323" w:type="dxa"/>
            <w:noWrap w:val="0"/>
            <w:vAlign w:val="center"/>
          </w:tcPr>
          <w:p w14:paraId="0F4433C9">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70A26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0A8C8FF2">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12.8</w:t>
            </w:r>
          </w:p>
        </w:tc>
        <w:tc>
          <w:tcPr>
            <w:tcW w:w="4122" w:type="dxa"/>
            <w:noWrap w:val="0"/>
            <w:vAlign w:val="center"/>
          </w:tcPr>
          <w:p w14:paraId="47DB64F6">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具备三维断层融合合成二维功能</w:t>
            </w:r>
          </w:p>
        </w:tc>
        <w:tc>
          <w:tcPr>
            <w:tcW w:w="5323" w:type="dxa"/>
            <w:noWrap w:val="0"/>
            <w:vAlign w:val="center"/>
          </w:tcPr>
          <w:p w14:paraId="26AD7F9F">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684B9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0F2AE40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12.9</w:t>
            </w:r>
          </w:p>
        </w:tc>
        <w:tc>
          <w:tcPr>
            <w:tcW w:w="4122" w:type="dxa"/>
            <w:noWrap w:val="0"/>
            <w:vAlign w:val="center"/>
          </w:tcPr>
          <w:p w14:paraId="29B97A8D">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具备三维断层融合合成三维功能，可旋转角度对乳腺进行多方位观察</w:t>
            </w:r>
          </w:p>
        </w:tc>
        <w:tc>
          <w:tcPr>
            <w:tcW w:w="5323" w:type="dxa"/>
            <w:noWrap w:val="0"/>
            <w:vAlign w:val="center"/>
          </w:tcPr>
          <w:p w14:paraId="01F3308A">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4B089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485F5FCF">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12.10</w:t>
            </w:r>
          </w:p>
        </w:tc>
        <w:tc>
          <w:tcPr>
            <w:tcW w:w="4122" w:type="dxa"/>
            <w:noWrap w:val="0"/>
            <w:vAlign w:val="center"/>
          </w:tcPr>
          <w:p w14:paraId="74CF734E">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三维断层重建算法</w:t>
            </w:r>
          </w:p>
        </w:tc>
        <w:tc>
          <w:tcPr>
            <w:tcW w:w="5323" w:type="dxa"/>
            <w:noWrap w:val="0"/>
            <w:vAlign w:val="center"/>
          </w:tcPr>
          <w:p w14:paraId="1AF9DD36">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迭代重建或同等及以上效能的先进图像重建算法</w:t>
            </w:r>
          </w:p>
        </w:tc>
      </w:tr>
      <w:tr w14:paraId="0D663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5A885296">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12.11</w:t>
            </w:r>
          </w:p>
        </w:tc>
        <w:tc>
          <w:tcPr>
            <w:tcW w:w="4122" w:type="dxa"/>
            <w:noWrap w:val="0"/>
            <w:vAlign w:val="center"/>
          </w:tcPr>
          <w:p w14:paraId="51E8FF3D">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三维断层图像像素大小</w:t>
            </w:r>
          </w:p>
        </w:tc>
        <w:tc>
          <w:tcPr>
            <w:tcW w:w="5323" w:type="dxa"/>
            <w:noWrap w:val="0"/>
            <w:vAlign w:val="center"/>
          </w:tcPr>
          <w:p w14:paraId="66FEA54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≤85 μm</w:t>
            </w:r>
          </w:p>
        </w:tc>
      </w:tr>
      <w:tr w14:paraId="5AB6E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5F0695C0">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十三.</w:t>
            </w:r>
          </w:p>
        </w:tc>
        <w:tc>
          <w:tcPr>
            <w:tcW w:w="4122" w:type="dxa"/>
            <w:noWrap w:val="0"/>
            <w:vAlign w:val="center"/>
          </w:tcPr>
          <w:p w14:paraId="2AA718A9">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断层融合定位活检系统</w:t>
            </w:r>
          </w:p>
        </w:tc>
        <w:tc>
          <w:tcPr>
            <w:tcW w:w="5323" w:type="dxa"/>
            <w:noWrap w:val="0"/>
            <w:vAlign w:val="center"/>
          </w:tcPr>
          <w:p w14:paraId="5256F6BE">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p>
        </w:tc>
      </w:tr>
      <w:tr w14:paraId="616A8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28398FB6">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▲13.1</w:t>
            </w:r>
          </w:p>
        </w:tc>
        <w:tc>
          <w:tcPr>
            <w:tcW w:w="4122" w:type="dxa"/>
            <w:noWrap w:val="0"/>
            <w:vAlign w:val="center"/>
          </w:tcPr>
          <w:p w14:paraId="0F10DC5F">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可在断层融合下进行定位活检</w:t>
            </w:r>
          </w:p>
        </w:tc>
        <w:tc>
          <w:tcPr>
            <w:tcW w:w="5323" w:type="dxa"/>
            <w:noWrap w:val="0"/>
            <w:vAlign w:val="center"/>
          </w:tcPr>
          <w:p w14:paraId="4C6BC6FC">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1A244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769F46AF">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▲13.2</w:t>
            </w:r>
          </w:p>
        </w:tc>
        <w:tc>
          <w:tcPr>
            <w:tcW w:w="4122" w:type="dxa"/>
            <w:noWrap w:val="0"/>
            <w:vAlign w:val="center"/>
          </w:tcPr>
          <w:p w14:paraId="261ED9BC">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在断层融合采集中，球管旋转角度</w:t>
            </w:r>
          </w:p>
        </w:tc>
        <w:tc>
          <w:tcPr>
            <w:tcW w:w="5323" w:type="dxa"/>
            <w:noWrap w:val="0"/>
            <w:vAlign w:val="center"/>
          </w:tcPr>
          <w:p w14:paraId="4D84549F">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≥±25°</w:t>
            </w:r>
          </w:p>
        </w:tc>
      </w:tr>
      <w:tr w14:paraId="47313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10EC529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13.3</w:t>
            </w:r>
          </w:p>
        </w:tc>
        <w:tc>
          <w:tcPr>
            <w:tcW w:w="4122" w:type="dxa"/>
            <w:noWrap w:val="0"/>
            <w:vAlign w:val="center"/>
          </w:tcPr>
          <w:p w14:paraId="119D1C8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连续曝光，非步进式曝光</w:t>
            </w:r>
          </w:p>
        </w:tc>
        <w:tc>
          <w:tcPr>
            <w:tcW w:w="5323" w:type="dxa"/>
            <w:noWrap w:val="0"/>
            <w:vAlign w:val="center"/>
          </w:tcPr>
          <w:p w14:paraId="51A153EA">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1D5E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7870177E">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13.4</w:t>
            </w:r>
          </w:p>
        </w:tc>
        <w:tc>
          <w:tcPr>
            <w:tcW w:w="4122" w:type="dxa"/>
            <w:noWrap w:val="0"/>
            <w:vAlign w:val="center"/>
          </w:tcPr>
          <w:p w14:paraId="1B369308">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断层采集曝光次数</w:t>
            </w:r>
          </w:p>
        </w:tc>
        <w:tc>
          <w:tcPr>
            <w:tcW w:w="5323" w:type="dxa"/>
            <w:noWrap w:val="0"/>
            <w:vAlign w:val="center"/>
          </w:tcPr>
          <w:p w14:paraId="252D5F12">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≥20次</w:t>
            </w:r>
          </w:p>
        </w:tc>
      </w:tr>
      <w:tr w14:paraId="51269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5" w:hRule="atLeast"/>
          <w:jc w:val="center"/>
        </w:trPr>
        <w:tc>
          <w:tcPr>
            <w:tcW w:w="0" w:type="auto"/>
            <w:noWrap w:val="0"/>
            <w:vAlign w:val="center"/>
          </w:tcPr>
          <w:p w14:paraId="289FA3D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13.5</w:t>
            </w:r>
          </w:p>
        </w:tc>
        <w:tc>
          <w:tcPr>
            <w:tcW w:w="4122" w:type="dxa"/>
            <w:noWrap w:val="0"/>
            <w:vAlign w:val="center"/>
          </w:tcPr>
          <w:p w14:paraId="5E88D370">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诊断和三维活检在同一个采集工作站上完成，无需其他额外工作站即可完成活检图像的采集、传输和处理；</w:t>
            </w:r>
          </w:p>
        </w:tc>
        <w:tc>
          <w:tcPr>
            <w:tcW w:w="5323" w:type="dxa"/>
            <w:noWrap w:val="0"/>
            <w:vAlign w:val="center"/>
          </w:tcPr>
          <w:p w14:paraId="1CA9930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1270C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79929B98">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13.6</w:t>
            </w:r>
          </w:p>
        </w:tc>
        <w:tc>
          <w:tcPr>
            <w:tcW w:w="4122" w:type="dxa"/>
            <w:noWrap w:val="0"/>
            <w:vAlign w:val="center"/>
          </w:tcPr>
          <w:p w14:paraId="36D8AEC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介入活检方式</w:t>
            </w:r>
          </w:p>
        </w:tc>
        <w:tc>
          <w:tcPr>
            <w:tcW w:w="5323" w:type="dxa"/>
            <w:noWrap w:val="0"/>
            <w:vAlign w:val="center"/>
          </w:tcPr>
          <w:p w14:paraId="67059668">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垂直和平行压迫板方向均可穿刺病灶</w:t>
            </w:r>
          </w:p>
        </w:tc>
      </w:tr>
      <w:tr w14:paraId="65647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6278824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13.7</w:t>
            </w:r>
          </w:p>
        </w:tc>
        <w:tc>
          <w:tcPr>
            <w:tcW w:w="4122" w:type="dxa"/>
            <w:noWrap w:val="0"/>
            <w:vAlign w:val="center"/>
          </w:tcPr>
          <w:p w14:paraId="305CBFB8">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与活检设备（非质控工具）结合使用时定位精度</w:t>
            </w:r>
          </w:p>
        </w:tc>
        <w:tc>
          <w:tcPr>
            <w:tcW w:w="5323" w:type="dxa"/>
            <w:noWrap w:val="0"/>
            <w:vAlign w:val="center"/>
          </w:tcPr>
          <w:p w14:paraId="5080DAF4">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≤+/-1mm</w:t>
            </w:r>
          </w:p>
        </w:tc>
      </w:tr>
      <w:tr w14:paraId="30C45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39FB1E30">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13.8</w:t>
            </w:r>
          </w:p>
        </w:tc>
        <w:tc>
          <w:tcPr>
            <w:tcW w:w="4122" w:type="dxa"/>
            <w:noWrap w:val="0"/>
            <w:vAlign w:val="center"/>
          </w:tcPr>
          <w:p w14:paraId="67CF6D48">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活检针进针精确度</w:t>
            </w:r>
          </w:p>
        </w:tc>
        <w:tc>
          <w:tcPr>
            <w:tcW w:w="5323" w:type="dxa"/>
            <w:noWrap w:val="0"/>
            <w:vAlign w:val="center"/>
          </w:tcPr>
          <w:p w14:paraId="43C513C6">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≤+/-1mm</w:t>
            </w:r>
          </w:p>
        </w:tc>
      </w:tr>
      <w:tr w14:paraId="27DC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13C4B846">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13.9</w:t>
            </w:r>
          </w:p>
        </w:tc>
        <w:tc>
          <w:tcPr>
            <w:tcW w:w="4122" w:type="dxa"/>
            <w:noWrap w:val="0"/>
            <w:vAlign w:val="center"/>
          </w:tcPr>
          <w:p w14:paraId="7E8FDE6B">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数字显示进针位置</w:t>
            </w:r>
          </w:p>
        </w:tc>
        <w:tc>
          <w:tcPr>
            <w:tcW w:w="5323" w:type="dxa"/>
            <w:noWrap w:val="0"/>
            <w:vAlign w:val="center"/>
          </w:tcPr>
          <w:p w14:paraId="422A166F">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16534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084D3071">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13.10</w:t>
            </w:r>
          </w:p>
        </w:tc>
        <w:tc>
          <w:tcPr>
            <w:tcW w:w="4122" w:type="dxa"/>
            <w:noWrap w:val="0"/>
            <w:vAlign w:val="center"/>
          </w:tcPr>
          <w:p w14:paraId="6C80ECDA">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自动计算靶点坐标，穿刺架自动延X、Y、Z轴移动直靶点位置（非手动移动）</w:t>
            </w:r>
          </w:p>
        </w:tc>
        <w:tc>
          <w:tcPr>
            <w:tcW w:w="5323" w:type="dxa"/>
            <w:noWrap w:val="0"/>
            <w:vAlign w:val="center"/>
          </w:tcPr>
          <w:p w14:paraId="17020918">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253B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0" w:type="auto"/>
            <w:noWrap w:val="0"/>
            <w:vAlign w:val="center"/>
          </w:tcPr>
          <w:p w14:paraId="435A4701">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13.11</w:t>
            </w:r>
          </w:p>
        </w:tc>
        <w:tc>
          <w:tcPr>
            <w:tcW w:w="4122" w:type="dxa"/>
            <w:noWrap w:val="0"/>
            <w:vAlign w:val="center"/>
          </w:tcPr>
          <w:p w14:paraId="5EE99634">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可进行介入活检前后的图像比照显示，查看病灶位置是否穿刺精确</w:t>
            </w:r>
          </w:p>
        </w:tc>
        <w:tc>
          <w:tcPr>
            <w:tcW w:w="5323" w:type="dxa"/>
            <w:noWrap w:val="0"/>
            <w:vAlign w:val="center"/>
          </w:tcPr>
          <w:p w14:paraId="2A58DB2F">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0089C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0" w:type="auto"/>
            <w:noWrap w:val="0"/>
            <w:vAlign w:val="center"/>
          </w:tcPr>
          <w:p w14:paraId="645FA980">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13.12</w:t>
            </w:r>
          </w:p>
        </w:tc>
        <w:tc>
          <w:tcPr>
            <w:tcW w:w="4122" w:type="dxa"/>
            <w:noWrap w:val="0"/>
            <w:vAlign w:val="center"/>
          </w:tcPr>
          <w:p w14:paraId="4526E967">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立体定位模式下可用压迫方式(手动压迫/电动压迫/自动压迫)</w:t>
            </w:r>
          </w:p>
        </w:tc>
        <w:tc>
          <w:tcPr>
            <w:tcW w:w="5323" w:type="dxa"/>
            <w:noWrap w:val="0"/>
            <w:vAlign w:val="center"/>
          </w:tcPr>
          <w:p w14:paraId="2E436B81">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65738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2BB1BFC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13.13</w:t>
            </w:r>
          </w:p>
        </w:tc>
        <w:tc>
          <w:tcPr>
            <w:tcW w:w="4122" w:type="dxa"/>
            <w:noWrap w:val="0"/>
            <w:vAlign w:val="center"/>
          </w:tcPr>
          <w:p w14:paraId="686A6879">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单次可选靶点数</w:t>
            </w:r>
          </w:p>
        </w:tc>
        <w:tc>
          <w:tcPr>
            <w:tcW w:w="5323" w:type="dxa"/>
            <w:noWrap w:val="0"/>
            <w:vAlign w:val="center"/>
          </w:tcPr>
          <w:p w14:paraId="19D15E99">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≥10个</w:t>
            </w:r>
          </w:p>
        </w:tc>
      </w:tr>
      <w:tr w14:paraId="1AFD6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4EEDB5FA">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13.14</w:t>
            </w:r>
          </w:p>
        </w:tc>
        <w:tc>
          <w:tcPr>
            <w:tcW w:w="4122" w:type="dxa"/>
            <w:noWrap w:val="0"/>
            <w:vAlign w:val="center"/>
          </w:tcPr>
          <w:p w14:paraId="0297C63F">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数字化局部活检尺寸（压迫板窗口）</w:t>
            </w:r>
          </w:p>
        </w:tc>
        <w:tc>
          <w:tcPr>
            <w:tcW w:w="5323" w:type="dxa"/>
            <w:noWrap w:val="0"/>
            <w:vAlign w:val="center"/>
          </w:tcPr>
          <w:p w14:paraId="2B2C82E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 52×42mm</w:t>
            </w:r>
          </w:p>
        </w:tc>
      </w:tr>
      <w:tr w14:paraId="06003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6BF2D398">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13.15</w:t>
            </w:r>
          </w:p>
        </w:tc>
        <w:tc>
          <w:tcPr>
            <w:tcW w:w="4122" w:type="dxa"/>
            <w:noWrap w:val="0"/>
            <w:vAlign w:val="center"/>
          </w:tcPr>
          <w:p w14:paraId="1A30C662">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垂直位活检尺寸</w:t>
            </w:r>
          </w:p>
        </w:tc>
        <w:tc>
          <w:tcPr>
            <w:tcW w:w="5323" w:type="dxa"/>
            <w:noWrap w:val="0"/>
            <w:vAlign w:val="center"/>
          </w:tcPr>
          <w:p w14:paraId="1460D52C">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≥50×40×100mm</w:t>
            </w:r>
          </w:p>
        </w:tc>
      </w:tr>
      <w:tr w14:paraId="01D3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0" w:type="auto"/>
            <w:noWrap w:val="0"/>
            <w:vAlign w:val="center"/>
          </w:tcPr>
          <w:p w14:paraId="5CC3484F">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13.16</w:t>
            </w:r>
          </w:p>
        </w:tc>
        <w:tc>
          <w:tcPr>
            <w:tcW w:w="4122" w:type="dxa"/>
            <w:noWrap w:val="0"/>
            <w:vAlign w:val="center"/>
          </w:tcPr>
          <w:p w14:paraId="23942F15">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水平位活检尺寸</w:t>
            </w:r>
          </w:p>
        </w:tc>
        <w:tc>
          <w:tcPr>
            <w:tcW w:w="5323" w:type="dxa"/>
            <w:noWrap w:val="0"/>
            <w:vAlign w:val="center"/>
          </w:tcPr>
          <w:p w14:paraId="4A0C3E72">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≥50×40×60mm</w:t>
            </w:r>
          </w:p>
        </w:tc>
      </w:tr>
      <w:tr w14:paraId="47839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5" w:hRule="atLeast"/>
          <w:jc w:val="center"/>
        </w:trPr>
        <w:tc>
          <w:tcPr>
            <w:tcW w:w="0" w:type="auto"/>
            <w:noWrap w:val="0"/>
            <w:vAlign w:val="center"/>
          </w:tcPr>
          <w:p w14:paraId="4F7533A7">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13.17</w:t>
            </w:r>
          </w:p>
        </w:tc>
        <w:tc>
          <w:tcPr>
            <w:tcW w:w="4122" w:type="dxa"/>
            <w:noWrap w:val="0"/>
            <w:vAlign w:val="center"/>
          </w:tcPr>
          <w:p w14:paraId="5BD2D4A6">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安全性能：防止在活检过程中乳房的细微移位，防止针与底板的碰触，防止持针架与任何其它部件的碰触</w:t>
            </w:r>
          </w:p>
        </w:tc>
        <w:tc>
          <w:tcPr>
            <w:tcW w:w="5323" w:type="dxa"/>
            <w:noWrap w:val="0"/>
            <w:vAlign w:val="center"/>
          </w:tcPr>
          <w:p w14:paraId="00362427">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634BC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0" w:type="auto"/>
            <w:noWrap w:val="0"/>
            <w:vAlign w:val="center"/>
          </w:tcPr>
          <w:p w14:paraId="7C5A5DEA">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▲13.18</w:t>
            </w:r>
          </w:p>
        </w:tc>
        <w:tc>
          <w:tcPr>
            <w:tcW w:w="4122" w:type="dxa"/>
            <w:noWrap w:val="0"/>
            <w:vAlign w:val="center"/>
          </w:tcPr>
          <w:p w14:paraId="46CA5E96">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患者未解压状态下，同机可实现组织标本拍摄功能。标本拍摄时，系统自动准直，只曝光样本托盘区域</w:t>
            </w:r>
          </w:p>
        </w:tc>
        <w:tc>
          <w:tcPr>
            <w:tcW w:w="5323" w:type="dxa"/>
            <w:noWrap w:val="0"/>
            <w:vAlign w:val="center"/>
          </w:tcPr>
          <w:p w14:paraId="3EEB0370">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6C7A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24F0D073">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13.19</w:t>
            </w:r>
          </w:p>
        </w:tc>
        <w:tc>
          <w:tcPr>
            <w:tcW w:w="4122" w:type="dxa"/>
            <w:noWrap w:val="0"/>
            <w:vAlign w:val="center"/>
          </w:tcPr>
          <w:p w14:paraId="69293BD4">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提供可放置组织标本的标本托盘</w:t>
            </w:r>
          </w:p>
        </w:tc>
        <w:tc>
          <w:tcPr>
            <w:tcW w:w="5323" w:type="dxa"/>
            <w:noWrap w:val="0"/>
            <w:vAlign w:val="center"/>
          </w:tcPr>
          <w:p w14:paraId="547E61C1">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3225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0" w:type="auto"/>
            <w:noWrap w:val="0"/>
            <w:vAlign w:val="center"/>
          </w:tcPr>
          <w:p w14:paraId="37D31DA2">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13.20</w:t>
            </w:r>
          </w:p>
        </w:tc>
        <w:tc>
          <w:tcPr>
            <w:tcW w:w="4122" w:type="dxa"/>
            <w:noWrap w:val="0"/>
            <w:vAlign w:val="center"/>
          </w:tcPr>
          <w:p w14:paraId="60670042">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标本拍摄具备1倍以上放大系数，以便更好地观察标本组织</w:t>
            </w:r>
          </w:p>
        </w:tc>
        <w:tc>
          <w:tcPr>
            <w:tcW w:w="5323" w:type="dxa"/>
            <w:noWrap w:val="0"/>
            <w:vAlign w:val="center"/>
          </w:tcPr>
          <w:p w14:paraId="63D143F8">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r w14:paraId="19218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075" w:type="dxa"/>
            <w:noWrap w:val="0"/>
            <w:vAlign w:val="center"/>
          </w:tcPr>
          <w:p w14:paraId="6E79A721">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13.21</w:t>
            </w:r>
          </w:p>
        </w:tc>
        <w:tc>
          <w:tcPr>
            <w:tcW w:w="4122" w:type="dxa"/>
            <w:noWrap w:val="0"/>
            <w:vAlign w:val="center"/>
          </w:tcPr>
          <w:p w14:paraId="131A220A">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穿刺架移动过程中，无需持续按住移动操控按钮</w:t>
            </w:r>
          </w:p>
        </w:tc>
        <w:tc>
          <w:tcPr>
            <w:tcW w:w="5323" w:type="dxa"/>
            <w:noWrap w:val="0"/>
            <w:vAlign w:val="center"/>
          </w:tcPr>
          <w:p w14:paraId="34A1CD12">
            <w:pPr>
              <w:keepNext w:val="0"/>
              <w:keepLines w:val="0"/>
              <w:pageBreakBefore w:val="0"/>
              <w:numPr>
                <w:ilvl w:val="1"/>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微软雅黑" w:hAnsi="微软雅黑" w:eastAsia="微软雅黑" w:cs="微软雅黑"/>
                <w:b w:val="0"/>
                <w:color w:val="000000"/>
                <w:sz w:val="24"/>
                <w:szCs w:val="24"/>
                <w:highlight w:val="none"/>
                <w:lang w:val="en-US" w:eastAsia="zh-CN" w:bidi="ar-SA"/>
              </w:rPr>
            </w:pPr>
            <w:r>
              <w:rPr>
                <w:rFonts w:hint="eastAsia" w:ascii="微软雅黑" w:hAnsi="微软雅黑" w:eastAsia="微软雅黑" w:cs="微软雅黑"/>
                <w:b w:val="0"/>
                <w:color w:val="000000"/>
                <w:sz w:val="24"/>
                <w:szCs w:val="24"/>
                <w:highlight w:val="none"/>
                <w:lang w:val="en-US" w:eastAsia="zh-CN" w:bidi="ar-SA"/>
              </w:rPr>
              <w:t>具备</w:t>
            </w:r>
          </w:p>
        </w:tc>
      </w:tr>
    </w:tbl>
    <w:p w14:paraId="2259B2D4">
      <w:pPr>
        <w:keepNext w:val="0"/>
        <w:keepLines w:val="0"/>
        <w:pageBreakBefore w:val="0"/>
        <w:kinsoku/>
        <w:wordWrap/>
        <w:overflowPunct/>
        <w:topLinePunct w:val="0"/>
        <w:autoSpaceDE/>
        <w:autoSpaceDN/>
        <w:bidi w:val="0"/>
        <w:adjustRightInd/>
        <w:snapToGrid/>
        <w:spacing w:line="620" w:lineRule="exact"/>
        <w:textAlignment w:val="auto"/>
        <w:rPr>
          <w:rFonts w:hint="eastAsia" w:ascii="微软雅黑" w:hAnsi="微软雅黑" w:eastAsia="微软雅黑" w:cs="微软雅黑"/>
          <w:color w:val="000000"/>
          <w:sz w:val="24"/>
          <w:szCs w:val="24"/>
          <w:highlight w:val="none"/>
          <w:lang w:eastAsia="zh-CN"/>
        </w:rPr>
      </w:pPr>
    </w:p>
    <w:p w14:paraId="791D98F6">
      <w:pPr>
        <w:keepNext w:val="0"/>
        <w:keepLines w:val="0"/>
        <w:pageBreakBefore w:val="0"/>
        <w:kinsoku/>
        <w:wordWrap/>
        <w:overflowPunct/>
        <w:topLinePunct w:val="0"/>
        <w:autoSpaceDE/>
        <w:autoSpaceDN/>
        <w:bidi w:val="0"/>
        <w:adjustRightInd/>
        <w:snapToGrid/>
        <w:spacing w:line="620" w:lineRule="exact"/>
        <w:textAlignment w:val="auto"/>
        <w:rPr>
          <w:rFonts w:hint="eastAsia" w:ascii="微软雅黑" w:hAnsi="微软雅黑" w:eastAsia="微软雅黑" w:cs="微软雅黑"/>
          <w:color w:val="000000"/>
          <w:sz w:val="24"/>
          <w:szCs w:val="24"/>
          <w:highlight w:val="none"/>
          <w:lang w:eastAsia="zh-CN"/>
        </w:rPr>
      </w:pPr>
    </w:p>
    <w:p w14:paraId="5E864E1C">
      <w:pPr>
        <w:keepNext w:val="0"/>
        <w:keepLines w:val="0"/>
        <w:pageBreakBefore w:val="0"/>
        <w:widowControl/>
        <w:kinsoku/>
        <w:wordWrap/>
        <w:overflowPunct/>
        <w:topLinePunct w:val="0"/>
        <w:autoSpaceDE/>
        <w:autoSpaceDN/>
        <w:bidi w:val="0"/>
        <w:adjustRightInd/>
        <w:snapToGrid/>
        <w:spacing w:line="620" w:lineRule="exact"/>
        <w:jc w:val="left"/>
        <w:textAlignment w:val="auto"/>
        <w:rPr>
          <w:rFonts w:ascii="宋体" w:hAnsi="宋体" w:eastAsia="宋体" w:cs="宋体"/>
          <w:b/>
          <w:bCs/>
          <w:color w:val="000000"/>
          <w:kern w:val="0"/>
          <w:sz w:val="21"/>
          <w:szCs w:val="24"/>
          <w:highlight w:val="none"/>
        </w:rPr>
      </w:pPr>
      <w:r>
        <w:rPr>
          <w:rFonts w:ascii="宋体" w:hAnsi="宋体" w:eastAsia="宋体" w:cs="宋体"/>
          <w:b/>
          <w:bCs/>
          <w:color w:val="000000"/>
          <w:kern w:val="0"/>
          <w:sz w:val="21"/>
          <w:szCs w:val="24"/>
          <w:highlight w:val="none"/>
        </w:rPr>
        <w:t>备注</w:t>
      </w:r>
      <w:r>
        <w:rPr>
          <w:rFonts w:hint="eastAsia" w:ascii="宋体" w:hAnsi="宋体" w:eastAsia="宋体" w:cs="宋体"/>
          <w:b/>
          <w:bCs/>
          <w:color w:val="000000"/>
          <w:kern w:val="0"/>
          <w:sz w:val="21"/>
          <w:szCs w:val="24"/>
          <w:highlight w:val="none"/>
        </w:rPr>
        <w:t>：投标人应保障投标文件中提供的相关证明材料的真实性，如发现虚假应标，除上报财政部门进行相应处罚外，采购人有权将经查实虚假应标的有关材料上报至行政主管部门并通报给本地区其他医疗机构，并将投标人及制造商（如涉及到）列入本单位不诚信企业名单，后续其他采购活动开展时将予以着重考量。</w:t>
      </w:r>
    </w:p>
    <w:p w14:paraId="3CCE1508">
      <w:pPr>
        <w:keepNext w:val="0"/>
        <w:keepLines w:val="0"/>
        <w:pageBreakBefore w:val="0"/>
        <w:kinsoku/>
        <w:wordWrap/>
        <w:overflowPunct/>
        <w:topLinePunct w:val="0"/>
        <w:autoSpaceDE/>
        <w:autoSpaceDN/>
        <w:bidi w:val="0"/>
        <w:adjustRightInd/>
        <w:snapToGrid/>
        <w:spacing w:line="480" w:lineRule="auto"/>
        <w:textAlignment w:val="auto"/>
        <w:rPr>
          <w:rFonts w:hint="eastAsia" w:ascii="微软雅黑" w:hAnsi="微软雅黑" w:eastAsia="微软雅黑" w:cs="微软雅黑"/>
          <w:color w:val="000000"/>
          <w:sz w:val="24"/>
          <w:szCs w:val="24"/>
          <w:highlight w:val="none"/>
          <w:lang w:val="en-US" w:eastAsia="zh-CN"/>
        </w:rPr>
      </w:pPr>
    </w:p>
    <w:p w14:paraId="19264DD6">
      <w:pPr>
        <w:keepNext w:val="0"/>
        <w:keepLines w:val="0"/>
        <w:pageBreakBefore w:val="0"/>
        <w:widowControl/>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color w:val="000000"/>
          <w:sz w:val="28"/>
          <w:szCs w:val="24"/>
          <w:highlight w:val="none"/>
        </w:rPr>
      </w:pPr>
    </w:p>
    <w:p w14:paraId="61C5C7BD">
      <w:pPr>
        <w:keepNext w:val="0"/>
        <w:keepLines w:val="0"/>
        <w:pageBreakBefore w:val="0"/>
        <w:widowControl/>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color w:val="000000"/>
          <w:sz w:val="28"/>
          <w:szCs w:val="24"/>
          <w:highlight w:val="none"/>
        </w:rPr>
      </w:pPr>
    </w:p>
    <w:p w14:paraId="03D9E2F6">
      <w:pPr>
        <w:keepNext w:val="0"/>
        <w:keepLines w:val="0"/>
        <w:pageBreakBefore w:val="0"/>
        <w:widowControl/>
        <w:numPr>
          <w:ilvl w:val="0"/>
          <w:numId w:val="0"/>
        </w:numPr>
        <w:kinsoku/>
        <w:wordWrap/>
        <w:overflowPunct/>
        <w:topLinePunct w:val="0"/>
        <w:autoSpaceDE/>
        <w:autoSpaceDN/>
        <w:bidi w:val="0"/>
        <w:adjustRightInd/>
        <w:snapToGrid/>
        <w:spacing w:line="540" w:lineRule="exact"/>
        <w:ind w:leftChars="0" w:firstLine="3935" w:firstLineChars="1400"/>
        <w:textAlignment w:val="auto"/>
        <w:rPr>
          <w:rFonts w:hint="eastAsia" w:ascii="宋体" w:hAnsi="宋体" w:eastAsia="宋体" w:cs="宋体"/>
          <w:b/>
          <w:bCs/>
          <w:iCs/>
          <w:color w:val="000000"/>
          <w:kern w:val="0"/>
          <w:sz w:val="24"/>
          <w:szCs w:val="24"/>
          <w:highlight w:val="none"/>
        </w:rPr>
      </w:pPr>
      <w:r>
        <w:rPr>
          <w:rFonts w:hint="eastAsia" w:ascii="宋体" w:hAnsi="宋体" w:eastAsia="宋体" w:cs="宋体"/>
          <w:b/>
          <w:bCs/>
          <w:color w:val="000000"/>
          <w:sz w:val="28"/>
          <w:szCs w:val="24"/>
          <w:highlight w:val="none"/>
        </w:rPr>
        <w:t>第三节 商务参数要求</w:t>
      </w:r>
      <w:r>
        <w:rPr>
          <w:rFonts w:hint="eastAsia" w:ascii="宋体" w:hAnsi="宋体" w:eastAsia="宋体" w:cs="宋体"/>
          <w:b/>
          <w:bCs/>
          <w:color w:val="000000"/>
          <w:sz w:val="28"/>
          <w:szCs w:val="24"/>
          <w:highlight w:val="none"/>
        </w:rPr>
        <w:br w:type="textWrapping"/>
      </w:r>
      <w:r>
        <w:rPr>
          <w:rFonts w:hint="eastAsia" w:ascii="宋体" w:hAnsi="宋体" w:eastAsia="宋体" w:cs="宋体"/>
          <w:b/>
          <w:bCs/>
          <w:color w:val="000000"/>
          <w:sz w:val="28"/>
          <w:szCs w:val="24"/>
          <w:highlight w:val="none"/>
          <w:lang w:val="en-US" w:eastAsia="zh-CN"/>
        </w:rPr>
        <w:t xml:space="preserve">1. </w:t>
      </w:r>
      <w:r>
        <w:rPr>
          <w:rFonts w:hint="eastAsia" w:ascii="宋体" w:hAnsi="宋体" w:eastAsia="宋体" w:cs="宋体"/>
          <w:b/>
          <w:bCs/>
          <w:iCs/>
          <w:color w:val="000000"/>
          <w:kern w:val="0"/>
          <w:sz w:val="24"/>
          <w:szCs w:val="24"/>
          <w:highlight w:val="none"/>
        </w:rPr>
        <w:t>交付时间、地点及付款方式</w:t>
      </w:r>
    </w:p>
    <w:p w14:paraId="1FB2FB4E">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项目现场：采购人指定地点。</w:t>
      </w:r>
    </w:p>
    <w:p w14:paraId="24811CD6">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交付时间及方式：合同签订后，场地符合安装条件，收到采购人通知后发货，并在约定时间内到货并安装。交货时间为：</w:t>
      </w:r>
      <w:r>
        <w:rPr>
          <w:rFonts w:hint="eastAsia" w:ascii="宋体" w:hAnsi="宋体" w:eastAsia="宋体" w:cs="宋体"/>
          <w:sz w:val="24"/>
          <w:highlight w:val="none"/>
          <w:u w:val="none"/>
          <w:lang w:eastAsia="zh-CN"/>
        </w:rPr>
        <w:t>45天。</w:t>
      </w:r>
    </w:p>
    <w:p w14:paraId="4130E182">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付款方式：</w:t>
      </w:r>
    </w:p>
    <w:p w14:paraId="26B1EAD5">
      <w:pPr>
        <w:keepNext w:val="0"/>
        <w:keepLines w:val="0"/>
        <w:pageBreakBefore w:val="0"/>
        <w:widowControl/>
        <w:numPr>
          <w:ilvl w:val="2"/>
          <w:numId w:val="2"/>
        </w:numPr>
        <w:kinsoku/>
        <w:wordWrap/>
        <w:overflowPunct/>
        <w:topLinePunct w:val="0"/>
        <w:autoSpaceDE/>
        <w:autoSpaceDN/>
        <w:bidi w:val="0"/>
        <w:adjustRightInd/>
        <w:snapToGrid/>
        <w:spacing w:line="540" w:lineRule="exact"/>
        <w:ind w:left="1508" w:hanging="708"/>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lang w:val="en-US" w:eastAsia="zh-CN"/>
        </w:rPr>
        <w:t>经甲方验收该系列设备合格、设备正常运行15个工作日并由设备会计做完付款计划后4个月内首付该设备款项的90%。</w:t>
      </w:r>
    </w:p>
    <w:p w14:paraId="509EA3E8">
      <w:pPr>
        <w:keepNext w:val="0"/>
        <w:keepLines w:val="0"/>
        <w:pageBreakBefore w:val="0"/>
        <w:widowControl/>
        <w:numPr>
          <w:ilvl w:val="2"/>
          <w:numId w:val="2"/>
        </w:numPr>
        <w:kinsoku/>
        <w:wordWrap/>
        <w:overflowPunct/>
        <w:topLinePunct w:val="0"/>
        <w:autoSpaceDE/>
        <w:autoSpaceDN/>
        <w:bidi w:val="0"/>
        <w:adjustRightInd/>
        <w:snapToGrid/>
        <w:spacing w:line="540" w:lineRule="exact"/>
        <w:ind w:left="1508" w:hanging="708"/>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lang w:val="en-US" w:eastAsia="zh-CN"/>
        </w:rPr>
        <w:t>余款</w:t>
      </w:r>
      <w:r>
        <w:rPr>
          <w:rFonts w:hint="eastAsia" w:ascii="宋体" w:hAnsi="宋体" w:eastAsia="宋体" w:cs="宋体"/>
          <w:iCs/>
          <w:color w:val="000000"/>
          <w:kern w:val="0"/>
          <w:sz w:val="24"/>
          <w:szCs w:val="24"/>
          <w:highlight w:val="none"/>
        </w:rPr>
        <w:t>10%</w:t>
      </w:r>
      <w:r>
        <w:rPr>
          <w:rFonts w:hint="eastAsia" w:ascii="宋体" w:hAnsi="宋体" w:eastAsia="宋体" w:cs="宋体"/>
          <w:iCs/>
          <w:color w:val="000000"/>
          <w:kern w:val="0"/>
          <w:sz w:val="24"/>
          <w:szCs w:val="24"/>
          <w:highlight w:val="none"/>
          <w:lang w:val="en-US" w:eastAsia="zh-CN"/>
        </w:rPr>
        <w:t>验收合格3年</w:t>
      </w:r>
      <w:r>
        <w:rPr>
          <w:rFonts w:hint="eastAsia" w:ascii="宋体" w:hAnsi="宋体" w:eastAsia="宋体" w:cs="宋体"/>
          <w:iCs/>
          <w:color w:val="000000"/>
          <w:kern w:val="0"/>
          <w:sz w:val="24"/>
          <w:szCs w:val="24"/>
          <w:highlight w:val="none"/>
        </w:rPr>
        <w:t>后无息支付。</w:t>
      </w:r>
    </w:p>
    <w:p w14:paraId="64D5DD94">
      <w:pPr>
        <w:keepNext w:val="0"/>
        <w:keepLines w:val="0"/>
        <w:pageBreakBefore w:val="0"/>
        <w:widowControl/>
        <w:numPr>
          <w:ilvl w:val="0"/>
          <w:numId w:val="2"/>
        </w:numPr>
        <w:kinsoku/>
        <w:wordWrap/>
        <w:overflowPunct/>
        <w:topLinePunct w:val="0"/>
        <w:autoSpaceDE/>
        <w:autoSpaceDN/>
        <w:bidi w:val="0"/>
        <w:adjustRightInd/>
        <w:snapToGrid/>
        <w:spacing w:line="540" w:lineRule="exact"/>
        <w:ind w:left="425" w:hanging="425"/>
        <w:textAlignment w:val="auto"/>
        <w:rPr>
          <w:rFonts w:hint="eastAsia" w:ascii="宋体" w:hAnsi="宋体" w:eastAsia="宋体" w:cs="宋体"/>
          <w:b/>
          <w:bCs/>
          <w:iCs/>
          <w:color w:val="000000"/>
          <w:kern w:val="0"/>
          <w:sz w:val="24"/>
          <w:szCs w:val="24"/>
          <w:highlight w:val="none"/>
        </w:rPr>
      </w:pPr>
      <w:r>
        <w:rPr>
          <w:rFonts w:hint="eastAsia" w:ascii="宋体" w:hAnsi="宋体" w:eastAsia="宋体" w:cs="宋体"/>
          <w:b/>
          <w:bCs/>
          <w:iCs/>
          <w:color w:val="000000"/>
          <w:kern w:val="0"/>
          <w:sz w:val="24"/>
          <w:szCs w:val="24"/>
          <w:highlight w:val="none"/>
        </w:rPr>
        <w:t>安装调试和验收</w:t>
      </w:r>
    </w:p>
    <w:p w14:paraId="20529EFD">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中标人配合和指导医院对货物储存、安装和使用场地的建设或改良（含配套设施及条件），确保货物达到规定的运行、安装、使用环境，保证使用条件安全。</w:t>
      </w:r>
    </w:p>
    <w:p w14:paraId="4B751600">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在货物到达使用单位，现场场地符合安装条件后，采购人将通知中标人派技术人员对所投设备全面进行安装调试。中标人应派制造商技术人员在7日内到达采购人指定安装地点，并在医院技术人员在场的情况下开箱清点货物，组织安装、调试所需费用包含在投标报价内。如中标人未在7日内到达采购人指定安装地点，采购人有权自行开箱安装调试。开箱如有缺货、错装、损坏或技术问题，中标人应承担全部责任。</w:t>
      </w:r>
    </w:p>
    <w:p w14:paraId="7CE16CD0">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设备验收签字前如有任何质量问题，中标人必须无条件更换整机。</w:t>
      </w:r>
    </w:p>
    <w:p w14:paraId="36B8F722">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中标人须承担货物验收前的财产保护责任，在验收前出现损坏由中标人负责。在安装运输过程中如出现人员伤亡及财产损坏由中标人承担赔偿责任。</w:t>
      </w:r>
    </w:p>
    <w:p w14:paraId="42317C62">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设备安装后，采购人按国际和国家标准、厂方标准、医院验收制度流程及合同要求如仪器设备需要特殊工作条件（如水、电源、磁场强度、温度、湿度、动强度等）进行验收。中标人应向采购人提供详细的验收标准，验收手册和部分验收专用仪器，所需费用包含在投标报价内。设备各项技术性能、指标必须达到合同和技术文件规定的要求。投标文件中提供详细的验收说明。</w:t>
      </w:r>
    </w:p>
    <w:p w14:paraId="2CE3441E">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b/>
          <w:bCs/>
          <w:iCs/>
          <w:color w:val="000000"/>
          <w:kern w:val="0"/>
          <w:sz w:val="24"/>
          <w:szCs w:val="24"/>
          <w:highlight w:val="none"/>
        </w:rPr>
      </w:pPr>
      <w:r>
        <w:rPr>
          <w:rFonts w:hint="eastAsia" w:ascii="宋体" w:hAnsi="宋体" w:eastAsia="宋体" w:cs="宋体"/>
          <w:iCs/>
          <w:color w:val="000000"/>
          <w:kern w:val="0"/>
          <w:sz w:val="24"/>
          <w:szCs w:val="24"/>
          <w:highlight w:val="none"/>
        </w:rPr>
        <w:t>★设备从安装到完成调试时间不超过2个月，由此引发的后果由中标人自行承担</w:t>
      </w:r>
      <w:r>
        <w:rPr>
          <w:rFonts w:hint="eastAsia" w:ascii="宋体" w:hAnsi="宋体" w:eastAsia="宋体" w:cs="宋体"/>
          <w:b/>
          <w:bCs/>
          <w:iCs/>
          <w:color w:val="000000"/>
          <w:kern w:val="0"/>
          <w:sz w:val="24"/>
          <w:szCs w:val="24"/>
          <w:highlight w:val="none"/>
        </w:rPr>
        <w:t>（须提供承诺函，格式自拟）。</w:t>
      </w:r>
      <w:r>
        <w:rPr>
          <w:rFonts w:hint="eastAsia" w:ascii="宋体" w:hAnsi="宋体" w:eastAsia="宋体" w:cs="宋体"/>
          <w:b/>
          <w:bCs/>
          <w:iCs/>
          <w:color w:val="000000"/>
          <w:kern w:val="0"/>
          <w:sz w:val="24"/>
          <w:szCs w:val="24"/>
          <w:highlight w:val="none"/>
        </w:rPr>
        <w:br w:type="textWrapping"/>
      </w:r>
      <w:r>
        <w:rPr>
          <w:rFonts w:hint="eastAsia" w:ascii="宋体" w:hAnsi="宋体" w:eastAsia="宋体" w:cs="宋体"/>
          <w:b/>
          <w:bCs/>
          <w:iCs/>
          <w:color w:val="auto"/>
          <w:kern w:val="0"/>
          <w:sz w:val="24"/>
          <w:highlight w:val="none"/>
          <w:lang w:val="en-US" w:eastAsia="zh-CN"/>
        </w:rPr>
        <w:t xml:space="preserve">2.7.   </w:t>
      </w:r>
      <w:r>
        <w:rPr>
          <w:rFonts w:hint="eastAsia" w:ascii="宋体" w:hAnsi="宋体" w:eastAsia="宋体" w:cs="宋体"/>
          <w:b w:val="0"/>
          <w:bCs w:val="0"/>
          <w:iCs/>
          <w:color w:val="auto"/>
          <w:kern w:val="0"/>
          <w:sz w:val="24"/>
          <w:highlight w:val="none"/>
        </w:rPr>
        <w:t>★</w:t>
      </w:r>
      <w:r>
        <w:rPr>
          <w:rFonts w:hint="eastAsia" w:ascii="宋体" w:hAnsi="宋体" w:eastAsia="宋体" w:cs="宋体"/>
          <w:b w:val="0"/>
          <w:bCs w:val="0"/>
          <w:iCs/>
          <w:color w:val="auto"/>
          <w:kern w:val="0"/>
          <w:sz w:val="24"/>
          <w:highlight w:val="none"/>
          <w:lang w:eastAsia="zh-CN"/>
        </w:rPr>
        <w:t>中标人应具备与医院现有信息系统的标准数据接口能力，接口方案及</w:t>
      </w:r>
      <w:r>
        <w:rPr>
          <w:rFonts w:hint="eastAsia" w:ascii="宋体" w:hAnsi="宋体" w:eastAsia="宋体" w:cs="宋体"/>
          <w:b w:val="0"/>
          <w:bCs w:val="0"/>
          <w:iCs/>
          <w:color w:val="auto"/>
          <w:kern w:val="0"/>
          <w:sz w:val="24"/>
          <w:highlight w:val="none"/>
          <w:lang w:val="en-US" w:eastAsia="zh-CN"/>
        </w:rPr>
        <w:t>信息系统对接</w:t>
      </w:r>
      <w:r>
        <w:rPr>
          <w:rFonts w:hint="eastAsia" w:ascii="宋体" w:hAnsi="宋体" w:eastAsia="宋体" w:cs="宋体"/>
          <w:b w:val="0"/>
          <w:bCs w:val="0"/>
          <w:iCs/>
          <w:color w:val="auto"/>
          <w:kern w:val="0"/>
          <w:sz w:val="24"/>
          <w:highlight w:val="none"/>
          <w:lang w:eastAsia="zh-CN"/>
        </w:rPr>
        <w:t>费用包含在</w:t>
      </w:r>
      <w:r>
        <w:rPr>
          <w:rFonts w:hint="eastAsia" w:ascii="宋体" w:hAnsi="宋体" w:eastAsia="宋体" w:cs="宋体"/>
          <w:b w:val="0"/>
          <w:bCs w:val="0"/>
          <w:iCs/>
          <w:color w:val="auto"/>
          <w:kern w:val="0"/>
          <w:sz w:val="24"/>
          <w:highlight w:val="none"/>
          <w:lang w:val="en-US" w:eastAsia="zh-CN"/>
        </w:rPr>
        <w:t>投标总价中，采购人不再另行支付费用。</w:t>
      </w:r>
      <w:r>
        <w:rPr>
          <w:rFonts w:hint="eastAsia" w:ascii="宋体" w:hAnsi="宋体" w:eastAsia="宋体" w:cs="宋体"/>
          <w:b/>
          <w:bCs/>
          <w:iCs/>
          <w:color w:val="000000"/>
          <w:kern w:val="0"/>
          <w:sz w:val="24"/>
          <w:szCs w:val="24"/>
          <w:highlight w:val="none"/>
        </w:rPr>
        <w:t>（本项需出具单独承诺函</w:t>
      </w:r>
      <w:r>
        <w:rPr>
          <w:rFonts w:hint="eastAsia" w:ascii="宋体" w:hAnsi="宋体" w:eastAsia="宋体" w:cs="宋体"/>
          <w:b/>
          <w:bCs/>
          <w:iCs/>
          <w:color w:val="000000"/>
          <w:kern w:val="0"/>
          <w:sz w:val="24"/>
          <w:szCs w:val="24"/>
          <w:highlight w:val="none"/>
          <w:lang w:val="en-US" w:eastAsia="zh-CN"/>
        </w:rPr>
        <w:t>且加盖公章</w:t>
      </w:r>
      <w:r>
        <w:rPr>
          <w:rFonts w:hint="eastAsia" w:ascii="宋体" w:hAnsi="宋体" w:eastAsia="宋体" w:cs="宋体"/>
          <w:b/>
          <w:bCs/>
          <w:iCs/>
          <w:color w:val="000000"/>
          <w:kern w:val="0"/>
          <w:sz w:val="24"/>
          <w:szCs w:val="24"/>
          <w:highlight w:val="none"/>
        </w:rPr>
        <w:t>）</w:t>
      </w:r>
    </w:p>
    <w:p w14:paraId="78FA6D39">
      <w:pPr>
        <w:keepNext w:val="0"/>
        <w:keepLines w:val="0"/>
        <w:pageBreakBefore w:val="0"/>
        <w:widowControl/>
        <w:numPr>
          <w:ilvl w:val="0"/>
          <w:numId w:val="2"/>
        </w:numPr>
        <w:kinsoku/>
        <w:wordWrap/>
        <w:overflowPunct/>
        <w:topLinePunct w:val="0"/>
        <w:autoSpaceDE/>
        <w:autoSpaceDN/>
        <w:bidi w:val="0"/>
        <w:adjustRightInd/>
        <w:snapToGrid/>
        <w:spacing w:line="540" w:lineRule="exact"/>
        <w:ind w:left="425" w:hanging="425"/>
        <w:textAlignment w:val="auto"/>
        <w:rPr>
          <w:rFonts w:hint="eastAsia" w:ascii="宋体" w:hAnsi="宋体" w:eastAsia="宋体" w:cs="宋体"/>
          <w:b/>
          <w:bCs/>
          <w:iCs/>
          <w:color w:val="000000"/>
          <w:kern w:val="0"/>
          <w:sz w:val="24"/>
          <w:szCs w:val="24"/>
          <w:highlight w:val="none"/>
        </w:rPr>
      </w:pPr>
      <w:r>
        <w:rPr>
          <w:rFonts w:hint="eastAsia" w:ascii="宋体" w:hAnsi="宋体" w:eastAsia="宋体" w:cs="宋体"/>
          <w:b/>
          <w:bCs/>
          <w:iCs/>
          <w:color w:val="000000"/>
          <w:kern w:val="0"/>
          <w:sz w:val="24"/>
          <w:szCs w:val="24"/>
          <w:highlight w:val="none"/>
        </w:rPr>
        <w:t>质量保证和质保期（技术参数有规定的以参数内容为准）</w:t>
      </w:r>
    </w:p>
    <w:p w14:paraId="4BB40E77">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在正常操作下，整机质保期</w:t>
      </w:r>
      <w:r>
        <w:rPr>
          <w:rFonts w:hint="eastAsia" w:ascii="宋体" w:hAnsi="宋体" w:eastAsia="宋体" w:cs="宋体"/>
          <w:iCs/>
          <w:color w:val="000000"/>
          <w:kern w:val="0"/>
          <w:sz w:val="24"/>
          <w:szCs w:val="24"/>
          <w:highlight w:val="none"/>
          <w:lang w:val="en-US" w:eastAsia="zh-CN"/>
        </w:rPr>
        <w:t>3</w:t>
      </w:r>
      <w:r>
        <w:rPr>
          <w:rFonts w:hint="eastAsia" w:ascii="宋体" w:hAnsi="宋体" w:eastAsia="宋体" w:cs="宋体"/>
          <w:iCs/>
          <w:color w:val="000000"/>
          <w:kern w:val="0"/>
          <w:sz w:val="24"/>
          <w:szCs w:val="24"/>
          <w:highlight w:val="none"/>
        </w:rPr>
        <w:t>年（技术参数有规定的以参数内容为准），即采购人安装调试验收合格，运转正常后，采购人认可，签字之日起</w:t>
      </w:r>
      <w:r>
        <w:rPr>
          <w:rFonts w:hint="eastAsia" w:ascii="宋体" w:hAnsi="宋体" w:eastAsia="宋体" w:cs="宋体"/>
          <w:iCs/>
          <w:color w:val="000000"/>
          <w:kern w:val="0"/>
          <w:sz w:val="24"/>
          <w:szCs w:val="24"/>
          <w:highlight w:val="none"/>
          <w:lang w:val="en-US" w:eastAsia="zh-CN"/>
        </w:rPr>
        <w:t>三</w:t>
      </w:r>
      <w:r>
        <w:rPr>
          <w:rFonts w:hint="eastAsia" w:ascii="宋体" w:hAnsi="宋体" w:eastAsia="宋体" w:cs="宋体"/>
          <w:b w:val="0"/>
          <w:bCs w:val="0"/>
          <w:iCs/>
          <w:color w:val="000000"/>
          <w:kern w:val="0"/>
          <w:sz w:val="24"/>
          <w:szCs w:val="24"/>
          <w:highlight w:val="none"/>
          <w:lang w:val="en-US" w:eastAsia="zh-CN"/>
        </w:rPr>
        <w:t>十六</w:t>
      </w:r>
      <w:r>
        <w:rPr>
          <w:rFonts w:hint="eastAsia" w:ascii="宋体" w:hAnsi="宋体" w:eastAsia="宋体" w:cs="宋体"/>
          <w:b w:val="0"/>
          <w:bCs w:val="0"/>
          <w:iCs/>
          <w:color w:val="000000"/>
          <w:kern w:val="0"/>
          <w:sz w:val="24"/>
          <w:szCs w:val="24"/>
          <w:highlight w:val="none"/>
        </w:rPr>
        <w:t>个月</w:t>
      </w:r>
      <w:r>
        <w:rPr>
          <w:rFonts w:hint="eastAsia" w:ascii="宋体" w:hAnsi="宋体" w:eastAsia="宋体" w:cs="宋体"/>
          <w:iCs/>
          <w:color w:val="000000"/>
          <w:kern w:val="0"/>
          <w:sz w:val="24"/>
          <w:szCs w:val="24"/>
          <w:highlight w:val="none"/>
        </w:rPr>
        <w:t>内连续运转良好。质保期内，如货物故障导致停机时间连续超过三个工作日，则每个超出的停机工作日获得补偿保修期</w:t>
      </w:r>
      <w:r>
        <w:rPr>
          <w:rFonts w:hint="eastAsia" w:ascii="宋体" w:hAnsi="宋体" w:eastAsia="宋体" w:cs="宋体"/>
          <w:iCs/>
          <w:color w:val="000000"/>
          <w:kern w:val="0"/>
          <w:sz w:val="24"/>
          <w:szCs w:val="24"/>
          <w:highlight w:val="none"/>
          <w:lang w:val="en-US" w:eastAsia="zh-CN"/>
        </w:rPr>
        <w:t>≥1年</w:t>
      </w:r>
      <w:r>
        <w:rPr>
          <w:rFonts w:hint="eastAsia" w:ascii="宋体" w:hAnsi="宋体" w:eastAsia="宋体" w:cs="宋体"/>
          <w:iCs/>
          <w:color w:val="000000"/>
          <w:kern w:val="0"/>
          <w:sz w:val="24"/>
          <w:szCs w:val="24"/>
          <w:highlight w:val="none"/>
        </w:rPr>
        <w:t>。质保期内免费维修与更换有缺陷的货物或部件，质保期满后只收取投标时承诺的备品备件成本费用。每次维护维修后，应及时向采购人提供相关记录。质保期从最终验收合格之日起计算。</w:t>
      </w:r>
    </w:p>
    <w:p w14:paraId="7A5D34E2">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中标人应保证货物是全新的，未使用过的，手续合法，渠道正规，出厂时间</w:t>
      </w:r>
      <w:r>
        <w:rPr>
          <w:rFonts w:hint="eastAsia" w:ascii="宋体" w:hAnsi="宋体" w:eastAsia="宋体" w:cs="宋体"/>
          <w:iCs/>
          <w:color w:val="000000"/>
          <w:kern w:val="0"/>
          <w:sz w:val="24"/>
          <w:szCs w:val="24"/>
          <w:highlight w:val="none"/>
          <w:lang w:val="en-US" w:eastAsia="zh-CN"/>
        </w:rPr>
        <w:t>不超过30天</w:t>
      </w:r>
      <w:r>
        <w:rPr>
          <w:rFonts w:hint="eastAsia" w:ascii="宋体" w:hAnsi="宋体" w:eastAsia="宋体" w:cs="宋体"/>
          <w:iCs/>
          <w:color w:val="000000"/>
          <w:kern w:val="0"/>
          <w:sz w:val="24"/>
          <w:szCs w:val="24"/>
          <w:highlight w:val="none"/>
        </w:rPr>
        <w:t>。全部设备的规格型号、技术参数不但要与合同中的描述一致，还应该与随机资料说明一致。</w:t>
      </w:r>
    </w:p>
    <w:p w14:paraId="0D150D72">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投标人除了报出维保价格外，还应提供制造商最低维保价格承诺书或提供承诺函承诺中标后提供相应的制造商盖章的承诺书。</w:t>
      </w:r>
    </w:p>
    <w:p w14:paraId="2D2DB9E5">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投标人除了报出备品配件（提供本配置可能未列举的其它设备和部件含系统软件）的价格之外，还应对所投设备的备品配件保障期限做出承诺且保证5年内不涨价，并提供制造商盖章承诺书或提供承诺函承诺中标后提供相应的制造商盖章的承诺书。</w:t>
      </w:r>
    </w:p>
    <w:p w14:paraId="64A994B8">
      <w:pPr>
        <w:keepNext w:val="0"/>
        <w:keepLines w:val="0"/>
        <w:pageBreakBefore w:val="0"/>
        <w:widowControl/>
        <w:numPr>
          <w:ilvl w:val="0"/>
          <w:numId w:val="2"/>
        </w:numPr>
        <w:kinsoku/>
        <w:wordWrap/>
        <w:overflowPunct/>
        <w:topLinePunct w:val="0"/>
        <w:autoSpaceDE/>
        <w:autoSpaceDN/>
        <w:bidi w:val="0"/>
        <w:adjustRightInd/>
        <w:snapToGrid/>
        <w:spacing w:line="540" w:lineRule="exact"/>
        <w:ind w:left="425" w:hanging="425"/>
        <w:textAlignment w:val="auto"/>
        <w:rPr>
          <w:rFonts w:hint="eastAsia" w:ascii="宋体" w:hAnsi="宋体" w:eastAsia="宋体" w:cs="宋体"/>
          <w:b/>
          <w:bCs/>
          <w:iCs/>
          <w:color w:val="000000"/>
          <w:kern w:val="0"/>
          <w:sz w:val="24"/>
          <w:szCs w:val="24"/>
          <w:highlight w:val="none"/>
        </w:rPr>
      </w:pPr>
      <w:r>
        <w:rPr>
          <w:rFonts w:hint="eastAsia" w:ascii="宋体" w:hAnsi="宋体" w:eastAsia="宋体" w:cs="宋体"/>
          <w:b/>
          <w:bCs/>
          <w:iCs/>
          <w:color w:val="000000"/>
          <w:kern w:val="0"/>
          <w:sz w:val="24"/>
          <w:szCs w:val="24"/>
          <w:highlight w:val="none"/>
        </w:rPr>
        <w:t>备品备件</w:t>
      </w:r>
    </w:p>
    <w:p w14:paraId="3A30BE32">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中标人应向采购人随设备提供全套设备技术资料（技术资料非中文的，应译成中文），费用已包括在投标价格之内。</w:t>
      </w:r>
    </w:p>
    <w:p w14:paraId="228A165E">
      <w:pPr>
        <w:keepNext w:val="0"/>
        <w:keepLines w:val="0"/>
        <w:pageBreakBefore w:val="0"/>
        <w:widowControl/>
        <w:numPr>
          <w:ilvl w:val="2"/>
          <w:numId w:val="3"/>
        </w:numPr>
        <w:kinsoku/>
        <w:wordWrap/>
        <w:overflowPunct/>
        <w:topLinePunct w:val="0"/>
        <w:autoSpaceDE/>
        <w:autoSpaceDN/>
        <w:bidi w:val="0"/>
        <w:adjustRightInd/>
        <w:snapToGrid/>
        <w:spacing w:line="540" w:lineRule="exact"/>
        <w:ind w:left="0" w:firstLine="402"/>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设备安装图；</w:t>
      </w:r>
    </w:p>
    <w:p w14:paraId="1B7CDD42">
      <w:pPr>
        <w:keepNext w:val="0"/>
        <w:keepLines w:val="0"/>
        <w:pageBreakBefore w:val="0"/>
        <w:widowControl/>
        <w:numPr>
          <w:ilvl w:val="2"/>
          <w:numId w:val="3"/>
        </w:numPr>
        <w:kinsoku/>
        <w:wordWrap/>
        <w:overflowPunct/>
        <w:topLinePunct w:val="0"/>
        <w:autoSpaceDE/>
        <w:autoSpaceDN/>
        <w:bidi w:val="0"/>
        <w:adjustRightInd/>
        <w:snapToGrid/>
        <w:spacing w:line="540" w:lineRule="exact"/>
        <w:ind w:left="0" w:firstLine="402"/>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电气设备及系统原理图；</w:t>
      </w:r>
    </w:p>
    <w:p w14:paraId="12BC1100">
      <w:pPr>
        <w:keepNext w:val="0"/>
        <w:keepLines w:val="0"/>
        <w:pageBreakBefore w:val="0"/>
        <w:widowControl/>
        <w:numPr>
          <w:ilvl w:val="2"/>
          <w:numId w:val="3"/>
        </w:numPr>
        <w:kinsoku/>
        <w:wordWrap/>
        <w:overflowPunct/>
        <w:topLinePunct w:val="0"/>
        <w:autoSpaceDE/>
        <w:autoSpaceDN/>
        <w:bidi w:val="0"/>
        <w:adjustRightInd/>
        <w:snapToGrid/>
        <w:spacing w:line="540" w:lineRule="exact"/>
        <w:ind w:left="0" w:firstLine="402"/>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电气设备及系统安装线路图；</w:t>
      </w:r>
    </w:p>
    <w:p w14:paraId="65813CB6">
      <w:pPr>
        <w:keepNext w:val="0"/>
        <w:keepLines w:val="0"/>
        <w:pageBreakBefore w:val="0"/>
        <w:widowControl/>
        <w:numPr>
          <w:ilvl w:val="2"/>
          <w:numId w:val="3"/>
        </w:numPr>
        <w:kinsoku/>
        <w:wordWrap/>
        <w:overflowPunct/>
        <w:topLinePunct w:val="0"/>
        <w:autoSpaceDE/>
        <w:autoSpaceDN/>
        <w:bidi w:val="0"/>
        <w:adjustRightInd/>
        <w:snapToGrid/>
        <w:spacing w:line="540" w:lineRule="exact"/>
        <w:ind w:left="0" w:firstLine="402"/>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构件、机械安装图；</w:t>
      </w:r>
    </w:p>
    <w:p w14:paraId="0E566817">
      <w:pPr>
        <w:keepNext w:val="0"/>
        <w:keepLines w:val="0"/>
        <w:pageBreakBefore w:val="0"/>
        <w:widowControl/>
        <w:numPr>
          <w:ilvl w:val="2"/>
          <w:numId w:val="3"/>
        </w:numPr>
        <w:kinsoku/>
        <w:wordWrap/>
        <w:overflowPunct/>
        <w:topLinePunct w:val="0"/>
        <w:autoSpaceDE/>
        <w:autoSpaceDN/>
        <w:bidi w:val="0"/>
        <w:adjustRightInd/>
        <w:snapToGrid/>
        <w:spacing w:line="540" w:lineRule="exact"/>
        <w:ind w:left="0" w:firstLine="402"/>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安装、操作手册；</w:t>
      </w:r>
    </w:p>
    <w:p w14:paraId="6C41AADA">
      <w:pPr>
        <w:keepNext w:val="0"/>
        <w:keepLines w:val="0"/>
        <w:pageBreakBefore w:val="0"/>
        <w:widowControl/>
        <w:numPr>
          <w:ilvl w:val="2"/>
          <w:numId w:val="3"/>
        </w:numPr>
        <w:kinsoku/>
        <w:wordWrap/>
        <w:overflowPunct/>
        <w:topLinePunct w:val="0"/>
        <w:autoSpaceDE/>
        <w:autoSpaceDN/>
        <w:bidi w:val="0"/>
        <w:adjustRightInd/>
        <w:snapToGrid/>
        <w:spacing w:line="540" w:lineRule="exact"/>
        <w:ind w:left="0" w:firstLine="402"/>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故障代码表、维修密码（如有）；</w:t>
      </w:r>
    </w:p>
    <w:p w14:paraId="510D39E4">
      <w:pPr>
        <w:keepNext w:val="0"/>
        <w:keepLines w:val="0"/>
        <w:pageBreakBefore w:val="0"/>
        <w:widowControl/>
        <w:numPr>
          <w:ilvl w:val="2"/>
          <w:numId w:val="3"/>
        </w:numPr>
        <w:kinsoku/>
        <w:wordWrap/>
        <w:overflowPunct/>
        <w:topLinePunct w:val="0"/>
        <w:autoSpaceDE/>
        <w:autoSpaceDN/>
        <w:bidi w:val="0"/>
        <w:adjustRightInd/>
        <w:snapToGrid/>
        <w:spacing w:line="540" w:lineRule="exact"/>
        <w:ind w:left="0" w:firstLine="402"/>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维护和维修手册（包括电子版）；</w:t>
      </w:r>
    </w:p>
    <w:p w14:paraId="56843B39">
      <w:pPr>
        <w:keepNext w:val="0"/>
        <w:keepLines w:val="0"/>
        <w:pageBreakBefore w:val="0"/>
        <w:widowControl/>
        <w:numPr>
          <w:ilvl w:val="2"/>
          <w:numId w:val="3"/>
        </w:numPr>
        <w:kinsoku/>
        <w:wordWrap/>
        <w:overflowPunct/>
        <w:topLinePunct w:val="0"/>
        <w:autoSpaceDE/>
        <w:autoSpaceDN/>
        <w:bidi w:val="0"/>
        <w:adjustRightInd/>
        <w:snapToGrid/>
        <w:spacing w:line="540" w:lineRule="exact"/>
        <w:ind w:left="0" w:firstLine="402"/>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详细维修用的资料和图纸（包含产品内部主要机械结构与控制电路、管路原理图、控制面板布置图、接线图、装配示意图）；</w:t>
      </w:r>
    </w:p>
    <w:p w14:paraId="209F4F5B">
      <w:pPr>
        <w:keepNext w:val="0"/>
        <w:keepLines w:val="0"/>
        <w:pageBreakBefore w:val="0"/>
        <w:widowControl/>
        <w:numPr>
          <w:ilvl w:val="2"/>
          <w:numId w:val="3"/>
        </w:numPr>
        <w:kinsoku/>
        <w:wordWrap/>
        <w:overflowPunct/>
        <w:topLinePunct w:val="0"/>
        <w:autoSpaceDE/>
        <w:autoSpaceDN/>
        <w:bidi w:val="0"/>
        <w:adjustRightInd/>
        <w:snapToGrid/>
        <w:spacing w:line="540" w:lineRule="exact"/>
        <w:ind w:left="0" w:firstLine="402"/>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制造、安装标准含技术规范；</w:t>
      </w:r>
    </w:p>
    <w:p w14:paraId="396ECAD7">
      <w:pPr>
        <w:keepNext w:val="0"/>
        <w:keepLines w:val="0"/>
        <w:pageBreakBefore w:val="0"/>
        <w:widowControl/>
        <w:numPr>
          <w:ilvl w:val="2"/>
          <w:numId w:val="3"/>
        </w:numPr>
        <w:kinsoku/>
        <w:wordWrap/>
        <w:overflowPunct/>
        <w:topLinePunct w:val="0"/>
        <w:autoSpaceDE/>
        <w:autoSpaceDN/>
        <w:bidi w:val="0"/>
        <w:adjustRightInd/>
        <w:snapToGrid/>
        <w:spacing w:line="540" w:lineRule="exact"/>
        <w:ind w:left="0" w:firstLine="402"/>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出厂检验报告及合格证；</w:t>
      </w:r>
    </w:p>
    <w:p w14:paraId="2BBAFC38">
      <w:pPr>
        <w:keepNext w:val="0"/>
        <w:keepLines w:val="0"/>
        <w:pageBreakBefore w:val="0"/>
        <w:widowControl/>
        <w:numPr>
          <w:ilvl w:val="2"/>
          <w:numId w:val="3"/>
        </w:numPr>
        <w:kinsoku/>
        <w:wordWrap/>
        <w:overflowPunct/>
        <w:topLinePunct w:val="0"/>
        <w:autoSpaceDE/>
        <w:autoSpaceDN/>
        <w:bidi w:val="0"/>
        <w:adjustRightInd/>
        <w:snapToGrid/>
        <w:spacing w:line="540" w:lineRule="exact"/>
        <w:ind w:left="0" w:firstLine="402"/>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安装和验收报告（包括验收数据资料）；</w:t>
      </w:r>
    </w:p>
    <w:p w14:paraId="22187291">
      <w:pPr>
        <w:keepNext w:val="0"/>
        <w:keepLines w:val="0"/>
        <w:pageBreakBefore w:val="0"/>
        <w:widowControl/>
        <w:numPr>
          <w:ilvl w:val="2"/>
          <w:numId w:val="3"/>
        </w:numPr>
        <w:kinsoku/>
        <w:wordWrap/>
        <w:overflowPunct/>
        <w:topLinePunct w:val="0"/>
        <w:autoSpaceDE/>
        <w:autoSpaceDN/>
        <w:bidi w:val="0"/>
        <w:adjustRightInd/>
        <w:snapToGrid/>
        <w:spacing w:line="540" w:lineRule="exact"/>
        <w:ind w:left="0" w:firstLine="402"/>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易损件、零部件和备件清单；</w:t>
      </w:r>
    </w:p>
    <w:p w14:paraId="02C886EF">
      <w:pPr>
        <w:keepNext w:val="0"/>
        <w:keepLines w:val="0"/>
        <w:pageBreakBefore w:val="0"/>
        <w:widowControl/>
        <w:numPr>
          <w:ilvl w:val="2"/>
          <w:numId w:val="3"/>
        </w:numPr>
        <w:kinsoku/>
        <w:wordWrap/>
        <w:overflowPunct/>
        <w:topLinePunct w:val="0"/>
        <w:autoSpaceDE/>
        <w:autoSpaceDN/>
        <w:bidi w:val="0"/>
        <w:adjustRightInd/>
        <w:snapToGrid/>
        <w:spacing w:line="540" w:lineRule="exact"/>
        <w:ind w:left="0" w:firstLine="402"/>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系统、软件备份硬盘。</w:t>
      </w:r>
    </w:p>
    <w:p w14:paraId="5DF3D6AC">
      <w:pPr>
        <w:keepNext w:val="0"/>
        <w:keepLines w:val="0"/>
        <w:pageBreakBefore w:val="0"/>
        <w:widowControl/>
        <w:numPr>
          <w:ilvl w:val="0"/>
          <w:numId w:val="2"/>
        </w:numPr>
        <w:kinsoku/>
        <w:wordWrap/>
        <w:overflowPunct/>
        <w:topLinePunct w:val="0"/>
        <w:autoSpaceDE/>
        <w:autoSpaceDN/>
        <w:bidi w:val="0"/>
        <w:adjustRightInd/>
        <w:snapToGrid/>
        <w:spacing w:line="540" w:lineRule="exact"/>
        <w:ind w:left="425" w:hanging="425"/>
        <w:textAlignment w:val="auto"/>
        <w:rPr>
          <w:rFonts w:hint="eastAsia" w:ascii="宋体" w:hAnsi="宋体" w:eastAsia="宋体" w:cs="宋体"/>
          <w:b/>
          <w:bCs/>
          <w:iCs/>
          <w:color w:val="000000"/>
          <w:kern w:val="0"/>
          <w:sz w:val="24"/>
          <w:szCs w:val="24"/>
          <w:highlight w:val="none"/>
        </w:rPr>
      </w:pPr>
      <w:r>
        <w:rPr>
          <w:rFonts w:hint="eastAsia" w:ascii="宋体" w:hAnsi="宋体" w:eastAsia="宋体" w:cs="宋体"/>
          <w:b/>
          <w:bCs/>
          <w:iCs/>
          <w:color w:val="000000"/>
          <w:kern w:val="0"/>
          <w:sz w:val="24"/>
          <w:szCs w:val="24"/>
          <w:highlight w:val="none"/>
        </w:rPr>
        <w:t>人员培训</w:t>
      </w:r>
    </w:p>
    <w:p w14:paraId="5C908838">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卖方负责在现场向买方技术人员（包括医师、技师以及维修工程师）直接提供保修、维修、使用培训服务。设备人员专项进修的具体培训时间、地点另行协商，至买方技术人员能正常操作设备的各种功能、简单的故障排除为止，所需费用由卖方负责。</w:t>
      </w:r>
    </w:p>
    <w:p w14:paraId="54AED660">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卖方在投标文件中提供详细的培训计划。</w:t>
      </w:r>
    </w:p>
    <w:p w14:paraId="725DEB23">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中标投标人应配置专业技术人员提供现场技术培训，保证使用人员能正常操作设备的各种功能；除现场培训外,在保修期内，厂方每年安排集中培训一次（含在投标总价中，采购人不再另行支付费用）。</w:t>
      </w:r>
    </w:p>
    <w:p w14:paraId="177CE27E">
      <w:pPr>
        <w:keepNext w:val="0"/>
        <w:keepLines w:val="0"/>
        <w:pageBreakBefore w:val="0"/>
        <w:widowControl/>
        <w:numPr>
          <w:ilvl w:val="0"/>
          <w:numId w:val="2"/>
        </w:numPr>
        <w:kinsoku/>
        <w:wordWrap/>
        <w:overflowPunct/>
        <w:topLinePunct w:val="0"/>
        <w:autoSpaceDE/>
        <w:autoSpaceDN/>
        <w:bidi w:val="0"/>
        <w:adjustRightInd/>
        <w:snapToGrid/>
        <w:spacing w:line="540" w:lineRule="exact"/>
        <w:ind w:left="425" w:hanging="425"/>
        <w:textAlignment w:val="auto"/>
        <w:rPr>
          <w:rFonts w:hint="eastAsia" w:ascii="宋体" w:hAnsi="宋体" w:eastAsia="宋体" w:cs="宋体"/>
          <w:b/>
          <w:bCs/>
          <w:iCs/>
          <w:color w:val="000000"/>
          <w:kern w:val="0"/>
          <w:sz w:val="24"/>
          <w:szCs w:val="24"/>
          <w:highlight w:val="none"/>
        </w:rPr>
      </w:pPr>
      <w:r>
        <w:rPr>
          <w:rFonts w:hint="eastAsia" w:ascii="宋体" w:hAnsi="宋体" w:eastAsia="宋体" w:cs="宋体"/>
          <w:b/>
          <w:bCs/>
          <w:iCs/>
          <w:color w:val="000000"/>
          <w:kern w:val="0"/>
          <w:sz w:val="24"/>
          <w:szCs w:val="24"/>
          <w:highlight w:val="none"/>
        </w:rPr>
        <w:t>售后服务（技术参数有规定的以参数内容为准）</w:t>
      </w:r>
    </w:p>
    <w:p w14:paraId="119CA047">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投标人应承诺由制造商负责保质期内的售后服务，并提供售后单位的名称、地址。联系电话等；售后服务单位名称、地址、联系电话撤销或者变更的，应当及时告知采购人；售后服务单位应当具有维修资质证书，维修人员应当具有执业资格，持证上岗。</w:t>
      </w:r>
    </w:p>
    <w:p w14:paraId="492D9DC2">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在质保期内，设备出现质量问题，应当由中标人负责修理或者更换新的主要部件（包括工时费和材料费）（含在投标总价中，采购人不再另行支付费用）。</w:t>
      </w:r>
    </w:p>
    <w:p w14:paraId="7231C6B0">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中标人应能保证充足的货源，在出现紧急情况时，能在48小时内解决设备故障。</w:t>
      </w:r>
    </w:p>
    <w:p w14:paraId="07EE52AB">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质保期内，中标人对产品质量实行三包，负责维修或更换（人为因素或不可抗力造成事故除外）。（含在投标总价中，采购人不再另行支付费用）。</w:t>
      </w:r>
    </w:p>
    <w:p w14:paraId="4BC4D04E">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质保期内投标人提供硬件维护和咨询等，并提供7*24小时电话、E-mail技术支持，一般性系统故障需在2小时内解决，重大系统故障需在12小时内解决，特别重大系统故障需在24小时内解决。</w:t>
      </w:r>
    </w:p>
    <w:p w14:paraId="1D57F5A7">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中标人保证长期优质服务，定期提供例行检查，终身维护。</w:t>
      </w:r>
    </w:p>
    <w:p w14:paraId="15C5C9BA">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投标人在投标文件中提供详细的售后服务方案。</w:t>
      </w:r>
    </w:p>
    <w:p w14:paraId="14F08149">
      <w:pPr>
        <w:keepNext w:val="0"/>
        <w:keepLines w:val="0"/>
        <w:pageBreakBefore w:val="0"/>
        <w:widowControl/>
        <w:numPr>
          <w:ilvl w:val="0"/>
          <w:numId w:val="2"/>
        </w:numPr>
        <w:kinsoku/>
        <w:wordWrap/>
        <w:overflowPunct/>
        <w:topLinePunct w:val="0"/>
        <w:autoSpaceDE/>
        <w:autoSpaceDN/>
        <w:bidi w:val="0"/>
        <w:adjustRightInd/>
        <w:snapToGrid/>
        <w:spacing w:line="540" w:lineRule="exact"/>
        <w:ind w:left="425" w:hanging="425"/>
        <w:textAlignment w:val="auto"/>
        <w:rPr>
          <w:rFonts w:hint="eastAsia" w:ascii="宋体" w:hAnsi="宋体" w:eastAsia="宋体" w:cs="宋体"/>
          <w:b/>
          <w:bCs/>
          <w:iCs/>
          <w:color w:val="000000"/>
          <w:kern w:val="0"/>
          <w:sz w:val="24"/>
          <w:szCs w:val="24"/>
          <w:highlight w:val="none"/>
        </w:rPr>
      </w:pPr>
      <w:r>
        <w:rPr>
          <w:rFonts w:hint="eastAsia" w:ascii="宋体" w:hAnsi="宋体" w:eastAsia="宋体" w:cs="宋体"/>
          <w:b/>
          <w:bCs/>
          <w:iCs/>
          <w:color w:val="000000"/>
          <w:kern w:val="0"/>
          <w:sz w:val="24"/>
          <w:szCs w:val="24"/>
          <w:highlight w:val="none"/>
        </w:rPr>
        <w:t>履约验收</w:t>
      </w:r>
    </w:p>
    <w:p w14:paraId="5E8A79E7">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设备计量及防护检测：设备在使用前和质保期满后，卖方必须提供国家强制执行的年度计量检测报告，提供计量器具型式批准证书并负责相关费用及手续。如检测达不到国家标准，卖方应负责设备的整改和再次检测费用，直至检测达标；若为防护设备，设备在使用前卖方必须提供防护检测报告并办理相关手续，如检测达不到国家标准，卖方应负责设备的整改和再次检测费用，直至检测达标，</w:t>
      </w:r>
    </w:p>
    <w:p w14:paraId="1CC5B982">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项目验收时采购人或者其委托的采购代理机构组织对供应商履约的验收。大型设备或技术复杂的应当邀请国家认可的质量检测机构参加验收工作。验收方成员应当在验收书上签字，并承担相应的法律责任。验收所产生的费用由中标人承担（费用应包含在投标报价内），采购人不再另行支付其他任何费用。</w:t>
      </w:r>
    </w:p>
    <w:p w14:paraId="61215D8A">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中标人在项目验收阶段，须配合采购人进行履约验收，验收符合相关标准（如国家标准、行业标准、技术规范等），验收过程中，中标人须准备相关资料（投标文件、中标通知书、采购合同、验收单等），确保验收过程有序进行。如需要第三方参与验收的，所需费用包含在投标报价内，中标人无条件配合。</w:t>
      </w:r>
    </w:p>
    <w:p w14:paraId="61A45BFB">
      <w:pPr>
        <w:keepNext w:val="0"/>
        <w:keepLines w:val="0"/>
        <w:pageBreakBefore w:val="0"/>
        <w:widowControl/>
        <w:numPr>
          <w:ilvl w:val="0"/>
          <w:numId w:val="2"/>
        </w:numPr>
        <w:kinsoku/>
        <w:wordWrap/>
        <w:overflowPunct/>
        <w:topLinePunct w:val="0"/>
        <w:autoSpaceDE/>
        <w:autoSpaceDN/>
        <w:bidi w:val="0"/>
        <w:adjustRightInd/>
        <w:snapToGrid/>
        <w:spacing w:line="540" w:lineRule="exact"/>
        <w:ind w:left="425" w:hanging="425"/>
        <w:textAlignment w:val="auto"/>
        <w:rPr>
          <w:rFonts w:hint="eastAsia" w:ascii="宋体" w:hAnsi="宋体" w:eastAsia="宋体" w:cs="宋体"/>
          <w:b/>
          <w:bCs/>
          <w:iCs/>
          <w:color w:val="000000"/>
          <w:kern w:val="0"/>
          <w:sz w:val="24"/>
          <w:szCs w:val="24"/>
          <w:highlight w:val="none"/>
        </w:rPr>
      </w:pPr>
      <w:r>
        <w:rPr>
          <w:rFonts w:hint="eastAsia" w:ascii="宋体" w:hAnsi="宋体" w:eastAsia="宋体" w:cs="宋体"/>
          <w:b/>
          <w:bCs/>
          <w:iCs/>
          <w:color w:val="000000"/>
          <w:kern w:val="0"/>
          <w:sz w:val="24"/>
          <w:szCs w:val="24"/>
          <w:highlight w:val="none"/>
        </w:rPr>
        <w:t>其他要求</w:t>
      </w:r>
    </w:p>
    <w:p w14:paraId="5C27C63C">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本项目为交钥匙项目，采购人负责提供适合安装的场地。供应商提供场地的装修及防护方案及实施，供应商承诺负责设备进入安装场地所产生的防护装修费用（技术参数有规定的以参数内容为准）；投标总价包括但不限于装修、设备安装、调试等所有费用，采购人不再另行支付其他任何费用。</w:t>
      </w:r>
    </w:p>
    <w:p w14:paraId="714FD05F">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投标人如进行现场踏勘，由此产生的费用及安全问题由投标人自行承担。</w:t>
      </w:r>
    </w:p>
    <w:p w14:paraId="4284E04B">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投标人负责提供设备软件的开放（质量保证期以内和超出质量保证期）及永久性维修密码的制造商盖章承诺书或提供承诺函承诺中标后提供相应的制造商盖章承诺书。</w:t>
      </w:r>
    </w:p>
    <w:p w14:paraId="6118923C">
      <w:pPr>
        <w:keepNext w:val="0"/>
        <w:keepLines w:val="0"/>
        <w:pageBreakBefore w:val="0"/>
        <w:widowControl/>
        <w:numPr>
          <w:ilvl w:val="0"/>
          <w:numId w:val="2"/>
        </w:numPr>
        <w:kinsoku/>
        <w:wordWrap/>
        <w:overflowPunct/>
        <w:topLinePunct w:val="0"/>
        <w:autoSpaceDE/>
        <w:autoSpaceDN/>
        <w:bidi w:val="0"/>
        <w:adjustRightInd/>
        <w:snapToGrid/>
        <w:spacing w:line="540" w:lineRule="exact"/>
        <w:ind w:left="425" w:hanging="425"/>
        <w:textAlignment w:val="auto"/>
        <w:rPr>
          <w:rFonts w:hint="eastAsia" w:ascii="宋体" w:hAnsi="宋体" w:eastAsia="宋体" w:cs="宋体"/>
          <w:b/>
          <w:bCs/>
          <w:iCs/>
          <w:color w:val="000000"/>
          <w:kern w:val="0"/>
          <w:sz w:val="24"/>
          <w:szCs w:val="24"/>
          <w:highlight w:val="none"/>
        </w:rPr>
      </w:pPr>
      <w:r>
        <w:rPr>
          <w:rFonts w:hint="eastAsia" w:ascii="宋体" w:hAnsi="宋体" w:eastAsia="宋体" w:cs="宋体"/>
          <w:b/>
          <w:bCs/>
          <w:iCs/>
          <w:color w:val="000000"/>
          <w:kern w:val="0"/>
          <w:sz w:val="24"/>
          <w:szCs w:val="24"/>
          <w:highlight w:val="none"/>
        </w:rPr>
        <w:t>违约责任</w:t>
      </w:r>
    </w:p>
    <w:p w14:paraId="293EA20E">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验收前如设备出现重大故障，导致更换整机，影响采购人项目开展或临床使用，由此引发的责任由中标人承担，采购人保留对中标人追究损失赔偿责任的权力。</w:t>
      </w:r>
    </w:p>
    <w:p w14:paraId="10AE28F2">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iCs/>
          <w:color w:val="000000"/>
          <w:kern w:val="0"/>
          <w:sz w:val="24"/>
          <w:szCs w:val="24"/>
          <w:highlight w:val="none"/>
        </w:rPr>
      </w:pPr>
      <w:r>
        <w:rPr>
          <w:rFonts w:hint="eastAsia" w:ascii="宋体" w:hAnsi="宋体" w:eastAsia="宋体" w:cs="宋体"/>
          <w:iCs/>
          <w:color w:val="000000"/>
          <w:kern w:val="0"/>
          <w:sz w:val="24"/>
          <w:szCs w:val="24"/>
          <w:highlight w:val="none"/>
        </w:rPr>
        <w:t>延期交货：如果卖方未能按合同规定的时间按期交货（不可抗力除外）卖方应向买方支付违约金，每延期一天，按合同总额0.5%交付违约金，最多不超过延期交付的货物总额的10%。违约金从合同款项中扣除，合同款项不足的，卖方应补足。如果卖方在买方书面同意的延期时间内仍不能交货，买方有权解除合同，卖方退还买方已经支付的一切费用，并应按上述规定向买方支付违约金（按合同总额的30%计算）。</w:t>
      </w:r>
    </w:p>
    <w:p w14:paraId="4AAE4B67">
      <w:pPr>
        <w:keepNext w:val="0"/>
        <w:keepLines w:val="0"/>
        <w:pageBreakBefore w:val="0"/>
        <w:widowControl/>
        <w:numPr>
          <w:ilvl w:val="1"/>
          <w:numId w:val="2"/>
        </w:numPr>
        <w:kinsoku/>
        <w:wordWrap/>
        <w:overflowPunct/>
        <w:topLinePunct w:val="0"/>
        <w:autoSpaceDE/>
        <w:autoSpaceDN/>
        <w:bidi w:val="0"/>
        <w:adjustRightInd/>
        <w:snapToGrid/>
        <w:spacing w:line="540" w:lineRule="exact"/>
        <w:ind w:left="850" w:hanging="453"/>
        <w:textAlignment w:val="auto"/>
        <w:rPr>
          <w:rFonts w:hint="eastAsia" w:ascii="宋体" w:hAnsi="宋体" w:eastAsia="宋体" w:cs="宋体"/>
          <w:color w:val="000000"/>
          <w:sz w:val="24"/>
          <w:szCs w:val="24"/>
          <w:highlight w:val="none"/>
        </w:rPr>
      </w:pPr>
      <w:r>
        <w:rPr>
          <w:rFonts w:hint="eastAsia" w:ascii="宋体" w:hAnsi="宋体" w:eastAsia="宋体" w:cs="宋体"/>
          <w:iCs/>
          <w:color w:val="000000"/>
          <w:kern w:val="0"/>
          <w:sz w:val="24"/>
          <w:szCs w:val="24"/>
          <w:highlight w:val="none"/>
        </w:rPr>
        <w:t>★如发现中标产品无法满足招标文件及投标文件所列示的技术参数要求，或者发现中标人的投标文件存在虚假响应的情况，采购人有权单方面解除合同，并要求中标人支付与解除合同相关的一切费用，责任由中标人承担。</w:t>
      </w:r>
      <w:r>
        <w:rPr>
          <w:rFonts w:hint="eastAsia" w:ascii="宋体" w:hAnsi="宋体" w:eastAsia="宋体" w:cs="宋体"/>
          <w:b/>
          <w:bCs/>
          <w:iCs/>
          <w:color w:val="000000"/>
          <w:kern w:val="0"/>
          <w:sz w:val="24"/>
          <w:szCs w:val="24"/>
          <w:highlight w:val="none"/>
        </w:rPr>
        <w:t>（本项需出具单独承诺函</w:t>
      </w:r>
      <w:r>
        <w:rPr>
          <w:rFonts w:hint="eastAsia" w:ascii="宋体" w:hAnsi="宋体" w:eastAsia="宋体" w:cs="宋体"/>
          <w:b/>
          <w:bCs/>
          <w:iCs/>
          <w:color w:val="000000"/>
          <w:kern w:val="0"/>
          <w:sz w:val="24"/>
          <w:szCs w:val="24"/>
          <w:highlight w:val="none"/>
          <w:lang w:val="en-US" w:eastAsia="zh-CN"/>
        </w:rPr>
        <w:t>且加盖公章</w:t>
      </w:r>
      <w:r>
        <w:rPr>
          <w:rFonts w:hint="eastAsia" w:ascii="宋体" w:hAnsi="宋体" w:eastAsia="宋体" w:cs="宋体"/>
          <w:b/>
          <w:bCs/>
          <w:iCs/>
          <w:color w:val="000000"/>
          <w:kern w:val="0"/>
          <w:sz w:val="24"/>
          <w:szCs w:val="24"/>
          <w:highlight w:val="none"/>
        </w:rPr>
        <w:t>）</w:t>
      </w:r>
    </w:p>
    <w:p w14:paraId="488E1C23">
      <w:pPr>
        <w:pStyle w:val="3"/>
        <w:keepNext w:val="0"/>
        <w:keepLines w:val="0"/>
        <w:pageBreakBefore w:val="0"/>
        <w:kinsoku/>
        <w:wordWrap/>
        <w:overflowPunct/>
        <w:topLinePunct w:val="0"/>
        <w:autoSpaceDE/>
        <w:autoSpaceDN/>
        <w:bidi w:val="0"/>
        <w:adjustRightInd/>
        <w:snapToGrid/>
        <w:spacing w:line="540" w:lineRule="exact"/>
        <w:jc w:val="left"/>
        <w:textAlignment w:val="auto"/>
        <w:rPr>
          <w:rFonts w:hint="eastAsia" w:ascii="宋体" w:hAnsi="宋体" w:eastAsia="宋体" w:cs="宋体"/>
          <w:color w:val="000000"/>
          <w:sz w:val="24"/>
          <w:szCs w:val="24"/>
          <w:highlight w:val="none"/>
        </w:rPr>
      </w:pPr>
    </w:p>
    <w:p w14:paraId="6B2E9984">
      <w:pPr>
        <w:pStyle w:val="3"/>
        <w:keepNext w:val="0"/>
        <w:keepLines w:val="0"/>
        <w:pageBreakBefore w:val="0"/>
        <w:kinsoku/>
        <w:wordWrap/>
        <w:overflowPunct/>
        <w:topLinePunct w:val="0"/>
        <w:autoSpaceDE/>
        <w:autoSpaceDN/>
        <w:bidi w:val="0"/>
        <w:adjustRightInd/>
        <w:snapToGrid/>
        <w:spacing w:line="540" w:lineRule="exact"/>
        <w:jc w:val="left"/>
        <w:textAlignment w:val="auto"/>
        <w:rPr>
          <w:rFonts w:hint="eastAsia" w:ascii="宋体" w:hAnsi="宋体" w:eastAsia="宋体" w:cs="宋体"/>
          <w:color w:val="000000"/>
          <w:sz w:val="24"/>
          <w:szCs w:val="24"/>
          <w:highlight w:val="none"/>
        </w:rPr>
      </w:pPr>
    </w:p>
    <w:p w14:paraId="6DC2441B">
      <w:pPr>
        <w:pStyle w:val="3"/>
        <w:keepNext w:val="0"/>
        <w:keepLines w:val="0"/>
        <w:pageBreakBefore w:val="0"/>
        <w:kinsoku/>
        <w:wordWrap/>
        <w:overflowPunct/>
        <w:topLinePunct w:val="0"/>
        <w:autoSpaceDE/>
        <w:autoSpaceDN/>
        <w:bidi w:val="0"/>
        <w:adjustRightInd/>
        <w:snapToGrid/>
        <w:spacing w:line="540" w:lineRule="exact"/>
        <w:jc w:val="left"/>
        <w:textAlignment w:val="auto"/>
      </w:pPr>
      <w:r>
        <w:rPr>
          <w:rFonts w:hint="eastAsia" w:ascii="宋体" w:hAnsi="宋体" w:eastAsia="宋体" w:cs="宋体"/>
          <w:color w:val="000000"/>
          <w:sz w:val="24"/>
          <w:szCs w:val="24"/>
          <w:highlight w:val="none"/>
        </w:rPr>
        <w:t>备注：以上“1至9”项商务要求的每一项均视为一项商务需求内容，对其中任意一项子项（“★”条款除外）的偏离均视为对该项商务需求内容的偏离，予以扣除相应分</w:t>
      </w:r>
      <w:r>
        <w:rPr>
          <w:rFonts w:hint="eastAsia" w:ascii="宋体" w:hAnsi="宋体" w:eastAsia="宋体" w:cs="宋体"/>
          <w:color w:val="000000"/>
          <w:sz w:val="24"/>
          <w:szCs w:val="24"/>
          <w:highlight w:val="none"/>
          <w:lang w:val="en-US" w:eastAsia="zh-CN"/>
        </w:rPr>
        <w:t>数。</w:t>
      </w:r>
      <w:bookmarkEnd w:id="1"/>
      <w:bookmarkEnd w:id="2"/>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D8CFDB"/>
    <w:multiLevelType w:val="multilevel"/>
    <w:tmpl w:val="C5D8CFDB"/>
    <w:lvl w:ilvl="0" w:tentative="0">
      <w:start w:val="1"/>
      <w:numFmt w:val="decimal"/>
      <w:lvlText w:val="%1."/>
      <w:lvlJc w:val="left"/>
      <w:pPr>
        <w:ind w:left="425" w:hanging="425"/>
      </w:pPr>
    </w:lvl>
    <w:lvl w:ilvl="1" w:tentative="0">
      <w:start w:val="1"/>
      <w:numFmt w:val="decimal"/>
      <w:lvlText w:val="%1.%2."/>
      <w:lvlJc w:val="left"/>
      <w:pPr>
        <w:ind w:left="850" w:hanging="453"/>
      </w:pPr>
    </w:lvl>
    <w:lvl w:ilvl="2" w:tentative="0">
      <w:start w:val="1"/>
      <w:numFmt w:val="decimal"/>
      <w:lvlText w:val="%1.%2.%3."/>
      <w:lvlJc w:val="left"/>
      <w:pPr>
        <w:ind w:left="1508" w:hanging="708"/>
      </w:pPr>
    </w:lvl>
    <w:lvl w:ilvl="3" w:tentative="0">
      <w:start w:val="1"/>
      <w:numFmt w:val="decimal"/>
      <w:lvlText w:val="%1.%2.%3.%4."/>
      <w:lvlJc w:val="left"/>
      <w:pPr>
        <w:ind w:left="2053" w:hanging="853"/>
      </w:pPr>
    </w:lvl>
    <w:lvl w:ilvl="4" w:tentative="0">
      <w:start w:val="1"/>
      <w:numFmt w:val="decimal"/>
      <w:lvlText w:val="%1.%2.%3.%4.%5."/>
      <w:lvlJc w:val="left"/>
      <w:pPr>
        <w:ind w:left="2495" w:hanging="895"/>
      </w:pPr>
    </w:lvl>
    <w:lvl w:ilvl="5" w:tentative="0">
      <w:start w:val="1"/>
      <w:numFmt w:val="decimal"/>
      <w:lvlText w:val="%1.%2.%3.%4.%5.%6."/>
      <w:lvlJc w:val="left"/>
      <w:pPr>
        <w:ind w:left="3136" w:hanging="1136"/>
      </w:pPr>
    </w:lvl>
    <w:lvl w:ilvl="6" w:tentative="0">
      <w:start w:val="1"/>
      <w:numFmt w:val="decimal"/>
      <w:lvlText w:val="%1.%2.%3.%4.%5.%6.%7."/>
      <w:lvlJc w:val="left"/>
      <w:pPr>
        <w:ind w:left="3673" w:hanging="1273"/>
      </w:pPr>
    </w:lvl>
    <w:lvl w:ilvl="7" w:tentative="0">
      <w:start w:val="1"/>
      <w:numFmt w:val="decimal"/>
      <w:lvlText w:val="%1.%2.%3.%4.%5.%6.%7.%8."/>
      <w:lvlJc w:val="left"/>
      <w:pPr>
        <w:ind w:left="4218" w:hanging="1418"/>
      </w:pPr>
    </w:lvl>
    <w:lvl w:ilvl="8" w:tentative="0">
      <w:start w:val="1"/>
      <w:numFmt w:val="decimal"/>
      <w:lvlText w:val="%1.%2.%3.%4.%5.%6.%7.%8.%9."/>
      <w:lvlJc w:val="left"/>
      <w:pPr>
        <w:ind w:left="4648" w:hanging="1448"/>
      </w:pPr>
    </w:lvl>
  </w:abstractNum>
  <w:abstractNum w:abstractNumId="1">
    <w:nsid w:val="25F2871B"/>
    <w:multiLevelType w:val="singleLevel"/>
    <w:tmpl w:val="25F2871B"/>
    <w:lvl w:ilvl="0" w:tentative="0">
      <w:start w:val="4"/>
      <w:numFmt w:val="chineseCounting"/>
      <w:suff w:val="space"/>
      <w:lvlText w:val="第%1章"/>
      <w:lvlJc w:val="left"/>
      <w:rPr>
        <w:rFonts w:hint="eastAsia"/>
      </w:rPr>
    </w:lvl>
  </w:abstractNum>
  <w:abstractNum w:abstractNumId="2">
    <w:nsid w:val="2B7392D3"/>
    <w:multiLevelType w:val="multilevel"/>
    <w:tmpl w:val="2B7392D3"/>
    <w:lvl w:ilvl="0" w:tentative="0">
      <w:start w:val="1"/>
      <w:numFmt w:val="chineseCounting"/>
      <w:suff w:val="nothing"/>
      <w:lvlText w:val="（%1）"/>
      <w:lvlJc w:val="left"/>
      <w:pPr>
        <w:ind w:left="0" w:firstLine="400"/>
      </w:pPr>
    </w:lvl>
    <w:lvl w:ilvl="1" w:tentative="0">
      <w:start w:val="1"/>
      <w:numFmt w:val="decimal"/>
      <w:suff w:val="nothing"/>
      <w:lvlText w:val="%2．"/>
      <w:lvlJc w:val="left"/>
      <w:pPr>
        <w:ind w:left="0" w:firstLine="400"/>
      </w:pPr>
    </w:lvl>
    <w:lvl w:ilvl="2" w:tentative="0">
      <w:start w:val="1"/>
      <w:numFmt w:val="decimal"/>
      <w:suff w:val="nothing"/>
      <w:lvlText w:val="（%3）"/>
      <w:lvlJc w:val="left"/>
      <w:pPr>
        <w:ind w:left="0" w:firstLine="402"/>
      </w:pPr>
    </w:lvl>
    <w:lvl w:ilvl="3" w:tentative="0">
      <w:start w:val="1"/>
      <w:numFmt w:val="decimalEnclosedCircleChinese"/>
      <w:suff w:val="nothing"/>
      <w:lvlText w:val="%4 "/>
      <w:lvlJc w:val="left"/>
      <w:pPr>
        <w:ind w:left="0" w:firstLine="402"/>
      </w:pPr>
    </w:lvl>
    <w:lvl w:ilvl="4" w:tentative="0">
      <w:start w:val="1"/>
      <w:numFmt w:val="decimal"/>
      <w:suff w:val="nothing"/>
      <w:lvlText w:val="%5）"/>
      <w:lvlJc w:val="left"/>
      <w:pPr>
        <w:ind w:left="0" w:firstLine="402"/>
      </w:pPr>
    </w:lvl>
    <w:lvl w:ilvl="5" w:tentative="0">
      <w:start w:val="1"/>
      <w:numFmt w:val="upperLetter"/>
      <w:suff w:val="nothing"/>
      <w:lvlText w:val="%6．"/>
      <w:lvlJc w:val="left"/>
      <w:pPr>
        <w:ind w:left="0" w:firstLine="402"/>
      </w:pPr>
    </w:lvl>
    <w:lvl w:ilvl="6" w:tentative="0">
      <w:start w:val="1"/>
      <w:numFmt w:val="lowerLetter"/>
      <w:suff w:val="nothing"/>
      <w:lvlText w:val="%7．"/>
      <w:lvlJc w:val="left"/>
      <w:pPr>
        <w:ind w:left="0" w:firstLine="402"/>
      </w:pPr>
    </w:lvl>
    <w:lvl w:ilvl="7" w:tentative="0">
      <w:start w:val="1"/>
      <w:numFmt w:val="lowerLetter"/>
      <w:suff w:val="nothing"/>
      <w:lvlText w:val="%8）"/>
      <w:lvlJc w:val="left"/>
      <w:pPr>
        <w:ind w:left="0" w:firstLine="402"/>
      </w:pPr>
    </w:lvl>
    <w:lvl w:ilvl="8" w:tentative="0">
      <w:start w:val="1"/>
      <w:numFmt w:val="lowerRoman"/>
      <w:suff w:val="nothing"/>
      <w:lvlText w:val="%9．"/>
      <w:lvlJc w:val="left"/>
      <w:pPr>
        <w:ind w:left="0" w:firstLine="402"/>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EB70A4"/>
    <w:rsid w:val="64EB70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w:qFormat/>
    <w:uiPriority w:val="99"/>
    <w:pPr>
      <w:widowControl w:val="0"/>
      <w:spacing w:before="0" w:after="120"/>
      <w:ind w:left="420" w:right="0" w:firstLine="0"/>
      <w:jc w:val="both"/>
    </w:pPr>
    <w:rPr>
      <w:rFonts w:ascii="Times New Roman" w:hAnsi="Times New Roman" w:eastAsia="宋体" w:cs="Times New Roman"/>
      <w:kern w:val="0"/>
      <w:sz w:val="20"/>
      <w:szCs w:val="24"/>
      <w:lang w:val="en-US" w:eastAsia="zh-CN" w:bidi="ar-SA"/>
    </w:rPr>
  </w:style>
  <w:style w:type="paragraph" w:styleId="3">
    <w:name w:val="Plain Text"/>
    <w:qFormat/>
    <w:uiPriority w:val="0"/>
    <w:pPr>
      <w:widowControl w:val="0"/>
      <w:jc w:val="both"/>
    </w:pPr>
    <w:rPr>
      <w:rFonts w:ascii="宋体" w:hAnsi="宋体" w:eastAsia="宋体" w:cs="Courier New"/>
      <w:kern w:val="0"/>
      <w:sz w:val="20"/>
      <w:szCs w:val="21"/>
      <w:lang w:val="en-US" w:eastAsia="zh-CN" w:bidi="ar-SA"/>
    </w:rPr>
  </w:style>
  <w:style w:type="paragraph" w:styleId="4">
    <w:name w:val="Body Text First Indent 2"/>
    <w:next w:val="1"/>
    <w:qFormat/>
    <w:uiPriority w:val="99"/>
    <w:pPr>
      <w:widowControl w:val="0"/>
      <w:spacing w:before="0" w:after="120"/>
      <w:ind w:left="420" w:right="0" w:firstLine="420"/>
      <w:jc w:val="both"/>
    </w:pPr>
    <w:rPr>
      <w:rFonts w:ascii="Times New Roman" w:hAnsi="Times New Roman" w:eastAsia="宋体" w:cs="Times New Roman"/>
      <w:kern w:val="0"/>
      <w:sz w:val="20"/>
      <w:szCs w:val="24"/>
      <w:lang w:val="en-US" w:eastAsia="zh-CN" w:bidi="ar-SA"/>
    </w:rPr>
  </w:style>
  <w:style w:type="paragraph" w:styleId="7">
    <w:name w:val="List Paragraph"/>
    <w:qFormat/>
    <w:uiPriority w:val="34"/>
    <w:pPr>
      <w:widowControl/>
      <w:spacing w:after="200" w:line="276" w:lineRule="auto"/>
      <w:ind w:left="720"/>
      <w:contextualSpacing/>
      <w:jc w:val="left"/>
    </w:pPr>
    <w:rPr>
      <w:rFonts w:ascii="Calibri" w:hAnsi="Calibri" w:eastAsia="宋体" w:cs="Times New Roman"/>
      <w:kern w:val="0"/>
      <w:sz w:val="22"/>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2026-09-03T07:54:00Z</dcterms:created>
  <dc:creator>Administrator</dc:creator>
  <cp:lastModifiedBy>Administrator</cp:lastModifiedBy>
  <dcterms:modified xsi:type="dcterms:W3CDTF">2026-09-03T07:54:59Z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965BD5553E044995831D44D0F37AEDAD_11</vt:lpwstr>
  </property>
  <property fmtid="{D5CDD505-2E9C-101B-9397-08002B2CF9AE}" pid="4" name="KSOTemplateDocerSaveRecord">
    <vt:lpwstr>eyJoZGlkIjoiMmI3NmMxY2YzNDVjYTZkZGM4ZWQzZTE3NTg0NDAyN2EiLCJ1c2VySWQiOiIzNTk5NzY1NzAifQ==</vt:lpwstr>
  </property>
</Properties>
</file>